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rPr>
          <w:rFonts w:ascii="宋体" w:eastAsia="宋体"/>
          <w:color w:val="auto"/>
          <w:sz w:val="48"/>
          <w:szCs w:val="48"/>
        </w:rPr>
      </w:pPr>
      <w:r>
        <w:rPr>
          <w:rFonts w:hint="eastAsia" w:ascii="宋体" w:eastAsia="宋体"/>
          <w:color w:val="auto"/>
          <w:sz w:val="48"/>
          <w:szCs w:val="48"/>
        </w:rPr>
        <w:t>杭州市市场监督管理局</w:t>
      </w:r>
    </w:p>
    <w:p>
      <w:pPr>
        <w:pStyle w:val="50"/>
        <w:rPr>
          <w:rFonts w:ascii="宋体" w:eastAsia="宋体"/>
          <w:color w:val="auto"/>
          <w:sz w:val="48"/>
          <w:szCs w:val="48"/>
        </w:rPr>
      </w:pPr>
      <w:r>
        <w:rPr>
          <w:rFonts w:hint="eastAsia" w:ascii="宋体" w:eastAsia="宋体"/>
          <w:color w:val="auto"/>
          <w:sz w:val="48"/>
          <w:szCs w:val="48"/>
        </w:rPr>
        <w:t>杭州市流通领域(网络)商品</w:t>
      </w:r>
    </w:p>
    <w:p>
      <w:pPr>
        <w:pStyle w:val="50"/>
        <w:rPr>
          <w:rFonts w:ascii="宋体" w:eastAsia="宋体"/>
          <w:color w:val="auto"/>
          <w:sz w:val="48"/>
          <w:szCs w:val="48"/>
        </w:rPr>
      </w:pPr>
      <w:r>
        <w:rPr>
          <w:rFonts w:hint="eastAsia" w:ascii="宋体" w:eastAsia="宋体"/>
          <w:color w:val="auto"/>
          <w:sz w:val="48"/>
          <w:szCs w:val="48"/>
        </w:rPr>
        <w:t>抽查检验机构备选库入围项目（一）</w:t>
      </w:r>
    </w:p>
    <w:p>
      <w:pPr>
        <w:spacing w:line="360" w:lineRule="auto"/>
        <w:jc w:val="center"/>
        <w:rPr>
          <w:rFonts w:ascii="宋体" w:cs="宋体"/>
          <w:color w:val="auto"/>
          <w:sz w:val="24"/>
        </w:rPr>
      </w:pPr>
    </w:p>
    <w:p>
      <w:pPr>
        <w:pStyle w:val="49"/>
        <w:rPr>
          <w:color w:val="auto"/>
          <w:sz w:val="96"/>
          <w:szCs w:val="96"/>
        </w:rPr>
      </w:pPr>
      <w:r>
        <w:rPr>
          <w:rFonts w:hint="eastAsia"/>
          <w:color w:val="auto"/>
          <w:sz w:val="96"/>
          <w:szCs w:val="96"/>
        </w:rPr>
        <w:t>招标文件</w:t>
      </w:r>
    </w:p>
    <w:p>
      <w:pPr>
        <w:pStyle w:val="49"/>
        <w:rPr>
          <w:color w:val="auto"/>
          <w:sz w:val="96"/>
          <w:szCs w:val="96"/>
        </w:rPr>
      </w:pPr>
    </w:p>
    <w:p>
      <w:pPr>
        <w:pStyle w:val="50"/>
        <w:tabs>
          <w:tab w:val="left" w:pos="1080"/>
          <w:tab w:val="left" w:pos="2340"/>
        </w:tabs>
        <w:ind w:firstLine="3129" w:firstLineChars="1039"/>
        <w:jc w:val="both"/>
        <w:rPr>
          <w:rFonts w:ascii="宋体" w:eastAsia="宋体"/>
          <w:color w:val="auto"/>
          <w:sz w:val="30"/>
          <w:szCs w:val="30"/>
        </w:rPr>
      </w:pPr>
      <w:r>
        <w:rPr>
          <w:rFonts w:hint="eastAsia" w:ascii="宋体" w:eastAsia="宋体"/>
          <w:color w:val="auto"/>
          <w:sz w:val="30"/>
          <w:szCs w:val="30"/>
        </w:rPr>
        <w:t>招标编号：ZJZN-19833-SJ03 -01</w:t>
      </w:r>
    </w:p>
    <w:p>
      <w:pPr>
        <w:pStyle w:val="50"/>
        <w:tabs>
          <w:tab w:val="left" w:pos="1080"/>
          <w:tab w:val="left" w:pos="2340"/>
        </w:tabs>
        <w:ind w:firstLine="3129" w:firstLineChars="1039"/>
        <w:jc w:val="both"/>
        <w:rPr>
          <w:rFonts w:ascii="宋体" w:eastAsia="宋体"/>
          <w:color w:val="auto"/>
          <w:sz w:val="30"/>
          <w:szCs w:val="30"/>
        </w:rPr>
      </w:pPr>
      <w:r>
        <w:rPr>
          <w:rFonts w:hint="eastAsia" w:ascii="宋体" w:eastAsia="宋体"/>
          <w:color w:val="auto"/>
          <w:sz w:val="30"/>
          <w:szCs w:val="30"/>
        </w:rPr>
        <w:t>执行书号：杭政采分</w:t>
      </w:r>
      <w:r>
        <w:rPr>
          <w:rFonts w:ascii="宋体" w:eastAsia="宋体"/>
          <w:color w:val="auto"/>
          <w:sz w:val="30"/>
          <w:szCs w:val="30"/>
        </w:rPr>
        <w:t>-</w:t>
      </w:r>
      <w:r>
        <w:rPr>
          <w:rFonts w:hint="eastAsia" w:ascii="宋体" w:eastAsia="宋体"/>
          <w:color w:val="auto"/>
          <w:sz w:val="30"/>
          <w:szCs w:val="30"/>
        </w:rPr>
        <w:t>2019</w:t>
      </w:r>
      <w:r>
        <w:rPr>
          <w:rFonts w:ascii="宋体" w:eastAsia="宋体"/>
          <w:color w:val="auto"/>
          <w:sz w:val="30"/>
          <w:szCs w:val="30"/>
        </w:rPr>
        <w:t>-</w:t>
      </w:r>
      <w:r>
        <w:rPr>
          <w:rFonts w:hint="eastAsia" w:ascii="宋体" w:eastAsia="宋体"/>
          <w:color w:val="auto"/>
          <w:sz w:val="30"/>
          <w:szCs w:val="30"/>
        </w:rPr>
        <w:t>01137</w:t>
      </w:r>
    </w:p>
    <w:p>
      <w:pPr>
        <w:pStyle w:val="50"/>
        <w:tabs>
          <w:tab w:val="left" w:pos="1080"/>
          <w:tab w:val="left" w:pos="2340"/>
        </w:tabs>
        <w:ind w:firstLine="1518" w:firstLineChars="504"/>
        <w:jc w:val="both"/>
        <w:rPr>
          <w:rFonts w:ascii="宋体" w:eastAsia="宋体"/>
          <w:color w:val="auto"/>
          <w:sz w:val="30"/>
          <w:szCs w:val="30"/>
        </w:rPr>
      </w:pPr>
    </w:p>
    <w:p>
      <w:pPr>
        <w:pStyle w:val="49"/>
        <w:rPr>
          <w:color w:val="auto"/>
        </w:rPr>
      </w:pPr>
    </w:p>
    <w:p>
      <w:pPr>
        <w:spacing w:line="360" w:lineRule="auto"/>
        <w:jc w:val="center"/>
        <w:rPr>
          <w:rFonts w:ascii="宋体" w:cs="宋体"/>
          <w:color w:val="auto"/>
          <w:sz w:val="24"/>
        </w:rPr>
      </w:pPr>
    </w:p>
    <w:p>
      <w:pPr>
        <w:spacing w:line="360" w:lineRule="auto"/>
        <w:ind w:left="1800" w:leftChars="857" w:right="380" w:rightChars="181"/>
        <w:rPr>
          <w:rFonts w:ascii="宋体" w:cs="宋体"/>
          <w:b/>
          <w:bCs/>
          <w:color w:val="auto"/>
          <w:sz w:val="36"/>
          <w:szCs w:val="36"/>
        </w:rPr>
      </w:pPr>
      <w:r>
        <w:rPr>
          <w:rFonts w:hint="eastAsia" w:ascii="宋体" w:hAnsi="宋体" w:cs="宋体"/>
          <w:b/>
          <w:bCs/>
          <w:color w:val="auto"/>
          <w:sz w:val="36"/>
          <w:szCs w:val="36"/>
        </w:rPr>
        <w:t>招   标   人：杭州市市场监督管理局</w:t>
      </w:r>
    </w:p>
    <w:p>
      <w:pPr>
        <w:spacing w:line="360" w:lineRule="auto"/>
        <w:ind w:left="1800" w:leftChars="857" w:right="380" w:rightChars="181"/>
        <w:rPr>
          <w:rFonts w:ascii="宋体" w:hAnsi="宋体" w:cs="宋体"/>
          <w:b/>
          <w:bCs/>
          <w:color w:val="auto"/>
          <w:sz w:val="36"/>
          <w:szCs w:val="36"/>
        </w:rPr>
      </w:pPr>
      <w:r>
        <w:rPr>
          <w:rFonts w:hint="eastAsia" w:ascii="宋体" w:hAnsi="宋体" w:cs="宋体"/>
          <w:b/>
          <w:bCs/>
          <w:color w:val="auto"/>
          <w:sz w:val="36"/>
          <w:szCs w:val="36"/>
        </w:rPr>
        <w:t>采购代理机构：浙江中诺招标代理有限公司</w:t>
      </w:r>
    </w:p>
    <w:p>
      <w:pPr>
        <w:spacing w:line="240" w:lineRule="exact"/>
        <w:ind w:left="718" w:leftChars="342"/>
        <w:rPr>
          <w:rFonts w:ascii="宋体" w:cs="宋体"/>
          <w:b/>
          <w:color w:val="auto"/>
          <w:sz w:val="36"/>
          <w:szCs w:val="36"/>
        </w:rPr>
      </w:pPr>
    </w:p>
    <w:p>
      <w:pPr>
        <w:spacing w:line="360" w:lineRule="auto"/>
        <w:ind w:right="21" w:rightChars="10"/>
        <w:jc w:val="center"/>
        <w:rPr>
          <w:rFonts w:ascii="宋体" w:cs="宋体"/>
          <w:b/>
          <w:color w:val="auto"/>
          <w:sz w:val="36"/>
          <w:szCs w:val="36"/>
        </w:rPr>
      </w:pPr>
      <w:r>
        <w:rPr>
          <w:rFonts w:hint="eastAsia" w:ascii="宋体" w:hAnsi="宋体" w:cs="宋体"/>
          <w:b/>
          <w:color w:val="auto"/>
          <w:sz w:val="36"/>
          <w:szCs w:val="36"/>
        </w:rPr>
        <w:t>二○一九年五月</w:t>
      </w:r>
    </w:p>
    <w:p>
      <w:pPr>
        <w:widowControl/>
        <w:spacing w:line="360" w:lineRule="auto"/>
        <w:jc w:val="left"/>
        <w:rPr>
          <w:rFonts w:ascii="宋体" w:cs="宋体"/>
          <w:color w:val="auto"/>
          <w:sz w:val="24"/>
        </w:rPr>
        <w:sectPr>
          <w:footerReference r:id="rId3" w:type="default"/>
          <w:pgSz w:w="11906" w:h="16838"/>
          <w:pgMar w:top="1638" w:right="566" w:bottom="1134" w:left="1418" w:header="851" w:footer="992" w:gutter="0"/>
          <w:cols w:space="720" w:num="1"/>
        </w:sectPr>
      </w:pPr>
    </w:p>
    <w:p>
      <w:pPr>
        <w:adjustRightInd w:val="0"/>
        <w:spacing w:line="400" w:lineRule="exact"/>
        <w:jc w:val="center"/>
        <w:rPr>
          <w:rFonts w:ascii="宋体" w:cs="宋体"/>
          <w:b/>
          <w:color w:val="auto"/>
          <w:sz w:val="36"/>
          <w:szCs w:val="36"/>
        </w:rPr>
      </w:pPr>
      <w:r>
        <w:rPr>
          <w:rFonts w:hint="eastAsia" w:ascii="宋体" w:hAnsi="宋体" w:cs="宋体"/>
          <w:b/>
          <w:color w:val="auto"/>
          <w:sz w:val="36"/>
          <w:szCs w:val="36"/>
        </w:rPr>
        <w:t>目录</w:t>
      </w:r>
    </w:p>
    <w:p>
      <w:pPr>
        <w:adjustRightInd w:val="0"/>
        <w:spacing w:line="400" w:lineRule="exact"/>
        <w:jc w:val="center"/>
        <w:rPr>
          <w:rFonts w:ascii="宋体" w:cs="宋体"/>
          <w:bCs/>
          <w:color w:val="auto"/>
          <w:sz w:val="28"/>
          <w:szCs w:val="28"/>
        </w:rPr>
      </w:pPr>
    </w:p>
    <w:p>
      <w:pPr>
        <w:pStyle w:val="20"/>
        <w:tabs>
          <w:tab w:val="right" w:leader="dot" w:pos="9202"/>
        </w:tabs>
        <w:rPr>
          <w:color w:val="auto"/>
          <w:sz w:val="22"/>
          <w:szCs w:val="22"/>
        </w:rPr>
      </w:pPr>
      <w:r>
        <w:rPr>
          <w:rFonts w:ascii="宋体" w:hAnsi="宋体" w:cs="宋体"/>
          <w:color w:val="auto"/>
          <w:sz w:val="22"/>
          <w:szCs w:val="22"/>
        </w:rPr>
        <w:fldChar w:fldCharType="begin"/>
      </w:r>
      <w:r>
        <w:rPr>
          <w:rFonts w:ascii="宋体" w:hAnsi="宋体" w:cs="宋体"/>
          <w:color w:val="auto"/>
          <w:sz w:val="22"/>
          <w:szCs w:val="22"/>
        </w:rPr>
        <w:instrText xml:space="preserve">TOC \o "1-3" \h \u </w:instrText>
      </w:r>
      <w:r>
        <w:rPr>
          <w:rFonts w:ascii="宋体" w:hAnsi="宋体" w:cs="宋体"/>
          <w:color w:val="auto"/>
          <w:sz w:val="22"/>
          <w:szCs w:val="22"/>
        </w:rPr>
        <w:fldChar w:fldCharType="separate"/>
      </w:r>
      <w:r>
        <w:rPr>
          <w:color w:val="auto"/>
        </w:rPr>
        <w:fldChar w:fldCharType="begin"/>
      </w:r>
      <w:r>
        <w:rPr>
          <w:color w:val="auto"/>
        </w:rPr>
        <w:instrText xml:space="preserve"> HYPERLINK \l "_Toc20640" </w:instrText>
      </w:r>
      <w:r>
        <w:rPr>
          <w:color w:val="auto"/>
        </w:rPr>
        <w:fldChar w:fldCharType="separate"/>
      </w:r>
      <w:r>
        <w:rPr>
          <w:rFonts w:hint="eastAsia" w:ascii="宋体" w:hAnsi="宋体" w:cs="宋体"/>
          <w:color w:val="auto"/>
          <w:sz w:val="22"/>
          <w:szCs w:val="22"/>
        </w:rPr>
        <w:t>第一部分 招标公告</w:t>
      </w:r>
      <w:r>
        <w:rPr>
          <w:color w:val="auto"/>
          <w:sz w:val="22"/>
          <w:szCs w:val="22"/>
        </w:rPr>
        <w:tab/>
      </w:r>
      <w:r>
        <w:rPr>
          <w:color w:val="auto"/>
          <w:sz w:val="22"/>
          <w:szCs w:val="22"/>
        </w:rPr>
        <w:fldChar w:fldCharType="begin"/>
      </w:r>
      <w:r>
        <w:rPr>
          <w:color w:val="auto"/>
          <w:sz w:val="22"/>
          <w:szCs w:val="22"/>
        </w:rPr>
        <w:instrText xml:space="preserve"> PAGEREF _Toc20640 </w:instrText>
      </w:r>
      <w:r>
        <w:rPr>
          <w:color w:val="auto"/>
          <w:sz w:val="22"/>
          <w:szCs w:val="22"/>
        </w:rPr>
        <w:fldChar w:fldCharType="separate"/>
      </w:r>
      <w:r>
        <w:rPr>
          <w:color w:val="auto"/>
          <w:sz w:val="22"/>
          <w:szCs w:val="22"/>
        </w:rPr>
        <w:t>3</w:t>
      </w:r>
      <w:r>
        <w:rPr>
          <w:color w:val="auto"/>
          <w:sz w:val="22"/>
          <w:szCs w:val="22"/>
        </w:rPr>
        <w:fldChar w:fldCharType="end"/>
      </w:r>
      <w:r>
        <w:rPr>
          <w:color w:val="auto"/>
          <w:sz w:val="22"/>
          <w:szCs w:val="22"/>
        </w:rPr>
        <w:fldChar w:fldCharType="end"/>
      </w:r>
    </w:p>
    <w:p>
      <w:pPr>
        <w:pStyle w:val="20"/>
        <w:tabs>
          <w:tab w:val="right" w:leader="dot" w:pos="9202"/>
        </w:tabs>
        <w:rPr>
          <w:color w:val="auto"/>
          <w:sz w:val="22"/>
          <w:szCs w:val="22"/>
        </w:rPr>
      </w:pPr>
      <w:r>
        <w:rPr>
          <w:color w:val="auto"/>
        </w:rPr>
        <w:fldChar w:fldCharType="begin"/>
      </w:r>
      <w:r>
        <w:rPr>
          <w:color w:val="auto"/>
        </w:rPr>
        <w:instrText xml:space="preserve"> HYPERLINK \l "_Toc11728" </w:instrText>
      </w:r>
      <w:r>
        <w:rPr>
          <w:color w:val="auto"/>
        </w:rPr>
        <w:fldChar w:fldCharType="separate"/>
      </w:r>
      <w:r>
        <w:rPr>
          <w:rFonts w:hint="eastAsia" w:ascii="宋体" w:hAnsi="宋体" w:cs="宋体"/>
          <w:color w:val="auto"/>
          <w:sz w:val="22"/>
          <w:szCs w:val="22"/>
        </w:rPr>
        <w:t>第二部分 投标人须知</w:t>
      </w:r>
      <w:r>
        <w:rPr>
          <w:color w:val="auto"/>
          <w:sz w:val="22"/>
          <w:szCs w:val="22"/>
        </w:rPr>
        <w:tab/>
      </w:r>
      <w:r>
        <w:rPr>
          <w:color w:val="auto"/>
          <w:sz w:val="22"/>
          <w:szCs w:val="22"/>
        </w:rPr>
        <w:fldChar w:fldCharType="begin"/>
      </w:r>
      <w:r>
        <w:rPr>
          <w:color w:val="auto"/>
          <w:sz w:val="22"/>
          <w:szCs w:val="22"/>
        </w:rPr>
        <w:instrText xml:space="preserve"> PAGEREF _Toc11728 </w:instrText>
      </w:r>
      <w:r>
        <w:rPr>
          <w:color w:val="auto"/>
          <w:sz w:val="22"/>
          <w:szCs w:val="22"/>
        </w:rPr>
        <w:fldChar w:fldCharType="separate"/>
      </w:r>
      <w:r>
        <w:rPr>
          <w:color w:val="auto"/>
          <w:sz w:val="22"/>
          <w:szCs w:val="22"/>
        </w:rPr>
        <w:t>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"_Toc22875" </w:instrText>
      </w:r>
      <w:r>
        <w:rPr>
          <w:color w:val="auto"/>
        </w:rPr>
        <w:fldChar w:fldCharType="separate"/>
      </w:r>
      <w:r>
        <w:rPr>
          <w:rFonts w:hint="eastAsia" w:ascii="宋体" w:hAnsi="宋体" w:cs="宋体"/>
          <w:color w:val="auto"/>
          <w:sz w:val="22"/>
          <w:szCs w:val="22"/>
        </w:rPr>
        <w:t>一、总则</w:t>
      </w:r>
      <w:r>
        <w:rPr>
          <w:color w:val="auto"/>
          <w:sz w:val="22"/>
          <w:szCs w:val="22"/>
        </w:rPr>
        <w:tab/>
      </w:r>
      <w:r>
        <w:rPr>
          <w:color w:val="auto"/>
          <w:sz w:val="22"/>
          <w:szCs w:val="22"/>
        </w:rPr>
        <w:fldChar w:fldCharType="begin"/>
      </w:r>
      <w:r>
        <w:rPr>
          <w:color w:val="auto"/>
          <w:sz w:val="22"/>
          <w:szCs w:val="22"/>
        </w:rPr>
        <w:instrText xml:space="preserve"> PAGEREF _Toc22875 </w:instrText>
      </w:r>
      <w:r>
        <w:rPr>
          <w:color w:val="auto"/>
          <w:sz w:val="22"/>
          <w:szCs w:val="22"/>
        </w:rPr>
        <w:fldChar w:fldCharType="separate"/>
      </w:r>
      <w:r>
        <w:rPr>
          <w:color w:val="auto"/>
          <w:sz w:val="22"/>
          <w:szCs w:val="22"/>
        </w:rPr>
        <w:t>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"_Toc11351" </w:instrText>
      </w:r>
      <w:r>
        <w:rPr>
          <w:color w:val="auto"/>
        </w:rPr>
        <w:fldChar w:fldCharType="separate"/>
      </w:r>
      <w:r>
        <w:rPr>
          <w:rFonts w:hint="eastAsia" w:ascii="宋体" w:hAnsi="宋体" w:cs="宋体"/>
          <w:color w:val="auto"/>
          <w:sz w:val="22"/>
          <w:szCs w:val="22"/>
        </w:rPr>
        <w:t>二、招标文件</w:t>
      </w:r>
      <w:r>
        <w:rPr>
          <w:color w:val="auto"/>
          <w:sz w:val="22"/>
          <w:szCs w:val="22"/>
        </w:rPr>
        <w:tab/>
      </w:r>
      <w:r>
        <w:rPr>
          <w:color w:val="auto"/>
          <w:sz w:val="22"/>
          <w:szCs w:val="22"/>
        </w:rPr>
        <w:fldChar w:fldCharType="begin"/>
      </w:r>
      <w:r>
        <w:rPr>
          <w:color w:val="auto"/>
          <w:sz w:val="22"/>
          <w:szCs w:val="22"/>
        </w:rPr>
        <w:instrText xml:space="preserve"> PAGEREF _Toc11351 </w:instrText>
      </w:r>
      <w:r>
        <w:rPr>
          <w:color w:val="auto"/>
          <w:sz w:val="22"/>
          <w:szCs w:val="22"/>
        </w:rPr>
        <w:fldChar w:fldCharType="separate"/>
      </w:r>
      <w:r>
        <w:rPr>
          <w:color w:val="auto"/>
          <w:sz w:val="22"/>
          <w:szCs w:val="22"/>
        </w:rPr>
        <w:t>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"_Toc5560" </w:instrText>
      </w:r>
      <w:r>
        <w:rPr>
          <w:color w:val="auto"/>
        </w:rPr>
        <w:fldChar w:fldCharType="separate"/>
      </w:r>
      <w:r>
        <w:rPr>
          <w:rFonts w:hint="eastAsia" w:ascii="宋体" w:hAnsi="宋体" w:cs="宋体"/>
          <w:color w:val="auto"/>
          <w:sz w:val="22"/>
          <w:szCs w:val="22"/>
        </w:rPr>
        <w:t>三、投标文件的编制</w:t>
      </w:r>
      <w:r>
        <w:rPr>
          <w:color w:val="auto"/>
          <w:sz w:val="22"/>
          <w:szCs w:val="22"/>
        </w:rPr>
        <w:tab/>
      </w:r>
      <w:r>
        <w:rPr>
          <w:color w:val="auto"/>
          <w:sz w:val="22"/>
          <w:szCs w:val="22"/>
        </w:rPr>
        <w:fldChar w:fldCharType="begin"/>
      </w:r>
      <w:r>
        <w:rPr>
          <w:color w:val="auto"/>
          <w:sz w:val="22"/>
          <w:szCs w:val="22"/>
        </w:rPr>
        <w:instrText xml:space="preserve"> PAGEREF _Toc5560 </w:instrText>
      </w:r>
      <w:r>
        <w:rPr>
          <w:color w:val="auto"/>
          <w:sz w:val="22"/>
          <w:szCs w:val="22"/>
        </w:rPr>
        <w:fldChar w:fldCharType="separate"/>
      </w:r>
      <w:r>
        <w:rPr>
          <w:color w:val="auto"/>
          <w:sz w:val="22"/>
          <w:szCs w:val="22"/>
        </w:rPr>
        <w:t>10</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"_Toc18701" </w:instrText>
      </w:r>
      <w:r>
        <w:rPr>
          <w:color w:val="auto"/>
        </w:rPr>
        <w:fldChar w:fldCharType="separate"/>
      </w:r>
      <w:r>
        <w:rPr>
          <w:rFonts w:hint="eastAsia" w:ascii="宋体" w:hAnsi="宋体" w:cs="宋体"/>
          <w:color w:val="auto"/>
          <w:sz w:val="22"/>
          <w:szCs w:val="22"/>
        </w:rPr>
        <w:t>四、投标文件的递交</w:t>
      </w:r>
      <w:r>
        <w:rPr>
          <w:color w:val="auto"/>
          <w:sz w:val="22"/>
          <w:szCs w:val="22"/>
        </w:rPr>
        <w:tab/>
      </w:r>
      <w:r>
        <w:rPr>
          <w:color w:val="auto"/>
          <w:sz w:val="22"/>
          <w:szCs w:val="22"/>
        </w:rPr>
        <w:fldChar w:fldCharType="begin"/>
      </w:r>
      <w:r>
        <w:rPr>
          <w:color w:val="auto"/>
          <w:sz w:val="22"/>
          <w:szCs w:val="22"/>
        </w:rPr>
        <w:instrText xml:space="preserve"> PAGEREF _Toc18701 </w:instrText>
      </w:r>
      <w:r>
        <w:rPr>
          <w:color w:val="auto"/>
          <w:sz w:val="22"/>
          <w:szCs w:val="22"/>
        </w:rPr>
        <w:fldChar w:fldCharType="separate"/>
      </w:r>
      <w:r>
        <w:rPr>
          <w:color w:val="auto"/>
          <w:sz w:val="22"/>
          <w:szCs w:val="22"/>
        </w:rPr>
        <w:t>13</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"_Toc23895" </w:instrText>
      </w:r>
      <w:r>
        <w:rPr>
          <w:color w:val="auto"/>
        </w:rPr>
        <w:fldChar w:fldCharType="separate"/>
      </w:r>
      <w:r>
        <w:rPr>
          <w:rFonts w:hint="eastAsia" w:ascii="宋体" w:hAnsi="宋体" w:cs="宋体"/>
          <w:color w:val="auto"/>
          <w:sz w:val="22"/>
          <w:szCs w:val="22"/>
        </w:rPr>
        <w:t>五、开标</w:t>
      </w:r>
      <w:r>
        <w:rPr>
          <w:color w:val="auto"/>
          <w:sz w:val="22"/>
          <w:szCs w:val="22"/>
        </w:rPr>
        <w:tab/>
      </w:r>
      <w:r>
        <w:rPr>
          <w:color w:val="auto"/>
          <w:sz w:val="22"/>
          <w:szCs w:val="22"/>
        </w:rPr>
        <w:fldChar w:fldCharType="begin"/>
      </w:r>
      <w:r>
        <w:rPr>
          <w:color w:val="auto"/>
          <w:sz w:val="22"/>
          <w:szCs w:val="22"/>
        </w:rPr>
        <w:instrText xml:space="preserve"> PAGEREF _Toc23895 </w:instrText>
      </w:r>
      <w:r>
        <w:rPr>
          <w:color w:val="auto"/>
          <w:sz w:val="22"/>
          <w:szCs w:val="22"/>
        </w:rPr>
        <w:fldChar w:fldCharType="separate"/>
      </w:r>
      <w:r>
        <w:rPr>
          <w:color w:val="auto"/>
          <w:sz w:val="22"/>
          <w:szCs w:val="22"/>
        </w:rPr>
        <w:t>14</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"_Toc24459" </w:instrText>
      </w:r>
      <w:r>
        <w:rPr>
          <w:color w:val="auto"/>
        </w:rPr>
        <w:fldChar w:fldCharType="separate"/>
      </w:r>
      <w:r>
        <w:rPr>
          <w:rFonts w:hint="eastAsia" w:ascii="宋体" w:hAnsi="宋体" w:cs="宋体"/>
          <w:color w:val="auto"/>
          <w:sz w:val="22"/>
          <w:szCs w:val="22"/>
        </w:rPr>
        <w:t>六、评标</w:t>
      </w:r>
      <w:r>
        <w:rPr>
          <w:color w:val="auto"/>
          <w:sz w:val="22"/>
          <w:szCs w:val="22"/>
        </w:rPr>
        <w:tab/>
      </w:r>
      <w:r>
        <w:rPr>
          <w:color w:val="auto"/>
          <w:sz w:val="22"/>
          <w:szCs w:val="22"/>
        </w:rPr>
        <w:fldChar w:fldCharType="begin"/>
      </w:r>
      <w:r>
        <w:rPr>
          <w:color w:val="auto"/>
          <w:sz w:val="22"/>
          <w:szCs w:val="22"/>
        </w:rPr>
        <w:instrText xml:space="preserve"> PAGEREF _Toc24459 </w:instrText>
      </w:r>
      <w:r>
        <w:rPr>
          <w:color w:val="auto"/>
          <w:sz w:val="22"/>
          <w:szCs w:val="22"/>
        </w:rPr>
        <w:fldChar w:fldCharType="separate"/>
      </w:r>
      <w:r>
        <w:rPr>
          <w:color w:val="auto"/>
          <w:sz w:val="22"/>
          <w:szCs w:val="22"/>
        </w:rPr>
        <w:t>15</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"_Toc32230" </w:instrText>
      </w:r>
      <w:r>
        <w:rPr>
          <w:color w:val="auto"/>
        </w:rPr>
        <w:fldChar w:fldCharType="separate"/>
      </w:r>
      <w:r>
        <w:rPr>
          <w:rFonts w:hint="eastAsia" w:ascii="宋体" w:hAnsi="宋体" w:cs="宋体"/>
          <w:color w:val="auto"/>
          <w:sz w:val="22"/>
          <w:szCs w:val="22"/>
        </w:rPr>
        <w:t>七、定标</w:t>
      </w:r>
      <w:r>
        <w:rPr>
          <w:color w:val="auto"/>
          <w:sz w:val="22"/>
          <w:szCs w:val="22"/>
        </w:rPr>
        <w:tab/>
      </w:r>
      <w:r>
        <w:rPr>
          <w:color w:val="auto"/>
          <w:sz w:val="22"/>
          <w:szCs w:val="22"/>
        </w:rPr>
        <w:fldChar w:fldCharType="begin"/>
      </w:r>
      <w:r>
        <w:rPr>
          <w:color w:val="auto"/>
          <w:sz w:val="22"/>
          <w:szCs w:val="22"/>
        </w:rPr>
        <w:instrText xml:space="preserve"> PAGEREF _Toc32230 </w:instrText>
      </w:r>
      <w:r>
        <w:rPr>
          <w:color w:val="auto"/>
          <w:sz w:val="22"/>
          <w:szCs w:val="22"/>
        </w:rPr>
        <w:fldChar w:fldCharType="separate"/>
      </w:r>
      <w:r>
        <w:rPr>
          <w:color w:val="auto"/>
          <w:sz w:val="22"/>
          <w:szCs w:val="22"/>
        </w:rPr>
        <w:t>18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"_Toc19807" </w:instrText>
      </w:r>
      <w:r>
        <w:rPr>
          <w:color w:val="auto"/>
        </w:rPr>
        <w:fldChar w:fldCharType="separate"/>
      </w:r>
      <w:r>
        <w:rPr>
          <w:rFonts w:hint="eastAsia" w:ascii="宋体" w:hAnsi="宋体" w:cs="宋体"/>
          <w:color w:val="auto"/>
          <w:sz w:val="22"/>
          <w:szCs w:val="22"/>
        </w:rPr>
        <w:t>八、合同签订及其他</w:t>
      </w:r>
      <w:r>
        <w:rPr>
          <w:color w:val="auto"/>
          <w:sz w:val="22"/>
          <w:szCs w:val="22"/>
        </w:rPr>
        <w:tab/>
      </w:r>
      <w:r>
        <w:rPr>
          <w:color w:val="auto"/>
          <w:sz w:val="22"/>
          <w:szCs w:val="22"/>
        </w:rPr>
        <w:fldChar w:fldCharType="begin"/>
      </w:r>
      <w:r>
        <w:rPr>
          <w:color w:val="auto"/>
          <w:sz w:val="22"/>
          <w:szCs w:val="22"/>
        </w:rPr>
        <w:instrText xml:space="preserve"> PAGEREF _Toc19807 </w:instrText>
      </w:r>
      <w:r>
        <w:rPr>
          <w:color w:val="auto"/>
          <w:sz w:val="22"/>
          <w:szCs w:val="22"/>
        </w:rPr>
        <w:fldChar w:fldCharType="separate"/>
      </w:r>
      <w:r>
        <w:rPr>
          <w:color w:val="auto"/>
          <w:sz w:val="22"/>
          <w:szCs w:val="22"/>
        </w:rPr>
        <w:t>18</w:t>
      </w:r>
      <w:r>
        <w:rPr>
          <w:color w:val="auto"/>
          <w:sz w:val="22"/>
          <w:szCs w:val="22"/>
        </w:rPr>
        <w:fldChar w:fldCharType="end"/>
      </w:r>
      <w:r>
        <w:rPr>
          <w:color w:val="auto"/>
          <w:sz w:val="22"/>
          <w:szCs w:val="22"/>
        </w:rPr>
        <w:fldChar w:fldCharType="end"/>
      </w:r>
    </w:p>
    <w:p>
      <w:pPr>
        <w:pStyle w:val="20"/>
        <w:tabs>
          <w:tab w:val="right" w:leader="dot" w:pos="9202"/>
        </w:tabs>
        <w:rPr>
          <w:color w:val="auto"/>
          <w:sz w:val="22"/>
          <w:szCs w:val="22"/>
        </w:rPr>
      </w:pPr>
      <w:r>
        <w:rPr>
          <w:color w:val="auto"/>
        </w:rPr>
        <w:fldChar w:fldCharType="begin"/>
      </w:r>
      <w:r>
        <w:rPr>
          <w:color w:val="auto"/>
        </w:rPr>
        <w:instrText xml:space="preserve"> HYPERLINK \l "_Toc21257" </w:instrText>
      </w:r>
      <w:r>
        <w:rPr>
          <w:color w:val="auto"/>
        </w:rPr>
        <w:fldChar w:fldCharType="separate"/>
      </w:r>
      <w:r>
        <w:rPr>
          <w:rFonts w:hint="eastAsia" w:ascii="宋体" w:hAnsi="宋体" w:cs="宋体"/>
          <w:color w:val="auto"/>
          <w:sz w:val="22"/>
          <w:szCs w:val="22"/>
        </w:rPr>
        <w:t>第三部分 采购需求</w:t>
      </w:r>
      <w:r>
        <w:rPr>
          <w:color w:val="auto"/>
          <w:sz w:val="22"/>
          <w:szCs w:val="22"/>
        </w:rPr>
        <w:tab/>
      </w:r>
      <w:r>
        <w:rPr>
          <w:color w:val="auto"/>
          <w:sz w:val="22"/>
          <w:szCs w:val="22"/>
        </w:rPr>
        <w:fldChar w:fldCharType="begin"/>
      </w:r>
      <w:r>
        <w:rPr>
          <w:color w:val="auto"/>
          <w:sz w:val="22"/>
          <w:szCs w:val="22"/>
        </w:rPr>
        <w:instrText xml:space="preserve"> PAGEREF _Toc21257 </w:instrText>
      </w:r>
      <w:r>
        <w:rPr>
          <w:color w:val="auto"/>
          <w:sz w:val="22"/>
          <w:szCs w:val="22"/>
        </w:rPr>
        <w:fldChar w:fldCharType="separate"/>
      </w:r>
      <w:r>
        <w:rPr>
          <w:color w:val="auto"/>
          <w:sz w:val="22"/>
          <w:szCs w:val="22"/>
        </w:rPr>
        <w:t>21</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"_Toc19132" </w:instrText>
      </w:r>
      <w:r>
        <w:rPr>
          <w:color w:val="auto"/>
        </w:rPr>
        <w:fldChar w:fldCharType="separate"/>
      </w:r>
      <w:r>
        <w:rPr>
          <w:rFonts w:hint="eastAsia" w:ascii="宋体" w:hAnsi="宋体" w:cs="宋体"/>
          <w:color w:val="auto"/>
          <w:sz w:val="22"/>
          <w:szCs w:val="22"/>
        </w:rPr>
        <w:t>一、招标需求</w:t>
      </w:r>
      <w:r>
        <w:rPr>
          <w:color w:val="auto"/>
          <w:sz w:val="22"/>
          <w:szCs w:val="22"/>
        </w:rPr>
        <w:tab/>
      </w:r>
      <w:r>
        <w:rPr>
          <w:color w:val="auto"/>
          <w:sz w:val="22"/>
          <w:szCs w:val="22"/>
        </w:rPr>
        <w:fldChar w:fldCharType="begin"/>
      </w:r>
      <w:r>
        <w:rPr>
          <w:color w:val="auto"/>
          <w:sz w:val="22"/>
          <w:szCs w:val="22"/>
        </w:rPr>
        <w:instrText xml:space="preserve"> PAGEREF _Toc19132 </w:instrText>
      </w:r>
      <w:r>
        <w:rPr>
          <w:color w:val="auto"/>
          <w:sz w:val="22"/>
          <w:szCs w:val="22"/>
        </w:rPr>
        <w:fldChar w:fldCharType="separate"/>
      </w:r>
      <w:r>
        <w:rPr>
          <w:color w:val="auto"/>
          <w:sz w:val="22"/>
          <w:szCs w:val="22"/>
        </w:rPr>
        <w:t>21</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"_Toc23228" </w:instrText>
      </w:r>
      <w:r>
        <w:rPr>
          <w:color w:val="auto"/>
        </w:rPr>
        <w:fldChar w:fldCharType="separate"/>
      </w:r>
      <w:r>
        <w:rPr>
          <w:rFonts w:hint="eastAsia" w:ascii="宋体" w:hAnsi="宋体" w:cs="宋体"/>
          <w:color w:val="auto"/>
          <w:sz w:val="22"/>
          <w:szCs w:val="22"/>
        </w:rPr>
        <w:t>二、承检项目实施办法</w:t>
      </w:r>
      <w:r>
        <w:rPr>
          <w:color w:val="auto"/>
          <w:sz w:val="22"/>
          <w:szCs w:val="22"/>
        </w:rPr>
        <w:tab/>
      </w:r>
      <w:bookmarkStart w:id="79" w:name="_GoBack"/>
      <w:bookmarkEnd w:id="79"/>
      <w:r>
        <w:rPr>
          <w:color w:val="auto"/>
          <w:sz w:val="22"/>
          <w:szCs w:val="22"/>
        </w:rPr>
        <w:fldChar w:fldCharType="begin"/>
      </w:r>
      <w:r>
        <w:rPr>
          <w:color w:val="auto"/>
          <w:sz w:val="22"/>
          <w:szCs w:val="22"/>
        </w:rPr>
        <w:instrText xml:space="preserve"> PAGEREF _Toc23228 </w:instrText>
      </w:r>
      <w:r>
        <w:rPr>
          <w:color w:val="auto"/>
          <w:sz w:val="22"/>
          <w:szCs w:val="22"/>
        </w:rPr>
        <w:fldChar w:fldCharType="separate"/>
      </w:r>
      <w:r>
        <w:rPr>
          <w:color w:val="auto"/>
          <w:sz w:val="22"/>
          <w:szCs w:val="22"/>
        </w:rPr>
        <w:t>29</w:t>
      </w:r>
      <w:r>
        <w:rPr>
          <w:color w:val="auto"/>
          <w:sz w:val="22"/>
          <w:szCs w:val="22"/>
        </w:rPr>
        <w:fldChar w:fldCharType="end"/>
      </w:r>
      <w:r>
        <w:rPr>
          <w:color w:val="auto"/>
          <w:sz w:val="22"/>
          <w:szCs w:val="22"/>
        </w:rPr>
        <w:fldChar w:fldCharType="end"/>
      </w:r>
    </w:p>
    <w:p>
      <w:pPr>
        <w:pStyle w:val="20"/>
        <w:tabs>
          <w:tab w:val="right" w:leader="dot" w:pos="9202"/>
        </w:tabs>
        <w:rPr>
          <w:color w:val="auto"/>
          <w:sz w:val="22"/>
          <w:szCs w:val="22"/>
        </w:rPr>
      </w:pPr>
      <w:r>
        <w:rPr>
          <w:color w:val="auto"/>
        </w:rPr>
        <w:fldChar w:fldCharType="begin"/>
      </w:r>
      <w:r>
        <w:rPr>
          <w:color w:val="auto"/>
        </w:rPr>
        <w:instrText xml:space="preserve"> HYPERLINK \l "_Toc20963" </w:instrText>
      </w:r>
      <w:r>
        <w:rPr>
          <w:color w:val="auto"/>
        </w:rPr>
        <w:fldChar w:fldCharType="separate"/>
      </w:r>
      <w:r>
        <w:rPr>
          <w:rFonts w:hint="eastAsia"/>
          <w:color w:val="auto"/>
          <w:sz w:val="22"/>
          <w:szCs w:val="28"/>
        </w:rPr>
        <w:t>第四部分 评标办法及标准</w:t>
      </w:r>
      <w:r>
        <w:rPr>
          <w:color w:val="auto"/>
          <w:sz w:val="22"/>
          <w:szCs w:val="22"/>
        </w:rPr>
        <w:tab/>
      </w:r>
      <w:r>
        <w:rPr>
          <w:color w:val="auto"/>
          <w:sz w:val="22"/>
          <w:szCs w:val="22"/>
        </w:rPr>
        <w:fldChar w:fldCharType="begin"/>
      </w:r>
      <w:r>
        <w:rPr>
          <w:color w:val="auto"/>
          <w:sz w:val="22"/>
          <w:szCs w:val="22"/>
        </w:rPr>
        <w:instrText xml:space="preserve"> PAGEREF _Toc20963 </w:instrText>
      </w:r>
      <w:r>
        <w:rPr>
          <w:color w:val="auto"/>
          <w:sz w:val="22"/>
          <w:szCs w:val="22"/>
        </w:rPr>
        <w:fldChar w:fldCharType="separate"/>
      </w:r>
      <w:r>
        <w:rPr>
          <w:color w:val="auto"/>
          <w:sz w:val="22"/>
          <w:szCs w:val="22"/>
        </w:rPr>
        <w:t>35</w:t>
      </w:r>
      <w:r>
        <w:rPr>
          <w:color w:val="auto"/>
          <w:sz w:val="22"/>
          <w:szCs w:val="22"/>
        </w:rPr>
        <w:fldChar w:fldCharType="end"/>
      </w:r>
      <w:r>
        <w:rPr>
          <w:color w:val="auto"/>
          <w:sz w:val="22"/>
          <w:szCs w:val="22"/>
        </w:rPr>
        <w:fldChar w:fldCharType="end"/>
      </w:r>
    </w:p>
    <w:p>
      <w:pPr>
        <w:pStyle w:val="20"/>
        <w:tabs>
          <w:tab w:val="right" w:leader="dot" w:pos="9202"/>
        </w:tabs>
        <w:rPr>
          <w:color w:val="auto"/>
          <w:sz w:val="22"/>
          <w:szCs w:val="22"/>
        </w:rPr>
      </w:pPr>
      <w:r>
        <w:rPr>
          <w:color w:val="auto"/>
        </w:rPr>
        <w:fldChar w:fldCharType="begin"/>
      </w:r>
      <w:r>
        <w:rPr>
          <w:color w:val="auto"/>
        </w:rPr>
        <w:instrText xml:space="preserve"> HYPERLINK \l "_Toc4521" </w:instrText>
      </w:r>
      <w:r>
        <w:rPr>
          <w:color w:val="auto"/>
        </w:rPr>
        <w:fldChar w:fldCharType="separate"/>
      </w:r>
      <w:r>
        <w:rPr>
          <w:rFonts w:hint="eastAsia" w:ascii="宋体" w:hAnsi="宋体" w:cs="宋体"/>
          <w:color w:val="auto"/>
          <w:sz w:val="22"/>
          <w:szCs w:val="22"/>
        </w:rPr>
        <w:t>第五部分投标文件格式</w:t>
      </w:r>
      <w:r>
        <w:rPr>
          <w:color w:val="auto"/>
          <w:sz w:val="22"/>
          <w:szCs w:val="22"/>
        </w:rPr>
        <w:tab/>
      </w:r>
      <w:r>
        <w:rPr>
          <w:color w:val="auto"/>
          <w:sz w:val="22"/>
          <w:szCs w:val="22"/>
        </w:rPr>
        <w:fldChar w:fldCharType="begin"/>
      </w:r>
      <w:r>
        <w:rPr>
          <w:color w:val="auto"/>
          <w:sz w:val="22"/>
          <w:szCs w:val="22"/>
        </w:rPr>
        <w:instrText xml:space="preserve"> PAGEREF _Toc4521 </w:instrText>
      </w:r>
      <w:r>
        <w:rPr>
          <w:color w:val="auto"/>
          <w:sz w:val="22"/>
          <w:szCs w:val="22"/>
        </w:rPr>
        <w:fldChar w:fldCharType="separate"/>
      </w:r>
      <w:r>
        <w:rPr>
          <w:color w:val="auto"/>
          <w:sz w:val="22"/>
          <w:szCs w:val="22"/>
        </w:rPr>
        <w:t>38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"_Toc21142" </w:instrText>
      </w:r>
      <w:r>
        <w:rPr>
          <w:color w:val="auto"/>
        </w:rPr>
        <w:fldChar w:fldCharType="separate"/>
      </w:r>
      <w:r>
        <w:rPr>
          <w:rFonts w:hint="eastAsia"/>
          <w:color w:val="auto"/>
          <w:sz w:val="22"/>
          <w:szCs w:val="22"/>
        </w:rPr>
        <w:t>一、评分索引表</w:t>
      </w:r>
      <w:r>
        <w:rPr>
          <w:color w:val="auto"/>
          <w:sz w:val="22"/>
          <w:szCs w:val="22"/>
        </w:rPr>
        <w:tab/>
      </w:r>
      <w:r>
        <w:rPr>
          <w:color w:val="auto"/>
          <w:sz w:val="22"/>
          <w:szCs w:val="22"/>
        </w:rPr>
        <w:fldChar w:fldCharType="begin"/>
      </w:r>
      <w:r>
        <w:rPr>
          <w:color w:val="auto"/>
          <w:sz w:val="22"/>
          <w:szCs w:val="22"/>
        </w:rPr>
        <w:instrText xml:space="preserve"> PAGEREF _Toc21142 </w:instrText>
      </w:r>
      <w:r>
        <w:rPr>
          <w:color w:val="auto"/>
          <w:sz w:val="22"/>
          <w:szCs w:val="22"/>
        </w:rPr>
        <w:fldChar w:fldCharType="separate"/>
      </w:r>
      <w:r>
        <w:rPr>
          <w:color w:val="auto"/>
          <w:sz w:val="22"/>
          <w:szCs w:val="22"/>
        </w:rPr>
        <w:t>38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"_Toc32578" </w:instrText>
      </w:r>
      <w:r>
        <w:rPr>
          <w:color w:val="auto"/>
        </w:rPr>
        <w:fldChar w:fldCharType="separate"/>
      </w:r>
      <w:r>
        <w:rPr>
          <w:rFonts w:hint="eastAsia"/>
          <w:color w:val="auto"/>
          <w:sz w:val="22"/>
          <w:szCs w:val="22"/>
        </w:rPr>
        <w:t>二、资格性和符合性检查响应对照表</w:t>
      </w:r>
      <w:r>
        <w:rPr>
          <w:color w:val="auto"/>
          <w:sz w:val="22"/>
          <w:szCs w:val="22"/>
        </w:rPr>
        <w:tab/>
      </w:r>
      <w:r>
        <w:rPr>
          <w:color w:val="auto"/>
          <w:sz w:val="22"/>
          <w:szCs w:val="22"/>
        </w:rPr>
        <w:fldChar w:fldCharType="begin"/>
      </w:r>
      <w:r>
        <w:rPr>
          <w:color w:val="auto"/>
          <w:sz w:val="22"/>
          <w:szCs w:val="22"/>
        </w:rPr>
        <w:instrText xml:space="preserve"> PAGEREF _Toc32578 </w:instrText>
      </w:r>
      <w:r>
        <w:rPr>
          <w:color w:val="auto"/>
          <w:sz w:val="22"/>
          <w:szCs w:val="22"/>
        </w:rPr>
        <w:fldChar w:fldCharType="separate"/>
      </w:r>
      <w:r>
        <w:rPr>
          <w:color w:val="auto"/>
          <w:sz w:val="22"/>
          <w:szCs w:val="22"/>
        </w:rPr>
        <w:t>39</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"_Toc6735" </w:instrText>
      </w:r>
      <w:r>
        <w:rPr>
          <w:color w:val="auto"/>
        </w:rPr>
        <w:fldChar w:fldCharType="separate"/>
      </w:r>
      <w:r>
        <w:rPr>
          <w:rFonts w:hint="eastAsia"/>
          <w:color w:val="auto"/>
          <w:sz w:val="22"/>
          <w:szCs w:val="22"/>
        </w:rPr>
        <w:t>三、投标函</w:t>
      </w:r>
      <w:r>
        <w:rPr>
          <w:color w:val="auto"/>
          <w:sz w:val="22"/>
          <w:szCs w:val="22"/>
        </w:rPr>
        <w:tab/>
      </w:r>
      <w:r>
        <w:rPr>
          <w:color w:val="auto"/>
          <w:sz w:val="22"/>
          <w:szCs w:val="22"/>
        </w:rPr>
        <w:fldChar w:fldCharType="begin"/>
      </w:r>
      <w:r>
        <w:rPr>
          <w:color w:val="auto"/>
          <w:sz w:val="22"/>
          <w:szCs w:val="22"/>
        </w:rPr>
        <w:instrText xml:space="preserve"> PAGEREF _Toc6735 </w:instrText>
      </w:r>
      <w:r>
        <w:rPr>
          <w:color w:val="auto"/>
          <w:sz w:val="22"/>
          <w:szCs w:val="22"/>
        </w:rPr>
        <w:fldChar w:fldCharType="separate"/>
      </w:r>
      <w:r>
        <w:rPr>
          <w:color w:val="auto"/>
          <w:sz w:val="22"/>
          <w:szCs w:val="22"/>
        </w:rPr>
        <w:t>40</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"_Toc22438" </w:instrText>
      </w:r>
      <w:r>
        <w:rPr>
          <w:color w:val="auto"/>
        </w:rPr>
        <w:fldChar w:fldCharType="separate"/>
      </w:r>
      <w:r>
        <w:rPr>
          <w:rFonts w:hint="eastAsia"/>
          <w:color w:val="auto"/>
          <w:sz w:val="22"/>
          <w:szCs w:val="22"/>
        </w:rPr>
        <w:t>四、投标报价明细表</w:t>
      </w:r>
      <w:r>
        <w:rPr>
          <w:color w:val="auto"/>
          <w:sz w:val="22"/>
          <w:szCs w:val="22"/>
        </w:rPr>
        <w:tab/>
      </w:r>
      <w:r>
        <w:rPr>
          <w:color w:val="auto"/>
          <w:sz w:val="22"/>
          <w:szCs w:val="22"/>
        </w:rPr>
        <w:fldChar w:fldCharType="begin"/>
      </w:r>
      <w:r>
        <w:rPr>
          <w:color w:val="auto"/>
          <w:sz w:val="22"/>
          <w:szCs w:val="22"/>
        </w:rPr>
        <w:instrText xml:space="preserve"> PAGEREF _Toc22438 </w:instrText>
      </w:r>
      <w:r>
        <w:rPr>
          <w:color w:val="auto"/>
          <w:sz w:val="22"/>
          <w:szCs w:val="22"/>
        </w:rPr>
        <w:fldChar w:fldCharType="separate"/>
      </w:r>
      <w:r>
        <w:rPr>
          <w:color w:val="auto"/>
          <w:sz w:val="22"/>
          <w:szCs w:val="22"/>
        </w:rPr>
        <w:t>41</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"_Toc24345" </w:instrText>
      </w:r>
      <w:r>
        <w:rPr>
          <w:color w:val="auto"/>
        </w:rPr>
        <w:fldChar w:fldCharType="separate"/>
      </w:r>
      <w:r>
        <w:rPr>
          <w:rFonts w:hint="eastAsia" w:ascii="宋体" w:hAnsi="宋体" w:cs="宋体"/>
          <w:color w:val="auto"/>
          <w:sz w:val="22"/>
          <w:szCs w:val="32"/>
        </w:rPr>
        <w:t>五、法定代表人授权委托书（样式）</w:t>
      </w:r>
      <w:r>
        <w:rPr>
          <w:color w:val="auto"/>
          <w:sz w:val="22"/>
          <w:szCs w:val="22"/>
        </w:rPr>
        <w:tab/>
      </w:r>
      <w:r>
        <w:rPr>
          <w:color w:val="auto"/>
          <w:sz w:val="22"/>
          <w:szCs w:val="22"/>
        </w:rPr>
        <w:fldChar w:fldCharType="begin"/>
      </w:r>
      <w:r>
        <w:rPr>
          <w:color w:val="auto"/>
          <w:sz w:val="22"/>
          <w:szCs w:val="22"/>
        </w:rPr>
        <w:instrText xml:space="preserve"> PAGEREF _Toc24345 </w:instrText>
      </w:r>
      <w:r>
        <w:rPr>
          <w:color w:val="auto"/>
          <w:sz w:val="22"/>
          <w:szCs w:val="22"/>
        </w:rPr>
        <w:fldChar w:fldCharType="separate"/>
      </w:r>
      <w:r>
        <w:rPr>
          <w:color w:val="auto"/>
          <w:sz w:val="22"/>
          <w:szCs w:val="22"/>
        </w:rPr>
        <w:t>43</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"_Toc2446" </w:instrText>
      </w:r>
      <w:r>
        <w:rPr>
          <w:color w:val="auto"/>
        </w:rPr>
        <w:fldChar w:fldCharType="separate"/>
      </w:r>
      <w:r>
        <w:rPr>
          <w:rFonts w:hint="eastAsia" w:ascii="宋体" w:hAnsi="宋体" w:cs="宋体"/>
          <w:color w:val="auto"/>
          <w:sz w:val="22"/>
          <w:szCs w:val="40"/>
        </w:rPr>
        <w:t>六、诚信承诺书</w:t>
      </w:r>
      <w:r>
        <w:rPr>
          <w:color w:val="auto"/>
          <w:sz w:val="22"/>
          <w:szCs w:val="22"/>
        </w:rPr>
        <w:tab/>
      </w:r>
      <w:r>
        <w:rPr>
          <w:color w:val="auto"/>
          <w:sz w:val="22"/>
          <w:szCs w:val="22"/>
        </w:rPr>
        <w:fldChar w:fldCharType="begin"/>
      </w:r>
      <w:r>
        <w:rPr>
          <w:color w:val="auto"/>
          <w:sz w:val="22"/>
          <w:szCs w:val="22"/>
        </w:rPr>
        <w:instrText xml:space="preserve"> PAGEREF _Toc2446 </w:instrText>
      </w:r>
      <w:r>
        <w:rPr>
          <w:color w:val="auto"/>
          <w:sz w:val="22"/>
          <w:szCs w:val="22"/>
        </w:rPr>
        <w:fldChar w:fldCharType="separate"/>
      </w:r>
      <w:r>
        <w:rPr>
          <w:color w:val="auto"/>
          <w:sz w:val="22"/>
          <w:szCs w:val="22"/>
        </w:rPr>
        <w:t>44</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"_Toc2612" </w:instrText>
      </w:r>
      <w:r>
        <w:rPr>
          <w:color w:val="auto"/>
        </w:rPr>
        <w:fldChar w:fldCharType="separate"/>
      </w:r>
      <w:r>
        <w:rPr>
          <w:rFonts w:hint="eastAsia" w:ascii="宋体" w:hAnsi="宋体" w:cs="宋体"/>
          <w:color w:val="auto"/>
          <w:sz w:val="22"/>
          <w:szCs w:val="22"/>
        </w:rPr>
        <w:t>七、投标人基本情况表</w:t>
      </w:r>
      <w:r>
        <w:rPr>
          <w:color w:val="auto"/>
          <w:sz w:val="22"/>
          <w:szCs w:val="22"/>
        </w:rPr>
        <w:tab/>
      </w:r>
      <w:r>
        <w:rPr>
          <w:color w:val="auto"/>
          <w:sz w:val="22"/>
          <w:szCs w:val="22"/>
        </w:rPr>
        <w:fldChar w:fldCharType="begin"/>
      </w:r>
      <w:r>
        <w:rPr>
          <w:color w:val="auto"/>
          <w:sz w:val="22"/>
          <w:szCs w:val="22"/>
        </w:rPr>
        <w:instrText xml:space="preserve"> PAGEREF _Toc2612 </w:instrText>
      </w:r>
      <w:r>
        <w:rPr>
          <w:color w:val="auto"/>
          <w:sz w:val="22"/>
          <w:szCs w:val="22"/>
        </w:rPr>
        <w:fldChar w:fldCharType="separate"/>
      </w:r>
      <w:r>
        <w:rPr>
          <w:color w:val="auto"/>
          <w:sz w:val="22"/>
          <w:szCs w:val="22"/>
        </w:rPr>
        <w:t>45</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"_Toc224" </w:instrText>
      </w:r>
      <w:r>
        <w:rPr>
          <w:color w:val="auto"/>
        </w:rPr>
        <w:fldChar w:fldCharType="separate"/>
      </w:r>
      <w:r>
        <w:rPr>
          <w:rFonts w:hint="eastAsia" w:ascii="宋体" w:hAnsi="宋体" w:cs="宋体"/>
          <w:color w:val="auto"/>
          <w:sz w:val="22"/>
          <w:szCs w:val="22"/>
        </w:rPr>
        <w:t>八、本项目的项目负责人情况表</w:t>
      </w:r>
      <w:r>
        <w:rPr>
          <w:color w:val="auto"/>
          <w:sz w:val="22"/>
          <w:szCs w:val="22"/>
        </w:rPr>
        <w:tab/>
      </w:r>
      <w:r>
        <w:rPr>
          <w:color w:val="auto"/>
          <w:sz w:val="22"/>
          <w:szCs w:val="22"/>
        </w:rPr>
        <w:fldChar w:fldCharType="begin"/>
      </w:r>
      <w:r>
        <w:rPr>
          <w:color w:val="auto"/>
          <w:sz w:val="22"/>
          <w:szCs w:val="22"/>
        </w:rPr>
        <w:instrText xml:space="preserve"> PAGEREF _Toc224 </w:instrText>
      </w:r>
      <w:r>
        <w:rPr>
          <w:color w:val="auto"/>
          <w:sz w:val="22"/>
          <w:szCs w:val="22"/>
        </w:rPr>
        <w:fldChar w:fldCharType="separate"/>
      </w:r>
      <w:r>
        <w:rPr>
          <w:color w:val="auto"/>
          <w:sz w:val="22"/>
          <w:szCs w:val="22"/>
        </w:rPr>
        <w:t>46</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"_Toc2294" </w:instrText>
      </w:r>
      <w:r>
        <w:rPr>
          <w:color w:val="auto"/>
        </w:rPr>
        <w:fldChar w:fldCharType="separate"/>
      </w:r>
      <w:r>
        <w:rPr>
          <w:rFonts w:hint="eastAsia" w:ascii="宋体" w:hAnsi="宋体" w:cs="宋体"/>
          <w:color w:val="auto"/>
          <w:sz w:val="22"/>
          <w:szCs w:val="22"/>
        </w:rPr>
        <w:t>九、本项目的项目小组人员情况表</w:t>
      </w:r>
      <w:r>
        <w:rPr>
          <w:color w:val="auto"/>
          <w:sz w:val="22"/>
          <w:szCs w:val="22"/>
        </w:rPr>
        <w:tab/>
      </w:r>
      <w:r>
        <w:rPr>
          <w:color w:val="auto"/>
          <w:sz w:val="22"/>
          <w:szCs w:val="22"/>
        </w:rPr>
        <w:fldChar w:fldCharType="begin"/>
      </w:r>
      <w:r>
        <w:rPr>
          <w:color w:val="auto"/>
          <w:sz w:val="22"/>
          <w:szCs w:val="22"/>
        </w:rPr>
        <w:instrText xml:space="preserve"> PAGEREF _Toc2294 </w:instrText>
      </w:r>
      <w:r>
        <w:rPr>
          <w:color w:val="auto"/>
          <w:sz w:val="22"/>
          <w:szCs w:val="22"/>
        </w:rPr>
        <w:fldChar w:fldCharType="separate"/>
      </w:r>
      <w:r>
        <w:rPr>
          <w:color w:val="auto"/>
          <w:sz w:val="22"/>
          <w:szCs w:val="22"/>
        </w:rPr>
        <w:t>46</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"_Toc27285" </w:instrText>
      </w:r>
      <w:r>
        <w:rPr>
          <w:color w:val="auto"/>
        </w:rPr>
        <w:fldChar w:fldCharType="separate"/>
      </w:r>
      <w:r>
        <w:rPr>
          <w:rFonts w:hint="eastAsia" w:ascii="宋体" w:hAnsi="宋体" w:cs="宋体"/>
          <w:color w:val="auto"/>
          <w:sz w:val="22"/>
          <w:szCs w:val="22"/>
        </w:rPr>
        <w:t>十、商务偏离表</w:t>
      </w:r>
      <w:r>
        <w:rPr>
          <w:color w:val="auto"/>
          <w:sz w:val="22"/>
          <w:szCs w:val="22"/>
        </w:rPr>
        <w:tab/>
      </w:r>
      <w:r>
        <w:rPr>
          <w:color w:val="auto"/>
          <w:sz w:val="22"/>
          <w:szCs w:val="22"/>
        </w:rPr>
        <w:fldChar w:fldCharType="begin"/>
      </w:r>
      <w:r>
        <w:rPr>
          <w:color w:val="auto"/>
          <w:sz w:val="22"/>
          <w:szCs w:val="22"/>
        </w:rPr>
        <w:instrText xml:space="preserve"> PAGEREF _Toc27285 </w:instrText>
      </w:r>
      <w:r>
        <w:rPr>
          <w:color w:val="auto"/>
          <w:sz w:val="22"/>
          <w:szCs w:val="22"/>
        </w:rPr>
        <w:fldChar w:fldCharType="separate"/>
      </w:r>
      <w:r>
        <w:rPr>
          <w:color w:val="auto"/>
          <w:sz w:val="22"/>
          <w:szCs w:val="22"/>
        </w:rPr>
        <w:t>47</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"_Toc23936" </w:instrText>
      </w:r>
      <w:r>
        <w:rPr>
          <w:color w:val="auto"/>
        </w:rPr>
        <w:fldChar w:fldCharType="separate"/>
      </w:r>
      <w:r>
        <w:rPr>
          <w:rFonts w:hint="eastAsia" w:ascii="宋体" w:hAnsi="宋体" w:cs="宋体"/>
          <w:color w:val="auto"/>
          <w:sz w:val="22"/>
          <w:szCs w:val="22"/>
        </w:rPr>
        <w:t>十一、相关项目实施业绩一览表</w:t>
      </w:r>
      <w:r>
        <w:rPr>
          <w:color w:val="auto"/>
          <w:sz w:val="22"/>
          <w:szCs w:val="22"/>
        </w:rPr>
        <w:tab/>
      </w:r>
      <w:r>
        <w:rPr>
          <w:color w:val="auto"/>
          <w:sz w:val="22"/>
          <w:szCs w:val="22"/>
        </w:rPr>
        <w:fldChar w:fldCharType="begin"/>
      </w:r>
      <w:r>
        <w:rPr>
          <w:color w:val="auto"/>
          <w:sz w:val="22"/>
          <w:szCs w:val="22"/>
        </w:rPr>
        <w:instrText xml:space="preserve"> PAGEREF _Toc23936 </w:instrText>
      </w:r>
      <w:r>
        <w:rPr>
          <w:color w:val="auto"/>
          <w:sz w:val="22"/>
          <w:szCs w:val="22"/>
        </w:rPr>
        <w:fldChar w:fldCharType="separate"/>
      </w:r>
      <w:r>
        <w:rPr>
          <w:color w:val="auto"/>
          <w:sz w:val="22"/>
          <w:szCs w:val="22"/>
        </w:rPr>
        <w:t>47</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"_Toc27927" </w:instrText>
      </w:r>
      <w:r>
        <w:rPr>
          <w:color w:val="auto"/>
        </w:rPr>
        <w:fldChar w:fldCharType="separate"/>
      </w:r>
      <w:r>
        <w:rPr>
          <w:rFonts w:hint="eastAsia" w:ascii="宋体" w:hAnsi="宋体" w:cs="宋体"/>
          <w:color w:val="auto"/>
          <w:sz w:val="22"/>
          <w:szCs w:val="22"/>
        </w:rPr>
        <w:t>十二、技术规范偏离表</w:t>
      </w:r>
      <w:r>
        <w:rPr>
          <w:color w:val="auto"/>
          <w:sz w:val="22"/>
          <w:szCs w:val="22"/>
        </w:rPr>
        <w:tab/>
      </w:r>
      <w:r>
        <w:rPr>
          <w:color w:val="auto"/>
          <w:sz w:val="22"/>
          <w:szCs w:val="22"/>
        </w:rPr>
        <w:fldChar w:fldCharType="begin"/>
      </w:r>
      <w:r>
        <w:rPr>
          <w:color w:val="auto"/>
          <w:sz w:val="22"/>
          <w:szCs w:val="22"/>
        </w:rPr>
        <w:instrText xml:space="preserve"> PAGEREF _Toc27927 </w:instrText>
      </w:r>
      <w:r>
        <w:rPr>
          <w:color w:val="auto"/>
          <w:sz w:val="22"/>
          <w:szCs w:val="22"/>
        </w:rPr>
        <w:fldChar w:fldCharType="separate"/>
      </w:r>
      <w:r>
        <w:rPr>
          <w:color w:val="auto"/>
          <w:sz w:val="22"/>
          <w:szCs w:val="22"/>
        </w:rPr>
        <w:t>48</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"_Toc13884" </w:instrText>
      </w:r>
      <w:r>
        <w:rPr>
          <w:color w:val="auto"/>
        </w:rPr>
        <w:fldChar w:fldCharType="separate"/>
      </w:r>
      <w:r>
        <w:rPr>
          <w:rFonts w:hint="eastAsia" w:ascii="宋体" w:hAnsi="宋体" w:cs="宋体"/>
          <w:color w:val="auto"/>
          <w:sz w:val="22"/>
          <w:szCs w:val="22"/>
        </w:rPr>
        <w:t>十三、检测能力偏离表</w:t>
      </w:r>
      <w:r>
        <w:rPr>
          <w:color w:val="auto"/>
          <w:sz w:val="22"/>
          <w:szCs w:val="22"/>
        </w:rPr>
        <w:tab/>
      </w:r>
      <w:r>
        <w:rPr>
          <w:color w:val="auto"/>
          <w:sz w:val="22"/>
          <w:szCs w:val="22"/>
        </w:rPr>
        <w:fldChar w:fldCharType="begin"/>
      </w:r>
      <w:r>
        <w:rPr>
          <w:color w:val="auto"/>
          <w:sz w:val="22"/>
          <w:szCs w:val="22"/>
        </w:rPr>
        <w:instrText xml:space="preserve"> PAGEREF _Toc13884 </w:instrText>
      </w:r>
      <w:r>
        <w:rPr>
          <w:color w:val="auto"/>
          <w:sz w:val="22"/>
          <w:szCs w:val="22"/>
        </w:rPr>
        <w:fldChar w:fldCharType="separate"/>
      </w:r>
      <w:r>
        <w:rPr>
          <w:color w:val="auto"/>
          <w:sz w:val="22"/>
          <w:szCs w:val="22"/>
        </w:rPr>
        <w:t>49</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"_Toc8257" </w:instrText>
      </w:r>
      <w:r>
        <w:rPr>
          <w:color w:val="auto"/>
        </w:rPr>
        <w:fldChar w:fldCharType="separate"/>
      </w:r>
      <w:r>
        <w:rPr>
          <w:rFonts w:hint="eastAsia" w:ascii="宋体" w:hAnsi="宋体" w:cs="宋体"/>
          <w:color w:val="auto"/>
          <w:sz w:val="22"/>
          <w:szCs w:val="22"/>
        </w:rPr>
        <w:t>十四、投标文件外层包装封面（格式供参考）</w:t>
      </w:r>
      <w:r>
        <w:rPr>
          <w:color w:val="auto"/>
          <w:sz w:val="22"/>
          <w:szCs w:val="22"/>
        </w:rPr>
        <w:tab/>
      </w:r>
      <w:r>
        <w:rPr>
          <w:color w:val="auto"/>
          <w:sz w:val="22"/>
          <w:szCs w:val="22"/>
        </w:rPr>
        <w:fldChar w:fldCharType="begin"/>
      </w:r>
      <w:r>
        <w:rPr>
          <w:color w:val="auto"/>
          <w:sz w:val="22"/>
          <w:szCs w:val="22"/>
        </w:rPr>
        <w:instrText xml:space="preserve"> PAGEREF _Toc8257 </w:instrText>
      </w:r>
      <w:r>
        <w:rPr>
          <w:color w:val="auto"/>
          <w:sz w:val="22"/>
          <w:szCs w:val="22"/>
        </w:rPr>
        <w:fldChar w:fldCharType="separate"/>
      </w:r>
      <w:r>
        <w:rPr>
          <w:color w:val="auto"/>
          <w:sz w:val="22"/>
          <w:szCs w:val="22"/>
        </w:rPr>
        <w:t>51</w:t>
      </w:r>
      <w:r>
        <w:rPr>
          <w:color w:val="auto"/>
          <w:sz w:val="22"/>
          <w:szCs w:val="22"/>
        </w:rPr>
        <w:fldChar w:fldCharType="end"/>
      </w:r>
      <w:r>
        <w:rPr>
          <w:color w:val="auto"/>
          <w:sz w:val="22"/>
          <w:szCs w:val="22"/>
        </w:rPr>
        <w:fldChar w:fldCharType="end"/>
      </w:r>
    </w:p>
    <w:p>
      <w:pPr>
        <w:pStyle w:val="23"/>
        <w:tabs>
          <w:tab w:val="right" w:leader="dot" w:pos="9202"/>
        </w:tabs>
        <w:rPr>
          <w:color w:val="auto"/>
          <w:sz w:val="22"/>
          <w:szCs w:val="22"/>
        </w:rPr>
      </w:pPr>
      <w:r>
        <w:rPr>
          <w:color w:val="auto"/>
        </w:rPr>
        <w:fldChar w:fldCharType="begin"/>
      </w:r>
      <w:r>
        <w:rPr>
          <w:color w:val="auto"/>
        </w:rPr>
        <w:instrText xml:space="preserve"> HYPERLINK \l "_Toc19015" </w:instrText>
      </w:r>
      <w:r>
        <w:rPr>
          <w:color w:val="auto"/>
        </w:rPr>
        <w:fldChar w:fldCharType="separate"/>
      </w:r>
      <w:r>
        <w:rPr>
          <w:rFonts w:hint="eastAsia" w:ascii="宋体" w:hAnsi="宋体" w:cs="宋体"/>
          <w:color w:val="auto"/>
          <w:sz w:val="22"/>
          <w:szCs w:val="22"/>
        </w:rPr>
        <w:t>十五、投标文件封面（格式供参考）</w:t>
      </w:r>
      <w:r>
        <w:rPr>
          <w:color w:val="auto"/>
          <w:sz w:val="22"/>
          <w:szCs w:val="22"/>
        </w:rPr>
        <w:tab/>
      </w:r>
      <w:r>
        <w:rPr>
          <w:color w:val="auto"/>
          <w:sz w:val="22"/>
          <w:szCs w:val="22"/>
        </w:rPr>
        <w:fldChar w:fldCharType="begin"/>
      </w:r>
      <w:r>
        <w:rPr>
          <w:color w:val="auto"/>
          <w:sz w:val="22"/>
          <w:szCs w:val="22"/>
        </w:rPr>
        <w:instrText xml:space="preserve"> PAGEREF _Toc19015 </w:instrText>
      </w:r>
      <w:r>
        <w:rPr>
          <w:color w:val="auto"/>
          <w:sz w:val="22"/>
          <w:szCs w:val="22"/>
        </w:rPr>
        <w:fldChar w:fldCharType="separate"/>
      </w:r>
      <w:r>
        <w:rPr>
          <w:color w:val="auto"/>
          <w:sz w:val="22"/>
          <w:szCs w:val="22"/>
        </w:rPr>
        <w:t>51</w:t>
      </w:r>
      <w:r>
        <w:rPr>
          <w:color w:val="auto"/>
          <w:sz w:val="22"/>
          <w:szCs w:val="22"/>
        </w:rPr>
        <w:fldChar w:fldCharType="end"/>
      </w:r>
      <w:r>
        <w:rPr>
          <w:color w:val="auto"/>
          <w:sz w:val="22"/>
          <w:szCs w:val="22"/>
        </w:rPr>
        <w:fldChar w:fldCharType="end"/>
      </w:r>
    </w:p>
    <w:p>
      <w:pPr>
        <w:pStyle w:val="20"/>
        <w:tabs>
          <w:tab w:val="right" w:leader="dot" w:pos="9202"/>
        </w:tabs>
        <w:rPr>
          <w:color w:val="auto"/>
          <w:sz w:val="22"/>
          <w:szCs w:val="22"/>
        </w:rPr>
      </w:pPr>
      <w:r>
        <w:rPr>
          <w:color w:val="auto"/>
        </w:rPr>
        <w:fldChar w:fldCharType="begin"/>
      </w:r>
      <w:r>
        <w:rPr>
          <w:color w:val="auto"/>
        </w:rPr>
        <w:instrText xml:space="preserve"> HYPERLINK \l "_Toc10915" </w:instrText>
      </w:r>
      <w:r>
        <w:rPr>
          <w:color w:val="auto"/>
        </w:rPr>
        <w:fldChar w:fldCharType="separate"/>
      </w:r>
      <w:r>
        <w:rPr>
          <w:rFonts w:hint="eastAsia" w:ascii="宋体" w:hAnsi="宋体" w:cs="宋体"/>
          <w:color w:val="auto"/>
          <w:sz w:val="22"/>
          <w:szCs w:val="22"/>
        </w:rPr>
        <w:t>第六部分 政府采购合同条款</w:t>
      </w:r>
      <w:r>
        <w:rPr>
          <w:color w:val="auto"/>
          <w:sz w:val="22"/>
          <w:szCs w:val="22"/>
        </w:rPr>
        <w:tab/>
      </w:r>
      <w:r>
        <w:rPr>
          <w:color w:val="auto"/>
          <w:sz w:val="22"/>
          <w:szCs w:val="22"/>
        </w:rPr>
        <w:fldChar w:fldCharType="begin"/>
      </w:r>
      <w:r>
        <w:rPr>
          <w:color w:val="auto"/>
          <w:sz w:val="22"/>
          <w:szCs w:val="22"/>
        </w:rPr>
        <w:instrText xml:space="preserve"> PAGEREF _Toc10915 </w:instrText>
      </w:r>
      <w:r>
        <w:rPr>
          <w:color w:val="auto"/>
          <w:sz w:val="22"/>
          <w:szCs w:val="22"/>
        </w:rPr>
        <w:fldChar w:fldCharType="separate"/>
      </w:r>
      <w:r>
        <w:rPr>
          <w:color w:val="auto"/>
          <w:sz w:val="22"/>
          <w:szCs w:val="22"/>
        </w:rPr>
        <w:t>53</w:t>
      </w:r>
      <w:r>
        <w:rPr>
          <w:color w:val="auto"/>
          <w:sz w:val="22"/>
          <w:szCs w:val="22"/>
        </w:rPr>
        <w:fldChar w:fldCharType="end"/>
      </w:r>
      <w:r>
        <w:rPr>
          <w:color w:val="auto"/>
          <w:sz w:val="22"/>
          <w:szCs w:val="22"/>
        </w:rPr>
        <w:fldChar w:fldCharType="end"/>
      </w:r>
    </w:p>
    <w:p>
      <w:pPr>
        <w:tabs>
          <w:tab w:val="right" w:leader="dot" w:pos="8640"/>
        </w:tabs>
        <w:snapToGrid w:val="0"/>
        <w:spacing w:line="312" w:lineRule="auto"/>
        <w:rPr>
          <w:rFonts w:ascii="宋体" w:cs="宋体"/>
          <w:color w:val="auto"/>
          <w:sz w:val="24"/>
        </w:rPr>
        <w:sectPr>
          <w:pgSz w:w="11906" w:h="16838"/>
          <w:pgMar w:top="1638" w:right="1286" w:bottom="1134" w:left="1418" w:header="851" w:footer="992" w:gutter="0"/>
          <w:cols w:space="720" w:num="1"/>
          <w:titlePg/>
          <w:docGrid w:linePitch="286" w:charSpace="0"/>
        </w:sectPr>
      </w:pPr>
      <w:r>
        <w:rPr>
          <w:rFonts w:ascii="宋体" w:hAnsi="宋体" w:cs="宋体"/>
          <w:color w:val="auto"/>
          <w:sz w:val="20"/>
          <w:szCs w:val="22"/>
        </w:rPr>
        <w:fldChar w:fldCharType="end"/>
      </w:r>
    </w:p>
    <w:p>
      <w:pPr>
        <w:pStyle w:val="2"/>
        <w:rPr>
          <w:rFonts w:ascii="宋体" w:cs="宋体"/>
          <w:color w:val="auto"/>
        </w:rPr>
      </w:pPr>
      <w:bookmarkStart w:id="0" w:name="_Toc20640"/>
      <w:bookmarkStart w:id="1" w:name="_Toc393791418"/>
      <w:r>
        <w:rPr>
          <w:rFonts w:hint="eastAsia" w:ascii="宋体" w:hAnsi="宋体" w:cs="宋体"/>
          <w:color w:val="auto"/>
        </w:rPr>
        <w:t>第一部分 招标公告</w:t>
      </w:r>
      <w:bookmarkEnd w:id="0"/>
      <w:bookmarkEnd w:id="1"/>
    </w:p>
    <w:p>
      <w:pPr>
        <w:adjustRightInd w:val="0"/>
        <w:snapToGrid w:val="0"/>
        <w:spacing w:line="360" w:lineRule="auto"/>
        <w:ind w:firstLine="420" w:firstLineChars="200"/>
        <w:jc w:val="left"/>
        <w:rPr>
          <w:rFonts w:ascii="宋体"/>
          <w:color w:val="auto"/>
          <w:kern w:val="0"/>
          <w:szCs w:val="21"/>
        </w:rPr>
      </w:pPr>
      <w:r>
        <w:rPr>
          <w:rFonts w:hint="eastAsia" w:ascii="宋体" w:hAnsi="宋体"/>
          <w:color w:val="auto"/>
          <w:kern w:val="0"/>
          <w:szCs w:val="21"/>
        </w:rPr>
        <w:t>根据《中华人民共和国政府采购法》等有关规定，浙江中诺招标代理有限公司受杭州市市场监督管理局委托，就</w:t>
      </w:r>
      <w:r>
        <w:rPr>
          <w:rFonts w:hint="eastAsia" w:ascii="宋体" w:hAnsi="宋体" w:cs="宋体"/>
          <w:bCs/>
          <w:color w:val="auto"/>
          <w:szCs w:val="21"/>
        </w:rPr>
        <w:t>杭州市流通领域(网络)商品抽查检验承检机构备选库入围项目（一）</w:t>
      </w:r>
      <w:r>
        <w:rPr>
          <w:rFonts w:hint="eastAsia" w:ascii="宋体" w:hAnsi="宋体"/>
          <w:color w:val="auto"/>
          <w:kern w:val="0"/>
          <w:szCs w:val="21"/>
        </w:rPr>
        <w:t>进行公开招标，欢迎国内合格的供应商前来投标。</w:t>
      </w:r>
    </w:p>
    <w:p>
      <w:pPr>
        <w:snapToGrid w:val="0"/>
        <w:spacing w:line="360" w:lineRule="auto"/>
        <w:rPr>
          <w:rFonts w:ascii="宋体"/>
          <w:color w:val="auto"/>
          <w:kern w:val="0"/>
          <w:szCs w:val="21"/>
        </w:rPr>
      </w:pPr>
      <w:r>
        <w:rPr>
          <w:rFonts w:hint="eastAsia" w:ascii="宋体" w:hAnsi="宋体"/>
          <w:b/>
          <w:color w:val="auto"/>
          <w:kern w:val="0"/>
          <w:szCs w:val="21"/>
        </w:rPr>
        <w:t>一、招标项目编号</w:t>
      </w:r>
      <w:bookmarkStart w:id="2" w:name="B08_项目编号"/>
      <w:r>
        <w:rPr>
          <w:rFonts w:hint="eastAsia" w:ascii="宋体" w:hAnsi="宋体"/>
          <w:b/>
          <w:color w:val="auto"/>
          <w:kern w:val="0"/>
          <w:szCs w:val="21"/>
        </w:rPr>
        <w:t>：</w:t>
      </w:r>
      <w:bookmarkEnd w:id="2"/>
      <w:r>
        <w:rPr>
          <w:rFonts w:hint="eastAsia" w:ascii="宋体" w:hAnsi="宋体"/>
          <w:color w:val="auto"/>
          <w:szCs w:val="21"/>
        </w:rPr>
        <w:t>ZJZN-19833-SJ03 -01</w:t>
      </w:r>
    </w:p>
    <w:p>
      <w:pPr>
        <w:snapToGrid w:val="0"/>
        <w:spacing w:line="360" w:lineRule="auto"/>
        <w:rPr>
          <w:rFonts w:ascii="宋体"/>
          <w:b/>
          <w:color w:val="auto"/>
          <w:kern w:val="0"/>
          <w:szCs w:val="21"/>
        </w:rPr>
      </w:pPr>
      <w:r>
        <w:rPr>
          <w:rFonts w:hint="eastAsia" w:ascii="宋体" w:hAnsi="宋体"/>
          <w:b/>
          <w:color w:val="auto"/>
          <w:kern w:val="0"/>
          <w:szCs w:val="21"/>
        </w:rPr>
        <w:t>二、招标项目概况（内容、用途、数量、简要技术要求等）：</w:t>
      </w:r>
    </w:p>
    <w:p>
      <w:pPr>
        <w:adjustRightInd w:val="0"/>
        <w:snapToGrid w:val="0"/>
        <w:spacing w:line="360" w:lineRule="auto"/>
        <w:ind w:firstLine="420" w:firstLineChars="200"/>
        <w:rPr>
          <w:rFonts w:ascii="宋体"/>
          <w:color w:val="auto"/>
          <w:kern w:val="0"/>
          <w:szCs w:val="21"/>
        </w:rPr>
      </w:pPr>
      <w:r>
        <w:rPr>
          <w:rFonts w:hint="eastAsia" w:ascii="宋体" w:hAnsi="宋体" w:cs="宋体"/>
          <w:bCs/>
          <w:color w:val="auto"/>
          <w:szCs w:val="21"/>
        </w:rPr>
        <w:t>杭州市流通领域(网络)商品抽查检验机构备选库入围项目（一）。本项目分两个标项，有效投标人可对一个或多个标项进行选择性投标：</w:t>
      </w:r>
    </w:p>
    <w:tbl>
      <w:tblPr>
        <w:tblStyle w:val="27"/>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329"/>
        <w:gridCol w:w="160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widowControl/>
              <w:snapToGrid w:val="0"/>
              <w:ind w:left="60" w:right="60"/>
              <w:jc w:val="center"/>
              <w:rPr>
                <w:rFonts w:ascii="宋体"/>
                <w:b/>
                <w:color w:val="auto"/>
                <w:kern w:val="0"/>
                <w:szCs w:val="21"/>
              </w:rPr>
            </w:pPr>
            <w:r>
              <w:rPr>
                <w:rFonts w:hint="eastAsia" w:ascii="宋体" w:hAnsi="宋体"/>
                <w:b/>
                <w:color w:val="auto"/>
                <w:kern w:val="0"/>
                <w:szCs w:val="21"/>
              </w:rPr>
              <w:t>标项</w:t>
            </w:r>
          </w:p>
        </w:tc>
        <w:tc>
          <w:tcPr>
            <w:tcW w:w="5329" w:type="dxa"/>
            <w:vAlign w:val="center"/>
          </w:tcPr>
          <w:p>
            <w:pPr>
              <w:widowControl/>
              <w:snapToGrid w:val="0"/>
              <w:ind w:left="60" w:right="60"/>
              <w:jc w:val="center"/>
              <w:rPr>
                <w:rFonts w:ascii="宋体"/>
                <w:b/>
                <w:color w:val="auto"/>
                <w:kern w:val="0"/>
                <w:szCs w:val="21"/>
              </w:rPr>
            </w:pPr>
            <w:r>
              <w:rPr>
                <w:rFonts w:hint="eastAsia" w:ascii="宋体" w:hAnsi="宋体"/>
                <w:b/>
                <w:color w:val="auto"/>
                <w:kern w:val="0"/>
                <w:szCs w:val="21"/>
              </w:rPr>
              <w:t>内容</w:t>
            </w:r>
          </w:p>
        </w:tc>
        <w:tc>
          <w:tcPr>
            <w:tcW w:w="1604" w:type="dxa"/>
            <w:vAlign w:val="center"/>
          </w:tcPr>
          <w:p>
            <w:pPr>
              <w:widowControl/>
              <w:snapToGrid w:val="0"/>
              <w:ind w:left="60" w:right="60"/>
              <w:jc w:val="center"/>
              <w:rPr>
                <w:rFonts w:ascii="宋体"/>
                <w:b/>
                <w:color w:val="auto"/>
                <w:kern w:val="0"/>
                <w:szCs w:val="21"/>
              </w:rPr>
            </w:pPr>
            <w:r>
              <w:rPr>
                <w:rFonts w:hint="eastAsia" w:ascii="宋体" w:hAnsi="宋体"/>
                <w:b/>
                <w:color w:val="auto"/>
                <w:kern w:val="0"/>
                <w:szCs w:val="21"/>
              </w:rPr>
              <w:t>承检范围</w:t>
            </w:r>
          </w:p>
        </w:tc>
        <w:tc>
          <w:tcPr>
            <w:tcW w:w="1355" w:type="dxa"/>
            <w:vAlign w:val="center"/>
          </w:tcPr>
          <w:p>
            <w:pPr>
              <w:widowControl/>
              <w:snapToGrid w:val="0"/>
              <w:ind w:left="60" w:right="60"/>
              <w:jc w:val="center"/>
              <w:rPr>
                <w:rFonts w:ascii="宋体" w:hAnsi="宋体"/>
                <w:b/>
                <w:color w:val="auto"/>
                <w:kern w:val="0"/>
                <w:szCs w:val="21"/>
              </w:rPr>
            </w:pPr>
            <w:r>
              <w:rPr>
                <w:rFonts w:hint="eastAsia" w:ascii="宋体" w:hAnsi="宋体"/>
                <w:b/>
                <w:color w:val="auto"/>
                <w:kern w:val="0"/>
                <w:szCs w:val="21"/>
              </w:rPr>
              <w:t>预算金额</w:t>
            </w:r>
          </w:p>
          <w:p>
            <w:pPr>
              <w:widowControl/>
              <w:snapToGrid w:val="0"/>
              <w:ind w:left="60" w:right="60"/>
              <w:jc w:val="center"/>
              <w:rPr>
                <w:rFonts w:ascii="宋体" w:hAnsi="宋体"/>
                <w:b/>
                <w:color w:val="auto"/>
                <w:kern w:val="0"/>
                <w:szCs w:val="21"/>
              </w:rPr>
            </w:pPr>
            <w:r>
              <w:rPr>
                <w:rFonts w:hint="eastAsia" w:ascii="宋体" w:hAnsi="宋体"/>
                <w:b/>
                <w:color w:val="auto"/>
                <w:kern w:val="0"/>
                <w:szCs w:val="21"/>
              </w:rPr>
              <w:t>含买样费</w:t>
            </w:r>
          </w:p>
          <w:p>
            <w:pPr>
              <w:widowControl/>
              <w:snapToGrid w:val="0"/>
              <w:ind w:left="60" w:right="60"/>
              <w:jc w:val="center"/>
              <w:rPr>
                <w:rFonts w:ascii="宋体"/>
                <w:b/>
                <w:color w:val="auto"/>
                <w:kern w:val="0"/>
                <w:szCs w:val="21"/>
              </w:rPr>
            </w:pPr>
            <w:r>
              <w:rPr>
                <w:rFonts w:ascii="宋体" w:hAnsi="宋体"/>
                <w:b/>
                <w:color w:val="auto"/>
                <w:kern w:val="0"/>
                <w:szCs w:val="21"/>
              </w:rPr>
              <w:t>(</w:t>
            </w:r>
            <w:r>
              <w:rPr>
                <w:rFonts w:hint="eastAsia" w:ascii="宋体" w:hAnsi="宋体"/>
                <w:b/>
                <w:color w:val="auto"/>
                <w:kern w:val="0"/>
                <w:szCs w:val="21"/>
              </w:rPr>
              <w:t>万元</w:t>
            </w:r>
            <w:r>
              <w:rPr>
                <w:rFonts w:ascii="宋体" w:hAnsi="宋体"/>
                <w:b/>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widowControl/>
              <w:snapToGrid w:val="0"/>
              <w:ind w:left="60" w:right="60"/>
              <w:jc w:val="center"/>
              <w:rPr>
                <w:rFonts w:ascii="宋体"/>
                <w:color w:val="auto"/>
                <w:kern w:val="0"/>
                <w:szCs w:val="21"/>
              </w:rPr>
            </w:pPr>
            <w:r>
              <w:rPr>
                <w:rFonts w:hint="eastAsia" w:ascii="宋体"/>
                <w:color w:val="auto"/>
                <w:kern w:val="0"/>
                <w:szCs w:val="21"/>
              </w:rPr>
              <w:t>1</w:t>
            </w:r>
          </w:p>
        </w:tc>
        <w:tc>
          <w:tcPr>
            <w:tcW w:w="5329" w:type="dxa"/>
            <w:vAlign w:val="center"/>
          </w:tcPr>
          <w:p>
            <w:pPr>
              <w:widowControl/>
              <w:snapToGrid w:val="0"/>
              <w:ind w:left="60" w:right="60"/>
              <w:jc w:val="left"/>
              <w:rPr>
                <w:rFonts w:ascii="宋体"/>
                <w:color w:val="auto"/>
                <w:kern w:val="0"/>
                <w:szCs w:val="21"/>
              </w:rPr>
            </w:pPr>
            <w:r>
              <w:rPr>
                <w:rFonts w:hint="eastAsia" w:ascii="宋体" w:hAnsi="宋体" w:cs="宋体"/>
                <w:bCs/>
                <w:color w:val="auto"/>
                <w:szCs w:val="21"/>
              </w:rPr>
              <w:t>家用电器类抽检承检机构备选库</w:t>
            </w:r>
          </w:p>
        </w:tc>
        <w:tc>
          <w:tcPr>
            <w:tcW w:w="1604" w:type="dxa"/>
          </w:tcPr>
          <w:p>
            <w:pPr>
              <w:jc w:val="left"/>
              <w:rPr>
                <w:rFonts w:ascii="宋体"/>
                <w:color w:val="auto"/>
                <w:kern w:val="0"/>
                <w:szCs w:val="21"/>
              </w:rPr>
            </w:pPr>
            <w:r>
              <w:rPr>
                <w:rFonts w:hint="eastAsia" w:ascii="宋体" w:hAnsi="宋体"/>
                <w:color w:val="auto"/>
                <w:kern w:val="0"/>
                <w:szCs w:val="21"/>
              </w:rPr>
              <w:t>详见招标文件</w:t>
            </w:r>
          </w:p>
        </w:tc>
        <w:tc>
          <w:tcPr>
            <w:tcW w:w="1355" w:type="dxa"/>
            <w:vAlign w:val="center"/>
          </w:tcPr>
          <w:p>
            <w:pPr>
              <w:jc w:val="center"/>
              <w:rPr>
                <w:rFonts w:ascii="宋体" w:hAnsi="宋体"/>
                <w:color w:val="auto"/>
                <w:kern w:val="0"/>
                <w:szCs w:val="21"/>
              </w:rPr>
            </w:pPr>
            <w:r>
              <w:rPr>
                <w:rFonts w:hint="eastAsia"/>
                <w:color w:val="auto"/>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widowControl/>
              <w:snapToGrid w:val="0"/>
              <w:ind w:left="60" w:right="60"/>
              <w:jc w:val="center"/>
              <w:rPr>
                <w:rFonts w:ascii="宋体"/>
                <w:color w:val="auto"/>
                <w:kern w:val="0"/>
                <w:szCs w:val="21"/>
              </w:rPr>
            </w:pPr>
            <w:r>
              <w:rPr>
                <w:rFonts w:hint="eastAsia" w:ascii="宋体"/>
                <w:color w:val="auto"/>
                <w:kern w:val="0"/>
                <w:szCs w:val="21"/>
              </w:rPr>
              <w:t>2</w:t>
            </w:r>
          </w:p>
        </w:tc>
        <w:tc>
          <w:tcPr>
            <w:tcW w:w="5329" w:type="dxa"/>
            <w:vAlign w:val="center"/>
          </w:tcPr>
          <w:p>
            <w:pPr>
              <w:widowControl/>
              <w:snapToGrid w:val="0"/>
              <w:ind w:left="60" w:right="60"/>
              <w:jc w:val="left"/>
              <w:rPr>
                <w:color w:val="auto"/>
                <w:szCs w:val="21"/>
              </w:rPr>
            </w:pPr>
            <w:r>
              <w:rPr>
                <w:rFonts w:hint="eastAsia"/>
                <w:color w:val="auto"/>
              </w:rPr>
              <w:t>电子及智能新产品</w:t>
            </w:r>
            <w:r>
              <w:rPr>
                <w:rFonts w:hint="eastAsia" w:ascii="宋体" w:hAnsi="宋体" w:cs="宋体"/>
                <w:bCs/>
                <w:color w:val="auto"/>
                <w:szCs w:val="21"/>
              </w:rPr>
              <w:t>抽检承检机构备选库</w:t>
            </w:r>
          </w:p>
        </w:tc>
        <w:tc>
          <w:tcPr>
            <w:tcW w:w="1604" w:type="dxa"/>
          </w:tcPr>
          <w:p>
            <w:pPr>
              <w:jc w:val="left"/>
              <w:rPr>
                <w:color w:val="auto"/>
                <w:szCs w:val="21"/>
              </w:rPr>
            </w:pPr>
            <w:r>
              <w:rPr>
                <w:rFonts w:hint="eastAsia" w:ascii="宋体" w:hAnsi="宋体"/>
                <w:color w:val="auto"/>
                <w:kern w:val="0"/>
                <w:szCs w:val="21"/>
              </w:rPr>
              <w:t>详见招标文件</w:t>
            </w:r>
          </w:p>
        </w:tc>
        <w:tc>
          <w:tcPr>
            <w:tcW w:w="1355" w:type="dxa"/>
            <w:vAlign w:val="center"/>
          </w:tcPr>
          <w:p>
            <w:pPr>
              <w:jc w:val="center"/>
              <w:rPr>
                <w:rFonts w:ascii="宋体" w:hAnsi="宋体"/>
                <w:color w:val="auto"/>
                <w:kern w:val="0"/>
                <w:szCs w:val="21"/>
              </w:rPr>
            </w:pPr>
            <w:r>
              <w:rPr>
                <w:rFonts w:hint="eastAsia"/>
                <w:color w:val="auto"/>
              </w:rPr>
              <w:t>100</w:t>
            </w:r>
          </w:p>
        </w:tc>
      </w:tr>
    </w:tbl>
    <w:p>
      <w:pPr>
        <w:widowControl/>
        <w:snapToGrid w:val="0"/>
        <w:spacing w:line="360" w:lineRule="auto"/>
        <w:ind w:right="60"/>
        <w:jc w:val="left"/>
        <w:rPr>
          <w:rFonts w:ascii="宋体"/>
          <w:b/>
          <w:color w:val="auto"/>
          <w:kern w:val="0"/>
          <w:szCs w:val="21"/>
        </w:rPr>
      </w:pPr>
      <w:r>
        <w:rPr>
          <w:rFonts w:hint="eastAsia" w:ascii="宋体" w:hAnsi="宋体"/>
          <w:b/>
          <w:color w:val="auto"/>
          <w:kern w:val="0"/>
          <w:szCs w:val="21"/>
        </w:rPr>
        <w:t>三、投标供应商资格要求：</w:t>
      </w:r>
    </w:p>
    <w:p>
      <w:pPr>
        <w:tabs>
          <w:tab w:val="left" w:pos="1060"/>
        </w:tabs>
        <w:adjustRightInd w:val="0"/>
        <w:snapToGrid w:val="0"/>
        <w:spacing w:line="360" w:lineRule="auto"/>
        <w:ind w:firstLine="420" w:firstLineChars="200"/>
        <w:rPr>
          <w:rFonts w:ascii="宋体" w:cs="宋体"/>
          <w:bCs/>
          <w:color w:val="auto"/>
          <w:szCs w:val="21"/>
        </w:rPr>
      </w:pPr>
      <w:bookmarkStart w:id="3" w:name="B18_投标供应商的资格要求"/>
      <w:r>
        <w:rPr>
          <w:rFonts w:ascii="宋体" w:hAnsi="宋体" w:cs="宋体"/>
          <w:bCs/>
          <w:color w:val="auto"/>
          <w:szCs w:val="21"/>
        </w:rPr>
        <w:t>1</w:t>
      </w:r>
      <w:r>
        <w:rPr>
          <w:rFonts w:hint="eastAsia" w:ascii="宋体" w:hAnsi="宋体" w:cs="宋体"/>
          <w:bCs/>
          <w:color w:val="auto"/>
          <w:szCs w:val="21"/>
        </w:rPr>
        <w:t>、符合《中华人民共和国政府采购法》第二十二条规定；</w:t>
      </w:r>
    </w:p>
    <w:bookmarkEnd w:id="3"/>
    <w:p>
      <w:pPr>
        <w:widowControl/>
        <w:tabs>
          <w:tab w:val="left" w:pos="1060"/>
        </w:tabs>
        <w:adjustRightInd w:val="0"/>
        <w:snapToGrid w:val="0"/>
        <w:spacing w:line="360" w:lineRule="auto"/>
        <w:ind w:firstLine="420" w:firstLineChars="200"/>
        <w:jc w:val="left"/>
        <w:rPr>
          <w:rFonts w:ascii="宋体"/>
          <w:color w:val="auto"/>
          <w:kern w:val="0"/>
          <w:szCs w:val="21"/>
        </w:rPr>
      </w:pPr>
      <w:r>
        <w:rPr>
          <w:rFonts w:ascii="宋体" w:hAnsi="宋体"/>
          <w:color w:val="auto"/>
          <w:kern w:val="0"/>
          <w:szCs w:val="21"/>
        </w:rPr>
        <w:t>2</w:t>
      </w:r>
      <w:r>
        <w:rPr>
          <w:rFonts w:hint="eastAsia" w:ascii="宋体" w:hAnsi="宋体"/>
          <w:color w:val="auto"/>
          <w:kern w:val="0"/>
          <w:szCs w:val="21"/>
        </w:rPr>
        <w:t>、特定资格要求：符合《浙江省检验机构管理条例》第八条规定：检验机构从事检验服务活动，应当经国家认证认可监督管理部门或者省质量技术监督部门计量认证合格；未经计量认证合格，不得从事检验服务活动。</w:t>
      </w:r>
    </w:p>
    <w:p>
      <w:pPr>
        <w:widowControl/>
        <w:tabs>
          <w:tab w:val="left" w:pos="1060"/>
        </w:tabs>
        <w:adjustRightInd w:val="0"/>
        <w:snapToGrid w:val="0"/>
        <w:spacing w:line="360" w:lineRule="auto"/>
        <w:jc w:val="left"/>
        <w:rPr>
          <w:rFonts w:ascii="宋体"/>
          <w:b/>
          <w:color w:val="auto"/>
          <w:kern w:val="0"/>
          <w:szCs w:val="21"/>
        </w:rPr>
      </w:pPr>
      <w:r>
        <w:rPr>
          <w:rFonts w:hint="eastAsia" w:ascii="宋体" w:hAnsi="宋体"/>
          <w:b/>
          <w:color w:val="auto"/>
          <w:kern w:val="0"/>
          <w:szCs w:val="21"/>
        </w:rPr>
        <w:t>四、</w:t>
      </w:r>
      <w:bookmarkStart w:id="4" w:name="B44_招标文件的发售"/>
      <w:r>
        <w:rPr>
          <w:rFonts w:hint="eastAsia" w:ascii="宋体" w:hAnsi="宋体"/>
          <w:b/>
          <w:color w:val="auto"/>
          <w:kern w:val="0"/>
          <w:szCs w:val="21"/>
        </w:rPr>
        <w:t>招标文件的发售</w:t>
      </w:r>
      <w:bookmarkEnd w:id="4"/>
      <w:r>
        <w:rPr>
          <w:rFonts w:hint="eastAsia" w:ascii="宋体" w:hAnsi="宋体"/>
          <w:b/>
          <w:color w:val="auto"/>
          <w:kern w:val="0"/>
          <w:szCs w:val="21"/>
        </w:rPr>
        <w:t>时间及地点等：</w:t>
      </w:r>
    </w:p>
    <w:p>
      <w:pPr>
        <w:widowControl/>
        <w:tabs>
          <w:tab w:val="left" w:pos="1060"/>
        </w:tabs>
        <w:adjustRightInd w:val="0"/>
        <w:snapToGrid w:val="0"/>
        <w:spacing w:line="360" w:lineRule="auto"/>
        <w:ind w:firstLine="420" w:firstLineChars="200"/>
        <w:jc w:val="left"/>
        <w:rPr>
          <w:rFonts w:ascii="宋体"/>
          <w:color w:val="auto"/>
          <w:kern w:val="0"/>
          <w:szCs w:val="21"/>
        </w:rPr>
      </w:pPr>
      <w:r>
        <w:rPr>
          <w:rFonts w:hint="eastAsia" w:ascii="宋体" w:hAnsi="宋体"/>
          <w:color w:val="auto"/>
          <w:kern w:val="0"/>
          <w:szCs w:val="21"/>
        </w:rPr>
        <w:t>时间：2019年5月8日至2019年5月17日</w:t>
      </w:r>
      <w:r>
        <w:rPr>
          <w:rFonts w:ascii="宋体" w:hAnsi="宋体"/>
          <w:color w:val="auto"/>
          <w:kern w:val="0"/>
          <w:szCs w:val="21"/>
        </w:rPr>
        <w:t>(</w:t>
      </w:r>
      <w:r>
        <w:rPr>
          <w:rFonts w:hint="eastAsia" w:ascii="宋体" w:hAnsi="宋体"/>
          <w:color w:val="auto"/>
          <w:kern w:val="0"/>
          <w:szCs w:val="21"/>
        </w:rPr>
        <w:t>双休日及法定节假日除外</w:t>
      </w:r>
      <w:r>
        <w:rPr>
          <w:rFonts w:ascii="宋体" w:hAnsi="宋体"/>
          <w:color w:val="auto"/>
          <w:kern w:val="0"/>
          <w:szCs w:val="21"/>
        </w:rPr>
        <w:t>)</w:t>
      </w:r>
    </w:p>
    <w:p>
      <w:pPr>
        <w:widowControl/>
        <w:tabs>
          <w:tab w:val="left" w:pos="1060"/>
        </w:tabs>
        <w:adjustRightInd w:val="0"/>
        <w:snapToGrid w:val="0"/>
        <w:spacing w:line="360" w:lineRule="auto"/>
        <w:ind w:firstLine="420" w:firstLineChars="200"/>
        <w:jc w:val="left"/>
        <w:rPr>
          <w:rFonts w:ascii="宋体"/>
          <w:color w:val="auto"/>
          <w:kern w:val="0"/>
          <w:szCs w:val="21"/>
        </w:rPr>
      </w:pPr>
      <w:r>
        <w:rPr>
          <w:rFonts w:hint="eastAsia" w:ascii="宋体" w:hAnsi="宋体"/>
          <w:color w:val="auto"/>
          <w:kern w:val="0"/>
          <w:szCs w:val="21"/>
        </w:rPr>
        <w:t>上午：</w:t>
      </w:r>
      <w:r>
        <w:rPr>
          <w:rFonts w:ascii="宋体" w:hAnsi="宋体"/>
          <w:color w:val="auto"/>
          <w:kern w:val="0"/>
          <w:szCs w:val="21"/>
        </w:rPr>
        <w:t>09:00-11:30</w:t>
      </w:r>
    </w:p>
    <w:p>
      <w:pPr>
        <w:widowControl/>
        <w:adjustRightInd w:val="0"/>
        <w:snapToGrid w:val="0"/>
        <w:spacing w:line="360" w:lineRule="auto"/>
        <w:ind w:firstLine="420" w:firstLineChars="200"/>
        <w:jc w:val="left"/>
        <w:rPr>
          <w:rFonts w:ascii="宋体"/>
          <w:color w:val="auto"/>
          <w:kern w:val="0"/>
          <w:szCs w:val="21"/>
        </w:rPr>
      </w:pPr>
      <w:r>
        <w:rPr>
          <w:rFonts w:hint="eastAsia" w:ascii="宋体" w:hAnsi="宋体"/>
          <w:color w:val="auto"/>
          <w:kern w:val="0"/>
          <w:szCs w:val="21"/>
        </w:rPr>
        <w:t>下午：</w:t>
      </w:r>
      <w:r>
        <w:rPr>
          <w:rFonts w:ascii="宋体" w:hAnsi="宋体"/>
          <w:color w:val="auto"/>
          <w:kern w:val="0"/>
          <w:szCs w:val="21"/>
        </w:rPr>
        <w:t>14:00-17:00</w:t>
      </w:r>
    </w:p>
    <w:p>
      <w:pPr>
        <w:widowControl/>
        <w:adjustRightInd w:val="0"/>
        <w:snapToGrid w:val="0"/>
        <w:spacing w:line="360" w:lineRule="auto"/>
        <w:ind w:firstLine="420" w:firstLineChars="200"/>
        <w:jc w:val="left"/>
        <w:rPr>
          <w:rFonts w:ascii="宋体"/>
          <w:color w:val="auto"/>
          <w:kern w:val="0"/>
          <w:szCs w:val="21"/>
        </w:rPr>
      </w:pPr>
      <w:r>
        <w:rPr>
          <w:rFonts w:hint="eastAsia" w:ascii="宋体" w:hAnsi="宋体"/>
          <w:color w:val="auto"/>
          <w:kern w:val="0"/>
          <w:szCs w:val="21"/>
        </w:rPr>
        <w:t>地点：浙江中诺招标代理有限公司（杭州市下城区环城北路141号永通信息广场西楼10楼）</w:t>
      </w:r>
    </w:p>
    <w:p>
      <w:pPr>
        <w:widowControl/>
        <w:adjustRightInd w:val="0"/>
        <w:snapToGrid w:val="0"/>
        <w:spacing w:line="360" w:lineRule="auto"/>
        <w:ind w:firstLine="420" w:firstLineChars="200"/>
        <w:jc w:val="left"/>
        <w:rPr>
          <w:rFonts w:ascii="宋体"/>
          <w:color w:val="auto"/>
          <w:kern w:val="0"/>
          <w:szCs w:val="21"/>
        </w:rPr>
      </w:pPr>
      <w:r>
        <w:rPr>
          <w:rFonts w:hint="eastAsia" w:ascii="宋体" w:hAnsi="宋体"/>
          <w:color w:val="auto"/>
          <w:kern w:val="0"/>
          <w:szCs w:val="21"/>
        </w:rPr>
        <w:t>标书售价</w:t>
      </w:r>
      <w:r>
        <w:rPr>
          <w:rFonts w:ascii="宋体" w:hAnsi="宋体"/>
          <w:color w:val="auto"/>
          <w:kern w:val="0"/>
          <w:szCs w:val="21"/>
        </w:rPr>
        <w:t>(</w:t>
      </w:r>
      <w:r>
        <w:rPr>
          <w:rFonts w:hint="eastAsia" w:ascii="宋体" w:hAnsi="宋体"/>
          <w:color w:val="auto"/>
          <w:kern w:val="0"/>
          <w:szCs w:val="21"/>
        </w:rPr>
        <w:t>元</w:t>
      </w:r>
      <w:r>
        <w:rPr>
          <w:rFonts w:ascii="宋体" w:hAnsi="宋体"/>
          <w:color w:val="auto"/>
          <w:kern w:val="0"/>
          <w:szCs w:val="21"/>
        </w:rPr>
        <w:t>)</w:t>
      </w:r>
      <w:r>
        <w:rPr>
          <w:rFonts w:hint="eastAsia" w:ascii="宋体" w:hAnsi="宋体"/>
          <w:color w:val="auto"/>
          <w:kern w:val="0"/>
          <w:szCs w:val="21"/>
        </w:rPr>
        <w:t>：每本</w:t>
      </w:r>
      <w:r>
        <w:rPr>
          <w:rFonts w:ascii="宋体" w:hAnsi="宋体"/>
          <w:color w:val="auto"/>
          <w:kern w:val="0"/>
          <w:szCs w:val="21"/>
        </w:rPr>
        <w:t>500</w:t>
      </w:r>
      <w:r>
        <w:rPr>
          <w:rFonts w:hint="eastAsia" w:ascii="宋体" w:hAnsi="宋体"/>
          <w:color w:val="auto"/>
          <w:kern w:val="0"/>
          <w:szCs w:val="21"/>
        </w:rPr>
        <w:t>（售后不退）</w:t>
      </w:r>
    </w:p>
    <w:p>
      <w:pPr>
        <w:adjustRightInd w:val="0"/>
        <w:snapToGrid w:val="0"/>
        <w:spacing w:line="360" w:lineRule="auto"/>
        <w:rPr>
          <w:rFonts w:ascii="宋体"/>
          <w:color w:val="auto"/>
          <w:kern w:val="0"/>
          <w:szCs w:val="21"/>
        </w:rPr>
      </w:pPr>
      <w:r>
        <w:rPr>
          <w:rFonts w:hint="eastAsia" w:ascii="宋体" w:hAnsi="宋体"/>
          <w:b/>
          <w:color w:val="auto"/>
          <w:kern w:val="0"/>
          <w:szCs w:val="21"/>
        </w:rPr>
        <w:t>五、投标截止时间：</w:t>
      </w:r>
      <w:r>
        <w:rPr>
          <w:rFonts w:hint="eastAsia" w:ascii="宋体" w:hAnsi="宋体"/>
          <w:color w:val="auto"/>
          <w:kern w:val="0"/>
          <w:szCs w:val="21"/>
        </w:rPr>
        <w:t>2019年</w:t>
      </w:r>
      <w:r>
        <w:rPr>
          <w:rFonts w:hint="eastAsia" w:ascii="宋体" w:hAnsi="宋体"/>
          <w:color w:val="FF0000"/>
          <w:kern w:val="0"/>
          <w:szCs w:val="21"/>
          <w:lang w:val="en-US" w:eastAsia="zh-CN"/>
        </w:rPr>
        <w:t>6</w:t>
      </w:r>
      <w:r>
        <w:rPr>
          <w:rFonts w:hint="eastAsia" w:ascii="宋体" w:hAnsi="宋体"/>
          <w:color w:val="FF0000"/>
          <w:kern w:val="0"/>
          <w:szCs w:val="21"/>
        </w:rPr>
        <w:t>月</w:t>
      </w:r>
      <w:r>
        <w:rPr>
          <w:rFonts w:hint="eastAsia" w:ascii="宋体" w:hAnsi="宋体"/>
          <w:color w:val="FF0000"/>
          <w:kern w:val="0"/>
          <w:szCs w:val="21"/>
          <w:lang w:val="en-US" w:eastAsia="zh-CN"/>
        </w:rPr>
        <w:t>5</w:t>
      </w:r>
      <w:r>
        <w:rPr>
          <w:rFonts w:hint="eastAsia" w:ascii="宋体" w:hAnsi="宋体"/>
          <w:color w:val="FF0000"/>
          <w:kern w:val="0"/>
          <w:szCs w:val="21"/>
        </w:rPr>
        <w:t>日</w:t>
      </w:r>
      <w:r>
        <w:rPr>
          <w:rFonts w:hint="eastAsia" w:ascii="宋体" w:hAnsi="宋体"/>
          <w:color w:val="auto"/>
          <w:kern w:val="0"/>
          <w:szCs w:val="21"/>
        </w:rPr>
        <w:t>　</w:t>
      </w:r>
      <w:r>
        <w:rPr>
          <w:rFonts w:ascii="宋体" w:hAnsi="宋体"/>
          <w:color w:val="auto"/>
          <w:kern w:val="0"/>
          <w:szCs w:val="21"/>
        </w:rPr>
        <w:t>9:</w:t>
      </w:r>
      <w:r>
        <w:rPr>
          <w:rFonts w:hint="eastAsia" w:ascii="宋体" w:hAnsi="宋体"/>
          <w:color w:val="auto"/>
          <w:kern w:val="0"/>
          <w:szCs w:val="21"/>
        </w:rPr>
        <w:t>3</w:t>
      </w:r>
      <w:r>
        <w:rPr>
          <w:rFonts w:ascii="宋体" w:hAnsi="宋体"/>
          <w:color w:val="auto"/>
          <w:kern w:val="0"/>
          <w:szCs w:val="21"/>
        </w:rPr>
        <w:t>0</w:t>
      </w:r>
    </w:p>
    <w:p>
      <w:pPr>
        <w:adjustRightInd w:val="0"/>
        <w:snapToGrid w:val="0"/>
        <w:spacing w:line="360" w:lineRule="auto"/>
        <w:rPr>
          <w:rFonts w:ascii="宋体"/>
          <w:b/>
          <w:color w:val="auto"/>
          <w:kern w:val="0"/>
          <w:szCs w:val="21"/>
        </w:rPr>
      </w:pPr>
      <w:r>
        <w:rPr>
          <w:rFonts w:hint="eastAsia" w:ascii="宋体" w:hAnsi="宋体"/>
          <w:b/>
          <w:color w:val="auto"/>
          <w:kern w:val="0"/>
          <w:szCs w:val="21"/>
        </w:rPr>
        <w:t>六、投标地点：</w:t>
      </w:r>
    </w:p>
    <w:p>
      <w:pPr>
        <w:adjustRightInd w:val="0"/>
        <w:snapToGrid w:val="0"/>
        <w:spacing w:line="360" w:lineRule="auto"/>
        <w:rPr>
          <w:rFonts w:ascii="宋体"/>
          <w:color w:val="auto"/>
          <w:kern w:val="0"/>
          <w:szCs w:val="21"/>
        </w:rPr>
      </w:pPr>
      <w:r>
        <w:rPr>
          <w:rFonts w:hint="eastAsia" w:ascii="宋体" w:hAnsi="宋体"/>
          <w:color w:val="auto"/>
          <w:kern w:val="0"/>
          <w:szCs w:val="21"/>
        </w:rPr>
        <w:t>浙江中诺招标代理有限公司（杭州市下城区环城北路141号永通信息广场西楼10楼）会议室</w:t>
      </w:r>
    </w:p>
    <w:p>
      <w:pPr>
        <w:adjustRightInd w:val="0"/>
        <w:snapToGrid w:val="0"/>
        <w:spacing w:line="360" w:lineRule="auto"/>
        <w:rPr>
          <w:rFonts w:ascii="宋体"/>
          <w:color w:val="auto"/>
          <w:kern w:val="0"/>
          <w:szCs w:val="21"/>
        </w:rPr>
      </w:pPr>
      <w:r>
        <w:rPr>
          <w:rFonts w:hint="eastAsia" w:ascii="宋体" w:hAnsi="宋体"/>
          <w:b/>
          <w:color w:val="auto"/>
          <w:kern w:val="0"/>
          <w:szCs w:val="21"/>
        </w:rPr>
        <w:t>七、开标时间：</w:t>
      </w:r>
      <w:r>
        <w:rPr>
          <w:rFonts w:hint="eastAsia" w:ascii="宋体" w:hAnsi="宋体"/>
          <w:color w:val="auto"/>
          <w:kern w:val="0"/>
          <w:szCs w:val="21"/>
        </w:rPr>
        <w:t>2019年</w:t>
      </w:r>
      <w:r>
        <w:rPr>
          <w:rFonts w:hint="eastAsia" w:ascii="宋体" w:hAnsi="宋体"/>
          <w:color w:val="FF0000"/>
          <w:kern w:val="0"/>
          <w:szCs w:val="21"/>
          <w:lang w:val="en-US" w:eastAsia="zh-CN"/>
        </w:rPr>
        <w:t>6</w:t>
      </w:r>
      <w:r>
        <w:rPr>
          <w:rFonts w:hint="eastAsia" w:ascii="宋体" w:hAnsi="宋体"/>
          <w:color w:val="FF0000"/>
          <w:kern w:val="0"/>
          <w:szCs w:val="21"/>
        </w:rPr>
        <w:t>月</w:t>
      </w:r>
      <w:r>
        <w:rPr>
          <w:rFonts w:hint="eastAsia" w:ascii="宋体" w:hAnsi="宋体"/>
          <w:color w:val="FF0000"/>
          <w:kern w:val="0"/>
          <w:szCs w:val="21"/>
          <w:lang w:val="en-US" w:eastAsia="zh-CN"/>
        </w:rPr>
        <w:t>5</w:t>
      </w:r>
      <w:r>
        <w:rPr>
          <w:rFonts w:hint="eastAsia" w:ascii="宋体" w:hAnsi="宋体"/>
          <w:color w:val="FF0000"/>
          <w:kern w:val="0"/>
          <w:szCs w:val="21"/>
        </w:rPr>
        <w:t>日</w:t>
      </w:r>
      <w:r>
        <w:rPr>
          <w:rFonts w:hint="eastAsia" w:ascii="宋体" w:hAnsi="宋体"/>
          <w:color w:val="auto"/>
          <w:kern w:val="0"/>
          <w:szCs w:val="21"/>
        </w:rPr>
        <w:t>　</w:t>
      </w:r>
      <w:r>
        <w:rPr>
          <w:rFonts w:ascii="宋体" w:hAnsi="宋体"/>
          <w:color w:val="auto"/>
          <w:kern w:val="0"/>
          <w:szCs w:val="21"/>
        </w:rPr>
        <w:t>9:</w:t>
      </w:r>
      <w:r>
        <w:rPr>
          <w:rFonts w:hint="eastAsia" w:ascii="宋体" w:hAnsi="宋体"/>
          <w:color w:val="auto"/>
          <w:kern w:val="0"/>
          <w:szCs w:val="21"/>
        </w:rPr>
        <w:t>3</w:t>
      </w:r>
      <w:r>
        <w:rPr>
          <w:rFonts w:ascii="宋体" w:hAnsi="宋体"/>
          <w:color w:val="auto"/>
          <w:kern w:val="0"/>
          <w:szCs w:val="21"/>
        </w:rPr>
        <w:t>0</w:t>
      </w:r>
    </w:p>
    <w:p>
      <w:pPr>
        <w:adjustRightInd w:val="0"/>
        <w:snapToGrid w:val="0"/>
        <w:spacing w:line="360" w:lineRule="auto"/>
        <w:rPr>
          <w:rFonts w:ascii="宋体"/>
          <w:b/>
          <w:color w:val="auto"/>
          <w:kern w:val="0"/>
          <w:szCs w:val="21"/>
        </w:rPr>
      </w:pPr>
      <w:r>
        <w:rPr>
          <w:rFonts w:hint="eastAsia" w:ascii="宋体" w:hAnsi="宋体"/>
          <w:b/>
          <w:bCs/>
          <w:color w:val="auto"/>
          <w:kern w:val="0"/>
          <w:szCs w:val="21"/>
        </w:rPr>
        <w:t>八、开标地点</w:t>
      </w:r>
      <w:r>
        <w:rPr>
          <w:rFonts w:hint="eastAsia" w:ascii="宋体" w:hAnsi="宋体"/>
          <w:b/>
          <w:color w:val="auto"/>
          <w:kern w:val="0"/>
          <w:szCs w:val="21"/>
        </w:rPr>
        <w:t>：</w:t>
      </w:r>
    </w:p>
    <w:p>
      <w:pPr>
        <w:adjustRightInd w:val="0"/>
        <w:snapToGrid w:val="0"/>
        <w:spacing w:line="360" w:lineRule="auto"/>
        <w:rPr>
          <w:rFonts w:ascii="宋体"/>
          <w:color w:val="auto"/>
          <w:kern w:val="0"/>
          <w:szCs w:val="21"/>
        </w:rPr>
      </w:pPr>
      <w:r>
        <w:rPr>
          <w:rFonts w:hint="eastAsia" w:ascii="宋体" w:hAnsi="宋体"/>
          <w:color w:val="auto"/>
          <w:kern w:val="0"/>
          <w:szCs w:val="21"/>
        </w:rPr>
        <w:t>浙江中诺招标代理有限公司（杭州市下城区环城北路141号永通信息广场西楼10楼）会议室</w:t>
      </w:r>
    </w:p>
    <w:p>
      <w:pPr>
        <w:adjustRightInd w:val="0"/>
        <w:snapToGrid w:val="0"/>
        <w:spacing w:line="360" w:lineRule="auto"/>
        <w:rPr>
          <w:rFonts w:ascii="宋体"/>
          <w:b/>
          <w:color w:val="auto"/>
          <w:kern w:val="0"/>
          <w:szCs w:val="21"/>
        </w:rPr>
      </w:pPr>
      <w:r>
        <w:rPr>
          <w:rFonts w:hint="eastAsia" w:ascii="宋体" w:hAnsi="宋体"/>
          <w:b/>
          <w:color w:val="auto"/>
          <w:kern w:val="0"/>
          <w:szCs w:val="21"/>
        </w:rPr>
        <w:t>九、投标保证金：</w:t>
      </w:r>
    </w:p>
    <w:p>
      <w:pPr>
        <w:adjustRightInd w:val="0"/>
        <w:snapToGrid w:val="0"/>
        <w:spacing w:line="360" w:lineRule="auto"/>
        <w:rPr>
          <w:rFonts w:ascii="宋体"/>
          <w:color w:val="auto"/>
          <w:kern w:val="0"/>
          <w:szCs w:val="21"/>
        </w:rPr>
      </w:pPr>
      <w:r>
        <w:rPr>
          <w:rFonts w:hint="eastAsia" w:ascii="宋体" w:hAnsi="宋体"/>
          <w:color w:val="auto"/>
          <w:kern w:val="0"/>
          <w:szCs w:val="21"/>
        </w:rPr>
        <w:t>本项目不设投标保证金</w:t>
      </w:r>
    </w:p>
    <w:p>
      <w:pPr>
        <w:adjustRightInd w:val="0"/>
        <w:snapToGrid w:val="0"/>
        <w:spacing w:line="360" w:lineRule="auto"/>
        <w:rPr>
          <w:rFonts w:ascii="宋体"/>
          <w:b/>
          <w:color w:val="auto"/>
          <w:kern w:val="0"/>
          <w:szCs w:val="21"/>
        </w:rPr>
      </w:pPr>
      <w:r>
        <w:rPr>
          <w:rFonts w:hint="eastAsia" w:ascii="宋体" w:hAnsi="宋体"/>
          <w:b/>
          <w:color w:val="auto"/>
          <w:kern w:val="0"/>
          <w:szCs w:val="21"/>
        </w:rPr>
        <w:t>十、其他事项：</w:t>
      </w:r>
    </w:p>
    <w:p>
      <w:pPr>
        <w:adjustRightInd w:val="0"/>
        <w:snapToGrid w:val="0"/>
        <w:spacing w:line="360" w:lineRule="auto"/>
        <w:ind w:firstLine="420" w:firstLineChars="20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、购买标书时须提交的文件资料：</w:t>
      </w:r>
    </w:p>
    <w:p>
      <w:pPr>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有效的营业执照复印件、法定代表人委托书或介绍信、相关资质证书等（均需加盖公章）。</w:t>
      </w:r>
    </w:p>
    <w:p>
      <w:pPr>
        <w:adjustRightInd w:val="0"/>
        <w:snapToGrid w:val="0"/>
        <w:spacing w:line="360" w:lineRule="auto"/>
        <w:ind w:firstLine="420" w:firstLineChars="200"/>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、采购文件发售截止时间之后潜在供应商仍然可以购买采购文件，但该供应商如对采购文件有疑问应按采购文件规定的时间前提出，逾期提出的，采购组织机构可以不予受理、答复。</w:t>
      </w:r>
    </w:p>
    <w:p>
      <w:pPr>
        <w:tabs>
          <w:tab w:val="left" w:pos="1060"/>
        </w:tabs>
        <w:adjustRightInd w:val="0"/>
        <w:snapToGrid w:val="0"/>
        <w:spacing w:line="360" w:lineRule="auto"/>
        <w:ind w:firstLine="420" w:firstLineChars="200"/>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、供应商认为采购文件、采购过程和中标（入围）、成交结果使自己的权益受到损害的，可以在知道或者应知其权益受到损害之日起七个工作日内以书面形式向采购人、采购代理机构提出质疑。</w:t>
      </w:r>
    </w:p>
    <w:p>
      <w:pPr>
        <w:tabs>
          <w:tab w:val="left" w:pos="1060"/>
        </w:tabs>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）对采购文件提出质疑的，为收到采购文件之日或者采购文件公告期限届满之日；</w:t>
      </w:r>
    </w:p>
    <w:p>
      <w:pPr>
        <w:tabs>
          <w:tab w:val="left" w:pos="1060"/>
        </w:tabs>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）对采购过程提出质疑的，为各采购程序环节结束之日；</w:t>
      </w:r>
    </w:p>
    <w:p>
      <w:pPr>
        <w:tabs>
          <w:tab w:val="left" w:pos="1060"/>
        </w:tabs>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）对中标（入围）或者成交结果提出质疑的，为中标（入围）或者成交结果公告期限届满之日。</w:t>
      </w:r>
    </w:p>
    <w:p>
      <w:pPr>
        <w:tabs>
          <w:tab w:val="left" w:pos="1060"/>
        </w:tabs>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采购人、采购代理机构应当在</w:t>
      </w:r>
      <w:r>
        <w:rPr>
          <w:rFonts w:ascii="宋体" w:hAnsi="宋体" w:cs="宋体"/>
          <w:color w:val="auto"/>
          <w:kern w:val="0"/>
          <w:szCs w:val="21"/>
        </w:rPr>
        <w:t>3</w:t>
      </w:r>
      <w:r>
        <w:rPr>
          <w:rFonts w:hint="eastAsia" w:ascii="宋体" w:hAnsi="宋体" w:cs="宋体"/>
          <w:color w:val="auto"/>
          <w:kern w:val="0"/>
          <w:szCs w:val="21"/>
        </w:rPr>
        <w:t>个工作日内对供应商依法提出的询问作出答复。</w:t>
      </w:r>
    </w:p>
    <w:p>
      <w:pPr>
        <w:tabs>
          <w:tab w:val="left" w:pos="1060"/>
        </w:tabs>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供应商提出的询问或者质疑超出采购人对采购代理机构委托代理范围的，采购代理机构应当告知供应商向采购人提出。</w:t>
      </w:r>
    </w:p>
    <w:p>
      <w:pPr>
        <w:tabs>
          <w:tab w:val="left" w:pos="1060"/>
        </w:tabs>
        <w:adjustRightInd w:val="0"/>
        <w:snapToGrid w:val="0"/>
        <w:spacing w:line="360" w:lineRule="auto"/>
        <w:ind w:firstLine="420" w:firstLineChars="200"/>
        <w:rPr>
          <w:rFonts w:ascii="宋体" w:cs="宋体"/>
          <w:color w:val="auto"/>
          <w:kern w:val="0"/>
          <w:szCs w:val="21"/>
        </w:rPr>
      </w:pPr>
      <w:r>
        <w:rPr>
          <w:rFonts w:hint="eastAsia" w:ascii="宋体" w:hAnsi="宋体" w:cs="宋体"/>
          <w:color w:val="auto"/>
          <w:kern w:val="0"/>
          <w:szCs w:val="21"/>
        </w:rPr>
        <w:t>政府采购评审专家应当配合采购人或采购代理机构答复供应商询问和质疑。</w:t>
      </w:r>
    </w:p>
    <w:p>
      <w:pPr>
        <w:tabs>
          <w:tab w:val="left" w:pos="1060"/>
        </w:tabs>
        <w:adjustRightInd w:val="0"/>
        <w:snapToGrid w:val="0"/>
        <w:spacing w:line="360" w:lineRule="auto"/>
        <w:ind w:firstLine="420" w:firstLineChars="200"/>
        <w:rPr>
          <w:rFonts w:ascii="宋体"/>
          <w:color w:val="auto"/>
          <w:kern w:val="0"/>
          <w:szCs w:val="21"/>
        </w:rPr>
      </w:pPr>
      <w:r>
        <w:rPr>
          <w:rFonts w:hint="eastAsia" w:ascii="宋体" w:hAnsi="宋体" w:cs="宋体"/>
          <w:color w:val="auto"/>
          <w:kern w:val="0"/>
          <w:szCs w:val="21"/>
        </w:rPr>
        <w:t>供应商对采购代理机构的质疑答复不满意或者采购代理机构未在规定时间内作出答复的，可以在答复期满后十五个工作日内向同级政府采购监督管理部门投诉。</w:t>
      </w:r>
    </w:p>
    <w:p>
      <w:pPr>
        <w:tabs>
          <w:tab w:val="left" w:pos="1060"/>
        </w:tabs>
        <w:adjustRightInd w:val="0"/>
        <w:snapToGrid w:val="0"/>
        <w:spacing w:line="360" w:lineRule="auto"/>
        <w:ind w:firstLine="420" w:firstLineChars="200"/>
        <w:rPr>
          <w:rFonts w:ascii="宋体"/>
          <w:color w:val="auto"/>
          <w:kern w:val="0"/>
          <w:szCs w:val="21"/>
        </w:rPr>
      </w:pPr>
      <w:r>
        <w:rPr>
          <w:rFonts w:ascii="宋体" w:hAnsi="宋体"/>
          <w:color w:val="auto"/>
          <w:kern w:val="0"/>
          <w:szCs w:val="21"/>
        </w:rPr>
        <w:t>4</w:t>
      </w:r>
      <w:r>
        <w:rPr>
          <w:rFonts w:hint="eastAsia" w:ascii="宋体" w:hAnsi="宋体"/>
          <w:color w:val="auto"/>
          <w:kern w:val="0"/>
          <w:szCs w:val="21"/>
        </w:rPr>
        <w:t>、质疑受理地点：浙江中诺招标代理有限公司；地址：杭州市下城区环城北路141号永通信息广场西楼10楼；电话：</w:t>
      </w:r>
      <w:r>
        <w:rPr>
          <w:rFonts w:ascii="宋体" w:hAnsi="宋体"/>
          <w:color w:val="auto"/>
          <w:kern w:val="0"/>
          <w:szCs w:val="21"/>
        </w:rPr>
        <w:t>0571-88821402-80</w:t>
      </w:r>
      <w:r>
        <w:rPr>
          <w:rFonts w:hint="eastAsia" w:ascii="宋体" w:hAnsi="宋体"/>
          <w:color w:val="auto"/>
          <w:kern w:val="0"/>
          <w:szCs w:val="21"/>
        </w:rPr>
        <w:t>2。</w:t>
      </w:r>
    </w:p>
    <w:p>
      <w:pPr>
        <w:tabs>
          <w:tab w:val="left" w:pos="1060"/>
        </w:tabs>
        <w:adjustRightInd w:val="0"/>
        <w:snapToGrid w:val="0"/>
        <w:spacing w:line="360" w:lineRule="auto"/>
        <w:ind w:firstLine="420" w:firstLineChars="200"/>
        <w:rPr>
          <w:rFonts w:ascii="宋体"/>
          <w:color w:val="auto"/>
          <w:kern w:val="0"/>
          <w:szCs w:val="21"/>
        </w:rPr>
      </w:pPr>
      <w:r>
        <w:rPr>
          <w:rFonts w:ascii="宋体" w:hAnsi="宋体"/>
          <w:color w:val="auto"/>
          <w:kern w:val="0"/>
          <w:szCs w:val="21"/>
        </w:rPr>
        <w:t>5</w:t>
      </w:r>
      <w:r>
        <w:rPr>
          <w:rFonts w:hint="eastAsia" w:ascii="宋体" w:hAnsi="宋体"/>
          <w:color w:val="auto"/>
          <w:kern w:val="0"/>
          <w:szCs w:val="21"/>
        </w:rPr>
        <w:t>、投诉受理地点：杭州市财政局政府采购监管处；联系人：吕先生；联系电话：</w:t>
      </w:r>
      <w:r>
        <w:rPr>
          <w:rFonts w:ascii="宋体" w:hAnsi="宋体"/>
          <w:color w:val="auto"/>
          <w:kern w:val="0"/>
          <w:szCs w:val="21"/>
        </w:rPr>
        <w:t>0571-87715261</w:t>
      </w:r>
      <w:r>
        <w:rPr>
          <w:rFonts w:hint="eastAsia" w:ascii="宋体" w:hAnsi="宋体"/>
          <w:color w:val="auto"/>
          <w:kern w:val="0"/>
          <w:szCs w:val="21"/>
        </w:rPr>
        <w:t>。</w:t>
      </w:r>
    </w:p>
    <w:p>
      <w:pPr>
        <w:tabs>
          <w:tab w:val="left" w:pos="1060"/>
        </w:tabs>
        <w:adjustRightInd w:val="0"/>
        <w:snapToGrid w:val="0"/>
        <w:spacing w:line="360" w:lineRule="auto"/>
        <w:ind w:firstLine="420" w:firstLineChars="200"/>
        <w:rPr>
          <w:rFonts w:ascii="宋体"/>
          <w:color w:val="auto"/>
          <w:kern w:val="0"/>
          <w:szCs w:val="21"/>
        </w:rPr>
      </w:pPr>
      <w:r>
        <w:rPr>
          <w:rFonts w:ascii="宋体" w:hAnsi="宋体"/>
          <w:color w:val="auto"/>
          <w:kern w:val="0"/>
          <w:szCs w:val="21"/>
        </w:rPr>
        <w:t>6</w:t>
      </w:r>
      <w:r>
        <w:rPr>
          <w:rFonts w:hint="eastAsia" w:ascii="宋体" w:hAnsi="宋体"/>
          <w:color w:val="auto"/>
          <w:kern w:val="0"/>
          <w:szCs w:val="21"/>
        </w:rPr>
        <w:t>、采购单位：杭州市市场监督管理局；地址：杭州市凤起东路</w:t>
      </w:r>
      <w:r>
        <w:rPr>
          <w:rFonts w:ascii="宋体" w:hAnsi="宋体"/>
          <w:color w:val="auto"/>
          <w:kern w:val="0"/>
          <w:szCs w:val="21"/>
        </w:rPr>
        <w:t>109</w:t>
      </w:r>
      <w:r>
        <w:rPr>
          <w:rFonts w:hint="eastAsia" w:ascii="宋体" w:hAnsi="宋体"/>
          <w:color w:val="auto"/>
          <w:kern w:val="0"/>
          <w:szCs w:val="21"/>
        </w:rPr>
        <w:t>号；联系人：郑金春、李珊珊；联系电话：0571-</w:t>
      </w:r>
      <w:r>
        <w:rPr>
          <w:rFonts w:ascii="宋体" w:hAnsi="宋体"/>
          <w:color w:val="auto"/>
          <w:kern w:val="0"/>
          <w:szCs w:val="21"/>
        </w:rPr>
        <w:t>86438515 0571-86430928</w:t>
      </w:r>
      <w:r>
        <w:rPr>
          <w:rFonts w:hint="eastAsia" w:ascii="宋体" w:hAnsi="宋体"/>
          <w:color w:val="auto"/>
          <w:kern w:val="0"/>
          <w:szCs w:val="21"/>
        </w:rPr>
        <w:t>。</w:t>
      </w:r>
    </w:p>
    <w:p>
      <w:pPr>
        <w:tabs>
          <w:tab w:val="left" w:pos="1060"/>
          <w:tab w:val="left" w:pos="7627"/>
        </w:tabs>
        <w:autoSpaceDE w:val="0"/>
        <w:autoSpaceDN w:val="0"/>
        <w:adjustRightInd w:val="0"/>
        <w:snapToGrid w:val="0"/>
        <w:spacing w:line="360" w:lineRule="auto"/>
        <w:textAlignment w:val="bottom"/>
        <w:rPr>
          <w:rFonts w:ascii="宋体" w:cs="Arial"/>
          <w:b/>
          <w:color w:val="auto"/>
          <w:szCs w:val="21"/>
        </w:rPr>
      </w:pPr>
      <w:r>
        <w:rPr>
          <w:rFonts w:hint="eastAsia" w:ascii="宋体" w:hAnsi="宋体" w:cs="Arial"/>
          <w:b/>
          <w:color w:val="auto"/>
          <w:szCs w:val="21"/>
        </w:rPr>
        <w:t>十一、联系方式</w:t>
      </w:r>
    </w:p>
    <w:p>
      <w:pPr>
        <w:tabs>
          <w:tab w:val="left" w:pos="1060"/>
          <w:tab w:val="left" w:pos="7627"/>
        </w:tabs>
        <w:autoSpaceDE w:val="0"/>
        <w:autoSpaceDN w:val="0"/>
        <w:adjustRightInd w:val="0"/>
        <w:snapToGrid w:val="0"/>
        <w:spacing w:line="360" w:lineRule="auto"/>
        <w:ind w:firstLine="420" w:firstLineChars="200"/>
        <w:textAlignment w:val="bottom"/>
        <w:rPr>
          <w:rFonts w:ascii="宋体"/>
          <w:color w:val="auto"/>
          <w:szCs w:val="21"/>
        </w:rPr>
      </w:pPr>
      <w:r>
        <w:rPr>
          <w:rFonts w:hint="eastAsia" w:ascii="宋体" w:hAnsi="宋体"/>
          <w:color w:val="auto"/>
          <w:szCs w:val="21"/>
        </w:rPr>
        <w:t>采购代理机构：浙江中诺招标代理有限公司</w:t>
      </w:r>
    </w:p>
    <w:p>
      <w:pPr>
        <w:tabs>
          <w:tab w:val="left" w:pos="1060"/>
        </w:tabs>
        <w:autoSpaceDE w:val="0"/>
        <w:autoSpaceDN w:val="0"/>
        <w:adjustRightInd w:val="0"/>
        <w:snapToGrid w:val="0"/>
        <w:spacing w:line="360" w:lineRule="auto"/>
        <w:ind w:firstLine="420" w:firstLineChars="200"/>
        <w:rPr>
          <w:rFonts w:ascii="宋体" w:cs="宋体"/>
          <w:color w:val="auto"/>
          <w:szCs w:val="21"/>
          <w:lang w:val="zh-CN"/>
        </w:rPr>
      </w:pPr>
      <w:r>
        <w:rPr>
          <w:rFonts w:hint="eastAsia" w:ascii="宋体" w:hAnsi="宋体" w:cs="Arial"/>
          <w:color w:val="auto"/>
          <w:szCs w:val="21"/>
        </w:rPr>
        <w:t>地址：</w:t>
      </w:r>
      <w:r>
        <w:rPr>
          <w:rFonts w:hint="eastAsia" w:ascii="宋体" w:hAnsi="宋体" w:cs="宋体"/>
          <w:color w:val="auto"/>
          <w:szCs w:val="21"/>
          <w:lang w:val="zh-CN"/>
        </w:rPr>
        <w:t>杭州市下城区环城北路141号永通信息广场西楼10楼</w:t>
      </w:r>
    </w:p>
    <w:p>
      <w:pPr>
        <w:tabs>
          <w:tab w:val="left" w:pos="1060"/>
        </w:tabs>
        <w:autoSpaceDE w:val="0"/>
        <w:autoSpaceDN w:val="0"/>
        <w:adjustRightInd w:val="0"/>
        <w:snapToGrid w:val="0"/>
        <w:spacing w:line="360" w:lineRule="auto"/>
        <w:ind w:firstLine="420" w:firstLineChars="200"/>
        <w:rPr>
          <w:rFonts w:ascii="宋体"/>
          <w:color w:val="auto"/>
          <w:szCs w:val="21"/>
        </w:rPr>
      </w:pPr>
      <w:r>
        <w:rPr>
          <w:rFonts w:hint="eastAsia" w:ascii="宋体" w:hAnsi="宋体" w:cs="Arial"/>
          <w:color w:val="auto"/>
          <w:szCs w:val="21"/>
        </w:rPr>
        <w:t>邮箱：info@zngpa.cn</w:t>
      </w:r>
    </w:p>
    <w:p>
      <w:pPr>
        <w:tabs>
          <w:tab w:val="left" w:pos="1060"/>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联系人：刘宋斌</w:t>
      </w:r>
    </w:p>
    <w:p>
      <w:pPr>
        <w:tabs>
          <w:tab w:val="left" w:pos="1060"/>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联系电话：</w:t>
      </w:r>
      <w:r>
        <w:rPr>
          <w:rFonts w:ascii="宋体" w:hAnsi="宋体"/>
          <w:color w:val="auto"/>
          <w:szCs w:val="21"/>
        </w:rPr>
        <w:t>0571-88821402</w:t>
      </w:r>
    </w:p>
    <w:p>
      <w:pPr>
        <w:tabs>
          <w:tab w:val="left" w:pos="106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r>
        <w:rPr>
          <w:rFonts w:ascii="宋体" w:hAnsi="宋体"/>
          <w:color w:val="auto"/>
          <w:szCs w:val="21"/>
        </w:rPr>
        <w:t>0571-88821134</w:t>
      </w:r>
    </w:p>
    <w:p>
      <w:pPr>
        <w:tabs>
          <w:tab w:val="left" w:pos="1060"/>
        </w:tabs>
        <w:adjustRightInd w:val="0"/>
        <w:snapToGrid w:val="0"/>
        <w:spacing w:line="360" w:lineRule="auto"/>
        <w:jc w:val="center"/>
        <w:rPr>
          <w:rFonts w:ascii="黑体" w:hAnsi="黑体" w:eastAsia="黑体" w:cs="宋体"/>
          <w:color w:val="auto"/>
          <w:sz w:val="32"/>
          <w:szCs w:val="32"/>
          <w:highlight w:val="yellow"/>
        </w:rPr>
      </w:pPr>
      <w:r>
        <w:rPr>
          <w:rFonts w:ascii="宋体" w:hAnsi="宋体"/>
          <w:color w:val="auto"/>
          <w:szCs w:val="21"/>
        </w:rPr>
        <w:br w:type="page"/>
      </w:r>
      <w:bookmarkStart w:id="5" w:name="B17_投标供应商的资格要求"/>
      <w:bookmarkEnd w:id="5"/>
      <w:r>
        <w:rPr>
          <w:rFonts w:hint="eastAsia" w:ascii="黑体" w:hAnsi="黑体" w:eastAsia="黑体" w:cs="宋体"/>
          <w:color w:val="auto"/>
          <w:sz w:val="32"/>
          <w:szCs w:val="32"/>
        </w:rPr>
        <w:t>投标须知前附表</w:t>
      </w:r>
    </w:p>
    <w:tbl>
      <w:tblPr>
        <w:tblStyle w:val="27"/>
        <w:tblW w:w="883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3"/>
        <w:gridCol w:w="1958"/>
        <w:gridCol w:w="60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b/>
                <w:bCs/>
                <w:snapToGrid w:val="0"/>
                <w:color w:val="auto"/>
                <w:kern w:val="0"/>
                <w:szCs w:val="21"/>
              </w:rPr>
            </w:pPr>
            <w:r>
              <w:rPr>
                <w:rFonts w:hint="eastAsia" w:ascii="宋体" w:hAnsi="宋体" w:cs="宋体"/>
                <w:b/>
                <w:bCs/>
                <w:snapToGrid w:val="0"/>
                <w:color w:val="auto"/>
                <w:kern w:val="0"/>
                <w:szCs w:val="21"/>
              </w:rPr>
              <w:t>序号</w:t>
            </w:r>
          </w:p>
        </w:tc>
        <w:tc>
          <w:tcPr>
            <w:tcW w:w="1958" w:type="dxa"/>
            <w:vAlign w:val="center"/>
          </w:tcPr>
          <w:p>
            <w:pPr>
              <w:adjustRightInd w:val="0"/>
              <w:snapToGrid w:val="0"/>
              <w:jc w:val="center"/>
              <w:rPr>
                <w:rFonts w:ascii="宋体" w:cs="宋体"/>
                <w:b/>
                <w:bCs/>
                <w:snapToGrid w:val="0"/>
                <w:color w:val="auto"/>
                <w:kern w:val="0"/>
                <w:szCs w:val="21"/>
              </w:rPr>
            </w:pPr>
            <w:r>
              <w:rPr>
                <w:rFonts w:hint="eastAsia" w:ascii="宋体" w:hAnsi="宋体" w:cs="宋体"/>
                <w:b/>
                <w:bCs/>
                <w:snapToGrid w:val="0"/>
                <w:color w:val="auto"/>
                <w:kern w:val="0"/>
                <w:szCs w:val="21"/>
              </w:rPr>
              <w:t>项目</w:t>
            </w:r>
          </w:p>
        </w:tc>
        <w:tc>
          <w:tcPr>
            <w:tcW w:w="6035" w:type="dxa"/>
            <w:vAlign w:val="center"/>
          </w:tcPr>
          <w:p>
            <w:pPr>
              <w:adjustRightInd w:val="0"/>
              <w:snapToGrid w:val="0"/>
              <w:jc w:val="center"/>
              <w:rPr>
                <w:rFonts w:ascii="宋体" w:cs="宋体"/>
                <w:b/>
                <w:bCs/>
                <w:snapToGrid w:val="0"/>
                <w:color w:val="auto"/>
                <w:kern w:val="0"/>
                <w:szCs w:val="21"/>
              </w:rPr>
            </w:pPr>
            <w:r>
              <w:rPr>
                <w:rFonts w:hint="eastAsia" w:ascii="宋体" w:hAnsi="宋体" w:cs="宋体"/>
                <w:b/>
                <w:bCs/>
                <w:snapToGrid w:val="0"/>
                <w:color w:val="auto"/>
                <w:kern w:val="0"/>
                <w:szCs w:val="21"/>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项目名称</w:t>
            </w:r>
          </w:p>
        </w:tc>
        <w:tc>
          <w:tcPr>
            <w:tcW w:w="6035" w:type="dxa"/>
            <w:vAlign w:val="center"/>
          </w:tcPr>
          <w:p>
            <w:pPr>
              <w:widowControl/>
              <w:adjustRightInd w:val="0"/>
              <w:snapToGrid w:val="0"/>
              <w:rPr>
                <w:rFonts w:ascii="宋体" w:cs="宋体"/>
                <w:color w:val="auto"/>
                <w:szCs w:val="21"/>
              </w:rPr>
            </w:pPr>
            <w:r>
              <w:rPr>
                <w:rFonts w:hint="eastAsia" w:ascii="宋体" w:hAnsi="宋体" w:cs="宋体"/>
                <w:bCs/>
                <w:color w:val="auto"/>
                <w:szCs w:val="21"/>
              </w:rPr>
              <w:t>杭州市流通领域</w:t>
            </w:r>
            <w:r>
              <w:rPr>
                <w:rFonts w:ascii="宋体" w:hAnsi="宋体" w:cs="宋体"/>
                <w:bCs/>
                <w:color w:val="auto"/>
                <w:szCs w:val="21"/>
              </w:rPr>
              <w:t>(</w:t>
            </w:r>
            <w:r>
              <w:rPr>
                <w:rFonts w:hint="eastAsia" w:ascii="宋体" w:hAnsi="宋体" w:cs="宋体"/>
                <w:bCs/>
                <w:color w:val="auto"/>
                <w:szCs w:val="21"/>
              </w:rPr>
              <w:t>网络</w:t>
            </w:r>
            <w:r>
              <w:rPr>
                <w:rFonts w:ascii="宋体" w:hAnsi="宋体" w:cs="宋体"/>
                <w:bCs/>
                <w:color w:val="auto"/>
                <w:szCs w:val="21"/>
              </w:rPr>
              <w:t>)</w:t>
            </w:r>
            <w:r>
              <w:rPr>
                <w:rFonts w:hint="eastAsia" w:ascii="宋体" w:hAnsi="宋体" w:cs="宋体"/>
                <w:bCs/>
                <w:color w:val="auto"/>
                <w:szCs w:val="21"/>
              </w:rPr>
              <w:t>商品质量抽检承检机构备选库入围政府采购项目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招标编号</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ZJZN-19833-SJ03 -01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3</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招标方式</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公开招标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4</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项目实施地点</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5</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资金来源</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6</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color w:val="auto"/>
                <w:szCs w:val="21"/>
              </w:rPr>
              <w:t>项目内容</w:t>
            </w:r>
          </w:p>
        </w:tc>
        <w:tc>
          <w:tcPr>
            <w:tcW w:w="6035" w:type="dxa"/>
            <w:vAlign w:val="center"/>
          </w:tcPr>
          <w:p>
            <w:pPr>
              <w:adjustRightInd w:val="0"/>
              <w:snapToGrid w:val="0"/>
              <w:rPr>
                <w:rFonts w:ascii="宋体" w:cs="宋体"/>
                <w:color w:val="auto"/>
                <w:szCs w:val="21"/>
              </w:rPr>
            </w:pPr>
            <w:r>
              <w:rPr>
                <w:rFonts w:hint="eastAsia" w:ascii="宋体" w:hAnsi="宋体" w:cs="宋体"/>
                <w:color w:val="auto"/>
                <w:szCs w:val="21"/>
              </w:rPr>
              <w:t>详见招标文件第三部分项目服务范围、要求及标准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7</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服务期</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bCs/>
                <w:color w:val="auto"/>
                <w:szCs w:val="21"/>
              </w:rPr>
              <w:t>本次招标入围资格自合同签订之日起至2019年12月31日内有效，合同结束后入围投标人通过采购人考核评价，服务良好，可再续签合同，续签合同不超过一次。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8</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质量要求</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color w:val="auto"/>
                <w:szCs w:val="21"/>
              </w:rPr>
              <w:t>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9</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投标资格要求</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color w:val="auto"/>
                <w:kern w:val="0"/>
                <w:szCs w:val="21"/>
                <w:lang w:val="zh-CN"/>
              </w:rPr>
              <w:t>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10</w:t>
            </w:r>
          </w:p>
        </w:tc>
        <w:tc>
          <w:tcPr>
            <w:tcW w:w="1958" w:type="dxa"/>
            <w:vAlign w:val="center"/>
          </w:tcPr>
          <w:p>
            <w:pPr>
              <w:adjustRightInd w:val="0"/>
              <w:snapToGrid w:val="0"/>
              <w:rPr>
                <w:rFonts w:ascii="宋体" w:cs="宋体"/>
                <w:color w:val="auto"/>
                <w:szCs w:val="21"/>
              </w:rPr>
            </w:pPr>
            <w:r>
              <w:rPr>
                <w:rFonts w:hint="eastAsia" w:ascii="宋体" w:hAnsi="宋体" w:cs="宋体"/>
                <w:color w:val="auto"/>
                <w:szCs w:val="21"/>
              </w:rPr>
              <w:t>踏勘现场</w:t>
            </w:r>
          </w:p>
        </w:tc>
        <w:tc>
          <w:tcPr>
            <w:tcW w:w="6035" w:type="dxa"/>
            <w:vAlign w:val="center"/>
          </w:tcPr>
          <w:p>
            <w:pPr>
              <w:adjustRightInd w:val="0"/>
              <w:snapToGrid w:val="0"/>
              <w:rPr>
                <w:rFonts w:ascii="宋体" w:cs="宋体"/>
                <w:color w:val="auto"/>
                <w:szCs w:val="21"/>
              </w:rPr>
            </w:pPr>
            <w:r>
              <w:rPr>
                <w:rFonts w:hint="eastAsia" w:ascii="宋体" w:hAnsi="宋体" w:cs="宋体"/>
                <w:color w:val="auto"/>
                <w:szCs w:val="21"/>
              </w:rPr>
              <w:t>采购人不组织现场踏勘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11</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投标保证金</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详见《招标公告》第九条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12</w:t>
            </w:r>
          </w:p>
        </w:tc>
        <w:tc>
          <w:tcPr>
            <w:tcW w:w="1958" w:type="dxa"/>
            <w:vAlign w:val="center"/>
          </w:tcPr>
          <w:p>
            <w:pPr>
              <w:adjustRightInd w:val="0"/>
              <w:snapToGrid w:val="0"/>
              <w:rPr>
                <w:rFonts w:ascii="宋体" w:cs="宋体"/>
                <w:color w:val="auto"/>
                <w:szCs w:val="21"/>
                <w:lang w:val="zh-CN"/>
              </w:rPr>
            </w:pPr>
            <w:r>
              <w:rPr>
                <w:rFonts w:hint="eastAsia" w:ascii="宋体" w:hAnsi="宋体" w:cs="宋体"/>
                <w:color w:val="auto"/>
                <w:szCs w:val="21"/>
                <w:lang w:val="zh-CN"/>
              </w:rPr>
              <w:t>招标文件答疑</w:t>
            </w:r>
          </w:p>
        </w:tc>
        <w:tc>
          <w:tcPr>
            <w:tcW w:w="6035" w:type="dxa"/>
            <w:vAlign w:val="center"/>
          </w:tcPr>
          <w:p>
            <w:pPr>
              <w:adjustRightInd w:val="0"/>
              <w:snapToGrid w:val="0"/>
              <w:rPr>
                <w:rFonts w:ascii="宋体" w:cs="宋体"/>
                <w:color w:val="auto"/>
                <w:szCs w:val="21"/>
              </w:rPr>
            </w:pPr>
            <w:r>
              <w:rPr>
                <w:rFonts w:hint="eastAsia" w:ascii="宋体" w:hAnsi="宋体" w:cs="宋体"/>
                <w:color w:val="auto"/>
                <w:szCs w:val="21"/>
              </w:rPr>
              <w:t>投标人应于</w:t>
            </w:r>
            <w:r>
              <w:rPr>
                <w:rFonts w:hint="eastAsia" w:ascii="宋体" w:hAnsi="宋体" w:cs="宋体"/>
                <w:color w:val="auto"/>
                <w:szCs w:val="21"/>
                <w:u w:val="single"/>
              </w:rPr>
              <w:t>2019</w:t>
            </w:r>
            <w:r>
              <w:rPr>
                <w:rFonts w:hint="eastAsia" w:ascii="宋体" w:hAnsi="宋体" w:cs="宋体"/>
                <w:color w:val="auto"/>
                <w:szCs w:val="21"/>
              </w:rPr>
              <w:t>年</w:t>
            </w:r>
            <w:r>
              <w:rPr>
                <w:rFonts w:hint="eastAsia" w:ascii="宋体" w:hAnsi="宋体" w:cs="宋体"/>
                <w:color w:val="auto"/>
                <w:szCs w:val="21"/>
                <w:u w:val="single"/>
              </w:rPr>
              <w:t>5</w:t>
            </w:r>
            <w:r>
              <w:rPr>
                <w:rFonts w:hint="eastAsia" w:ascii="宋体" w:hAnsi="宋体" w:cs="宋体"/>
                <w:color w:val="auto"/>
                <w:szCs w:val="21"/>
              </w:rPr>
              <w:t>月</w:t>
            </w:r>
            <w:r>
              <w:rPr>
                <w:rFonts w:hint="eastAsia" w:ascii="宋体" w:hAnsi="宋体" w:cs="宋体"/>
                <w:color w:val="auto"/>
                <w:szCs w:val="21"/>
                <w:u w:val="single"/>
              </w:rPr>
              <w:t>20</w:t>
            </w:r>
            <w:r>
              <w:rPr>
                <w:rFonts w:hint="eastAsia" w:ascii="宋体" w:hAnsi="宋体" w:cs="宋体"/>
                <w:color w:val="auto"/>
                <w:szCs w:val="21"/>
              </w:rPr>
              <w:t>日下午</w:t>
            </w:r>
            <w:r>
              <w:rPr>
                <w:rFonts w:ascii="宋体" w:hAnsi="宋体" w:cs="宋体"/>
                <w:color w:val="auto"/>
                <w:szCs w:val="21"/>
                <w:u w:val="single"/>
              </w:rPr>
              <w:t>17</w:t>
            </w:r>
            <w:r>
              <w:rPr>
                <w:rFonts w:hint="eastAsia" w:ascii="宋体" w:hAnsi="宋体" w:cs="宋体"/>
                <w:color w:val="auto"/>
                <w:szCs w:val="21"/>
              </w:rPr>
              <w:t>时之前将要求澄清的问题以书面形式送达采购代理机构，采购单位与采购代理机构研究后，将以书面解答形式通知所有招标文件收受人。</w:t>
            </w:r>
          </w:p>
          <w:p>
            <w:pPr>
              <w:adjustRightInd w:val="0"/>
              <w:snapToGrid w:val="0"/>
              <w:rPr>
                <w:rFonts w:ascii="宋体" w:cs="宋体"/>
                <w:color w:val="auto"/>
                <w:szCs w:val="21"/>
                <w:lang w:val="zh-CN"/>
              </w:rPr>
            </w:pPr>
            <w:r>
              <w:rPr>
                <w:rFonts w:hint="eastAsia" w:ascii="宋体" w:hAnsi="宋体" w:cs="宋体"/>
                <w:b/>
                <w:color w:val="auto"/>
                <w:szCs w:val="21"/>
              </w:rPr>
              <w:t>注：答疑截止后投标人提出的任何疑问采购人将不予受理。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13</w:t>
            </w:r>
          </w:p>
        </w:tc>
        <w:tc>
          <w:tcPr>
            <w:tcW w:w="1958" w:type="dxa"/>
            <w:vAlign w:val="center"/>
          </w:tcPr>
          <w:p>
            <w:pPr>
              <w:adjustRightInd w:val="0"/>
              <w:snapToGrid w:val="0"/>
              <w:rPr>
                <w:rFonts w:ascii="宋体" w:cs="宋体"/>
                <w:color w:val="auto"/>
                <w:szCs w:val="21"/>
                <w:lang w:val="zh-CN"/>
              </w:rPr>
            </w:pPr>
            <w:r>
              <w:rPr>
                <w:rFonts w:hint="eastAsia" w:ascii="宋体" w:hAnsi="宋体" w:cs="宋体"/>
                <w:color w:val="auto"/>
                <w:szCs w:val="21"/>
                <w:lang w:val="zh-CN"/>
              </w:rPr>
              <w:t>招标文件的澄清与修改</w:t>
            </w:r>
          </w:p>
        </w:tc>
        <w:tc>
          <w:tcPr>
            <w:tcW w:w="6035" w:type="dxa"/>
            <w:vAlign w:val="center"/>
          </w:tcPr>
          <w:p>
            <w:pPr>
              <w:adjustRightInd w:val="0"/>
              <w:snapToGrid w:val="0"/>
              <w:rPr>
                <w:rFonts w:ascii="宋体" w:cs="宋体"/>
                <w:color w:val="auto"/>
                <w:szCs w:val="21"/>
              </w:rPr>
            </w:pPr>
            <w:r>
              <w:rPr>
                <w:rFonts w:hint="eastAsia" w:ascii="宋体" w:hAnsi="宋体" w:cs="宋体"/>
                <w:color w:val="auto"/>
                <w:szCs w:val="21"/>
              </w:rPr>
              <w:t>在投标截止时间</w:t>
            </w:r>
            <w:r>
              <w:rPr>
                <w:rFonts w:ascii="宋体" w:hAnsi="宋体" w:cs="宋体"/>
                <w:color w:val="auto"/>
                <w:szCs w:val="21"/>
              </w:rPr>
              <w:t>15</w:t>
            </w:r>
            <w:r>
              <w:rPr>
                <w:rFonts w:hint="eastAsia" w:ascii="宋体" w:hAnsi="宋体" w:cs="宋体"/>
                <w:color w:val="auto"/>
                <w:szCs w:val="21"/>
              </w:rPr>
              <w:t>天前，采购人有权澄清和修改招标文件，并以书面形式通知所有已购买招标文件的投标人。修改和澄清（答疑）答复的文件作为招标文件的补充和组成部分，对所有投标人均有约束力。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14</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投标文件份数</w:t>
            </w:r>
          </w:p>
        </w:tc>
        <w:tc>
          <w:tcPr>
            <w:tcW w:w="6035" w:type="dxa"/>
            <w:vAlign w:val="center"/>
          </w:tcPr>
          <w:p>
            <w:pPr>
              <w:adjustRightInd w:val="0"/>
              <w:snapToGrid w:val="0"/>
              <w:rPr>
                <w:rFonts w:ascii="宋体" w:hAnsi="宋体" w:cs="宋体"/>
                <w:color w:val="auto"/>
                <w:szCs w:val="21"/>
              </w:rPr>
            </w:pPr>
            <w:r>
              <w:rPr>
                <w:rFonts w:hint="eastAsia" w:ascii="宋体" w:hAnsi="宋体" w:cs="宋体"/>
                <w:color w:val="auto"/>
                <w:szCs w:val="21"/>
              </w:rPr>
              <w:t>正本一份、副本七份，电子文档（报价部分）一份，电子文档（技术文件部分、商务文件部分）一份。所有投标文件分标项分别制作。不接受活页装订的标书。</w:t>
            </w:r>
          </w:p>
          <w:p>
            <w:pPr>
              <w:adjustRightInd w:val="0"/>
              <w:snapToGrid w:val="0"/>
              <w:rPr>
                <w:rFonts w:ascii="宋体" w:hAnsi="宋体" w:cs="宋体"/>
                <w:color w:val="auto"/>
                <w:szCs w:val="21"/>
              </w:rPr>
            </w:pPr>
            <w:r>
              <w:rPr>
                <w:rFonts w:hint="eastAsia" w:ascii="宋体" w:hAnsi="宋体" w:cs="宋体"/>
                <w:color w:val="auto"/>
                <w:szCs w:val="21"/>
              </w:rPr>
              <w:t>投标文件副本可以是正本的清晰复印件。</w:t>
            </w:r>
          </w:p>
          <w:p>
            <w:pPr>
              <w:adjustRightInd w:val="0"/>
              <w:snapToGrid w:val="0"/>
              <w:rPr>
                <w:rFonts w:ascii="宋体" w:hAnsi="宋体" w:cs="宋体"/>
                <w:color w:val="auto"/>
                <w:szCs w:val="21"/>
              </w:rPr>
            </w:pPr>
            <w:r>
              <w:rPr>
                <w:rFonts w:hint="eastAsia" w:ascii="宋体" w:hAnsi="宋体" w:cs="宋体"/>
                <w:color w:val="auto"/>
                <w:szCs w:val="21"/>
              </w:rPr>
              <w:t>投标文件电子文档须提供纸质文件的电子版（word文档非扫描件，无需签字、盖章），载体须为USB闪存盘。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15</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评标办法</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综合评分法，</w:t>
            </w:r>
            <w:r>
              <w:rPr>
                <w:rFonts w:hint="eastAsia" w:ascii="宋体" w:hAnsi="宋体" w:cs="宋体"/>
                <w:color w:val="auto"/>
                <w:szCs w:val="21"/>
              </w:rPr>
              <w:t>具体评分办法详见招标文件相关内容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b/>
                <w:bCs/>
                <w:snapToGrid w:val="0"/>
                <w:color w:val="auto"/>
                <w:kern w:val="0"/>
                <w:szCs w:val="21"/>
              </w:rPr>
            </w:pPr>
            <w:r>
              <w:rPr>
                <w:rFonts w:ascii="宋体" w:hAnsi="宋体" w:cs="宋体"/>
                <w:snapToGrid w:val="0"/>
                <w:color w:val="auto"/>
                <w:kern w:val="0"/>
                <w:szCs w:val="21"/>
              </w:rPr>
              <w:t>16</w:t>
            </w:r>
          </w:p>
        </w:tc>
        <w:tc>
          <w:tcPr>
            <w:tcW w:w="1958" w:type="dxa"/>
            <w:vAlign w:val="center"/>
          </w:tcPr>
          <w:p>
            <w:pPr>
              <w:adjustRightInd w:val="0"/>
              <w:snapToGrid w:val="0"/>
              <w:rPr>
                <w:rFonts w:ascii="宋体" w:cs="宋体"/>
                <w:b/>
                <w:bCs/>
                <w:snapToGrid w:val="0"/>
                <w:color w:val="auto"/>
                <w:kern w:val="0"/>
                <w:szCs w:val="21"/>
              </w:rPr>
            </w:pPr>
            <w:r>
              <w:rPr>
                <w:rFonts w:hint="eastAsia" w:ascii="宋体" w:hAnsi="宋体" w:cs="宋体"/>
                <w:snapToGrid w:val="0"/>
                <w:color w:val="auto"/>
                <w:kern w:val="0"/>
                <w:szCs w:val="21"/>
              </w:rPr>
              <w:t>投标文件递交地点</w:t>
            </w:r>
          </w:p>
        </w:tc>
        <w:tc>
          <w:tcPr>
            <w:tcW w:w="6035" w:type="dxa"/>
            <w:vAlign w:val="center"/>
          </w:tcPr>
          <w:p>
            <w:pPr>
              <w:adjustRightInd w:val="0"/>
              <w:snapToGrid w:val="0"/>
              <w:rPr>
                <w:rFonts w:ascii="宋体" w:cs="宋体"/>
                <w:bCs/>
                <w:snapToGrid w:val="0"/>
                <w:color w:val="auto"/>
                <w:kern w:val="0"/>
                <w:szCs w:val="21"/>
              </w:rPr>
            </w:pPr>
            <w:r>
              <w:rPr>
                <w:rFonts w:hint="eastAsia" w:ascii="宋体" w:hAnsi="宋体" w:cs="宋体"/>
                <w:bCs/>
                <w:snapToGrid w:val="0"/>
                <w:color w:val="auto"/>
                <w:kern w:val="0"/>
                <w:szCs w:val="21"/>
              </w:rPr>
              <w:t>浙江中诺招标代理有限公司会议室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17</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投标截止时间</w:t>
            </w:r>
          </w:p>
        </w:tc>
        <w:tc>
          <w:tcPr>
            <w:tcW w:w="6035" w:type="dxa"/>
            <w:vAlign w:val="center"/>
          </w:tcPr>
          <w:p>
            <w:pPr>
              <w:adjustRightInd w:val="0"/>
              <w:snapToGrid w:val="0"/>
              <w:rPr>
                <w:rFonts w:ascii="宋体" w:cs="宋体"/>
                <w:color w:val="auto"/>
                <w:kern w:val="0"/>
                <w:szCs w:val="21"/>
                <w:lang w:val="zh-CN"/>
              </w:rPr>
            </w:pPr>
            <w:r>
              <w:rPr>
                <w:rFonts w:hint="eastAsia" w:ascii="宋体" w:hAnsi="宋体" w:cs="宋体"/>
                <w:color w:val="auto"/>
                <w:kern w:val="0"/>
                <w:szCs w:val="21"/>
              </w:rPr>
              <w:t>2019年</w:t>
            </w:r>
            <w:r>
              <w:rPr>
                <w:rFonts w:hint="eastAsia" w:ascii="宋体" w:hAnsi="宋体" w:cs="宋体"/>
                <w:color w:val="FF0000"/>
                <w:kern w:val="0"/>
                <w:szCs w:val="21"/>
                <w:lang w:val="en-US" w:eastAsia="zh-CN"/>
              </w:rPr>
              <w:t>6</w:t>
            </w:r>
            <w:r>
              <w:rPr>
                <w:rFonts w:hint="eastAsia" w:ascii="宋体" w:hAnsi="宋体" w:cs="宋体"/>
                <w:bCs/>
                <w:color w:val="FF0000"/>
                <w:kern w:val="0"/>
                <w:szCs w:val="21"/>
              </w:rPr>
              <w:t>月</w:t>
            </w:r>
            <w:r>
              <w:rPr>
                <w:rFonts w:hint="eastAsia" w:ascii="宋体" w:hAnsi="宋体" w:cs="宋体"/>
                <w:bCs/>
                <w:color w:val="FF0000"/>
                <w:kern w:val="0"/>
                <w:szCs w:val="21"/>
                <w:lang w:val="en-US" w:eastAsia="zh-CN"/>
              </w:rPr>
              <w:t>5</w:t>
            </w:r>
            <w:r>
              <w:rPr>
                <w:rFonts w:hint="eastAsia" w:ascii="宋体" w:hAnsi="宋体" w:cs="宋体"/>
                <w:color w:val="FF0000"/>
                <w:kern w:val="0"/>
                <w:szCs w:val="21"/>
              </w:rPr>
              <w:t>日</w:t>
            </w:r>
            <w:r>
              <w:rPr>
                <w:rFonts w:ascii="宋体" w:hAnsi="宋体" w:cs="宋体"/>
                <w:color w:val="auto"/>
                <w:kern w:val="0"/>
                <w:szCs w:val="21"/>
              </w:rPr>
              <w:t>09</w:t>
            </w:r>
            <w:r>
              <w:rPr>
                <w:rFonts w:hint="eastAsia" w:ascii="宋体" w:hAnsi="宋体" w:cs="宋体"/>
                <w:color w:val="auto"/>
                <w:kern w:val="0"/>
                <w:szCs w:val="21"/>
              </w:rPr>
              <w:t>时3</w:t>
            </w:r>
            <w:r>
              <w:rPr>
                <w:rFonts w:ascii="宋体" w:cs="宋体"/>
                <w:color w:val="auto"/>
                <w:kern w:val="0"/>
                <w:szCs w:val="21"/>
              </w:rPr>
              <w:t>0</w:t>
            </w:r>
            <w:r>
              <w:rPr>
                <w:rFonts w:hint="eastAsia" w:ascii="宋体" w:hAnsi="宋体" w:cs="宋体"/>
                <w:color w:val="auto"/>
                <w:kern w:val="0"/>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18</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开标时间和地点</w:t>
            </w:r>
          </w:p>
        </w:tc>
        <w:tc>
          <w:tcPr>
            <w:tcW w:w="6035" w:type="dxa"/>
            <w:vAlign w:val="center"/>
          </w:tcPr>
          <w:p>
            <w:pPr>
              <w:adjustRightInd w:val="0"/>
              <w:snapToGrid w:val="0"/>
              <w:rPr>
                <w:rFonts w:ascii="宋体" w:cs="宋体"/>
                <w:color w:val="auto"/>
                <w:kern w:val="0"/>
                <w:szCs w:val="21"/>
                <w:lang w:val="zh-CN"/>
              </w:rPr>
            </w:pPr>
            <w:r>
              <w:rPr>
                <w:rFonts w:hint="eastAsia" w:ascii="宋体" w:hAnsi="宋体" w:cs="宋体"/>
                <w:color w:val="auto"/>
                <w:kern w:val="0"/>
                <w:szCs w:val="21"/>
                <w:lang w:val="zh-CN"/>
              </w:rPr>
              <w:t>时间：</w:t>
            </w:r>
            <w:r>
              <w:rPr>
                <w:rFonts w:hint="eastAsia" w:ascii="宋体" w:hAnsi="宋体" w:cs="宋体"/>
                <w:color w:val="auto"/>
                <w:kern w:val="0"/>
                <w:szCs w:val="21"/>
              </w:rPr>
              <w:t>2019年</w:t>
            </w:r>
            <w:r>
              <w:rPr>
                <w:rFonts w:hint="eastAsia" w:ascii="宋体" w:hAnsi="宋体" w:cs="宋体"/>
                <w:color w:val="FF0000"/>
                <w:kern w:val="0"/>
                <w:szCs w:val="21"/>
                <w:lang w:val="en-US" w:eastAsia="zh-CN"/>
              </w:rPr>
              <w:t>6</w:t>
            </w:r>
            <w:r>
              <w:rPr>
                <w:rFonts w:hint="eastAsia" w:ascii="宋体" w:hAnsi="宋体" w:cs="宋体"/>
                <w:color w:val="FF0000"/>
                <w:kern w:val="0"/>
                <w:szCs w:val="21"/>
              </w:rPr>
              <w:t>月</w:t>
            </w:r>
            <w:r>
              <w:rPr>
                <w:rFonts w:hint="eastAsia" w:ascii="宋体" w:hAnsi="宋体" w:cs="宋体"/>
                <w:color w:val="FF0000"/>
                <w:kern w:val="0"/>
                <w:szCs w:val="21"/>
                <w:lang w:val="en-US" w:eastAsia="zh-CN"/>
              </w:rPr>
              <w:t>5</w:t>
            </w:r>
            <w:r>
              <w:rPr>
                <w:rFonts w:hint="eastAsia" w:ascii="宋体" w:hAnsi="宋体" w:cs="宋体"/>
                <w:color w:val="FF0000"/>
                <w:kern w:val="0"/>
                <w:szCs w:val="21"/>
              </w:rPr>
              <w:t>日</w:t>
            </w:r>
            <w:r>
              <w:rPr>
                <w:rFonts w:ascii="宋体" w:hAnsi="宋体" w:cs="宋体"/>
                <w:color w:val="auto"/>
                <w:kern w:val="0"/>
                <w:szCs w:val="21"/>
              </w:rPr>
              <w:t>09</w:t>
            </w:r>
            <w:r>
              <w:rPr>
                <w:rFonts w:hint="eastAsia" w:ascii="宋体" w:hAnsi="宋体" w:cs="宋体"/>
                <w:color w:val="auto"/>
                <w:kern w:val="0"/>
                <w:szCs w:val="21"/>
              </w:rPr>
              <w:t>时3</w:t>
            </w:r>
            <w:r>
              <w:rPr>
                <w:rFonts w:ascii="宋体" w:cs="宋体"/>
                <w:color w:val="auto"/>
                <w:kern w:val="0"/>
                <w:szCs w:val="21"/>
              </w:rPr>
              <w:t>0</w:t>
            </w:r>
            <w:r>
              <w:rPr>
                <w:rFonts w:hint="eastAsia" w:ascii="宋体" w:hAnsi="宋体" w:cs="宋体"/>
                <w:color w:val="auto"/>
                <w:kern w:val="0"/>
                <w:szCs w:val="21"/>
              </w:rPr>
              <w:t>分</w:t>
            </w:r>
          </w:p>
          <w:p>
            <w:pPr>
              <w:adjustRightInd w:val="0"/>
              <w:snapToGrid w:val="0"/>
              <w:rPr>
                <w:rFonts w:ascii="宋体" w:cs="宋体"/>
                <w:color w:val="auto"/>
                <w:kern w:val="0"/>
                <w:szCs w:val="21"/>
                <w:lang w:val="zh-CN"/>
              </w:rPr>
            </w:pPr>
            <w:r>
              <w:rPr>
                <w:rFonts w:hint="eastAsia" w:ascii="宋体" w:hAnsi="宋体" w:cs="宋体"/>
                <w:color w:val="auto"/>
                <w:kern w:val="0"/>
                <w:szCs w:val="21"/>
                <w:lang w:val="zh-CN"/>
              </w:rPr>
              <w:t>地址：同投标文件递交地点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19</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投标有效期</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投标截止日后</w:t>
            </w:r>
            <w:r>
              <w:rPr>
                <w:rFonts w:ascii="宋体" w:hAnsi="宋体" w:cs="宋体"/>
                <w:snapToGrid w:val="0"/>
                <w:color w:val="auto"/>
                <w:kern w:val="0"/>
                <w:szCs w:val="21"/>
              </w:rPr>
              <w:t>90</w:t>
            </w:r>
            <w:r>
              <w:rPr>
                <w:rFonts w:hint="eastAsia" w:ascii="宋体" w:hAnsi="宋体" w:cs="宋体"/>
                <w:snapToGrid w:val="0"/>
                <w:color w:val="auto"/>
                <w:kern w:val="0"/>
                <w:szCs w:val="21"/>
              </w:rPr>
              <w:t>天内有效，不足有效期的，其投标视为无效标。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20</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评标委员会</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依法组建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21</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履约保证金</w:t>
            </w:r>
          </w:p>
        </w:tc>
        <w:tc>
          <w:tcPr>
            <w:tcW w:w="6035" w:type="dxa"/>
            <w:vAlign w:val="center"/>
          </w:tcPr>
          <w:p>
            <w:pPr>
              <w:adjustRightInd w:val="0"/>
              <w:snapToGrid w:val="0"/>
              <w:rPr>
                <w:rFonts w:ascii="宋体" w:cs="宋体"/>
                <w:snapToGrid w:val="0"/>
                <w:color w:val="auto"/>
                <w:w w:val="95"/>
                <w:kern w:val="0"/>
                <w:szCs w:val="21"/>
              </w:rPr>
            </w:pPr>
            <w:r>
              <w:rPr>
                <w:rFonts w:hint="eastAsia" w:ascii="宋体" w:hAnsi="宋体" w:cs="宋体"/>
                <w:snapToGrid w:val="0"/>
                <w:color w:val="auto"/>
                <w:kern w:val="0"/>
                <w:szCs w:val="21"/>
              </w:rPr>
              <w:t>入围供应商在入围通知书发出后5天内，向采购人提交壹万元的履约保证金。履约保证金以电汇、汇票、支票、银行保函等形式递交，合同期结束，履约保证金无息退还。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22</w:t>
            </w:r>
          </w:p>
        </w:tc>
        <w:tc>
          <w:tcPr>
            <w:tcW w:w="1958" w:type="dxa"/>
            <w:vAlign w:val="center"/>
          </w:tcPr>
          <w:p>
            <w:pPr>
              <w:adjustRightInd w:val="0"/>
              <w:snapToGrid w:val="0"/>
              <w:rPr>
                <w:rFonts w:ascii="宋体" w:cs="宋体"/>
                <w:b/>
                <w:bCs/>
                <w:color w:val="auto"/>
                <w:szCs w:val="21"/>
                <w:lang w:val="zh-CN"/>
              </w:rPr>
            </w:pPr>
            <w:r>
              <w:rPr>
                <w:rFonts w:hint="eastAsia" w:ascii="宋体" w:hAnsi="宋体" w:cs="宋体"/>
                <w:snapToGrid w:val="0"/>
                <w:color w:val="auto"/>
                <w:kern w:val="0"/>
                <w:szCs w:val="21"/>
              </w:rPr>
              <w:t>中标（入围）公告发布媒体</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浙江省政府采购网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23</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联合体与分包</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本项目不允许联合体投标；本项目未经采购人同意，不允许分包。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24</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质疑</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根据《政府采购法》第五十二条</w:t>
            </w:r>
            <w:r>
              <w:rPr>
                <w:rFonts w:hint="eastAsia" w:ascii="宋体" w:hAnsi="宋体" w:cs="宋体"/>
                <w:b/>
                <w:bCs/>
                <w:snapToGrid w:val="0"/>
                <w:color w:val="auto"/>
                <w:kern w:val="0"/>
                <w:szCs w:val="21"/>
              </w:rPr>
              <w:t>、</w:t>
            </w:r>
            <w:r>
              <w:rPr>
                <w:rFonts w:hint="eastAsia" w:ascii="宋体" w:hAnsi="宋体" w:cs="宋体"/>
                <w:bCs/>
                <w:snapToGrid w:val="0"/>
                <w:color w:val="auto"/>
                <w:kern w:val="0"/>
                <w:szCs w:val="21"/>
              </w:rPr>
              <w:t>第五十四条</w:t>
            </w:r>
            <w:r>
              <w:rPr>
                <w:rFonts w:hint="eastAsia" w:ascii="宋体" w:hAnsi="宋体" w:cs="宋体"/>
                <w:snapToGrid w:val="0"/>
                <w:color w:val="auto"/>
                <w:kern w:val="0"/>
                <w:szCs w:val="21"/>
              </w:rPr>
              <w:t>的规定，投标人认为招标文件、采购过程和中标（入围）、成交结果使自己的权益受到损害的，可以在知道或者应知其权益受到损害之日起七个工作日内，以书面形式向采购人、采购代理机构提出质疑。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25</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投诉</w:t>
            </w:r>
          </w:p>
        </w:tc>
        <w:tc>
          <w:tcPr>
            <w:tcW w:w="6035"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根据《政府采购法》第五十五条的规定，质疑投标人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26</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特别说明</w:t>
            </w:r>
          </w:p>
        </w:tc>
        <w:tc>
          <w:tcPr>
            <w:tcW w:w="6035" w:type="dxa"/>
            <w:vAlign w:val="center"/>
          </w:tcPr>
          <w:p>
            <w:pPr>
              <w:pStyle w:val="11"/>
              <w:spacing w:line="240" w:lineRule="auto"/>
              <w:ind w:left="0" w:right="0" w:rightChars="0"/>
              <w:rPr>
                <w:rFonts w:cs="宋体"/>
                <w:color w:val="auto"/>
                <w:sz w:val="21"/>
                <w:szCs w:val="21"/>
                <w:lang w:val="zh-CN"/>
              </w:rPr>
            </w:pPr>
            <w:r>
              <w:rPr>
                <w:rFonts w:hint="eastAsia" w:cs="宋体"/>
                <w:color w:val="auto"/>
                <w:sz w:val="21"/>
                <w:szCs w:val="21"/>
                <w:lang w:val="zh-CN"/>
              </w:rPr>
              <w:t>（</w:t>
            </w:r>
            <w:r>
              <w:rPr>
                <w:rFonts w:cs="宋体"/>
                <w:color w:val="auto"/>
                <w:sz w:val="21"/>
                <w:szCs w:val="21"/>
                <w:lang w:val="zh-CN"/>
              </w:rPr>
              <w:t>1</w:t>
            </w:r>
            <w:r>
              <w:rPr>
                <w:rFonts w:hint="eastAsia" w:cs="宋体"/>
                <w:color w:val="auto"/>
                <w:sz w:val="21"/>
                <w:szCs w:val="21"/>
                <w:lang w:val="zh-CN"/>
              </w:rPr>
              <w:t>）投标人应无条件的、认真仔细的、不厌其烦的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入围）后，在合同实施过程中如有负偏离，内容与其投标要约（包括询标澄清内容）不一致，投标人将向采购人按每项负偏离支付合同总价</w:t>
            </w:r>
            <w:r>
              <w:rPr>
                <w:rFonts w:cs="宋体"/>
                <w:color w:val="auto"/>
                <w:sz w:val="21"/>
                <w:szCs w:val="21"/>
                <w:lang w:val="zh-CN"/>
              </w:rPr>
              <w:t>5%</w:t>
            </w:r>
            <w:r>
              <w:rPr>
                <w:rFonts w:hint="eastAsia" w:cs="宋体"/>
                <w:color w:val="auto"/>
                <w:sz w:val="21"/>
                <w:szCs w:val="21"/>
                <w:lang w:val="zh-CN"/>
              </w:rPr>
              <w:t>的违约金，当达到两项及以上时，不仅将向采购人支付合同总价</w:t>
            </w:r>
            <w:r>
              <w:rPr>
                <w:rFonts w:cs="宋体"/>
                <w:color w:val="auto"/>
                <w:sz w:val="21"/>
                <w:szCs w:val="21"/>
                <w:lang w:val="zh-CN"/>
              </w:rPr>
              <w:t>10%</w:t>
            </w:r>
            <w:r>
              <w:rPr>
                <w:rFonts w:hint="eastAsia" w:cs="宋体"/>
                <w:color w:val="auto"/>
                <w:sz w:val="21"/>
                <w:szCs w:val="21"/>
                <w:lang w:val="zh-CN"/>
              </w:rPr>
              <w:t>的违约金，同时采购人还保留以下权利：①要求入围供应商按投标文件提供货物的权利；②终止合同的权利；③追究入围供应商该行为导致交货期延误的直接或间接损失的权利；④向招标监管机构报告不诚信投标的权利；⑤前述①至④同时并行的权利。</w:t>
            </w:r>
          </w:p>
          <w:p>
            <w:pPr>
              <w:pStyle w:val="11"/>
              <w:spacing w:line="240" w:lineRule="auto"/>
              <w:ind w:left="0" w:right="0" w:rightChars="0"/>
              <w:rPr>
                <w:rFonts w:cs="宋体"/>
                <w:color w:val="auto"/>
                <w:sz w:val="21"/>
                <w:szCs w:val="21"/>
                <w:lang w:val="zh-CN"/>
              </w:rPr>
            </w:pPr>
            <w:r>
              <w:rPr>
                <w:rFonts w:hint="eastAsia" w:cs="宋体"/>
                <w:color w:val="auto"/>
                <w:sz w:val="21"/>
                <w:szCs w:val="21"/>
                <w:lang w:val="zh-CN"/>
              </w:rPr>
              <w:t>（</w:t>
            </w:r>
            <w:r>
              <w:rPr>
                <w:rFonts w:cs="宋体"/>
                <w:color w:val="auto"/>
                <w:sz w:val="21"/>
                <w:szCs w:val="21"/>
                <w:lang w:val="zh-CN"/>
              </w:rPr>
              <w:t>2</w:t>
            </w:r>
            <w:r>
              <w:rPr>
                <w:rFonts w:hint="eastAsia" w:cs="宋体"/>
                <w:color w:val="auto"/>
                <w:sz w:val="21"/>
                <w:szCs w:val="21"/>
                <w:lang w:val="zh-CN"/>
              </w:rPr>
              <w:t>）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pStyle w:val="11"/>
              <w:spacing w:line="240" w:lineRule="auto"/>
              <w:ind w:left="0" w:right="0" w:rightChars="0"/>
              <w:rPr>
                <w:rFonts w:cs="宋体"/>
                <w:color w:val="auto"/>
                <w:sz w:val="21"/>
                <w:szCs w:val="21"/>
                <w:lang w:val="zh-CN"/>
              </w:rPr>
            </w:pPr>
            <w:r>
              <w:rPr>
                <w:rFonts w:hint="eastAsia" w:cs="宋体"/>
                <w:color w:val="auto"/>
                <w:sz w:val="21"/>
                <w:szCs w:val="21"/>
                <w:lang w:val="zh-CN"/>
              </w:rPr>
              <w:t>（</w:t>
            </w:r>
            <w:r>
              <w:rPr>
                <w:rFonts w:cs="宋体"/>
                <w:color w:val="auto"/>
                <w:sz w:val="21"/>
                <w:szCs w:val="21"/>
                <w:lang w:val="zh-CN"/>
              </w:rPr>
              <w:t>3</w:t>
            </w:r>
            <w:r>
              <w:rPr>
                <w:rFonts w:hint="eastAsia" w:cs="宋体"/>
                <w:color w:val="auto"/>
                <w:sz w:val="21"/>
                <w:szCs w:val="21"/>
                <w:lang w:val="zh-CN"/>
              </w:rPr>
              <w:t>）该项目中标（入围）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adjustRightInd w:val="0"/>
              <w:snapToGrid w:val="0"/>
              <w:rPr>
                <w:rFonts w:ascii="宋体" w:cs="宋体"/>
                <w:b/>
                <w:color w:val="auto"/>
                <w:szCs w:val="21"/>
                <w:lang w:val="zh-CN"/>
              </w:rPr>
            </w:pPr>
            <w:r>
              <w:rPr>
                <w:rFonts w:hint="eastAsia" w:cs="宋体"/>
                <w:color w:val="auto"/>
                <w:szCs w:val="21"/>
                <w:lang w:val="zh-CN"/>
              </w:rPr>
              <w:t>（</w:t>
            </w:r>
            <w:r>
              <w:rPr>
                <w:rFonts w:cs="宋体"/>
                <w:color w:val="auto"/>
                <w:szCs w:val="21"/>
                <w:lang w:val="zh-CN"/>
              </w:rPr>
              <w:t>4</w:t>
            </w:r>
            <w:r>
              <w:rPr>
                <w:rFonts w:hint="eastAsia" w:cs="宋体"/>
                <w:color w:val="auto"/>
                <w:szCs w:val="21"/>
                <w:lang w:val="zh-CN"/>
              </w:rPr>
              <w:t>）质疑、投诉人未按前列序号第</w:t>
            </w:r>
            <w:r>
              <w:rPr>
                <w:rFonts w:cs="宋体"/>
                <w:color w:val="auto"/>
                <w:szCs w:val="21"/>
                <w:lang w:val="zh-CN"/>
              </w:rPr>
              <w:t>24</w:t>
            </w:r>
            <w:r>
              <w:rPr>
                <w:rFonts w:hint="eastAsia" w:cs="宋体"/>
                <w:color w:val="auto"/>
                <w:szCs w:val="21"/>
                <w:lang w:val="zh-CN"/>
              </w:rPr>
              <w:t>、</w:t>
            </w:r>
            <w:r>
              <w:rPr>
                <w:rFonts w:cs="宋体"/>
                <w:color w:val="auto"/>
                <w:szCs w:val="21"/>
                <w:lang w:val="zh-CN"/>
              </w:rPr>
              <w:t>25</w:t>
            </w:r>
            <w:r>
              <w:rPr>
                <w:rFonts w:hint="eastAsia" w:cs="宋体"/>
                <w:color w:val="auto"/>
                <w:szCs w:val="21"/>
                <w:lang w:val="zh-CN"/>
              </w:rPr>
              <w:t>条规定进行质疑、投诉（申诉）的，均属于扰乱政府采购市场行为，直至公示。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27</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企业信用融资</w:t>
            </w:r>
          </w:p>
        </w:tc>
        <w:tc>
          <w:tcPr>
            <w:tcW w:w="6035" w:type="dxa"/>
            <w:vAlign w:val="center"/>
          </w:tcPr>
          <w:p>
            <w:pPr>
              <w:pStyle w:val="11"/>
              <w:spacing w:line="240" w:lineRule="auto"/>
              <w:ind w:left="0" w:right="0" w:rightChars="0"/>
              <w:rPr>
                <w:rFonts w:cs="宋体"/>
                <w:color w:val="auto"/>
                <w:sz w:val="21"/>
                <w:szCs w:val="21"/>
              </w:rPr>
            </w:pPr>
            <w:r>
              <w:rPr>
                <w:rFonts w:hint="eastAsia" w:cs="宋体"/>
                <w:color w:val="auto"/>
                <w:sz w:val="21"/>
                <w:szCs w:val="21"/>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w:t>
            </w:r>
            <w:r>
              <w:rPr>
                <w:rFonts w:cs="宋体"/>
                <w:color w:val="auto"/>
                <w:sz w:val="21"/>
                <w:szCs w:val="21"/>
              </w:rPr>
              <w:t>cg.hzft.gov.cn</w:t>
            </w:r>
            <w:r>
              <w:rPr>
                <w:rFonts w:hint="eastAsia" w:cs="宋体"/>
                <w:color w:val="auto"/>
                <w:sz w:val="21"/>
                <w:szCs w:val="21"/>
              </w:rPr>
              <w:t>）“中小企业信用融资”专栏，查看信用融资政策文件及各相关银行服务方案。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28</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企业信用查询</w:t>
            </w:r>
          </w:p>
        </w:tc>
        <w:tc>
          <w:tcPr>
            <w:tcW w:w="6035" w:type="dxa"/>
            <w:vAlign w:val="center"/>
          </w:tcPr>
          <w:p>
            <w:pPr>
              <w:pStyle w:val="11"/>
              <w:spacing w:line="240" w:lineRule="auto"/>
              <w:ind w:left="0" w:right="0" w:rightChars="0"/>
              <w:rPr>
                <w:rFonts w:cs="宋体"/>
                <w:color w:val="auto"/>
                <w:sz w:val="21"/>
                <w:szCs w:val="21"/>
                <w:lang w:val="zh-CN"/>
              </w:rPr>
            </w:pPr>
            <w:r>
              <w:rPr>
                <w:rFonts w:hint="eastAsia" w:cs="宋体"/>
                <w:color w:val="auto"/>
                <w:sz w:val="21"/>
                <w:szCs w:val="21"/>
                <w:lang w:val="zh-CN"/>
              </w:rPr>
              <w:t>为落实《国务院关于印发社会信用体系建设规划纲要</w:t>
            </w:r>
            <w:r>
              <w:rPr>
                <w:rFonts w:hint="eastAsia" w:cs="宋体"/>
                <w:color w:val="auto"/>
                <w:sz w:val="21"/>
                <w:szCs w:val="21"/>
              </w:rPr>
              <w:t>（</w:t>
            </w:r>
            <w:r>
              <w:rPr>
                <w:rFonts w:cs="宋体"/>
                <w:color w:val="auto"/>
                <w:sz w:val="21"/>
                <w:szCs w:val="21"/>
              </w:rPr>
              <w:t>2014-2020</w:t>
            </w:r>
            <w:r>
              <w:rPr>
                <w:rFonts w:hint="eastAsia" w:cs="宋体"/>
                <w:color w:val="auto"/>
                <w:sz w:val="21"/>
                <w:szCs w:val="21"/>
                <w:lang w:val="zh-CN"/>
              </w:rPr>
              <w:t>年</w:t>
            </w:r>
            <w:r>
              <w:rPr>
                <w:rFonts w:hint="eastAsia" w:cs="宋体"/>
                <w:color w:val="auto"/>
                <w:sz w:val="21"/>
                <w:szCs w:val="21"/>
              </w:rPr>
              <w:t>）</w:t>
            </w:r>
            <w:r>
              <w:rPr>
                <w:rFonts w:hint="eastAsia" w:cs="宋体"/>
                <w:color w:val="auto"/>
                <w:sz w:val="21"/>
                <w:szCs w:val="21"/>
                <w:lang w:val="zh-CN"/>
              </w:rPr>
              <w:t>的通知》</w:t>
            </w:r>
            <w:r>
              <w:rPr>
                <w:rFonts w:hint="eastAsia" w:cs="宋体"/>
                <w:color w:val="auto"/>
                <w:sz w:val="21"/>
                <w:szCs w:val="21"/>
              </w:rPr>
              <w:t>（</w:t>
            </w:r>
            <w:r>
              <w:rPr>
                <w:rFonts w:hint="eastAsia" w:cs="宋体"/>
                <w:color w:val="auto"/>
                <w:sz w:val="21"/>
                <w:szCs w:val="21"/>
                <w:lang w:val="zh-CN"/>
              </w:rPr>
              <w:t>国发〔</w:t>
            </w:r>
            <w:r>
              <w:rPr>
                <w:rFonts w:cs="宋体"/>
                <w:color w:val="auto"/>
                <w:sz w:val="21"/>
                <w:szCs w:val="21"/>
              </w:rPr>
              <w:t>2014</w:t>
            </w:r>
            <w:r>
              <w:rPr>
                <w:rFonts w:hint="eastAsia" w:cs="宋体"/>
                <w:color w:val="auto"/>
                <w:sz w:val="21"/>
                <w:szCs w:val="21"/>
                <w:lang w:val="zh-CN"/>
              </w:rPr>
              <w:t>〕</w:t>
            </w:r>
            <w:r>
              <w:rPr>
                <w:rFonts w:cs="宋体"/>
                <w:color w:val="auto"/>
                <w:sz w:val="21"/>
                <w:szCs w:val="21"/>
              </w:rPr>
              <w:t>21</w:t>
            </w:r>
            <w:r>
              <w:rPr>
                <w:rFonts w:hint="eastAsia" w:cs="宋体"/>
                <w:color w:val="auto"/>
                <w:sz w:val="21"/>
                <w:szCs w:val="21"/>
                <w:lang w:val="zh-CN"/>
              </w:rPr>
              <w:t>号</w:t>
            </w:r>
            <w:r>
              <w:rPr>
                <w:rFonts w:hint="eastAsia" w:cs="宋体"/>
                <w:color w:val="auto"/>
                <w:sz w:val="21"/>
                <w:szCs w:val="21"/>
              </w:rPr>
              <w:t>）</w:t>
            </w:r>
            <w:r>
              <w:rPr>
                <w:rFonts w:hint="eastAsia" w:cs="宋体"/>
                <w:color w:val="auto"/>
                <w:sz w:val="21"/>
                <w:szCs w:val="21"/>
                <w:lang w:val="zh-CN"/>
              </w:rPr>
              <w:t>、《国务院关于建立完善守信联合激励和失信联合惩戒制度加快推进社会诚信体系建设的指导意见》</w:t>
            </w:r>
            <w:r>
              <w:rPr>
                <w:rFonts w:hint="eastAsia" w:cs="宋体"/>
                <w:color w:val="auto"/>
                <w:sz w:val="21"/>
                <w:szCs w:val="21"/>
              </w:rPr>
              <w:t>（</w:t>
            </w:r>
            <w:r>
              <w:rPr>
                <w:rFonts w:hint="eastAsia" w:cs="宋体"/>
                <w:color w:val="auto"/>
                <w:sz w:val="21"/>
                <w:szCs w:val="21"/>
                <w:lang w:val="zh-CN"/>
              </w:rPr>
              <w:t>国发〔</w:t>
            </w:r>
            <w:r>
              <w:rPr>
                <w:rFonts w:cs="宋体"/>
                <w:color w:val="auto"/>
                <w:sz w:val="21"/>
                <w:szCs w:val="21"/>
              </w:rPr>
              <w:t>2016</w:t>
            </w:r>
            <w:r>
              <w:rPr>
                <w:rFonts w:hint="eastAsia" w:cs="宋体"/>
                <w:color w:val="auto"/>
                <w:sz w:val="21"/>
                <w:szCs w:val="21"/>
                <w:lang w:val="zh-CN"/>
              </w:rPr>
              <w:t>〕</w:t>
            </w:r>
            <w:r>
              <w:rPr>
                <w:rFonts w:cs="宋体"/>
                <w:color w:val="auto"/>
                <w:sz w:val="21"/>
                <w:szCs w:val="21"/>
              </w:rPr>
              <w:t>33</w:t>
            </w:r>
            <w:r>
              <w:rPr>
                <w:rFonts w:hint="eastAsia" w:cs="宋体"/>
                <w:color w:val="auto"/>
                <w:sz w:val="21"/>
                <w:szCs w:val="21"/>
                <w:lang w:val="zh-CN"/>
              </w:rPr>
              <w:t>号</w:t>
            </w:r>
            <w:r>
              <w:rPr>
                <w:rFonts w:hint="eastAsia" w:cs="宋体"/>
                <w:color w:val="auto"/>
                <w:sz w:val="21"/>
                <w:szCs w:val="21"/>
              </w:rPr>
              <w:t>）</w:t>
            </w:r>
            <w:r>
              <w:rPr>
                <w:rFonts w:hint="eastAsia" w:cs="宋体"/>
                <w:color w:val="auto"/>
                <w:sz w:val="21"/>
                <w:szCs w:val="21"/>
                <w:lang w:val="zh-CN"/>
              </w:rPr>
              <w:t>以及《国务院办公厅关于运用大数据加强对市场主体服务和监管的若干意见》</w:t>
            </w:r>
            <w:r>
              <w:rPr>
                <w:rFonts w:hint="eastAsia" w:cs="宋体"/>
                <w:color w:val="auto"/>
                <w:sz w:val="21"/>
                <w:szCs w:val="21"/>
              </w:rPr>
              <w:t>（</w:t>
            </w:r>
            <w:r>
              <w:rPr>
                <w:rFonts w:hint="eastAsia" w:cs="宋体"/>
                <w:color w:val="auto"/>
                <w:sz w:val="21"/>
                <w:szCs w:val="21"/>
                <w:lang w:val="zh-CN"/>
              </w:rPr>
              <w:t>国办发〔</w:t>
            </w:r>
            <w:r>
              <w:rPr>
                <w:rFonts w:cs="宋体"/>
                <w:color w:val="auto"/>
                <w:sz w:val="21"/>
                <w:szCs w:val="21"/>
              </w:rPr>
              <w:t>2015</w:t>
            </w:r>
            <w:r>
              <w:rPr>
                <w:rFonts w:hint="eastAsia" w:cs="宋体"/>
                <w:color w:val="auto"/>
                <w:sz w:val="21"/>
                <w:szCs w:val="21"/>
                <w:lang w:val="zh-CN"/>
              </w:rPr>
              <w:t>〕</w:t>
            </w:r>
            <w:r>
              <w:rPr>
                <w:rFonts w:cs="宋体"/>
                <w:color w:val="auto"/>
                <w:sz w:val="21"/>
                <w:szCs w:val="21"/>
              </w:rPr>
              <w:t>51</w:t>
            </w:r>
            <w:r>
              <w:rPr>
                <w:rFonts w:hint="eastAsia" w:cs="宋体"/>
                <w:color w:val="auto"/>
                <w:sz w:val="21"/>
                <w:szCs w:val="21"/>
                <w:lang w:val="zh-CN"/>
              </w:rPr>
              <w:t>号</w:t>
            </w:r>
            <w:r>
              <w:rPr>
                <w:rFonts w:hint="eastAsia" w:cs="宋体"/>
                <w:color w:val="auto"/>
                <w:sz w:val="21"/>
                <w:szCs w:val="21"/>
              </w:rPr>
              <w:t>）的</w:t>
            </w:r>
            <w:r>
              <w:rPr>
                <w:rFonts w:hint="eastAsia" w:cs="宋体"/>
                <w:color w:val="auto"/>
                <w:sz w:val="21"/>
                <w:szCs w:val="21"/>
                <w:lang w:val="zh-CN"/>
              </w:rPr>
              <w:t>有关要求</w:t>
            </w:r>
            <w:r>
              <w:rPr>
                <w:rFonts w:hint="eastAsia" w:cs="宋体"/>
                <w:color w:val="auto"/>
                <w:sz w:val="21"/>
                <w:szCs w:val="21"/>
              </w:rPr>
              <w:t>，</w:t>
            </w:r>
            <w:r>
              <w:rPr>
                <w:rFonts w:hint="eastAsia" w:cs="宋体"/>
                <w:color w:val="auto"/>
                <w:sz w:val="21"/>
                <w:szCs w:val="21"/>
                <w:lang w:val="zh-CN"/>
              </w:rPr>
              <w:t>采购代理机构将在投标截止时间当日通过</w:t>
            </w:r>
            <w:r>
              <w:rPr>
                <w:rFonts w:hint="eastAsia" w:cs="宋体"/>
                <w:color w:val="auto"/>
                <w:sz w:val="21"/>
                <w:szCs w:val="21"/>
              </w:rPr>
              <w:t>“</w:t>
            </w:r>
            <w:r>
              <w:rPr>
                <w:rFonts w:hint="eastAsia" w:cs="宋体"/>
                <w:color w:val="auto"/>
                <w:sz w:val="21"/>
                <w:szCs w:val="21"/>
                <w:lang w:val="zh-CN"/>
              </w:rPr>
              <w:t>信用中国</w:t>
            </w:r>
            <w:r>
              <w:rPr>
                <w:rFonts w:hint="eastAsia" w:cs="宋体"/>
                <w:color w:val="auto"/>
                <w:sz w:val="21"/>
                <w:szCs w:val="21"/>
              </w:rPr>
              <w:t>”</w:t>
            </w:r>
            <w:r>
              <w:rPr>
                <w:rFonts w:hint="eastAsia" w:cs="宋体"/>
                <w:color w:val="auto"/>
                <w:sz w:val="21"/>
                <w:szCs w:val="21"/>
                <w:lang w:val="zh-CN"/>
              </w:rPr>
              <w:t>网站</w:t>
            </w:r>
            <w:r>
              <w:rPr>
                <w:rFonts w:hint="eastAsia" w:cs="宋体"/>
                <w:color w:val="auto"/>
                <w:sz w:val="21"/>
                <w:szCs w:val="21"/>
              </w:rPr>
              <w:t>（</w:t>
            </w:r>
            <w:r>
              <w:rPr>
                <w:rFonts w:cs="宋体"/>
                <w:color w:val="auto"/>
                <w:sz w:val="21"/>
                <w:szCs w:val="21"/>
              </w:rPr>
              <w:t>www.creditchina.gov.cn</w:t>
            </w:r>
            <w:r>
              <w:rPr>
                <w:rFonts w:hint="eastAsia" w:cs="宋体"/>
                <w:color w:val="auto"/>
                <w:sz w:val="21"/>
                <w:szCs w:val="21"/>
              </w:rPr>
              <w:t>）</w:t>
            </w:r>
            <w:r>
              <w:rPr>
                <w:rFonts w:hint="eastAsia" w:cs="宋体"/>
                <w:color w:val="auto"/>
                <w:sz w:val="21"/>
                <w:szCs w:val="21"/>
                <w:lang w:val="zh-CN"/>
              </w:rPr>
              <w:t>、中国政府采购网</w:t>
            </w:r>
            <w:r>
              <w:rPr>
                <w:rFonts w:hint="eastAsia" w:cs="宋体"/>
                <w:color w:val="auto"/>
                <w:sz w:val="21"/>
                <w:szCs w:val="21"/>
              </w:rPr>
              <w:t>（</w:t>
            </w:r>
            <w:r>
              <w:rPr>
                <w:rFonts w:cs="宋体"/>
                <w:color w:val="auto"/>
                <w:sz w:val="21"/>
                <w:szCs w:val="21"/>
              </w:rPr>
              <w:t>www.ccgp.gov.cn</w:t>
            </w:r>
            <w:r>
              <w:rPr>
                <w:rFonts w:hint="eastAsia" w:cs="宋体"/>
                <w:color w:val="auto"/>
                <w:sz w:val="21"/>
                <w:szCs w:val="21"/>
              </w:rPr>
              <w:t>）</w:t>
            </w:r>
            <w:r>
              <w:rPr>
                <w:rFonts w:hint="eastAsia" w:cs="宋体"/>
                <w:color w:val="auto"/>
                <w:sz w:val="21"/>
                <w:szCs w:val="21"/>
                <w:lang w:val="zh-CN"/>
              </w:rPr>
              <w:t>等渠道查询本项目投标供应商信用记录。被列入失信被执行人名单、重大税收违法案件当事人名单、政府采购严重违法失信行为记录名单及其他不符合《中华人民共和国政府采购法》第二十二条规定条件的供应商将被拒绝参与本次政府采购活动。</w:t>
            </w:r>
          </w:p>
          <w:p>
            <w:pPr>
              <w:pStyle w:val="11"/>
              <w:spacing w:line="240" w:lineRule="auto"/>
              <w:ind w:left="0" w:right="0" w:rightChars="0"/>
              <w:rPr>
                <w:rFonts w:cs="宋体"/>
                <w:color w:val="auto"/>
                <w:sz w:val="21"/>
                <w:szCs w:val="21"/>
                <w:lang w:val="zh-CN"/>
              </w:rPr>
            </w:pPr>
            <w:r>
              <w:rPr>
                <w:rFonts w:hint="eastAsia" w:cs="宋体"/>
                <w:color w:val="auto"/>
                <w:sz w:val="21"/>
                <w:szCs w:val="21"/>
                <w:lang w:val="zh-CN"/>
              </w:rPr>
              <w:t>使用规则：被列入失信被执行人名单、重大税收违法案件当事人名单、政府采购严重违法失信行为记录名单及其它不符合《中华人民共和国政府采购法》第二十二条规定条件的，其投标将被拒绝。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cs="宋体"/>
                <w:snapToGrid w:val="0"/>
                <w:color w:val="auto"/>
                <w:kern w:val="0"/>
                <w:szCs w:val="21"/>
              </w:rPr>
            </w:pPr>
            <w:r>
              <w:rPr>
                <w:rFonts w:ascii="宋体" w:hAnsi="宋体" w:cs="宋体"/>
                <w:snapToGrid w:val="0"/>
                <w:color w:val="auto"/>
                <w:kern w:val="0"/>
                <w:szCs w:val="21"/>
              </w:rPr>
              <w:t>29</w:t>
            </w:r>
          </w:p>
        </w:tc>
        <w:tc>
          <w:tcPr>
            <w:tcW w:w="1958" w:type="dxa"/>
            <w:vAlign w:val="center"/>
          </w:tcPr>
          <w:p>
            <w:pPr>
              <w:adjustRightInd w:val="0"/>
              <w:snapToGrid w:val="0"/>
              <w:rPr>
                <w:rFonts w:ascii="宋体" w:cs="宋体"/>
                <w:snapToGrid w:val="0"/>
                <w:color w:val="auto"/>
                <w:kern w:val="0"/>
                <w:szCs w:val="21"/>
              </w:rPr>
            </w:pPr>
            <w:r>
              <w:rPr>
                <w:rFonts w:hint="eastAsia" w:ascii="宋体" w:hAnsi="宋体" w:cs="宋体"/>
                <w:snapToGrid w:val="0"/>
                <w:color w:val="auto"/>
                <w:kern w:val="0"/>
                <w:szCs w:val="21"/>
              </w:rPr>
              <w:t>招标代理服务费</w:t>
            </w:r>
          </w:p>
        </w:tc>
        <w:tc>
          <w:tcPr>
            <w:tcW w:w="6035" w:type="dxa"/>
            <w:vAlign w:val="center"/>
          </w:tcPr>
          <w:p>
            <w:pPr>
              <w:tabs>
                <w:tab w:val="left" w:pos="735"/>
              </w:tabs>
              <w:adjustRightInd w:val="0"/>
              <w:snapToGrid w:val="0"/>
              <w:rPr>
                <w:rFonts w:ascii="宋体" w:cs="宋体"/>
                <w:bCs/>
                <w:color w:val="auto"/>
                <w:szCs w:val="21"/>
                <w:lang w:val="zh-CN"/>
              </w:rPr>
            </w:pPr>
            <w:r>
              <w:rPr>
                <w:rFonts w:hint="eastAsia" w:ascii="宋体" w:hAnsi="宋体" w:cs="宋体"/>
                <w:bCs/>
                <w:color w:val="auto"/>
                <w:szCs w:val="21"/>
                <w:lang w:val="zh-CN"/>
              </w:rPr>
              <w:t>本项目的采购代理费由入围供应商支付。</w:t>
            </w:r>
          </w:p>
          <w:p>
            <w:pPr>
              <w:tabs>
                <w:tab w:val="left" w:pos="735"/>
              </w:tabs>
              <w:adjustRightInd w:val="0"/>
              <w:snapToGrid w:val="0"/>
              <w:rPr>
                <w:rFonts w:ascii="宋体" w:cs="宋体"/>
                <w:bCs/>
                <w:color w:val="auto"/>
                <w:szCs w:val="21"/>
                <w:lang w:val="zh-CN"/>
              </w:rPr>
            </w:pPr>
            <w:r>
              <w:rPr>
                <w:rFonts w:hint="eastAsia" w:ascii="宋体" w:hAnsi="宋体" w:cs="宋体"/>
                <w:bCs/>
                <w:color w:val="auto"/>
                <w:szCs w:val="21"/>
                <w:lang w:val="zh-CN"/>
              </w:rPr>
              <w:t>计费标准：</w:t>
            </w:r>
            <w:r>
              <w:rPr>
                <w:rFonts w:hint="eastAsia" w:ascii="宋体" w:hAnsi="宋体" w:cs="宋体"/>
                <w:bCs/>
                <w:color w:val="auto"/>
                <w:szCs w:val="21"/>
              </w:rPr>
              <w:t>每标项</w:t>
            </w:r>
            <w:r>
              <w:rPr>
                <w:rFonts w:hint="eastAsia" w:ascii="宋体" w:hAnsi="宋体" w:cs="宋体"/>
                <w:bCs/>
                <w:color w:val="auto"/>
                <w:szCs w:val="21"/>
                <w:lang w:val="zh-CN"/>
              </w:rPr>
              <w:t>人民币</w:t>
            </w:r>
            <w:r>
              <w:rPr>
                <w:rFonts w:hint="eastAsia" w:ascii="宋体" w:hAnsi="宋体" w:cs="宋体"/>
                <w:bCs/>
                <w:color w:val="auto"/>
                <w:szCs w:val="21"/>
              </w:rPr>
              <w:t>肆</w:t>
            </w:r>
            <w:r>
              <w:rPr>
                <w:rFonts w:hint="eastAsia" w:ascii="宋体" w:hAnsi="宋体" w:cs="宋体"/>
                <w:bCs/>
                <w:color w:val="auto"/>
                <w:szCs w:val="21"/>
                <w:lang w:val="zh-CN"/>
              </w:rPr>
              <w:t>仟元整（每位入围供应商）。</w:t>
            </w:r>
          </w:p>
          <w:p>
            <w:pPr>
              <w:tabs>
                <w:tab w:val="left" w:pos="735"/>
              </w:tabs>
              <w:adjustRightInd w:val="0"/>
              <w:snapToGrid w:val="0"/>
              <w:rPr>
                <w:rFonts w:ascii="宋体" w:cs="宋体"/>
                <w:b/>
                <w:color w:val="auto"/>
                <w:szCs w:val="21"/>
                <w:lang w:val="zh-CN"/>
              </w:rPr>
            </w:pPr>
            <w:r>
              <w:rPr>
                <w:rFonts w:hint="eastAsia" w:ascii="宋体" w:hAnsi="宋体" w:cs="宋体"/>
                <w:bCs/>
                <w:color w:val="auto"/>
                <w:szCs w:val="21"/>
                <w:lang w:val="zh-CN"/>
              </w:rPr>
              <w:t>结算方式及时间为：在领取入围通知书时由入围供应商一次性向采购代理机构付清。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hAnsi="宋体" w:cs="宋体"/>
                <w:snapToGrid w:val="0"/>
                <w:color w:val="auto"/>
                <w:kern w:val="0"/>
                <w:szCs w:val="21"/>
              </w:rPr>
            </w:pPr>
            <w:r>
              <w:rPr>
                <w:rFonts w:hint="eastAsia" w:ascii="宋体" w:hAnsi="宋体" w:cs="宋体"/>
                <w:snapToGrid w:val="0"/>
                <w:color w:val="auto"/>
                <w:kern w:val="0"/>
                <w:szCs w:val="21"/>
              </w:rPr>
              <w:t>30</w:t>
            </w:r>
          </w:p>
        </w:tc>
        <w:tc>
          <w:tcPr>
            <w:tcW w:w="1958" w:type="dxa"/>
            <w:vAlign w:val="center"/>
          </w:tcPr>
          <w:p>
            <w:pPr>
              <w:adjustRightInd w:val="0"/>
              <w:snapToGrid w:val="0"/>
              <w:rPr>
                <w:rFonts w:ascii="宋体" w:hAnsi="宋体" w:cs="宋体"/>
                <w:snapToGrid w:val="0"/>
                <w:color w:val="auto"/>
                <w:kern w:val="0"/>
                <w:szCs w:val="21"/>
              </w:rPr>
            </w:pPr>
            <w:r>
              <w:rPr>
                <w:rFonts w:hint="eastAsia" w:ascii="宋体" w:hAnsi="宋体" w:cs="宋体"/>
                <w:snapToGrid w:val="0"/>
                <w:color w:val="auto"/>
                <w:kern w:val="0"/>
                <w:szCs w:val="21"/>
              </w:rPr>
              <w:t>本项目落实的政府采购政策</w:t>
            </w:r>
          </w:p>
        </w:tc>
        <w:tc>
          <w:tcPr>
            <w:tcW w:w="6035" w:type="dxa"/>
            <w:vAlign w:val="center"/>
          </w:tcPr>
          <w:p>
            <w:pPr>
              <w:tabs>
                <w:tab w:val="left" w:pos="735"/>
              </w:tabs>
              <w:adjustRightInd w:val="0"/>
              <w:snapToGrid w:val="0"/>
              <w:rPr>
                <w:rFonts w:ascii="宋体" w:hAnsi="宋体" w:cs="宋体"/>
                <w:bCs/>
                <w:color w:val="auto"/>
                <w:szCs w:val="21"/>
                <w:lang w:val="zh-CN"/>
              </w:rPr>
            </w:pPr>
            <w:r>
              <w:rPr>
                <w:rFonts w:hint="eastAsia" w:ascii="宋体" w:hAnsi="宋体" w:cs="宋体"/>
                <w:bCs/>
                <w:color w:val="auto"/>
                <w:szCs w:val="21"/>
                <w:lang w:val="zh-CN"/>
              </w:rPr>
              <w:t>（1）政府采购促进中小企业发展</w:t>
            </w:r>
          </w:p>
          <w:p>
            <w:pPr>
              <w:tabs>
                <w:tab w:val="left" w:pos="735"/>
              </w:tabs>
              <w:adjustRightInd w:val="0"/>
              <w:snapToGrid w:val="0"/>
              <w:rPr>
                <w:rFonts w:ascii="宋体" w:hAnsi="宋体" w:cs="宋体"/>
                <w:bCs/>
                <w:color w:val="auto"/>
                <w:szCs w:val="21"/>
                <w:lang w:val="zh-CN"/>
              </w:rPr>
            </w:pPr>
            <w:r>
              <w:rPr>
                <w:rFonts w:hint="eastAsia" w:ascii="宋体" w:hAnsi="宋体" w:cs="宋体"/>
                <w:bCs/>
                <w:color w:val="auto"/>
                <w:szCs w:val="21"/>
                <w:lang w:val="zh-CN"/>
              </w:rPr>
              <w:t>（2）政府采购支持监狱企业发展</w:t>
            </w:r>
          </w:p>
          <w:p>
            <w:pPr>
              <w:tabs>
                <w:tab w:val="left" w:pos="735"/>
              </w:tabs>
              <w:adjustRightInd w:val="0"/>
              <w:snapToGrid w:val="0"/>
              <w:rPr>
                <w:rFonts w:ascii="宋体" w:hAnsi="宋体" w:cs="宋体"/>
                <w:bCs/>
                <w:color w:val="auto"/>
                <w:szCs w:val="21"/>
                <w:lang w:val="zh-CN"/>
              </w:rPr>
            </w:pPr>
            <w:r>
              <w:rPr>
                <w:rFonts w:hint="eastAsia" w:ascii="宋体" w:hAnsi="宋体" w:cs="宋体"/>
                <w:bCs/>
                <w:color w:val="auto"/>
                <w:szCs w:val="21"/>
                <w:lang w:val="zh-CN"/>
              </w:rPr>
              <w:t>（3）促进残疾人就业政府采购政策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43" w:type="dxa"/>
            <w:vAlign w:val="center"/>
          </w:tcPr>
          <w:p>
            <w:pPr>
              <w:adjustRightInd w:val="0"/>
              <w:snapToGrid w:val="0"/>
              <w:jc w:val="center"/>
              <w:rPr>
                <w:rFonts w:ascii="宋体" w:hAnsi="宋体" w:cs="宋体"/>
                <w:snapToGrid w:val="0"/>
                <w:color w:val="auto"/>
                <w:kern w:val="0"/>
                <w:szCs w:val="21"/>
              </w:rPr>
            </w:pPr>
            <w:r>
              <w:rPr>
                <w:rFonts w:hint="eastAsia" w:ascii="宋体" w:hAnsi="宋体" w:cs="宋体"/>
                <w:snapToGrid w:val="0"/>
                <w:color w:val="auto"/>
                <w:kern w:val="0"/>
                <w:szCs w:val="21"/>
              </w:rPr>
              <w:t>31</w:t>
            </w:r>
          </w:p>
        </w:tc>
        <w:tc>
          <w:tcPr>
            <w:tcW w:w="1958" w:type="dxa"/>
            <w:vAlign w:val="center"/>
          </w:tcPr>
          <w:p>
            <w:pPr>
              <w:adjustRightInd w:val="0"/>
              <w:snapToGrid w:val="0"/>
              <w:rPr>
                <w:rFonts w:ascii="宋体" w:hAnsi="宋体" w:cs="宋体"/>
                <w:snapToGrid w:val="0"/>
                <w:color w:val="auto"/>
                <w:kern w:val="0"/>
                <w:szCs w:val="21"/>
              </w:rPr>
            </w:pPr>
            <w:r>
              <w:rPr>
                <w:rFonts w:hint="eastAsia" w:ascii="宋体" w:hAnsi="宋体" w:cs="宋体"/>
                <w:snapToGrid w:val="0"/>
                <w:color w:val="auto"/>
                <w:kern w:val="0"/>
                <w:szCs w:val="21"/>
              </w:rPr>
              <w:t>其他</w:t>
            </w:r>
          </w:p>
        </w:tc>
        <w:tc>
          <w:tcPr>
            <w:tcW w:w="6035" w:type="dxa"/>
            <w:vAlign w:val="center"/>
          </w:tcPr>
          <w:p>
            <w:pPr>
              <w:tabs>
                <w:tab w:val="left" w:pos="735"/>
              </w:tabs>
              <w:adjustRightInd w:val="0"/>
              <w:snapToGrid w:val="0"/>
              <w:rPr>
                <w:rFonts w:ascii="宋体" w:hAnsi="宋体" w:cs="宋体"/>
                <w:bCs/>
                <w:color w:val="auto"/>
                <w:szCs w:val="21"/>
                <w:lang w:val="zh-CN"/>
              </w:rPr>
            </w:pPr>
            <w:r>
              <w:rPr>
                <w:rFonts w:hint="eastAsia" w:ascii="宋体" w:hAnsi="宋体" w:cs="宋体"/>
                <w:bCs/>
                <w:color w:val="auto"/>
                <w:szCs w:val="21"/>
                <w:lang w:val="zh-CN"/>
              </w:rPr>
              <w:t>浙江中诺招标代理有限公司已于201</w:t>
            </w:r>
            <w:r>
              <w:rPr>
                <w:rFonts w:hint="eastAsia" w:ascii="宋体" w:hAnsi="宋体" w:cs="宋体"/>
                <w:bCs/>
                <w:color w:val="auto"/>
                <w:szCs w:val="21"/>
              </w:rPr>
              <w:t>8</w:t>
            </w:r>
            <w:r>
              <w:rPr>
                <w:rFonts w:hint="eastAsia" w:ascii="宋体" w:hAnsi="宋体" w:cs="宋体"/>
                <w:bCs/>
                <w:color w:val="auto"/>
                <w:szCs w:val="21"/>
                <w:lang w:val="zh-CN"/>
              </w:rPr>
              <w:t>年6月30日起将开、评标地址变更至杭州市下城区环城北路141号永通信息广场</w:t>
            </w:r>
            <w:r>
              <w:rPr>
                <w:rFonts w:hint="eastAsia" w:ascii="宋体" w:hAnsi="宋体" w:cs="宋体"/>
                <w:bCs/>
                <w:color w:val="auto"/>
                <w:szCs w:val="21"/>
              </w:rPr>
              <w:t>西楼</w:t>
            </w:r>
            <w:r>
              <w:rPr>
                <w:rFonts w:hint="eastAsia" w:ascii="宋体" w:hAnsi="宋体" w:cs="宋体"/>
                <w:bCs/>
                <w:color w:val="auto"/>
                <w:szCs w:val="21"/>
                <w:lang w:val="zh-CN"/>
              </w:rPr>
              <w:t>10楼，请各有关供应商提前规划行程，避免影响自身投标、竞标。</w:t>
            </w:r>
          </w:p>
        </w:tc>
      </w:tr>
    </w:tbl>
    <w:p>
      <w:pPr>
        <w:rPr>
          <w:rFonts w:ascii="宋体" w:hAnsi="宋体" w:cs="宋体"/>
          <w:color w:val="auto"/>
          <w:szCs w:val="21"/>
        </w:rPr>
      </w:pPr>
      <w:r>
        <w:rPr>
          <w:rFonts w:ascii="仿宋_GB2312" w:hAnsi="仿宋" w:eastAsia="仿宋_GB2312" w:cs="宋体"/>
          <w:b/>
          <w:color w:val="auto"/>
          <w:sz w:val="24"/>
        </w:rPr>
        <w:drawing>
          <wp:inline distT="0" distB="0" distL="0" distR="0">
            <wp:extent cx="5504180" cy="2729230"/>
            <wp:effectExtent l="0" t="0" r="1270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srcRect/>
                    <a:stretch>
                      <a:fillRect/>
                    </a:stretch>
                  </pic:blipFill>
                  <pic:spPr>
                    <a:xfrm>
                      <a:off x="0" y="0"/>
                      <a:ext cx="5504180" cy="2729230"/>
                    </a:xfrm>
                    <a:prstGeom prst="rect">
                      <a:avLst/>
                    </a:prstGeom>
                    <a:noFill/>
                    <a:ln w="9525">
                      <a:noFill/>
                      <a:miter lim="800000"/>
                      <a:headEnd/>
                      <a:tailEnd/>
                    </a:ln>
                  </pic:spPr>
                </pic:pic>
              </a:graphicData>
            </a:graphic>
          </wp:inline>
        </w:drawing>
      </w:r>
    </w:p>
    <w:p>
      <w:pPr>
        <w:ind w:firstLine="420" w:firstLineChars="200"/>
        <w:rPr>
          <w:rFonts w:ascii="宋体" w:hAnsi="宋体" w:cs="宋体"/>
          <w:color w:val="auto"/>
          <w:szCs w:val="21"/>
        </w:rPr>
        <w:sectPr>
          <w:footerReference r:id="rId4" w:type="default"/>
          <w:pgSz w:w="11906" w:h="16838"/>
          <w:pgMar w:top="1440" w:right="1486" w:bottom="1440" w:left="1800" w:header="851" w:footer="992" w:gutter="0"/>
          <w:cols w:space="720" w:num="1"/>
          <w:docGrid w:type="lines" w:linePitch="312" w:charSpace="0"/>
        </w:sectPr>
      </w:pPr>
      <w:r>
        <w:rPr>
          <w:rFonts w:hint="eastAsia" w:ascii="宋体" w:hAnsi="宋体" w:cs="宋体"/>
          <w:color w:val="auto"/>
          <w:szCs w:val="21"/>
        </w:rPr>
        <w:t>注：以上内容如有变化将另行书面通知。如通知其中某一内容发生变化，其余未提及的将不作变动。</w:t>
      </w:r>
    </w:p>
    <w:p>
      <w:pPr>
        <w:pStyle w:val="2"/>
        <w:rPr>
          <w:rFonts w:ascii="宋体" w:cs="宋体"/>
          <w:color w:val="auto"/>
        </w:rPr>
      </w:pPr>
      <w:bookmarkStart w:id="6" w:name="_Toc393791419"/>
      <w:bookmarkStart w:id="7" w:name="_Toc11728"/>
      <w:r>
        <w:rPr>
          <w:rFonts w:hint="eastAsia" w:ascii="宋体" w:hAnsi="宋体" w:cs="宋体"/>
          <w:color w:val="auto"/>
        </w:rPr>
        <w:t>第二部分 投标人须知</w:t>
      </w:r>
      <w:bookmarkEnd w:id="6"/>
      <w:bookmarkEnd w:id="7"/>
    </w:p>
    <w:p>
      <w:pPr>
        <w:pStyle w:val="3"/>
        <w:jc w:val="left"/>
        <w:rPr>
          <w:rFonts w:ascii="宋体" w:cs="宋体"/>
          <w:color w:val="auto"/>
        </w:rPr>
      </w:pPr>
      <w:bookmarkStart w:id="8" w:name="_Hlt74730295"/>
      <w:bookmarkEnd w:id="8"/>
      <w:bookmarkStart w:id="9" w:name="_Hlt74714665"/>
      <w:bookmarkEnd w:id="9"/>
      <w:bookmarkStart w:id="10" w:name="_Toc22875"/>
      <w:bookmarkStart w:id="11" w:name="_Toc91899872"/>
      <w:bookmarkStart w:id="12" w:name="_Hlt74730112"/>
      <w:bookmarkStart w:id="13" w:name="_Hlt74730208"/>
      <w:r>
        <w:rPr>
          <w:rFonts w:hint="eastAsia" w:ascii="宋体" w:hAnsi="宋体" w:cs="宋体"/>
          <w:color w:val="auto"/>
        </w:rPr>
        <w:t>一、总则</w:t>
      </w:r>
      <w:bookmarkEnd w:id="10"/>
    </w:p>
    <w:p>
      <w:pPr>
        <w:adjustRightInd w:val="0"/>
        <w:snapToGrid w:val="0"/>
        <w:spacing w:line="360" w:lineRule="auto"/>
        <w:ind w:firstLine="420" w:firstLineChars="200"/>
        <w:rPr>
          <w:rFonts w:ascii="宋体" w:cs="宋体"/>
          <w:bCs/>
          <w:color w:val="auto"/>
          <w:szCs w:val="21"/>
        </w:rPr>
      </w:pPr>
      <w:r>
        <w:rPr>
          <w:rFonts w:hint="eastAsia" w:ascii="宋体" w:hAnsi="宋体" w:cs="宋体"/>
          <w:bCs/>
          <w:color w:val="auto"/>
          <w:szCs w:val="21"/>
        </w:rPr>
        <w:t>本次招标工作是按照《中华人民共和国政府采购法》、《中华人民共和国政府采购法实施条例》、《政府采购货物和服务招标投标管理办法》等相关法律法规组织和实施，并接受杭州市财政局政府采购监管处监督。</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w:t>
      </w:r>
      <w:bookmarkEnd w:id="11"/>
      <w:r>
        <w:rPr>
          <w:rFonts w:hint="eastAsia" w:ascii="宋体" w:hAnsi="宋体" w:cs="宋体"/>
          <w:b/>
          <w:color w:val="auto"/>
          <w:szCs w:val="21"/>
        </w:rPr>
        <w:t>适用范围</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1.1</w:t>
      </w:r>
      <w:r>
        <w:rPr>
          <w:rFonts w:hint="eastAsia" w:ascii="宋体" w:hAnsi="宋体" w:cs="宋体"/>
          <w:color w:val="auto"/>
          <w:szCs w:val="21"/>
        </w:rPr>
        <w:t>本招标文件仅适用于本次招标项目。</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1.2</w:t>
      </w:r>
      <w:r>
        <w:rPr>
          <w:rFonts w:hint="eastAsia" w:ascii="宋体" w:hAnsi="宋体" w:cs="宋体"/>
          <w:color w:val="auto"/>
          <w:szCs w:val="21"/>
        </w:rPr>
        <w:t>本项目招标方式为公开招标。</w:t>
      </w:r>
      <w:bookmarkEnd w:id="12"/>
      <w:bookmarkEnd w:id="13"/>
      <w:bookmarkStart w:id="14" w:name="_Toc91899877"/>
      <w:bookmarkStart w:id="15" w:name="_Hlt74730303"/>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定义</w:t>
      </w:r>
    </w:p>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2.1</w:t>
      </w:r>
      <w:r>
        <w:rPr>
          <w:rFonts w:hint="eastAsia" w:ascii="宋体" w:hAnsi="宋体" w:cs="宋体"/>
          <w:b/>
          <w:bCs/>
          <w:snapToGrid w:val="0"/>
          <w:color w:val="auto"/>
          <w:kern w:val="0"/>
          <w:szCs w:val="21"/>
          <w:u w:val="single"/>
        </w:rPr>
        <w:t>采购人</w:t>
      </w:r>
      <w:r>
        <w:rPr>
          <w:rFonts w:hint="eastAsia" w:ascii="宋体" w:hAnsi="宋体" w:cs="宋体"/>
          <w:snapToGrid w:val="0"/>
          <w:color w:val="auto"/>
          <w:kern w:val="0"/>
          <w:szCs w:val="21"/>
        </w:rPr>
        <w:t>系</w:t>
      </w:r>
      <w:r>
        <w:rPr>
          <w:rFonts w:hint="eastAsia" w:ascii="宋体" w:hAnsi="宋体" w:cs="宋体"/>
          <w:snapToGrid w:val="0"/>
          <w:color w:val="auto"/>
          <w:kern w:val="0"/>
          <w:szCs w:val="21"/>
          <w:u w:val="single"/>
        </w:rPr>
        <w:t>杭州市市场监督管理局</w:t>
      </w:r>
      <w:r>
        <w:rPr>
          <w:rFonts w:hint="eastAsia" w:ascii="宋体" w:hAnsi="宋体" w:cs="宋体"/>
          <w:snapToGrid w:val="0"/>
          <w:color w:val="auto"/>
          <w:kern w:val="0"/>
          <w:szCs w:val="21"/>
        </w:rPr>
        <w:t>。</w:t>
      </w:r>
      <w:r>
        <w:rPr>
          <w:rFonts w:hint="eastAsia" w:ascii="宋体" w:hAnsi="宋体" w:cs="宋体"/>
          <w:b/>
          <w:bCs/>
          <w:snapToGrid w:val="0"/>
          <w:color w:val="auto"/>
          <w:kern w:val="0"/>
          <w:szCs w:val="21"/>
        </w:rPr>
        <w:t>采购人</w:t>
      </w:r>
      <w:r>
        <w:rPr>
          <w:rFonts w:hint="eastAsia" w:ascii="宋体" w:hAnsi="宋体" w:cs="宋体"/>
          <w:snapToGrid w:val="0"/>
          <w:color w:val="auto"/>
          <w:kern w:val="0"/>
          <w:szCs w:val="21"/>
        </w:rPr>
        <w:t>委托</w:t>
      </w:r>
      <w:r>
        <w:rPr>
          <w:rFonts w:hint="eastAsia" w:ascii="宋体" w:hAnsi="宋体" w:cs="宋体"/>
          <w:bCs/>
          <w:snapToGrid w:val="0"/>
          <w:color w:val="auto"/>
          <w:kern w:val="0"/>
          <w:szCs w:val="21"/>
          <w:u w:val="single"/>
        </w:rPr>
        <w:t>浙江中诺招标代理有限公司</w:t>
      </w:r>
      <w:r>
        <w:rPr>
          <w:rFonts w:hint="eastAsia" w:ascii="宋体" w:hAnsi="宋体" w:cs="宋体"/>
          <w:snapToGrid w:val="0"/>
          <w:color w:val="auto"/>
          <w:kern w:val="0"/>
          <w:szCs w:val="21"/>
        </w:rPr>
        <w:t>为本项目采购代理机构。</w:t>
      </w:r>
    </w:p>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2.2</w:t>
      </w:r>
      <w:r>
        <w:rPr>
          <w:rFonts w:hint="eastAsia" w:ascii="宋体" w:hAnsi="宋体" w:cs="宋体"/>
          <w:b/>
          <w:bCs/>
          <w:snapToGrid w:val="0"/>
          <w:color w:val="auto"/>
          <w:kern w:val="0"/>
          <w:szCs w:val="21"/>
          <w:u w:val="single"/>
        </w:rPr>
        <w:t>投标人</w:t>
      </w:r>
      <w:r>
        <w:rPr>
          <w:rFonts w:hint="eastAsia" w:ascii="宋体" w:hAnsi="宋体" w:cs="宋体"/>
          <w:snapToGrid w:val="0"/>
          <w:color w:val="auto"/>
          <w:kern w:val="0"/>
          <w:szCs w:val="21"/>
        </w:rPr>
        <w:t>系响应本次招标，参加本次投标的供应商。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2.3</w:t>
      </w:r>
      <w:r>
        <w:rPr>
          <w:rFonts w:hint="eastAsia" w:ascii="宋体" w:hAnsi="宋体" w:cs="宋体"/>
          <w:b/>
          <w:bCs/>
          <w:color w:val="auto"/>
          <w:szCs w:val="21"/>
          <w:u w:val="single"/>
        </w:rPr>
        <w:t>货物</w:t>
      </w:r>
      <w:r>
        <w:rPr>
          <w:rFonts w:hint="eastAsia" w:ascii="宋体" w:hAnsi="宋体" w:cs="宋体"/>
          <w:color w:val="auto"/>
          <w:szCs w:val="21"/>
        </w:rPr>
        <w:t>系指供方按招标文件规定，须向采购人提供的一切设备、备品备件、工具、手册及其它有关技术资料和材料。</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2.4</w:t>
      </w:r>
      <w:r>
        <w:rPr>
          <w:rFonts w:hint="eastAsia" w:ascii="宋体" w:hAnsi="宋体" w:cs="宋体"/>
          <w:b/>
          <w:bCs/>
          <w:color w:val="auto"/>
          <w:szCs w:val="21"/>
          <w:u w:val="single"/>
        </w:rPr>
        <w:t>服务</w:t>
      </w:r>
      <w:r>
        <w:rPr>
          <w:rFonts w:hint="eastAsia" w:ascii="宋体" w:hAnsi="宋体" w:cs="宋体"/>
          <w:color w:val="auto"/>
          <w:szCs w:val="21"/>
        </w:rPr>
        <w:t>指采购文件或合同规定投标人须承担的抽检、承检、调试、试运行、技术协助、培训、售后服务以及其他类似的义务。</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 </w:t>
      </w:r>
      <w:r>
        <w:rPr>
          <w:rFonts w:hint="eastAsia" w:ascii="宋体" w:hAnsi="宋体" w:cs="宋体"/>
          <w:b/>
          <w:bCs/>
          <w:color w:val="auto"/>
          <w:szCs w:val="21"/>
          <w:u w:val="single"/>
        </w:rPr>
        <w:t>项目</w:t>
      </w:r>
      <w:r>
        <w:rPr>
          <w:rFonts w:hint="eastAsia" w:ascii="宋体" w:hAnsi="宋体" w:cs="宋体"/>
          <w:color w:val="auto"/>
          <w:szCs w:val="21"/>
        </w:rPr>
        <w:t>系指投标人按招标文件规定向采购人提供的货物和服务。</w:t>
      </w:r>
    </w:p>
    <w:p>
      <w:pPr>
        <w:adjustRightInd w:val="0"/>
        <w:snapToGrid w:val="0"/>
        <w:spacing w:line="360" w:lineRule="auto"/>
        <w:ind w:firstLine="422" w:firstLineChars="200"/>
        <w:rPr>
          <w:rFonts w:ascii="宋体" w:cs="宋体"/>
          <w:snapToGrid w:val="0"/>
          <w:color w:val="auto"/>
          <w:kern w:val="0"/>
          <w:szCs w:val="21"/>
        </w:rPr>
      </w:pPr>
      <w:r>
        <w:rPr>
          <w:rFonts w:ascii="宋体" w:hAnsi="宋体" w:cs="宋体"/>
          <w:b/>
          <w:snapToGrid w:val="0"/>
          <w:color w:val="auto"/>
          <w:kern w:val="0"/>
          <w:szCs w:val="21"/>
        </w:rPr>
        <w:t>3.</w:t>
      </w:r>
      <w:r>
        <w:rPr>
          <w:rFonts w:hint="eastAsia" w:ascii="宋体" w:hAnsi="宋体" w:cs="宋体"/>
          <w:b/>
          <w:bCs/>
          <w:snapToGrid w:val="0"/>
          <w:color w:val="auto"/>
          <w:kern w:val="0"/>
          <w:szCs w:val="21"/>
        </w:rPr>
        <w:t>合格的投标人</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详见招标公告中合格投标人须具备的资格条件。</w:t>
      </w:r>
    </w:p>
    <w:bookmarkEnd w:id="14"/>
    <w:bookmarkEnd w:id="15"/>
    <w:p>
      <w:pPr>
        <w:adjustRightInd w:val="0"/>
        <w:snapToGrid w:val="0"/>
        <w:spacing w:line="360" w:lineRule="auto"/>
        <w:ind w:firstLine="422" w:firstLineChars="200"/>
        <w:rPr>
          <w:rFonts w:ascii="宋体" w:cs="宋体"/>
          <w:b/>
          <w:snapToGrid w:val="0"/>
          <w:color w:val="auto"/>
          <w:kern w:val="0"/>
          <w:szCs w:val="21"/>
        </w:rPr>
      </w:pPr>
      <w:bookmarkStart w:id="16" w:name="_Hlt74707468"/>
      <w:bookmarkEnd w:id="16"/>
      <w:bookmarkStart w:id="17" w:name="_Hlt68072990"/>
      <w:bookmarkEnd w:id="17"/>
      <w:bookmarkStart w:id="18" w:name="_Hlt68057669"/>
      <w:bookmarkEnd w:id="18"/>
      <w:bookmarkStart w:id="19" w:name="_Hlt74729768"/>
      <w:bookmarkEnd w:id="19"/>
      <w:bookmarkStart w:id="20" w:name="_Hlt75236290"/>
      <w:bookmarkEnd w:id="20"/>
      <w:bookmarkStart w:id="21" w:name="_Toc91899879"/>
      <w:r>
        <w:rPr>
          <w:rFonts w:ascii="宋体" w:hAnsi="宋体" w:cs="宋体"/>
          <w:b/>
          <w:snapToGrid w:val="0"/>
          <w:color w:val="auto"/>
          <w:kern w:val="0"/>
          <w:szCs w:val="21"/>
        </w:rPr>
        <w:t>4.</w:t>
      </w:r>
      <w:r>
        <w:rPr>
          <w:rFonts w:hint="eastAsia" w:ascii="宋体" w:hAnsi="宋体" w:cs="宋体"/>
          <w:b/>
          <w:snapToGrid w:val="0"/>
          <w:color w:val="auto"/>
          <w:kern w:val="0"/>
          <w:szCs w:val="21"/>
        </w:rPr>
        <w:t>相关说明</w:t>
      </w:r>
    </w:p>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4.1</w:t>
      </w:r>
      <w:r>
        <w:rPr>
          <w:rFonts w:hint="eastAsia" w:ascii="宋体" w:hAnsi="宋体" w:cs="宋体"/>
          <w:snapToGrid w:val="0"/>
          <w:color w:val="auto"/>
          <w:kern w:val="0"/>
          <w:szCs w:val="21"/>
        </w:rPr>
        <w:t>投标人应承担其参加投标所涉及的一切费用，不管投标结果如何，采购人对上述费用不负任何责任。</w:t>
      </w:r>
    </w:p>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4.1</w:t>
      </w:r>
      <w:r>
        <w:rPr>
          <w:rFonts w:hint="eastAsia" w:ascii="宋体" w:hAnsi="宋体" w:cs="宋体"/>
          <w:snapToGrid w:val="0"/>
          <w:color w:val="auto"/>
          <w:kern w:val="0"/>
          <w:szCs w:val="21"/>
        </w:rPr>
        <w:t>本次招标代理服务费详见《投标须知前附表》第</w:t>
      </w:r>
      <w:r>
        <w:rPr>
          <w:rFonts w:ascii="宋体" w:hAnsi="宋体" w:cs="宋体"/>
          <w:snapToGrid w:val="0"/>
          <w:color w:val="auto"/>
          <w:kern w:val="0"/>
          <w:szCs w:val="21"/>
        </w:rPr>
        <w:t>29</w:t>
      </w:r>
      <w:r>
        <w:rPr>
          <w:rFonts w:hint="eastAsia" w:ascii="宋体" w:hAnsi="宋体" w:cs="宋体"/>
          <w:snapToGrid w:val="0"/>
          <w:color w:val="auto"/>
          <w:kern w:val="0"/>
          <w:szCs w:val="21"/>
        </w:rPr>
        <w:t>条。</w:t>
      </w:r>
    </w:p>
    <w:p>
      <w:pPr>
        <w:pStyle w:val="3"/>
        <w:jc w:val="left"/>
        <w:rPr>
          <w:rFonts w:ascii="宋体" w:cs="宋体"/>
          <w:color w:val="auto"/>
        </w:rPr>
      </w:pPr>
      <w:bookmarkStart w:id="22" w:name="_Toc11351"/>
      <w:r>
        <w:rPr>
          <w:rFonts w:hint="eastAsia" w:ascii="宋体" w:hAnsi="宋体" w:cs="宋体"/>
          <w:color w:val="auto"/>
        </w:rPr>
        <w:t>二、招标文件</w:t>
      </w:r>
      <w:bookmarkEnd w:id="21"/>
      <w:bookmarkEnd w:id="22"/>
    </w:p>
    <w:p>
      <w:pPr>
        <w:adjustRightInd w:val="0"/>
        <w:snapToGrid w:val="0"/>
        <w:spacing w:line="360" w:lineRule="auto"/>
        <w:ind w:firstLine="422" w:firstLineChars="200"/>
        <w:rPr>
          <w:rFonts w:ascii="宋体" w:cs="宋体"/>
          <w:b/>
          <w:color w:val="auto"/>
          <w:szCs w:val="21"/>
        </w:rPr>
      </w:pPr>
      <w:bookmarkStart w:id="23" w:name="_Toc91899880"/>
      <w:bookmarkStart w:id="24" w:name="_Hlt74730307"/>
      <w:r>
        <w:rPr>
          <w:rFonts w:ascii="宋体" w:hAnsi="宋体" w:cs="宋体"/>
          <w:b/>
          <w:color w:val="auto"/>
          <w:szCs w:val="21"/>
        </w:rPr>
        <w:t>5.</w:t>
      </w:r>
      <w:r>
        <w:rPr>
          <w:rFonts w:hint="eastAsia" w:ascii="宋体" w:hAnsi="宋体" w:cs="宋体"/>
          <w:b/>
          <w:color w:val="auto"/>
          <w:szCs w:val="21"/>
        </w:rPr>
        <w:t>招标文件的构成</w:t>
      </w:r>
      <w:bookmarkEnd w:id="23"/>
    </w:p>
    <w:p>
      <w:pPr>
        <w:adjustRightInd w:val="0"/>
        <w:snapToGrid w:val="0"/>
        <w:spacing w:line="360" w:lineRule="auto"/>
        <w:ind w:firstLine="420" w:firstLineChars="200"/>
        <w:jc w:val="left"/>
        <w:rPr>
          <w:color w:val="auto"/>
          <w:szCs w:val="21"/>
        </w:rPr>
      </w:pPr>
      <w:r>
        <w:rPr>
          <w:rFonts w:hint="eastAsia"/>
          <w:color w:val="auto"/>
          <w:szCs w:val="21"/>
        </w:rPr>
        <w:t>（</w:t>
      </w:r>
      <w:r>
        <w:rPr>
          <w:color w:val="auto"/>
          <w:szCs w:val="21"/>
        </w:rPr>
        <w:t>1</w:t>
      </w:r>
      <w:r>
        <w:rPr>
          <w:rFonts w:hint="eastAsia"/>
          <w:color w:val="auto"/>
          <w:szCs w:val="21"/>
        </w:rPr>
        <w:t>）招标公告</w:t>
      </w:r>
    </w:p>
    <w:p>
      <w:pPr>
        <w:adjustRightInd w:val="0"/>
        <w:snapToGrid w:val="0"/>
        <w:spacing w:line="360" w:lineRule="auto"/>
        <w:ind w:firstLine="420" w:firstLineChars="200"/>
        <w:jc w:val="left"/>
        <w:rPr>
          <w:color w:val="auto"/>
          <w:szCs w:val="21"/>
        </w:rPr>
      </w:pPr>
      <w:r>
        <w:rPr>
          <w:rFonts w:hint="eastAsia"/>
          <w:color w:val="auto"/>
          <w:szCs w:val="21"/>
        </w:rPr>
        <w:t>（</w:t>
      </w:r>
      <w:r>
        <w:rPr>
          <w:color w:val="auto"/>
          <w:szCs w:val="21"/>
        </w:rPr>
        <w:t>2</w:t>
      </w:r>
      <w:r>
        <w:rPr>
          <w:rFonts w:hint="eastAsia"/>
          <w:color w:val="auto"/>
          <w:szCs w:val="21"/>
        </w:rPr>
        <w:t>）招标需求</w:t>
      </w:r>
    </w:p>
    <w:p>
      <w:pPr>
        <w:adjustRightInd w:val="0"/>
        <w:snapToGrid w:val="0"/>
        <w:spacing w:line="360" w:lineRule="auto"/>
        <w:ind w:firstLine="420" w:firstLineChars="200"/>
        <w:jc w:val="left"/>
        <w:rPr>
          <w:color w:val="auto"/>
          <w:szCs w:val="21"/>
        </w:rPr>
      </w:pPr>
      <w:r>
        <w:rPr>
          <w:rFonts w:hint="eastAsia"/>
          <w:color w:val="auto"/>
          <w:szCs w:val="21"/>
        </w:rPr>
        <w:t>（</w:t>
      </w:r>
      <w:r>
        <w:rPr>
          <w:color w:val="auto"/>
          <w:szCs w:val="21"/>
        </w:rPr>
        <w:t>3</w:t>
      </w:r>
      <w:r>
        <w:rPr>
          <w:rFonts w:hint="eastAsia"/>
          <w:color w:val="auto"/>
          <w:szCs w:val="21"/>
        </w:rPr>
        <w:t>）投标人须知</w:t>
      </w:r>
    </w:p>
    <w:p>
      <w:pPr>
        <w:adjustRightInd w:val="0"/>
        <w:snapToGrid w:val="0"/>
        <w:spacing w:line="360" w:lineRule="auto"/>
        <w:ind w:firstLine="420" w:firstLineChars="200"/>
        <w:jc w:val="left"/>
        <w:rPr>
          <w:color w:val="auto"/>
          <w:szCs w:val="21"/>
        </w:rPr>
      </w:pPr>
      <w:r>
        <w:rPr>
          <w:rFonts w:hint="eastAsia"/>
          <w:color w:val="auto"/>
          <w:szCs w:val="21"/>
        </w:rPr>
        <w:t>（</w:t>
      </w:r>
      <w:r>
        <w:rPr>
          <w:color w:val="auto"/>
          <w:szCs w:val="21"/>
        </w:rPr>
        <w:t>4</w:t>
      </w:r>
      <w:r>
        <w:rPr>
          <w:rFonts w:hint="eastAsia"/>
          <w:color w:val="auto"/>
          <w:szCs w:val="21"/>
        </w:rPr>
        <w:t>）评标办法及标准</w:t>
      </w:r>
    </w:p>
    <w:p>
      <w:pPr>
        <w:adjustRightInd w:val="0"/>
        <w:snapToGrid w:val="0"/>
        <w:spacing w:line="360" w:lineRule="auto"/>
        <w:ind w:firstLine="420" w:firstLineChars="200"/>
        <w:jc w:val="left"/>
        <w:rPr>
          <w:color w:val="auto"/>
          <w:szCs w:val="21"/>
        </w:rPr>
      </w:pPr>
      <w:r>
        <w:rPr>
          <w:rFonts w:hint="eastAsia"/>
          <w:color w:val="auto"/>
          <w:szCs w:val="21"/>
        </w:rPr>
        <w:t>（</w:t>
      </w:r>
      <w:r>
        <w:rPr>
          <w:color w:val="auto"/>
          <w:szCs w:val="21"/>
        </w:rPr>
        <w:t>5</w:t>
      </w:r>
      <w:r>
        <w:rPr>
          <w:rFonts w:hint="eastAsia"/>
          <w:color w:val="auto"/>
          <w:szCs w:val="21"/>
        </w:rPr>
        <w:t>）合同主要条款</w:t>
      </w:r>
    </w:p>
    <w:p>
      <w:pPr>
        <w:adjustRightInd w:val="0"/>
        <w:snapToGrid w:val="0"/>
        <w:spacing w:line="360" w:lineRule="auto"/>
        <w:ind w:firstLine="420" w:firstLineChars="200"/>
        <w:jc w:val="left"/>
        <w:rPr>
          <w:color w:val="auto"/>
          <w:szCs w:val="21"/>
        </w:rPr>
      </w:pPr>
      <w:r>
        <w:rPr>
          <w:rFonts w:hint="eastAsia"/>
          <w:color w:val="auto"/>
          <w:szCs w:val="21"/>
        </w:rPr>
        <w:t>（</w:t>
      </w:r>
      <w:r>
        <w:rPr>
          <w:color w:val="auto"/>
          <w:szCs w:val="21"/>
        </w:rPr>
        <w:t>6</w:t>
      </w:r>
      <w:r>
        <w:rPr>
          <w:rFonts w:hint="eastAsia"/>
          <w:color w:val="auto"/>
          <w:szCs w:val="21"/>
        </w:rPr>
        <w:t>）投标文件格式</w:t>
      </w:r>
    </w:p>
    <w:bookmarkEnd w:id="24"/>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5.1</w:t>
      </w:r>
      <w:r>
        <w:rPr>
          <w:rFonts w:hint="eastAsia" w:ascii="宋体" w:hAnsi="宋体" w:cs="宋体"/>
          <w:snapToGrid w:val="0"/>
          <w:color w:val="auto"/>
          <w:kern w:val="0"/>
          <w:szCs w:val="21"/>
        </w:rPr>
        <w:t>本招标文件包括目录所示内容及所有按本须知第</w:t>
      </w:r>
      <w:r>
        <w:rPr>
          <w:rFonts w:ascii="宋体" w:hAnsi="宋体" w:cs="宋体"/>
          <w:snapToGrid w:val="0"/>
          <w:color w:val="auto"/>
          <w:kern w:val="0"/>
          <w:szCs w:val="21"/>
        </w:rPr>
        <w:t>6</w:t>
      </w:r>
      <w:r>
        <w:rPr>
          <w:rFonts w:hint="eastAsia" w:ascii="宋体" w:hAnsi="宋体" w:cs="宋体"/>
          <w:snapToGrid w:val="0"/>
          <w:color w:val="auto"/>
          <w:kern w:val="0"/>
          <w:szCs w:val="21"/>
        </w:rPr>
        <w:t>条发出的补充资料。</w:t>
      </w:r>
    </w:p>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5.2</w:t>
      </w:r>
      <w:r>
        <w:rPr>
          <w:rFonts w:hint="eastAsia" w:ascii="宋体" w:hAnsi="宋体" w:cs="宋体"/>
          <w:snapToGrid w:val="0"/>
          <w:color w:val="auto"/>
          <w:kern w:val="0"/>
          <w:szCs w:val="21"/>
        </w:rPr>
        <w:t>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宋体" w:cs="宋体"/>
          <w:snapToGrid w:val="0"/>
          <w:color w:val="auto"/>
          <w:kern w:val="0"/>
          <w:szCs w:val="21"/>
        </w:rPr>
      </w:pPr>
      <w:r>
        <w:rPr>
          <w:rFonts w:ascii="宋体" w:hAnsi="宋体" w:cs="宋体"/>
          <w:snapToGrid w:val="0"/>
          <w:color w:val="auto"/>
          <w:kern w:val="0"/>
          <w:szCs w:val="21"/>
        </w:rPr>
        <w:t>5.3</w:t>
      </w:r>
      <w:r>
        <w:rPr>
          <w:rFonts w:hint="eastAsia" w:ascii="宋体" w:hAnsi="宋体" w:cs="宋体"/>
          <w:snapToGrid w:val="0"/>
          <w:color w:val="auto"/>
          <w:kern w:val="0"/>
          <w:szCs w:val="21"/>
        </w:rPr>
        <w:t>投标人应认真阅读招标文件中所有的事项、格式、条款和技术要求等。如果投标人没有按照招标文件要求和规定编制投标文件及提交全部资料，或者投标没有对招标文件中各方面作出实质性响应，其风险应由投标人承担。</w:t>
      </w:r>
    </w:p>
    <w:p>
      <w:pPr>
        <w:adjustRightInd w:val="0"/>
        <w:snapToGrid w:val="0"/>
        <w:spacing w:line="360" w:lineRule="auto"/>
        <w:ind w:firstLine="420" w:firstLineChars="200"/>
        <w:rPr>
          <w:rFonts w:ascii="宋体" w:cs="宋体"/>
          <w:color w:val="auto"/>
          <w:szCs w:val="21"/>
        </w:rPr>
      </w:pPr>
      <w:r>
        <w:rPr>
          <w:rFonts w:ascii="宋体" w:hAnsi="宋体" w:cs="宋体"/>
          <w:snapToGrid w:val="0"/>
          <w:color w:val="auto"/>
          <w:kern w:val="0"/>
          <w:szCs w:val="21"/>
        </w:rPr>
        <w:t>5.4</w:t>
      </w:r>
      <w:r>
        <w:rPr>
          <w:rFonts w:hint="eastAsia" w:ascii="宋体" w:hAnsi="宋体" w:cs="宋体"/>
          <w:color w:val="auto"/>
          <w:szCs w:val="21"/>
        </w:rPr>
        <w:t>招标文件是招标过程进行的有效依据，也是成交后签订协议和合同的依据，对双方均具有约束力，凡不遵守招标文件规定或对招标文件的实质性内容不响应的，将可能被拒绝或以无效标处理。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5.5</w:t>
      </w:r>
      <w:r>
        <w:rPr>
          <w:rFonts w:hint="eastAsia" w:ascii="宋体" w:hAnsi="宋体" w:cs="宋体"/>
          <w:color w:val="auto"/>
          <w:szCs w:val="21"/>
        </w:rPr>
        <w:t>本招标文件由采购人或采购代理机构依据招标投标相关法律、法规、规章、省市规定进行解释。</w:t>
      </w:r>
    </w:p>
    <w:p>
      <w:pPr>
        <w:adjustRightInd w:val="0"/>
        <w:snapToGrid w:val="0"/>
        <w:spacing w:line="360" w:lineRule="auto"/>
        <w:ind w:firstLine="422" w:firstLineChars="200"/>
        <w:rPr>
          <w:rFonts w:ascii="宋体" w:cs="宋体"/>
          <w:b/>
          <w:bCs/>
          <w:color w:val="auto"/>
          <w:szCs w:val="21"/>
        </w:rPr>
      </w:pPr>
      <w:r>
        <w:rPr>
          <w:rFonts w:ascii="宋体" w:hAnsi="宋体" w:cs="宋体"/>
          <w:b/>
          <w:bCs/>
          <w:color w:val="auto"/>
          <w:szCs w:val="21"/>
        </w:rPr>
        <w:t>6.</w:t>
      </w:r>
      <w:r>
        <w:rPr>
          <w:rFonts w:hint="eastAsia" w:ascii="宋体" w:hAnsi="宋体" w:cs="宋体"/>
          <w:b/>
          <w:bCs/>
          <w:color w:val="auto"/>
          <w:szCs w:val="21"/>
        </w:rPr>
        <w:t>招标文件的澄清与修改</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6.1</w:t>
      </w:r>
      <w:r>
        <w:rPr>
          <w:rFonts w:hint="eastAsia" w:ascii="宋体" w:hAnsi="宋体" w:cs="宋体"/>
          <w:color w:val="auto"/>
          <w:szCs w:val="21"/>
        </w:rPr>
        <w:t>投标人对招标文件如有疑点，可要求澄清，澄清应以书面形式（包括信函、电报或传真，下同）通知到采购代理机构。招标代理机构将视情况确定采用适当方式予以澄清或以书面形式予以答复，并在其认为必要时，将不标明查询来源的书面答复发给已购买招标文件的每一投标人。</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6.2</w:t>
      </w:r>
      <w:r>
        <w:rPr>
          <w:rFonts w:hint="eastAsia" w:ascii="宋体" w:hAnsi="宋体" w:cs="宋体"/>
          <w:color w:val="auto"/>
          <w:szCs w:val="21"/>
        </w:rPr>
        <w:t>采购代理机构可主动地或依据投标人要求澄清的问题而修改招标文件，并以书面形式通知所有购买招标文件的投标人，对方在收到该通知后应立即以电报或传真的形式予以确认。</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6.3 </w:t>
      </w:r>
      <w:r>
        <w:rPr>
          <w:rFonts w:hint="eastAsia" w:ascii="宋体" w:hAnsi="宋体" w:cs="宋体"/>
          <w:color w:val="auto"/>
          <w:szCs w:val="21"/>
        </w:rPr>
        <w:t>为使投标人在准备投标文件时有合理的时间考虑招标文件的修改，采购代理机构可酌情推迟投标截止时间和开标时间，并以书面形式通知已购买招标文件的每一投标人。</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6.4 </w:t>
      </w:r>
      <w:r>
        <w:rPr>
          <w:rFonts w:hint="eastAsia" w:ascii="宋体" w:hAnsi="宋体" w:cs="宋体"/>
          <w:color w:val="auto"/>
          <w:szCs w:val="21"/>
        </w:rPr>
        <w:t>招标文件的修改书将构成招标文件的一部分，对投标人有约束力。</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7.</w:t>
      </w:r>
      <w:r>
        <w:rPr>
          <w:rFonts w:hint="eastAsia" w:ascii="宋体" w:hAnsi="宋体" w:cs="宋体"/>
          <w:b/>
          <w:color w:val="auto"/>
          <w:szCs w:val="21"/>
        </w:rPr>
        <w:t>投标报价及供货</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7.1</w:t>
      </w:r>
      <w:r>
        <w:rPr>
          <w:rFonts w:hint="eastAsia" w:ascii="宋体" w:hAnsi="宋体" w:cs="宋体"/>
          <w:color w:val="auto"/>
          <w:szCs w:val="21"/>
        </w:rPr>
        <w:t>投标报价</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投标人的报价是投标人响应招标项目要求的全部工作内容的价格体现，包括投标人完成本项目所需的一切费用。投标报价应是唯一的</w:t>
      </w:r>
      <w:r>
        <w:rPr>
          <w:rFonts w:ascii="宋体" w:cs="宋体"/>
          <w:color w:val="auto"/>
          <w:szCs w:val="21"/>
        </w:rPr>
        <w:t>,</w:t>
      </w:r>
      <w:r>
        <w:rPr>
          <w:rFonts w:hint="eastAsia" w:ascii="宋体" w:hAnsi="宋体" w:cs="宋体"/>
          <w:color w:val="auto"/>
          <w:szCs w:val="21"/>
        </w:rPr>
        <w:t>任何有选择或有条件的报价将不予接受。</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具体包括自接受采购人委托至递交满足采购人要求的报告全过程的全部内容所需的全部费用，</w:t>
      </w:r>
      <w:r>
        <w:rPr>
          <w:rFonts w:hint="eastAsia" w:ascii="宋体" w:hAnsi="宋体" w:cs="宋体"/>
          <w:b/>
          <w:color w:val="auto"/>
          <w:szCs w:val="21"/>
        </w:rPr>
        <w:t>其中购样费为实报实销，此次投标报价中暂时不含，但应包含在今后的检查项目合同总价中。</w:t>
      </w:r>
      <w:r>
        <w:rPr>
          <w:rFonts w:hint="eastAsia" w:ascii="宋体" w:hAnsi="宋体" w:cs="宋体"/>
          <w:color w:val="auto"/>
          <w:szCs w:val="21"/>
        </w:rPr>
        <w:t>其他所有检测过程中所发生的费用（包括检测费用、交通食宿差旅费等），均应包含在本次投标报价内，且适用于所有检测领域。投标报价还应包括必要的保险费用和各项税金及各类风险因素等所有费用。</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此次报价要求按《投标报价明细表》规定，以单批次单品种为基准，提供单批次单品种抽检总报价（除购样费外）。</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本项目以商品为最小评审单位,如供应商未具有招标文件中商品所对应的全项能力,将在评审中被认为不具有该商品的检测能力。若因资质限制，无法提供检测特定商品的所有指标而导致报价缺漏的，则将加上其他投标人中该项检测商品的最高价，计入评标价，得出相应检验费总价，并计算价格得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7.2</w:t>
      </w:r>
      <w:r>
        <w:rPr>
          <w:rFonts w:hint="eastAsia" w:ascii="宋体" w:hAnsi="宋体" w:cs="宋体"/>
          <w:color w:val="auto"/>
          <w:szCs w:val="21"/>
        </w:rPr>
        <w:t>其它费用处理</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招标文件未列明，而投标人认为必需的费用也需列入报价。</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7.3</w:t>
      </w:r>
      <w:r>
        <w:rPr>
          <w:rFonts w:hint="eastAsia" w:ascii="宋体" w:hAnsi="宋体" w:cs="宋体"/>
          <w:color w:val="auto"/>
          <w:szCs w:val="21"/>
        </w:rPr>
        <w:t>投标货币</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投标文件中的单价和总价全部采用人民币报价。</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7.4</w:t>
      </w:r>
      <w:r>
        <w:rPr>
          <w:rFonts w:hint="eastAsia" w:ascii="宋体" w:hAnsi="宋体" w:cs="宋体"/>
          <w:color w:val="auto"/>
          <w:szCs w:val="21"/>
        </w:rPr>
        <w:t>签订合同后，供应商按照其与采购人的事先约定将所供服务运至规定地点。</w:t>
      </w:r>
    </w:p>
    <w:p>
      <w:pPr>
        <w:pStyle w:val="3"/>
        <w:jc w:val="left"/>
        <w:rPr>
          <w:rFonts w:ascii="宋体" w:cs="宋体"/>
          <w:color w:val="auto"/>
        </w:rPr>
      </w:pPr>
      <w:bookmarkStart w:id="25" w:name="_Hlt75236011"/>
      <w:bookmarkEnd w:id="25"/>
      <w:bookmarkStart w:id="26" w:name="_Toc5560"/>
      <w:bookmarkStart w:id="27" w:name="_Toc91899884"/>
      <w:r>
        <w:rPr>
          <w:rFonts w:hint="eastAsia" w:ascii="宋体" w:hAnsi="宋体" w:cs="宋体"/>
          <w:color w:val="auto"/>
        </w:rPr>
        <w:t>三、投标文件的编制</w:t>
      </w:r>
      <w:bookmarkEnd w:id="26"/>
      <w:bookmarkEnd w:id="27"/>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8.</w:t>
      </w:r>
      <w:r>
        <w:rPr>
          <w:rFonts w:hint="eastAsia" w:ascii="宋体" w:hAnsi="宋体" w:cs="宋体"/>
          <w:b/>
          <w:color w:val="auto"/>
          <w:szCs w:val="21"/>
        </w:rPr>
        <w:t>投标文件的语言及计量单位</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8.1</w:t>
      </w:r>
      <w:r>
        <w:rPr>
          <w:rFonts w:hint="eastAsia" w:ascii="宋体" w:hAnsi="宋体" w:cs="宋体"/>
          <w:color w:val="auto"/>
          <w:szCs w:val="21"/>
        </w:rPr>
        <w:t>投标文件及投标人与采购有关的来往通知、函件和文件均应使用</w:t>
      </w:r>
      <w:r>
        <w:rPr>
          <w:rFonts w:hint="eastAsia" w:ascii="宋体" w:hAnsi="宋体" w:cs="宋体"/>
          <w:snapToGrid w:val="0"/>
          <w:color w:val="auto"/>
          <w:kern w:val="0"/>
          <w:szCs w:val="21"/>
        </w:rPr>
        <w:t>简体</w:t>
      </w:r>
      <w:r>
        <w:rPr>
          <w:rFonts w:hint="eastAsia" w:ascii="宋体" w:hAnsi="宋体" w:cs="宋体"/>
          <w:color w:val="auto"/>
          <w:szCs w:val="21"/>
        </w:rPr>
        <w:t>中文。除签名、盖章、专用名称等特殊情形外，以中文汉语以外的文字表述的投标文件视同未提供。</w:t>
      </w:r>
      <w:r>
        <w:rPr>
          <w:rFonts w:hint="eastAsia" w:ascii="宋体" w:hAnsi="宋体" w:cs="宋体"/>
          <w:b/>
          <w:color w:val="auto"/>
          <w:szCs w:val="21"/>
        </w:rPr>
        <w:t>投标文件中如附有外文资料，必须逐一对应翻译成中文并加盖投标人公章后附在相关外文资料后面，否则外文资料不予认可</w:t>
      </w:r>
      <w:r>
        <w:rPr>
          <w:rFonts w:hint="eastAsia" w:ascii="宋体" w:hAnsi="宋体" w:cs="宋体"/>
          <w:color w:val="auto"/>
          <w:szCs w:val="21"/>
        </w:rPr>
        <w:t>。翻译的中文资料与外文资料不符的，均不予认可。翻译严重错误的，将视同提供虚假资料，不予退还投标保证金。</w:t>
      </w:r>
    </w:p>
    <w:p>
      <w:pPr>
        <w:adjustRightInd w:val="0"/>
        <w:snapToGrid w:val="0"/>
        <w:spacing w:line="360" w:lineRule="auto"/>
        <w:ind w:firstLine="420" w:firstLineChars="200"/>
        <w:jc w:val="left"/>
        <w:rPr>
          <w:rFonts w:ascii="宋体" w:cs="宋体"/>
          <w:color w:val="auto"/>
          <w:szCs w:val="21"/>
        </w:rPr>
      </w:pPr>
      <w:r>
        <w:rPr>
          <w:rFonts w:ascii="宋体" w:hAnsi="宋体" w:cs="宋体"/>
          <w:snapToGrid w:val="0"/>
          <w:color w:val="auto"/>
          <w:kern w:val="0"/>
          <w:szCs w:val="21"/>
        </w:rPr>
        <w:t>8.2</w:t>
      </w:r>
      <w:r>
        <w:rPr>
          <w:rFonts w:hint="eastAsia" w:ascii="宋体" w:hAnsi="宋体" w:cs="宋体"/>
          <w:snapToGrid w:val="0"/>
          <w:color w:val="auto"/>
          <w:kern w:val="0"/>
          <w:szCs w:val="21"/>
        </w:rPr>
        <w:t>除招标文件另有规定外，投标文件所使用的计量单位，均须采用中华人民共和国法定计量单位，否则视同未响应。</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9.</w:t>
      </w:r>
      <w:r>
        <w:rPr>
          <w:rFonts w:hint="eastAsia" w:ascii="宋体" w:hAnsi="宋体" w:cs="宋体"/>
          <w:b/>
          <w:color w:val="auto"/>
          <w:szCs w:val="21"/>
        </w:rPr>
        <w:t>投标文件的组成（加“★”的资料为必须提供）</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shd w:val="pct10" w:color="auto" w:fill="FFFFFF"/>
        </w:rPr>
        <w:t>投标人向采购人递交的投标文件由报价文件、商务文件及技术文件三部分组成。复印件需加盖单位公章。所有投标文件分标项分别制作。</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 xml:space="preserve">9.1 </w:t>
      </w:r>
      <w:r>
        <w:rPr>
          <w:rFonts w:hint="eastAsia" w:ascii="宋体" w:hAnsi="宋体" w:cs="宋体"/>
          <w:b/>
          <w:color w:val="auto"/>
          <w:szCs w:val="21"/>
          <w:shd w:val="pct10" w:color="auto" w:fill="FFFFFF"/>
        </w:rPr>
        <w:t>投标人的报价文件应单独密封，内容应当包含：</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(1)</w:t>
      </w:r>
      <w:r>
        <w:rPr>
          <w:rFonts w:hint="eastAsia" w:ascii="宋体" w:hAnsi="宋体" w:cs="宋体"/>
          <w:b/>
          <w:color w:val="auto"/>
          <w:szCs w:val="21"/>
          <w:shd w:val="pct10" w:color="auto" w:fill="FFFFFF"/>
        </w:rPr>
        <w:t>★投标函；</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(2)</w:t>
      </w:r>
      <w:r>
        <w:rPr>
          <w:rFonts w:hint="eastAsia" w:ascii="宋体" w:hAnsi="宋体" w:cs="宋体"/>
          <w:b/>
          <w:color w:val="auto"/>
          <w:szCs w:val="21"/>
          <w:shd w:val="pct10" w:color="auto" w:fill="FFFFFF"/>
        </w:rPr>
        <w:t>★投标报价明细表；</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投标人需要说明的其它文件和资料。</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9.2</w:t>
      </w:r>
      <w:r>
        <w:rPr>
          <w:rFonts w:hint="eastAsia" w:ascii="宋体" w:hAnsi="宋体" w:cs="宋体"/>
          <w:b/>
          <w:color w:val="auto"/>
          <w:szCs w:val="21"/>
          <w:shd w:val="pct10" w:color="auto" w:fill="FFFFFF"/>
        </w:rPr>
        <w:t>投标人的商务文件应当包含：</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 xml:space="preserve">(1) </w:t>
      </w:r>
      <w:r>
        <w:rPr>
          <w:rFonts w:hint="eastAsia" w:ascii="宋体" w:hAnsi="宋体" w:cs="宋体"/>
          <w:b/>
          <w:color w:val="auto"/>
          <w:szCs w:val="21"/>
          <w:shd w:val="pct10" w:color="auto" w:fill="FFFFFF"/>
        </w:rPr>
        <w:t>★投标人代表身份证明资料包括：投标人代表的有效身份证件复印件及连续</w:t>
      </w:r>
      <w:r>
        <w:rPr>
          <w:rFonts w:ascii="宋体" w:hAnsi="宋体" w:cs="宋体"/>
          <w:b/>
          <w:color w:val="auto"/>
          <w:szCs w:val="21"/>
          <w:shd w:val="pct10" w:color="auto" w:fill="FFFFFF"/>
        </w:rPr>
        <w:t>2</w:t>
      </w:r>
      <w:r>
        <w:rPr>
          <w:rFonts w:hint="eastAsia" w:ascii="宋体" w:hAnsi="宋体" w:cs="宋体"/>
          <w:b/>
          <w:color w:val="auto"/>
          <w:szCs w:val="21"/>
          <w:shd w:val="pct10" w:color="auto" w:fill="FFFFFF"/>
        </w:rPr>
        <w:t>个月（指投标截止日所在月之前最近的连续</w:t>
      </w:r>
      <w:r>
        <w:rPr>
          <w:rFonts w:ascii="宋体" w:hAnsi="宋体" w:cs="宋体"/>
          <w:b/>
          <w:color w:val="auto"/>
          <w:szCs w:val="21"/>
          <w:shd w:val="pct10" w:color="auto" w:fill="FFFFFF"/>
        </w:rPr>
        <w:t>2</w:t>
      </w:r>
      <w:r>
        <w:rPr>
          <w:rFonts w:hint="eastAsia" w:ascii="宋体" w:hAnsi="宋体" w:cs="宋体"/>
          <w:b/>
          <w:color w:val="auto"/>
          <w:szCs w:val="21"/>
          <w:shd w:val="pct10" w:color="auto" w:fill="FFFFFF"/>
        </w:rPr>
        <w:t>个月）的社会保险证明，社会保险证明必须由投标人注册所在地社会劳动保障部门出具；如委托的，还需提供有效的法定代表人授权委托书。</w:t>
      </w:r>
      <w:r>
        <w:rPr>
          <w:rFonts w:ascii="宋体" w:hAnsi="宋体" w:cs="宋体"/>
          <w:b/>
          <w:color w:val="auto"/>
          <w:szCs w:val="21"/>
          <w:shd w:val="pct10" w:color="auto" w:fill="FFFFFF"/>
        </w:rPr>
        <w:t>(</w:t>
      </w:r>
      <w:r>
        <w:rPr>
          <w:rFonts w:hint="eastAsia" w:ascii="宋体" w:hAnsi="宋体" w:cs="宋体"/>
          <w:b/>
          <w:color w:val="auto"/>
          <w:szCs w:val="21"/>
          <w:shd w:val="pct10" w:color="auto" w:fill="FFFFFF"/>
        </w:rPr>
        <w:t>注：社会保险必须由投标人代表所在单位缴纳</w:t>
      </w:r>
      <w:r>
        <w:rPr>
          <w:rFonts w:ascii="宋体" w:hAnsi="宋体" w:cs="宋体"/>
          <w:b/>
          <w:color w:val="auto"/>
          <w:szCs w:val="21"/>
          <w:shd w:val="pct10" w:color="auto" w:fill="FFFFFF"/>
        </w:rPr>
        <w:t>)</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(2)</w:t>
      </w:r>
      <w:r>
        <w:rPr>
          <w:rFonts w:hint="eastAsia" w:ascii="宋体" w:hAnsi="宋体" w:cs="宋体"/>
          <w:b/>
          <w:color w:val="auto"/>
          <w:szCs w:val="21"/>
          <w:shd w:val="pct10" w:color="auto" w:fill="FFFFFF"/>
        </w:rPr>
        <w:t>★诚信承诺书。</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(3)</w:t>
      </w:r>
      <w:r>
        <w:rPr>
          <w:rFonts w:hint="eastAsia" w:ascii="宋体" w:hAnsi="宋体" w:cs="宋体"/>
          <w:b/>
          <w:color w:val="auto"/>
          <w:szCs w:val="21"/>
          <w:shd w:val="pct10" w:color="auto" w:fill="FFFFFF"/>
        </w:rPr>
        <w:t>★根据招标公告要求证明投标人具备资格所必须提交的资料。</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(4)</w:t>
      </w:r>
      <w:r>
        <w:rPr>
          <w:rFonts w:hint="eastAsia" w:ascii="宋体" w:hAnsi="宋体" w:cs="宋体"/>
          <w:b/>
          <w:color w:val="auto"/>
          <w:szCs w:val="21"/>
          <w:shd w:val="pct10" w:color="auto" w:fill="FFFFFF"/>
        </w:rPr>
        <w:t>★投标人基本情况：</w:t>
      </w:r>
      <w:r>
        <w:rPr>
          <w:rFonts w:ascii="宋体" w:cs="宋体"/>
          <w:b/>
          <w:color w:val="auto"/>
          <w:szCs w:val="21"/>
          <w:shd w:val="pct10" w:color="auto" w:fill="FFFFFF"/>
        </w:rPr>
        <w:tab/>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投标人基本情况表；提供前一年度经审计的财务报告（复印件加盖公章），未经审计的提供前一年度</w:t>
      </w:r>
      <w:r>
        <w:rPr>
          <w:rFonts w:ascii="宋体" w:hAnsi="宋体" w:cs="宋体"/>
          <w:color w:val="auto"/>
          <w:szCs w:val="21"/>
        </w:rPr>
        <w:t>12</w:t>
      </w:r>
      <w:r>
        <w:rPr>
          <w:rFonts w:hint="eastAsia" w:ascii="宋体" w:hAnsi="宋体" w:cs="宋体"/>
          <w:color w:val="auto"/>
          <w:szCs w:val="21"/>
        </w:rPr>
        <w:t>月份到公告发布截止前一月的资产负债表、利润表或损益表（新成立的公司，必须提供验资报告）；投标人认为有必要提供的诸如企业经营状况、优势、传媒报道、有关荣誉等资料。</w:t>
      </w:r>
    </w:p>
    <w:p>
      <w:pPr>
        <w:adjustRightInd w:val="0"/>
        <w:snapToGrid w:val="0"/>
        <w:spacing w:line="360" w:lineRule="auto"/>
        <w:ind w:firstLine="420" w:firstLineChars="200"/>
        <w:rPr>
          <w:rFonts w:ascii="宋体" w:cs="宋体"/>
          <w:b/>
          <w:color w:val="auto"/>
          <w:szCs w:val="21"/>
          <w:shd w:val="pct10" w:color="auto" w:fill="FFFFFF"/>
        </w:rPr>
      </w:pPr>
      <w:r>
        <w:rPr>
          <w:rFonts w:ascii="宋体" w:hAnsi="宋体" w:cs="宋体"/>
          <w:color w:val="auto"/>
          <w:szCs w:val="21"/>
        </w:rPr>
        <w:t>(5)</w:t>
      </w:r>
      <w:r>
        <w:rPr>
          <w:rFonts w:hint="eastAsia" w:ascii="宋体" w:hAnsi="宋体" w:cs="宋体"/>
          <w:color w:val="auto"/>
          <w:szCs w:val="21"/>
        </w:rPr>
        <w:t>有关投标人资质资格的其他证明证书：</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shd w:val="pct10" w:color="auto" w:fill="FFFFFF"/>
        </w:rPr>
        <w:t>a.</w:t>
      </w:r>
      <w:r>
        <w:rPr>
          <w:rFonts w:hint="eastAsia" w:ascii="宋体" w:hAnsi="宋体" w:cs="宋体"/>
          <w:b/>
          <w:color w:val="auto"/>
          <w:szCs w:val="21"/>
          <w:shd w:val="pct10" w:color="auto" w:fill="FFFFFF"/>
        </w:rPr>
        <w:t>★投标人有效期内的《企业法人营业执照》</w:t>
      </w:r>
      <w:r>
        <w:rPr>
          <w:rFonts w:hint="eastAsia" w:ascii="宋体" w:hAnsi="宋体" w:cs="宋体"/>
          <w:b/>
          <w:color w:val="auto"/>
          <w:szCs w:val="21"/>
        </w:rPr>
        <w:t>副本（复印件加盖公章）；</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b.</w:t>
      </w:r>
      <w:r>
        <w:rPr>
          <w:rFonts w:hint="eastAsia" w:ascii="宋体" w:hAnsi="宋体" w:cs="宋体"/>
          <w:color w:val="auto"/>
          <w:szCs w:val="21"/>
        </w:rPr>
        <w:t>投标人有效期内的《组织机构代码证》（复印件加盖公章）；投标人有效期内的《税务登记证》（复印件加盖公章）；投标人银行资信等级证书（如果有，复印件加盖公章）；投标人有效期内的《社会保险登记证》或近</w:t>
      </w:r>
      <w:r>
        <w:rPr>
          <w:rFonts w:ascii="宋体" w:hAnsi="宋体" w:cs="宋体"/>
          <w:color w:val="auto"/>
          <w:szCs w:val="21"/>
        </w:rPr>
        <w:t>2</w:t>
      </w:r>
      <w:r>
        <w:rPr>
          <w:rFonts w:hint="eastAsia" w:ascii="宋体" w:hAnsi="宋体" w:cs="宋体"/>
          <w:color w:val="auto"/>
          <w:szCs w:val="21"/>
        </w:rPr>
        <w:t>个月内缴纳社会保险良好记录的有效凭据（复印件加盖公章）；荣誉证书复印件或投标人认为需要说明的其他资料（复印件加盖公章）。</w:t>
      </w:r>
    </w:p>
    <w:p>
      <w:pPr>
        <w:pStyle w:val="14"/>
        <w:adjustRightInd w:val="0"/>
        <w:snapToGrid w:val="0"/>
        <w:ind w:firstLine="420"/>
        <w:rPr>
          <w:rFonts w:hAnsi="宋体"/>
          <w:color w:val="auto"/>
          <w:szCs w:val="24"/>
        </w:rPr>
      </w:pPr>
      <w:r>
        <w:rPr>
          <w:rFonts w:hint="eastAsia" w:hAnsi="宋体"/>
          <w:color w:val="auto"/>
          <w:szCs w:val="24"/>
        </w:rPr>
        <w:t>已办理“五证合一”证书的单位“《企业法人营业执照》《税务登记证》《社保登记证》</w:t>
      </w:r>
      <w:r>
        <w:rPr>
          <w:rFonts w:hint="eastAsia" w:hAnsi="宋体" w:cs="宋体"/>
          <w:color w:val="auto"/>
        </w:rPr>
        <w:t>《组织机构代码证》</w:t>
      </w:r>
      <w:r>
        <w:rPr>
          <w:rFonts w:hint="eastAsia" w:hAnsi="宋体"/>
          <w:color w:val="auto"/>
          <w:szCs w:val="24"/>
        </w:rPr>
        <w:t>”只需提供“五证合一”后的营业执照即可。</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投标保证金缴款凭证复印件（银行回单复印件或网上电汇凭证或本项目采购代理公司开具的保证金缴纳收据复印件，可在投标截止时间前单独提交）。</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(7)</w:t>
      </w:r>
      <w:r>
        <w:rPr>
          <w:rFonts w:hint="eastAsia" w:ascii="宋体" w:hAnsi="宋体" w:cs="宋体"/>
          <w:color w:val="auto"/>
          <w:szCs w:val="21"/>
        </w:rPr>
        <w:t>项目人员情况：</w:t>
      </w:r>
    </w:p>
    <w:p>
      <w:pPr>
        <w:adjustRightInd w:val="0"/>
        <w:snapToGrid w:val="0"/>
        <w:spacing w:line="360" w:lineRule="auto"/>
        <w:ind w:firstLine="422" w:firstLineChars="200"/>
        <w:rPr>
          <w:rFonts w:ascii="宋体" w:cs="宋体"/>
          <w:color w:val="auto"/>
          <w:szCs w:val="21"/>
        </w:rPr>
      </w:pPr>
      <w:r>
        <w:rPr>
          <w:rFonts w:ascii="宋体" w:hAnsi="宋体" w:cs="宋体"/>
          <w:b/>
          <w:color w:val="auto"/>
          <w:szCs w:val="21"/>
          <w:shd w:val="pct10" w:color="auto" w:fill="FFFFFF"/>
        </w:rPr>
        <w:t>a.</w:t>
      </w:r>
      <w:r>
        <w:rPr>
          <w:rFonts w:hint="eastAsia" w:ascii="宋体" w:hAnsi="宋体" w:cs="宋体"/>
          <w:b/>
          <w:color w:val="auto"/>
          <w:szCs w:val="21"/>
          <w:shd w:val="pct10" w:color="auto" w:fill="FFFFFF"/>
        </w:rPr>
        <w:t>★项目负责人情况：需提供连续6个月（指投标截止日所在月之前最近的连续6个月）的社会保险证明，社会保险证明必须由投标人注册所在地社会劳动保障部门出具。</w:t>
      </w:r>
      <w:r>
        <w:rPr>
          <w:rFonts w:ascii="宋体" w:hAnsi="宋体" w:cs="宋体"/>
          <w:b/>
          <w:color w:val="auto"/>
          <w:szCs w:val="21"/>
          <w:shd w:val="pct10" w:color="auto" w:fill="FFFFFF"/>
        </w:rPr>
        <w:t>(</w:t>
      </w:r>
      <w:r>
        <w:rPr>
          <w:rFonts w:hint="eastAsia" w:ascii="宋体" w:hAnsi="宋体" w:cs="宋体"/>
          <w:b/>
          <w:color w:val="auto"/>
          <w:szCs w:val="21"/>
          <w:shd w:val="pct10" w:color="auto" w:fill="FFFFFF"/>
        </w:rPr>
        <w:t>注：社会保险必须由项目负责人所在单位缴纳</w:t>
      </w:r>
      <w:r>
        <w:rPr>
          <w:rFonts w:ascii="宋体" w:hAnsi="宋体" w:cs="宋体"/>
          <w:b/>
          <w:color w:val="auto"/>
          <w:szCs w:val="21"/>
          <w:shd w:val="pct10" w:color="auto" w:fill="FFFFFF"/>
        </w:rPr>
        <w:t>)</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b.</w:t>
      </w:r>
      <w:r>
        <w:rPr>
          <w:rFonts w:hint="eastAsia" w:ascii="宋体" w:hAnsi="宋体" w:cs="宋体"/>
          <w:color w:val="auto"/>
          <w:szCs w:val="21"/>
        </w:rPr>
        <w:t>项目组人员情况；投标人认为需要的诸如项目组人员资格证书等其他资料。</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(8)</w:t>
      </w:r>
      <w:r>
        <w:rPr>
          <w:rFonts w:hint="eastAsia" w:ascii="宋体" w:hAnsi="宋体" w:cs="宋体"/>
          <w:b/>
          <w:color w:val="auto"/>
          <w:szCs w:val="21"/>
          <w:shd w:val="pct10" w:color="auto" w:fill="FFFFFF"/>
        </w:rPr>
        <w:t>★商务偏离表。</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(9)</w:t>
      </w:r>
      <w:r>
        <w:rPr>
          <w:rFonts w:hint="eastAsia" w:ascii="宋体" w:hAnsi="宋体" w:cs="宋体"/>
          <w:color w:val="auto"/>
          <w:szCs w:val="21"/>
        </w:rPr>
        <w:t>各种优惠承诺（优惠条件事项不能包括采购项目本身所包括涉及的采购事项。）。</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(10)</w:t>
      </w:r>
      <w:r>
        <w:rPr>
          <w:rFonts w:hint="eastAsia" w:ascii="宋体" w:hAnsi="宋体" w:cs="宋体"/>
          <w:color w:val="auto"/>
          <w:szCs w:val="21"/>
        </w:rPr>
        <w:t>类似项目业绩：</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类似项目业绩一览表；成功应用实例案例和类似项目实施的成功经验的证明材料，如合同复印件、入围通知书或用户证明。</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11</w:t>
      </w:r>
      <w:r>
        <w:rPr>
          <w:rFonts w:hint="eastAsia" w:ascii="宋体" w:hAnsi="宋体" w:cs="宋体"/>
          <w:color w:val="auto"/>
          <w:szCs w:val="21"/>
        </w:rPr>
        <w:t>）投标人需要说明的其它文件和资料。</w:t>
      </w:r>
    </w:p>
    <w:p>
      <w:pPr>
        <w:adjustRightInd w:val="0"/>
        <w:snapToGrid w:val="0"/>
        <w:spacing w:line="360" w:lineRule="auto"/>
        <w:ind w:firstLine="422" w:firstLineChars="200"/>
        <w:rPr>
          <w:rFonts w:ascii="宋体" w:cs="宋体"/>
          <w:color w:val="auto"/>
          <w:szCs w:val="21"/>
        </w:rPr>
      </w:pPr>
      <w:r>
        <w:rPr>
          <w:rFonts w:hint="eastAsia" w:ascii="宋体" w:hAnsi="宋体" w:cs="宋体"/>
          <w:b/>
          <w:bCs/>
          <w:color w:val="auto"/>
          <w:szCs w:val="21"/>
        </w:rPr>
        <w:t>上述（</w:t>
      </w:r>
      <w:r>
        <w:rPr>
          <w:rFonts w:ascii="宋体" w:hAnsi="宋体" w:cs="宋体"/>
          <w:b/>
          <w:bCs/>
          <w:color w:val="auto"/>
          <w:szCs w:val="21"/>
        </w:rPr>
        <w:t>1</w:t>
      </w:r>
      <w:r>
        <w:rPr>
          <w:rFonts w:hint="eastAsia" w:ascii="宋体" w:hAnsi="宋体" w:cs="宋体"/>
          <w:b/>
          <w:bCs/>
          <w:color w:val="auto"/>
          <w:szCs w:val="21"/>
        </w:rPr>
        <w:t>）～（</w:t>
      </w:r>
      <w:r>
        <w:rPr>
          <w:rFonts w:ascii="宋体" w:hAnsi="宋体" w:cs="宋体"/>
          <w:b/>
          <w:bCs/>
          <w:color w:val="auto"/>
          <w:szCs w:val="21"/>
        </w:rPr>
        <w:t>10</w:t>
      </w:r>
      <w:r>
        <w:rPr>
          <w:rFonts w:hint="eastAsia" w:ascii="宋体" w:hAnsi="宋体" w:cs="宋体"/>
          <w:b/>
          <w:bCs/>
          <w:color w:val="auto"/>
          <w:szCs w:val="21"/>
        </w:rPr>
        <w:t>）项资格证明文件是评标委员会对投标人资格进行合格性审查的评审依据，投标人应提交上述文件复印件并加盖公章，原件带至评标现场备查。如评审过程中须提供原件及相关材料时，投标人须无条件在规定时间内（自接到通知至递交按</w:t>
      </w:r>
      <w:r>
        <w:rPr>
          <w:rFonts w:ascii="宋体" w:hAnsi="宋体" w:cs="宋体"/>
          <w:b/>
          <w:bCs/>
          <w:color w:val="auto"/>
          <w:szCs w:val="21"/>
        </w:rPr>
        <w:t>20</w:t>
      </w:r>
      <w:r>
        <w:rPr>
          <w:rFonts w:hint="eastAsia" w:ascii="宋体" w:hAnsi="宋体" w:cs="宋体"/>
          <w:b/>
          <w:bCs/>
          <w:color w:val="auto"/>
          <w:szCs w:val="21"/>
        </w:rPr>
        <w:t>分钟计）向评标委员会提供原件及相关材料查验；如发现查验的原件与投标文件中所附的复印件不一致，则视为提供虚假证明材料投标，其投标文件无效；如发现投标人不能在规定时间内向评标委员会提供证明材料原件供查验的，则视为其投标文件所附证明材料缺乏真实性，其投标文件作无效标处理。</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9.3</w:t>
      </w:r>
      <w:r>
        <w:rPr>
          <w:rFonts w:hint="eastAsia" w:ascii="宋体" w:hAnsi="宋体" w:cs="宋体"/>
          <w:b/>
          <w:color w:val="auto"/>
          <w:szCs w:val="21"/>
          <w:shd w:val="pct10" w:color="auto" w:fill="FFFFFF"/>
        </w:rPr>
        <w:t>投标人的技术文件应当包括：</w:t>
      </w:r>
    </w:p>
    <w:p>
      <w:pPr>
        <w:adjustRightInd w:val="0"/>
        <w:snapToGrid w:val="0"/>
        <w:spacing w:line="360" w:lineRule="auto"/>
        <w:ind w:firstLine="422" w:firstLineChars="200"/>
        <w:rPr>
          <w:rFonts w:ascii="宋体" w:cs="宋体"/>
          <w:color w:val="auto"/>
          <w:szCs w:val="21"/>
        </w:rPr>
      </w:pPr>
      <w:r>
        <w:rPr>
          <w:rFonts w:ascii="宋体" w:hAnsi="宋体" w:cs="宋体"/>
          <w:b/>
          <w:color w:val="auto"/>
          <w:szCs w:val="21"/>
          <w:shd w:val="pct10" w:color="auto" w:fill="FFFFFF"/>
        </w:rPr>
        <w:t>(1)</w:t>
      </w:r>
      <w:r>
        <w:rPr>
          <w:rFonts w:hint="eastAsia" w:ascii="宋体" w:hAnsi="宋体" w:cs="宋体"/>
          <w:b/>
          <w:color w:val="auto"/>
          <w:szCs w:val="21"/>
          <w:shd w:val="pct10" w:color="auto" w:fill="FFFFFF"/>
        </w:rPr>
        <w:t>★对本项目系统总体要求的理解。</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shd w:val="pct10" w:color="auto" w:fill="FFFFFF"/>
        </w:rPr>
        <w:t>(2)</w:t>
      </w:r>
      <w:r>
        <w:rPr>
          <w:rFonts w:hint="eastAsia" w:ascii="宋体" w:hAnsi="宋体" w:cs="宋体"/>
          <w:b/>
          <w:color w:val="auto"/>
          <w:szCs w:val="21"/>
          <w:shd w:val="pct10" w:color="auto" w:fill="FFFFFF"/>
        </w:rPr>
        <w:t>★项目总体架构及技术解决方案，检测服务方案。</w:t>
      </w:r>
    </w:p>
    <w:p>
      <w:pPr>
        <w:adjustRightInd w:val="0"/>
        <w:snapToGrid w:val="0"/>
        <w:spacing w:line="360" w:lineRule="auto"/>
        <w:ind w:firstLine="422" w:firstLineChars="200"/>
        <w:rPr>
          <w:rFonts w:ascii="宋体" w:cs="宋体"/>
          <w:color w:val="auto"/>
          <w:szCs w:val="21"/>
        </w:rPr>
      </w:pPr>
      <w:r>
        <w:rPr>
          <w:rFonts w:ascii="宋体" w:hAnsi="宋体" w:cs="宋体"/>
          <w:b/>
          <w:color w:val="auto"/>
          <w:szCs w:val="21"/>
          <w:shd w:val="pct10" w:color="auto" w:fill="FFFFFF"/>
        </w:rPr>
        <w:t>(3)</w:t>
      </w:r>
      <w:r>
        <w:rPr>
          <w:rFonts w:hint="eastAsia" w:ascii="宋体" w:hAnsi="宋体" w:cs="宋体"/>
          <w:b/>
          <w:color w:val="auto"/>
          <w:szCs w:val="21"/>
          <w:shd w:val="pct10" w:color="auto" w:fill="FFFFFF"/>
        </w:rPr>
        <w:t>★保证项目质量的技术力量及技术措施。</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(4)</w:t>
      </w:r>
      <w:r>
        <w:rPr>
          <w:rFonts w:hint="eastAsia" w:ascii="宋体" w:hAnsi="宋体" w:cs="宋体"/>
          <w:b/>
          <w:color w:val="auto"/>
          <w:szCs w:val="21"/>
          <w:shd w:val="pct10" w:color="auto" w:fill="FFFFFF"/>
        </w:rPr>
        <w:t>★保证检测项目的组织方案及人力资源安排。</w:t>
      </w:r>
    </w:p>
    <w:p>
      <w:pPr>
        <w:adjustRightInd w:val="0"/>
        <w:snapToGrid w:val="0"/>
        <w:spacing w:line="360" w:lineRule="auto"/>
        <w:ind w:firstLine="422" w:firstLineChars="200"/>
        <w:rPr>
          <w:rFonts w:ascii="宋体" w:hAnsi="宋体" w:cs="宋体"/>
          <w:b/>
          <w:color w:val="auto"/>
          <w:szCs w:val="21"/>
          <w:shd w:val="pct10" w:color="auto" w:fill="FFFFFF"/>
        </w:rPr>
      </w:pPr>
      <w:r>
        <w:rPr>
          <w:rFonts w:ascii="宋体" w:hAnsi="宋体" w:cs="宋体"/>
          <w:b/>
          <w:color w:val="auto"/>
          <w:szCs w:val="21"/>
          <w:shd w:val="pct10" w:color="auto" w:fill="FFFFFF"/>
        </w:rPr>
        <w:t>(5)</w:t>
      </w:r>
      <w:r>
        <w:rPr>
          <w:rFonts w:hint="eastAsia" w:ascii="宋体" w:hAnsi="宋体" w:cs="宋体"/>
          <w:b/>
          <w:color w:val="auto"/>
          <w:szCs w:val="21"/>
          <w:shd w:val="pct10" w:color="auto" w:fill="FFFFFF"/>
        </w:rPr>
        <w:t>★项目实施人员一览表。</w:t>
      </w:r>
    </w:p>
    <w:p>
      <w:pPr>
        <w:adjustRightInd w:val="0"/>
        <w:snapToGrid w:val="0"/>
        <w:spacing w:line="360" w:lineRule="auto"/>
        <w:ind w:firstLine="422" w:firstLineChars="200"/>
        <w:rPr>
          <w:rFonts w:ascii="宋体" w:hAnsi="宋体" w:cs="宋体"/>
          <w:b/>
          <w:color w:val="auto"/>
          <w:szCs w:val="21"/>
          <w:shd w:val="pct10" w:color="auto" w:fill="FFFFFF"/>
        </w:rPr>
      </w:pPr>
      <w:r>
        <w:rPr>
          <w:rFonts w:hint="eastAsia" w:ascii="宋体" w:hAnsi="宋体" w:cs="宋体"/>
          <w:b/>
          <w:color w:val="auto"/>
          <w:szCs w:val="21"/>
          <w:shd w:val="pct10" w:color="auto" w:fill="FFFFFF"/>
        </w:rPr>
        <w:t>(6</w:t>
      </w:r>
      <w:r>
        <w:rPr>
          <w:rFonts w:ascii="宋体" w:hAnsi="宋体" w:cs="宋体"/>
          <w:b/>
          <w:color w:val="auto"/>
          <w:szCs w:val="21"/>
          <w:shd w:val="pct10" w:color="auto" w:fill="FFFFFF"/>
        </w:rPr>
        <w:t>)</w:t>
      </w:r>
      <w:r>
        <w:rPr>
          <w:rFonts w:hint="eastAsia" w:ascii="宋体" w:hAnsi="宋体" w:cs="宋体"/>
          <w:b/>
          <w:color w:val="auto"/>
          <w:szCs w:val="21"/>
          <w:shd w:val="pct10" w:color="auto" w:fill="FFFFFF"/>
        </w:rPr>
        <w:t>★技术规范偏离表</w:t>
      </w:r>
    </w:p>
    <w:p>
      <w:pPr>
        <w:adjustRightInd w:val="0"/>
        <w:snapToGrid w:val="0"/>
        <w:spacing w:line="360" w:lineRule="auto"/>
        <w:ind w:firstLine="422" w:firstLineChars="200"/>
        <w:rPr>
          <w:rFonts w:ascii="宋体" w:hAnsi="宋体" w:cs="宋体"/>
          <w:b/>
          <w:color w:val="auto"/>
          <w:szCs w:val="21"/>
          <w:shd w:val="pct10" w:color="auto" w:fill="FFFFFF"/>
        </w:rPr>
      </w:pPr>
      <w:r>
        <w:rPr>
          <w:rFonts w:hint="eastAsia" w:ascii="宋体" w:hAnsi="宋体" w:cs="宋体"/>
          <w:b/>
          <w:color w:val="auto"/>
          <w:szCs w:val="21"/>
          <w:shd w:val="pct10" w:color="auto" w:fill="FFFFFF"/>
        </w:rPr>
        <w:t>(7</w:t>
      </w:r>
      <w:r>
        <w:rPr>
          <w:rFonts w:ascii="宋体" w:hAnsi="宋体" w:cs="宋体"/>
          <w:b/>
          <w:color w:val="auto"/>
          <w:szCs w:val="21"/>
          <w:shd w:val="pct10" w:color="auto" w:fill="FFFFFF"/>
        </w:rPr>
        <w:t>)</w:t>
      </w:r>
      <w:r>
        <w:rPr>
          <w:rFonts w:hint="eastAsia" w:ascii="宋体" w:hAnsi="宋体" w:cs="宋体"/>
          <w:b/>
          <w:color w:val="auto"/>
          <w:szCs w:val="21"/>
          <w:shd w:val="pct10" w:color="auto" w:fill="FFFFFF"/>
        </w:rPr>
        <w:t>★检测能力偏离表</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w:t>
      </w:r>
      <w:r>
        <w:rPr>
          <w:rFonts w:hint="eastAsia" w:ascii="宋体" w:hAnsi="宋体" w:cs="宋体"/>
          <w:color w:val="auto"/>
          <w:szCs w:val="21"/>
        </w:rPr>
        <w:t>8</w:t>
      </w:r>
      <w:r>
        <w:rPr>
          <w:rFonts w:ascii="宋体" w:hAnsi="宋体" w:cs="宋体"/>
          <w:color w:val="auto"/>
          <w:szCs w:val="21"/>
        </w:rPr>
        <w:t xml:space="preserve">) </w:t>
      </w:r>
      <w:r>
        <w:rPr>
          <w:rFonts w:hint="eastAsia" w:ascii="宋体" w:hAnsi="宋体" w:cs="宋体"/>
          <w:color w:val="auto"/>
          <w:szCs w:val="21"/>
        </w:rPr>
        <w:t>投标人对本项目的合理化建议和改进措施。</w:t>
      </w:r>
    </w:p>
    <w:p>
      <w:pPr>
        <w:adjustRightInd w:val="0"/>
        <w:snapToGrid w:val="0"/>
        <w:spacing w:line="360" w:lineRule="auto"/>
        <w:ind w:firstLine="420" w:firstLineChars="200"/>
        <w:rPr>
          <w:rFonts w:ascii="宋体" w:hAnsi="宋体" w:cs="宋体"/>
          <w:color w:val="auto"/>
          <w:szCs w:val="21"/>
        </w:rPr>
      </w:pPr>
      <w:r>
        <w:rPr>
          <w:rFonts w:ascii="宋体" w:hAnsi="宋体" w:cs="宋体"/>
          <w:color w:val="auto"/>
          <w:szCs w:val="21"/>
        </w:rPr>
        <w:t>(</w:t>
      </w:r>
      <w:r>
        <w:rPr>
          <w:rFonts w:hint="eastAsia" w:ascii="宋体" w:hAnsi="宋体" w:cs="宋体"/>
          <w:color w:val="auto"/>
          <w:szCs w:val="21"/>
        </w:rPr>
        <w:t>9</w:t>
      </w:r>
      <w:r>
        <w:rPr>
          <w:rFonts w:ascii="宋体" w:hAnsi="宋体" w:cs="宋体"/>
          <w:color w:val="auto"/>
          <w:szCs w:val="21"/>
        </w:rPr>
        <w:t xml:space="preserve">) </w:t>
      </w:r>
      <w:r>
        <w:rPr>
          <w:rFonts w:hint="eastAsia" w:ascii="宋体" w:hAnsi="宋体" w:cs="宋体"/>
          <w:color w:val="auto"/>
          <w:szCs w:val="21"/>
        </w:rPr>
        <w:t>投标人认为需要提供的其他文件及资料（格式自拟）。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9.4投标人的商务文件和技术文件可合订一本（如《商务及技术文件》），也可分订多册（如：《技术文件上册》、《技术文件下册》、《商务文件上册》、《商务文件下册》等）。</w:t>
      </w:r>
    </w:p>
    <w:p>
      <w:pPr>
        <w:adjustRightInd w:val="0"/>
        <w:snapToGrid w:val="0"/>
        <w:spacing w:line="360" w:lineRule="auto"/>
        <w:ind w:firstLine="422" w:firstLineChars="200"/>
        <w:rPr>
          <w:rFonts w:ascii="宋体" w:cs="宋体"/>
          <w:b/>
          <w:color w:val="auto"/>
          <w:szCs w:val="21"/>
        </w:rPr>
      </w:pPr>
      <w:bookmarkStart w:id="28" w:name="_Toc91899887"/>
      <w:r>
        <w:rPr>
          <w:rFonts w:ascii="宋体" w:hAnsi="宋体" w:cs="宋体"/>
          <w:b/>
          <w:color w:val="auto"/>
          <w:szCs w:val="21"/>
        </w:rPr>
        <w:t>10.</w:t>
      </w:r>
      <w:r>
        <w:rPr>
          <w:rFonts w:hint="eastAsia" w:ascii="宋体" w:hAnsi="宋体" w:cs="宋体"/>
          <w:b/>
          <w:color w:val="auto"/>
          <w:szCs w:val="21"/>
        </w:rPr>
        <w:t>投标有效期</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10.1</w:t>
      </w:r>
      <w:r>
        <w:rPr>
          <w:rFonts w:hint="eastAsia" w:ascii="宋体" w:hAnsi="宋体" w:cs="宋体"/>
          <w:color w:val="auto"/>
          <w:szCs w:val="21"/>
        </w:rPr>
        <w:t>投标文件合格投递后，自投标截止日期起，至前附表第</w:t>
      </w:r>
      <w:r>
        <w:rPr>
          <w:rFonts w:ascii="宋体" w:hAnsi="宋体" w:cs="宋体"/>
          <w:color w:val="auto"/>
          <w:szCs w:val="21"/>
        </w:rPr>
        <w:t>19</w:t>
      </w:r>
      <w:r>
        <w:rPr>
          <w:rFonts w:hint="eastAsia" w:ascii="宋体" w:hAnsi="宋体" w:cs="宋体"/>
          <w:color w:val="auto"/>
          <w:szCs w:val="21"/>
        </w:rPr>
        <w:t>项所列的日期内有效。</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10.2</w:t>
      </w:r>
      <w:r>
        <w:rPr>
          <w:rFonts w:hint="eastAsia" w:ascii="宋体" w:hAnsi="宋体" w:cs="宋体"/>
          <w:color w:val="auto"/>
          <w:szCs w:val="21"/>
        </w:rPr>
        <w:t>在原定投标有效期之前，如果出现特殊情况，采购代理机构可以以书面形式通知投标人延长投标有效期。</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10.3 </w:t>
      </w:r>
      <w:r>
        <w:rPr>
          <w:rFonts w:hint="eastAsia" w:ascii="宋体" w:hAnsi="宋体" w:cs="宋体"/>
          <w:color w:val="auto"/>
          <w:szCs w:val="21"/>
        </w:rPr>
        <w:t>入围供应商的投标文件自开标之日起至合同履行完毕止均应保持有效。</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11.</w:t>
      </w:r>
      <w:r>
        <w:rPr>
          <w:rFonts w:hint="eastAsia" w:ascii="宋体" w:hAnsi="宋体" w:cs="宋体"/>
          <w:b/>
          <w:color w:val="auto"/>
          <w:szCs w:val="21"/>
        </w:rPr>
        <w:t>投标保证金</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11.1</w:t>
      </w:r>
      <w:r>
        <w:rPr>
          <w:rFonts w:hint="eastAsia" w:ascii="宋体" w:hAnsi="宋体" w:cs="宋体"/>
          <w:color w:val="auto"/>
          <w:szCs w:val="21"/>
        </w:rPr>
        <w:t>投标保证金必须以招标公告规定的形式缴纳，不接受银行保函或现金等其它形式的投标保证金。</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11.2 </w:t>
      </w:r>
      <w:r>
        <w:rPr>
          <w:rFonts w:hint="eastAsia" w:ascii="宋体" w:hAnsi="宋体" w:cs="宋体"/>
          <w:color w:val="auto"/>
          <w:szCs w:val="21"/>
        </w:rPr>
        <w:t>采购代理机构将拒绝未能按规定时间和金额缴纳投标保证金的投标人。</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11.3</w:t>
      </w:r>
      <w:r>
        <w:rPr>
          <w:rFonts w:hint="eastAsia" w:ascii="宋体" w:hAnsi="宋体" w:cs="宋体"/>
          <w:color w:val="auto"/>
          <w:szCs w:val="21"/>
        </w:rPr>
        <w:t>无特殊情况，未入围供应商的投标保证金在中标（入围）公示期满无异议后，五个工作日内由银行自动退还原账号。投标保证金均以银行自动转账形式退付，恕不退还现金。</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11.4 </w:t>
      </w:r>
      <w:r>
        <w:rPr>
          <w:rFonts w:hint="eastAsia" w:ascii="宋体" w:hAnsi="宋体" w:cs="宋体"/>
          <w:color w:val="auto"/>
          <w:szCs w:val="21"/>
        </w:rPr>
        <w:t>入围供应商的投标保证金在合同签订并递交履约保证金后</w:t>
      </w:r>
      <w:r>
        <w:rPr>
          <w:rFonts w:ascii="宋体" w:hAnsi="宋体" w:cs="宋体"/>
          <w:color w:val="auto"/>
          <w:szCs w:val="21"/>
        </w:rPr>
        <w:t>5</w:t>
      </w:r>
      <w:r>
        <w:rPr>
          <w:rFonts w:hint="eastAsia" w:ascii="宋体" w:hAnsi="宋体" w:cs="宋体"/>
          <w:color w:val="auto"/>
          <w:szCs w:val="21"/>
        </w:rPr>
        <w:t>个工作日内全额无息退还。投标保证金均以银行自动转账形式退付，恕不退还现金。</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11.5 </w:t>
      </w:r>
      <w:r>
        <w:rPr>
          <w:rFonts w:hint="eastAsia" w:ascii="宋体" w:hAnsi="宋体" w:cs="宋体"/>
          <w:color w:val="auto"/>
          <w:szCs w:val="21"/>
        </w:rPr>
        <w:t>投标人有下列情况的，投标保证金将不予退还：</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）投标截止时间后撤销投标文件的；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）拒绝接受投标文件（包括澄清确认的内容）中已确认的承诺或条款的；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）入围供应商未能在规定期限内提交履约保证金的；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（3）中标（入围）后无故拒签合同或转让中标（入围）的；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（4）投标人在投标过程中弄虚作假，提供虚假资料的；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（5）投标人有对采购代理机构和评标机构施加影响的任何行为的；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（6）其他严重扰乱招投标程序的。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12.</w:t>
      </w:r>
      <w:r>
        <w:rPr>
          <w:rFonts w:hint="eastAsia" w:ascii="宋体" w:hAnsi="宋体" w:cs="宋体"/>
          <w:b/>
          <w:color w:val="auto"/>
          <w:szCs w:val="21"/>
        </w:rPr>
        <w:t>投标文件的编制</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12.1</w:t>
      </w:r>
      <w:r>
        <w:rPr>
          <w:rFonts w:hint="eastAsia" w:ascii="宋体" w:hAnsi="宋体" w:cs="宋体"/>
          <w:color w:val="auto"/>
          <w:szCs w:val="21"/>
        </w:rPr>
        <w:t>投标人按本须知第</w:t>
      </w:r>
      <w:r>
        <w:rPr>
          <w:rFonts w:ascii="宋体" w:hAnsi="宋体" w:cs="宋体"/>
          <w:color w:val="auto"/>
          <w:szCs w:val="21"/>
        </w:rPr>
        <w:t>8</w:t>
      </w:r>
      <w:r>
        <w:rPr>
          <w:rFonts w:hint="eastAsia" w:ascii="宋体" w:hAnsi="宋体" w:cs="宋体"/>
          <w:color w:val="auto"/>
          <w:szCs w:val="21"/>
        </w:rPr>
        <w:t>条规定的语言和前附表规定的份数编制投标文件并明确标识各部分内容。投标文件标识不清、编写不完整、编排混乱导致投标文件被误拆、误读、漏读或者查找不到相关内容的，责任由投标人自行承担。</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12.2</w:t>
      </w:r>
      <w:r>
        <w:rPr>
          <w:rFonts w:hint="eastAsia" w:ascii="宋体" w:hAnsi="宋体" w:cs="宋体"/>
          <w:color w:val="auto"/>
          <w:szCs w:val="21"/>
        </w:rPr>
        <w:t>全套投标文件应无涂改和行间插字，除非这些删改是根据采购代理机构要求进行，或者是投标人造成的必须修改的错误。修改处须有投标人法定代表人或被授权代表的签字或盖章，否则，评标委员会将不予接受。</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12.3</w:t>
      </w:r>
      <w:r>
        <w:rPr>
          <w:rFonts w:hint="eastAsia" w:ascii="宋体" w:hAnsi="宋体" w:cs="宋体"/>
          <w:color w:val="auto"/>
          <w:szCs w:val="21"/>
        </w:rPr>
        <w:t>投标文件应采用</w:t>
      </w:r>
      <w:r>
        <w:rPr>
          <w:rFonts w:ascii="宋体" w:hAnsi="宋体" w:cs="宋体"/>
          <w:color w:val="auto"/>
          <w:szCs w:val="21"/>
        </w:rPr>
        <w:t>A4</w:t>
      </w:r>
      <w:r>
        <w:rPr>
          <w:rFonts w:hint="eastAsia" w:ascii="宋体" w:hAnsi="宋体" w:cs="宋体"/>
          <w:color w:val="auto"/>
          <w:szCs w:val="21"/>
        </w:rPr>
        <w:t>幅面双面打印，并按顺序统一编目编码装订成册。</w:t>
      </w:r>
      <w:bookmarkEnd w:id="28"/>
    </w:p>
    <w:p>
      <w:pPr>
        <w:pStyle w:val="3"/>
        <w:jc w:val="left"/>
        <w:rPr>
          <w:rFonts w:ascii="宋体" w:cs="宋体"/>
          <w:color w:val="auto"/>
        </w:rPr>
      </w:pPr>
      <w:bookmarkStart w:id="29" w:name="_Hlt68073093"/>
      <w:bookmarkEnd w:id="29"/>
      <w:bookmarkStart w:id="30" w:name="_Hlt68403820"/>
      <w:bookmarkEnd w:id="30"/>
      <w:bookmarkStart w:id="31" w:name="_Hlt68072998"/>
      <w:bookmarkEnd w:id="31"/>
      <w:bookmarkStart w:id="32" w:name="_Toc86216991"/>
      <w:bookmarkStart w:id="33" w:name="_Toc18701"/>
      <w:bookmarkStart w:id="34" w:name="_Toc91899892"/>
      <w:r>
        <w:rPr>
          <w:rFonts w:hint="eastAsia" w:ascii="宋体" w:hAnsi="宋体" w:cs="宋体"/>
          <w:color w:val="auto"/>
        </w:rPr>
        <w:t>四、投标文件的递交</w:t>
      </w:r>
      <w:bookmarkEnd w:id="32"/>
      <w:bookmarkEnd w:id="33"/>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13.</w:t>
      </w:r>
      <w:r>
        <w:rPr>
          <w:rFonts w:hint="eastAsia" w:ascii="宋体" w:hAnsi="宋体" w:cs="宋体"/>
          <w:b/>
          <w:color w:val="auto"/>
          <w:szCs w:val="21"/>
        </w:rPr>
        <w:t>投标文件的密封、装订、签署、盖章</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13.1</w:t>
      </w:r>
      <w:r>
        <w:rPr>
          <w:rFonts w:hint="eastAsia" w:ascii="宋体" w:hAnsi="宋体" w:cs="宋体"/>
          <w:b/>
          <w:color w:val="auto"/>
          <w:szCs w:val="21"/>
          <w:shd w:val="pct10" w:color="auto" w:fill="FFFFFF"/>
        </w:rPr>
        <w:t>★投标文件须密封包装并加盖投标人公章。</w:t>
      </w:r>
      <w:r>
        <w:rPr>
          <w:rFonts w:hint="eastAsia" w:ascii="宋体" w:hAnsi="宋体" w:cs="宋体"/>
          <w:color w:val="auto"/>
          <w:szCs w:val="21"/>
        </w:rPr>
        <w:t>投标文件外层包装封面的参考格式详见本招标文件第四部分。</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13.2</w:t>
      </w:r>
      <w:r>
        <w:rPr>
          <w:rFonts w:hint="eastAsia" w:ascii="宋体" w:hAnsi="宋体" w:cs="宋体"/>
          <w:b/>
          <w:color w:val="auto"/>
          <w:szCs w:val="21"/>
          <w:shd w:val="pct10" w:color="auto" w:fill="FFFFFF"/>
        </w:rPr>
        <w:t>★</w:t>
      </w:r>
      <w:r>
        <w:rPr>
          <w:rFonts w:hint="eastAsia" w:ascii="宋体" w:hAnsi="宋体" w:cs="宋体"/>
          <w:b/>
          <w:color w:val="auto"/>
          <w:szCs w:val="21"/>
          <w:u w:val="dottedHeavy"/>
          <w:shd w:val="pct10" w:color="auto" w:fill="FFFFFF"/>
        </w:rPr>
        <w:t>投标文件（报价文件内容为</w:t>
      </w:r>
      <w:r>
        <w:rPr>
          <w:rFonts w:ascii="宋体" w:hAnsi="宋体" w:cs="宋体"/>
          <w:b/>
          <w:color w:val="auto"/>
          <w:szCs w:val="21"/>
          <w:u w:val="dottedHeavy"/>
          <w:shd w:val="pct10" w:color="auto" w:fill="FFFFFF"/>
        </w:rPr>
        <w:t>3</w:t>
      </w:r>
      <w:r>
        <w:rPr>
          <w:rFonts w:hint="eastAsia" w:ascii="宋体" w:hAnsi="宋体" w:cs="宋体"/>
          <w:b/>
          <w:color w:val="auto"/>
          <w:szCs w:val="21"/>
          <w:u w:val="dottedHeavy"/>
          <w:shd w:val="pct10" w:color="auto" w:fill="FFFFFF"/>
        </w:rPr>
        <w:t>页纸及以上的）必须胶装装订</w:t>
      </w:r>
      <w:r>
        <w:rPr>
          <w:rFonts w:hint="eastAsia" w:ascii="宋体" w:hAnsi="宋体" w:cs="宋体"/>
          <w:b/>
          <w:color w:val="auto"/>
          <w:szCs w:val="21"/>
          <w:shd w:val="pct10" w:color="auto" w:fill="FFFFFF"/>
        </w:rPr>
        <w:t>。投标人须在投标文件（包括报价文件）封面上标明“正本”与“副本”字样加以区分。正本内容与副本不一致时，以正本为准。当投标文件未注明正本与副本且出现不一致时，评标委员会可以认定供应商出现选择性投标而认定其为无效投标。</w:t>
      </w:r>
    </w:p>
    <w:p>
      <w:pPr>
        <w:adjustRightInd w:val="0"/>
        <w:snapToGrid w:val="0"/>
        <w:spacing w:line="360" w:lineRule="auto"/>
        <w:ind w:firstLine="420" w:firstLineChars="200"/>
        <w:rPr>
          <w:rFonts w:ascii="宋体" w:cs="宋体"/>
          <w:b/>
          <w:color w:val="auto"/>
          <w:szCs w:val="21"/>
        </w:rPr>
      </w:pPr>
      <w:r>
        <w:rPr>
          <w:rFonts w:ascii="宋体" w:hAnsi="宋体" w:cs="宋体"/>
          <w:color w:val="auto"/>
          <w:szCs w:val="21"/>
        </w:rPr>
        <w:t>13.3</w:t>
      </w:r>
      <w:r>
        <w:rPr>
          <w:rFonts w:hint="eastAsia" w:ascii="宋体" w:hAnsi="宋体" w:cs="宋体"/>
          <w:color w:val="auto"/>
          <w:szCs w:val="21"/>
        </w:rPr>
        <w:t>商务文件和技术文件等投标文件可以合订成集（但需明显区分）或单独装订。投标文件正本和所有副本的封面上至少须注明投标人名称、项目名称、标项号及类似“商务（技术）文件”等字样并加盖投标人公章。参考格式详见本招标文件第四部分。</w:t>
      </w:r>
    </w:p>
    <w:p>
      <w:pPr>
        <w:adjustRightInd w:val="0"/>
        <w:snapToGrid w:val="0"/>
        <w:spacing w:line="360" w:lineRule="auto"/>
        <w:ind w:firstLine="422" w:firstLineChars="200"/>
        <w:rPr>
          <w:rFonts w:ascii="宋体" w:cs="宋体"/>
          <w:b/>
          <w:color w:val="auto"/>
          <w:szCs w:val="21"/>
          <w:shd w:val="pct10" w:color="auto" w:fill="FFFFFF"/>
        </w:rPr>
      </w:pPr>
      <w:r>
        <w:rPr>
          <w:rFonts w:ascii="宋体" w:hAnsi="宋体" w:cs="宋体"/>
          <w:b/>
          <w:color w:val="auto"/>
          <w:szCs w:val="21"/>
          <w:shd w:val="pct10" w:color="auto" w:fill="FFFFFF"/>
        </w:rPr>
        <w:t>13.4</w:t>
      </w:r>
      <w:r>
        <w:rPr>
          <w:rFonts w:hint="eastAsia" w:ascii="宋体" w:hAnsi="宋体" w:cs="宋体"/>
          <w:b/>
          <w:color w:val="auto"/>
          <w:szCs w:val="21"/>
          <w:shd w:val="pct10" w:color="auto" w:fill="FFFFFF"/>
        </w:rPr>
        <w:t>★报价文件必须与商务文件和技术文件分开装订，单独密封。密封袋上须注明项目名称、标项号及类似“报价文件”等字样并加盖投标人公章（参考格式详情见本招标文件第四部分）。不同标项的报价文件须各自单独密封，单独标注。任何其他投标文件中不得出现投标报价。</w:t>
      </w:r>
    </w:p>
    <w:p>
      <w:pPr>
        <w:adjustRightInd w:val="0"/>
        <w:snapToGrid w:val="0"/>
        <w:spacing w:line="360" w:lineRule="auto"/>
        <w:ind w:firstLine="422" w:firstLineChars="200"/>
        <w:rPr>
          <w:rFonts w:ascii="宋体" w:hAnsi="宋体" w:cs="宋体"/>
          <w:b/>
          <w:color w:val="auto"/>
          <w:szCs w:val="21"/>
          <w:shd w:val="pct10" w:color="auto" w:fill="FFFFFF"/>
        </w:rPr>
      </w:pPr>
      <w:r>
        <w:rPr>
          <w:rFonts w:ascii="宋体" w:hAnsi="宋体" w:cs="宋体"/>
          <w:b/>
          <w:color w:val="auto"/>
          <w:szCs w:val="21"/>
          <w:shd w:val="pct10" w:color="auto" w:fill="FFFFFF"/>
        </w:rPr>
        <w:t>13.5</w:t>
      </w:r>
      <w:r>
        <w:rPr>
          <w:rFonts w:hint="eastAsia" w:ascii="宋体" w:hAnsi="宋体" w:cs="宋体"/>
          <w:b/>
          <w:color w:val="auto"/>
          <w:szCs w:val="21"/>
          <w:shd w:val="pct10" w:color="auto" w:fill="FFFFFF"/>
        </w:rPr>
        <w:t>★投标文件中法定代表人授权委托书、投标函、投标报价明细表必须按招标文件要求签署、盖章。</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13.6投标文件密封包装示意图</w:t>
      </w:r>
    </w:p>
    <w:p>
      <w:pPr>
        <w:adjustRightInd w:val="0"/>
        <w:snapToGrid w:val="0"/>
        <w:spacing w:line="360" w:lineRule="auto"/>
        <w:ind w:firstLine="420" w:firstLineChars="200"/>
        <w:rPr>
          <w:rFonts w:ascii="宋体" w:hAnsi="宋体" w:cs="宋体"/>
          <w:color w:val="auto"/>
          <w:szCs w:val="21"/>
        </w:rPr>
      </w:pPr>
      <w:r>
        <w:rPr>
          <w:color w:val="auto"/>
        </w:rPr>
        <w:pict>
          <v:roundrect id="_x0000_s1027" o:spid="_x0000_s1027" o:spt="2" style="height:16.5pt;width:185.55pt;" fillcolor="#FFFFFF" filled="t" coordsize="21600,21600" arcsize="0.166666666666667" o:gfxdata="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NO9s0wAAAAQBAAAPAAAA&#10;AAAAAAEAIAAAACIAAABkcnMvZG93bnJldi54bWxQSwECFAAUAAAACACHTuJAz4ZRhlMCAACGBAAA&#10;DgAAAAAAAAABACAAAAAiAQAAZHJzL2Uyb0RvYy54bWxQSwUGAAAAAAYABgBZAQAA5wUAAAAA&#10;">
            <v:path/>
            <v:fill on="t" focussize="0,0"/>
            <v:stroke weight="0.5pt"/>
            <v:imagedata o:title=""/>
            <o:lock v:ext="edit"/>
            <v:textbox style="mso-fit-shape-to-text:t;">
              <w:txbxContent>
                <w:p>
                  <w:pPr>
                    <w:jc w:val="center"/>
                  </w:pPr>
                  <w:r>
                    <w:rPr>
                      <w:rFonts w:hint="eastAsia"/>
                    </w:rPr>
                    <w:t>报价文件（正本及副本）</w:t>
                  </w:r>
                </w:p>
                <w:p>
                  <w:pPr>
                    <w:jc w:val="center"/>
                  </w:pPr>
                  <w:r>
                    <w:t>电子文档（报价部分）</w:t>
                  </w:r>
                </w:p>
              </w:txbxContent>
            </v:textbox>
            <w10:wrap type="none"/>
            <w10:anchorlock/>
          </v:roundrect>
        </w:pict>
      </w:r>
      <w:r>
        <w:rPr>
          <w:color w:val="auto"/>
        </w:rPr>
        <w:pict>
          <v:roundrect id="_x0000_s1026" o:spid="_x0000_s1026" o:spt="2" style="height:16.5pt;width:185.55pt;" fillcolor="#FFFFFF" filled="t" coordsize="21600,21600" arcsize="0.166666666666667" o:gfxdata="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NO9s0wAAAAQBAAAPAAAA&#10;AAAAAAEAIAAAACIAAABkcnMvZG93bnJldi54bWxQSwECFAAUAAAACACHTuJAv08LkFMCAACGBAAA&#10;DgAAAAAAAAABACAAAAAiAQAAZHJzL2Uyb0RvYy54bWxQSwUGAAAAAAYABgBZAQAA5wUAAAAA&#10;">
            <v:path/>
            <v:fill on="t" focussize="0,0"/>
            <v:stroke weight="0.5pt"/>
            <v:imagedata o:title=""/>
            <o:lock v:ext="edit"/>
            <v:textbox style="mso-fit-shape-to-text:t;">
              <w:txbxContent>
                <w:p>
                  <w:pPr>
                    <w:jc w:val="center"/>
                  </w:pPr>
                  <w:r>
                    <w:rPr>
                      <w:rFonts w:hint="eastAsia"/>
                    </w:rPr>
                    <w:t>商务、技术文件（正本及副本）</w:t>
                  </w:r>
                </w:p>
                <w:p>
                  <w:pPr>
                    <w:jc w:val="center"/>
                  </w:pPr>
                  <w:r>
                    <w:t>电子文档（技术、商务文件部分）</w:t>
                  </w:r>
                </w:p>
              </w:txbxContent>
            </v:textbox>
            <w10:wrap type="none"/>
            <w10:anchorlock/>
          </v:roundrect>
        </w:pic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14.</w:t>
      </w:r>
      <w:r>
        <w:rPr>
          <w:rFonts w:hint="eastAsia" w:ascii="宋体" w:hAnsi="宋体" w:cs="宋体"/>
          <w:b/>
          <w:color w:val="auto"/>
          <w:szCs w:val="21"/>
        </w:rPr>
        <w:t>投标截止时间</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14.1 </w:t>
      </w:r>
      <w:r>
        <w:rPr>
          <w:rFonts w:hint="eastAsia" w:ascii="宋体" w:hAnsi="宋体" w:cs="宋体"/>
          <w:color w:val="auto"/>
          <w:szCs w:val="21"/>
        </w:rPr>
        <w:t>投标人应按前附表第</w:t>
      </w:r>
      <w:r>
        <w:rPr>
          <w:rFonts w:ascii="宋体" w:hAnsi="宋体" w:cs="宋体"/>
          <w:color w:val="auto"/>
          <w:szCs w:val="21"/>
        </w:rPr>
        <w:t>16</w:t>
      </w:r>
      <w:r>
        <w:rPr>
          <w:rFonts w:hint="eastAsia" w:ascii="宋体" w:hAnsi="宋体" w:cs="宋体"/>
          <w:color w:val="auto"/>
          <w:szCs w:val="21"/>
        </w:rPr>
        <w:t>项</w:t>
      </w:r>
      <w:r>
        <w:rPr>
          <w:rFonts w:ascii="宋体" w:hAnsi="宋体" w:cs="宋体"/>
          <w:color w:val="auto"/>
          <w:szCs w:val="21"/>
        </w:rPr>
        <w:t>17</w:t>
      </w:r>
      <w:r>
        <w:rPr>
          <w:rFonts w:hint="eastAsia" w:ascii="宋体" w:hAnsi="宋体" w:cs="宋体"/>
          <w:color w:val="auto"/>
          <w:szCs w:val="21"/>
        </w:rPr>
        <w:t>项规定的时间、地点将投标文件递交给采购代理机构，采购代理机构将拒绝接受逾期送达的投标文件及其该项目的投标。</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14.2 </w:t>
      </w:r>
      <w:r>
        <w:rPr>
          <w:rFonts w:hint="eastAsia" w:ascii="宋体" w:hAnsi="宋体" w:cs="宋体"/>
          <w:color w:val="auto"/>
          <w:szCs w:val="21"/>
        </w:rPr>
        <w:t>采购代理机构可以按本须知第</w:t>
      </w:r>
      <w:r>
        <w:rPr>
          <w:rFonts w:ascii="宋体" w:hAnsi="宋体" w:cs="宋体"/>
          <w:color w:val="auto"/>
          <w:szCs w:val="21"/>
        </w:rPr>
        <w:t>13</w:t>
      </w:r>
      <w:r>
        <w:rPr>
          <w:rFonts w:hint="eastAsia" w:ascii="宋体" w:hAnsi="宋体" w:cs="宋体"/>
          <w:color w:val="auto"/>
          <w:szCs w:val="21"/>
        </w:rPr>
        <w:t>条规定以补充通知的方式，酌情延长递交投标文件的截止时间。在上述情况下，采购代理机构与投标人以前在投标截止时间方面的全部权利、责任和义务，将适用于延长后新的投标截止时间。</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14.3</w:t>
      </w:r>
      <w:r>
        <w:rPr>
          <w:rFonts w:hint="eastAsia" w:ascii="宋体" w:hAnsi="宋体" w:cs="宋体"/>
          <w:color w:val="auto"/>
          <w:szCs w:val="21"/>
        </w:rPr>
        <w:t>不论投标人中标（入围）与否，投标文件均不退回。</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15.</w:t>
      </w:r>
      <w:r>
        <w:rPr>
          <w:rFonts w:hint="eastAsia" w:ascii="宋体" w:hAnsi="宋体" w:cs="宋体"/>
          <w:b/>
          <w:color w:val="auto"/>
          <w:szCs w:val="21"/>
        </w:rPr>
        <w:t>投标文件的修改</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15.1 </w:t>
      </w:r>
      <w:r>
        <w:rPr>
          <w:rFonts w:hint="eastAsia" w:ascii="宋体" w:hAnsi="宋体" w:cs="宋体"/>
          <w:color w:val="auto"/>
          <w:szCs w:val="21"/>
        </w:rPr>
        <w:t>投标人递交投标文件以后，在规定的投标截止时间之前，可以书面形式对投标文件进行补充、修改，并由投标人代表签字确认；在投标截止时间以后，不能修改、补充投标文件。</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15.2 </w:t>
      </w:r>
      <w:r>
        <w:rPr>
          <w:rFonts w:hint="eastAsia" w:ascii="宋体" w:hAnsi="宋体" w:cs="宋体"/>
          <w:color w:val="auto"/>
          <w:szCs w:val="21"/>
        </w:rPr>
        <w:t>投标人的修改通知，应按本须知规定编制、密封、标志和递交，如果一份标书有几份函件时，应注明哪一份有效，否则所作修改视为无效。</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15.3 </w:t>
      </w:r>
      <w:r>
        <w:rPr>
          <w:rFonts w:hint="eastAsia" w:ascii="宋体" w:hAnsi="宋体" w:cs="宋体"/>
          <w:color w:val="auto"/>
          <w:szCs w:val="21"/>
        </w:rPr>
        <w:t>投标人对投标文件的修改均要加以说明，否则其修改将被视为无效。</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15.4 </w:t>
      </w:r>
      <w:r>
        <w:rPr>
          <w:rFonts w:hint="eastAsia" w:ascii="宋体" w:hAnsi="宋体" w:cs="宋体"/>
          <w:color w:val="auto"/>
          <w:szCs w:val="21"/>
        </w:rPr>
        <w:t>自投标截止时间起至招标文件中规定的有效时间止，投标人不能撤回其投标，否则其投标保证金将不予退还。</w:t>
      </w:r>
      <w:bookmarkEnd w:id="34"/>
    </w:p>
    <w:p>
      <w:pPr>
        <w:pStyle w:val="3"/>
        <w:jc w:val="left"/>
        <w:rPr>
          <w:rFonts w:ascii="宋体" w:cs="宋体"/>
          <w:color w:val="auto"/>
        </w:rPr>
      </w:pPr>
      <w:bookmarkStart w:id="35" w:name="_Toc23895"/>
      <w:bookmarkStart w:id="36" w:name="_Toc91899897"/>
      <w:r>
        <w:rPr>
          <w:rFonts w:hint="eastAsia" w:ascii="宋体" w:hAnsi="宋体" w:cs="宋体"/>
          <w:color w:val="auto"/>
        </w:rPr>
        <w:t>五、开标</w:t>
      </w:r>
      <w:bookmarkEnd w:id="35"/>
      <w:bookmarkEnd w:id="36"/>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16.</w:t>
      </w:r>
      <w:r>
        <w:rPr>
          <w:rFonts w:hint="eastAsia" w:ascii="宋体" w:hAnsi="宋体" w:cs="宋体"/>
          <w:b/>
          <w:color w:val="auto"/>
          <w:szCs w:val="21"/>
        </w:rPr>
        <w:t>开标</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16.1</w:t>
      </w:r>
      <w:r>
        <w:rPr>
          <w:rFonts w:hint="eastAsia" w:ascii="宋体" w:hAnsi="宋体" w:cs="宋体"/>
          <w:color w:val="auto"/>
          <w:szCs w:val="21"/>
        </w:rPr>
        <w:t>采购代理机构将在前附表规定时间、指定地点开标，投标人代表需提供本人的有效身份证件原件和法定代表人资格证明或法定代表人委托书原件。投标人如是法人代表的，只须按前款提供并出示相关证明、证件即可。</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本招标文件中所指的有效身份证件指的是：本人居民身份证或公安机关出具的临时居民身份证明或港澳台胞证或护照原件（其他诸如驾驶证、市民卡等一律视为未提供有效的身份证明）（有期限规定的证件在有效期内方为有效）。</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16.2 </w:t>
      </w:r>
      <w:r>
        <w:rPr>
          <w:rFonts w:hint="eastAsia" w:ascii="宋体" w:hAnsi="宋体" w:cs="宋体"/>
          <w:color w:val="auto"/>
          <w:szCs w:val="21"/>
        </w:rPr>
        <w:t>开标程序</w:t>
      </w:r>
    </w:p>
    <w:p>
      <w:pPr>
        <w:autoSpaceDE w:val="0"/>
        <w:autoSpaceDN w:val="0"/>
        <w:adjustRightInd w:val="0"/>
        <w:snapToGrid w:val="0"/>
        <w:spacing w:line="360" w:lineRule="auto"/>
        <w:ind w:firstLine="420" w:firstLineChars="200"/>
        <w:rPr>
          <w:rFonts w:ascii="宋体" w:cs="Arial"/>
          <w:color w:val="auto"/>
          <w:kern w:val="0"/>
          <w:szCs w:val="21"/>
        </w:rPr>
      </w:pPr>
      <w:r>
        <w:rPr>
          <w:rFonts w:hint="eastAsia" w:ascii="宋体" w:hAnsi="宋体" w:cs="Arial"/>
          <w:color w:val="auto"/>
          <w:kern w:val="0"/>
          <w:szCs w:val="21"/>
        </w:rPr>
        <w:t>采购代理机构将按照采购公告规定的时间、地点组织开标，开标采取先拆封商务和技术文件，商务技术评审后拆封报价文件的顺序进行。具体按以下程序进行：</w:t>
      </w:r>
    </w:p>
    <w:p>
      <w:pPr>
        <w:autoSpaceDE w:val="0"/>
        <w:autoSpaceDN w:val="0"/>
        <w:adjustRightInd w:val="0"/>
        <w:snapToGrid w:val="0"/>
        <w:spacing w:line="360" w:lineRule="auto"/>
        <w:ind w:firstLine="420" w:firstLineChars="200"/>
        <w:rPr>
          <w:rFonts w:ascii="宋体" w:cs="宋体"/>
          <w:color w:val="auto"/>
          <w:kern w:val="0"/>
          <w:szCs w:val="21"/>
        </w:rPr>
      </w:pPr>
      <w:r>
        <w:rPr>
          <w:rFonts w:ascii="宋体" w:hAnsi="宋体" w:cs="Arial"/>
          <w:color w:val="auto"/>
          <w:kern w:val="0"/>
          <w:szCs w:val="21"/>
        </w:rPr>
        <w:t xml:space="preserve">16.2.1 </w:t>
      </w:r>
      <w:r>
        <w:rPr>
          <w:rFonts w:hint="eastAsia" w:ascii="宋体" w:hAnsi="宋体" w:cs="Arial"/>
          <w:color w:val="auto"/>
          <w:kern w:val="0"/>
          <w:szCs w:val="21"/>
        </w:rPr>
        <w:t>采购代理机构将核验出席开标活动现场的各投标人法定代表人或其授权代表及相关单位人员身份，并组织其分别登记、签到，无关人员不得进入现场。</w:t>
      </w:r>
      <w:r>
        <w:rPr>
          <w:rFonts w:hint="eastAsia" w:ascii="宋体" w:hAnsi="宋体"/>
          <w:b/>
          <w:bCs/>
          <w:color w:val="auto"/>
          <w:kern w:val="0"/>
          <w:szCs w:val="21"/>
        </w:rPr>
        <w:t>各投标人法定代表人或其授权代表应准时参加</w:t>
      </w:r>
      <w:r>
        <w:rPr>
          <w:rFonts w:hint="eastAsia" w:ascii="宋体" w:hAnsi="宋体"/>
          <w:color w:val="auto"/>
          <w:kern w:val="0"/>
          <w:szCs w:val="21"/>
        </w:rPr>
        <w:t>，</w:t>
      </w:r>
      <w:r>
        <w:rPr>
          <w:rFonts w:hint="eastAsia" w:ascii="宋体" w:hAnsi="宋体"/>
          <w:b/>
          <w:bCs/>
          <w:color w:val="auto"/>
          <w:kern w:val="0"/>
          <w:szCs w:val="21"/>
        </w:rPr>
        <w:t>携带本人有效证件原件，投标文件中按要求提供法定代表人授权书。</w:t>
      </w:r>
      <w:r>
        <w:rPr>
          <w:rFonts w:hint="eastAsia" w:ascii="宋体" w:hAnsi="宋体"/>
          <w:color w:val="auto"/>
          <w:kern w:val="0"/>
          <w:szCs w:val="21"/>
        </w:rPr>
        <w:t>投标人</w:t>
      </w:r>
      <w:r>
        <w:rPr>
          <w:rFonts w:hint="eastAsia" w:ascii="宋体" w:hAnsi="宋体" w:cs="宋体"/>
          <w:color w:val="auto"/>
          <w:kern w:val="0"/>
          <w:szCs w:val="21"/>
        </w:rPr>
        <w:t>如不派代表参加开标大会的，事后不得对采购相关人员、开标过程和开标结果提出异议。</w:t>
      </w:r>
    </w:p>
    <w:p>
      <w:pPr>
        <w:adjustRightInd w:val="0"/>
        <w:snapToGrid w:val="0"/>
        <w:spacing w:line="360" w:lineRule="auto"/>
        <w:ind w:firstLine="420" w:firstLineChars="200"/>
        <w:rPr>
          <w:rFonts w:ascii="宋体"/>
          <w:b/>
          <w:bCs/>
          <w:color w:val="auto"/>
          <w:szCs w:val="21"/>
        </w:rPr>
      </w:pPr>
      <w:r>
        <w:rPr>
          <w:rFonts w:ascii="宋体" w:hAnsi="宋体" w:cs="Arial"/>
          <w:color w:val="auto"/>
          <w:szCs w:val="21"/>
        </w:rPr>
        <w:t>16.2.2</w:t>
      </w:r>
      <w:r>
        <w:rPr>
          <w:rFonts w:hint="eastAsia" w:ascii="宋体" w:hAnsi="宋体" w:cs="Arial"/>
          <w:color w:val="auto"/>
          <w:szCs w:val="21"/>
        </w:rPr>
        <w:t>采购代理机构接收投标文件并登记，各投标人法定代表人或其授权代表对投标文件的递交记录情况进行签字确认。</w:t>
      </w:r>
      <w:r>
        <w:rPr>
          <w:rFonts w:hint="eastAsia" w:ascii="宋体" w:hAnsi="宋体"/>
          <w:b/>
          <w:bCs/>
          <w:color w:val="auto"/>
          <w:szCs w:val="21"/>
        </w:rPr>
        <w:t>没有密封包装的投标文件，将被当场拒绝。</w:t>
      </w:r>
    </w:p>
    <w:p>
      <w:pPr>
        <w:adjustRightInd w:val="0"/>
        <w:snapToGrid w:val="0"/>
        <w:spacing w:line="360" w:lineRule="auto"/>
        <w:ind w:firstLine="420" w:firstLineChars="200"/>
        <w:rPr>
          <w:rFonts w:ascii="宋体" w:cs="Arial"/>
          <w:color w:val="auto"/>
          <w:szCs w:val="21"/>
        </w:rPr>
      </w:pPr>
      <w:r>
        <w:rPr>
          <w:rFonts w:ascii="宋体" w:hAnsi="宋体" w:cs="Arial"/>
          <w:color w:val="auto"/>
          <w:szCs w:val="21"/>
        </w:rPr>
        <w:t>16.2.3</w:t>
      </w:r>
      <w:r>
        <w:rPr>
          <w:rFonts w:hint="eastAsia" w:ascii="宋体" w:hAnsi="宋体" w:cs="Arial"/>
          <w:color w:val="auto"/>
          <w:szCs w:val="21"/>
        </w:rPr>
        <w:t>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adjustRightInd w:val="0"/>
        <w:snapToGrid w:val="0"/>
        <w:spacing w:line="360" w:lineRule="auto"/>
        <w:ind w:firstLine="420" w:firstLineChars="200"/>
        <w:rPr>
          <w:rFonts w:ascii="宋体" w:cs="Arial"/>
          <w:color w:val="auto"/>
          <w:szCs w:val="21"/>
        </w:rPr>
      </w:pPr>
      <w:r>
        <w:rPr>
          <w:rFonts w:ascii="宋体" w:hAnsi="宋体" w:cs="Arial"/>
          <w:color w:val="auto"/>
          <w:szCs w:val="21"/>
        </w:rPr>
        <w:t>16.2.4</w:t>
      </w:r>
      <w:r>
        <w:rPr>
          <w:rFonts w:hint="eastAsia" w:ascii="宋体" w:hAnsi="宋体" w:cs="Arial"/>
          <w:color w:val="auto"/>
          <w:szCs w:val="21"/>
        </w:rPr>
        <w:t>对投标人投标保证金缴纳情况进行查验、核实（投标保证金缴款凭证复印件是投标文件的组成部分时，可在投标文件拆封后查验、核实），提请投标人或者其推选的代表查验投标文件密封情况。</w:t>
      </w:r>
    </w:p>
    <w:p>
      <w:pPr>
        <w:adjustRightInd w:val="0"/>
        <w:snapToGrid w:val="0"/>
        <w:spacing w:line="360" w:lineRule="auto"/>
        <w:ind w:firstLine="420" w:firstLineChars="200"/>
        <w:rPr>
          <w:rFonts w:ascii="宋体" w:cs="Arial"/>
          <w:b/>
          <w:bCs/>
          <w:color w:val="auto"/>
          <w:szCs w:val="21"/>
        </w:rPr>
      </w:pPr>
      <w:r>
        <w:rPr>
          <w:rFonts w:ascii="宋体" w:hAnsi="宋体" w:cs="Arial"/>
          <w:color w:val="auto"/>
          <w:szCs w:val="21"/>
        </w:rPr>
        <w:t>16.2.5</w:t>
      </w:r>
      <w:r>
        <w:rPr>
          <w:rFonts w:hint="eastAsia" w:ascii="宋体" w:hAnsi="宋体" w:cs="Arial"/>
          <w:color w:val="auto"/>
          <w:szCs w:val="21"/>
        </w:rPr>
        <w:t>开标时，按投标人提交投标文件的登记顺序当众拆封、清点投标文件（包括正本、副本）数量，将其中密封的报价文件集中等候拆封，将拆封后的商务和技术文件由采购代理机构送至评审地点，各投标人法定代表人或其授权代表等候采购代理机构拆封报价文件。对不符合装订要求的投标文件，由采购代理机构当场退还投标人法定代表人或其授权代表。</w:t>
      </w:r>
      <w:r>
        <w:rPr>
          <w:rFonts w:hint="eastAsia" w:ascii="宋体" w:hAnsi="宋体" w:cs="Arial"/>
          <w:b/>
          <w:bCs/>
          <w:color w:val="auto"/>
          <w:szCs w:val="21"/>
        </w:rPr>
        <w:t>投标人提交的报价文件未单独密封的，如开标时发生报价泄露，由投标人自行承担相关责任。</w:t>
      </w:r>
    </w:p>
    <w:p>
      <w:pPr>
        <w:adjustRightInd w:val="0"/>
        <w:snapToGrid w:val="0"/>
        <w:spacing w:line="360" w:lineRule="auto"/>
        <w:ind w:firstLine="420" w:firstLineChars="200"/>
        <w:rPr>
          <w:rFonts w:ascii="宋体" w:cs="Arial"/>
          <w:color w:val="auto"/>
          <w:szCs w:val="21"/>
        </w:rPr>
      </w:pPr>
      <w:r>
        <w:rPr>
          <w:rFonts w:ascii="宋体" w:hAnsi="宋体" w:cs="Arial"/>
          <w:color w:val="auto"/>
          <w:szCs w:val="21"/>
        </w:rPr>
        <w:t>16.2.6</w:t>
      </w:r>
      <w:r>
        <w:rPr>
          <w:rFonts w:hint="eastAsia" w:ascii="宋体" w:hAnsi="宋体" w:cs="Arial"/>
          <w:color w:val="auto"/>
          <w:szCs w:val="21"/>
        </w:rPr>
        <w:t>商务和技术评审结束后，采购代理机构宣布商务和技术评审无效投标人名单及理由，无效投标人可收回未拆封的报价文件并签字确认；公布经商务和技术评审符合采购需求的投标人名单及其商务和技术得分之和。</w:t>
      </w:r>
    </w:p>
    <w:p>
      <w:pPr>
        <w:adjustRightInd w:val="0"/>
        <w:snapToGrid w:val="0"/>
        <w:spacing w:line="360" w:lineRule="auto"/>
        <w:ind w:firstLine="420" w:firstLineChars="200"/>
        <w:rPr>
          <w:rFonts w:ascii="宋体" w:cs="Arial"/>
          <w:color w:val="auto"/>
          <w:kern w:val="0"/>
          <w:szCs w:val="21"/>
        </w:rPr>
      </w:pPr>
      <w:r>
        <w:rPr>
          <w:rFonts w:ascii="宋体" w:hAnsi="宋体" w:cs="Arial"/>
          <w:color w:val="auto"/>
          <w:kern w:val="0"/>
          <w:szCs w:val="21"/>
        </w:rPr>
        <w:t>16.2.7</w:t>
      </w:r>
      <w:r>
        <w:rPr>
          <w:rFonts w:hint="eastAsia" w:ascii="宋体" w:hAnsi="宋体" w:cs="Arial"/>
          <w:color w:val="auto"/>
          <w:kern w:val="0"/>
          <w:szCs w:val="21"/>
        </w:rPr>
        <w:t>采购代理机构拆封投标人报价文件，宣读</w:t>
      </w:r>
      <w:r>
        <w:rPr>
          <w:rFonts w:hint="eastAsia" w:ascii="宋体" w:hAnsi="宋体" w:cs="Arial"/>
          <w:color w:val="auto"/>
          <w:szCs w:val="21"/>
        </w:rPr>
        <w:t>投标报价</w:t>
      </w:r>
      <w:r>
        <w:rPr>
          <w:rFonts w:hint="eastAsia" w:ascii="宋体" w:hAnsi="宋体" w:cs="Arial"/>
          <w:color w:val="auto"/>
          <w:kern w:val="0"/>
          <w:szCs w:val="21"/>
        </w:rPr>
        <w:t>有关内容，同时当场制作并打印开标记录表，由</w:t>
      </w:r>
      <w:r>
        <w:rPr>
          <w:rFonts w:hint="eastAsia" w:ascii="宋体" w:hAnsi="宋体" w:cs="Arial"/>
          <w:color w:val="auto"/>
          <w:szCs w:val="21"/>
        </w:rPr>
        <w:t>各投标人法定代表人或其授权代表</w:t>
      </w:r>
      <w:r>
        <w:rPr>
          <w:rFonts w:hint="eastAsia" w:ascii="宋体" w:hAnsi="宋体" w:cs="Arial"/>
          <w:color w:val="auto"/>
          <w:kern w:val="0"/>
          <w:szCs w:val="21"/>
        </w:rPr>
        <w:t>在开标记录表上签字确认（不予确认的应说明理由，否则视为无异议）。唱标结束后，采购代理机构将报价文件及开标记录表送至评审地点，由</w:t>
      </w:r>
      <w:r>
        <w:rPr>
          <w:rFonts w:hint="eastAsia" w:ascii="宋体" w:hAnsi="宋体" w:cs="Arial"/>
          <w:color w:val="auto"/>
          <w:szCs w:val="21"/>
        </w:rPr>
        <w:t>评标委员会</w:t>
      </w:r>
      <w:r>
        <w:rPr>
          <w:rFonts w:hint="eastAsia" w:ascii="宋体" w:hAnsi="宋体" w:cs="Arial"/>
          <w:color w:val="auto"/>
          <w:kern w:val="0"/>
          <w:szCs w:val="21"/>
        </w:rPr>
        <w:t>对报价的合理性、准确性、有效性等进行审查核实。</w:t>
      </w:r>
    </w:p>
    <w:p>
      <w:pPr>
        <w:adjustRightInd w:val="0"/>
        <w:snapToGrid w:val="0"/>
        <w:spacing w:line="360" w:lineRule="auto"/>
        <w:ind w:firstLine="420" w:firstLineChars="200"/>
        <w:rPr>
          <w:rFonts w:ascii="宋体" w:cs="宋体"/>
          <w:color w:val="auto"/>
          <w:szCs w:val="21"/>
        </w:rPr>
      </w:pPr>
      <w:r>
        <w:rPr>
          <w:rFonts w:ascii="宋体" w:hAnsi="宋体" w:cs="Arial"/>
          <w:color w:val="auto"/>
          <w:kern w:val="0"/>
          <w:szCs w:val="21"/>
        </w:rPr>
        <w:t>16.2.8</w:t>
      </w:r>
      <w:r>
        <w:rPr>
          <w:rFonts w:hint="eastAsia" w:ascii="宋体" w:hAnsi="宋体" w:cs="Arial"/>
          <w:color w:val="auto"/>
          <w:kern w:val="0"/>
          <w:szCs w:val="21"/>
        </w:rPr>
        <w:t>评审结束后，采购代理机构公布入围候选人名单及采购人最终确定入围供应商名单的时间和公告方式等</w:t>
      </w:r>
      <w:r>
        <w:rPr>
          <w:rFonts w:hint="eastAsia" w:ascii="宋体" w:hAnsi="宋体"/>
          <w:color w:val="auto"/>
          <w:szCs w:val="21"/>
        </w:rPr>
        <w:t>。</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17.</w:t>
      </w:r>
      <w:r>
        <w:rPr>
          <w:rFonts w:hint="eastAsia" w:ascii="宋体" w:hAnsi="宋体" w:cs="宋体"/>
          <w:b/>
          <w:color w:val="auto"/>
          <w:szCs w:val="21"/>
        </w:rPr>
        <w:t>投标文件响应情况</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17.1</w:t>
      </w:r>
      <w:r>
        <w:rPr>
          <w:rFonts w:hint="eastAsia" w:ascii="宋体" w:hAnsi="宋体" w:cs="宋体"/>
          <w:color w:val="auto"/>
          <w:szCs w:val="21"/>
        </w:rPr>
        <w:t>开标时，若投标人被拒绝投标，采购代理机构将及时通知该投标人。</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17.2</w:t>
      </w:r>
      <w:r>
        <w:rPr>
          <w:rFonts w:hint="eastAsia" w:ascii="宋体" w:hAnsi="宋体" w:cs="宋体"/>
          <w:color w:val="auto"/>
          <w:szCs w:val="21"/>
        </w:rPr>
        <w:t>就本条款而言，实质上响应要求的投标文件，应该与招标文件的规定要求、条件、条款和规范相符，无显著差异或保留。</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17.3</w:t>
      </w:r>
      <w:r>
        <w:rPr>
          <w:rFonts w:hint="eastAsia" w:ascii="宋体" w:hAnsi="宋体" w:cs="宋体"/>
          <w:color w:val="auto"/>
          <w:szCs w:val="21"/>
        </w:rPr>
        <w:t>如果投标文件实质上不响应招标文件的要求，评标委员会将予以拒绝，并且不允许通过修正或撤消不符合要求的差异或保留，使之成为具有响应性的投标。</w:t>
      </w:r>
    </w:p>
    <w:p>
      <w:pPr>
        <w:pStyle w:val="3"/>
        <w:jc w:val="left"/>
        <w:rPr>
          <w:rFonts w:ascii="宋体" w:cs="宋体"/>
          <w:color w:val="auto"/>
        </w:rPr>
      </w:pPr>
      <w:bookmarkStart w:id="37" w:name="_Hlt75236101"/>
      <w:bookmarkEnd w:id="37"/>
      <w:bookmarkStart w:id="38" w:name="_Toc91899902"/>
      <w:bookmarkStart w:id="39" w:name="_Toc24459"/>
      <w:r>
        <w:rPr>
          <w:rFonts w:hint="eastAsia" w:ascii="宋体" w:hAnsi="宋体" w:cs="宋体"/>
          <w:color w:val="auto"/>
        </w:rPr>
        <w:t>六、评标</w:t>
      </w:r>
      <w:bookmarkEnd w:id="38"/>
      <w:bookmarkEnd w:id="39"/>
    </w:p>
    <w:p>
      <w:pPr>
        <w:adjustRightInd w:val="0"/>
        <w:snapToGrid w:val="0"/>
        <w:spacing w:line="360" w:lineRule="auto"/>
        <w:ind w:firstLine="422" w:firstLineChars="200"/>
        <w:rPr>
          <w:rFonts w:ascii="宋体" w:cs="宋体"/>
          <w:b/>
          <w:color w:val="auto"/>
          <w:szCs w:val="21"/>
        </w:rPr>
      </w:pPr>
      <w:bookmarkStart w:id="40" w:name="_Toc91899903"/>
      <w:r>
        <w:rPr>
          <w:rFonts w:ascii="宋体" w:hAnsi="宋体" w:cs="宋体"/>
          <w:b/>
          <w:color w:val="auto"/>
          <w:szCs w:val="21"/>
        </w:rPr>
        <w:t>18.</w:t>
      </w:r>
      <w:r>
        <w:rPr>
          <w:rFonts w:hint="eastAsia" w:ascii="宋体" w:hAnsi="宋体" w:cs="宋体"/>
          <w:b/>
          <w:color w:val="auto"/>
          <w:szCs w:val="21"/>
        </w:rPr>
        <w:t>评标组织</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采购代理机构依照相关法规规定，组建由5人或以上奇数人员组成的评标委员会，其中相关专家不少于成员总数的</w:t>
      </w:r>
      <w:r>
        <w:rPr>
          <w:rFonts w:ascii="宋体" w:hAnsi="宋体" w:cs="宋体"/>
          <w:color w:val="auto"/>
          <w:szCs w:val="21"/>
        </w:rPr>
        <w:t>2/3</w:t>
      </w:r>
      <w:r>
        <w:rPr>
          <w:rFonts w:hint="eastAsia" w:ascii="宋体" w:hAnsi="宋体" w:cs="宋体"/>
          <w:color w:val="auto"/>
          <w:szCs w:val="21"/>
        </w:rPr>
        <w:t>。评标委员会负责对投标文件进行审查、质询、评审和比较等，并形成书面的评标结果。</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19.</w:t>
      </w:r>
      <w:r>
        <w:rPr>
          <w:rFonts w:hint="eastAsia" w:ascii="宋体" w:hAnsi="宋体" w:cs="宋体"/>
          <w:b/>
          <w:color w:val="auto"/>
          <w:szCs w:val="21"/>
        </w:rPr>
        <w:t>评标原则</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19.1 </w:t>
      </w:r>
      <w:r>
        <w:rPr>
          <w:rFonts w:hint="eastAsia" w:ascii="宋体" w:hAnsi="宋体" w:cs="宋体"/>
          <w:color w:val="auto"/>
          <w:szCs w:val="21"/>
        </w:rPr>
        <w:t>认真贯彻国家有关政府采购的法律、法规和政策，维护国家利益。</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19.2 </w:t>
      </w:r>
      <w:r>
        <w:rPr>
          <w:rFonts w:hint="eastAsia" w:ascii="宋体" w:hAnsi="宋体" w:cs="宋体"/>
          <w:color w:val="auto"/>
          <w:szCs w:val="21"/>
        </w:rPr>
        <w:t>维护采购人的合法权益。</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19.3 </w:t>
      </w:r>
      <w:r>
        <w:rPr>
          <w:rFonts w:hint="eastAsia" w:ascii="宋体" w:hAnsi="宋体" w:cs="宋体"/>
          <w:color w:val="auto"/>
          <w:szCs w:val="21"/>
        </w:rPr>
        <w:t>客观、公正地对待供应商，对所有供应商的投标评审，均采用相同的程序和标准。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19.4</w:t>
      </w:r>
      <w:r>
        <w:rPr>
          <w:rFonts w:hint="eastAsia" w:ascii="宋体" w:hAnsi="宋体" w:cs="宋体"/>
          <w:color w:val="auto"/>
          <w:szCs w:val="21"/>
        </w:rPr>
        <w:t>评标要严格按照招标文件的要求和条件进行。</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19.5 </w:t>
      </w:r>
      <w:r>
        <w:rPr>
          <w:rFonts w:hint="eastAsia" w:ascii="宋体" w:hAnsi="宋体" w:cs="宋体"/>
          <w:color w:val="auto"/>
          <w:szCs w:val="21"/>
        </w:rPr>
        <w:t>评标过程中及评标结束后，评标委员会的评标情况和所有投标人的商业秘密都属于保密内容。</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20.</w:t>
      </w:r>
      <w:r>
        <w:rPr>
          <w:rFonts w:hint="eastAsia" w:ascii="宋体" w:hAnsi="宋体" w:cs="宋体"/>
          <w:b/>
          <w:color w:val="auto"/>
          <w:szCs w:val="21"/>
        </w:rPr>
        <w:t>评标程序</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20.1 </w:t>
      </w:r>
      <w:r>
        <w:rPr>
          <w:rFonts w:hint="eastAsia" w:ascii="宋体" w:hAnsi="宋体" w:cs="宋体"/>
          <w:color w:val="auto"/>
          <w:szCs w:val="21"/>
        </w:rPr>
        <w:t>本项目评标一般将按以下程序进行：投标文件初审、澄清有关问题、投标文件技术与商务部分的比较与评价、报价文件的比较与评审、推荐入围供应商和编写评标报告等。</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20.2</w:t>
      </w:r>
      <w:r>
        <w:rPr>
          <w:rFonts w:hint="eastAsia" w:ascii="宋体" w:hAnsi="宋体" w:cs="宋体"/>
          <w:color w:val="auto"/>
          <w:szCs w:val="21"/>
          <w:u w:val="dottedHeavy"/>
        </w:rPr>
        <w:t>投标文件初审</w:t>
      </w:r>
      <w:r>
        <w:rPr>
          <w:rFonts w:hint="eastAsia" w:ascii="宋体" w:hAnsi="宋体" w:cs="宋体"/>
          <w:color w:val="auto"/>
          <w:szCs w:val="21"/>
        </w:rPr>
        <w:t>包括</w:t>
      </w:r>
      <w:r>
        <w:rPr>
          <w:rFonts w:hint="eastAsia" w:ascii="宋体" w:hAnsi="宋体" w:cs="宋体"/>
          <w:color w:val="auto"/>
          <w:szCs w:val="21"/>
          <w:u w:val="dottedHeavy"/>
        </w:rPr>
        <w:t>资格性检查</w:t>
      </w:r>
      <w:r>
        <w:rPr>
          <w:rFonts w:hint="eastAsia" w:ascii="宋体" w:hAnsi="宋体" w:cs="宋体"/>
          <w:color w:val="auto"/>
          <w:szCs w:val="21"/>
        </w:rPr>
        <w:t>和</w:t>
      </w:r>
      <w:r>
        <w:rPr>
          <w:rFonts w:hint="eastAsia" w:ascii="宋体" w:hAnsi="宋体" w:cs="宋体"/>
          <w:color w:val="auto"/>
          <w:szCs w:val="21"/>
          <w:u w:val="dottedHeavy"/>
        </w:rPr>
        <w:t>符合性检查</w:t>
      </w:r>
      <w:r>
        <w:rPr>
          <w:rFonts w:hint="eastAsia" w:ascii="宋体" w:hAnsi="宋体" w:cs="宋体"/>
          <w:color w:val="auto"/>
          <w:szCs w:val="21"/>
        </w:rPr>
        <w:t>。</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20.2.1</w:t>
      </w:r>
      <w:r>
        <w:rPr>
          <w:rFonts w:hint="eastAsia" w:ascii="宋体" w:hAnsi="宋体" w:cs="宋体"/>
          <w:color w:val="auto"/>
          <w:szCs w:val="21"/>
        </w:rPr>
        <w:t>资格性检查：依据法律法规和招标文件的规定，对投标文件中的资格证明等进行审查，以确定投标供应商是否具备投标资格。</w:t>
      </w:r>
      <w:r>
        <w:rPr>
          <w:rFonts w:hint="eastAsia" w:ascii="宋体" w:hAnsi="宋体" w:cs="宋体"/>
          <w:color w:val="auto"/>
          <w:szCs w:val="21"/>
          <w:u w:val="dottedHeavy"/>
        </w:rPr>
        <w:t>资格性检查不合格的投标人则无须继续进行符合性检查，并且投标文件初审结论不合格</w:t>
      </w:r>
      <w:r>
        <w:rPr>
          <w:rFonts w:hint="eastAsia" w:ascii="宋体" w:hAnsi="宋体" w:cs="宋体"/>
          <w:color w:val="auto"/>
          <w:szCs w:val="21"/>
        </w:rPr>
        <w:t>。</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20.2.2</w:t>
      </w:r>
      <w:r>
        <w:rPr>
          <w:rFonts w:hint="eastAsia" w:ascii="宋体" w:hAnsi="宋体" w:cs="宋体"/>
          <w:color w:val="auto"/>
          <w:szCs w:val="21"/>
        </w:rPr>
        <w:t>符合性检查：依据招标文件的规定，从投标文件的商务、技术文件有效性、完整性和对招标文件的响应程度进行审查，以确定是否对招标文件的实质性要求作出响应。</w:t>
      </w:r>
      <w:r>
        <w:rPr>
          <w:rFonts w:hint="eastAsia" w:ascii="宋体" w:hAnsi="宋体" w:cs="宋体"/>
          <w:color w:val="auto"/>
          <w:szCs w:val="21"/>
          <w:u w:val="dottedHeavy"/>
        </w:rPr>
        <w:t>符合性检查不合格的投标人，投标文件初审结论不合格</w:t>
      </w:r>
      <w:r>
        <w:rPr>
          <w:rFonts w:hint="eastAsia" w:ascii="宋体" w:hAnsi="宋体" w:cs="宋体"/>
          <w:color w:val="auto"/>
          <w:szCs w:val="21"/>
        </w:rPr>
        <w:t>。</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20.3</w:t>
      </w:r>
      <w:r>
        <w:rPr>
          <w:rFonts w:hint="eastAsia" w:ascii="宋体" w:hAnsi="宋体" w:cs="宋体"/>
          <w:color w:val="auto"/>
          <w:szCs w:val="21"/>
        </w:rPr>
        <w:t>投标文件的澄清。对投标文件中含义不明确、同类问题表述不一致或者有明显文字和计算错误的内容，评标委员会可以书面形式要求投标人作出必要的澄清、说明或者纠正。投标人的澄清、说明或者补正应当采用书面形式，由投标人授权代表签字，并不得超出投标文件的范围或者改变投标文件的实质性内容。</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20.4 </w:t>
      </w:r>
      <w:r>
        <w:rPr>
          <w:rFonts w:hint="eastAsia" w:ascii="宋体" w:hAnsi="宋体" w:cs="宋体"/>
          <w:color w:val="auto"/>
          <w:szCs w:val="21"/>
        </w:rPr>
        <w:t>比较与评审。按招标文件中规定的评标方法和标准，对资格性检查和符合性检查合格的投标文件进行商务、技术、价格比较和评审。</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20.5 </w:t>
      </w:r>
      <w:r>
        <w:rPr>
          <w:rFonts w:hint="eastAsia" w:ascii="宋体" w:hAnsi="宋体" w:cs="宋体"/>
          <w:color w:val="auto"/>
          <w:szCs w:val="21"/>
        </w:rPr>
        <w:t>推荐入围候选人。根据评标情况，推荐入围候选人。</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21.</w:t>
      </w:r>
      <w:r>
        <w:rPr>
          <w:rFonts w:hint="eastAsia" w:ascii="宋体" w:hAnsi="宋体" w:cs="宋体"/>
          <w:b/>
          <w:color w:val="auto"/>
          <w:szCs w:val="21"/>
        </w:rPr>
        <w:t>评标方法</w:t>
      </w:r>
    </w:p>
    <w:p>
      <w:pPr>
        <w:adjustRightInd w:val="0"/>
        <w:snapToGrid w:val="0"/>
        <w:spacing w:line="360" w:lineRule="auto"/>
        <w:ind w:firstLine="422" w:firstLineChars="200"/>
        <w:rPr>
          <w:rFonts w:ascii="宋体" w:cs="宋体"/>
          <w:b/>
          <w:color w:val="auto"/>
          <w:szCs w:val="21"/>
          <w:shd w:val="pct10" w:color="auto" w:fill="FFFFFF"/>
        </w:rPr>
      </w:pPr>
      <w:r>
        <w:rPr>
          <w:rFonts w:hint="eastAsia" w:ascii="宋体" w:hAnsi="宋体" w:cs="宋体"/>
          <w:b/>
          <w:color w:val="auto"/>
          <w:szCs w:val="21"/>
          <w:shd w:val="pct10" w:color="auto" w:fill="FFFFFF"/>
        </w:rPr>
        <w:t>综合评分法：在最大限度地满足招标文件实质性要求前提下，按照招标文件中规定的各项因素进行综合评审后，以评标总得分由高到低排序，推荐每个标项75%（四舍五入，不少于2家且不多于6家）的投标人作为入围候选人。当经评审有效投标人少于</w:t>
      </w:r>
      <w:r>
        <w:rPr>
          <w:rFonts w:ascii="宋体" w:hAnsi="宋体" w:cs="宋体"/>
          <w:b/>
          <w:color w:val="auto"/>
          <w:szCs w:val="21"/>
          <w:shd w:val="pct10" w:color="auto" w:fill="FFFFFF"/>
        </w:rPr>
        <w:t>3</w:t>
      </w:r>
      <w:r>
        <w:rPr>
          <w:rFonts w:hint="eastAsia" w:ascii="宋体" w:hAnsi="宋体" w:cs="宋体"/>
          <w:b/>
          <w:color w:val="auto"/>
          <w:szCs w:val="21"/>
          <w:shd w:val="pct10" w:color="auto" w:fill="FFFFFF"/>
        </w:rPr>
        <w:t>家时，该标项招标失败，将重新组织采购。</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评标委员会对投标文件初审结论合格的投标人进行综合评分，投标人的综合得分为技术、商务和价格部分的总计分，得分采用百分制评分。评委评分时可保留至小数点后一位。</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评标中，商务、技术部分评分，评标委员会每人一张记名评分表，如某张评分表的一个项目评分超过规定的分值范围，则该张评分表无效，评标委员会成员的有效评分的算术平均值（保留至小数点后两位）为各投标人商务、技术部分的最终评分值。</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评标委员会将综合得分由高到低进行排序，并将综合得分靠前的投标人（评分相同时，价格低者优先，若评分和价格都相同，按技术指标优劣顺序排列）作为入围候选人向采购代理机构推荐，并提交评标报告。</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如果评标委员会认为本次投标情况不具有竞争性，不予推荐本次招标的入围候选人。</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无效投标</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22.1</w:t>
      </w:r>
      <w:r>
        <w:rPr>
          <w:rFonts w:hint="eastAsia" w:ascii="宋体" w:hAnsi="宋体" w:cs="宋体"/>
          <w:b/>
          <w:color w:val="auto"/>
          <w:szCs w:val="21"/>
        </w:rPr>
        <w:t>投标文件属于下列情况之一的，应当在资格性、符合性检查时按照无效投标处理：</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22.1.1 </w:t>
      </w:r>
      <w:r>
        <w:rPr>
          <w:rFonts w:hint="eastAsia" w:ascii="宋体" w:hAnsi="宋体" w:cs="宋体"/>
          <w:b/>
          <w:color w:val="auto"/>
          <w:szCs w:val="21"/>
        </w:rPr>
        <w:t>投标文件未提供有效的法定代表人授权委托书的或投标人代表身份与授权书内容不一致的；应交未交投标保证金的；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22.1.2 </w:t>
      </w:r>
      <w:r>
        <w:rPr>
          <w:rFonts w:hint="eastAsia" w:ascii="宋体" w:hAnsi="宋体" w:cs="宋体"/>
          <w:b/>
          <w:color w:val="auto"/>
          <w:szCs w:val="21"/>
        </w:rPr>
        <w:t>未按照招标文件规定要求密封、装订、签署、盖章的；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22.1.3 </w:t>
      </w:r>
      <w:r>
        <w:rPr>
          <w:rFonts w:hint="eastAsia" w:ascii="宋体" w:hAnsi="宋体" w:cs="宋体"/>
          <w:b/>
          <w:color w:val="auto"/>
          <w:szCs w:val="21"/>
        </w:rPr>
        <w:t>资格证明文件不全的，或者不符合招标文件标明的资格要求的（参见招标公告之“</w:t>
      </w:r>
      <w:r>
        <w:rPr>
          <w:rFonts w:ascii="宋体" w:hAnsi="宋体" w:cs="宋体"/>
          <w:b/>
          <w:color w:val="auto"/>
          <w:szCs w:val="21"/>
        </w:rPr>
        <w:t>4</w:t>
      </w:r>
      <w:r>
        <w:rPr>
          <w:rFonts w:hint="eastAsia" w:ascii="宋体" w:hAnsi="宋体" w:cs="宋体"/>
          <w:b/>
          <w:color w:val="auto"/>
          <w:szCs w:val="21"/>
        </w:rPr>
        <w:t>、投标人应具备的资格要求”）；</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22.1.4</w:t>
      </w:r>
      <w:r>
        <w:rPr>
          <w:rFonts w:hint="eastAsia" w:ascii="宋体" w:hAnsi="宋体" w:cs="宋体"/>
          <w:b/>
          <w:color w:val="auto"/>
          <w:szCs w:val="21"/>
        </w:rPr>
        <w:t>投标文件不响应招标文件的实质性规定、采购需求的实质性内容或其投标内容有重大缺项或者涂改模糊处未作有效修正或者实质性内容表述矛盾歧义，评标委员会不能确认为有效的；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22.1.5</w:t>
      </w:r>
      <w:r>
        <w:rPr>
          <w:rFonts w:hint="eastAsia" w:ascii="宋体" w:hAnsi="宋体" w:cs="宋体"/>
          <w:b/>
          <w:color w:val="auto"/>
          <w:szCs w:val="21"/>
        </w:rPr>
        <w:t>有证据证明投标人违背有关法规投标的；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22.1.6</w:t>
      </w:r>
      <w:r>
        <w:rPr>
          <w:rFonts w:hint="eastAsia" w:ascii="宋体" w:hAnsi="宋体" w:cs="宋体"/>
          <w:b/>
          <w:color w:val="auto"/>
          <w:szCs w:val="21"/>
        </w:rPr>
        <w:t>不符合法律、法规的或投标文件有招标方不能接受的附加条件的；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22.1.7 </w:t>
      </w:r>
      <w:r>
        <w:rPr>
          <w:rFonts w:hint="eastAsia" w:ascii="宋体" w:hAnsi="宋体" w:cs="宋体"/>
          <w:b/>
          <w:color w:val="auto"/>
          <w:szCs w:val="21"/>
        </w:rPr>
        <w:t>根据招标文件要求，评标委员会认为应当作无效投标的其他情况。</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u w:val="dottedHeavy"/>
        </w:rPr>
        <w:t>被认定为无效投标的投标人投标文件初审结论不合格</w:t>
      </w:r>
      <w:r>
        <w:rPr>
          <w:rFonts w:hint="eastAsia" w:ascii="宋体" w:hAnsi="宋体" w:cs="宋体"/>
          <w:b/>
          <w:color w:val="auto"/>
          <w:szCs w:val="21"/>
        </w:rPr>
        <w:t>。</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22.2 </w:t>
      </w:r>
      <w:r>
        <w:rPr>
          <w:rFonts w:hint="eastAsia" w:ascii="宋体" w:hAnsi="宋体" w:cs="宋体"/>
          <w:b/>
          <w:color w:val="auto"/>
          <w:szCs w:val="21"/>
        </w:rPr>
        <w:t>投标文件有下属情况之一的，应当在报价文件评审时按照无效标处理：</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22.2.1 </w:t>
      </w:r>
      <w:r>
        <w:rPr>
          <w:rFonts w:hint="eastAsia" w:ascii="宋体" w:hAnsi="宋体" w:cs="宋体"/>
          <w:b/>
          <w:color w:val="auto"/>
          <w:szCs w:val="21"/>
        </w:rPr>
        <w:t>报价文件未按照招标文件规定要求密封、装订、签署、盖章的；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22.2.2 </w:t>
      </w:r>
      <w:r>
        <w:rPr>
          <w:rFonts w:hint="eastAsia" w:ascii="宋体" w:hAnsi="宋体" w:cs="宋体"/>
          <w:b/>
          <w:color w:val="auto"/>
          <w:szCs w:val="21"/>
        </w:rPr>
        <w:t>投标报价具有选择性的；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22.2.3</w:t>
      </w:r>
      <w:r>
        <w:rPr>
          <w:rFonts w:hint="eastAsia" w:ascii="宋体" w:hAnsi="宋体" w:cs="宋体"/>
          <w:b/>
          <w:color w:val="auto"/>
          <w:szCs w:val="21"/>
        </w:rPr>
        <w:t>投标报价明显低于成本，而投标人又不能作出合理说明或提供相关证明材料的；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22.2.4 </w:t>
      </w:r>
      <w:r>
        <w:rPr>
          <w:rFonts w:hint="eastAsia" w:ascii="宋体" w:hAnsi="宋体" w:cs="宋体"/>
          <w:b/>
          <w:color w:val="auto"/>
          <w:szCs w:val="21"/>
        </w:rPr>
        <w:t>投标报价明细表合计总价与投标函投标总价不一致，且高于或低于投标总价</w:t>
      </w:r>
      <w:r>
        <w:rPr>
          <w:rFonts w:ascii="宋体" w:hAnsi="宋体" w:cs="宋体"/>
          <w:b/>
          <w:color w:val="auto"/>
          <w:szCs w:val="21"/>
        </w:rPr>
        <w:t>5%</w:t>
      </w:r>
      <w:r>
        <w:rPr>
          <w:rFonts w:hint="eastAsia" w:ascii="宋体" w:hAnsi="宋体" w:cs="宋体"/>
          <w:b/>
          <w:color w:val="auto"/>
          <w:szCs w:val="21"/>
        </w:rPr>
        <w:t>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22.2.5 </w:t>
      </w:r>
      <w:r>
        <w:rPr>
          <w:rFonts w:hint="eastAsia" w:ascii="宋体" w:hAnsi="宋体" w:cs="宋体"/>
          <w:b/>
          <w:color w:val="auto"/>
          <w:szCs w:val="21"/>
        </w:rPr>
        <w:t>报价文件内容与商务、技术文件内容严重不一致，评标委员会无法评审的。</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22.2.6 </w:t>
      </w:r>
      <w:r>
        <w:rPr>
          <w:rFonts w:hint="eastAsia" w:ascii="宋体" w:hAnsi="宋体" w:cs="宋体"/>
          <w:b/>
          <w:color w:val="auto"/>
          <w:szCs w:val="21"/>
        </w:rPr>
        <w:t>根据法律、法规或招标文件要求，评标委员会认为应当作无效投标的其他情况。</w:t>
      </w:r>
    </w:p>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 xml:space="preserve">23. </w:t>
      </w:r>
      <w:r>
        <w:rPr>
          <w:rFonts w:hint="eastAsia" w:ascii="宋体" w:hAnsi="宋体" w:cs="宋体"/>
          <w:b/>
          <w:color w:val="auto"/>
          <w:szCs w:val="21"/>
        </w:rPr>
        <w:t>废标</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根据《中华人民共和国政府采购法》第三十六条，在招标采购中，出现下列情形之一的，应予废标：</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符合专业条件的供应商或者对招标文件作实质响应的供应商不足三家的；</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出现影响采购公正的违法、违规行为的；</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投标人的报价均超过了采购预算，采购人不能支付的；</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因重大变故，采购任务取消的；</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废标后，应当将废标理由通知所有投标人。</w:t>
      </w:r>
    </w:p>
    <w:bookmarkEnd w:id="40"/>
    <w:p>
      <w:pPr>
        <w:adjustRightInd w:val="0"/>
        <w:snapToGrid w:val="0"/>
        <w:spacing w:line="360" w:lineRule="auto"/>
        <w:ind w:firstLine="422" w:firstLineChars="200"/>
        <w:rPr>
          <w:rFonts w:ascii="宋体" w:cs="宋体"/>
          <w:b/>
          <w:color w:val="auto"/>
          <w:szCs w:val="21"/>
        </w:rPr>
      </w:pPr>
      <w:bookmarkStart w:id="41" w:name="_Toc86216994"/>
      <w:r>
        <w:rPr>
          <w:rFonts w:ascii="宋体" w:hAnsi="宋体" w:cs="宋体"/>
          <w:b/>
          <w:color w:val="auto"/>
          <w:szCs w:val="21"/>
        </w:rPr>
        <w:t xml:space="preserve">24. </w:t>
      </w:r>
      <w:r>
        <w:rPr>
          <w:rFonts w:hint="eastAsia" w:ascii="宋体" w:hAnsi="宋体" w:cs="宋体"/>
          <w:b/>
          <w:color w:val="auto"/>
          <w:szCs w:val="21"/>
        </w:rPr>
        <w:t>评标内容的保密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24.1 </w:t>
      </w:r>
      <w:r>
        <w:rPr>
          <w:rFonts w:hint="eastAsia" w:ascii="宋体" w:hAnsi="宋体" w:cs="宋体"/>
          <w:color w:val="auto"/>
          <w:szCs w:val="21"/>
        </w:rPr>
        <w:t>公开开标后，直到宣布中标（入围）单位止，凡属于审查、澄清、评价和比较投标的所有资料，都不应向投标人或与评标无关的其他人泄漏。</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24.2 </w:t>
      </w:r>
      <w:r>
        <w:rPr>
          <w:rFonts w:hint="eastAsia" w:ascii="宋体" w:hAnsi="宋体" w:cs="宋体"/>
          <w:color w:val="auto"/>
          <w:szCs w:val="21"/>
        </w:rPr>
        <w:t>在投标文件的审查、澄清、评价和比较以及确定中标（入围）单位过程中，投标人对采购代理机构和评标委员会施加影响的任何行为，都将导致取消中标（入围）资格。</w:t>
      </w:r>
    </w:p>
    <w:p>
      <w:pPr>
        <w:pStyle w:val="3"/>
        <w:jc w:val="left"/>
        <w:rPr>
          <w:rFonts w:ascii="宋体" w:cs="宋体"/>
          <w:color w:val="auto"/>
        </w:rPr>
      </w:pPr>
      <w:bookmarkStart w:id="42" w:name="_Toc32230"/>
      <w:r>
        <w:rPr>
          <w:rFonts w:hint="eastAsia" w:ascii="宋体" w:hAnsi="宋体" w:cs="宋体"/>
          <w:color w:val="auto"/>
        </w:rPr>
        <w:t>七、定标</w:t>
      </w:r>
      <w:bookmarkEnd w:id="41"/>
      <w:bookmarkEnd w:id="42"/>
    </w:p>
    <w:p>
      <w:pPr>
        <w:adjustRightInd w:val="0"/>
        <w:snapToGrid w:val="0"/>
        <w:spacing w:line="360" w:lineRule="auto"/>
        <w:ind w:firstLine="413" w:firstLineChars="196"/>
        <w:rPr>
          <w:rFonts w:ascii="宋体" w:cs="宋体"/>
          <w:b/>
          <w:color w:val="auto"/>
          <w:szCs w:val="21"/>
        </w:rPr>
      </w:pPr>
      <w:r>
        <w:rPr>
          <w:rFonts w:ascii="宋体" w:hAnsi="宋体" w:cs="宋体"/>
          <w:b/>
          <w:color w:val="auto"/>
          <w:szCs w:val="21"/>
        </w:rPr>
        <w:t>25.</w:t>
      </w:r>
      <w:r>
        <w:rPr>
          <w:rFonts w:hint="eastAsia" w:ascii="宋体" w:hAnsi="宋体" w:cs="宋体"/>
          <w:b/>
          <w:color w:val="auto"/>
          <w:szCs w:val="21"/>
        </w:rPr>
        <w:t>定标</w:t>
      </w:r>
      <w:bookmarkStart w:id="43" w:name="_Hlt75236103"/>
      <w:bookmarkEnd w:id="43"/>
      <w:bookmarkStart w:id="44" w:name="_Toc86216995"/>
      <w:bookmarkStart w:id="45" w:name="_Toc91899910"/>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25.1 </w:t>
      </w:r>
      <w:r>
        <w:rPr>
          <w:rFonts w:hint="eastAsia" w:ascii="宋体" w:hAnsi="宋体" w:cs="宋体"/>
          <w:color w:val="auto"/>
          <w:szCs w:val="21"/>
        </w:rPr>
        <w:t>采购代理机构应当自评审结束之日起</w:t>
      </w:r>
      <w:r>
        <w:rPr>
          <w:rFonts w:ascii="宋体" w:hAnsi="宋体" w:cs="宋体"/>
          <w:color w:val="auto"/>
          <w:szCs w:val="21"/>
        </w:rPr>
        <w:t>2</w:t>
      </w:r>
      <w:r>
        <w:rPr>
          <w:rFonts w:hint="eastAsia" w:ascii="宋体" w:hAnsi="宋体" w:cs="宋体"/>
          <w:color w:val="auto"/>
          <w:szCs w:val="21"/>
        </w:rPr>
        <w:t>个工作日内将评审报告送交采购人。采购人应当自收到评审报告之日起</w:t>
      </w:r>
      <w:r>
        <w:rPr>
          <w:rFonts w:ascii="宋体" w:hAnsi="宋体" w:cs="宋体"/>
          <w:color w:val="auto"/>
          <w:szCs w:val="21"/>
        </w:rPr>
        <w:t>5</w:t>
      </w:r>
      <w:r>
        <w:rPr>
          <w:rFonts w:hint="eastAsia" w:ascii="宋体" w:hAnsi="宋体" w:cs="宋体"/>
          <w:color w:val="auto"/>
          <w:szCs w:val="21"/>
        </w:rPr>
        <w:t>个工作日内在评审报告推荐的中标（入围）候选人中按顺序确定中标（入围）供应商。</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采购人或者采购代理机构应当自中标（入围）确定之日起</w:t>
      </w:r>
      <w:r>
        <w:rPr>
          <w:rFonts w:ascii="宋体" w:hAnsi="宋体" w:cs="宋体"/>
          <w:color w:val="auto"/>
          <w:szCs w:val="21"/>
        </w:rPr>
        <w:t>2</w:t>
      </w:r>
      <w:r>
        <w:rPr>
          <w:rFonts w:hint="eastAsia" w:ascii="宋体" w:hAnsi="宋体" w:cs="宋体"/>
          <w:color w:val="auto"/>
          <w:szCs w:val="21"/>
        </w:rPr>
        <w:t>个工作日内，发出中标（入围）通知书，并将在发布招标公告的同一网站公告中标（入围）结果，招标文件随中标（入围）结果同时公告。</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25.2 </w:t>
      </w:r>
      <w:r>
        <w:rPr>
          <w:rFonts w:hint="eastAsia" w:ascii="宋体" w:hAnsi="宋体" w:cs="宋体"/>
          <w:color w:val="auto"/>
          <w:szCs w:val="21"/>
        </w:rPr>
        <w:t>除国务院财政部门规定的情形外，采购人、采购代理机构不得以任何理由组织重新评审。采购人、采购代理机构按照国务院财政部门的规定组织重新评审的，应当书面报告本级人民政府财政部门。</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25.3 </w:t>
      </w:r>
      <w:r>
        <w:rPr>
          <w:rFonts w:hint="eastAsia" w:ascii="宋体" w:hAnsi="宋体" w:cs="宋体"/>
          <w:color w:val="auto"/>
          <w:szCs w:val="21"/>
        </w:rPr>
        <w:t>在采购代理机构发出入围通知书前，预入围供应商有违反有关法律法规和本项目要求行为的，则取消其预中标（入围）资格，不再退还其投标保证金，并根据评标委员会推荐的入围候选人先后顺序，将下一顺序单位作为预中标（入围）公示单位，或由采购代理机构组织评标委员会复议后提出重新组织采购等建议。</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25.4 </w:t>
      </w:r>
      <w:r>
        <w:rPr>
          <w:rFonts w:hint="eastAsia" w:ascii="宋体" w:hAnsi="宋体" w:cs="宋体"/>
          <w:color w:val="auto"/>
          <w:szCs w:val="21"/>
        </w:rPr>
        <w:t>投标人全部接受合同条件并签订合同后，入围通知书亦成为合同的组成部分。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25.5 </w:t>
      </w:r>
      <w:r>
        <w:rPr>
          <w:rFonts w:hint="eastAsia" w:ascii="宋体" w:hAnsi="宋体" w:cs="宋体"/>
          <w:color w:val="auto"/>
          <w:szCs w:val="21"/>
        </w:rPr>
        <w:t>如入围供应商拒绝承担中标（入围）的项目，或提出采购人不能接受的条件，致使合同无法签订，采购代理机构将取消其中标（入围）资格，不再退还其投标保证金，并根据评标委员会推荐的入围候选人先后顺序，将下一顺序单位作为预中标（入围）公示单位，或由采购代理机构组织评标委员会复议后提出重新组织采购等建议。</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 xml:space="preserve">25.6 </w:t>
      </w:r>
      <w:r>
        <w:rPr>
          <w:rFonts w:hint="eastAsia" w:ascii="宋体" w:hAnsi="宋体" w:cs="宋体"/>
          <w:color w:val="auto"/>
          <w:szCs w:val="21"/>
        </w:rPr>
        <w:t>入围供应商应为杭州市政府采购注册供应商，如尚未注册，应在签订合同前，登陆杭州市政府采购网（</w:t>
      </w:r>
      <w:r>
        <w:rPr>
          <w:rFonts w:ascii="宋体" w:hAnsi="宋体" w:cs="宋体"/>
          <w:color w:val="auto"/>
          <w:szCs w:val="21"/>
        </w:rPr>
        <w:t>http://cg.hzft.gov.cn</w:t>
      </w:r>
      <w:r>
        <w:rPr>
          <w:rFonts w:hint="eastAsia" w:ascii="宋体" w:hAnsi="宋体" w:cs="宋体"/>
          <w:color w:val="auto"/>
          <w:szCs w:val="21"/>
        </w:rPr>
        <w:t>）进行注册并将书面资料提交公共资源交易中心复核备案。</w:t>
      </w:r>
    </w:p>
    <w:p>
      <w:pPr>
        <w:pStyle w:val="3"/>
        <w:jc w:val="left"/>
        <w:rPr>
          <w:rFonts w:ascii="宋体" w:cs="宋体"/>
          <w:color w:val="auto"/>
        </w:rPr>
      </w:pPr>
      <w:bookmarkStart w:id="46" w:name="_Toc19807"/>
      <w:r>
        <w:rPr>
          <w:rFonts w:hint="eastAsia" w:ascii="宋体" w:hAnsi="宋体" w:cs="宋体"/>
          <w:color w:val="auto"/>
        </w:rPr>
        <w:t>八、</w:t>
      </w:r>
      <w:bookmarkEnd w:id="44"/>
      <w:r>
        <w:rPr>
          <w:rFonts w:hint="eastAsia" w:ascii="宋体" w:hAnsi="宋体" w:cs="宋体"/>
          <w:color w:val="auto"/>
        </w:rPr>
        <w:t>合同签订及其他</w:t>
      </w:r>
      <w:bookmarkEnd w:id="46"/>
    </w:p>
    <w:bookmarkEnd w:id="45"/>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26.</w:t>
      </w:r>
      <w:r>
        <w:rPr>
          <w:rFonts w:hint="eastAsia" w:ascii="宋体" w:hAnsi="宋体" w:cs="宋体"/>
          <w:b/>
          <w:color w:val="auto"/>
          <w:szCs w:val="21"/>
        </w:rPr>
        <w:t>合同的签订</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26.1</w:t>
      </w:r>
      <w:r>
        <w:rPr>
          <w:rFonts w:hint="eastAsia" w:ascii="宋体" w:hAnsi="宋体" w:cs="宋体"/>
          <w:b/>
          <w:color w:val="auto"/>
          <w:szCs w:val="21"/>
        </w:rPr>
        <w:t>自发出入围通知书之日起，入围供应商入选杭州市流通领域</w:t>
      </w:r>
      <w:r>
        <w:rPr>
          <w:rFonts w:ascii="宋体" w:hAnsi="宋体" w:cs="宋体"/>
          <w:b/>
          <w:color w:val="auto"/>
          <w:szCs w:val="21"/>
        </w:rPr>
        <w:t>(</w:t>
      </w:r>
      <w:r>
        <w:rPr>
          <w:rFonts w:hint="eastAsia" w:ascii="宋体" w:hAnsi="宋体" w:cs="宋体"/>
          <w:b/>
          <w:color w:val="auto"/>
          <w:szCs w:val="21"/>
        </w:rPr>
        <w:t>网络</w:t>
      </w:r>
      <w:r>
        <w:rPr>
          <w:rFonts w:ascii="宋体" w:hAnsi="宋体" w:cs="宋体"/>
          <w:b/>
          <w:color w:val="auto"/>
          <w:szCs w:val="21"/>
        </w:rPr>
        <w:t>)</w:t>
      </w:r>
      <w:r>
        <w:rPr>
          <w:rFonts w:hint="eastAsia" w:ascii="宋体" w:hAnsi="宋体" w:cs="宋体"/>
          <w:b/>
          <w:color w:val="auto"/>
          <w:szCs w:val="21"/>
        </w:rPr>
        <w:t>商品质量抽检承检机构备选库入围政府采购项目，具有承担杭州市流通领域</w:t>
      </w:r>
      <w:r>
        <w:rPr>
          <w:rFonts w:ascii="宋体" w:hAnsi="宋体" w:cs="宋体"/>
          <w:b/>
          <w:color w:val="auto"/>
          <w:szCs w:val="21"/>
        </w:rPr>
        <w:t>(</w:t>
      </w:r>
      <w:r>
        <w:rPr>
          <w:rFonts w:hint="eastAsia" w:ascii="宋体" w:hAnsi="宋体" w:cs="宋体"/>
          <w:b/>
          <w:color w:val="auto"/>
          <w:szCs w:val="21"/>
        </w:rPr>
        <w:t>网络</w:t>
      </w:r>
      <w:r>
        <w:rPr>
          <w:rFonts w:ascii="宋体" w:hAnsi="宋体" w:cs="宋体"/>
          <w:b/>
          <w:color w:val="auto"/>
          <w:szCs w:val="21"/>
        </w:rPr>
        <w:t>)</w:t>
      </w:r>
      <w:r>
        <w:rPr>
          <w:rFonts w:hint="eastAsia" w:ascii="宋体" w:hAnsi="宋体" w:cs="宋体"/>
          <w:b/>
          <w:color w:val="auto"/>
          <w:szCs w:val="21"/>
        </w:rPr>
        <w:t>商品质量抽查承检工作项目的资格。</w:t>
      </w:r>
      <w:r>
        <w:rPr>
          <w:rFonts w:hint="eastAsia" w:ascii="宋体" w:hAnsi="宋体" w:cs="宋体"/>
          <w:color w:val="auto"/>
          <w:szCs w:val="21"/>
        </w:rPr>
        <w:t>采购人与入围供应商应当在《入围通知书》发出之日起</w:t>
      </w:r>
      <w:r>
        <w:rPr>
          <w:rFonts w:ascii="宋体" w:hAnsi="宋体" w:cs="宋体"/>
          <w:color w:val="auto"/>
          <w:szCs w:val="21"/>
        </w:rPr>
        <w:t>30</w:t>
      </w:r>
      <w:r>
        <w:rPr>
          <w:rFonts w:hint="eastAsia" w:ascii="宋体" w:hAnsi="宋体" w:cs="宋体"/>
          <w:color w:val="auto"/>
          <w:szCs w:val="21"/>
        </w:rPr>
        <w:t>日内签订《政府采购合同》</w:t>
      </w:r>
      <w:r>
        <w:rPr>
          <w:rFonts w:hint="eastAsia" w:ascii="宋体" w:hAnsi="宋体" w:cs="宋体"/>
          <w:b/>
          <w:color w:val="auto"/>
          <w:szCs w:val="21"/>
        </w:rPr>
        <w:t>（详见后附第六部分）</w:t>
      </w:r>
      <w:r>
        <w:rPr>
          <w:rFonts w:hint="eastAsia" w:ascii="宋体" w:hAnsi="宋体" w:cs="宋体"/>
          <w:color w:val="auto"/>
          <w:szCs w:val="21"/>
        </w:rPr>
        <w:t>，所签订的合同应按照招标文件和入围供应商投标文件的约定。逾期不与采购人签订合同的，将视其自动放弃入围资格，并将被没收投标保证金。</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采购人根据《项目分配评价表》及相应内部管理办法在入选供应商备选库中，确定具体检测任务的承检供应商，并就具体项目签订《杭州市流通领域</w:t>
      </w:r>
      <w:r>
        <w:rPr>
          <w:rFonts w:ascii="宋体" w:hAnsi="宋体" w:cs="宋体"/>
          <w:b/>
          <w:color w:val="auto"/>
          <w:szCs w:val="21"/>
        </w:rPr>
        <w:t>(</w:t>
      </w:r>
      <w:r>
        <w:rPr>
          <w:rFonts w:hint="eastAsia" w:ascii="宋体" w:hAnsi="宋体" w:cs="宋体"/>
          <w:b/>
          <w:color w:val="auto"/>
          <w:szCs w:val="21"/>
        </w:rPr>
        <w:t>网络</w:t>
      </w:r>
      <w:r>
        <w:rPr>
          <w:rFonts w:ascii="宋体" w:hAnsi="宋体" w:cs="宋体"/>
          <w:b/>
          <w:color w:val="auto"/>
          <w:szCs w:val="21"/>
        </w:rPr>
        <w:t>)</w:t>
      </w:r>
      <w:r>
        <w:rPr>
          <w:rFonts w:hint="eastAsia" w:ascii="宋体" w:hAnsi="宋体" w:cs="宋体"/>
          <w:b/>
          <w:color w:val="auto"/>
          <w:szCs w:val="21"/>
        </w:rPr>
        <w:t>商品质量抽查检验项目委托检验合同》（详见后附《项目分配评价表》和《杭州市流通领域</w:t>
      </w:r>
      <w:r>
        <w:rPr>
          <w:rFonts w:ascii="宋体" w:hAnsi="宋体" w:cs="宋体"/>
          <w:b/>
          <w:color w:val="auto"/>
          <w:szCs w:val="21"/>
        </w:rPr>
        <w:t>(</w:t>
      </w:r>
      <w:r>
        <w:rPr>
          <w:rFonts w:hint="eastAsia" w:ascii="宋体" w:hAnsi="宋体" w:cs="宋体"/>
          <w:b/>
          <w:color w:val="auto"/>
          <w:szCs w:val="21"/>
        </w:rPr>
        <w:t>网络</w:t>
      </w:r>
      <w:r>
        <w:rPr>
          <w:rFonts w:ascii="宋体" w:hAnsi="宋体" w:cs="宋体"/>
          <w:b/>
          <w:color w:val="auto"/>
          <w:szCs w:val="21"/>
        </w:rPr>
        <w:t>)</w:t>
      </w:r>
      <w:r>
        <w:rPr>
          <w:rFonts w:hint="eastAsia" w:ascii="宋体" w:hAnsi="宋体" w:cs="宋体"/>
          <w:b/>
          <w:color w:val="auto"/>
          <w:szCs w:val="21"/>
        </w:rPr>
        <w:t>商品质量抽查检验项目委托检验合同》）。按照合同内容进行核算、支付。</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26.2</w:t>
      </w:r>
      <w:r>
        <w:rPr>
          <w:rFonts w:hint="eastAsia" w:ascii="宋体" w:hAnsi="宋体" w:cs="宋体"/>
          <w:color w:val="auto"/>
          <w:szCs w:val="21"/>
        </w:rPr>
        <w:t>投标人全部接受合同条件并签订合同后，入围通知书亦成为合同的组成部分。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26.3</w:t>
      </w:r>
      <w:r>
        <w:rPr>
          <w:rFonts w:hint="eastAsia" w:ascii="宋体" w:hAnsi="宋体" w:cs="宋体"/>
          <w:color w:val="auto"/>
          <w:szCs w:val="21"/>
        </w:rPr>
        <w:t>如入围供应商拒绝承担中标（入围）的项目，或提出采购人不能接受的条件，致使合同无法签订，其中标（入围）资格将被取消，并不再退还其投标保证金。</w:t>
      </w:r>
    </w:p>
    <w:p>
      <w:pPr>
        <w:adjustRightInd w:val="0"/>
        <w:snapToGrid w:val="0"/>
        <w:spacing w:line="360" w:lineRule="auto"/>
        <w:ind w:firstLine="420" w:firstLineChars="200"/>
        <w:rPr>
          <w:rFonts w:ascii="宋体" w:hAnsi="宋体" w:cs="宋体"/>
          <w:color w:val="auto"/>
          <w:szCs w:val="21"/>
        </w:rPr>
      </w:pPr>
      <w:r>
        <w:rPr>
          <w:rFonts w:ascii="宋体" w:hAnsi="宋体" w:cs="宋体"/>
          <w:color w:val="auto"/>
          <w:szCs w:val="21"/>
        </w:rPr>
        <w:t>26.4</w:t>
      </w:r>
      <w:r>
        <w:rPr>
          <w:rFonts w:hint="eastAsia" w:ascii="宋体" w:hAnsi="宋体" w:cs="宋体"/>
          <w:color w:val="auto"/>
          <w:szCs w:val="21"/>
        </w:rPr>
        <w:t>在入围供应商签订合同并生效后，入围供应商即为供应商。</w:t>
      </w:r>
    </w:p>
    <w:p>
      <w:pPr>
        <w:adjustRightInd w:val="0"/>
        <w:snapToGrid w:val="0"/>
        <w:spacing w:line="360" w:lineRule="auto"/>
        <w:ind w:firstLine="422" w:firstLineChars="200"/>
        <w:rPr>
          <w:rFonts w:ascii="宋体" w:hAnsi="宋体" w:cs="宋体"/>
          <w:b/>
          <w:color w:val="auto"/>
          <w:szCs w:val="21"/>
        </w:rPr>
      </w:pPr>
      <w:r>
        <w:rPr>
          <w:rFonts w:ascii="宋体" w:hAnsi="宋体" w:cs="宋体"/>
          <w:b/>
          <w:color w:val="auto"/>
          <w:szCs w:val="21"/>
        </w:rPr>
        <w:t>27.</w:t>
      </w:r>
      <w:r>
        <w:rPr>
          <w:rFonts w:hint="eastAsia" w:ascii="宋体" w:hAnsi="宋体" w:cs="宋体"/>
          <w:b/>
          <w:color w:val="auto"/>
          <w:szCs w:val="21"/>
        </w:rPr>
        <w:t>履约保证金、质量保证金</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27.1</w:t>
      </w:r>
      <w:r>
        <w:rPr>
          <w:rFonts w:hint="eastAsia" w:ascii="宋体" w:hAnsi="宋体" w:cs="宋体"/>
          <w:color w:val="auto"/>
          <w:szCs w:val="21"/>
        </w:rPr>
        <w:t>入围供应商在合同签订之日起</w:t>
      </w:r>
      <w:r>
        <w:rPr>
          <w:rFonts w:ascii="宋体" w:hAnsi="宋体" w:cs="宋体"/>
          <w:color w:val="auto"/>
          <w:szCs w:val="21"/>
        </w:rPr>
        <w:t>5</w:t>
      </w:r>
      <w:r>
        <w:rPr>
          <w:rFonts w:hint="eastAsia" w:ascii="宋体" w:hAnsi="宋体" w:cs="宋体"/>
          <w:color w:val="auto"/>
          <w:szCs w:val="21"/>
        </w:rPr>
        <w:t>天内，须向采购人缴纳前附表第</w:t>
      </w:r>
      <w:r>
        <w:rPr>
          <w:rFonts w:ascii="宋体" w:hAnsi="宋体" w:cs="宋体"/>
          <w:color w:val="auto"/>
          <w:szCs w:val="21"/>
        </w:rPr>
        <w:t>21</w:t>
      </w:r>
      <w:r>
        <w:rPr>
          <w:rFonts w:hint="eastAsia" w:ascii="宋体" w:hAnsi="宋体" w:cs="宋体"/>
          <w:color w:val="auto"/>
          <w:szCs w:val="21"/>
        </w:rPr>
        <w:t>项规定额度的履约保证金。履约保证金以电汇、汇票、支票形式支付。合同期结束后，履约保证金无息退还。</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27.2</w:t>
      </w:r>
      <w:r>
        <w:rPr>
          <w:rFonts w:hint="eastAsia" w:ascii="宋体" w:hAnsi="宋体" w:cs="宋体"/>
          <w:color w:val="auto"/>
          <w:szCs w:val="21"/>
        </w:rPr>
        <w:t>如果入围供应商没有按照本须知第</w:t>
      </w:r>
      <w:r>
        <w:rPr>
          <w:rFonts w:ascii="宋体" w:hAnsi="宋体" w:cs="宋体"/>
          <w:color w:val="auto"/>
          <w:szCs w:val="21"/>
        </w:rPr>
        <w:t>26</w:t>
      </w:r>
      <w:r>
        <w:rPr>
          <w:rFonts w:hint="eastAsia" w:ascii="宋体" w:hAnsi="宋体" w:cs="宋体"/>
          <w:color w:val="auto"/>
          <w:szCs w:val="21"/>
        </w:rPr>
        <w:t>或</w:t>
      </w:r>
      <w:r>
        <w:rPr>
          <w:rFonts w:ascii="宋体" w:hAnsi="宋体" w:cs="宋体"/>
          <w:color w:val="auto"/>
          <w:szCs w:val="21"/>
        </w:rPr>
        <w:t>27.1</w:t>
      </w:r>
      <w:r>
        <w:rPr>
          <w:rFonts w:hint="eastAsia" w:ascii="宋体" w:hAnsi="宋体" w:cs="宋体"/>
          <w:color w:val="auto"/>
          <w:szCs w:val="21"/>
        </w:rPr>
        <w:t>条规定执行，采购人将有充分理由取消该中标（入围）决定，并没收其投标保证金。在此情况下，采购人可将合同标授予下一个入围候选人。</w:t>
      </w:r>
    </w:p>
    <w:p>
      <w:pPr>
        <w:adjustRightInd w:val="0"/>
        <w:snapToGrid w:val="0"/>
        <w:spacing w:line="360" w:lineRule="auto"/>
        <w:ind w:firstLine="413" w:firstLineChars="196"/>
        <w:rPr>
          <w:rFonts w:ascii="宋体" w:cs="宋体"/>
          <w:b/>
          <w:color w:val="auto"/>
          <w:szCs w:val="21"/>
        </w:rPr>
      </w:pPr>
      <w:r>
        <w:rPr>
          <w:rFonts w:ascii="宋体" w:hAnsi="宋体" w:cs="宋体"/>
          <w:b/>
          <w:color w:val="auto"/>
          <w:szCs w:val="21"/>
        </w:rPr>
        <w:t>28.</w:t>
      </w:r>
      <w:r>
        <w:rPr>
          <w:rFonts w:hint="eastAsia" w:ascii="宋体" w:hAnsi="宋体" w:cs="宋体"/>
          <w:b/>
          <w:color w:val="auto"/>
          <w:szCs w:val="21"/>
        </w:rPr>
        <w:t>招标代理服务费</w:t>
      </w:r>
    </w:p>
    <w:p>
      <w:pPr>
        <w:adjustRightInd w:val="0"/>
        <w:snapToGrid w:val="0"/>
        <w:spacing w:line="360" w:lineRule="auto"/>
        <w:ind w:firstLine="411" w:firstLineChars="196"/>
        <w:rPr>
          <w:rFonts w:ascii="宋体" w:cs="宋体"/>
          <w:b/>
          <w:color w:val="auto"/>
          <w:szCs w:val="21"/>
        </w:rPr>
      </w:pPr>
      <w:r>
        <w:rPr>
          <w:rFonts w:hint="eastAsia" w:ascii="宋体" w:hAnsi="宋体" w:cs="宋体"/>
          <w:snapToGrid w:val="0"/>
          <w:color w:val="auto"/>
          <w:kern w:val="0"/>
          <w:szCs w:val="21"/>
        </w:rPr>
        <w:t>见《投标须知前附表》第</w:t>
      </w:r>
      <w:r>
        <w:rPr>
          <w:rFonts w:ascii="宋体" w:hAnsi="宋体" w:cs="宋体"/>
          <w:snapToGrid w:val="0"/>
          <w:color w:val="auto"/>
          <w:kern w:val="0"/>
          <w:szCs w:val="21"/>
        </w:rPr>
        <w:t>29</w:t>
      </w:r>
      <w:r>
        <w:rPr>
          <w:rFonts w:hint="eastAsia" w:ascii="宋体" w:hAnsi="宋体" w:cs="宋体"/>
          <w:snapToGrid w:val="0"/>
          <w:color w:val="auto"/>
          <w:kern w:val="0"/>
          <w:szCs w:val="21"/>
        </w:rPr>
        <w:t>条</w:t>
      </w:r>
    </w:p>
    <w:p>
      <w:pPr>
        <w:adjustRightInd w:val="0"/>
        <w:snapToGrid w:val="0"/>
        <w:spacing w:line="360" w:lineRule="auto"/>
        <w:ind w:firstLine="413" w:firstLineChars="196"/>
        <w:rPr>
          <w:rFonts w:ascii="宋体" w:cs="宋体"/>
          <w:b/>
          <w:color w:val="auto"/>
          <w:szCs w:val="21"/>
        </w:rPr>
      </w:pPr>
      <w:r>
        <w:rPr>
          <w:rFonts w:ascii="宋体" w:hAnsi="宋体" w:cs="宋体"/>
          <w:b/>
          <w:bCs/>
          <w:color w:val="auto"/>
          <w:szCs w:val="21"/>
        </w:rPr>
        <w:t>29.</w:t>
      </w:r>
      <w:r>
        <w:rPr>
          <w:rFonts w:hint="eastAsia" w:ascii="宋体" w:hAnsi="宋体" w:cs="宋体"/>
          <w:b/>
          <w:color w:val="auto"/>
          <w:szCs w:val="21"/>
        </w:rPr>
        <w:t>采购方式改变</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在符合资格的投标人不足规定数量或投标人提供的货物及其报价、售后服务承诺等不能满足采购代理机构要求，以及招标过程中出现其他不正常情况时，经批准，采购代理机构将根据中华人民共和国财政部第</w:t>
      </w:r>
      <w:r>
        <w:rPr>
          <w:rFonts w:ascii="宋体" w:hAnsi="宋体" w:cs="宋体"/>
          <w:color w:val="auto"/>
          <w:szCs w:val="21"/>
        </w:rPr>
        <w:t>87号令</w:t>
      </w:r>
      <w:r>
        <w:rPr>
          <w:rFonts w:hint="eastAsia" w:ascii="宋体" w:hAnsi="宋体" w:cs="宋体"/>
          <w:color w:val="auto"/>
          <w:szCs w:val="21"/>
        </w:rPr>
        <w:t>《政府采购货物和服务招标投标管理办法》第四十三条之规定，重新选择合适的方式进行采购。</w:t>
      </w:r>
    </w:p>
    <w:p>
      <w:pPr>
        <w:numPr>
          <w:ilvl w:val="0"/>
          <w:numId w:val="2"/>
        </w:num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质疑与投诉</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30.1</w:t>
      </w:r>
      <w:r>
        <w:rPr>
          <w:rFonts w:hint="eastAsia" w:ascii="宋体" w:hAnsi="宋体" w:cs="宋体"/>
          <w:color w:val="auto"/>
          <w:szCs w:val="21"/>
        </w:rPr>
        <w:t>投标人对政府采购活动有疑问或认为自己的权益受到损害的，应当在知道或者应知其权益受到损害之日起七个工作日内向采购人</w:t>
      </w:r>
      <w:r>
        <w:rPr>
          <w:rFonts w:hint="eastAsia" w:ascii="宋体" w:hAnsi="宋体" w:cs="宋体"/>
          <w:b/>
          <w:bCs/>
          <w:color w:val="auto"/>
          <w:szCs w:val="21"/>
        </w:rPr>
        <w:t>、采购代理机构</w:t>
      </w:r>
      <w:r>
        <w:rPr>
          <w:rFonts w:hint="eastAsia" w:ascii="宋体" w:hAnsi="宋体" w:cs="宋体"/>
          <w:color w:val="auto"/>
          <w:szCs w:val="21"/>
        </w:rPr>
        <w:t>提出书面质疑，采购人将在七个工作日内作出答复，但答复的内容不涉及商业秘密。</w:t>
      </w:r>
    </w:p>
    <w:p>
      <w:pPr>
        <w:adjustRightInd w:val="0"/>
        <w:snapToGrid w:val="0"/>
        <w:spacing w:line="360" w:lineRule="auto"/>
        <w:ind w:firstLine="420" w:firstLineChars="200"/>
        <w:jc w:val="left"/>
        <w:rPr>
          <w:rFonts w:ascii="宋体" w:cs="宋体"/>
          <w:snapToGrid w:val="0"/>
          <w:color w:val="auto"/>
          <w:kern w:val="0"/>
          <w:szCs w:val="21"/>
        </w:rPr>
      </w:pPr>
      <w:r>
        <w:rPr>
          <w:rFonts w:ascii="宋体" w:hAnsi="宋体" w:cs="宋体"/>
          <w:color w:val="auto"/>
          <w:szCs w:val="21"/>
        </w:rPr>
        <w:t>30.2</w:t>
      </w:r>
      <w:r>
        <w:rPr>
          <w:rFonts w:hint="eastAsia" w:ascii="宋体" w:hAnsi="宋体" w:cs="宋体"/>
          <w:color w:val="auto"/>
          <w:szCs w:val="21"/>
        </w:rPr>
        <w:t>质疑的投标人对采购人</w:t>
      </w:r>
      <w:r>
        <w:rPr>
          <w:rFonts w:hint="eastAsia" w:ascii="宋体" w:hAnsi="宋体" w:cs="宋体"/>
          <w:b/>
          <w:bCs/>
          <w:color w:val="auto"/>
          <w:szCs w:val="21"/>
        </w:rPr>
        <w:t>、采购代理机构</w:t>
      </w:r>
      <w:r>
        <w:rPr>
          <w:rFonts w:hint="eastAsia" w:ascii="宋体" w:hAnsi="宋体" w:cs="宋体"/>
          <w:color w:val="auto"/>
          <w:szCs w:val="21"/>
        </w:rPr>
        <w:t>的答复不满意或者未在规定的时间内作出答复的，可以在答复期满后十五个工作日内</w:t>
      </w:r>
      <w:bookmarkStart w:id="47" w:name="_Toc393791421"/>
      <w:r>
        <w:rPr>
          <w:rFonts w:hint="eastAsia" w:ascii="宋体" w:hAnsi="宋体" w:cs="宋体"/>
          <w:snapToGrid w:val="0"/>
          <w:color w:val="auto"/>
          <w:kern w:val="0"/>
          <w:szCs w:val="21"/>
        </w:rPr>
        <w:t>向同级政府采购监督管理部门提出投诉。</w:t>
      </w:r>
    </w:p>
    <w:p>
      <w:pPr>
        <w:numPr>
          <w:ilvl w:val="0"/>
          <w:numId w:val="2"/>
        </w:num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采购结束</w:t>
      </w:r>
    </w:p>
    <w:p>
      <w:pPr>
        <w:adjustRightInd w:val="0"/>
        <w:snapToGrid w:val="0"/>
        <w:spacing w:line="360" w:lineRule="auto"/>
        <w:ind w:firstLine="420" w:firstLineChars="200"/>
        <w:jc w:val="left"/>
        <w:rPr>
          <w:rFonts w:ascii="宋体" w:cs="宋体"/>
          <w:snapToGrid w:val="0"/>
          <w:color w:val="auto"/>
          <w:kern w:val="0"/>
          <w:szCs w:val="21"/>
        </w:rPr>
      </w:pPr>
      <w:r>
        <w:rPr>
          <w:rFonts w:ascii="宋体" w:hAnsi="宋体" w:cs="宋体"/>
          <w:snapToGrid w:val="0"/>
          <w:color w:val="auto"/>
          <w:kern w:val="0"/>
          <w:szCs w:val="21"/>
        </w:rPr>
        <w:t>31.1</w:t>
      </w:r>
      <w:r>
        <w:rPr>
          <w:rFonts w:hint="eastAsia" w:ascii="宋体" w:hAnsi="宋体" w:cs="宋体"/>
          <w:snapToGrid w:val="0"/>
          <w:color w:val="auto"/>
          <w:kern w:val="0"/>
          <w:szCs w:val="21"/>
        </w:rPr>
        <w:t>入围供应商与采购人签订合同生效后即为采购结束。</w:t>
      </w:r>
    </w:p>
    <w:p>
      <w:pPr>
        <w:adjustRightInd w:val="0"/>
        <w:snapToGrid w:val="0"/>
        <w:spacing w:line="360" w:lineRule="auto"/>
        <w:ind w:firstLine="420" w:firstLineChars="200"/>
        <w:jc w:val="left"/>
        <w:rPr>
          <w:rFonts w:ascii="宋体" w:cs="宋体"/>
          <w:snapToGrid w:val="0"/>
          <w:color w:val="auto"/>
          <w:kern w:val="0"/>
          <w:szCs w:val="21"/>
        </w:rPr>
      </w:pPr>
      <w:r>
        <w:rPr>
          <w:rFonts w:ascii="宋体" w:hAnsi="宋体" w:cs="宋体"/>
          <w:snapToGrid w:val="0"/>
          <w:color w:val="auto"/>
          <w:kern w:val="0"/>
          <w:szCs w:val="21"/>
        </w:rPr>
        <w:t>31.2</w:t>
      </w:r>
      <w:r>
        <w:rPr>
          <w:rFonts w:hint="eastAsia" w:ascii="宋体" w:hAnsi="宋体" w:cs="宋体"/>
          <w:snapToGrid w:val="0"/>
          <w:color w:val="auto"/>
          <w:kern w:val="0"/>
          <w:szCs w:val="21"/>
        </w:rPr>
        <w:t>本项目的投标文件不予退回。</w:t>
      </w:r>
    </w:p>
    <w:p>
      <w:pPr>
        <w:numPr>
          <w:ilvl w:val="0"/>
          <w:numId w:val="2"/>
        </w:num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售后服务考核</w:t>
      </w:r>
    </w:p>
    <w:p>
      <w:pPr>
        <w:adjustRightInd w:val="0"/>
        <w:snapToGrid w:val="0"/>
        <w:spacing w:line="360" w:lineRule="auto"/>
        <w:ind w:firstLine="420" w:firstLineChars="200"/>
        <w:jc w:val="left"/>
        <w:rPr>
          <w:rFonts w:ascii="宋体" w:cs="宋体"/>
          <w:snapToGrid w:val="0"/>
          <w:color w:val="auto"/>
          <w:kern w:val="0"/>
          <w:szCs w:val="21"/>
        </w:rPr>
      </w:pPr>
      <w:r>
        <w:rPr>
          <w:rFonts w:hint="eastAsia" w:ascii="宋体" w:hAnsi="宋体" w:cs="宋体"/>
          <w:snapToGrid w:val="0"/>
          <w:color w:val="auto"/>
          <w:kern w:val="0"/>
          <w:szCs w:val="21"/>
        </w:rPr>
        <w:t>采购代理机构和采购人将按照《政府采购货物和服务招标投标管理办法》</w:t>
      </w:r>
      <w:r>
        <w:rPr>
          <w:rFonts w:ascii="宋体" w:hAnsi="宋体" w:cs="宋体"/>
          <w:snapToGrid w:val="0"/>
          <w:color w:val="auto"/>
          <w:kern w:val="0"/>
          <w:szCs w:val="21"/>
        </w:rPr>
        <w:t>(</w:t>
      </w:r>
      <w:r>
        <w:rPr>
          <w:rFonts w:hint="eastAsia" w:ascii="宋体" w:hAnsi="宋体" w:cs="宋体"/>
          <w:snapToGrid w:val="0"/>
          <w:color w:val="auto"/>
          <w:kern w:val="0"/>
          <w:szCs w:val="21"/>
        </w:rPr>
        <w:t>中华人民共和国财政部第</w:t>
      </w:r>
      <w:r>
        <w:rPr>
          <w:rFonts w:ascii="宋体" w:hAnsi="宋体" w:cs="宋体"/>
          <w:snapToGrid w:val="0"/>
          <w:color w:val="auto"/>
          <w:kern w:val="0"/>
          <w:szCs w:val="21"/>
        </w:rPr>
        <w:t>87号令)</w:t>
      </w:r>
      <w:r>
        <w:rPr>
          <w:rFonts w:hint="eastAsia" w:ascii="宋体" w:hAnsi="宋体" w:cs="宋体"/>
          <w:snapToGrid w:val="0"/>
          <w:color w:val="auto"/>
          <w:kern w:val="0"/>
          <w:szCs w:val="21"/>
        </w:rPr>
        <w:t>，对入围供应商进行考核，采购代理机构和采购人不定期对合同的履约情况进行检查，发现弄虚作假，达不到国家、行业有关标准和技术文件规定的，一经查实，采购代理机构和采购人将视情况提请罚没履约保证金，终止合同，并给予网上通报，禁止其在一至三年内参与本级政府采购活动，给采购人造成损失的，供应商须承担赔偿责任。</w:t>
      </w:r>
    </w:p>
    <w:bookmarkEnd w:id="47"/>
    <w:p>
      <w:pPr>
        <w:adjustRightInd w:val="0"/>
        <w:snapToGrid w:val="0"/>
        <w:spacing w:line="360" w:lineRule="auto"/>
        <w:ind w:firstLine="422" w:firstLineChars="200"/>
        <w:rPr>
          <w:rFonts w:ascii="宋体" w:cs="宋体"/>
          <w:b/>
          <w:color w:val="auto"/>
          <w:szCs w:val="21"/>
        </w:rPr>
      </w:pPr>
      <w:r>
        <w:rPr>
          <w:rFonts w:ascii="宋体" w:hAnsi="宋体" w:cs="宋体"/>
          <w:b/>
          <w:color w:val="auto"/>
          <w:szCs w:val="21"/>
        </w:rPr>
        <w:t>33.</w:t>
      </w:r>
      <w:r>
        <w:rPr>
          <w:rFonts w:hint="eastAsia" w:ascii="宋体" w:hAnsi="宋体" w:cs="宋体"/>
          <w:b/>
          <w:color w:val="auto"/>
          <w:szCs w:val="21"/>
        </w:rPr>
        <w:t>解释权</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凡涉及本次招标文件的解释权属于采购人与采购代理机构。</w:t>
      </w:r>
      <w:bookmarkStart w:id="48" w:name="_Toc393791422"/>
    </w:p>
    <w:p>
      <w:pPr>
        <w:adjustRightInd w:val="0"/>
        <w:snapToGrid w:val="0"/>
        <w:spacing w:line="360" w:lineRule="auto"/>
        <w:ind w:firstLine="420" w:firstLineChars="200"/>
        <w:rPr>
          <w:rFonts w:ascii="宋体" w:cs="宋体"/>
          <w:color w:val="auto"/>
        </w:rPr>
        <w:sectPr>
          <w:pgSz w:w="11906" w:h="16838"/>
          <w:pgMar w:top="1440" w:right="1486" w:bottom="1440" w:left="1800" w:header="851" w:footer="992" w:gutter="0"/>
          <w:cols w:space="720" w:num="1"/>
          <w:docGrid w:type="lines" w:linePitch="312" w:charSpace="0"/>
        </w:sectPr>
      </w:pPr>
    </w:p>
    <w:p>
      <w:pPr>
        <w:pStyle w:val="2"/>
        <w:rPr>
          <w:rFonts w:ascii="宋体" w:cs="宋体"/>
          <w:color w:val="auto"/>
        </w:rPr>
      </w:pPr>
      <w:bookmarkStart w:id="49" w:name="_Toc21257"/>
      <w:r>
        <w:rPr>
          <w:rFonts w:hint="eastAsia" w:ascii="宋体" w:hAnsi="宋体" w:cs="宋体"/>
          <w:color w:val="auto"/>
        </w:rPr>
        <w:t>第三部分 采购需求</w:t>
      </w:r>
      <w:bookmarkEnd w:id="48"/>
      <w:bookmarkEnd w:id="49"/>
    </w:p>
    <w:p>
      <w:pPr>
        <w:pStyle w:val="3"/>
        <w:jc w:val="left"/>
        <w:rPr>
          <w:rFonts w:ascii="宋体" w:cs="宋体"/>
          <w:color w:val="auto"/>
        </w:rPr>
      </w:pPr>
      <w:bookmarkStart w:id="50" w:name="_Toc19132"/>
      <w:r>
        <w:rPr>
          <w:rFonts w:hint="eastAsia" w:ascii="宋体" w:hAnsi="宋体" w:cs="宋体"/>
          <w:color w:val="auto"/>
        </w:rPr>
        <w:t>一、招标需求</w:t>
      </w:r>
      <w:bookmarkEnd w:id="50"/>
    </w:p>
    <w:p>
      <w:pPr>
        <w:numPr>
          <w:ilvl w:val="0"/>
          <w:numId w:val="3"/>
        </w:numPr>
        <w:adjustRightInd w:val="0"/>
        <w:snapToGrid w:val="0"/>
        <w:spacing w:line="360" w:lineRule="auto"/>
        <w:ind w:left="0" w:firstLine="422" w:firstLineChars="200"/>
        <w:rPr>
          <w:rFonts w:ascii="宋体" w:cs="宋体"/>
          <w:b/>
          <w:color w:val="auto"/>
          <w:szCs w:val="21"/>
        </w:rPr>
      </w:pPr>
      <w:r>
        <w:rPr>
          <w:rFonts w:hint="eastAsia" w:ascii="宋体" w:hAnsi="宋体" w:cs="宋体"/>
          <w:b/>
          <w:color w:val="auto"/>
          <w:szCs w:val="21"/>
        </w:rPr>
        <w:t>项目基本情况</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杭州市流通领域(网络)商品质量抽查检验工作，具体包括以下商品：</w:t>
      </w:r>
    </w:p>
    <w:tbl>
      <w:tblPr>
        <w:tblStyle w:val="27"/>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0"/>
        <w:gridCol w:w="7003"/>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blHeader/>
        </w:trPr>
        <w:tc>
          <w:tcPr>
            <w:tcW w:w="620" w:type="dxa"/>
            <w:vAlign w:val="center"/>
          </w:tcPr>
          <w:p>
            <w:pPr>
              <w:adjustRightInd w:val="0"/>
              <w:snapToGrid w:val="0"/>
              <w:jc w:val="center"/>
              <w:rPr>
                <w:rFonts w:asciiTheme="majorEastAsia" w:hAnsiTheme="majorEastAsia" w:eastAsiaTheme="majorEastAsia" w:cstheme="majorEastAsia"/>
                <w:b/>
                <w:color w:val="auto"/>
                <w:sz w:val="18"/>
                <w:szCs w:val="18"/>
              </w:rPr>
            </w:pPr>
            <w:r>
              <w:rPr>
                <w:rFonts w:hint="eastAsia" w:asciiTheme="majorEastAsia" w:hAnsiTheme="majorEastAsia" w:eastAsiaTheme="majorEastAsia" w:cstheme="majorEastAsia"/>
                <w:b/>
                <w:color w:val="auto"/>
                <w:sz w:val="18"/>
                <w:szCs w:val="18"/>
              </w:rPr>
              <w:t>标项</w:t>
            </w:r>
          </w:p>
        </w:tc>
        <w:tc>
          <w:tcPr>
            <w:tcW w:w="7003" w:type="dxa"/>
            <w:vAlign w:val="center"/>
          </w:tcPr>
          <w:p>
            <w:pPr>
              <w:widowControl/>
              <w:adjustRightInd w:val="0"/>
              <w:snapToGrid w:val="0"/>
              <w:jc w:val="center"/>
              <w:textAlignment w:val="center"/>
              <w:rPr>
                <w:rFonts w:asciiTheme="majorEastAsia" w:hAnsiTheme="majorEastAsia" w:eastAsiaTheme="majorEastAsia" w:cstheme="majorEastAsia"/>
                <w:b/>
                <w:color w:val="auto"/>
                <w:sz w:val="18"/>
                <w:szCs w:val="18"/>
              </w:rPr>
            </w:pPr>
            <w:r>
              <w:rPr>
                <w:rFonts w:hint="eastAsia" w:asciiTheme="majorEastAsia" w:hAnsiTheme="majorEastAsia" w:eastAsiaTheme="majorEastAsia" w:cstheme="majorEastAsia"/>
                <w:b/>
                <w:color w:val="auto"/>
                <w:kern w:val="0"/>
                <w:sz w:val="18"/>
                <w:szCs w:val="18"/>
              </w:rPr>
              <w:t>商品名称</w:t>
            </w:r>
          </w:p>
        </w:tc>
        <w:tc>
          <w:tcPr>
            <w:tcW w:w="1027" w:type="dxa"/>
            <w:vAlign w:val="center"/>
          </w:tcPr>
          <w:p>
            <w:pPr>
              <w:widowControl/>
              <w:adjustRightInd w:val="0"/>
              <w:snapToGrid w:val="0"/>
              <w:jc w:val="center"/>
              <w:textAlignment w:val="center"/>
              <w:rPr>
                <w:rFonts w:asciiTheme="majorEastAsia" w:hAnsiTheme="majorEastAsia" w:eastAsiaTheme="majorEastAsia" w:cstheme="majorEastAsia"/>
                <w:b/>
                <w:color w:val="auto"/>
                <w:kern w:val="0"/>
                <w:sz w:val="18"/>
                <w:szCs w:val="18"/>
                <w:highlight w:val="yellow"/>
              </w:rPr>
            </w:pPr>
            <w:r>
              <w:rPr>
                <w:rFonts w:hint="eastAsia" w:asciiTheme="majorEastAsia" w:hAnsiTheme="majorEastAsia" w:eastAsiaTheme="majorEastAsia" w:cstheme="majorEastAsia"/>
                <w:b/>
                <w:color w:val="auto"/>
                <w:kern w:val="0"/>
                <w:sz w:val="18"/>
                <w:szCs w:val="18"/>
              </w:rPr>
              <w:t>预算规模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blHeader/>
        </w:trPr>
        <w:tc>
          <w:tcPr>
            <w:tcW w:w="620" w:type="dxa"/>
            <w:vAlign w:val="center"/>
          </w:tcPr>
          <w:p>
            <w:pPr>
              <w:adjustRightInd w:val="0"/>
              <w:snapToGrid w:val="0"/>
              <w:jc w:val="center"/>
              <w:rPr>
                <w:rFonts w:asciiTheme="majorEastAsia" w:hAnsiTheme="majorEastAsia" w:eastAsiaTheme="majorEastAsia" w:cstheme="majorEastAsia"/>
                <w:b/>
                <w:color w:val="auto"/>
                <w:sz w:val="18"/>
                <w:szCs w:val="18"/>
              </w:rPr>
            </w:pPr>
            <w:r>
              <w:rPr>
                <w:rFonts w:hint="eastAsia" w:asciiTheme="majorEastAsia" w:hAnsiTheme="majorEastAsia" w:eastAsiaTheme="majorEastAsia" w:cstheme="majorEastAsia"/>
                <w:b/>
                <w:color w:val="auto"/>
                <w:sz w:val="18"/>
                <w:szCs w:val="18"/>
              </w:rPr>
              <w:t>1</w:t>
            </w:r>
          </w:p>
        </w:tc>
        <w:tc>
          <w:tcPr>
            <w:tcW w:w="7003" w:type="dxa"/>
            <w:vAlign w:val="center"/>
          </w:tcPr>
          <w:p>
            <w:pPr>
              <w:widowControl/>
              <w:adjustRightInd w:val="0"/>
              <w:snapToGrid w:val="0"/>
              <w:jc w:val="center"/>
              <w:textAlignment w:val="center"/>
              <w:rPr>
                <w:rFonts w:asciiTheme="majorEastAsia" w:hAnsiTheme="majorEastAsia" w:cstheme="majorEastAsia"/>
                <w:bCs/>
                <w:color w:val="auto"/>
                <w:kern w:val="0"/>
                <w:sz w:val="18"/>
                <w:szCs w:val="18"/>
              </w:rPr>
            </w:pPr>
            <w:r>
              <w:rPr>
                <w:rFonts w:hint="eastAsia"/>
                <w:color w:val="auto"/>
                <w:sz w:val="18"/>
                <w:szCs w:val="18"/>
              </w:rPr>
              <w:t>家用电器类（含小家电专项）</w:t>
            </w:r>
          </w:p>
        </w:tc>
        <w:tc>
          <w:tcPr>
            <w:tcW w:w="1027" w:type="dxa"/>
            <w:vAlign w:val="center"/>
          </w:tcPr>
          <w:p>
            <w:pPr>
              <w:widowControl/>
              <w:adjustRightInd w:val="0"/>
              <w:snapToGrid w:val="0"/>
              <w:jc w:val="center"/>
              <w:textAlignment w:val="center"/>
              <w:rPr>
                <w:rFonts w:asciiTheme="majorEastAsia" w:hAnsiTheme="majorEastAsia" w:cstheme="majorEastAsia"/>
                <w:bCs/>
                <w:color w:val="auto"/>
                <w:kern w:val="0"/>
                <w:sz w:val="18"/>
                <w:szCs w:val="18"/>
              </w:rPr>
            </w:pPr>
            <w:r>
              <w:rPr>
                <w:rFonts w:hint="eastAsia"/>
                <w:color w:val="auto"/>
                <w:sz w:val="18"/>
                <w:szCs w:val="18"/>
              </w:rPr>
              <w:t>230万元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blHeader/>
        </w:trPr>
        <w:tc>
          <w:tcPr>
            <w:tcW w:w="620" w:type="dxa"/>
            <w:vAlign w:val="center"/>
          </w:tcPr>
          <w:p>
            <w:pPr>
              <w:adjustRightInd w:val="0"/>
              <w:snapToGrid w:val="0"/>
              <w:jc w:val="center"/>
              <w:rPr>
                <w:rFonts w:asciiTheme="majorEastAsia" w:hAnsiTheme="majorEastAsia" w:eastAsiaTheme="majorEastAsia" w:cstheme="majorEastAsia"/>
                <w:b/>
                <w:color w:val="auto"/>
                <w:sz w:val="18"/>
                <w:szCs w:val="18"/>
              </w:rPr>
            </w:pPr>
            <w:r>
              <w:rPr>
                <w:rFonts w:hint="eastAsia" w:asciiTheme="majorEastAsia" w:hAnsiTheme="majorEastAsia" w:eastAsiaTheme="majorEastAsia" w:cstheme="majorEastAsia"/>
                <w:b/>
                <w:color w:val="auto"/>
                <w:sz w:val="18"/>
                <w:szCs w:val="18"/>
              </w:rPr>
              <w:t>2</w:t>
            </w:r>
          </w:p>
        </w:tc>
        <w:tc>
          <w:tcPr>
            <w:tcW w:w="7003" w:type="dxa"/>
            <w:vAlign w:val="center"/>
          </w:tcPr>
          <w:p>
            <w:pPr>
              <w:widowControl/>
              <w:adjustRightInd w:val="0"/>
              <w:snapToGrid w:val="0"/>
              <w:jc w:val="center"/>
              <w:textAlignment w:val="center"/>
              <w:rPr>
                <w:rFonts w:asciiTheme="majorEastAsia" w:hAnsiTheme="majorEastAsia" w:eastAsiaTheme="majorEastAsia" w:cstheme="majorEastAsia"/>
                <w:bCs/>
                <w:color w:val="auto"/>
                <w:kern w:val="0"/>
                <w:sz w:val="18"/>
                <w:szCs w:val="18"/>
              </w:rPr>
            </w:pPr>
            <w:r>
              <w:rPr>
                <w:rFonts w:hint="eastAsia"/>
                <w:color w:val="auto"/>
                <w:sz w:val="18"/>
                <w:szCs w:val="18"/>
              </w:rPr>
              <w:t>电子及智能新产品</w:t>
            </w:r>
          </w:p>
        </w:tc>
        <w:tc>
          <w:tcPr>
            <w:tcW w:w="1027" w:type="dxa"/>
            <w:vAlign w:val="center"/>
          </w:tcPr>
          <w:p>
            <w:pPr>
              <w:widowControl/>
              <w:adjustRightInd w:val="0"/>
              <w:snapToGrid w:val="0"/>
              <w:jc w:val="center"/>
              <w:textAlignment w:val="center"/>
              <w:rPr>
                <w:rFonts w:asciiTheme="majorEastAsia" w:hAnsiTheme="majorEastAsia" w:eastAsiaTheme="majorEastAsia" w:cstheme="majorEastAsia"/>
                <w:bCs/>
                <w:color w:val="auto"/>
                <w:kern w:val="0"/>
                <w:sz w:val="18"/>
                <w:szCs w:val="18"/>
              </w:rPr>
            </w:pPr>
            <w:r>
              <w:rPr>
                <w:rFonts w:hint="eastAsia"/>
                <w:color w:val="auto"/>
                <w:sz w:val="18"/>
                <w:szCs w:val="18"/>
              </w:rPr>
              <w:t>100万元</w:t>
            </w:r>
          </w:p>
        </w:tc>
      </w:tr>
    </w:tbl>
    <w:p>
      <w:pPr>
        <w:adjustRightInd w:val="0"/>
        <w:snapToGrid w:val="0"/>
        <w:spacing w:line="360" w:lineRule="auto"/>
        <w:ind w:firstLine="420" w:firstLineChars="200"/>
        <w:rPr>
          <w:rFonts w:ascii="宋体" w:cs="宋体"/>
          <w:color w:val="auto"/>
          <w:szCs w:val="21"/>
        </w:rPr>
      </w:pPr>
    </w:p>
    <w:p>
      <w:pPr>
        <w:adjustRightInd w:val="0"/>
        <w:snapToGrid w:val="0"/>
        <w:spacing w:line="360" w:lineRule="auto"/>
        <w:ind w:firstLine="420" w:firstLineChars="200"/>
        <w:rPr>
          <w:rFonts w:ascii="宋体" w:cs="宋体"/>
          <w:color w:val="auto"/>
          <w:szCs w:val="21"/>
        </w:rPr>
      </w:pPr>
    </w:p>
    <w:p>
      <w:pPr>
        <w:adjustRightInd w:val="0"/>
        <w:snapToGrid w:val="0"/>
        <w:spacing w:line="360" w:lineRule="auto"/>
        <w:ind w:firstLine="420" w:firstLineChars="200"/>
        <w:rPr>
          <w:rFonts w:ascii="宋体" w:cs="宋体"/>
          <w:color w:val="auto"/>
          <w:szCs w:val="21"/>
        </w:rPr>
        <w:sectPr>
          <w:pgSz w:w="11906" w:h="16838"/>
          <w:pgMar w:top="1440" w:right="1486" w:bottom="1440" w:left="1800" w:header="851" w:footer="992" w:gutter="0"/>
          <w:cols w:space="720" w:num="1"/>
          <w:docGrid w:type="lines" w:linePitch="312" w:charSpace="0"/>
        </w:sectPr>
      </w:pPr>
    </w:p>
    <w:p>
      <w:pPr>
        <w:adjustRightInd w:val="0"/>
        <w:snapToGrid w:val="0"/>
        <w:spacing w:line="360" w:lineRule="auto"/>
        <w:ind w:firstLine="420" w:firstLineChars="200"/>
        <w:rPr>
          <w:rFonts w:ascii="宋体" w:cs="宋体"/>
          <w:color w:val="auto"/>
          <w:szCs w:val="21"/>
        </w:rPr>
      </w:pPr>
    </w:p>
    <w:p>
      <w:pPr>
        <w:numPr>
          <w:ilvl w:val="0"/>
          <w:numId w:val="3"/>
        </w:numPr>
        <w:adjustRightInd w:val="0"/>
        <w:snapToGrid w:val="0"/>
        <w:spacing w:line="360" w:lineRule="auto"/>
        <w:ind w:left="0" w:firstLine="422" w:firstLineChars="200"/>
        <w:rPr>
          <w:rFonts w:ascii="宋体" w:cs="宋体"/>
          <w:b/>
          <w:color w:val="auto"/>
          <w:szCs w:val="21"/>
        </w:rPr>
      </w:pPr>
      <w:r>
        <w:rPr>
          <w:rFonts w:hint="eastAsia" w:ascii="宋体" w:hAnsi="宋体" w:cs="宋体"/>
          <w:b/>
          <w:color w:val="auto"/>
          <w:szCs w:val="21"/>
        </w:rPr>
        <w:t>★检测工作的具体内容及要求（本条款所有内容为实质性需求）</w:t>
      </w:r>
    </w:p>
    <w:p>
      <w:pPr>
        <w:snapToGrid w:val="0"/>
        <w:spacing w:line="360" w:lineRule="auto"/>
        <w:ind w:firstLine="422" w:firstLineChars="200"/>
        <w:rPr>
          <w:b/>
          <w:color w:val="auto"/>
          <w:szCs w:val="21"/>
        </w:rPr>
      </w:pPr>
      <w:r>
        <w:rPr>
          <w:rFonts w:hint="eastAsia"/>
          <w:b/>
          <w:color w:val="auto"/>
          <w:szCs w:val="21"/>
        </w:rPr>
        <w:t>一、项目名称</w:t>
      </w:r>
    </w:p>
    <w:p>
      <w:pPr>
        <w:snapToGrid w:val="0"/>
        <w:spacing w:line="360" w:lineRule="auto"/>
        <w:ind w:firstLine="422" w:firstLineChars="200"/>
        <w:rPr>
          <w:b/>
          <w:color w:val="auto"/>
          <w:szCs w:val="21"/>
        </w:rPr>
      </w:pPr>
      <w:r>
        <w:rPr>
          <w:rFonts w:hint="eastAsia"/>
          <w:b/>
          <w:color w:val="auto"/>
          <w:szCs w:val="21"/>
        </w:rPr>
        <w:t>杭州市流通领域(网络)商品抽查检验机构备选库入围项目（一）</w:t>
      </w:r>
    </w:p>
    <w:p>
      <w:pPr>
        <w:snapToGrid w:val="0"/>
        <w:spacing w:line="360" w:lineRule="auto"/>
        <w:ind w:firstLine="422" w:firstLineChars="200"/>
        <w:rPr>
          <w:b/>
          <w:color w:val="auto"/>
          <w:szCs w:val="21"/>
        </w:rPr>
      </w:pPr>
      <w:r>
        <w:rPr>
          <w:rFonts w:hint="eastAsia"/>
          <w:b/>
          <w:color w:val="auto"/>
          <w:szCs w:val="21"/>
        </w:rPr>
        <w:t>二、项目背景</w:t>
      </w:r>
    </w:p>
    <w:p>
      <w:pPr>
        <w:snapToGrid w:val="0"/>
        <w:spacing w:line="360" w:lineRule="auto"/>
        <w:ind w:firstLine="420" w:firstLineChars="200"/>
        <w:rPr>
          <w:b/>
          <w:color w:val="auto"/>
          <w:szCs w:val="21"/>
        </w:rPr>
      </w:pPr>
      <w:r>
        <w:rPr>
          <w:rFonts w:hint="eastAsia"/>
          <w:color w:val="auto"/>
          <w:szCs w:val="21"/>
        </w:rPr>
        <w:t>为有效履行国家总局杭州“两中心”职能，发挥网络商品质量监测（杭州）中心作用，加强对各网络平台交易商品质量监督管理，促进杭州电子商务健康发展，杭州市市场监督管理局局消保分局根据消费者举报投诉、总局年度商品质量监管工作要求，社会组织、舆情关注反映以及行政执法中发现有问题的商品，以涉及人身健康、财产安全和影响国计民生、妇女儿童相关商品为重点，拟开展2019网络商品质量抽查检验工作。</w:t>
      </w:r>
    </w:p>
    <w:p>
      <w:pPr>
        <w:snapToGrid w:val="0"/>
        <w:spacing w:line="360" w:lineRule="auto"/>
        <w:ind w:firstLine="420" w:firstLineChars="200"/>
        <w:rPr>
          <w:color w:val="auto"/>
          <w:szCs w:val="21"/>
        </w:rPr>
      </w:pPr>
      <w:r>
        <w:rPr>
          <w:rFonts w:hint="eastAsia"/>
          <w:color w:val="auto"/>
          <w:szCs w:val="21"/>
        </w:rPr>
        <w:t>加强网络商品质量的监督抽检和风险监测，一方面，及时发现并处置网络商品质量问题，较为全面地掌握网络商品质量状况；另一方面，有力查处网络消费侵权行为，精准打击网上制假售假等违法行为，推动大型电商平台自觉履行企业主体责任，在消费者权益保护和维护网络市场秩序中更好地发挥示范引领作用，按照“依法监管，逐步规范；问题导向，重点抽检；随机抽查，互动结合；源头追溯，社会共治”的总体原则，根据《消费者权益保护法》、《产品质量法》、《流通领域商品质量抽查检验办法》及原国家工商总局《关于加强和规范网络交易商品质量抽查检验的意见》等相关法律法规和规范性文件的要求，对2019年杭州市网络商品质量抽查检验工作进行公开招标。</w:t>
      </w:r>
    </w:p>
    <w:p>
      <w:pPr>
        <w:snapToGrid w:val="0"/>
        <w:spacing w:line="360" w:lineRule="auto"/>
        <w:ind w:firstLine="422" w:firstLineChars="200"/>
        <w:rPr>
          <w:b/>
          <w:color w:val="auto"/>
          <w:szCs w:val="21"/>
        </w:rPr>
      </w:pPr>
      <w:r>
        <w:rPr>
          <w:rFonts w:hint="eastAsia"/>
          <w:b/>
          <w:color w:val="auto"/>
          <w:szCs w:val="21"/>
        </w:rPr>
        <w:t>三、抽检范围</w:t>
      </w:r>
    </w:p>
    <w:p>
      <w:pPr>
        <w:snapToGrid w:val="0"/>
        <w:spacing w:line="360" w:lineRule="auto"/>
        <w:ind w:firstLine="420" w:firstLineChars="200"/>
        <w:rPr>
          <w:color w:val="auto"/>
          <w:szCs w:val="21"/>
        </w:rPr>
      </w:pPr>
      <w:r>
        <w:rPr>
          <w:rFonts w:hint="eastAsia"/>
          <w:color w:val="auto"/>
          <w:szCs w:val="21"/>
        </w:rPr>
        <w:t>本项目招标范围具体见附表</w:t>
      </w:r>
      <w:r>
        <w:rPr>
          <w:color w:val="auto"/>
          <w:szCs w:val="21"/>
        </w:rPr>
        <w:t>1</w:t>
      </w:r>
    </w:p>
    <w:p>
      <w:pPr>
        <w:snapToGrid w:val="0"/>
        <w:spacing w:line="360" w:lineRule="auto"/>
        <w:ind w:firstLine="422" w:firstLineChars="200"/>
        <w:rPr>
          <w:b/>
          <w:color w:val="auto"/>
          <w:szCs w:val="21"/>
        </w:rPr>
      </w:pPr>
      <w:r>
        <w:rPr>
          <w:rFonts w:hint="eastAsia"/>
          <w:b/>
          <w:color w:val="auto"/>
          <w:szCs w:val="21"/>
        </w:rPr>
        <w:t>四、服务要求</w:t>
      </w:r>
    </w:p>
    <w:p>
      <w:pPr>
        <w:snapToGrid w:val="0"/>
        <w:spacing w:line="360" w:lineRule="auto"/>
        <w:ind w:firstLine="420" w:firstLineChars="200"/>
        <w:rPr>
          <w:color w:val="auto"/>
          <w:szCs w:val="21"/>
        </w:rPr>
      </w:pPr>
      <w:r>
        <w:rPr>
          <w:color w:val="auto"/>
          <w:szCs w:val="21"/>
        </w:rPr>
        <w:t>1</w:t>
      </w:r>
      <w:r>
        <w:rPr>
          <w:rFonts w:hint="eastAsia"/>
          <w:color w:val="auto"/>
          <w:szCs w:val="21"/>
        </w:rPr>
        <w:t>、制定实施方案：承检机构须根据采购人要求签订《单次委托检验合同》，并提交抽检实施方案。抽检实施方案应当包括抽检的商品品种、抽样平台、样品数量、抽样程序、检验标准、检验项目、判定原则、检验结果通知、复检安排、费用预算等项目，保证项目的完整性和真实性。</w:t>
      </w:r>
    </w:p>
    <w:p>
      <w:pPr>
        <w:snapToGrid w:val="0"/>
        <w:spacing w:line="360" w:lineRule="auto"/>
        <w:ind w:firstLine="420" w:firstLineChars="200"/>
        <w:rPr>
          <w:color w:val="auto"/>
          <w:szCs w:val="21"/>
        </w:rPr>
      </w:pPr>
      <w:r>
        <w:rPr>
          <w:color w:val="auto"/>
          <w:szCs w:val="21"/>
        </w:rPr>
        <w:t>2</w:t>
      </w:r>
      <w:r>
        <w:rPr>
          <w:rFonts w:hint="eastAsia"/>
          <w:color w:val="auto"/>
          <w:szCs w:val="21"/>
        </w:rPr>
        <w:t>、接收抽样委托：实施方案确定后，由委托人和承检机构协商确定抽样时间。承检机构在接到网络商品质量抽查检验委托书后，组织安排好抽样相关人员及车辆，做好抽样工作。</w:t>
      </w:r>
    </w:p>
    <w:p>
      <w:pPr>
        <w:snapToGrid w:val="0"/>
        <w:spacing w:line="360" w:lineRule="auto"/>
        <w:ind w:firstLine="420" w:firstLineChars="200"/>
        <w:rPr>
          <w:color w:val="auto"/>
          <w:szCs w:val="21"/>
        </w:rPr>
      </w:pPr>
      <w:r>
        <w:rPr>
          <w:color w:val="auto"/>
          <w:szCs w:val="21"/>
        </w:rPr>
        <w:t>3</w:t>
      </w:r>
      <w:r>
        <w:rPr>
          <w:rFonts w:hint="eastAsia"/>
          <w:color w:val="auto"/>
          <w:szCs w:val="21"/>
        </w:rPr>
        <w:t>、实施采样：抽样工作要严格按照《流通领域商品质量抽查检验办法》及原国家工商总局《关于加强和规范网络交易商品质量抽查检验的意见》等相关规定执行。样品采样要严格按照网络商品质量监督抽检工作程序，履行法定手续。</w:t>
      </w:r>
    </w:p>
    <w:p>
      <w:pPr>
        <w:snapToGrid w:val="0"/>
        <w:spacing w:line="360" w:lineRule="auto"/>
        <w:ind w:firstLine="420" w:firstLineChars="200"/>
        <w:rPr>
          <w:color w:val="auto"/>
          <w:szCs w:val="21"/>
        </w:rPr>
      </w:pPr>
      <w:r>
        <w:rPr>
          <w:color w:val="auto"/>
          <w:szCs w:val="21"/>
        </w:rPr>
        <w:t>4</w:t>
      </w:r>
      <w:r>
        <w:rPr>
          <w:rFonts w:hint="eastAsia"/>
          <w:color w:val="auto"/>
          <w:szCs w:val="21"/>
        </w:rPr>
        <w:t>、收样、拆样、封样：由承检机构负责样品的收样，并根据委托方的要求统一拆样、封样、制定相应的汇总。</w:t>
      </w:r>
      <w:r>
        <w:rPr>
          <w:rFonts w:hint="eastAsia"/>
          <w:b/>
          <w:color w:val="auto"/>
          <w:szCs w:val="21"/>
        </w:rPr>
        <w:t>拆样地点：杭州市市场监督管理局拆样大厅，特殊情况下于采购人指定地点拆样。</w:t>
      </w:r>
    </w:p>
    <w:p>
      <w:pPr>
        <w:snapToGrid w:val="0"/>
        <w:spacing w:line="360" w:lineRule="auto"/>
        <w:ind w:firstLine="420" w:firstLineChars="200"/>
        <w:rPr>
          <w:color w:val="auto"/>
          <w:szCs w:val="21"/>
        </w:rPr>
      </w:pPr>
      <w:r>
        <w:rPr>
          <w:color w:val="auto"/>
          <w:szCs w:val="21"/>
        </w:rPr>
        <w:t>5</w:t>
      </w:r>
      <w:r>
        <w:rPr>
          <w:rFonts w:hint="eastAsia"/>
          <w:color w:val="auto"/>
          <w:szCs w:val="21"/>
        </w:rPr>
        <w:t>、检测要求：由承检机构根据抽检实施方案要求对样品进行检验，承检机构未经委托方同意将检验任务转包、分包给其它检验机构，或修改检测项目，一经发现取消检验资格。</w:t>
      </w:r>
    </w:p>
    <w:p>
      <w:pPr>
        <w:snapToGrid w:val="0"/>
        <w:spacing w:line="360" w:lineRule="auto"/>
        <w:ind w:firstLine="420" w:firstLineChars="200"/>
        <w:rPr>
          <w:color w:val="auto"/>
          <w:szCs w:val="21"/>
        </w:rPr>
      </w:pPr>
      <w:r>
        <w:rPr>
          <w:rFonts w:hint="eastAsia"/>
          <w:color w:val="auto"/>
          <w:szCs w:val="21"/>
        </w:rPr>
        <w:t>（1）投标人应具有满足检测工作需要的、独立的、固定的实验场地；</w:t>
      </w:r>
    </w:p>
    <w:p>
      <w:pPr>
        <w:snapToGrid w:val="0"/>
        <w:spacing w:line="360" w:lineRule="auto"/>
        <w:ind w:firstLine="420" w:firstLineChars="200"/>
        <w:rPr>
          <w:color w:val="auto"/>
          <w:szCs w:val="21"/>
        </w:rPr>
      </w:pPr>
      <w:r>
        <w:rPr>
          <w:rFonts w:hint="eastAsia"/>
          <w:color w:val="auto"/>
          <w:szCs w:val="21"/>
        </w:rPr>
        <w:t>（2）投标人应具有符合检测要求的仪器设备，实验室检测仪器设备充足、能满足大批量样品的检测周期需要；</w:t>
      </w:r>
    </w:p>
    <w:p>
      <w:pPr>
        <w:snapToGrid w:val="0"/>
        <w:spacing w:line="360" w:lineRule="auto"/>
        <w:ind w:firstLine="420" w:firstLineChars="200"/>
        <w:rPr>
          <w:color w:val="auto"/>
          <w:szCs w:val="21"/>
        </w:rPr>
      </w:pPr>
      <w:r>
        <w:rPr>
          <w:rFonts w:hint="eastAsia"/>
          <w:color w:val="auto"/>
          <w:szCs w:val="21"/>
        </w:rPr>
        <w:t>（3）投标人应能够运用计算机与信息技术或自动设备对检测数据、信息资料进行采集、处理、分析、记录、报告或存贮，且能提供具有检验检测公章的电子版报告；</w:t>
      </w:r>
    </w:p>
    <w:p>
      <w:pPr>
        <w:snapToGrid w:val="0"/>
        <w:spacing w:line="360" w:lineRule="auto"/>
        <w:ind w:firstLine="420" w:firstLineChars="200"/>
        <w:rPr>
          <w:color w:val="auto"/>
          <w:szCs w:val="21"/>
        </w:rPr>
      </w:pPr>
      <w:r>
        <w:rPr>
          <w:rFonts w:hint="eastAsia"/>
          <w:color w:val="auto"/>
          <w:szCs w:val="21"/>
        </w:rPr>
        <w:t>（4）投标人应具有满足检测工作需要的、独立的、固定的仓储条件的场地。</w:t>
      </w:r>
    </w:p>
    <w:p>
      <w:pPr>
        <w:snapToGrid w:val="0"/>
        <w:spacing w:line="360" w:lineRule="auto"/>
        <w:ind w:firstLine="420" w:firstLineChars="200"/>
        <w:rPr>
          <w:color w:val="auto"/>
          <w:szCs w:val="21"/>
        </w:rPr>
      </w:pPr>
      <w:r>
        <w:rPr>
          <w:color w:val="auto"/>
          <w:szCs w:val="21"/>
        </w:rPr>
        <w:t>6</w:t>
      </w:r>
      <w:r>
        <w:rPr>
          <w:rFonts w:hint="eastAsia"/>
          <w:color w:val="auto"/>
          <w:szCs w:val="21"/>
        </w:rPr>
        <w:t>、质量管理要求：承检机构要严格按照原国家工商总局《关于加强和规范网络交易商品质量抽查检验的意见》等相关规定，加强对样品采集实验室检测数据报送等关键环节的质量控制，确保检测结果准确可靠，委托方将通过随机抽查等形式开展对承检机构的工作考核，并及时将有关问题向检验机构资质管理部门通报。</w:t>
      </w:r>
    </w:p>
    <w:p>
      <w:pPr>
        <w:snapToGrid w:val="0"/>
        <w:spacing w:line="360" w:lineRule="auto"/>
        <w:ind w:firstLine="420" w:firstLineChars="200"/>
        <w:rPr>
          <w:color w:val="auto"/>
          <w:szCs w:val="21"/>
        </w:rPr>
      </w:pPr>
      <w:r>
        <w:rPr>
          <w:color w:val="auto"/>
          <w:szCs w:val="21"/>
        </w:rPr>
        <w:t>7</w:t>
      </w:r>
      <w:r>
        <w:rPr>
          <w:rFonts w:hint="eastAsia"/>
          <w:color w:val="auto"/>
          <w:szCs w:val="21"/>
        </w:rPr>
        <w:t>、样品处置：检验结果复检结束后</w:t>
      </w:r>
      <w:r>
        <w:rPr>
          <w:color w:val="auto"/>
          <w:szCs w:val="21"/>
        </w:rPr>
        <w:t>30</w:t>
      </w:r>
      <w:r>
        <w:rPr>
          <w:rFonts w:hint="eastAsia"/>
          <w:color w:val="auto"/>
          <w:szCs w:val="21"/>
        </w:rPr>
        <w:t>日内承检机构负责对样品进行拆解、销毁、环保处理</w:t>
      </w:r>
      <w:r>
        <w:rPr>
          <w:color w:val="auto"/>
          <w:szCs w:val="21"/>
        </w:rPr>
        <w:t>(</w:t>
      </w:r>
      <w:r>
        <w:rPr>
          <w:rFonts w:hint="eastAsia"/>
          <w:color w:val="auto"/>
          <w:szCs w:val="21"/>
        </w:rPr>
        <w:t>除委托方提出需要留样的外</w:t>
      </w:r>
      <w:r>
        <w:rPr>
          <w:color w:val="auto"/>
          <w:szCs w:val="21"/>
        </w:rPr>
        <w:t>)</w:t>
      </w:r>
      <w:r>
        <w:rPr>
          <w:rFonts w:hint="eastAsia"/>
          <w:color w:val="auto"/>
          <w:szCs w:val="21"/>
        </w:rPr>
        <w:t>，相关费用由承检机构负责，承检机构填写《样品处理记录》（一式两份）由双方盖章签字后，各执一份留存；同时承检机构应出具样品处置说明及样品处置相关照片。样品处置方式根据《杭州市市场监督管理局流通领域普通商品质量抽检样品处置管理办法（试行）》由采购人在销毁、拍卖、捐赠中确定，由承检机构在采购人的监督下实施。采用拍卖方式的，承检机构应按采购人要求及时、足额上缴拍卖收入。</w:t>
      </w:r>
    </w:p>
    <w:p>
      <w:pPr>
        <w:snapToGrid w:val="0"/>
        <w:spacing w:line="360" w:lineRule="auto"/>
        <w:ind w:firstLine="422" w:firstLineChars="200"/>
        <w:rPr>
          <w:b/>
          <w:color w:val="auto"/>
          <w:szCs w:val="21"/>
        </w:rPr>
      </w:pPr>
      <w:r>
        <w:rPr>
          <w:rFonts w:hint="eastAsia"/>
          <w:b/>
          <w:color w:val="auto"/>
          <w:szCs w:val="21"/>
        </w:rPr>
        <w:t>五、检测期限</w:t>
      </w:r>
    </w:p>
    <w:p>
      <w:pPr>
        <w:adjustRightInd w:val="0"/>
        <w:snapToGrid w:val="0"/>
        <w:spacing w:line="360" w:lineRule="auto"/>
        <w:ind w:firstLine="420" w:firstLineChars="200"/>
        <w:rPr>
          <w:color w:val="auto"/>
          <w:szCs w:val="21"/>
        </w:rPr>
      </w:pPr>
      <w:r>
        <w:rPr>
          <w:rFonts w:hint="eastAsia"/>
          <w:color w:val="auto"/>
          <w:szCs w:val="21"/>
        </w:rPr>
        <w:t>承检机构应在收检后</w:t>
      </w:r>
      <w:r>
        <w:rPr>
          <w:color w:val="auto"/>
          <w:szCs w:val="21"/>
        </w:rPr>
        <w:t>15</w:t>
      </w:r>
      <w:r>
        <w:rPr>
          <w:rFonts w:hint="eastAsia"/>
          <w:color w:val="auto"/>
          <w:szCs w:val="21"/>
        </w:rPr>
        <w:t>日内完成检验工作，并出具明示“合格”或“不合格”结论的检测报告和汇总表。</w:t>
      </w:r>
    </w:p>
    <w:p>
      <w:pPr>
        <w:adjustRightInd w:val="0"/>
        <w:snapToGrid w:val="0"/>
        <w:spacing w:line="360" w:lineRule="auto"/>
        <w:ind w:firstLine="422" w:firstLineChars="200"/>
        <w:rPr>
          <w:b/>
          <w:color w:val="auto"/>
          <w:szCs w:val="21"/>
        </w:rPr>
      </w:pPr>
      <w:r>
        <w:rPr>
          <w:rFonts w:hint="eastAsia"/>
          <w:b/>
          <w:color w:val="auto"/>
          <w:szCs w:val="21"/>
        </w:rPr>
        <w:t>六、数据报送</w:t>
      </w:r>
    </w:p>
    <w:p>
      <w:pPr>
        <w:adjustRightInd w:val="0"/>
        <w:snapToGrid w:val="0"/>
        <w:spacing w:line="360" w:lineRule="auto"/>
        <w:ind w:firstLine="420" w:firstLineChars="200"/>
        <w:rPr>
          <w:color w:val="auto"/>
          <w:szCs w:val="21"/>
        </w:rPr>
      </w:pPr>
      <w:r>
        <w:rPr>
          <w:rFonts w:hint="eastAsia"/>
          <w:color w:val="auto"/>
          <w:szCs w:val="21"/>
        </w:rPr>
        <w:t>承检机构应在完成检验工作后</w:t>
      </w:r>
      <w:r>
        <w:rPr>
          <w:color w:val="auto"/>
          <w:szCs w:val="21"/>
        </w:rPr>
        <w:t>5</w:t>
      </w:r>
      <w:r>
        <w:rPr>
          <w:rFonts w:hint="eastAsia"/>
          <w:color w:val="auto"/>
          <w:szCs w:val="21"/>
        </w:rPr>
        <w:t>日内向委托方提供检测报告电子版、质量分析报告、报盘，并按委托方要求及时将抽样检验相关数据录入委托方指定的信息管理系统。</w:t>
      </w:r>
    </w:p>
    <w:p>
      <w:pPr>
        <w:adjustRightInd w:val="0"/>
        <w:snapToGrid w:val="0"/>
        <w:spacing w:line="360" w:lineRule="auto"/>
        <w:ind w:firstLine="422" w:firstLineChars="200"/>
        <w:rPr>
          <w:b/>
          <w:color w:val="auto"/>
          <w:szCs w:val="21"/>
        </w:rPr>
      </w:pPr>
      <w:r>
        <w:rPr>
          <w:rFonts w:hint="eastAsia"/>
          <w:b/>
          <w:color w:val="auto"/>
          <w:szCs w:val="21"/>
        </w:rPr>
        <w:t>七、应急要求</w:t>
      </w:r>
    </w:p>
    <w:p>
      <w:pPr>
        <w:adjustRightInd w:val="0"/>
        <w:snapToGrid w:val="0"/>
        <w:spacing w:line="360" w:lineRule="auto"/>
        <w:ind w:firstLine="420" w:firstLineChars="200"/>
        <w:rPr>
          <w:rFonts w:ascii="宋体" w:cs="宋体"/>
          <w:b/>
          <w:color w:val="auto"/>
          <w:szCs w:val="21"/>
        </w:rPr>
      </w:pPr>
      <w:r>
        <w:rPr>
          <w:rFonts w:hint="eastAsia"/>
          <w:color w:val="auto"/>
          <w:szCs w:val="21"/>
        </w:rPr>
        <w:t>承检机构应当有专门针对突发事件且符合采购方需求的应急预案，有能应对突发事件的专业人员及专业设备。</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八、商务需求</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服务时间及地点</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）本次招标为招入围承检机构，</w:t>
      </w:r>
      <w:r>
        <w:rPr>
          <w:rFonts w:hint="eastAsia" w:ascii="宋体" w:hAnsi="宋体" w:cs="宋体"/>
          <w:bCs/>
          <w:color w:val="auto"/>
          <w:szCs w:val="21"/>
        </w:rPr>
        <w:t>本次招标入围资格自合同签定之日起至2019年</w:t>
      </w:r>
      <w:r>
        <w:rPr>
          <w:rFonts w:ascii="宋体" w:hAnsi="宋体" w:cs="宋体"/>
          <w:bCs/>
          <w:color w:val="auto"/>
          <w:szCs w:val="21"/>
        </w:rPr>
        <w:t>12</w:t>
      </w:r>
      <w:r>
        <w:rPr>
          <w:rFonts w:hint="eastAsia" w:ascii="宋体" w:hAnsi="宋体" w:cs="宋体"/>
          <w:bCs/>
          <w:color w:val="auto"/>
          <w:szCs w:val="21"/>
        </w:rPr>
        <w:t>月</w:t>
      </w:r>
      <w:r>
        <w:rPr>
          <w:rFonts w:ascii="宋体" w:hAnsi="宋体" w:cs="宋体"/>
          <w:bCs/>
          <w:color w:val="auto"/>
          <w:szCs w:val="21"/>
        </w:rPr>
        <w:t>31</w:t>
      </w:r>
      <w:r>
        <w:rPr>
          <w:rFonts w:hint="eastAsia" w:ascii="宋体" w:hAnsi="宋体" w:cs="宋体"/>
          <w:bCs/>
          <w:color w:val="auto"/>
          <w:szCs w:val="21"/>
        </w:rPr>
        <w:t>日有效，合同期满，经采购人考核验收，绩效评价好、满意度高的，在年度预算能够保障的前提下，采购人报政府采购监管部门同意后，可续签服务合同，续签合同次数不超过一次。</w:t>
      </w:r>
      <w:r>
        <w:rPr>
          <w:rFonts w:hint="eastAsia" w:ascii="宋体" w:hAnsi="宋体" w:cs="宋体"/>
          <w:b/>
          <w:color w:val="auto"/>
          <w:szCs w:val="21"/>
        </w:rPr>
        <w:t>自发出入围通知书之日起，入围供应商入选杭州市流通领域</w:t>
      </w:r>
      <w:r>
        <w:rPr>
          <w:rFonts w:ascii="宋体" w:hAnsi="宋体" w:cs="宋体"/>
          <w:b/>
          <w:color w:val="auto"/>
          <w:szCs w:val="21"/>
        </w:rPr>
        <w:t>(</w:t>
      </w:r>
      <w:r>
        <w:rPr>
          <w:rFonts w:hint="eastAsia" w:ascii="宋体" w:hAnsi="宋体" w:cs="宋体"/>
          <w:b/>
          <w:color w:val="auto"/>
          <w:szCs w:val="21"/>
        </w:rPr>
        <w:t>网络</w:t>
      </w:r>
      <w:r>
        <w:rPr>
          <w:rFonts w:ascii="宋体" w:hAnsi="宋体" w:cs="宋体"/>
          <w:b/>
          <w:color w:val="auto"/>
          <w:szCs w:val="21"/>
        </w:rPr>
        <w:t>)</w:t>
      </w:r>
      <w:r>
        <w:rPr>
          <w:rFonts w:hint="eastAsia" w:ascii="宋体" w:hAnsi="宋体" w:cs="宋体"/>
          <w:b/>
          <w:color w:val="auto"/>
          <w:szCs w:val="21"/>
        </w:rPr>
        <w:t>商品质量抽检承检机构备选库入围政府采购项目，具有承担杭州市市场监督管理局2019年流通领域</w:t>
      </w:r>
      <w:r>
        <w:rPr>
          <w:rFonts w:ascii="宋体" w:hAnsi="宋体" w:cs="宋体"/>
          <w:b/>
          <w:color w:val="auto"/>
          <w:szCs w:val="21"/>
        </w:rPr>
        <w:t>(</w:t>
      </w:r>
      <w:r>
        <w:rPr>
          <w:rFonts w:hint="eastAsia" w:ascii="宋体" w:hAnsi="宋体" w:cs="宋体"/>
          <w:b/>
          <w:color w:val="auto"/>
          <w:szCs w:val="21"/>
        </w:rPr>
        <w:t>网络</w:t>
      </w:r>
      <w:r>
        <w:rPr>
          <w:rFonts w:ascii="宋体" w:hAnsi="宋体" w:cs="宋体"/>
          <w:b/>
          <w:color w:val="auto"/>
          <w:szCs w:val="21"/>
        </w:rPr>
        <w:t>)</w:t>
      </w:r>
      <w:r>
        <w:rPr>
          <w:rFonts w:hint="eastAsia" w:ascii="宋体" w:hAnsi="宋体" w:cs="宋体"/>
          <w:b/>
          <w:color w:val="auto"/>
          <w:szCs w:val="21"/>
        </w:rPr>
        <w:t>商品质量抽检承检项目工作的资格。</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如入围供应商在服务期内违反合同约定，经考核不合格，采购单位有权提前终止合同，并给予网上通报，禁止其在一至三年内参与浙江省内政府采购活动，给采购人造成损失的，入围供应商须承担赔偿责任，同时根据相关国家规定及约定承担其他民事责任。</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十、付款方式</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按实际发生的检验批次和协议价格进行核算、支付。入围供应商在完成单次委托检验合同承检内容并出具合格的检测报告后，开具全额发票给采购人，采购人在入围协议中明确的支付时间节点一次性全额支付。</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十一、保障合同履行的措施及其他需要说明的事项</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签订入围协议后</w:t>
      </w:r>
      <w:r>
        <w:rPr>
          <w:rFonts w:ascii="宋体" w:hAnsi="宋体" w:cs="宋体"/>
          <w:color w:val="auto"/>
          <w:szCs w:val="21"/>
        </w:rPr>
        <w:t>3</w:t>
      </w:r>
      <w:r>
        <w:rPr>
          <w:rFonts w:hint="eastAsia" w:ascii="宋体" w:hAnsi="宋体" w:cs="宋体"/>
          <w:color w:val="auto"/>
          <w:szCs w:val="21"/>
        </w:rPr>
        <w:t>个工作日内，入围供应商需向采购人（杭州市市场监督管理局）交纳壹万元的履约保证金。直至服务期满后，服务情况良好，检测报告无质量和服务问题，原额（无息）退还履约保证金。</w:t>
      </w:r>
    </w:p>
    <w:p>
      <w:pPr>
        <w:adjustRightInd w:val="0"/>
        <w:snapToGrid w:val="0"/>
        <w:spacing w:line="360" w:lineRule="auto"/>
        <w:ind w:firstLine="420" w:firstLineChars="200"/>
        <w:jc w:val="left"/>
        <w:rPr>
          <w:rFonts w:ascii="宋体" w:cs="宋体"/>
          <w:color w:val="auto"/>
          <w:szCs w:val="21"/>
        </w:rPr>
      </w:pPr>
      <w:r>
        <w:rPr>
          <w:rFonts w:hint="eastAsia" w:ascii="宋体" w:hAnsi="宋体" w:cs="宋体"/>
          <w:color w:val="auto"/>
          <w:szCs w:val="21"/>
        </w:rPr>
        <w:t>在合同规定期限内，达不到项目规定的服务要求，入围供应商应当承担违约责任。承担方式和违约金如下：服务期内经采购方考核核实发生服务质量问题的，每次（个）从履约保证金中扣除伍仟元整违约金，视情节轻重，可暂停供应商本项目入围资格，供应商应在7个工作日内补足履约保证金至全额，同时对问题进行整改，经采购方同意后恢复入围资格；服务期内经采购方考核核实累计发生服务质量问题10次（个）以上或违约情节严重/影响恶劣的，采购人有权终止执行合同，并全额没收履约保证金，同时不再支付剩余合同款项。</w:t>
      </w:r>
    </w:p>
    <w:p>
      <w:pPr>
        <w:adjustRightInd w:val="0"/>
        <w:snapToGrid w:val="0"/>
        <w:spacing w:line="360" w:lineRule="auto"/>
        <w:ind w:firstLine="422" w:firstLineChars="200"/>
        <w:rPr>
          <w:rFonts w:ascii="宋体" w:cs="宋体"/>
          <w:b/>
          <w:color w:val="auto"/>
          <w:szCs w:val="21"/>
        </w:rPr>
      </w:pPr>
      <w:r>
        <w:rPr>
          <w:rFonts w:hint="eastAsia" w:ascii="宋体" w:hAnsi="宋体" w:cs="宋体"/>
          <w:b/>
          <w:color w:val="auto"/>
          <w:szCs w:val="21"/>
        </w:rPr>
        <w:t>★十二、其他说明</w:t>
      </w:r>
    </w:p>
    <w:p>
      <w:pPr>
        <w:adjustRightInd w:val="0"/>
        <w:snapToGrid w:val="0"/>
        <w:spacing w:line="360" w:lineRule="auto"/>
        <w:ind w:firstLine="422" w:firstLineChars="200"/>
        <w:jc w:val="left"/>
        <w:rPr>
          <w:rFonts w:ascii="宋体" w:cs="宋体"/>
          <w:b/>
          <w:color w:val="auto"/>
          <w:szCs w:val="21"/>
        </w:rPr>
      </w:pPr>
      <w:r>
        <w:rPr>
          <w:rFonts w:hint="eastAsia" w:ascii="宋体" w:hAnsi="宋体" w:cs="宋体"/>
          <w:b/>
          <w:color w:val="auto"/>
          <w:szCs w:val="21"/>
        </w:rPr>
        <w:t>（</w:t>
      </w:r>
      <w:r>
        <w:rPr>
          <w:rFonts w:ascii="宋体" w:hAnsi="宋体" w:cs="宋体"/>
          <w:b/>
          <w:color w:val="auto"/>
          <w:szCs w:val="21"/>
        </w:rPr>
        <w:t>1</w:t>
      </w:r>
      <w:r>
        <w:rPr>
          <w:rFonts w:hint="eastAsia" w:ascii="宋体" w:hAnsi="宋体" w:cs="宋体"/>
          <w:b/>
          <w:color w:val="auto"/>
          <w:szCs w:val="21"/>
        </w:rPr>
        <w:t>）商务报价评审应以报价口径范围一致的投标评标价为依据。投标评标价应在最终报价的基础上，按照招标文件约定的因素和方法进行计算。凡属招标文件的原因造成报价口径范围不一致的，应调整投标人报价，但因投标人自身失误造成多算、少算、漏算的，不得调整。</w:t>
      </w:r>
    </w:p>
    <w:p>
      <w:pPr>
        <w:adjustRightInd w:val="0"/>
        <w:snapToGrid w:val="0"/>
        <w:spacing w:line="360" w:lineRule="auto"/>
        <w:ind w:firstLine="422" w:firstLineChars="200"/>
        <w:jc w:val="left"/>
        <w:rPr>
          <w:rFonts w:ascii="宋体" w:cs="宋体"/>
          <w:b/>
          <w:color w:val="auto"/>
          <w:szCs w:val="21"/>
        </w:rPr>
      </w:pPr>
      <w:r>
        <w:rPr>
          <w:rFonts w:hint="eastAsia" w:ascii="宋体" w:hAnsi="宋体" w:cs="宋体"/>
          <w:b/>
          <w:color w:val="auto"/>
          <w:szCs w:val="21"/>
        </w:rPr>
        <w:t>（</w:t>
      </w:r>
      <w:r>
        <w:rPr>
          <w:rFonts w:ascii="宋体" w:hAnsi="宋体" w:cs="宋体"/>
          <w:b/>
          <w:color w:val="auto"/>
          <w:szCs w:val="21"/>
        </w:rPr>
        <w:t>2</w:t>
      </w:r>
      <w:r>
        <w:rPr>
          <w:rFonts w:hint="eastAsia" w:ascii="宋体" w:hAnsi="宋体" w:cs="宋体"/>
          <w:b/>
          <w:color w:val="auto"/>
          <w:szCs w:val="21"/>
        </w:rPr>
        <w:t>）</w:t>
      </w:r>
      <w:r>
        <w:rPr>
          <w:rFonts w:hint="eastAsia" w:ascii="宋体" w:hAnsi="宋体" w:cs="宋体"/>
          <w:b/>
          <w:color w:val="auto"/>
          <w:szCs w:val="21"/>
          <w:shd w:val="pct10" w:color="auto" w:fill="FFFFFF"/>
        </w:rPr>
        <w:t>本项目以商品为最小评审单位,如供应商未具有招标文件中商品所对应的全项能力,将在评审中被认为不具有该商品的检测能力。</w:t>
      </w:r>
      <w:r>
        <w:rPr>
          <w:rFonts w:hint="eastAsia" w:ascii="宋体" w:hAnsi="宋体" w:cs="宋体"/>
          <w:b/>
          <w:color w:val="auto"/>
          <w:szCs w:val="21"/>
        </w:rPr>
        <w:t>若因资质限制，无法提供检测特定商品的所有指标而导致报价缺漏的，则将加上其他投标人中该项检测商品的最高价，计入评标价，得出相应检验费总价，并计算价格得分。</w:t>
      </w:r>
    </w:p>
    <w:p>
      <w:pPr>
        <w:adjustRightInd w:val="0"/>
        <w:snapToGrid w:val="0"/>
        <w:spacing w:line="360" w:lineRule="auto"/>
        <w:ind w:firstLine="422" w:firstLineChars="200"/>
        <w:jc w:val="left"/>
        <w:rPr>
          <w:rFonts w:ascii="宋体" w:cs="宋体"/>
          <w:b/>
          <w:color w:val="auto"/>
          <w:szCs w:val="21"/>
        </w:rPr>
      </w:pPr>
      <w:r>
        <w:rPr>
          <w:rFonts w:hint="eastAsia" w:ascii="宋体" w:hAnsi="宋体" w:cs="宋体"/>
          <w:b/>
          <w:color w:val="auto"/>
          <w:szCs w:val="21"/>
        </w:rPr>
        <w:t>（</w:t>
      </w:r>
      <w:r>
        <w:rPr>
          <w:rFonts w:ascii="宋体" w:hAnsi="宋体" w:cs="宋体"/>
          <w:b/>
          <w:color w:val="auto"/>
          <w:szCs w:val="21"/>
        </w:rPr>
        <w:t>3</w:t>
      </w:r>
      <w:r>
        <w:rPr>
          <w:rFonts w:hint="eastAsia" w:ascii="宋体" w:hAnsi="宋体" w:cs="宋体"/>
          <w:b/>
          <w:color w:val="auto"/>
          <w:szCs w:val="21"/>
        </w:rPr>
        <w:t>）根据各投标人的有效投标评标价，以满足招标文件要求且有效投标评标价格的最低的为评标基准价，其价格分为满分。</w:t>
      </w:r>
    </w:p>
    <w:p>
      <w:pPr>
        <w:adjustRightInd w:val="0"/>
        <w:snapToGrid w:val="0"/>
        <w:spacing w:line="360" w:lineRule="auto"/>
        <w:ind w:firstLine="422" w:firstLineChars="200"/>
        <w:rPr>
          <w:rFonts w:ascii="宋体" w:cs="宋体"/>
          <w:color w:val="auto"/>
          <w:szCs w:val="21"/>
        </w:rPr>
      </w:pPr>
      <w:r>
        <w:rPr>
          <w:rFonts w:hint="eastAsia" w:ascii="宋体" w:hAnsi="宋体" w:cs="宋体"/>
          <w:b/>
          <w:color w:val="auto"/>
          <w:szCs w:val="21"/>
        </w:rPr>
        <w:t>十三</w:t>
      </w:r>
      <w:r>
        <w:rPr>
          <w:rFonts w:ascii="宋体" w:hAnsi="宋体" w:cs="宋体"/>
          <w:b/>
          <w:color w:val="auto"/>
          <w:szCs w:val="21"/>
        </w:rPr>
        <w:t xml:space="preserve">. </w:t>
      </w:r>
      <w:r>
        <w:rPr>
          <w:rFonts w:hint="eastAsia" w:ascii="宋体" w:hAnsi="宋体" w:cs="宋体"/>
          <w:b/>
          <w:color w:val="auto"/>
          <w:szCs w:val="21"/>
        </w:rPr>
        <w:t>应标规则：</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）本项目为资格入围供应商项目，投标人首先需经过评标委员会综合评审由高至低进行排序，推荐</w:t>
      </w:r>
      <w:r>
        <w:rPr>
          <w:rFonts w:hint="eastAsia" w:ascii="宋体" w:hAnsi="宋体" w:cs="宋体"/>
          <w:b/>
          <w:color w:val="auto"/>
          <w:szCs w:val="21"/>
          <w:shd w:val="pct10" w:color="auto" w:fill="FFFFFF"/>
        </w:rPr>
        <w:t>每个标项75%（四舍五入，不少于2家且不多于6家）的投标人作为入围候选人。</w:t>
      </w:r>
    </w:p>
    <w:p>
      <w:pPr>
        <w:adjustRightInd w:val="0"/>
        <w:snapToGrid w:val="0"/>
        <w:spacing w:line="360" w:lineRule="auto"/>
        <w:ind w:firstLine="420" w:firstLineChars="200"/>
        <w:rPr>
          <w:rFonts w:ascii="宋体" w:cs="宋体"/>
          <w:b/>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）★每个供应商可分别投一个或多个不同的标项。评委按照评分标准及供应商报价进行打分，按总分对供应商进行排名，根据排名次序依次选取标的。</w:t>
      </w:r>
      <w:r>
        <w:rPr>
          <w:rFonts w:hint="eastAsia" w:ascii="宋体" w:hAnsi="宋体" w:cs="宋体"/>
          <w:b/>
          <w:color w:val="auto"/>
          <w:szCs w:val="21"/>
        </w:rPr>
        <w:t>供应商应至少对所投标项至少</w:t>
      </w:r>
      <w:r>
        <w:rPr>
          <w:rFonts w:hint="eastAsia" w:ascii="宋体" w:cs="宋体"/>
          <w:b/>
          <w:color w:val="auto"/>
          <w:szCs w:val="21"/>
        </w:rPr>
        <w:t>一项检测商品的抽查检验项目具有完整的检测能力，经评审对所投标项所含检测商品均无检测能力</w:t>
      </w:r>
      <w:r>
        <w:rPr>
          <w:rFonts w:hint="eastAsia" w:ascii="宋体" w:hAnsi="宋体" w:cs="宋体"/>
          <w:b/>
          <w:color w:val="auto"/>
          <w:szCs w:val="21"/>
        </w:rPr>
        <w:t>将根据“无效投标</w:t>
      </w:r>
      <w:r>
        <w:rPr>
          <w:rFonts w:ascii="宋体" w:hAnsi="宋体" w:cs="宋体"/>
          <w:b/>
          <w:color w:val="auto"/>
          <w:szCs w:val="21"/>
        </w:rPr>
        <w:t>2</w:t>
      </w:r>
      <w:r>
        <w:rPr>
          <w:rFonts w:hint="eastAsia" w:ascii="宋体" w:hAnsi="宋体" w:cs="宋体"/>
          <w:b/>
          <w:color w:val="auto"/>
          <w:szCs w:val="21"/>
        </w:rPr>
        <w:t>2</w:t>
      </w:r>
      <w:r>
        <w:rPr>
          <w:rFonts w:ascii="宋体" w:hAnsi="宋体" w:cs="宋体"/>
          <w:b/>
          <w:color w:val="auto"/>
          <w:szCs w:val="21"/>
        </w:rPr>
        <w:t>.1.</w:t>
      </w:r>
      <w:r>
        <w:rPr>
          <w:rFonts w:hint="eastAsia" w:ascii="宋体" w:hAnsi="宋体" w:cs="宋体"/>
          <w:b/>
          <w:color w:val="auto"/>
          <w:szCs w:val="21"/>
        </w:rPr>
        <w:t>4条款”作无效投标。</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注：招标文件中打★内容为本次招标项目的实质性要求，不允许有负偏离，否则将以涉及“无效投标</w:t>
      </w:r>
      <w:r>
        <w:rPr>
          <w:rFonts w:ascii="宋体" w:hAnsi="宋体" w:cs="宋体"/>
          <w:b/>
          <w:color w:val="auto"/>
          <w:szCs w:val="21"/>
        </w:rPr>
        <w:t>2</w:t>
      </w:r>
      <w:r>
        <w:rPr>
          <w:rFonts w:hint="eastAsia" w:ascii="宋体" w:hAnsi="宋体" w:cs="宋体"/>
          <w:b/>
          <w:color w:val="auto"/>
          <w:szCs w:val="21"/>
        </w:rPr>
        <w:t>2</w:t>
      </w:r>
      <w:r>
        <w:rPr>
          <w:rFonts w:ascii="宋体" w:hAnsi="宋体" w:cs="宋体"/>
          <w:b/>
          <w:color w:val="auto"/>
          <w:szCs w:val="21"/>
        </w:rPr>
        <w:t>.1.</w:t>
      </w:r>
      <w:r>
        <w:rPr>
          <w:rFonts w:hint="eastAsia" w:ascii="宋体" w:hAnsi="宋体" w:cs="宋体"/>
          <w:b/>
          <w:color w:val="auto"/>
          <w:szCs w:val="21"/>
        </w:rPr>
        <w:t>4条款”作无效投标。</w:t>
      </w:r>
    </w:p>
    <w:p>
      <w:pPr>
        <w:adjustRightInd w:val="0"/>
        <w:snapToGrid w:val="0"/>
        <w:spacing w:line="360" w:lineRule="auto"/>
        <w:ind w:firstLine="422" w:firstLineChars="200"/>
        <w:rPr>
          <w:rFonts w:ascii="宋体" w:cs="宋体"/>
          <w:b/>
          <w:bCs/>
          <w:color w:val="auto"/>
          <w:szCs w:val="21"/>
        </w:rPr>
      </w:pPr>
      <w:r>
        <w:rPr>
          <w:rFonts w:hint="eastAsia" w:ascii="宋体" w:hAnsi="宋体" w:cs="宋体"/>
          <w:b/>
          <w:bCs/>
          <w:color w:val="auto"/>
          <w:szCs w:val="21"/>
        </w:rPr>
        <w:t>（下表所列检测商品对应抽查检验项目仅作为本次招标评价依据，最终实际检测抽查检验项目根据实际情况及相关最新现行标准进行确定）</w:t>
      </w:r>
    </w:p>
    <w:p>
      <w:pPr>
        <w:adjustRightInd w:val="0"/>
        <w:snapToGrid w:val="0"/>
        <w:spacing w:line="360" w:lineRule="auto"/>
        <w:ind w:firstLine="422" w:firstLineChars="200"/>
        <w:rPr>
          <w:rFonts w:ascii="宋体" w:cs="宋体"/>
          <w:b/>
          <w:color w:val="auto"/>
          <w:szCs w:val="21"/>
        </w:rPr>
        <w:sectPr>
          <w:pgSz w:w="11906" w:h="16838"/>
          <w:pgMar w:top="1440" w:right="1486" w:bottom="1440" w:left="1800" w:header="851" w:footer="992" w:gutter="0"/>
          <w:cols w:space="720" w:num="1"/>
          <w:docGrid w:type="lines" w:linePitch="312" w:charSpace="0"/>
        </w:sectPr>
      </w:pPr>
    </w:p>
    <w:p>
      <w:pPr>
        <w:numPr>
          <w:ilvl w:val="0"/>
          <w:numId w:val="3"/>
        </w:numPr>
        <w:adjustRightInd w:val="0"/>
        <w:snapToGrid w:val="0"/>
        <w:spacing w:line="360" w:lineRule="auto"/>
        <w:ind w:left="0" w:firstLine="422" w:firstLineChars="200"/>
        <w:rPr>
          <w:rFonts w:ascii="宋体" w:cs="宋体"/>
          <w:b/>
          <w:color w:val="auto"/>
          <w:szCs w:val="21"/>
        </w:rPr>
      </w:pPr>
      <w:r>
        <w:rPr>
          <w:rFonts w:hint="eastAsia" w:ascii="宋体" w:hAnsi="宋体" w:cs="宋体"/>
          <w:b/>
          <w:color w:val="auto"/>
          <w:szCs w:val="21"/>
        </w:rPr>
        <w:t>附表</w:t>
      </w:r>
      <w:r>
        <w:rPr>
          <w:rFonts w:ascii="宋体" w:hAnsi="宋体" w:cs="宋体"/>
          <w:b/>
          <w:color w:val="auto"/>
          <w:szCs w:val="21"/>
        </w:rPr>
        <w:t>1</w:t>
      </w:r>
    </w:p>
    <w:p>
      <w:pPr>
        <w:tabs>
          <w:tab w:val="left" w:pos="425"/>
        </w:tabs>
        <w:adjustRightInd w:val="0"/>
        <w:snapToGrid w:val="0"/>
        <w:spacing w:line="360" w:lineRule="auto"/>
        <w:ind w:left="420"/>
        <w:jc w:val="center"/>
        <w:rPr>
          <w:rFonts w:ascii="宋体" w:cs="宋体"/>
          <w:b/>
          <w:color w:val="auto"/>
          <w:szCs w:val="21"/>
        </w:rPr>
      </w:pPr>
      <w:r>
        <w:rPr>
          <w:rFonts w:hint="eastAsia" w:ascii="宋体" w:hAnsi="宋体" w:cs="宋体"/>
          <w:b/>
          <w:color w:val="auto"/>
          <w:szCs w:val="21"/>
        </w:rPr>
        <w:t>杭州市流通领域(网络)商品质量抽查检验商品名称及抽查检验项目（总表）</w:t>
      </w:r>
    </w:p>
    <w:tbl>
      <w:tblPr>
        <w:tblStyle w:val="27"/>
        <w:tblW w:w="10490" w:type="dxa"/>
        <w:tblInd w:w="0" w:type="dxa"/>
        <w:tblLayout w:type="fixed"/>
        <w:tblCellMar>
          <w:top w:w="0" w:type="dxa"/>
          <w:left w:w="0" w:type="dxa"/>
          <w:bottom w:w="0" w:type="dxa"/>
          <w:right w:w="0" w:type="dxa"/>
        </w:tblCellMar>
      </w:tblPr>
      <w:tblGrid>
        <w:gridCol w:w="1727"/>
        <w:gridCol w:w="2743"/>
        <w:gridCol w:w="4579"/>
        <w:gridCol w:w="1441"/>
      </w:tblGrid>
      <w:tr>
        <w:tblPrEx>
          <w:tblLayout w:type="fixed"/>
          <w:tblCellMar>
            <w:top w:w="0" w:type="dxa"/>
            <w:left w:w="0" w:type="dxa"/>
            <w:bottom w:w="0" w:type="dxa"/>
            <w:right w:w="0" w:type="dxa"/>
          </w:tblCellMar>
        </w:tblPrEx>
        <w:tc>
          <w:tcPr>
            <w:tcW w:w="1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标项</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大类名称</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商品名称</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预计批次数</w:t>
            </w:r>
          </w:p>
        </w:tc>
      </w:tr>
      <w:tr>
        <w:tblPrEx>
          <w:tblLayout w:type="fixed"/>
          <w:tblCellMar>
            <w:top w:w="0" w:type="dxa"/>
            <w:left w:w="0" w:type="dxa"/>
            <w:bottom w:w="0" w:type="dxa"/>
            <w:right w:w="0" w:type="dxa"/>
          </w:tblCellMar>
        </w:tblPrEx>
        <w:tc>
          <w:tcPr>
            <w:tcW w:w="1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1、家用电器类</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家用电器</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电水壶、电炖锅、电磁炉、搅拌机等</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300</w:t>
            </w:r>
          </w:p>
        </w:tc>
      </w:tr>
      <w:tr>
        <w:tblPrEx>
          <w:tblLayout w:type="fixed"/>
          <w:tblCellMar>
            <w:top w:w="0" w:type="dxa"/>
            <w:left w:w="0" w:type="dxa"/>
            <w:bottom w:w="0" w:type="dxa"/>
            <w:right w:w="0" w:type="dxa"/>
          </w:tblCellMar>
        </w:tblPrEx>
        <w:tc>
          <w:tcPr>
            <w:tcW w:w="1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2、电子及智能新产品</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电子产品</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移动电源、移动电话、路由器等</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200</w:t>
            </w:r>
          </w:p>
        </w:tc>
      </w:tr>
      <w:tr>
        <w:tblPrEx>
          <w:tblLayout w:type="fixed"/>
          <w:tblCellMar>
            <w:top w:w="0" w:type="dxa"/>
            <w:left w:w="0" w:type="dxa"/>
            <w:bottom w:w="0" w:type="dxa"/>
            <w:right w:w="0" w:type="dxa"/>
          </w:tblCellMar>
        </w:tblPrEx>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auto"/>
                <w:sz w:val="20"/>
                <w:szCs w:val="20"/>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智能产品</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智能AR眼镜、智能体检仪、智能音箱、智能耳机等</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100</w:t>
            </w:r>
          </w:p>
        </w:tc>
      </w:tr>
      <w:tr>
        <w:tblPrEx>
          <w:tblLayout w:type="fixed"/>
          <w:tblCellMar>
            <w:top w:w="0" w:type="dxa"/>
            <w:left w:w="0" w:type="dxa"/>
            <w:bottom w:w="0" w:type="dxa"/>
            <w:right w:w="0" w:type="dxa"/>
          </w:tblCellMar>
        </w:tblPrEx>
        <w:tc>
          <w:tcPr>
            <w:tcW w:w="1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auto"/>
                <w:kern w:val="0"/>
                <w:sz w:val="20"/>
                <w:szCs w:val="20"/>
              </w:rPr>
            </w:pPr>
            <w:r>
              <w:rPr>
                <w:rFonts w:ascii="宋体" w:hAnsi="宋体" w:cs="宋体"/>
                <w:b/>
                <w:color w:val="auto"/>
                <w:kern w:val="0"/>
                <w:sz w:val="20"/>
                <w:szCs w:val="20"/>
              </w:rPr>
              <w:t>小家电专项</w:t>
            </w:r>
            <w:r>
              <w:rPr>
                <w:rFonts w:hint="eastAsia" w:ascii="宋体" w:hAnsi="宋体" w:cs="宋体"/>
                <w:b/>
                <w:color w:val="auto"/>
                <w:kern w:val="0"/>
                <w:sz w:val="20"/>
                <w:szCs w:val="20"/>
              </w:rPr>
              <w:t>（此项包含在标项1中）</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家用新型小家电</w:t>
            </w:r>
          </w:p>
        </w:tc>
        <w:tc>
          <w:tcPr>
            <w:tcW w:w="4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智能马桶盖、空气净化器、室内加热器、真空吸尘器等</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50</w:t>
            </w:r>
          </w:p>
        </w:tc>
      </w:tr>
    </w:tbl>
    <w:p>
      <w:pPr>
        <w:ind w:firstLine="482" w:firstLineChars="200"/>
        <w:rPr>
          <w:rFonts w:ascii="宋体" w:hAnsi="宋体"/>
          <w:b/>
          <w:color w:val="auto"/>
          <w:sz w:val="24"/>
        </w:rPr>
        <w:sectPr>
          <w:pgSz w:w="11906" w:h="16838"/>
          <w:pgMar w:top="720" w:right="720" w:bottom="720" w:left="720" w:header="851" w:footer="992" w:gutter="0"/>
          <w:cols w:space="720" w:num="1"/>
          <w:docGrid w:type="lines" w:linePitch="312" w:charSpace="0"/>
        </w:sectPr>
      </w:pPr>
    </w:p>
    <w:p>
      <w:pPr>
        <w:tabs>
          <w:tab w:val="left" w:pos="425"/>
        </w:tabs>
        <w:adjustRightInd w:val="0"/>
        <w:snapToGrid w:val="0"/>
        <w:spacing w:line="360" w:lineRule="auto"/>
        <w:ind w:left="420"/>
        <w:jc w:val="center"/>
        <w:rPr>
          <w:rFonts w:ascii="宋体" w:hAnsi="宋体"/>
          <w:b/>
          <w:color w:val="auto"/>
          <w:sz w:val="24"/>
        </w:rPr>
      </w:pPr>
      <w:r>
        <w:rPr>
          <w:rFonts w:hint="eastAsia" w:ascii="宋体" w:hAnsi="宋体" w:cs="宋体"/>
          <w:b/>
          <w:color w:val="auto"/>
          <w:szCs w:val="21"/>
        </w:rPr>
        <w:t>杭州市流通领域(网络)商品质量抽查检验商品名称及抽查检验项目（详细表）</w:t>
      </w:r>
    </w:p>
    <w:tbl>
      <w:tblPr>
        <w:tblStyle w:val="27"/>
        <w:tblW w:w="15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6"/>
        <w:gridCol w:w="784"/>
        <w:gridCol w:w="510"/>
        <w:gridCol w:w="1449"/>
        <w:gridCol w:w="2502"/>
        <w:gridCol w:w="733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86"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标项</w:t>
            </w:r>
          </w:p>
        </w:tc>
        <w:tc>
          <w:tcPr>
            <w:tcW w:w="784"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大类名称</w:t>
            </w: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商品名称</w:t>
            </w:r>
          </w:p>
        </w:tc>
        <w:tc>
          <w:tcPr>
            <w:tcW w:w="2502"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标准</w:t>
            </w:r>
          </w:p>
        </w:tc>
        <w:tc>
          <w:tcPr>
            <w:tcW w:w="7335"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检测项目</w:t>
            </w:r>
          </w:p>
        </w:tc>
        <w:tc>
          <w:tcPr>
            <w:tcW w:w="2380"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1、家用电器类</w:t>
            </w:r>
          </w:p>
        </w:tc>
        <w:tc>
          <w:tcPr>
            <w:tcW w:w="784"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家用电器</w:t>
            </w: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电水壶</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 GB4706.19、GB 4806.9、GB4343.1、GB17625.1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结构、内部布线、电源连接和外部软线、接地措施、端子骚扰电压、骚扰功率、谐波电流、感观，浸泡液，不锈钢（其他金属材料）迁移物指标、非正常工作</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 GB4706.19、GB 4806.9 GB4343.1、GB17625.1明示值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电炖锅</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 GB4706.19、GB 4806.10 GB 4806.9、GB4343.1 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内部布线、电源连接和外部软线、接地措施、端子骚扰电压、骚扰功率、谐波电流、感观，浸泡液，不锈钢（其他金属材料）迁移物指标、高锰酸钾消耗量，总迁移量，重金属（以铅计），单体限量及迁移量、非正常工作</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 GB4706.19、GB 4806.9 GB 4806.10、GB4343.1 GB17625.1 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电磁炉</w:t>
            </w:r>
          </w:p>
        </w:tc>
        <w:tc>
          <w:tcPr>
            <w:tcW w:w="2502" w:type="dxa"/>
            <w:shd w:val="clear" w:color="auto" w:fill="auto"/>
            <w:tcMar>
              <w:top w:w="12" w:type="dxa"/>
              <w:left w:w="12" w:type="dxa"/>
              <w:right w:w="12" w:type="dxa"/>
            </w:tcMar>
            <w:vAlign w:val="center"/>
          </w:tcPr>
          <w:p>
            <w:pPr>
              <w:widowControl/>
              <w:snapToGrid w:val="0"/>
              <w:jc w:val="left"/>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rPr>
              <w:t>GB4706.1 GB4706.29、GB 21456 GB4343.1、GB17625.1</w:t>
            </w:r>
            <w:r>
              <w:rPr>
                <w:rFonts w:hint="eastAsia" w:ascii="宋体" w:hAnsi="宋体" w:cs="宋体"/>
                <w:color w:val="auto"/>
                <w:kern w:val="0"/>
                <w:sz w:val="18"/>
                <w:szCs w:val="18"/>
                <w:lang w:eastAsia="zh-CN"/>
              </w:rPr>
              <w:t>、</w:t>
            </w:r>
            <w:r>
              <w:rPr>
                <w:rFonts w:hint="eastAsia" w:ascii="宋体" w:hAnsi="宋体" w:cs="宋体"/>
                <w:color w:val="FF0000"/>
                <w:kern w:val="0"/>
                <w:sz w:val="18"/>
                <w:szCs w:val="18"/>
                <w:lang w:eastAsia="zh-CN"/>
              </w:rPr>
              <w:t>GB4824</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标志和说明、输入功率和电流、工作温度下的泄漏电流和电气强度、机械强度、结构、内部布线、电源连接和外部软线、接地措施、热效率、待机状态功率、端子骚扰电压、骚扰功率、谐波电流、非正常工作</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 GB4706.29、GB 21456 、GB4343.1、GB17625.1</w:t>
            </w:r>
            <w:r>
              <w:rPr>
                <w:rFonts w:hint="eastAsia" w:ascii="宋体" w:hAnsi="宋体" w:cs="宋体"/>
                <w:color w:val="auto"/>
                <w:kern w:val="0"/>
                <w:sz w:val="18"/>
                <w:szCs w:val="18"/>
                <w:lang w:eastAsia="zh-CN"/>
              </w:rPr>
              <w:t>、</w:t>
            </w:r>
            <w:r>
              <w:rPr>
                <w:rFonts w:hint="eastAsia" w:ascii="宋体" w:hAnsi="宋体" w:cs="宋体"/>
                <w:color w:val="FF0000"/>
                <w:kern w:val="0"/>
                <w:sz w:val="18"/>
                <w:szCs w:val="18"/>
                <w:lang w:eastAsia="zh-CN"/>
              </w:rPr>
              <w:t>GB4824、</w:t>
            </w:r>
            <w:r>
              <w:rPr>
                <w:rFonts w:hint="eastAsia" w:ascii="宋体" w:hAnsi="宋体" w:cs="宋体"/>
                <w:color w:val="auto"/>
                <w:kern w:val="0"/>
                <w:sz w:val="18"/>
                <w:szCs w:val="18"/>
              </w:rPr>
              <w:t>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破壁机</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GB4706.1GB4706.30、GB 4806.7、GB4343.1、GB17625.1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非正常工作、结构、电源连接和外部软线、接地措施、端子骚扰电压、骚扰功率、谐波电流、感观，浸泡液，高锰酸钾消耗量，总迁移量，重金属（以铅计），单体限量及迁移量、、非正常工作</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GB4706.1、GB4706.30、GB 4806.7、GB4343.1、GB17625.1、明示值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搅拌机</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GB4706.1GB4706.30、GB 4806.7、GB4343.1、GB17625.1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非正常工作、结构、电源连接和外部软线、接地措施、端子骚扰电压、骚扰功率、谐波电流、感观，浸泡液，高锰酸钾消耗量，总迁移量，重金属（以铅计），单体限量及迁移量、非正常工作</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GB4706.1、GB4706.30、GB 4806.7、GB4343.1、GB17625.1、明示值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加湿器</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 4706.1-2005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 4706.48-2009</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 4343.1-2009</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对触及带电部件的防护，输入功率和电流，工作温度下的泄漏电流和电气强度，稳定性和机械危险，机械强度，结构，内部布线，电源连接和外部软线，外部导线用接线端子，接地措施，螺钉和连接，电气间隙、爬电距离和固体绝缘、端子连续骚扰电压、非正常工作</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 4706.1-2005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 4706.48-2009</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 4343.1-2009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2、电子及智能新产品</w:t>
            </w:r>
          </w:p>
        </w:tc>
        <w:tc>
          <w:tcPr>
            <w:tcW w:w="784"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电子产品</w:t>
            </w: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数字移动电话</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GB4943.1、GB/T22450.1、GB/T18287、GB/T 17626.2-2006、GB/T 17626.5-2008</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接触放电、空气放电、接触温度的限值、爬电距离、耐异常热、传导连续骚扰、电快速瞬变脉冲群抗扰度、浪涌（冲击）抗扰度</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GB4943.1、GB/T22450.1、GB/T18287、GB/T 17626.2-2006、GB/T 17626.5-2006明示值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便携式电源（移动电源）</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GB4943.1、GB31241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外观及尺寸、额定容量、输入电流、短路保护、过充电保护、振动、自由跌落、热滥用、防火防护外壳的材料、重物冲击</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GB4943.1、GB31241、明示值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21</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无线路由器</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GB4943.1 、GB/T12572、GB/T 9254-2008、GB/T17626.4-2008、GB/T17626.5-2008、GB/T17626.6-2008</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标记和说明、电击和能量危险的防护、电气绝缘、电气间隙、爬电距离、接触电流和保护导体电流、抗电强度、结构设计（直插式设备）、电源端子的传导骚扰电压、电快速瞬变脉冲群抗扰度、浪涌（冲击）抗扰度、射频场感应的传导骚扰抗扰度</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GB4943.1 、GB/T12572、GB/T 9254-2008、GB/T17626.4-2008、GB/T17626.5-2008、GB/T17626.6-2008明示值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智能产品</w:t>
            </w: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22</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智能耳机（无线、有线）</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GB8898-2011、GB31241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电气间隙和爬电距离、机械强度、高温、跌落、短路</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GB8898-2011、GB31241、明示值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23</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有源音箱、智能音箱</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GB8898</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标志和说明、防触电的结构要求、正常工作条件下的触电危险、绝缘要求、电气间隙和爬电距离</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GB8898、明示值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510"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FF0000"/>
                <w:kern w:val="0"/>
                <w:sz w:val="18"/>
                <w:szCs w:val="18"/>
              </w:rPr>
              <w:t>智能穿戴设备 （VR一体机）</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GB4943.1、GB/T 9254-2008、GB17625.1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标记和说明、电击和能量危险的防护、电气绝缘、电气间隙、爬电距离、接触电流和保护导体电流、抗电强度、结构设计（直插式设备）、端子骚扰电压、辐射、谐波电流</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GB4943.1、GB/T 9254-2008、GB17625.1、明示值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restart"/>
            <w:shd w:val="clear" w:color="auto" w:fill="auto"/>
            <w:tcMar>
              <w:top w:w="12" w:type="dxa"/>
              <w:left w:w="12" w:type="dxa"/>
              <w:right w:w="12" w:type="dxa"/>
            </w:tcMar>
            <w:vAlign w:val="center"/>
          </w:tcPr>
          <w:p>
            <w:pPr>
              <w:widowControl/>
              <w:jc w:val="center"/>
              <w:textAlignment w:val="center"/>
              <w:rPr>
                <w:rFonts w:ascii="宋体" w:hAnsi="宋体" w:cs="宋体"/>
                <w:b/>
                <w:color w:val="auto"/>
                <w:sz w:val="18"/>
                <w:szCs w:val="18"/>
              </w:rPr>
            </w:pPr>
            <w:r>
              <w:rPr>
                <w:rFonts w:ascii="宋体" w:hAnsi="宋体" w:cs="宋体"/>
                <w:b/>
                <w:color w:val="auto"/>
                <w:kern w:val="0"/>
                <w:sz w:val="20"/>
                <w:szCs w:val="20"/>
              </w:rPr>
              <w:t>小家电专项</w:t>
            </w:r>
            <w:r>
              <w:rPr>
                <w:rFonts w:hint="eastAsia" w:ascii="宋体" w:hAnsi="宋体" w:cs="宋体"/>
                <w:b/>
                <w:color w:val="auto"/>
                <w:kern w:val="0"/>
                <w:sz w:val="20"/>
                <w:szCs w:val="20"/>
              </w:rPr>
              <w:t>（此项包含在标项1中）</w:t>
            </w:r>
          </w:p>
        </w:tc>
        <w:tc>
          <w:tcPr>
            <w:tcW w:w="784" w:type="dxa"/>
            <w:vMerge w:val="restart"/>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家用新型小家电</w:t>
            </w:r>
          </w:p>
        </w:tc>
        <w:tc>
          <w:tcPr>
            <w:tcW w:w="510"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63</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智能马桶盖</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GB4706.1、GB4706.53、GB4343.1、GB17625.1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标志和说明、对触及带电部件的防护、输入功率和电流、发热、工作温度下的泄漏电流和电气强度、结构、内部布线、电源连接和外部软线、外部导线用接线端子、接地措施、端子骚扰电压、骚扰功率、谐波电流</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GB4706.1、GB4706.53、GB4343.1、GB17625.1、明示值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p>
        </w:tc>
        <w:tc>
          <w:tcPr>
            <w:tcW w:w="510"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空气净化器</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GB4706.1、GB4706.45、GB/T18801、GB4343.1、GB17625.1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输入功率和电流、工作温度下的泄漏电流和电气强度内部布线、电源连接和外部软线、接地措施，耐热和耐燃、洁净空气量（颗粒物）、净化能效（颗粒物）、待机功率、噪声、端子骚扰电压、骚扰功率、谐波电流</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GB4706.1、GB4706.45、GB/T18801、GB4343.1、GB17625.1、明示值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p>
        </w:tc>
        <w:tc>
          <w:tcPr>
            <w:tcW w:w="510"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65</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室内加热器</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GB4706.1、GB4706.23、GB4343.1、GB17625.1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标志和说明、输入功率和电流、工作温度下的泄漏电流和电气强度、非正常工作、结构、电源连接和外部软线、接地措施、端子骚扰电压、骚扰功率、谐波电流</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GB4706.1、GB4706.23、GB4343.1、GB17625.1、明示值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p>
        </w:tc>
        <w:tc>
          <w:tcPr>
            <w:tcW w:w="510"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66</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除湿机</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 4706.1-2005  《家用和类似用途电器的安全 第1部分：通用要求》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 4706.32-2012 《家用和类似用途电器的安全 热泵、空调器和除湿机的特殊要求》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GB/T19411-2003 《除湿机》</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对触及带电部件的防护、输入功率和电流、发热、工作温度下的泄漏电流和电气强度、耐潮湿、泄漏电流和电气强度、稳定性和机械危险、结构（不包括第22.46条试验）、内部布线、电源连接和外部软线、外部导线用接线端子、接地措施、螺钉和连接、电气间隙、爬电距离和固体绝缘、名义除湿量、单位输入功率除湿量</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 4706.1-2005  《家用和类似用途电器的安全 第1部分：通用要求》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 4706.32-2012 《家用和类似用途电器的安全 热泵、空调器和除湿机的特殊要求》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GB/T19411-2003 《除湿机》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86"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784" w:type="dxa"/>
            <w:vMerge w:val="continue"/>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p>
        </w:tc>
        <w:tc>
          <w:tcPr>
            <w:tcW w:w="510"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67</w:t>
            </w:r>
          </w:p>
        </w:tc>
        <w:tc>
          <w:tcPr>
            <w:tcW w:w="1449"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真空吸尘器</w:t>
            </w:r>
          </w:p>
        </w:tc>
        <w:tc>
          <w:tcPr>
            <w:tcW w:w="2502"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GB4706.1、GB4706.7、GB4343.1、GB17625.1</w:t>
            </w:r>
          </w:p>
        </w:tc>
        <w:tc>
          <w:tcPr>
            <w:tcW w:w="7335"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标志和说明、输入功率和电流、工作温度下的泄漏电流和电气强度、非正常工作、结构、内部布线、电源连接和外部软线、接地措施，耐热和耐燃、端子骚扰电压、骚扰功率、谐波电流</w:t>
            </w:r>
          </w:p>
        </w:tc>
        <w:tc>
          <w:tcPr>
            <w:tcW w:w="2380"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GB4706.1、GB4706.7、GB4343.1、GB17625.1、明示值</w:t>
            </w:r>
          </w:p>
        </w:tc>
      </w:tr>
    </w:tbl>
    <w:p>
      <w:pPr>
        <w:ind w:firstLine="482" w:firstLineChars="200"/>
        <w:rPr>
          <w:rFonts w:ascii="宋体"/>
          <w:b/>
          <w:color w:val="auto"/>
          <w:sz w:val="24"/>
        </w:rPr>
        <w:sectPr>
          <w:pgSz w:w="16838" w:h="11906" w:orient="landscape"/>
          <w:pgMar w:top="720" w:right="720" w:bottom="720" w:left="720" w:header="851" w:footer="992" w:gutter="0"/>
          <w:cols w:space="720" w:num="1"/>
          <w:docGrid w:type="lines" w:linePitch="312" w:charSpace="0"/>
        </w:sectPr>
      </w:pPr>
      <w:r>
        <w:rPr>
          <w:rFonts w:hint="eastAsia" w:ascii="宋体" w:hAnsi="宋体"/>
          <w:b/>
          <w:color w:val="auto"/>
          <w:sz w:val="24"/>
        </w:rPr>
        <w:t>★承检方必须具有所响应标项商品相应的资质能力，提供计量认证</w:t>
      </w:r>
      <w:r>
        <w:rPr>
          <w:rFonts w:ascii="宋体" w:hAnsi="宋体"/>
          <w:b/>
          <w:color w:val="auto"/>
          <w:sz w:val="24"/>
        </w:rPr>
        <w:t>CMA</w:t>
      </w:r>
      <w:r>
        <w:rPr>
          <w:rFonts w:hint="eastAsia" w:ascii="宋体" w:hAnsi="宋体"/>
          <w:b/>
          <w:color w:val="auto"/>
          <w:sz w:val="24"/>
        </w:rPr>
        <w:t>及相应检测项目</w:t>
      </w:r>
      <w:r>
        <w:rPr>
          <w:rFonts w:hint="eastAsia" w:ascii="宋体" w:hAnsi="宋体"/>
          <w:b/>
          <w:color w:val="auto"/>
          <w:sz w:val="24"/>
          <w:shd w:val="pct10" w:color="auto" w:fill="FFFFFF"/>
        </w:rPr>
        <w:t>对应能力指标所在页</w:t>
      </w:r>
      <w:r>
        <w:rPr>
          <w:rFonts w:hint="eastAsia" w:ascii="宋体" w:hAnsi="宋体"/>
          <w:b/>
          <w:color w:val="auto"/>
          <w:sz w:val="24"/>
        </w:rPr>
        <w:t>的能力附表完整页面，并将涉及到的指标</w:t>
      </w:r>
      <w:r>
        <w:rPr>
          <w:rFonts w:hint="eastAsia" w:ascii="宋体" w:hAnsi="宋体"/>
          <w:b/>
          <w:color w:val="auto"/>
          <w:sz w:val="24"/>
          <w:shd w:val="pct10" w:color="auto" w:fill="FFFFFF"/>
        </w:rPr>
        <w:t>用记号笔进行标注</w:t>
      </w:r>
      <w:r>
        <w:rPr>
          <w:rFonts w:hint="eastAsia" w:ascii="宋体" w:hAnsi="宋体"/>
          <w:b/>
          <w:color w:val="auto"/>
          <w:sz w:val="24"/>
        </w:rPr>
        <w:t>，方便查验；</w:t>
      </w:r>
      <w:r>
        <w:rPr>
          <w:rFonts w:hint="eastAsia" w:ascii="宋体" w:hAnsi="宋体"/>
          <w:b/>
          <w:color w:val="auto"/>
          <w:sz w:val="24"/>
          <w:shd w:val="pct10" w:color="auto" w:fill="FFFFFF"/>
        </w:rPr>
        <w:t>未提供或未逐项标注的，视作该指标无检测能力；提供的证明材料与本项目标的无关的，视作扰乱评审现场工作秩序；写明有检测能力，但实际并不具备的，一经发现，视作虚假竞标。</w:t>
      </w:r>
    </w:p>
    <w:p>
      <w:pPr>
        <w:pStyle w:val="3"/>
        <w:jc w:val="left"/>
        <w:rPr>
          <w:rFonts w:ascii="宋体" w:cs="宋体"/>
          <w:color w:val="auto"/>
        </w:rPr>
      </w:pPr>
      <w:bookmarkStart w:id="51" w:name="_Toc23228"/>
      <w:r>
        <w:rPr>
          <w:rFonts w:hint="eastAsia" w:ascii="宋体" w:hAnsi="宋体" w:cs="宋体"/>
          <w:color w:val="auto"/>
        </w:rPr>
        <w:t>二、承检项目实施办法</w:t>
      </w:r>
      <w:bookmarkEnd w:id="51"/>
    </w:p>
    <w:p>
      <w:pPr>
        <w:adjustRightInd w:val="0"/>
        <w:snapToGrid w:val="0"/>
        <w:spacing w:line="360" w:lineRule="auto"/>
        <w:rPr>
          <w:color w:val="auto"/>
          <w:szCs w:val="21"/>
        </w:rPr>
      </w:pPr>
      <w:r>
        <w:rPr>
          <w:rFonts w:ascii="宋体" w:hAnsi="宋体" w:cs="宋体"/>
          <w:color w:val="auto"/>
          <w:szCs w:val="21"/>
        </w:rPr>
        <w:t>1</w:t>
      </w:r>
      <w:r>
        <w:rPr>
          <w:rFonts w:hint="eastAsia" w:ascii="宋体" w:hAnsi="宋体" w:cs="宋体"/>
          <w:color w:val="auto"/>
          <w:szCs w:val="21"/>
        </w:rPr>
        <w:t>、根据每个标项的具体实施内容和情况，</w:t>
      </w:r>
      <w:r>
        <w:rPr>
          <w:rFonts w:hint="eastAsia" w:ascii="宋体" w:hAnsi="宋体" w:cs="宋体"/>
          <w:b/>
          <w:color w:val="auto"/>
          <w:szCs w:val="21"/>
        </w:rPr>
        <w:t>采购人在入选供应商备选库中邀请该标项的所有入围供应商，根据《项目分配评价表》及相应内部管理办法确定具体检测任务的承检供应商。</w:t>
      </w:r>
    </w:p>
    <w:p>
      <w:pPr>
        <w:adjustRightInd w:val="0"/>
        <w:snapToGrid w:val="0"/>
        <w:spacing w:line="360" w:lineRule="auto"/>
        <w:jc w:val="left"/>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项目分配评价表</w:t>
      </w:r>
    </w:p>
    <w:p>
      <w:pPr>
        <w:adjustRightInd w:val="0"/>
        <w:snapToGrid w:val="0"/>
        <w:spacing w:line="360" w:lineRule="auto"/>
        <w:ind w:firstLine="192" w:firstLineChars="91"/>
        <w:rPr>
          <w:rFonts w:ascii="宋体" w:cs="宋体"/>
          <w:b/>
          <w:color w:val="auto"/>
          <w:szCs w:val="21"/>
        </w:rPr>
      </w:pPr>
      <w:r>
        <w:rPr>
          <w:rFonts w:ascii="宋体" w:hAnsi="宋体" w:cs="宋体"/>
          <w:b/>
          <w:color w:val="auto"/>
          <w:szCs w:val="21"/>
        </w:rPr>
        <w:t>2.1</w:t>
      </w:r>
      <w:r>
        <w:rPr>
          <w:rFonts w:hint="eastAsia" w:ascii="宋体" w:hAnsi="宋体" w:cs="宋体"/>
          <w:b/>
          <w:color w:val="auto"/>
          <w:szCs w:val="21"/>
        </w:rPr>
        <w:t>项目分配评价表</w:t>
      </w:r>
    </w:p>
    <w:tbl>
      <w:tblPr>
        <w:tblStyle w:val="27"/>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25"/>
        <w:gridCol w:w="1245"/>
        <w:gridCol w:w="1391"/>
        <w:gridCol w:w="184"/>
        <w:gridCol w:w="739"/>
        <w:gridCol w:w="911"/>
        <w:gridCol w:w="900"/>
        <w:gridCol w:w="90"/>
        <w:gridCol w:w="441"/>
        <w:gridCol w:w="54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项目编号</w:t>
            </w:r>
          </w:p>
        </w:tc>
        <w:tc>
          <w:tcPr>
            <w:tcW w:w="2314" w:type="dxa"/>
            <w:gridSpan w:val="3"/>
            <w:vAlign w:val="center"/>
          </w:tcPr>
          <w:p>
            <w:pPr>
              <w:adjustRightInd w:val="0"/>
              <w:snapToGrid w:val="0"/>
              <w:jc w:val="center"/>
              <w:rPr>
                <w:rFonts w:ascii="宋体" w:cs="宋体"/>
                <w:color w:val="auto"/>
                <w:szCs w:val="21"/>
              </w:rPr>
            </w:pPr>
          </w:p>
        </w:tc>
        <w:tc>
          <w:tcPr>
            <w:tcW w:w="1811"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项目实施周期</w:t>
            </w:r>
          </w:p>
        </w:tc>
        <w:tc>
          <w:tcPr>
            <w:tcW w:w="2079" w:type="dxa"/>
            <w:gridSpan w:val="4"/>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项目名称</w:t>
            </w:r>
          </w:p>
        </w:tc>
        <w:tc>
          <w:tcPr>
            <w:tcW w:w="6204" w:type="dxa"/>
            <w:gridSpan w:val="9"/>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入围承检机构名称</w:t>
            </w:r>
          </w:p>
        </w:tc>
        <w:tc>
          <w:tcPr>
            <w:tcW w:w="6204" w:type="dxa"/>
            <w:gridSpan w:val="9"/>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地址</w:t>
            </w:r>
          </w:p>
        </w:tc>
        <w:tc>
          <w:tcPr>
            <w:tcW w:w="6204" w:type="dxa"/>
            <w:gridSpan w:val="9"/>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工商登记号</w:t>
            </w:r>
          </w:p>
        </w:tc>
        <w:tc>
          <w:tcPr>
            <w:tcW w:w="1575" w:type="dxa"/>
            <w:gridSpan w:val="2"/>
            <w:vAlign w:val="center"/>
          </w:tcPr>
          <w:p>
            <w:pPr>
              <w:adjustRightInd w:val="0"/>
              <w:snapToGrid w:val="0"/>
              <w:jc w:val="center"/>
              <w:rPr>
                <w:rFonts w:ascii="宋体" w:cs="宋体"/>
                <w:color w:val="auto"/>
                <w:szCs w:val="21"/>
              </w:rPr>
            </w:pPr>
          </w:p>
        </w:tc>
        <w:tc>
          <w:tcPr>
            <w:tcW w:w="165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税务登记号</w:t>
            </w:r>
          </w:p>
        </w:tc>
        <w:tc>
          <w:tcPr>
            <w:tcW w:w="2979" w:type="dxa"/>
            <w:gridSpan w:val="5"/>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法定代表人</w:t>
            </w:r>
          </w:p>
        </w:tc>
        <w:tc>
          <w:tcPr>
            <w:tcW w:w="1575" w:type="dxa"/>
            <w:gridSpan w:val="2"/>
            <w:vAlign w:val="center"/>
          </w:tcPr>
          <w:p>
            <w:pPr>
              <w:adjustRightInd w:val="0"/>
              <w:snapToGrid w:val="0"/>
              <w:jc w:val="center"/>
              <w:rPr>
                <w:rFonts w:ascii="宋体" w:cs="宋体"/>
                <w:color w:val="auto"/>
                <w:szCs w:val="21"/>
              </w:rPr>
            </w:pPr>
          </w:p>
        </w:tc>
        <w:tc>
          <w:tcPr>
            <w:tcW w:w="165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联系电话</w:t>
            </w:r>
          </w:p>
        </w:tc>
        <w:tc>
          <w:tcPr>
            <w:tcW w:w="2979" w:type="dxa"/>
            <w:gridSpan w:val="5"/>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项目负责人</w:t>
            </w:r>
          </w:p>
        </w:tc>
        <w:tc>
          <w:tcPr>
            <w:tcW w:w="1575" w:type="dxa"/>
            <w:gridSpan w:val="2"/>
            <w:vAlign w:val="center"/>
          </w:tcPr>
          <w:p>
            <w:pPr>
              <w:adjustRightInd w:val="0"/>
              <w:snapToGrid w:val="0"/>
              <w:jc w:val="center"/>
              <w:rPr>
                <w:rFonts w:ascii="宋体" w:cs="宋体"/>
                <w:color w:val="auto"/>
                <w:szCs w:val="21"/>
              </w:rPr>
            </w:pPr>
          </w:p>
        </w:tc>
        <w:tc>
          <w:tcPr>
            <w:tcW w:w="165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联系电话</w:t>
            </w:r>
          </w:p>
        </w:tc>
        <w:tc>
          <w:tcPr>
            <w:tcW w:w="2979" w:type="dxa"/>
            <w:gridSpan w:val="5"/>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联系邮箱</w:t>
            </w:r>
          </w:p>
        </w:tc>
        <w:tc>
          <w:tcPr>
            <w:tcW w:w="1575" w:type="dxa"/>
            <w:gridSpan w:val="2"/>
            <w:vAlign w:val="center"/>
          </w:tcPr>
          <w:p>
            <w:pPr>
              <w:adjustRightInd w:val="0"/>
              <w:snapToGrid w:val="0"/>
              <w:jc w:val="center"/>
              <w:rPr>
                <w:rFonts w:ascii="宋体" w:cs="宋体"/>
                <w:color w:val="auto"/>
                <w:szCs w:val="21"/>
              </w:rPr>
            </w:pPr>
          </w:p>
        </w:tc>
        <w:tc>
          <w:tcPr>
            <w:tcW w:w="165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联系传真</w:t>
            </w:r>
          </w:p>
        </w:tc>
        <w:tc>
          <w:tcPr>
            <w:tcW w:w="2979" w:type="dxa"/>
            <w:gridSpan w:val="5"/>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7" w:type="dxa"/>
            <w:gridSpan w:val="3"/>
            <w:vMerge w:val="restart"/>
            <w:vAlign w:val="center"/>
          </w:tcPr>
          <w:p>
            <w:pPr>
              <w:adjustRightInd w:val="0"/>
              <w:snapToGrid w:val="0"/>
              <w:jc w:val="center"/>
              <w:rPr>
                <w:rFonts w:ascii="宋体" w:cs="宋体"/>
                <w:color w:val="auto"/>
                <w:szCs w:val="21"/>
              </w:rPr>
            </w:pPr>
            <w:r>
              <w:rPr>
                <w:rFonts w:hint="eastAsia" w:ascii="宋体" w:hAnsi="宋体" w:cs="宋体"/>
                <w:color w:val="auto"/>
                <w:szCs w:val="21"/>
              </w:rPr>
              <w:t>项目组总人数</w:t>
            </w:r>
          </w:p>
        </w:tc>
        <w:tc>
          <w:tcPr>
            <w:tcW w:w="1575" w:type="dxa"/>
            <w:gridSpan w:val="2"/>
            <w:vMerge w:val="restart"/>
            <w:vAlign w:val="center"/>
          </w:tcPr>
          <w:p>
            <w:pPr>
              <w:adjustRightInd w:val="0"/>
              <w:snapToGrid w:val="0"/>
              <w:jc w:val="center"/>
              <w:rPr>
                <w:rFonts w:ascii="宋体" w:cs="宋体"/>
                <w:color w:val="auto"/>
                <w:szCs w:val="21"/>
              </w:rPr>
            </w:pPr>
          </w:p>
        </w:tc>
        <w:tc>
          <w:tcPr>
            <w:tcW w:w="1650" w:type="dxa"/>
            <w:gridSpan w:val="2"/>
            <w:vMerge w:val="restart"/>
            <w:vAlign w:val="center"/>
          </w:tcPr>
          <w:p>
            <w:pPr>
              <w:adjustRightInd w:val="0"/>
              <w:snapToGrid w:val="0"/>
              <w:jc w:val="center"/>
              <w:rPr>
                <w:rFonts w:ascii="宋体" w:cs="宋体"/>
                <w:color w:val="auto"/>
                <w:szCs w:val="21"/>
              </w:rPr>
            </w:pPr>
            <w:r>
              <w:rPr>
                <w:rFonts w:hint="eastAsia" w:ascii="宋体" w:hAnsi="宋体" w:cs="宋体"/>
                <w:color w:val="auto"/>
                <w:szCs w:val="21"/>
              </w:rPr>
              <w:t>项目组总技术人员数</w:t>
            </w:r>
          </w:p>
        </w:tc>
        <w:tc>
          <w:tcPr>
            <w:tcW w:w="99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高级</w:t>
            </w:r>
          </w:p>
        </w:tc>
        <w:tc>
          <w:tcPr>
            <w:tcW w:w="99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中级</w:t>
            </w:r>
          </w:p>
        </w:tc>
        <w:tc>
          <w:tcPr>
            <w:tcW w:w="999" w:type="dxa"/>
            <w:vAlign w:val="center"/>
          </w:tcPr>
          <w:p>
            <w:pPr>
              <w:adjustRightInd w:val="0"/>
              <w:snapToGrid w:val="0"/>
              <w:jc w:val="center"/>
              <w:rPr>
                <w:rFonts w:ascii="宋体" w:cs="宋体"/>
                <w:color w:val="auto"/>
                <w:szCs w:val="21"/>
              </w:rPr>
            </w:pPr>
            <w:r>
              <w:rPr>
                <w:rFonts w:hint="eastAsia" w:ascii="宋体" w:hAnsi="宋体" w:cs="宋体"/>
                <w:color w:val="auto"/>
                <w:szCs w:val="21"/>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337" w:type="dxa"/>
            <w:gridSpan w:val="3"/>
            <w:vMerge w:val="continue"/>
            <w:vAlign w:val="center"/>
          </w:tcPr>
          <w:p>
            <w:pPr>
              <w:widowControl/>
              <w:adjustRightInd w:val="0"/>
              <w:snapToGrid w:val="0"/>
              <w:jc w:val="left"/>
              <w:rPr>
                <w:rFonts w:ascii="宋体" w:cs="宋体"/>
                <w:color w:val="auto"/>
                <w:szCs w:val="21"/>
              </w:rPr>
            </w:pPr>
          </w:p>
        </w:tc>
        <w:tc>
          <w:tcPr>
            <w:tcW w:w="1575" w:type="dxa"/>
            <w:gridSpan w:val="2"/>
            <w:vMerge w:val="continue"/>
            <w:vAlign w:val="center"/>
          </w:tcPr>
          <w:p>
            <w:pPr>
              <w:widowControl/>
              <w:adjustRightInd w:val="0"/>
              <w:snapToGrid w:val="0"/>
              <w:jc w:val="left"/>
              <w:rPr>
                <w:rFonts w:ascii="宋体" w:cs="宋体"/>
                <w:color w:val="auto"/>
                <w:szCs w:val="21"/>
              </w:rPr>
            </w:pPr>
          </w:p>
        </w:tc>
        <w:tc>
          <w:tcPr>
            <w:tcW w:w="1650" w:type="dxa"/>
            <w:gridSpan w:val="2"/>
            <w:vMerge w:val="continue"/>
            <w:vAlign w:val="center"/>
          </w:tcPr>
          <w:p>
            <w:pPr>
              <w:widowControl/>
              <w:adjustRightInd w:val="0"/>
              <w:snapToGrid w:val="0"/>
              <w:jc w:val="left"/>
              <w:rPr>
                <w:rFonts w:ascii="宋体" w:cs="宋体"/>
                <w:color w:val="auto"/>
                <w:szCs w:val="21"/>
              </w:rPr>
            </w:pPr>
          </w:p>
        </w:tc>
        <w:tc>
          <w:tcPr>
            <w:tcW w:w="990" w:type="dxa"/>
            <w:gridSpan w:val="2"/>
            <w:vAlign w:val="center"/>
          </w:tcPr>
          <w:p>
            <w:pPr>
              <w:adjustRightInd w:val="0"/>
              <w:snapToGrid w:val="0"/>
              <w:jc w:val="center"/>
              <w:rPr>
                <w:rFonts w:ascii="宋体" w:cs="宋体"/>
                <w:color w:val="auto"/>
                <w:szCs w:val="21"/>
              </w:rPr>
            </w:pPr>
          </w:p>
        </w:tc>
        <w:tc>
          <w:tcPr>
            <w:tcW w:w="990" w:type="dxa"/>
            <w:gridSpan w:val="2"/>
            <w:vAlign w:val="center"/>
          </w:tcPr>
          <w:p>
            <w:pPr>
              <w:adjustRightInd w:val="0"/>
              <w:snapToGrid w:val="0"/>
              <w:jc w:val="center"/>
              <w:rPr>
                <w:rFonts w:ascii="宋体" w:cs="宋体"/>
                <w:color w:val="auto"/>
                <w:szCs w:val="21"/>
              </w:rPr>
            </w:pPr>
          </w:p>
        </w:tc>
        <w:tc>
          <w:tcPr>
            <w:tcW w:w="999" w:type="dxa"/>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337" w:type="dxa"/>
            <w:gridSpan w:val="3"/>
            <w:vMerge w:val="restart"/>
            <w:vAlign w:val="center"/>
          </w:tcPr>
          <w:p>
            <w:pPr>
              <w:adjustRightInd w:val="0"/>
              <w:snapToGrid w:val="0"/>
              <w:jc w:val="center"/>
              <w:rPr>
                <w:rFonts w:ascii="宋体" w:cs="宋体"/>
                <w:color w:val="auto"/>
                <w:szCs w:val="21"/>
              </w:rPr>
            </w:pPr>
            <w:r>
              <w:rPr>
                <w:rFonts w:hint="eastAsia" w:ascii="宋体" w:hAnsi="宋体" w:cs="宋体"/>
                <w:color w:val="auto"/>
                <w:szCs w:val="21"/>
              </w:rPr>
              <w:t>专业抽检组人数</w:t>
            </w:r>
          </w:p>
        </w:tc>
        <w:tc>
          <w:tcPr>
            <w:tcW w:w="1575" w:type="dxa"/>
            <w:gridSpan w:val="2"/>
            <w:vMerge w:val="restart"/>
            <w:vAlign w:val="center"/>
          </w:tcPr>
          <w:p>
            <w:pPr>
              <w:adjustRightInd w:val="0"/>
              <w:snapToGrid w:val="0"/>
              <w:jc w:val="center"/>
              <w:rPr>
                <w:rFonts w:ascii="宋体" w:cs="宋体"/>
                <w:color w:val="auto"/>
                <w:szCs w:val="21"/>
              </w:rPr>
            </w:pPr>
          </w:p>
        </w:tc>
        <w:tc>
          <w:tcPr>
            <w:tcW w:w="1650" w:type="dxa"/>
            <w:gridSpan w:val="2"/>
            <w:vMerge w:val="restart"/>
            <w:vAlign w:val="center"/>
          </w:tcPr>
          <w:p>
            <w:pPr>
              <w:adjustRightInd w:val="0"/>
              <w:snapToGrid w:val="0"/>
              <w:jc w:val="center"/>
              <w:rPr>
                <w:rFonts w:ascii="宋体" w:cs="宋体"/>
                <w:color w:val="auto"/>
                <w:szCs w:val="21"/>
              </w:rPr>
            </w:pPr>
            <w:r>
              <w:rPr>
                <w:rFonts w:hint="eastAsia" w:ascii="宋体" w:hAnsi="宋体" w:cs="宋体"/>
                <w:color w:val="auto"/>
                <w:szCs w:val="21"/>
              </w:rPr>
              <w:t>抽检组人员职称和姓名</w:t>
            </w:r>
          </w:p>
        </w:tc>
        <w:tc>
          <w:tcPr>
            <w:tcW w:w="99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高级</w:t>
            </w:r>
          </w:p>
        </w:tc>
        <w:tc>
          <w:tcPr>
            <w:tcW w:w="99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中级</w:t>
            </w:r>
          </w:p>
        </w:tc>
        <w:tc>
          <w:tcPr>
            <w:tcW w:w="999" w:type="dxa"/>
            <w:vAlign w:val="center"/>
          </w:tcPr>
          <w:p>
            <w:pPr>
              <w:adjustRightInd w:val="0"/>
              <w:snapToGrid w:val="0"/>
              <w:jc w:val="center"/>
              <w:rPr>
                <w:rFonts w:ascii="宋体" w:cs="宋体"/>
                <w:color w:val="auto"/>
                <w:szCs w:val="21"/>
              </w:rPr>
            </w:pPr>
            <w:r>
              <w:rPr>
                <w:rFonts w:hint="eastAsia" w:ascii="宋体" w:hAnsi="宋体" w:cs="宋体"/>
                <w:color w:val="auto"/>
                <w:szCs w:val="21"/>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337" w:type="dxa"/>
            <w:gridSpan w:val="3"/>
            <w:vMerge w:val="continue"/>
            <w:vAlign w:val="center"/>
          </w:tcPr>
          <w:p>
            <w:pPr>
              <w:widowControl/>
              <w:adjustRightInd w:val="0"/>
              <w:snapToGrid w:val="0"/>
              <w:jc w:val="left"/>
              <w:rPr>
                <w:rFonts w:ascii="宋体" w:cs="宋体"/>
                <w:color w:val="auto"/>
                <w:szCs w:val="21"/>
              </w:rPr>
            </w:pPr>
          </w:p>
        </w:tc>
        <w:tc>
          <w:tcPr>
            <w:tcW w:w="1575" w:type="dxa"/>
            <w:gridSpan w:val="2"/>
            <w:vMerge w:val="continue"/>
            <w:vAlign w:val="center"/>
          </w:tcPr>
          <w:p>
            <w:pPr>
              <w:widowControl/>
              <w:adjustRightInd w:val="0"/>
              <w:snapToGrid w:val="0"/>
              <w:jc w:val="left"/>
              <w:rPr>
                <w:rFonts w:ascii="宋体" w:cs="宋体"/>
                <w:color w:val="auto"/>
                <w:szCs w:val="21"/>
              </w:rPr>
            </w:pPr>
          </w:p>
        </w:tc>
        <w:tc>
          <w:tcPr>
            <w:tcW w:w="1650" w:type="dxa"/>
            <w:gridSpan w:val="2"/>
            <w:vMerge w:val="continue"/>
            <w:vAlign w:val="center"/>
          </w:tcPr>
          <w:p>
            <w:pPr>
              <w:widowControl/>
              <w:adjustRightInd w:val="0"/>
              <w:snapToGrid w:val="0"/>
              <w:jc w:val="left"/>
              <w:rPr>
                <w:rFonts w:ascii="宋体" w:cs="宋体"/>
                <w:color w:val="auto"/>
                <w:szCs w:val="21"/>
              </w:rPr>
            </w:pPr>
          </w:p>
        </w:tc>
        <w:tc>
          <w:tcPr>
            <w:tcW w:w="990" w:type="dxa"/>
            <w:gridSpan w:val="2"/>
            <w:vAlign w:val="center"/>
          </w:tcPr>
          <w:p>
            <w:pPr>
              <w:adjustRightInd w:val="0"/>
              <w:snapToGrid w:val="0"/>
              <w:jc w:val="center"/>
              <w:rPr>
                <w:rFonts w:ascii="宋体" w:cs="宋体"/>
                <w:color w:val="auto"/>
                <w:szCs w:val="21"/>
              </w:rPr>
            </w:pPr>
          </w:p>
        </w:tc>
        <w:tc>
          <w:tcPr>
            <w:tcW w:w="990" w:type="dxa"/>
            <w:gridSpan w:val="2"/>
            <w:vAlign w:val="center"/>
          </w:tcPr>
          <w:p>
            <w:pPr>
              <w:adjustRightInd w:val="0"/>
              <w:snapToGrid w:val="0"/>
              <w:jc w:val="center"/>
              <w:rPr>
                <w:rFonts w:ascii="宋体" w:cs="宋体"/>
                <w:color w:val="auto"/>
                <w:szCs w:val="21"/>
              </w:rPr>
            </w:pPr>
          </w:p>
        </w:tc>
        <w:tc>
          <w:tcPr>
            <w:tcW w:w="999" w:type="dxa"/>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337" w:type="dxa"/>
            <w:gridSpan w:val="3"/>
            <w:vMerge w:val="restart"/>
            <w:vAlign w:val="center"/>
          </w:tcPr>
          <w:p>
            <w:pPr>
              <w:adjustRightInd w:val="0"/>
              <w:snapToGrid w:val="0"/>
              <w:jc w:val="center"/>
              <w:rPr>
                <w:rFonts w:ascii="宋体" w:cs="宋体"/>
                <w:color w:val="auto"/>
                <w:szCs w:val="21"/>
              </w:rPr>
            </w:pPr>
            <w:r>
              <w:rPr>
                <w:rFonts w:hint="eastAsia" w:ascii="宋体" w:hAnsi="宋体" w:cs="宋体"/>
                <w:color w:val="auto"/>
                <w:szCs w:val="21"/>
              </w:rPr>
              <w:t>近三年参加省级及其以上行政机关商品质量抽检任务情况</w:t>
            </w:r>
          </w:p>
        </w:tc>
        <w:tc>
          <w:tcPr>
            <w:tcW w:w="1391" w:type="dxa"/>
            <w:vAlign w:val="center"/>
          </w:tcPr>
          <w:p>
            <w:pPr>
              <w:adjustRightInd w:val="0"/>
              <w:snapToGrid w:val="0"/>
              <w:jc w:val="center"/>
              <w:rPr>
                <w:rFonts w:ascii="宋体" w:cs="宋体"/>
                <w:color w:val="auto"/>
                <w:szCs w:val="21"/>
              </w:rPr>
            </w:pPr>
            <w:r>
              <w:rPr>
                <w:rFonts w:hint="eastAsia" w:ascii="宋体" w:hAnsi="宋体" w:cs="宋体"/>
                <w:color w:val="auto"/>
                <w:szCs w:val="21"/>
              </w:rPr>
              <w:t>批次数</w:t>
            </w:r>
          </w:p>
        </w:tc>
        <w:tc>
          <w:tcPr>
            <w:tcW w:w="4813" w:type="dxa"/>
            <w:gridSpan w:val="8"/>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337" w:type="dxa"/>
            <w:gridSpan w:val="3"/>
            <w:vMerge w:val="continue"/>
            <w:vAlign w:val="center"/>
          </w:tcPr>
          <w:p>
            <w:pPr>
              <w:widowControl/>
              <w:adjustRightInd w:val="0"/>
              <w:snapToGrid w:val="0"/>
              <w:jc w:val="left"/>
              <w:rPr>
                <w:rFonts w:ascii="宋体" w:cs="宋体"/>
                <w:color w:val="auto"/>
                <w:szCs w:val="21"/>
              </w:rPr>
            </w:pPr>
          </w:p>
        </w:tc>
        <w:tc>
          <w:tcPr>
            <w:tcW w:w="1391" w:type="dxa"/>
            <w:vAlign w:val="center"/>
          </w:tcPr>
          <w:p>
            <w:pPr>
              <w:adjustRightInd w:val="0"/>
              <w:snapToGrid w:val="0"/>
              <w:jc w:val="center"/>
              <w:rPr>
                <w:rFonts w:ascii="宋体" w:cs="宋体"/>
                <w:color w:val="auto"/>
                <w:szCs w:val="21"/>
              </w:rPr>
            </w:pPr>
            <w:r>
              <w:rPr>
                <w:rFonts w:hint="eastAsia" w:ascii="宋体" w:hAnsi="宋体" w:cs="宋体"/>
                <w:color w:val="auto"/>
                <w:szCs w:val="21"/>
              </w:rPr>
              <w:t>不合格数</w:t>
            </w:r>
          </w:p>
        </w:tc>
        <w:tc>
          <w:tcPr>
            <w:tcW w:w="4813" w:type="dxa"/>
            <w:gridSpan w:val="8"/>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337" w:type="dxa"/>
            <w:gridSpan w:val="3"/>
            <w:vMerge w:val="continue"/>
            <w:vAlign w:val="center"/>
          </w:tcPr>
          <w:p>
            <w:pPr>
              <w:widowControl/>
              <w:adjustRightInd w:val="0"/>
              <w:snapToGrid w:val="0"/>
              <w:jc w:val="left"/>
              <w:rPr>
                <w:rFonts w:ascii="宋体" w:cs="宋体"/>
                <w:color w:val="auto"/>
                <w:szCs w:val="21"/>
              </w:rPr>
            </w:pPr>
          </w:p>
        </w:tc>
        <w:tc>
          <w:tcPr>
            <w:tcW w:w="1391" w:type="dxa"/>
            <w:vAlign w:val="center"/>
          </w:tcPr>
          <w:p>
            <w:pPr>
              <w:adjustRightInd w:val="0"/>
              <w:snapToGrid w:val="0"/>
              <w:jc w:val="center"/>
              <w:rPr>
                <w:rFonts w:ascii="宋体" w:cs="宋体"/>
                <w:color w:val="auto"/>
                <w:szCs w:val="21"/>
              </w:rPr>
            </w:pPr>
            <w:r>
              <w:rPr>
                <w:rFonts w:hint="eastAsia" w:ascii="宋体" w:hAnsi="宋体" w:cs="宋体"/>
                <w:color w:val="auto"/>
                <w:szCs w:val="21"/>
              </w:rPr>
              <w:t>经费</w:t>
            </w:r>
          </w:p>
        </w:tc>
        <w:tc>
          <w:tcPr>
            <w:tcW w:w="4813" w:type="dxa"/>
            <w:gridSpan w:val="8"/>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本次分配项目类似项目的分析报告</w:t>
            </w:r>
          </w:p>
        </w:tc>
        <w:tc>
          <w:tcPr>
            <w:tcW w:w="1391" w:type="dxa"/>
            <w:vAlign w:val="center"/>
          </w:tcPr>
          <w:p>
            <w:pPr>
              <w:adjustRightInd w:val="0"/>
              <w:snapToGrid w:val="0"/>
              <w:jc w:val="center"/>
              <w:rPr>
                <w:rFonts w:ascii="宋体" w:cs="宋体"/>
                <w:color w:val="auto"/>
                <w:szCs w:val="21"/>
              </w:rPr>
            </w:pPr>
            <w:r>
              <w:rPr>
                <w:rFonts w:hint="eastAsia" w:ascii="宋体" w:hAnsi="宋体" w:cs="宋体"/>
                <w:color w:val="auto"/>
                <w:szCs w:val="21"/>
              </w:rPr>
              <w:t>报告项目名称</w:t>
            </w:r>
          </w:p>
        </w:tc>
        <w:tc>
          <w:tcPr>
            <w:tcW w:w="4813" w:type="dxa"/>
            <w:gridSpan w:val="8"/>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jc w:val="center"/>
        </w:trPr>
        <w:tc>
          <w:tcPr>
            <w:tcW w:w="867" w:type="dxa"/>
            <w:vMerge w:val="restart"/>
            <w:vAlign w:val="center"/>
          </w:tcPr>
          <w:p>
            <w:pPr>
              <w:adjustRightInd w:val="0"/>
              <w:snapToGrid w:val="0"/>
              <w:jc w:val="center"/>
              <w:rPr>
                <w:rFonts w:ascii="宋体" w:cs="宋体"/>
                <w:color w:val="auto"/>
                <w:szCs w:val="21"/>
              </w:rPr>
            </w:pPr>
            <w:r>
              <w:rPr>
                <w:rFonts w:hint="eastAsia" w:ascii="宋体" w:hAnsi="宋体" w:cs="宋体"/>
                <w:color w:val="auto"/>
                <w:szCs w:val="21"/>
              </w:rPr>
              <w:t>检测机构有下列行为的取消分配资格</w:t>
            </w:r>
          </w:p>
        </w:tc>
        <w:tc>
          <w:tcPr>
            <w:tcW w:w="147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是否有相关不良行为</w:t>
            </w:r>
          </w:p>
        </w:tc>
        <w:tc>
          <w:tcPr>
            <w:tcW w:w="1575" w:type="dxa"/>
            <w:gridSpan w:val="2"/>
            <w:vAlign w:val="center"/>
          </w:tcPr>
          <w:p>
            <w:pPr>
              <w:adjustRightInd w:val="0"/>
              <w:snapToGrid w:val="0"/>
              <w:jc w:val="center"/>
              <w:rPr>
                <w:rFonts w:ascii="宋体" w:cs="宋体"/>
                <w:color w:val="auto"/>
                <w:szCs w:val="21"/>
              </w:rPr>
            </w:pPr>
          </w:p>
        </w:tc>
        <w:tc>
          <w:tcPr>
            <w:tcW w:w="165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是否有未按时完成项目行为</w:t>
            </w:r>
          </w:p>
        </w:tc>
        <w:tc>
          <w:tcPr>
            <w:tcW w:w="2979" w:type="dxa"/>
            <w:gridSpan w:val="5"/>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 w:type="dxa"/>
            <w:vMerge w:val="continue"/>
            <w:vAlign w:val="center"/>
          </w:tcPr>
          <w:p>
            <w:pPr>
              <w:widowControl/>
              <w:adjustRightInd w:val="0"/>
              <w:snapToGrid w:val="0"/>
              <w:jc w:val="left"/>
              <w:rPr>
                <w:rFonts w:ascii="宋体" w:cs="宋体"/>
                <w:color w:val="auto"/>
                <w:szCs w:val="21"/>
              </w:rPr>
            </w:pPr>
          </w:p>
        </w:tc>
        <w:tc>
          <w:tcPr>
            <w:tcW w:w="147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是否有泄密行为</w:t>
            </w:r>
          </w:p>
        </w:tc>
        <w:tc>
          <w:tcPr>
            <w:tcW w:w="1575" w:type="dxa"/>
            <w:gridSpan w:val="2"/>
            <w:vAlign w:val="center"/>
          </w:tcPr>
          <w:p>
            <w:pPr>
              <w:adjustRightInd w:val="0"/>
              <w:snapToGrid w:val="0"/>
              <w:jc w:val="center"/>
              <w:rPr>
                <w:rFonts w:ascii="宋体" w:cs="宋体"/>
                <w:color w:val="auto"/>
                <w:szCs w:val="21"/>
              </w:rPr>
            </w:pPr>
          </w:p>
        </w:tc>
        <w:tc>
          <w:tcPr>
            <w:tcW w:w="1650" w:type="dxa"/>
            <w:gridSpan w:val="2"/>
            <w:vAlign w:val="center"/>
          </w:tcPr>
          <w:p>
            <w:pPr>
              <w:adjustRightInd w:val="0"/>
              <w:snapToGrid w:val="0"/>
              <w:jc w:val="center"/>
              <w:rPr>
                <w:rFonts w:ascii="宋体" w:cs="宋体"/>
                <w:color w:val="auto"/>
                <w:szCs w:val="21"/>
              </w:rPr>
            </w:pPr>
            <w:r>
              <w:rPr>
                <w:rFonts w:hint="eastAsia" w:ascii="宋体" w:hAnsi="宋体" w:cs="宋体"/>
                <w:color w:val="auto"/>
                <w:szCs w:val="21"/>
              </w:rPr>
              <w:t>项目组人员是否有虚假</w:t>
            </w:r>
          </w:p>
        </w:tc>
        <w:tc>
          <w:tcPr>
            <w:tcW w:w="2979" w:type="dxa"/>
            <w:gridSpan w:val="5"/>
            <w:vAlign w:val="center"/>
          </w:tcPr>
          <w:p>
            <w:pPr>
              <w:adjustRightInd w:val="0"/>
              <w:snapToGrid w:val="0"/>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2337" w:type="dxa"/>
            <w:gridSpan w:val="3"/>
            <w:vAlign w:val="center"/>
          </w:tcPr>
          <w:p>
            <w:pPr>
              <w:adjustRightInd w:val="0"/>
              <w:snapToGrid w:val="0"/>
              <w:jc w:val="center"/>
              <w:rPr>
                <w:rFonts w:ascii="宋体" w:cs="宋体"/>
                <w:b/>
                <w:bCs/>
                <w:color w:val="auto"/>
                <w:szCs w:val="21"/>
              </w:rPr>
            </w:pPr>
            <w:r>
              <w:rPr>
                <w:rFonts w:hint="eastAsia" w:ascii="宋体" w:hAnsi="宋体" w:cs="宋体"/>
                <w:b/>
                <w:bCs/>
                <w:color w:val="auto"/>
                <w:szCs w:val="21"/>
              </w:rPr>
              <w:t>本次项目报价</w:t>
            </w:r>
          </w:p>
        </w:tc>
        <w:tc>
          <w:tcPr>
            <w:tcW w:w="6204" w:type="dxa"/>
            <w:gridSpan w:val="9"/>
            <w:vAlign w:val="center"/>
          </w:tcPr>
          <w:p>
            <w:pPr>
              <w:adjustRightInd w:val="0"/>
              <w:snapToGrid w:val="0"/>
              <w:jc w:val="center"/>
              <w:rPr>
                <w:rFonts w:ascii="宋体" w:cs="宋体"/>
                <w:b/>
                <w:bCs/>
                <w:color w:val="auto"/>
                <w:szCs w:val="21"/>
              </w:rPr>
            </w:pPr>
            <w:r>
              <w:rPr>
                <w:rFonts w:hint="eastAsia" w:ascii="宋体" w:hAnsi="宋体" w:cs="宋体"/>
                <w:b/>
                <w:bCs/>
                <w:color w:val="auto"/>
                <w:szCs w:val="21"/>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2337" w:type="dxa"/>
            <w:gridSpan w:val="3"/>
            <w:vAlign w:val="center"/>
          </w:tcPr>
          <w:p>
            <w:pPr>
              <w:adjustRightInd w:val="0"/>
              <w:snapToGrid w:val="0"/>
              <w:jc w:val="center"/>
              <w:rPr>
                <w:rFonts w:ascii="宋体" w:cs="宋体"/>
                <w:color w:val="auto"/>
                <w:szCs w:val="21"/>
              </w:rPr>
            </w:pPr>
            <w:r>
              <w:rPr>
                <w:rFonts w:hint="eastAsia" w:ascii="宋体" w:hAnsi="宋体" w:cs="宋体"/>
                <w:color w:val="auto"/>
                <w:szCs w:val="21"/>
              </w:rPr>
              <w:t>报价分值（</w:t>
            </w:r>
            <w:r>
              <w:rPr>
                <w:rFonts w:ascii="宋体" w:hAnsi="宋体" w:cs="宋体"/>
                <w:color w:val="auto"/>
                <w:szCs w:val="21"/>
              </w:rPr>
              <w:t>40</w:t>
            </w:r>
            <w:r>
              <w:rPr>
                <w:rFonts w:hint="eastAsia" w:ascii="宋体" w:hAnsi="宋体" w:cs="宋体"/>
                <w:color w:val="auto"/>
                <w:szCs w:val="21"/>
              </w:rPr>
              <w:t>分）</w:t>
            </w:r>
          </w:p>
        </w:tc>
        <w:tc>
          <w:tcPr>
            <w:tcW w:w="6204" w:type="dxa"/>
            <w:gridSpan w:val="9"/>
            <w:vAlign w:val="center"/>
          </w:tcPr>
          <w:p>
            <w:pPr>
              <w:adjustRightInd w:val="0"/>
              <w:snapToGrid w:val="0"/>
              <w:rPr>
                <w:rFonts w:ascii="宋体" w:cs="宋体"/>
                <w:color w:val="auto"/>
                <w:szCs w:val="21"/>
              </w:rPr>
            </w:pPr>
            <w:r>
              <w:rPr>
                <w:rFonts w:hint="eastAsia" w:ascii="宋体" w:hAnsi="宋体" w:cs="宋体"/>
                <w:color w:val="auto"/>
                <w:szCs w:val="21"/>
              </w:rPr>
              <w:t>各投标人对委托检测商品单批次报价的平均值作为评标基准价，</w:t>
            </w:r>
          </w:p>
          <w:p>
            <w:pPr>
              <w:adjustRightInd w:val="0"/>
              <w:snapToGrid w:val="0"/>
              <w:jc w:val="left"/>
              <w:rPr>
                <w:rFonts w:ascii="宋体" w:hAnsi="宋体" w:cs="宋体"/>
                <w:color w:val="auto"/>
                <w:szCs w:val="21"/>
              </w:rPr>
            </w:pPr>
            <w:r>
              <w:rPr>
                <w:rFonts w:hint="eastAsia" w:ascii="宋体" w:hAnsi="宋体" w:cs="宋体"/>
                <w:color w:val="auto"/>
                <w:szCs w:val="21"/>
              </w:rPr>
              <w:t>项目报价等于评标基准价，得40分</w:t>
            </w:r>
          </w:p>
          <w:p>
            <w:pPr>
              <w:adjustRightInd w:val="0"/>
              <w:snapToGrid w:val="0"/>
              <w:jc w:val="left"/>
              <w:rPr>
                <w:rFonts w:ascii="宋体" w:cs="宋体"/>
                <w:color w:val="auto"/>
                <w:szCs w:val="21"/>
              </w:rPr>
            </w:pPr>
            <w:r>
              <w:rPr>
                <w:rFonts w:hint="eastAsia" w:ascii="宋体" w:hAnsi="宋体" w:cs="宋体"/>
                <w:color w:val="auto"/>
                <w:szCs w:val="21"/>
              </w:rPr>
              <w:t>投标报价每高于评标基准价1%，扣1分；投标报价每低于评标基准价0.5%，扣0.5分。计算分值保留小数点后</w:t>
            </w:r>
            <w:r>
              <w:rPr>
                <w:rFonts w:ascii="宋体" w:hAnsi="宋体" w:cs="宋体"/>
                <w:color w:val="auto"/>
                <w:szCs w:val="21"/>
              </w:rPr>
              <w:t>2</w:t>
            </w:r>
            <w:r>
              <w:rPr>
                <w:rFonts w:hint="eastAsia" w:ascii="宋体" w:hAnsi="宋体" w:cs="宋体"/>
                <w:color w:val="auto"/>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092" w:type="dxa"/>
            <w:gridSpan w:val="2"/>
            <w:vMerge w:val="restart"/>
            <w:textDirection w:val="tbRlV"/>
            <w:vAlign w:val="center"/>
          </w:tcPr>
          <w:p>
            <w:pPr>
              <w:adjustRightInd w:val="0"/>
              <w:snapToGrid w:val="0"/>
              <w:jc w:val="center"/>
              <w:rPr>
                <w:rFonts w:ascii="宋体" w:cs="宋体"/>
                <w:color w:val="auto"/>
                <w:szCs w:val="21"/>
              </w:rPr>
            </w:pPr>
            <w:r>
              <w:rPr>
                <w:rFonts w:hint="eastAsia" w:ascii="宋体" w:hAnsi="宋体" w:cs="宋体"/>
                <w:color w:val="auto"/>
                <w:szCs w:val="21"/>
              </w:rPr>
              <w:t>承检机构项目分配评分值（</w:t>
            </w:r>
            <w:r>
              <w:rPr>
                <w:rFonts w:ascii="宋体" w:hAnsi="宋体" w:cs="宋体"/>
                <w:color w:val="auto"/>
                <w:szCs w:val="21"/>
              </w:rPr>
              <w:t>60</w:t>
            </w:r>
            <w:r>
              <w:rPr>
                <w:rFonts w:hint="eastAsia" w:ascii="宋体" w:hAnsi="宋体" w:cs="宋体"/>
                <w:color w:val="auto"/>
                <w:szCs w:val="21"/>
              </w:rPr>
              <w:t>分）</w:t>
            </w:r>
          </w:p>
        </w:tc>
        <w:tc>
          <w:tcPr>
            <w:tcW w:w="5901" w:type="dxa"/>
            <w:gridSpan w:val="8"/>
            <w:vAlign w:val="center"/>
          </w:tcPr>
          <w:p>
            <w:pPr>
              <w:adjustRightInd w:val="0"/>
              <w:snapToGrid w:val="0"/>
              <w:ind w:firstLine="52" w:firstLineChars="25"/>
              <w:rPr>
                <w:rFonts w:ascii="宋体" w:cs="宋体"/>
                <w:color w:val="auto"/>
                <w:szCs w:val="21"/>
              </w:rPr>
            </w:pPr>
            <w:r>
              <w:rPr>
                <w:rFonts w:hint="eastAsia" w:ascii="宋体" w:hAnsi="宋体" w:cs="宋体"/>
                <w:color w:val="auto"/>
                <w:szCs w:val="21"/>
              </w:rPr>
              <w:t>根据入围承检机构提供的本项目所需实施周期，每提前</w:t>
            </w:r>
            <w:r>
              <w:rPr>
                <w:rFonts w:ascii="宋体" w:hAnsi="宋体" w:cs="宋体"/>
                <w:color w:val="auto"/>
                <w:szCs w:val="21"/>
              </w:rPr>
              <w:t>1</w:t>
            </w:r>
            <w:r>
              <w:rPr>
                <w:rFonts w:hint="eastAsia" w:ascii="宋体" w:hAnsi="宋体" w:cs="宋体"/>
                <w:color w:val="auto"/>
                <w:szCs w:val="21"/>
              </w:rPr>
              <w:t>天，加</w:t>
            </w:r>
            <w:r>
              <w:rPr>
                <w:rFonts w:ascii="宋体" w:hAnsi="宋体" w:cs="宋体"/>
                <w:color w:val="auto"/>
                <w:szCs w:val="21"/>
              </w:rPr>
              <w:t>0.5</w:t>
            </w:r>
            <w:r>
              <w:rPr>
                <w:rFonts w:hint="eastAsia" w:ascii="宋体" w:hAnsi="宋体" w:cs="宋体"/>
                <w:color w:val="auto"/>
                <w:szCs w:val="21"/>
              </w:rPr>
              <w:t>分，最高</w:t>
            </w:r>
            <w:r>
              <w:rPr>
                <w:rFonts w:ascii="宋体" w:hAnsi="宋体" w:cs="宋体"/>
                <w:color w:val="auto"/>
                <w:szCs w:val="21"/>
              </w:rPr>
              <w:t>5</w:t>
            </w:r>
            <w:r>
              <w:rPr>
                <w:rFonts w:hint="eastAsia" w:ascii="宋体" w:hAnsi="宋体" w:cs="宋体"/>
                <w:color w:val="auto"/>
                <w:szCs w:val="21"/>
              </w:rPr>
              <w:t>分。（</w:t>
            </w:r>
            <w:r>
              <w:rPr>
                <w:rFonts w:ascii="宋体" w:hAnsi="宋体" w:cs="宋体"/>
                <w:color w:val="auto"/>
                <w:szCs w:val="21"/>
              </w:rPr>
              <w:t>0-5</w:t>
            </w:r>
            <w:r>
              <w:rPr>
                <w:rFonts w:hint="eastAsia" w:ascii="宋体" w:hAnsi="宋体" w:cs="宋体"/>
                <w:color w:val="auto"/>
                <w:szCs w:val="21"/>
              </w:rPr>
              <w:t>分）</w:t>
            </w:r>
          </w:p>
        </w:tc>
        <w:tc>
          <w:tcPr>
            <w:tcW w:w="1548" w:type="dxa"/>
            <w:gridSpan w:val="2"/>
            <w:vAlign w:val="center"/>
          </w:tcPr>
          <w:p>
            <w:pPr>
              <w:adjustRightInd w:val="0"/>
              <w:snapToGrid w:val="0"/>
              <w:ind w:firstLine="52" w:firstLineChars="25"/>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092" w:type="dxa"/>
            <w:gridSpan w:val="2"/>
            <w:vMerge w:val="continue"/>
            <w:vAlign w:val="center"/>
          </w:tcPr>
          <w:p>
            <w:pPr>
              <w:widowControl/>
              <w:adjustRightInd w:val="0"/>
              <w:snapToGrid w:val="0"/>
              <w:jc w:val="left"/>
              <w:rPr>
                <w:rFonts w:ascii="宋体" w:cs="宋体"/>
                <w:color w:val="auto"/>
                <w:szCs w:val="21"/>
              </w:rPr>
            </w:pPr>
          </w:p>
        </w:tc>
        <w:tc>
          <w:tcPr>
            <w:tcW w:w="5901" w:type="dxa"/>
            <w:gridSpan w:val="8"/>
            <w:vAlign w:val="center"/>
          </w:tcPr>
          <w:p>
            <w:pPr>
              <w:adjustRightInd w:val="0"/>
              <w:snapToGrid w:val="0"/>
              <w:ind w:firstLine="52" w:firstLineChars="25"/>
              <w:rPr>
                <w:rFonts w:ascii="宋体" w:cs="宋体"/>
                <w:color w:val="auto"/>
                <w:szCs w:val="21"/>
              </w:rPr>
            </w:pPr>
            <w:r>
              <w:rPr>
                <w:rFonts w:hint="eastAsia" w:ascii="宋体" w:hAnsi="宋体" w:cs="宋体"/>
                <w:color w:val="auto"/>
                <w:szCs w:val="21"/>
              </w:rPr>
              <w:t>根据入围承检机构提供的资质认定（计量认证）证书附表批准的检测项目承检完整度，能承检所有项目得</w:t>
            </w:r>
            <w:r>
              <w:rPr>
                <w:rFonts w:ascii="宋体" w:hAnsi="宋体" w:cs="宋体"/>
                <w:color w:val="auto"/>
                <w:szCs w:val="21"/>
              </w:rPr>
              <w:t>10</w:t>
            </w:r>
            <w:r>
              <w:rPr>
                <w:rFonts w:hint="eastAsia" w:ascii="宋体" w:hAnsi="宋体" w:cs="宋体"/>
                <w:color w:val="auto"/>
                <w:szCs w:val="21"/>
              </w:rPr>
              <w:t>分，不能承检测一个项目扣</w:t>
            </w:r>
            <w:r>
              <w:rPr>
                <w:rFonts w:ascii="宋体" w:hAnsi="宋体" w:cs="宋体"/>
                <w:color w:val="auto"/>
                <w:szCs w:val="21"/>
              </w:rPr>
              <w:t>2</w:t>
            </w:r>
            <w:r>
              <w:rPr>
                <w:rFonts w:hint="eastAsia" w:ascii="宋体" w:hAnsi="宋体" w:cs="宋体"/>
                <w:color w:val="auto"/>
                <w:szCs w:val="21"/>
              </w:rPr>
              <w:t>分，依次类推，扣至零分为止。（</w:t>
            </w:r>
            <w:r>
              <w:rPr>
                <w:rFonts w:ascii="宋体" w:hAnsi="宋体" w:cs="宋体"/>
                <w:color w:val="auto"/>
                <w:szCs w:val="21"/>
              </w:rPr>
              <w:t>0-15</w:t>
            </w:r>
            <w:r>
              <w:rPr>
                <w:rFonts w:hint="eastAsia" w:ascii="宋体" w:hAnsi="宋体" w:cs="宋体"/>
                <w:color w:val="auto"/>
                <w:szCs w:val="21"/>
              </w:rPr>
              <w:t>分）</w:t>
            </w:r>
          </w:p>
        </w:tc>
        <w:tc>
          <w:tcPr>
            <w:tcW w:w="1548" w:type="dxa"/>
            <w:gridSpan w:val="2"/>
            <w:vAlign w:val="center"/>
          </w:tcPr>
          <w:p>
            <w:pPr>
              <w:adjustRightInd w:val="0"/>
              <w:snapToGrid w:val="0"/>
              <w:ind w:firstLine="52" w:firstLineChars="25"/>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092" w:type="dxa"/>
            <w:gridSpan w:val="2"/>
            <w:vMerge w:val="continue"/>
            <w:vAlign w:val="center"/>
          </w:tcPr>
          <w:p>
            <w:pPr>
              <w:widowControl/>
              <w:adjustRightInd w:val="0"/>
              <w:snapToGrid w:val="0"/>
              <w:jc w:val="left"/>
              <w:rPr>
                <w:rFonts w:ascii="宋体" w:cs="宋体"/>
                <w:color w:val="auto"/>
                <w:szCs w:val="21"/>
              </w:rPr>
            </w:pPr>
          </w:p>
        </w:tc>
        <w:tc>
          <w:tcPr>
            <w:tcW w:w="5901" w:type="dxa"/>
            <w:gridSpan w:val="8"/>
            <w:vAlign w:val="center"/>
          </w:tcPr>
          <w:p>
            <w:pPr>
              <w:adjustRightInd w:val="0"/>
              <w:snapToGrid w:val="0"/>
              <w:ind w:firstLine="52" w:firstLineChars="25"/>
              <w:rPr>
                <w:rFonts w:ascii="宋体" w:cs="宋体"/>
                <w:color w:val="auto"/>
                <w:szCs w:val="21"/>
              </w:rPr>
            </w:pPr>
            <w:r>
              <w:rPr>
                <w:rFonts w:hint="eastAsia" w:ascii="宋体" w:hAnsi="宋体" w:cs="宋体"/>
                <w:color w:val="auto"/>
                <w:szCs w:val="21"/>
              </w:rPr>
              <w:t>近三年参加市级及其以上行政机关商品质量抽检任务情况，项目批次数由高到低排列，分为高中低三档，高</w:t>
            </w:r>
            <w:r>
              <w:rPr>
                <w:rFonts w:ascii="宋体" w:hAnsi="宋体" w:cs="宋体"/>
                <w:color w:val="auto"/>
                <w:szCs w:val="21"/>
              </w:rPr>
              <w:t>5</w:t>
            </w:r>
            <w:r>
              <w:rPr>
                <w:rFonts w:hint="eastAsia" w:ascii="宋体" w:hAnsi="宋体" w:cs="宋体"/>
                <w:color w:val="auto"/>
                <w:szCs w:val="21"/>
              </w:rPr>
              <w:t>分、中</w:t>
            </w:r>
            <w:r>
              <w:rPr>
                <w:rFonts w:ascii="宋体" w:hAnsi="宋体" w:cs="宋体"/>
                <w:color w:val="auto"/>
                <w:szCs w:val="21"/>
              </w:rPr>
              <w:t>3</w:t>
            </w:r>
            <w:r>
              <w:rPr>
                <w:rFonts w:hint="eastAsia" w:ascii="宋体" w:hAnsi="宋体" w:cs="宋体"/>
                <w:color w:val="auto"/>
                <w:szCs w:val="21"/>
              </w:rPr>
              <w:t>分、低</w:t>
            </w:r>
            <w:r>
              <w:rPr>
                <w:rFonts w:ascii="宋体" w:hAnsi="宋体" w:cs="宋体"/>
                <w:color w:val="auto"/>
                <w:szCs w:val="21"/>
              </w:rPr>
              <w:t>2</w:t>
            </w:r>
            <w:r>
              <w:rPr>
                <w:rFonts w:hint="eastAsia" w:ascii="宋体" w:hAnsi="宋体" w:cs="宋体"/>
                <w:color w:val="auto"/>
                <w:szCs w:val="21"/>
              </w:rPr>
              <w:t>分；项目抽检不合格数，由高到低排列，分为高中低三档，高</w:t>
            </w:r>
            <w:r>
              <w:rPr>
                <w:rFonts w:ascii="宋体" w:hAnsi="宋体" w:cs="宋体"/>
                <w:color w:val="auto"/>
                <w:szCs w:val="21"/>
              </w:rPr>
              <w:t>5</w:t>
            </w:r>
            <w:r>
              <w:rPr>
                <w:rFonts w:hint="eastAsia" w:ascii="宋体" w:hAnsi="宋体" w:cs="宋体"/>
                <w:color w:val="auto"/>
                <w:szCs w:val="21"/>
              </w:rPr>
              <w:t>分、中</w:t>
            </w:r>
            <w:r>
              <w:rPr>
                <w:rFonts w:ascii="宋体" w:hAnsi="宋体" w:cs="宋体"/>
                <w:color w:val="auto"/>
                <w:szCs w:val="21"/>
              </w:rPr>
              <w:t>3</w:t>
            </w:r>
            <w:r>
              <w:rPr>
                <w:rFonts w:hint="eastAsia" w:ascii="宋体" w:hAnsi="宋体" w:cs="宋体"/>
                <w:color w:val="auto"/>
                <w:szCs w:val="21"/>
              </w:rPr>
              <w:t>分、低</w:t>
            </w:r>
            <w:r>
              <w:rPr>
                <w:rFonts w:ascii="宋体" w:hAnsi="宋体" w:cs="宋体"/>
                <w:color w:val="auto"/>
                <w:szCs w:val="21"/>
              </w:rPr>
              <w:t>2</w:t>
            </w:r>
            <w:r>
              <w:rPr>
                <w:rFonts w:hint="eastAsia" w:ascii="宋体" w:hAnsi="宋体" w:cs="宋体"/>
                <w:color w:val="auto"/>
                <w:szCs w:val="21"/>
              </w:rPr>
              <w:t>分；项目使用经费（抽检费用和买样费</w:t>
            </w:r>
            <w:r>
              <w:rPr>
                <w:rFonts w:ascii="宋体" w:hAnsi="宋体" w:cs="宋体"/>
                <w:color w:val="auto"/>
                <w:szCs w:val="21"/>
              </w:rPr>
              <w:t>)</w:t>
            </w:r>
            <w:r>
              <w:rPr>
                <w:rFonts w:hint="eastAsia" w:ascii="宋体" w:hAnsi="宋体" w:cs="宋体"/>
                <w:color w:val="auto"/>
                <w:szCs w:val="21"/>
              </w:rPr>
              <w:t>，由高到低排列，分为高中低三档，高</w:t>
            </w:r>
            <w:r>
              <w:rPr>
                <w:rFonts w:ascii="宋体" w:hAnsi="宋体" w:cs="宋体"/>
                <w:color w:val="auto"/>
                <w:szCs w:val="21"/>
              </w:rPr>
              <w:t>5</w:t>
            </w:r>
            <w:r>
              <w:rPr>
                <w:rFonts w:hint="eastAsia" w:ascii="宋体" w:hAnsi="宋体" w:cs="宋体"/>
                <w:color w:val="auto"/>
                <w:szCs w:val="21"/>
              </w:rPr>
              <w:t>分、中</w:t>
            </w:r>
            <w:r>
              <w:rPr>
                <w:rFonts w:ascii="宋体" w:hAnsi="宋体" w:cs="宋体"/>
                <w:color w:val="auto"/>
                <w:szCs w:val="21"/>
              </w:rPr>
              <w:t>3</w:t>
            </w:r>
            <w:r>
              <w:rPr>
                <w:rFonts w:hint="eastAsia" w:ascii="宋体" w:hAnsi="宋体" w:cs="宋体"/>
                <w:color w:val="auto"/>
                <w:szCs w:val="21"/>
              </w:rPr>
              <w:t>分、低</w:t>
            </w:r>
            <w:r>
              <w:rPr>
                <w:rFonts w:ascii="宋体" w:hAnsi="宋体" w:cs="宋体"/>
                <w:color w:val="auto"/>
                <w:szCs w:val="21"/>
              </w:rPr>
              <w:t>2</w:t>
            </w:r>
            <w:r>
              <w:rPr>
                <w:rFonts w:hint="eastAsia" w:ascii="宋体" w:hAnsi="宋体" w:cs="宋体"/>
                <w:color w:val="auto"/>
                <w:szCs w:val="21"/>
              </w:rPr>
              <w:t>分．（</w:t>
            </w:r>
            <w:r>
              <w:rPr>
                <w:rFonts w:ascii="宋体" w:hAnsi="宋体" w:cs="宋体"/>
                <w:color w:val="auto"/>
                <w:szCs w:val="21"/>
              </w:rPr>
              <w:t>0-15</w:t>
            </w:r>
            <w:r>
              <w:rPr>
                <w:rFonts w:hint="eastAsia" w:ascii="宋体" w:hAnsi="宋体" w:cs="宋体"/>
                <w:color w:val="auto"/>
                <w:szCs w:val="21"/>
              </w:rPr>
              <w:t>分）</w:t>
            </w:r>
          </w:p>
        </w:tc>
        <w:tc>
          <w:tcPr>
            <w:tcW w:w="1548" w:type="dxa"/>
            <w:gridSpan w:val="2"/>
            <w:vAlign w:val="center"/>
          </w:tcPr>
          <w:p>
            <w:pPr>
              <w:adjustRightInd w:val="0"/>
              <w:snapToGrid w:val="0"/>
              <w:ind w:firstLine="52" w:firstLineChars="25"/>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092" w:type="dxa"/>
            <w:gridSpan w:val="2"/>
            <w:vMerge w:val="continue"/>
            <w:vAlign w:val="center"/>
          </w:tcPr>
          <w:p>
            <w:pPr>
              <w:widowControl/>
              <w:adjustRightInd w:val="0"/>
              <w:snapToGrid w:val="0"/>
              <w:jc w:val="left"/>
              <w:rPr>
                <w:rFonts w:ascii="宋体" w:cs="宋体"/>
                <w:color w:val="auto"/>
                <w:szCs w:val="21"/>
              </w:rPr>
            </w:pPr>
          </w:p>
        </w:tc>
        <w:tc>
          <w:tcPr>
            <w:tcW w:w="5901" w:type="dxa"/>
            <w:gridSpan w:val="8"/>
            <w:vAlign w:val="center"/>
          </w:tcPr>
          <w:p>
            <w:pPr>
              <w:adjustRightInd w:val="0"/>
              <w:snapToGrid w:val="0"/>
              <w:rPr>
                <w:rFonts w:ascii="宋体" w:cs="宋体"/>
                <w:color w:val="auto"/>
                <w:szCs w:val="21"/>
              </w:rPr>
            </w:pPr>
            <w:r>
              <w:rPr>
                <w:rFonts w:hint="eastAsia" w:ascii="宋体" w:hAnsi="宋体" w:cs="宋体"/>
                <w:color w:val="auto"/>
                <w:szCs w:val="21"/>
              </w:rPr>
              <w:t>入围承检机构提供本次分配项目类似项目的分析报告（</w:t>
            </w:r>
            <w:r>
              <w:rPr>
                <w:rFonts w:ascii="宋体" w:hAnsi="宋体" w:cs="宋体"/>
                <w:color w:val="auto"/>
                <w:szCs w:val="21"/>
              </w:rPr>
              <w:t>0-10</w:t>
            </w:r>
            <w:r>
              <w:rPr>
                <w:rFonts w:hint="eastAsia" w:ascii="宋体" w:hAnsi="宋体" w:cs="宋体"/>
                <w:color w:val="auto"/>
                <w:szCs w:val="21"/>
              </w:rPr>
              <w:t>分）</w:t>
            </w:r>
          </w:p>
        </w:tc>
        <w:tc>
          <w:tcPr>
            <w:tcW w:w="1548" w:type="dxa"/>
            <w:gridSpan w:val="2"/>
            <w:vAlign w:val="center"/>
          </w:tcPr>
          <w:p>
            <w:pPr>
              <w:adjustRightInd w:val="0"/>
              <w:snapToGrid w:val="0"/>
              <w:ind w:firstLine="52" w:firstLineChars="25"/>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092" w:type="dxa"/>
            <w:gridSpan w:val="2"/>
            <w:vMerge w:val="continue"/>
            <w:vAlign w:val="center"/>
          </w:tcPr>
          <w:p>
            <w:pPr>
              <w:widowControl/>
              <w:adjustRightInd w:val="0"/>
              <w:snapToGrid w:val="0"/>
              <w:jc w:val="left"/>
              <w:rPr>
                <w:rFonts w:ascii="宋体" w:cs="宋体"/>
                <w:color w:val="auto"/>
                <w:szCs w:val="21"/>
              </w:rPr>
            </w:pPr>
          </w:p>
        </w:tc>
        <w:tc>
          <w:tcPr>
            <w:tcW w:w="5901" w:type="dxa"/>
            <w:gridSpan w:val="8"/>
            <w:vAlign w:val="center"/>
          </w:tcPr>
          <w:p>
            <w:pPr>
              <w:adjustRightInd w:val="0"/>
              <w:snapToGrid w:val="0"/>
              <w:rPr>
                <w:rFonts w:ascii="宋体" w:cs="宋体"/>
                <w:color w:val="auto"/>
                <w:szCs w:val="21"/>
              </w:rPr>
            </w:pPr>
            <w:r>
              <w:rPr>
                <w:rFonts w:hint="eastAsia" w:ascii="宋体" w:hAnsi="宋体" w:cs="宋体"/>
                <w:color w:val="auto"/>
                <w:szCs w:val="21"/>
              </w:rPr>
              <w:t>根据投标人技术人员一览表，具有国家级或高级专业职称，每人得</w:t>
            </w:r>
            <w:r>
              <w:rPr>
                <w:rFonts w:ascii="宋体" w:hAnsi="宋体" w:cs="宋体"/>
                <w:color w:val="auto"/>
                <w:szCs w:val="21"/>
              </w:rPr>
              <w:t>1</w:t>
            </w:r>
            <w:r>
              <w:rPr>
                <w:rFonts w:hint="eastAsia" w:ascii="宋体" w:hAnsi="宋体" w:cs="宋体"/>
                <w:color w:val="auto"/>
                <w:szCs w:val="21"/>
              </w:rPr>
              <w:t>分。具有省级或中级专业职称，每人得</w:t>
            </w:r>
            <w:r>
              <w:rPr>
                <w:rFonts w:ascii="宋体" w:hAnsi="宋体" w:cs="宋体"/>
                <w:color w:val="auto"/>
                <w:szCs w:val="21"/>
              </w:rPr>
              <w:t>0.5</w:t>
            </w:r>
            <w:r>
              <w:rPr>
                <w:rFonts w:hint="eastAsia" w:ascii="宋体" w:hAnsi="宋体" w:cs="宋体"/>
                <w:color w:val="auto"/>
                <w:szCs w:val="21"/>
              </w:rPr>
              <w:t>分。最高得</w:t>
            </w:r>
            <w:r>
              <w:rPr>
                <w:rFonts w:ascii="宋体" w:hAnsi="宋体" w:cs="宋体"/>
                <w:color w:val="auto"/>
                <w:szCs w:val="21"/>
              </w:rPr>
              <w:t>5</w:t>
            </w:r>
            <w:r>
              <w:rPr>
                <w:rFonts w:hint="eastAsia" w:ascii="宋体" w:hAnsi="宋体" w:cs="宋体"/>
                <w:color w:val="auto"/>
                <w:szCs w:val="21"/>
              </w:rPr>
              <w:t>分。</w:t>
            </w:r>
          </w:p>
        </w:tc>
        <w:tc>
          <w:tcPr>
            <w:tcW w:w="1548" w:type="dxa"/>
            <w:gridSpan w:val="2"/>
            <w:vAlign w:val="center"/>
          </w:tcPr>
          <w:p>
            <w:pPr>
              <w:adjustRightInd w:val="0"/>
              <w:snapToGrid w:val="0"/>
              <w:ind w:firstLine="52" w:firstLineChars="25"/>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092" w:type="dxa"/>
            <w:gridSpan w:val="2"/>
            <w:vMerge w:val="continue"/>
            <w:vAlign w:val="center"/>
          </w:tcPr>
          <w:p>
            <w:pPr>
              <w:widowControl/>
              <w:adjustRightInd w:val="0"/>
              <w:snapToGrid w:val="0"/>
              <w:jc w:val="left"/>
              <w:rPr>
                <w:rFonts w:ascii="宋体" w:cs="宋体"/>
                <w:color w:val="auto"/>
                <w:szCs w:val="21"/>
              </w:rPr>
            </w:pPr>
          </w:p>
        </w:tc>
        <w:tc>
          <w:tcPr>
            <w:tcW w:w="5901" w:type="dxa"/>
            <w:gridSpan w:val="8"/>
            <w:vAlign w:val="center"/>
          </w:tcPr>
          <w:p>
            <w:pPr>
              <w:adjustRightInd w:val="0"/>
              <w:snapToGrid w:val="0"/>
              <w:rPr>
                <w:rFonts w:ascii="宋体" w:cs="宋体"/>
                <w:color w:val="auto"/>
                <w:szCs w:val="21"/>
              </w:rPr>
            </w:pPr>
            <w:r>
              <w:rPr>
                <w:rFonts w:hint="eastAsia" w:ascii="宋体" w:hAnsi="宋体" w:cs="宋体"/>
                <w:color w:val="auto"/>
                <w:szCs w:val="21"/>
              </w:rPr>
              <w:t>投标人针对本项目拟投入的抽样人员配置方案，抽样人员的职称、经验，所投入人员的合理性、针对性、专业性等方面。承诺抽样负责人一年内不得变动。最高得</w:t>
            </w:r>
            <w:r>
              <w:rPr>
                <w:rFonts w:ascii="宋体" w:hAnsi="宋体" w:cs="宋体"/>
                <w:color w:val="auto"/>
                <w:szCs w:val="21"/>
              </w:rPr>
              <w:t>8</w:t>
            </w:r>
            <w:r>
              <w:rPr>
                <w:rFonts w:hint="eastAsia" w:ascii="宋体" w:hAnsi="宋体" w:cs="宋体"/>
                <w:color w:val="auto"/>
                <w:szCs w:val="21"/>
              </w:rPr>
              <w:t>分。</w:t>
            </w:r>
          </w:p>
          <w:p>
            <w:pPr>
              <w:adjustRightInd w:val="0"/>
              <w:snapToGrid w:val="0"/>
              <w:rPr>
                <w:rFonts w:ascii="宋体" w:cs="宋体"/>
                <w:color w:val="auto"/>
                <w:szCs w:val="21"/>
              </w:rPr>
            </w:pPr>
            <w:r>
              <w:rPr>
                <w:rFonts w:hint="eastAsia" w:ascii="宋体" w:hAnsi="宋体" w:cs="宋体"/>
                <w:color w:val="auto"/>
                <w:szCs w:val="21"/>
              </w:rPr>
              <w:t>（附相关证明材料）。</w:t>
            </w:r>
          </w:p>
        </w:tc>
        <w:tc>
          <w:tcPr>
            <w:tcW w:w="1548" w:type="dxa"/>
            <w:gridSpan w:val="2"/>
            <w:vAlign w:val="center"/>
          </w:tcPr>
          <w:p>
            <w:pPr>
              <w:adjustRightInd w:val="0"/>
              <w:snapToGrid w:val="0"/>
              <w:ind w:firstLine="52" w:firstLineChars="25"/>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092" w:type="dxa"/>
            <w:gridSpan w:val="2"/>
            <w:vMerge w:val="continue"/>
            <w:vAlign w:val="center"/>
          </w:tcPr>
          <w:p>
            <w:pPr>
              <w:widowControl/>
              <w:adjustRightInd w:val="0"/>
              <w:snapToGrid w:val="0"/>
              <w:jc w:val="left"/>
              <w:rPr>
                <w:rFonts w:ascii="宋体" w:cs="宋体"/>
                <w:color w:val="auto"/>
                <w:szCs w:val="21"/>
              </w:rPr>
            </w:pPr>
          </w:p>
        </w:tc>
        <w:tc>
          <w:tcPr>
            <w:tcW w:w="5901" w:type="dxa"/>
            <w:gridSpan w:val="8"/>
            <w:vAlign w:val="center"/>
          </w:tcPr>
          <w:p>
            <w:pPr>
              <w:adjustRightInd w:val="0"/>
              <w:snapToGrid w:val="0"/>
              <w:ind w:firstLine="52" w:firstLineChars="25"/>
              <w:rPr>
                <w:rFonts w:ascii="宋体" w:cs="宋体"/>
                <w:color w:val="auto"/>
                <w:szCs w:val="21"/>
              </w:rPr>
            </w:pPr>
            <w:r>
              <w:rPr>
                <w:rFonts w:hint="eastAsia" w:ascii="宋体" w:hAnsi="宋体" w:cs="宋体"/>
                <w:color w:val="auto"/>
                <w:szCs w:val="21"/>
              </w:rPr>
              <w:t>投标人提供必要的专用采样车，根据车辆专业性等硬件情况，最高得</w:t>
            </w:r>
            <w:r>
              <w:rPr>
                <w:rFonts w:ascii="宋体" w:hAnsi="宋体" w:cs="宋体"/>
                <w:color w:val="auto"/>
                <w:szCs w:val="21"/>
              </w:rPr>
              <w:t>2</w:t>
            </w:r>
            <w:r>
              <w:rPr>
                <w:rFonts w:hint="eastAsia" w:ascii="宋体" w:hAnsi="宋体" w:cs="宋体"/>
                <w:color w:val="auto"/>
                <w:szCs w:val="21"/>
              </w:rPr>
              <w:t>分。</w:t>
            </w:r>
          </w:p>
        </w:tc>
        <w:tc>
          <w:tcPr>
            <w:tcW w:w="1548" w:type="dxa"/>
            <w:gridSpan w:val="2"/>
            <w:vAlign w:val="center"/>
          </w:tcPr>
          <w:p>
            <w:pPr>
              <w:adjustRightInd w:val="0"/>
              <w:snapToGrid w:val="0"/>
              <w:ind w:firstLine="52" w:firstLineChars="25"/>
              <w:rPr>
                <w:rFonts w:ascii="宋体" w:cs="宋体"/>
                <w:color w:val="auto"/>
                <w:szCs w:val="21"/>
              </w:rPr>
            </w:pPr>
          </w:p>
        </w:tc>
      </w:tr>
    </w:tbl>
    <w:p>
      <w:pPr>
        <w:jc w:val="left"/>
        <w:rPr>
          <w:rFonts w:ascii="宋体" w:cs="宋体"/>
          <w:b/>
          <w:color w:val="auto"/>
          <w:szCs w:val="21"/>
        </w:rPr>
      </w:pPr>
      <w:r>
        <w:rPr>
          <w:rFonts w:ascii="宋体" w:hAnsi="宋体" w:cs="宋体"/>
          <w:b/>
          <w:color w:val="auto"/>
          <w:szCs w:val="21"/>
        </w:rPr>
        <w:t>2.2</w:t>
      </w:r>
      <w:r>
        <w:rPr>
          <w:rFonts w:hint="eastAsia" w:ascii="宋体" w:hAnsi="宋体" w:cs="宋体"/>
          <w:b/>
          <w:color w:val="auto"/>
          <w:szCs w:val="21"/>
        </w:rPr>
        <w:t>根据项目分配评价表得分最高的供应商确定具体检测任务的承检供应商。</w:t>
      </w:r>
    </w:p>
    <w:p>
      <w:pPr>
        <w:jc w:val="left"/>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承检供应商与采购人签订检验项目委托合同（附后）</w:t>
      </w:r>
    </w:p>
    <w:p>
      <w:pPr>
        <w:jc w:val="left"/>
        <w:rPr>
          <w:rFonts w:ascii="宋体" w:cs="宋体"/>
          <w:b/>
          <w:color w:val="auto"/>
          <w:sz w:val="44"/>
          <w:szCs w:val="44"/>
        </w:rPr>
        <w:sectPr>
          <w:pgSz w:w="11906" w:h="16838"/>
          <w:pgMar w:top="1440" w:right="1486" w:bottom="1440" w:left="1800" w:header="851" w:footer="992" w:gutter="0"/>
          <w:cols w:space="720" w:num="1"/>
          <w:docGrid w:type="lines" w:linePitch="312" w:charSpace="0"/>
        </w:sectPr>
      </w:pPr>
    </w:p>
    <w:p>
      <w:pPr>
        <w:jc w:val="center"/>
        <w:rPr>
          <w:rFonts w:ascii="宋体" w:cs="宋体"/>
          <w:b/>
          <w:color w:val="auto"/>
          <w:sz w:val="32"/>
          <w:szCs w:val="32"/>
        </w:rPr>
      </w:pPr>
      <w:r>
        <w:rPr>
          <w:rFonts w:hint="eastAsia" w:ascii="宋体" w:hAnsi="宋体" w:cs="宋体"/>
          <w:b/>
          <w:color w:val="auto"/>
          <w:sz w:val="32"/>
          <w:szCs w:val="32"/>
        </w:rPr>
        <w:t>杭州市流通领域</w:t>
      </w:r>
      <w:r>
        <w:rPr>
          <w:rFonts w:ascii="宋体" w:hAnsi="宋体" w:cs="宋体"/>
          <w:b/>
          <w:color w:val="auto"/>
          <w:sz w:val="32"/>
          <w:szCs w:val="32"/>
        </w:rPr>
        <w:t>(</w:t>
      </w:r>
      <w:r>
        <w:rPr>
          <w:rFonts w:hint="eastAsia" w:ascii="宋体" w:hAnsi="宋体" w:cs="宋体"/>
          <w:b/>
          <w:color w:val="auto"/>
          <w:sz w:val="32"/>
          <w:szCs w:val="32"/>
        </w:rPr>
        <w:t>网络</w:t>
      </w:r>
      <w:r>
        <w:rPr>
          <w:rFonts w:ascii="宋体" w:hAnsi="宋体" w:cs="宋体"/>
          <w:b/>
          <w:color w:val="auto"/>
          <w:sz w:val="32"/>
          <w:szCs w:val="32"/>
        </w:rPr>
        <w:t>)</w:t>
      </w:r>
      <w:r>
        <w:rPr>
          <w:rFonts w:hint="eastAsia" w:ascii="宋体" w:hAnsi="宋体" w:cs="宋体"/>
          <w:b/>
          <w:color w:val="auto"/>
          <w:sz w:val="32"/>
          <w:szCs w:val="32"/>
        </w:rPr>
        <w:t>商品质量抽查检验项目委托检验合同</w:t>
      </w:r>
    </w:p>
    <w:p>
      <w:pPr>
        <w:jc w:val="center"/>
        <w:rPr>
          <w:rFonts w:ascii="宋体" w:cs="宋体"/>
          <w:b/>
          <w:color w:val="auto"/>
          <w:sz w:val="32"/>
          <w:szCs w:val="32"/>
        </w:rPr>
      </w:pPr>
      <w:r>
        <w:rPr>
          <w:rFonts w:hint="eastAsia" w:ascii="宋体" w:hAnsi="宋体" w:cs="宋体"/>
          <w:b/>
          <w:color w:val="auto"/>
          <w:sz w:val="32"/>
          <w:szCs w:val="32"/>
        </w:rPr>
        <w:t>（单次委托检验合同）</w:t>
      </w:r>
    </w:p>
    <w:p>
      <w:pPr>
        <w:rPr>
          <w:rFonts w:ascii="宋体" w:cs="宋体"/>
          <w:color w:val="auto"/>
        </w:rPr>
      </w:pPr>
    </w:p>
    <w:p>
      <w:pPr>
        <w:pStyle w:val="14"/>
        <w:adjustRightInd w:val="0"/>
        <w:snapToGrid w:val="0"/>
        <w:ind w:firstLine="480"/>
        <w:rPr>
          <w:rFonts w:hAnsi="宋体"/>
          <w:color w:val="auto"/>
          <w:kern w:val="0"/>
          <w:sz w:val="24"/>
          <w:szCs w:val="24"/>
        </w:rPr>
      </w:pPr>
      <w:r>
        <w:rPr>
          <w:rFonts w:hint="eastAsia" w:hAnsi="宋体"/>
          <w:color w:val="auto"/>
          <w:kern w:val="0"/>
          <w:sz w:val="24"/>
          <w:szCs w:val="24"/>
        </w:rPr>
        <w:t>甲方：杭州市市场监督管理局</w:t>
      </w:r>
    </w:p>
    <w:p>
      <w:pPr>
        <w:pStyle w:val="14"/>
        <w:adjustRightInd w:val="0"/>
        <w:snapToGrid w:val="0"/>
        <w:ind w:firstLine="480"/>
        <w:rPr>
          <w:rFonts w:hAnsi="宋体"/>
          <w:color w:val="auto"/>
          <w:kern w:val="0"/>
          <w:sz w:val="24"/>
          <w:szCs w:val="24"/>
        </w:rPr>
      </w:pPr>
      <w:r>
        <w:rPr>
          <w:rFonts w:hint="eastAsia" w:hAnsi="宋体"/>
          <w:color w:val="auto"/>
          <w:kern w:val="0"/>
          <w:sz w:val="24"/>
          <w:szCs w:val="24"/>
        </w:rPr>
        <w:t>乙方：</w:t>
      </w:r>
    </w:p>
    <w:p>
      <w:pPr>
        <w:adjustRightInd w:val="0"/>
        <w:snapToGrid w:val="0"/>
        <w:spacing w:line="360" w:lineRule="auto"/>
        <w:ind w:firstLine="480" w:firstLineChars="200"/>
        <w:rPr>
          <w:rFonts w:ascii="宋体"/>
          <w:color w:val="auto"/>
          <w:sz w:val="24"/>
        </w:rPr>
      </w:pPr>
      <w:r>
        <w:rPr>
          <w:rFonts w:hint="eastAsia" w:ascii="宋体" w:hAnsi="宋体"/>
          <w:color w:val="auto"/>
          <w:kern w:val="0"/>
          <w:sz w:val="24"/>
        </w:rPr>
        <w:t>根据《中华人民共和国政府采购法》、《中华人民共和国合同法》、《中华人民共和国政府采购法实施条例》等有关法律法规的规定，</w:t>
      </w:r>
      <w:r>
        <w:rPr>
          <w:rFonts w:hint="eastAsia" w:ascii="宋体" w:hAnsi="宋体"/>
          <w:b/>
          <w:color w:val="auto"/>
          <w:sz w:val="24"/>
        </w:rPr>
        <w:t>杭州市市场监督管理局</w:t>
      </w:r>
      <w:r>
        <w:rPr>
          <w:rFonts w:ascii="宋体" w:hAnsi="宋体"/>
          <w:color w:val="auto"/>
          <w:sz w:val="24"/>
        </w:rPr>
        <w:t>(</w:t>
      </w:r>
      <w:r>
        <w:rPr>
          <w:rFonts w:hint="eastAsia" w:ascii="宋体" w:hAnsi="宋体"/>
          <w:color w:val="auto"/>
          <w:sz w:val="24"/>
        </w:rPr>
        <w:t>甲方</w:t>
      </w:r>
      <w:r>
        <w:rPr>
          <w:rFonts w:ascii="宋体" w:hAnsi="宋体"/>
          <w:color w:val="auto"/>
          <w:sz w:val="24"/>
        </w:rPr>
        <w:t>)</w:t>
      </w:r>
      <w:r>
        <w:rPr>
          <w:rFonts w:hint="eastAsia" w:ascii="宋体" w:hAnsi="宋体"/>
          <w:color w:val="auto"/>
          <w:sz w:val="24"/>
        </w:rPr>
        <w:t>经过评审，确定</w:t>
      </w:r>
      <w:r>
        <w:rPr>
          <w:rFonts w:ascii="宋体" w:hAnsi="宋体"/>
          <w:color w:val="auto"/>
          <w:sz w:val="24"/>
        </w:rPr>
        <w:t xml:space="preserve">              (</w:t>
      </w:r>
      <w:r>
        <w:rPr>
          <w:rFonts w:hint="eastAsia" w:ascii="宋体" w:hAnsi="宋体"/>
          <w:color w:val="auto"/>
          <w:sz w:val="24"/>
        </w:rPr>
        <w:t>乙方</w:t>
      </w:r>
      <w:r>
        <w:rPr>
          <w:rFonts w:ascii="宋体" w:hAnsi="宋体"/>
          <w:color w:val="auto"/>
          <w:sz w:val="24"/>
        </w:rPr>
        <w:t>)</w:t>
      </w:r>
      <w:r>
        <w:rPr>
          <w:rFonts w:hint="eastAsia" w:ascii="宋体" w:hAnsi="宋体"/>
          <w:color w:val="auto"/>
          <w:sz w:val="24"/>
        </w:rPr>
        <w:t>为承检单位，双方经平等、自愿协商，达成以下条款，供双方共同遵守。</w:t>
      </w:r>
    </w:p>
    <w:p>
      <w:pPr>
        <w:adjustRightInd w:val="0"/>
        <w:snapToGrid w:val="0"/>
        <w:spacing w:line="360" w:lineRule="auto"/>
        <w:ind w:firstLine="482" w:firstLineChars="200"/>
        <w:rPr>
          <w:rFonts w:ascii="宋体"/>
          <w:color w:val="auto"/>
          <w:sz w:val="24"/>
        </w:rPr>
      </w:pPr>
      <w:r>
        <w:rPr>
          <w:rFonts w:hint="eastAsia" w:ascii="宋体" w:hAnsi="宋体"/>
          <w:b/>
          <w:color w:val="auto"/>
          <w:sz w:val="24"/>
        </w:rPr>
        <w:t>第一条：</w:t>
      </w:r>
      <w:r>
        <w:rPr>
          <w:rFonts w:hint="eastAsia" w:ascii="宋体" w:hAnsi="宋体"/>
          <w:color w:val="auto"/>
          <w:sz w:val="24"/>
        </w:rPr>
        <w:t>甲方委托乙方进行委托业务的内容如下：</w:t>
      </w:r>
    </w:p>
    <w:tbl>
      <w:tblPr>
        <w:tblStyle w:val="28"/>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1842"/>
        <w:gridCol w:w="1776"/>
        <w:gridCol w:w="143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adjustRightInd w:val="0"/>
              <w:snapToGrid w:val="0"/>
              <w:spacing w:line="360" w:lineRule="auto"/>
              <w:jc w:val="center"/>
              <w:rPr>
                <w:rFonts w:ascii="宋体"/>
                <w:b/>
                <w:color w:val="auto"/>
                <w:kern w:val="0"/>
                <w:sz w:val="24"/>
              </w:rPr>
            </w:pPr>
            <w:r>
              <w:rPr>
                <w:rFonts w:hint="eastAsia"/>
                <w:b/>
                <w:color w:val="auto"/>
                <w:kern w:val="0"/>
                <w:sz w:val="24"/>
              </w:rPr>
              <w:t>序号</w:t>
            </w:r>
          </w:p>
        </w:tc>
        <w:tc>
          <w:tcPr>
            <w:tcW w:w="1276" w:type="dxa"/>
            <w:vAlign w:val="center"/>
          </w:tcPr>
          <w:p>
            <w:pPr>
              <w:adjustRightInd w:val="0"/>
              <w:snapToGrid w:val="0"/>
              <w:spacing w:line="360" w:lineRule="auto"/>
              <w:jc w:val="center"/>
              <w:rPr>
                <w:rFonts w:ascii="宋体"/>
                <w:b/>
                <w:color w:val="auto"/>
                <w:kern w:val="0"/>
                <w:sz w:val="24"/>
              </w:rPr>
            </w:pPr>
            <w:r>
              <w:rPr>
                <w:rFonts w:hint="eastAsia"/>
                <w:b/>
                <w:color w:val="auto"/>
                <w:kern w:val="0"/>
                <w:sz w:val="24"/>
              </w:rPr>
              <w:t>商品名称</w:t>
            </w:r>
          </w:p>
        </w:tc>
        <w:tc>
          <w:tcPr>
            <w:tcW w:w="1842" w:type="dxa"/>
            <w:vAlign w:val="center"/>
          </w:tcPr>
          <w:p>
            <w:pPr>
              <w:adjustRightInd w:val="0"/>
              <w:snapToGrid w:val="0"/>
              <w:spacing w:line="360" w:lineRule="auto"/>
              <w:jc w:val="center"/>
              <w:rPr>
                <w:rFonts w:ascii="宋体"/>
                <w:b/>
                <w:color w:val="auto"/>
                <w:kern w:val="0"/>
                <w:sz w:val="24"/>
              </w:rPr>
            </w:pPr>
            <w:r>
              <w:rPr>
                <w:rFonts w:hint="eastAsia"/>
                <w:b/>
                <w:color w:val="auto"/>
                <w:kern w:val="0"/>
                <w:sz w:val="24"/>
              </w:rPr>
              <w:t>检测标准</w:t>
            </w:r>
          </w:p>
        </w:tc>
        <w:tc>
          <w:tcPr>
            <w:tcW w:w="1776" w:type="dxa"/>
            <w:vAlign w:val="center"/>
          </w:tcPr>
          <w:p>
            <w:pPr>
              <w:adjustRightInd w:val="0"/>
              <w:snapToGrid w:val="0"/>
              <w:spacing w:line="360" w:lineRule="auto"/>
              <w:jc w:val="center"/>
              <w:rPr>
                <w:rFonts w:ascii="宋体"/>
                <w:b/>
                <w:color w:val="auto"/>
                <w:kern w:val="0"/>
                <w:sz w:val="24"/>
              </w:rPr>
            </w:pPr>
            <w:r>
              <w:rPr>
                <w:rFonts w:hint="eastAsia"/>
                <w:b/>
                <w:color w:val="auto"/>
                <w:kern w:val="0"/>
                <w:sz w:val="24"/>
              </w:rPr>
              <w:t>抽查检验项目</w:t>
            </w:r>
          </w:p>
        </w:tc>
        <w:tc>
          <w:tcPr>
            <w:tcW w:w="1435" w:type="dxa"/>
            <w:vAlign w:val="center"/>
          </w:tcPr>
          <w:p>
            <w:pPr>
              <w:adjustRightInd w:val="0"/>
              <w:snapToGrid w:val="0"/>
              <w:spacing w:line="360" w:lineRule="auto"/>
              <w:jc w:val="center"/>
              <w:rPr>
                <w:rFonts w:ascii="宋体"/>
                <w:b/>
                <w:color w:val="auto"/>
                <w:kern w:val="0"/>
                <w:sz w:val="24"/>
              </w:rPr>
            </w:pPr>
            <w:r>
              <w:rPr>
                <w:rFonts w:hint="eastAsia"/>
                <w:b/>
                <w:color w:val="auto"/>
                <w:kern w:val="0"/>
                <w:sz w:val="24"/>
              </w:rPr>
              <w:t>判定依据</w:t>
            </w:r>
          </w:p>
        </w:tc>
        <w:tc>
          <w:tcPr>
            <w:tcW w:w="1435" w:type="dxa"/>
            <w:vAlign w:val="center"/>
          </w:tcPr>
          <w:p>
            <w:pPr>
              <w:adjustRightInd w:val="0"/>
              <w:snapToGrid w:val="0"/>
              <w:spacing w:line="360" w:lineRule="auto"/>
              <w:jc w:val="center"/>
              <w:rPr>
                <w:rFonts w:ascii="宋体"/>
                <w:b/>
                <w:color w:val="auto"/>
                <w:kern w:val="0"/>
                <w:sz w:val="24"/>
              </w:rPr>
            </w:pPr>
            <w:r>
              <w:rPr>
                <w:rFonts w:hint="eastAsia" w:ascii="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spacing w:line="360" w:lineRule="auto"/>
              <w:rPr>
                <w:rFonts w:ascii="宋体"/>
                <w:b/>
                <w:color w:val="auto"/>
                <w:kern w:val="0"/>
                <w:sz w:val="24"/>
              </w:rPr>
            </w:pPr>
          </w:p>
        </w:tc>
        <w:tc>
          <w:tcPr>
            <w:tcW w:w="1276" w:type="dxa"/>
          </w:tcPr>
          <w:p>
            <w:pPr>
              <w:adjustRightInd w:val="0"/>
              <w:snapToGrid w:val="0"/>
              <w:spacing w:line="360" w:lineRule="auto"/>
              <w:rPr>
                <w:rFonts w:ascii="宋体"/>
                <w:b/>
                <w:color w:val="auto"/>
                <w:kern w:val="0"/>
                <w:sz w:val="24"/>
              </w:rPr>
            </w:pPr>
          </w:p>
        </w:tc>
        <w:tc>
          <w:tcPr>
            <w:tcW w:w="1842" w:type="dxa"/>
          </w:tcPr>
          <w:p>
            <w:pPr>
              <w:adjustRightInd w:val="0"/>
              <w:snapToGrid w:val="0"/>
              <w:spacing w:line="360" w:lineRule="auto"/>
              <w:rPr>
                <w:rFonts w:ascii="宋体"/>
                <w:b/>
                <w:color w:val="auto"/>
                <w:kern w:val="0"/>
                <w:sz w:val="24"/>
              </w:rPr>
            </w:pPr>
          </w:p>
        </w:tc>
        <w:tc>
          <w:tcPr>
            <w:tcW w:w="1776"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spacing w:line="360" w:lineRule="auto"/>
              <w:rPr>
                <w:rFonts w:ascii="宋体"/>
                <w:b/>
                <w:color w:val="auto"/>
                <w:kern w:val="0"/>
                <w:sz w:val="24"/>
              </w:rPr>
            </w:pPr>
          </w:p>
        </w:tc>
        <w:tc>
          <w:tcPr>
            <w:tcW w:w="1276" w:type="dxa"/>
          </w:tcPr>
          <w:p>
            <w:pPr>
              <w:adjustRightInd w:val="0"/>
              <w:snapToGrid w:val="0"/>
              <w:spacing w:line="360" w:lineRule="auto"/>
              <w:rPr>
                <w:rFonts w:ascii="宋体"/>
                <w:b/>
                <w:color w:val="auto"/>
                <w:kern w:val="0"/>
                <w:sz w:val="24"/>
              </w:rPr>
            </w:pPr>
          </w:p>
        </w:tc>
        <w:tc>
          <w:tcPr>
            <w:tcW w:w="1842" w:type="dxa"/>
          </w:tcPr>
          <w:p>
            <w:pPr>
              <w:adjustRightInd w:val="0"/>
              <w:snapToGrid w:val="0"/>
              <w:spacing w:line="360" w:lineRule="auto"/>
              <w:rPr>
                <w:rFonts w:ascii="宋体"/>
                <w:b/>
                <w:color w:val="auto"/>
                <w:kern w:val="0"/>
                <w:sz w:val="24"/>
              </w:rPr>
            </w:pPr>
          </w:p>
        </w:tc>
        <w:tc>
          <w:tcPr>
            <w:tcW w:w="1776"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spacing w:line="360" w:lineRule="auto"/>
              <w:rPr>
                <w:rFonts w:ascii="宋体"/>
                <w:b/>
                <w:color w:val="auto"/>
                <w:kern w:val="0"/>
                <w:sz w:val="24"/>
              </w:rPr>
            </w:pPr>
          </w:p>
        </w:tc>
        <w:tc>
          <w:tcPr>
            <w:tcW w:w="1276" w:type="dxa"/>
          </w:tcPr>
          <w:p>
            <w:pPr>
              <w:adjustRightInd w:val="0"/>
              <w:snapToGrid w:val="0"/>
              <w:spacing w:line="360" w:lineRule="auto"/>
              <w:rPr>
                <w:rFonts w:ascii="宋体"/>
                <w:b/>
                <w:color w:val="auto"/>
                <w:kern w:val="0"/>
                <w:sz w:val="24"/>
              </w:rPr>
            </w:pPr>
          </w:p>
        </w:tc>
        <w:tc>
          <w:tcPr>
            <w:tcW w:w="1842" w:type="dxa"/>
          </w:tcPr>
          <w:p>
            <w:pPr>
              <w:adjustRightInd w:val="0"/>
              <w:snapToGrid w:val="0"/>
              <w:spacing w:line="360" w:lineRule="auto"/>
              <w:rPr>
                <w:rFonts w:ascii="宋体"/>
                <w:b/>
                <w:color w:val="auto"/>
                <w:kern w:val="0"/>
                <w:sz w:val="24"/>
              </w:rPr>
            </w:pPr>
          </w:p>
        </w:tc>
        <w:tc>
          <w:tcPr>
            <w:tcW w:w="1776"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adjustRightInd w:val="0"/>
              <w:snapToGrid w:val="0"/>
              <w:spacing w:line="360" w:lineRule="auto"/>
              <w:rPr>
                <w:rFonts w:ascii="宋体"/>
                <w:b/>
                <w:color w:val="auto"/>
                <w:kern w:val="0"/>
                <w:sz w:val="24"/>
              </w:rPr>
            </w:pPr>
          </w:p>
        </w:tc>
        <w:tc>
          <w:tcPr>
            <w:tcW w:w="1276" w:type="dxa"/>
          </w:tcPr>
          <w:p>
            <w:pPr>
              <w:adjustRightInd w:val="0"/>
              <w:snapToGrid w:val="0"/>
              <w:spacing w:line="360" w:lineRule="auto"/>
              <w:rPr>
                <w:rFonts w:ascii="宋体"/>
                <w:b/>
                <w:color w:val="auto"/>
                <w:kern w:val="0"/>
                <w:sz w:val="24"/>
              </w:rPr>
            </w:pPr>
          </w:p>
        </w:tc>
        <w:tc>
          <w:tcPr>
            <w:tcW w:w="1842" w:type="dxa"/>
          </w:tcPr>
          <w:p>
            <w:pPr>
              <w:adjustRightInd w:val="0"/>
              <w:snapToGrid w:val="0"/>
              <w:spacing w:line="360" w:lineRule="auto"/>
              <w:rPr>
                <w:rFonts w:ascii="宋体"/>
                <w:b/>
                <w:color w:val="auto"/>
                <w:kern w:val="0"/>
                <w:sz w:val="24"/>
              </w:rPr>
            </w:pPr>
          </w:p>
        </w:tc>
        <w:tc>
          <w:tcPr>
            <w:tcW w:w="1776"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c>
          <w:tcPr>
            <w:tcW w:w="1435" w:type="dxa"/>
          </w:tcPr>
          <w:p>
            <w:pPr>
              <w:adjustRightInd w:val="0"/>
              <w:snapToGrid w:val="0"/>
              <w:spacing w:line="360" w:lineRule="auto"/>
              <w:rPr>
                <w:rFonts w:ascii="宋体"/>
                <w:b/>
                <w:color w:val="auto"/>
                <w:kern w:val="0"/>
                <w:sz w:val="24"/>
              </w:rPr>
            </w:pPr>
          </w:p>
        </w:tc>
      </w:tr>
    </w:tbl>
    <w:p>
      <w:pPr>
        <w:adjustRightInd w:val="0"/>
        <w:snapToGrid w:val="0"/>
        <w:spacing w:line="360" w:lineRule="auto"/>
        <w:ind w:firstLine="482" w:firstLineChars="200"/>
        <w:rPr>
          <w:rFonts w:ascii="宋体"/>
          <w:b/>
          <w:color w:val="auto"/>
          <w:sz w:val="24"/>
        </w:rPr>
      </w:pPr>
    </w:p>
    <w:p>
      <w:pPr>
        <w:adjustRightInd w:val="0"/>
        <w:snapToGrid w:val="0"/>
        <w:spacing w:line="360" w:lineRule="auto"/>
        <w:ind w:firstLine="482" w:firstLineChars="200"/>
        <w:rPr>
          <w:rFonts w:ascii="宋体"/>
          <w:color w:val="auto"/>
          <w:sz w:val="24"/>
        </w:rPr>
      </w:pPr>
      <w:r>
        <w:rPr>
          <w:rFonts w:hint="eastAsia" w:ascii="宋体" w:hAnsi="宋体"/>
          <w:b/>
          <w:color w:val="auto"/>
          <w:sz w:val="24"/>
        </w:rPr>
        <w:t>第二条：</w:t>
      </w:r>
      <w:r>
        <w:rPr>
          <w:rFonts w:hint="eastAsia" w:ascii="宋体" w:hAnsi="宋体"/>
          <w:color w:val="auto"/>
          <w:sz w:val="24"/>
        </w:rPr>
        <w:t>乙方应按下列要求完成委托业务工作：</w:t>
      </w:r>
    </w:p>
    <w:p>
      <w:pPr>
        <w:adjustRightInd w:val="0"/>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．采样时间：乙方按照甲方要求制定《抽查检验实施方案》，拟确定采样的时间，具体采样时间由双方协商确定。</w:t>
      </w:r>
    </w:p>
    <w:p>
      <w:pPr>
        <w:adjustRightInd w:val="0"/>
        <w:snapToGrid w:val="0"/>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．采样区域：。</w:t>
      </w:r>
    </w:p>
    <w:p>
      <w:pPr>
        <w:adjustRightInd w:val="0"/>
        <w:snapToGrid w:val="0"/>
        <w:spacing w:line="360" w:lineRule="auto"/>
        <w:ind w:firstLine="480" w:firstLineChars="200"/>
        <w:rPr>
          <w:rFonts w:ascii="宋体"/>
          <w:color w:val="auto"/>
          <w:sz w:val="24"/>
        </w:rPr>
      </w:pPr>
      <w:r>
        <w:rPr>
          <w:rFonts w:ascii="宋体" w:hAnsi="宋体"/>
          <w:color w:val="auto"/>
          <w:sz w:val="24"/>
        </w:rPr>
        <w:t xml:space="preserve">3. </w:t>
      </w:r>
      <w:r>
        <w:rPr>
          <w:rFonts w:hint="eastAsia" w:ascii="宋体" w:hAnsi="宋体"/>
          <w:color w:val="auto"/>
          <w:sz w:val="24"/>
        </w:rPr>
        <w:t>采样人员：乙方在接到甲方的网络商品质量抽查检验委托书后，按抽样时间组织安排好相关人员和车辆，做好抽样配合工作；每组抽样人员中不得少于</w:t>
      </w:r>
      <w:r>
        <w:rPr>
          <w:rFonts w:ascii="宋体" w:hAnsi="宋体"/>
          <w:color w:val="auto"/>
          <w:sz w:val="24"/>
        </w:rPr>
        <w:t>2</w:t>
      </w:r>
      <w:r>
        <w:rPr>
          <w:rFonts w:hint="eastAsia" w:ascii="宋体" w:hAnsi="宋体"/>
          <w:color w:val="auto"/>
          <w:sz w:val="24"/>
        </w:rPr>
        <w:t>名采样人员。</w:t>
      </w:r>
    </w:p>
    <w:p>
      <w:pPr>
        <w:adjustRightInd w:val="0"/>
        <w:snapToGrid w:val="0"/>
        <w:spacing w:line="360" w:lineRule="auto"/>
        <w:ind w:firstLine="480" w:firstLineChars="200"/>
        <w:rPr>
          <w:rFonts w:ascii="宋体"/>
          <w:color w:val="auto"/>
          <w:sz w:val="24"/>
        </w:rPr>
      </w:pPr>
      <w:r>
        <w:rPr>
          <w:rFonts w:ascii="宋体" w:hAnsi="宋体"/>
          <w:color w:val="auto"/>
          <w:sz w:val="24"/>
        </w:rPr>
        <w:t xml:space="preserve">4. </w:t>
      </w:r>
      <w:r>
        <w:rPr>
          <w:rFonts w:hint="eastAsia" w:ascii="宋体" w:hAnsi="宋体"/>
          <w:color w:val="auto"/>
          <w:sz w:val="24"/>
        </w:rPr>
        <w:t>工作期限：乙方应根据甲方确定的抽检时间，完成所有抽检任务并通过甲方验收。</w:t>
      </w:r>
    </w:p>
    <w:p>
      <w:pPr>
        <w:adjustRightInd w:val="0"/>
        <w:snapToGrid w:val="0"/>
        <w:spacing w:line="360" w:lineRule="auto"/>
        <w:ind w:firstLine="480" w:firstLineChars="200"/>
        <w:rPr>
          <w:rFonts w:ascii="宋体"/>
          <w:color w:val="auto"/>
          <w:sz w:val="24"/>
        </w:rPr>
      </w:pPr>
      <w:r>
        <w:rPr>
          <w:rFonts w:ascii="宋体" w:hAnsi="宋体"/>
          <w:color w:val="auto"/>
          <w:sz w:val="24"/>
        </w:rPr>
        <w:t xml:space="preserve">5. </w:t>
      </w:r>
      <w:r>
        <w:rPr>
          <w:rFonts w:hint="eastAsia" w:ascii="宋体" w:hAnsi="宋体"/>
          <w:color w:val="auto"/>
          <w:sz w:val="24"/>
        </w:rPr>
        <w:t>抽检要求：</w:t>
      </w:r>
    </w:p>
    <w:p>
      <w:pPr>
        <w:adjustRightInd w:val="0"/>
        <w:snapToGrid w:val="0"/>
        <w:spacing w:line="360" w:lineRule="auto"/>
        <w:ind w:firstLine="480" w:firstLineChars="200"/>
        <w:rPr>
          <w:rFonts w:ascii="宋体"/>
          <w:color w:val="auto"/>
          <w:sz w:val="24"/>
        </w:rPr>
      </w:pPr>
      <w:r>
        <w:rPr>
          <w:rFonts w:ascii="宋体" w:hAnsi="宋体"/>
          <w:color w:val="auto"/>
          <w:sz w:val="24"/>
        </w:rPr>
        <w:t>5.1</w:t>
      </w:r>
      <w:r>
        <w:rPr>
          <w:rFonts w:hint="eastAsia" w:ascii="宋体" w:hAnsi="宋体"/>
          <w:color w:val="auto"/>
          <w:sz w:val="24"/>
        </w:rPr>
        <w:t>乙方在网络商品质量抽样检验中，应按照甲方提出的要求</w:t>
      </w:r>
      <w:r>
        <w:rPr>
          <w:rFonts w:ascii="宋体"/>
          <w:color w:val="auto"/>
          <w:sz w:val="24"/>
        </w:rPr>
        <w:t>,</w:t>
      </w:r>
      <w:r>
        <w:rPr>
          <w:rFonts w:hint="eastAsia" w:ascii="宋体" w:hAnsi="宋体"/>
          <w:color w:val="auto"/>
          <w:sz w:val="24"/>
        </w:rPr>
        <w:t>认真填写和制作《网络商品质量抽查检验工作单》等相关文书、汇总表及影像资料。</w:t>
      </w:r>
    </w:p>
    <w:p>
      <w:pPr>
        <w:adjustRightInd w:val="0"/>
        <w:snapToGrid w:val="0"/>
        <w:spacing w:line="360" w:lineRule="auto"/>
        <w:ind w:firstLine="480" w:firstLineChars="200"/>
        <w:rPr>
          <w:rFonts w:ascii="宋体"/>
          <w:color w:val="auto"/>
          <w:sz w:val="24"/>
        </w:rPr>
      </w:pPr>
      <w:r>
        <w:rPr>
          <w:rFonts w:ascii="宋体" w:hAnsi="宋体"/>
          <w:color w:val="auto"/>
          <w:sz w:val="24"/>
        </w:rPr>
        <w:t>5.2</w:t>
      </w:r>
      <w:r>
        <w:rPr>
          <w:rFonts w:hint="eastAsia" w:ascii="宋体" w:hAnsi="宋体"/>
          <w:color w:val="auto"/>
          <w:sz w:val="24"/>
        </w:rPr>
        <w:t>乙方对样品进行抽查检验时，必须按照《抽查检验实施方案》约定的项目完成全部检验工作，不得少检或者漏检；乙方未经甲方同意将检验任务转包、分包给其它检验机构，或修改检测项目，一经发现取消检验资格；乙方应对其检测数据及结果的客观性、真实性、关联性、有效性、合法性负责。</w:t>
      </w:r>
    </w:p>
    <w:p>
      <w:pPr>
        <w:adjustRightInd w:val="0"/>
        <w:snapToGrid w:val="0"/>
        <w:spacing w:line="360" w:lineRule="auto"/>
        <w:ind w:firstLine="480" w:firstLineChars="200"/>
        <w:rPr>
          <w:rFonts w:ascii="宋体"/>
          <w:color w:val="auto"/>
          <w:sz w:val="24"/>
        </w:rPr>
      </w:pPr>
      <w:r>
        <w:rPr>
          <w:rFonts w:ascii="宋体" w:hAnsi="宋体"/>
          <w:color w:val="auto"/>
          <w:sz w:val="24"/>
        </w:rPr>
        <w:t>5.3</w:t>
      </w:r>
      <w:r>
        <w:rPr>
          <w:rFonts w:hint="eastAsia" w:ascii="宋体" w:hAnsi="宋体"/>
          <w:color w:val="auto"/>
          <w:sz w:val="24"/>
        </w:rPr>
        <w:t>乙方应在收检后</w:t>
      </w:r>
      <w:r>
        <w:rPr>
          <w:rFonts w:ascii="宋体" w:hAnsi="宋体"/>
          <w:color w:val="auto"/>
          <w:sz w:val="24"/>
        </w:rPr>
        <w:t>15</w:t>
      </w:r>
      <w:r>
        <w:rPr>
          <w:rFonts w:hint="eastAsia" w:ascii="宋体" w:hAnsi="宋体"/>
          <w:color w:val="auto"/>
          <w:sz w:val="24"/>
        </w:rPr>
        <w:t>日内完成检验工作，并出具明示“合格”或“不合格”结论的检测报告和汇总表。</w:t>
      </w:r>
    </w:p>
    <w:p>
      <w:pPr>
        <w:adjustRightInd w:val="0"/>
        <w:snapToGrid w:val="0"/>
        <w:spacing w:line="360" w:lineRule="auto"/>
        <w:ind w:firstLine="480" w:firstLineChars="200"/>
        <w:rPr>
          <w:rFonts w:ascii="宋体"/>
          <w:color w:val="auto"/>
          <w:sz w:val="24"/>
        </w:rPr>
      </w:pPr>
      <w:r>
        <w:rPr>
          <w:rFonts w:ascii="宋体" w:hAnsi="宋体"/>
          <w:color w:val="auto"/>
          <w:sz w:val="24"/>
        </w:rPr>
        <w:t>5.4</w:t>
      </w:r>
      <w:r>
        <w:rPr>
          <w:rFonts w:hint="eastAsia" w:ascii="宋体" w:hAnsi="宋体"/>
          <w:color w:val="auto"/>
          <w:sz w:val="24"/>
        </w:rPr>
        <w:t>乙方应在完成检验工作后</w:t>
      </w:r>
      <w:r>
        <w:rPr>
          <w:rFonts w:ascii="宋体" w:hAnsi="宋体"/>
          <w:color w:val="auto"/>
          <w:sz w:val="24"/>
        </w:rPr>
        <w:t>5</w:t>
      </w:r>
      <w:r>
        <w:rPr>
          <w:rFonts w:hint="eastAsia" w:ascii="宋体" w:hAnsi="宋体"/>
          <w:color w:val="auto"/>
          <w:sz w:val="24"/>
        </w:rPr>
        <w:t>日内向甲方提供检测报告电子版、质量分析报告、报盘，并按甲方要求及时将抽样检验相关数据录入甲方指定的信息管理系统。</w:t>
      </w:r>
    </w:p>
    <w:p>
      <w:pPr>
        <w:adjustRightInd w:val="0"/>
        <w:snapToGrid w:val="0"/>
        <w:spacing w:line="360" w:lineRule="auto"/>
        <w:ind w:firstLine="480" w:firstLineChars="200"/>
        <w:rPr>
          <w:rFonts w:ascii="宋体"/>
          <w:color w:val="auto"/>
          <w:sz w:val="24"/>
        </w:rPr>
      </w:pPr>
      <w:r>
        <w:rPr>
          <w:rFonts w:ascii="宋体" w:hAnsi="宋体"/>
          <w:color w:val="auto"/>
          <w:sz w:val="24"/>
        </w:rPr>
        <w:t>5.5</w:t>
      </w:r>
      <w:r>
        <w:rPr>
          <w:rFonts w:hint="eastAsia" w:ascii="宋体" w:hAnsi="宋体" w:cs="宋体"/>
          <w:color w:val="auto"/>
          <w:sz w:val="24"/>
        </w:rPr>
        <w:t>乙方应当具备目击实验条件，能根据甲方要求进行目击复检实验。甲方指定第三方检测机构复检的，由乙方负责备份样品的取样及送达，相关差旅费用由乙方承担，如复检结果有更改，复检费用由乙方承担。</w:t>
      </w:r>
    </w:p>
    <w:p>
      <w:pPr>
        <w:adjustRightInd w:val="0"/>
        <w:snapToGrid w:val="0"/>
        <w:spacing w:line="360" w:lineRule="auto"/>
        <w:ind w:firstLine="480" w:firstLineChars="200"/>
        <w:rPr>
          <w:rFonts w:ascii="宋体"/>
          <w:color w:val="auto"/>
          <w:sz w:val="24"/>
        </w:rPr>
      </w:pPr>
      <w:r>
        <w:rPr>
          <w:rFonts w:ascii="宋体" w:hAnsi="宋体"/>
          <w:color w:val="auto"/>
          <w:sz w:val="24"/>
        </w:rPr>
        <w:t>6.</w:t>
      </w:r>
      <w:r>
        <w:rPr>
          <w:rFonts w:hint="eastAsia" w:ascii="宋体" w:hAnsi="宋体"/>
          <w:color w:val="auto"/>
          <w:sz w:val="24"/>
        </w:rPr>
        <w:t>样品处置：检验结果复检结束后</w:t>
      </w:r>
      <w:r>
        <w:rPr>
          <w:rFonts w:ascii="宋体" w:hAnsi="宋体"/>
          <w:color w:val="auto"/>
          <w:sz w:val="24"/>
        </w:rPr>
        <w:t>30</w:t>
      </w:r>
      <w:r>
        <w:rPr>
          <w:rFonts w:hint="eastAsia" w:ascii="宋体" w:hAnsi="宋体"/>
          <w:color w:val="auto"/>
          <w:sz w:val="24"/>
        </w:rPr>
        <w:t>日内承检单位负责对样品进行拆解、销毁、环保处理</w:t>
      </w:r>
      <w:r>
        <w:rPr>
          <w:rFonts w:ascii="宋体" w:hAnsi="宋体"/>
          <w:color w:val="auto"/>
          <w:sz w:val="24"/>
        </w:rPr>
        <w:t>(</w:t>
      </w:r>
      <w:r>
        <w:rPr>
          <w:rFonts w:hint="eastAsia" w:ascii="宋体" w:hAnsi="宋体"/>
          <w:color w:val="auto"/>
          <w:sz w:val="24"/>
        </w:rPr>
        <w:t>除甲方提出需要留样的外</w:t>
      </w:r>
      <w:r>
        <w:rPr>
          <w:rFonts w:ascii="宋体" w:hAnsi="宋体"/>
          <w:color w:val="auto"/>
          <w:sz w:val="24"/>
        </w:rPr>
        <w:t>)</w:t>
      </w:r>
      <w:r>
        <w:rPr>
          <w:rFonts w:hint="eastAsia" w:ascii="宋体" w:hAnsi="宋体"/>
          <w:color w:val="auto"/>
          <w:sz w:val="24"/>
        </w:rPr>
        <w:t>，相关费用由承检单位负责，乙方填写《样品处理记录》（一式两份）由双方盖章签字后，各执一份留存；同时乙方应出具样品处置说明及样品处置相关照片。</w:t>
      </w:r>
    </w:p>
    <w:p>
      <w:pPr>
        <w:adjustRightInd w:val="0"/>
        <w:snapToGrid w:val="0"/>
        <w:spacing w:line="360" w:lineRule="auto"/>
        <w:ind w:firstLine="480" w:firstLineChars="200"/>
        <w:rPr>
          <w:rFonts w:ascii="宋体"/>
          <w:color w:val="auto"/>
          <w:sz w:val="24"/>
        </w:rPr>
      </w:pPr>
      <w:r>
        <w:rPr>
          <w:rFonts w:ascii="宋体" w:hAnsi="宋体"/>
          <w:color w:val="auto"/>
          <w:sz w:val="24"/>
        </w:rPr>
        <w:t xml:space="preserve">7. </w:t>
      </w:r>
      <w:r>
        <w:rPr>
          <w:rFonts w:hint="eastAsia" w:ascii="宋体" w:hAnsi="宋体"/>
          <w:color w:val="auto"/>
          <w:sz w:val="24"/>
        </w:rPr>
        <w:t>乙方对甲方委托检测的产品内容、相关技术信息及检测结果，负有保密义务，非经甲方书面同意，不得擅自利用或对外发文及披露。</w:t>
      </w:r>
    </w:p>
    <w:p>
      <w:pPr>
        <w:adjustRightInd w:val="0"/>
        <w:snapToGrid w:val="0"/>
        <w:spacing w:line="480" w:lineRule="exact"/>
        <w:ind w:firstLine="482" w:firstLineChars="200"/>
        <w:rPr>
          <w:rFonts w:ascii="宋体"/>
          <w:color w:val="auto"/>
          <w:sz w:val="24"/>
        </w:rPr>
      </w:pPr>
      <w:r>
        <w:rPr>
          <w:rFonts w:hint="eastAsia" w:ascii="宋体" w:hAnsi="宋体"/>
          <w:b/>
          <w:color w:val="auto"/>
          <w:sz w:val="24"/>
        </w:rPr>
        <w:t>第三条：</w:t>
      </w:r>
      <w:r>
        <w:rPr>
          <w:rFonts w:hint="eastAsia" w:ascii="宋体" w:hAnsi="宋体"/>
          <w:color w:val="auto"/>
          <w:sz w:val="24"/>
        </w:rPr>
        <w:t>付款方式</w:t>
      </w:r>
    </w:p>
    <w:p>
      <w:pPr>
        <w:adjustRightInd w:val="0"/>
        <w:snapToGrid w:val="0"/>
        <w:spacing w:line="480" w:lineRule="exact"/>
        <w:ind w:firstLine="480" w:firstLineChars="200"/>
        <w:rPr>
          <w:rFonts w:ascii="宋体"/>
          <w:color w:val="auto"/>
          <w:sz w:val="24"/>
          <w:u w:val="single"/>
        </w:rPr>
      </w:pPr>
      <w:r>
        <w:rPr>
          <w:rFonts w:ascii="宋体" w:hAnsi="宋体"/>
          <w:color w:val="auto"/>
          <w:sz w:val="24"/>
        </w:rPr>
        <w:t>1</w:t>
      </w:r>
      <w:r>
        <w:rPr>
          <w:rFonts w:hint="eastAsia" w:ascii="宋体" w:hAnsi="宋体"/>
          <w:color w:val="auto"/>
          <w:sz w:val="24"/>
        </w:rPr>
        <w:t>．委托抽查检验费用费：     万元；买样费用：（按实际结算需提供原始票据复印件）     万元；合计：      万元（大写：      元整）。</w:t>
      </w:r>
    </w:p>
    <w:p>
      <w:pPr>
        <w:adjustRightInd w:val="0"/>
        <w:snapToGrid w:val="0"/>
        <w:spacing w:line="48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．委托抽查检验费和买样费用由甲方分期支付乙方。合同</w:t>
      </w:r>
      <w:r>
        <w:rPr>
          <w:rFonts w:hint="eastAsia" w:ascii="宋体" w:hAnsi="宋体" w:cs="宋体"/>
          <w:color w:val="auto"/>
          <w:sz w:val="24"/>
        </w:rPr>
        <w:t>签订后15个工作日内支付总款项的50%，项目履行结束服务情况良好，无质量和服务问题，支付剩余应付款项。</w:t>
      </w:r>
    </w:p>
    <w:p>
      <w:pPr>
        <w:adjustRightInd w:val="0"/>
        <w:snapToGrid w:val="0"/>
        <w:spacing w:line="48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、其他：乙方完成抽检工作并按照本合同</w:t>
      </w:r>
      <w:r>
        <w:rPr>
          <w:rFonts w:ascii="宋体" w:hAnsi="宋体"/>
          <w:color w:val="auto"/>
          <w:sz w:val="24"/>
        </w:rPr>
        <w:t>5.4</w:t>
      </w:r>
      <w:r>
        <w:rPr>
          <w:rFonts w:hint="eastAsia" w:ascii="宋体" w:hAnsi="宋体"/>
          <w:color w:val="auto"/>
          <w:sz w:val="24"/>
        </w:rPr>
        <w:t>所列要求向甲方提交所有材料后，开具全额发票给甲方，甲方在收到发票后</w:t>
      </w:r>
      <w:r>
        <w:rPr>
          <w:rFonts w:hint="eastAsia" w:ascii="宋体" w:hAnsi="宋体" w:cs="宋体"/>
          <w:color w:val="auto"/>
          <w:sz w:val="24"/>
        </w:rPr>
        <w:t>支付剩余应付款项</w:t>
      </w:r>
      <w:r>
        <w:rPr>
          <w:rFonts w:hint="eastAsia" w:ascii="宋体" w:hAnsi="宋体"/>
          <w:color w:val="auto"/>
          <w:sz w:val="24"/>
        </w:rPr>
        <w:t>。</w:t>
      </w:r>
    </w:p>
    <w:p>
      <w:pPr>
        <w:adjustRightInd w:val="0"/>
        <w:snapToGrid w:val="0"/>
        <w:spacing w:line="480" w:lineRule="exact"/>
        <w:ind w:firstLine="480" w:firstLineChars="200"/>
        <w:rPr>
          <w:rFonts w:ascii="宋体"/>
          <w:color w:val="auto"/>
          <w:sz w:val="24"/>
        </w:rPr>
      </w:pPr>
      <w:r>
        <w:rPr>
          <w:rFonts w:hint="eastAsia" w:ascii="宋体" w:hAnsi="宋体"/>
          <w:color w:val="auto"/>
          <w:sz w:val="24"/>
        </w:rPr>
        <w:t>乙方账户名称、开户银行和账号为：</w:t>
      </w:r>
    </w:p>
    <w:p>
      <w:pPr>
        <w:adjustRightInd w:val="0"/>
        <w:snapToGrid w:val="0"/>
        <w:spacing w:line="480" w:lineRule="exact"/>
        <w:ind w:firstLine="480" w:firstLineChars="200"/>
        <w:rPr>
          <w:rFonts w:ascii="宋体"/>
          <w:color w:val="auto"/>
          <w:sz w:val="24"/>
          <w:u w:val="single"/>
        </w:rPr>
      </w:pPr>
      <w:r>
        <w:rPr>
          <w:rFonts w:hint="eastAsia" w:ascii="宋体" w:hAnsi="宋体"/>
          <w:color w:val="auto"/>
          <w:sz w:val="24"/>
        </w:rPr>
        <w:t>账户名称：</w:t>
      </w:r>
    </w:p>
    <w:p>
      <w:pPr>
        <w:adjustRightInd w:val="0"/>
        <w:snapToGrid w:val="0"/>
        <w:spacing w:line="480" w:lineRule="exact"/>
        <w:ind w:firstLine="480" w:firstLineChars="200"/>
        <w:rPr>
          <w:rFonts w:ascii="宋体"/>
          <w:color w:val="auto"/>
          <w:sz w:val="24"/>
          <w:u w:val="single"/>
        </w:rPr>
      </w:pPr>
      <w:r>
        <w:rPr>
          <w:rFonts w:hint="eastAsia" w:ascii="宋体" w:hAnsi="宋体"/>
          <w:color w:val="auto"/>
          <w:sz w:val="24"/>
        </w:rPr>
        <w:t>开户银行：</w:t>
      </w:r>
    </w:p>
    <w:p>
      <w:pPr>
        <w:adjustRightInd w:val="0"/>
        <w:snapToGrid w:val="0"/>
        <w:spacing w:line="480" w:lineRule="exact"/>
        <w:ind w:firstLine="480" w:firstLineChars="200"/>
        <w:rPr>
          <w:rFonts w:ascii="宋体"/>
          <w:color w:val="auto"/>
          <w:sz w:val="24"/>
          <w:u w:val="single"/>
        </w:rPr>
      </w:pPr>
      <w:r>
        <w:rPr>
          <w:rFonts w:hint="eastAsia" w:ascii="宋体" w:hAnsi="宋体"/>
          <w:color w:val="auto"/>
          <w:sz w:val="24"/>
        </w:rPr>
        <w:t>账号：</w:t>
      </w:r>
    </w:p>
    <w:p>
      <w:pPr>
        <w:adjustRightInd w:val="0"/>
        <w:snapToGrid w:val="0"/>
        <w:spacing w:line="480" w:lineRule="exact"/>
        <w:ind w:firstLine="482" w:firstLineChars="200"/>
        <w:rPr>
          <w:rFonts w:ascii="宋体"/>
          <w:color w:val="auto"/>
          <w:kern w:val="0"/>
          <w:sz w:val="24"/>
          <w:lang w:val="zh-CN"/>
        </w:rPr>
      </w:pPr>
      <w:r>
        <w:rPr>
          <w:rFonts w:hint="eastAsia" w:ascii="宋体" w:hAnsi="宋体"/>
          <w:b/>
          <w:color w:val="auto"/>
          <w:sz w:val="24"/>
        </w:rPr>
        <w:t>第四条：</w:t>
      </w:r>
      <w:r>
        <w:rPr>
          <w:rFonts w:hint="eastAsia" w:ascii="宋体" w:hAnsi="宋体"/>
          <w:color w:val="auto"/>
          <w:kern w:val="0"/>
          <w:sz w:val="24"/>
          <w:lang w:val="zh-CN"/>
        </w:rPr>
        <w:t>履约保证金。《杭州市流通领域</w:t>
      </w:r>
      <w:r>
        <w:rPr>
          <w:rFonts w:ascii="宋体" w:hAnsi="宋体"/>
          <w:color w:val="auto"/>
          <w:kern w:val="0"/>
          <w:sz w:val="24"/>
          <w:lang w:val="zh-CN"/>
        </w:rPr>
        <w:t>(</w:t>
      </w:r>
      <w:r>
        <w:rPr>
          <w:rFonts w:hint="eastAsia" w:ascii="宋体" w:hAnsi="宋体"/>
          <w:color w:val="auto"/>
          <w:kern w:val="0"/>
          <w:sz w:val="24"/>
          <w:lang w:val="zh-CN"/>
        </w:rPr>
        <w:t>网络</w:t>
      </w:r>
      <w:r>
        <w:rPr>
          <w:rFonts w:ascii="宋体" w:hAnsi="宋体"/>
          <w:color w:val="auto"/>
          <w:kern w:val="0"/>
          <w:sz w:val="24"/>
          <w:lang w:val="zh-CN"/>
        </w:rPr>
        <w:t>)</w:t>
      </w:r>
      <w:r>
        <w:rPr>
          <w:rFonts w:hint="eastAsia" w:ascii="宋体" w:hAnsi="宋体"/>
          <w:color w:val="auto"/>
          <w:kern w:val="0"/>
          <w:sz w:val="24"/>
          <w:lang w:val="zh-CN"/>
        </w:rPr>
        <w:t>商品质量抽检承检机构备选库入围协议》履约保证金适用于本合同。</w:t>
      </w:r>
    </w:p>
    <w:p>
      <w:pPr>
        <w:adjustRightInd w:val="0"/>
        <w:snapToGrid w:val="0"/>
        <w:spacing w:line="480" w:lineRule="exact"/>
        <w:ind w:firstLine="482" w:firstLineChars="200"/>
        <w:rPr>
          <w:rFonts w:ascii="宋体"/>
          <w:bCs/>
          <w:color w:val="auto"/>
          <w:sz w:val="24"/>
        </w:rPr>
      </w:pPr>
      <w:r>
        <w:rPr>
          <w:rFonts w:hint="eastAsia" w:ascii="宋体" w:hAnsi="宋体"/>
          <w:b/>
          <w:color w:val="auto"/>
          <w:sz w:val="24"/>
        </w:rPr>
        <w:t>第五条：</w:t>
      </w:r>
      <w:r>
        <w:rPr>
          <w:rFonts w:hint="eastAsia" w:ascii="宋体" w:hAnsi="宋体"/>
          <w:color w:val="auto"/>
          <w:sz w:val="24"/>
        </w:rPr>
        <w:t>违约责任。乙方必须在甲方规定的期限内完成委托业务，并保证工作质量符合甲方的质量要求。对抽样抽查检验结果批次数与原计划有出入的（个别情况除外），或乙方未在规定期限内完成任务的，甲方有权在履约保证金总额内扣除</w:t>
      </w:r>
      <w:r>
        <w:rPr>
          <w:rFonts w:ascii="宋体" w:hAnsi="宋体"/>
          <w:color w:val="auto"/>
          <w:sz w:val="24"/>
        </w:rPr>
        <w:t xml:space="preserve"> 0-</w:t>
      </w:r>
      <w:r>
        <w:rPr>
          <w:rFonts w:hint="eastAsia" w:ascii="宋体" w:hAnsi="宋体"/>
          <w:color w:val="auto"/>
          <w:sz w:val="24"/>
        </w:rPr>
        <w:t>3</w:t>
      </w:r>
      <w:r>
        <w:rPr>
          <w:rFonts w:ascii="宋体" w:hAnsi="宋体"/>
          <w:color w:val="auto"/>
          <w:sz w:val="24"/>
        </w:rPr>
        <w:t xml:space="preserve">0% </w:t>
      </w:r>
      <w:r>
        <w:rPr>
          <w:rFonts w:hint="eastAsia" w:ascii="宋体" w:hAnsi="宋体"/>
          <w:color w:val="auto"/>
          <w:sz w:val="24"/>
        </w:rPr>
        <w:t>。对发生工作质量问题的，视情况严重程度，甲方有权在履约保证金总额内扣除3</w:t>
      </w:r>
      <w:r>
        <w:rPr>
          <w:rFonts w:ascii="宋体" w:hAnsi="宋体"/>
          <w:color w:val="auto"/>
          <w:sz w:val="24"/>
        </w:rPr>
        <w:t>0-</w:t>
      </w:r>
      <w:r>
        <w:rPr>
          <w:rFonts w:hint="eastAsia" w:ascii="宋体" w:hAnsi="宋体"/>
          <w:color w:val="auto"/>
          <w:sz w:val="24"/>
        </w:rPr>
        <w:t>5</w:t>
      </w:r>
      <w:r>
        <w:rPr>
          <w:rFonts w:ascii="宋体" w:hAnsi="宋体"/>
          <w:color w:val="auto"/>
          <w:sz w:val="24"/>
        </w:rPr>
        <w:t>0%</w:t>
      </w:r>
      <w:r>
        <w:rPr>
          <w:rFonts w:hint="eastAsia" w:ascii="宋体" w:hAnsi="宋体"/>
          <w:color w:val="auto"/>
          <w:sz w:val="24"/>
        </w:rPr>
        <w:t>。服务期内经甲方考核核实发生服务质量问题的，每次（个）从履约保证金中扣除伍仟元整违约金，视情节轻重，可暂停供应商《杭州市流通领域(网络)商品质量抽检承检机构备选库入围协议》入围资格，供应商应在7个工作日内补足履约保证金至全额，同时对问题进行整改，经采购方同意后恢复入围资格；服务期内经采购方考核核实累计发生服务质量问题10次（个）以上或违约情节严重/影响恶劣的，采购人有权终止执行合同，并全额没收履约保证金，同时不再支付剩余合同款项。</w:t>
      </w:r>
    </w:p>
    <w:p>
      <w:pPr>
        <w:adjustRightInd w:val="0"/>
        <w:snapToGrid w:val="0"/>
        <w:spacing w:line="480" w:lineRule="exact"/>
        <w:ind w:firstLine="482" w:firstLineChars="200"/>
        <w:rPr>
          <w:rFonts w:ascii="宋体"/>
          <w:color w:val="auto"/>
          <w:sz w:val="24"/>
        </w:rPr>
      </w:pPr>
      <w:r>
        <w:rPr>
          <w:rFonts w:hint="eastAsia" w:ascii="宋体" w:hAnsi="宋体"/>
          <w:b/>
          <w:color w:val="auto"/>
          <w:sz w:val="24"/>
        </w:rPr>
        <w:t>第六条：</w:t>
      </w:r>
      <w:r>
        <w:rPr>
          <w:rFonts w:hint="eastAsia" w:ascii="宋体" w:hAnsi="宋体"/>
          <w:color w:val="auto"/>
          <w:sz w:val="24"/>
        </w:rPr>
        <w:t>合同的变更和终止。本协议必须由双方协商一致方可变更；未经双方协商一致，任何一方不得擅自变更和终止协议，否则构成违约；违约方应赔偿对方因此而导致的一切损失。</w:t>
      </w:r>
    </w:p>
    <w:p>
      <w:pPr>
        <w:adjustRightInd w:val="0"/>
        <w:snapToGrid w:val="0"/>
        <w:spacing w:line="480" w:lineRule="exact"/>
        <w:ind w:firstLine="482" w:firstLineChars="200"/>
        <w:rPr>
          <w:rFonts w:ascii="宋体"/>
          <w:color w:val="auto"/>
          <w:sz w:val="24"/>
        </w:rPr>
      </w:pPr>
      <w:r>
        <w:rPr>
          <w:rFonts w:hint="eastAsia" w:ascii="宋体" w:hAnsi="宋体"/>
          <w:b/>
          <w:color w:val="auto"/>
          <w:sz w:val="24"/>
        </w:rPr>
        <w:t>第七条：</w:t>
      </w:r>
      <w:r>
        <w:rPr>
          <w:rFonts w:hint="eastAsia" w:ascii="宋体" w:hAnsi="宋体"/>
          <w:color w:val="auto"/>
          <w:sz w:val="24"/>
        </w:rPr>
        <w:t>合同的生效。本合同经甲方、乙方法定代表人或其委托代理人签字并加盖公章后生效。</w:t>
      </w:r>
    </w:p>
    <w:p>
      <w:pPr>
        <w:adjustRightInd w:val="0"/>
        <w:snapToGrid w:val="0"/>
        <w:spacing w:line="480" w:lineRule="exact"/>
        <w:ind w:firstLine="482" w:firstLineChars="200"/>
        <w:rPr>
          <w:rFonts w:ascii="宋体"/>
          <w:color w:val="auto"/>
          <w:sz w:val="24"/>
        </w:rPr>
      </w:pPr>
      <w:r>
        <w:rPr>
          <w:rFonts w:hint="eastAsia" w:ascii="宋体" w:hAnsi="宋体"/>
          <w:b/>
          <w:color w:val="auto"/>
          <w:sz w:val="24"/>
        </w:rPr>
        <w:t>第八条：</w:t>
      </w:r>
      <w:r>
        <w:rPr>
          <w:rFonts w:hint="eastAsia" w:ascii="宋体" w:hAnsi="宋体"/>
          <w:color w:val="auto"/>
          <w:sz w:val="24"/>
        </w:rPr>
        <w:t>争议的处理。因本合同引起的纠纷，交由杭州仲裁委员会仲裁处理。</w:t>
      </w:r>
    </w:p>
    <w:p>
      <w:pPr>
        <w:widowControl/>
        <w:adjustRightInd w:val="0"/>
        <w:snapToGrid w:val="0"/>
        <w:spacing w:line="480" w:lineRule="exact"/>
        <w:ind w:firstLine="482" w:firstLineChars="200"/>
        <w:rPr>
          <w:rFonts w:ascii="宋体"/>
          <w:b/>
          <w:color w:val="auto"/>
          <w:sz w:val="24"/>
        </w:rPr>
      </w:pPr>
      <w:r>
        <w:rPr>
          <w:rFonts w:hint="eastAsia" w:ascii="宋体" w:hAnsi="宋体"/>
          <w:b/>
          <w:color w:val="auto"/>
          <w:sz w:val="24"/>
        </w:rPr>
        <w:t>第九条：</w:t>
      </w:r>
      <w:r>
        <w:rPr>
          <w:rFonts w:hint="eastAsia" w:ascii="宋体" w:hAnsi="宋体"/>
          <w:color w:val="auto"/>
          <w:sz w:val="24"/>
        </w:rPr>
        <w:t>本合同正本一式伍份，甲方执四份，乙方执一份。</w:t>
      </w:r>
    </w:p>
    <w:p>
      <w:pPr>
        <w:widowControl/>
        <w:adjustRightInd w:val="0"/>
        <w:snapToGrid w:val="0"/>
        <w:spacing w:line="480" w:lineRule="exact"/>
        <w:ind w:firstLine="482" w:firstLineChars="200"/>
        <w:rPr>
          <w:rFonts w:ascii="宋体"/>
          <w:color w:val="auto"/>
          <w:sz w:val="24"/>
        </w:rPr>
      </w:pPr>
      <w:r>
        <w:rPr>
          <w:rFonts w:hint="eastAsia" w:ascii="宋体" w:hAnsi="宋体"/>
          <w:b/>
          <w:color w:val="auto"/>
          <w:sz w:val="24"/>
        </w:rPr>
        <w:t>第十条：</w:t>
      </w:r>
      <w:r>
        <w:rPr>
          <w:rFonts w:hint="eastAsia" w:ascii="宋体" w:hAnsi="宋体"/>
          <w:color w:val="auto"/>
          <w:sz w:val="24"/>
        </w:rPr>
        <w:t>与本合同有关的招标文件、投标文件、澄清记录及入围通知书等同本合同具有同等法律效果。</w:t>
      </w:r>
    </w:p>
    <w:p>
      <w:pPr>
        <w:adjustRightInd w:val="0"/>
        <w:snapToGrid w:val="0"/>
        <w:spacing w:line="480" w:lineRule="exact"/>
        <w:ind w:firstLine="482" w:firstLineChars="200"/>
        <w:rPr>
          <w:rFonts w:ascii="宋体"/>
          <w:color w:val="auto"/>
          <w:sz w:val="24"/>
        </w:rPr>
      </w:pPr>
      <w:r>
        <w:rPr>
          <w:rFonts w:hint="eastAsia" w:ascii="宋体" w:hAnsi="宋体"/>
          <w:b/>
          <w:color w:val="auto"/>
          <w:sz w:val="24"/>
        </w:rPr>
        <w:t>第十一条：</w:t>
      </w:r>
      <w:r>
        <w:rPr>
          <w:rFonts w:hint="eastAsia" w:ascii="宋体" w:hAnsi="宋体"/>
          <w:color w:val="auto"/>
          <w:sz w:val="24"/>
        </w:rPr>
        <w:t>本合同未尽事宜，由双方协商解决。</w:t>
      </w:r>
    </w:p>
    <w:p>
      <w:pPr>
        <w:adjustRightInd w:val="0"/>
        <w:snapToGrid w:val="0"/>
        <w:spacing w:line="480" w:lineRule="exact"/>
        <w:rPr>
          <w:rFonts w:ascii="宋体"/>
          <w:color w:val="auto"/>
          <w:sz w:val="24"/>
        </w:rPr>
      </w:pPr>
      <w:r>
        <w:rPr>
          <w:rFonts w:hint="eastAsia" w:ascii="宋体" w:hAnsi="宋体"/>
          <w:color w:val="auto"/>
          <w:sz w:val="24"/>
        </w:rPr>
        <w:t>甲方（盖章）：                        乙方（盖章）：</w:t>
      </w:r>
    </w:p>
    <w:p>
      <w:pPr>
        <w:adjustRightInd w:val="0"/>
        <w:snapToGrid w:val="0"/>
        <w:spacing w:line="480" w:lineRule="exact"/>
        <w:rPr>
          <w:rFonts w:ascii="宋体"/>
          <w:color w:val="auto"/>
          <w:sz w:val="24"/>
        </w:rPr>
      </w:pPr>
      <w:r>
        <w:rPr>
          <w:rFonts w:hint="eastAsia" w:ascii="宋体" w:hAnsi="宋体"/>
          <w:color w:val="auto"/>
          <w:sz w:val="24"/>
        </w:rPr>
        <w:t>法定代表人：                         法定代表人：</w:t>
      </w:r>
    </w:p>
    <w:p>
      <w:pPr>
        <w:adjustRightInd w:val="0"/>
        <w:snapToGrid w:val="0"/>
        <w:spacing w:line="480" w:lineRule="exact"/>
        <w:rPr>
          <w:rFonts w:ascii="宋体"/>
          <w:color w:val="auto"/>
          <w:sz w:val="24"/>
        </w:rPr>
      </w:pPr>
      <w:r>
        <w:rPr>
          <w:rFonts w:hint="eastAsia" w:ascii="宋体" w:hAnsi="宋体"/>
          <w:color w:val="auto"/>
          <w:sz w:val="24"/>
        </w:rPr>
        <w:t>或受委托人（签字）：                 或受委托人（签字）：</w:t>
      </w:r>
    </w:p>
    <w:p>
      <w:pPr>
        <w:adjustRightInd w:val="0"/>
        <w:snapToGrid w:val="0"/>
        <w:spacing w:line="480" w:lineRule="exact"/>
        <w:rPr>
          <w:rFonts w:ascii="宋体"/>
          <w:color w:val="auto"/>
          <w:sz w:val="24"/>
        </w:rPr>
      </w:pPr>
      <w:r>
        <w:rPr>
          <w:rFonts w:hint="eastAsia" w:ascii="宋体" w:hAnsi="宋体"/>
          <w:color w:val="auto"/>
          <w:sz w:val="24"/>
        </w:rPr>
        <w:t>联系人：                             联系人：</w:t>
      </w:r>
    </w:p>
    <w:p>
      <w:pPr>
        <w:adjustRightInd w:val="0"/>
        <w:snapToGrid w:val="0"/>
        <w:spacing w:line="480" w:lineRule="exact"/>
        <w:rPr>
          <w:rFonts w:ascii="宋体"/>
          <w:color w:val="auto"/>
          <w:sz w:val="24"/>
        </w:rPr>
      </w:pPr>
      <w:r>
        <w:rPr>
          <w:rFonts w:hint="eastAsia" w:ascii="宋体" w:hAnsi="宋体"/>
          <w:color w:val="auto"/>
          <w:sz w:val="24"/>
        </w:rPr>
        <w:t>地址：                               地址：</w:t>
      </w:r>
    </w:p>
    <w:p>
      <w:pPr>
        <w:adjustRightInd w:val="0"/>
        <w:snapToGrid w:val="0"/>
        <w:spacing w:line="480" w:lineRule="exact"/>
        <w:rPr>
          <w:rFonts w:ascii="宋体"/>
          <w:color w:val="auto"/>
          <w:sz w:val="24"/>
        </w:rPr>
      </w:pPr>
      <w:r>
        <w:rPr>
          <w:rFonts w:hint="eastAsia" w:ascii="宋体" w:hAnsi="宋体"/>
          <w:color w:val="auto"/>
          <w:sz w:val="24"/>
        </w:rPr>
        <w:t>电话：                               电话：</w:t>
      </w:r>
    </w:p>
    <w:p>
      <w:pPr>
        <w:adjustRightInd w:val="0"/>
        <w:snapToGrid w:val="0"/>
        <w:spacing w:line="480" w:lineRule="exact"/>
        <w:rPr>
          <w:rFonts w:ascii="宋体"/>
          <w:color w:val="auto"/>
          <w:sz w:val="24"/>
        </w:rPr>
      </w:pPr>
      <w:r>
        <w:rPr>
          <w:rFonts w:hint="eastAsia" w:ascii="宋体" w:hAnsi="宋体"/>
          <w:color w:val="auto"/>
          <w:sz w:val="24"/>
        </w:rPr>
        <w:t>传真：                               传真：</w:t>
      </w:r>
    </w:p>
    <w:p>
      <w:pPr>
        <w:adjustRightInd w:val="0"/>
        <w:snapToGrid w:val="0"/>
        <w:spacing w:line="480" w:lineRule="exact"/>
        <w:ind w:firstLine="480" w:firstLineChars="200"/>
        <w:rPr>
          <w:rFonts w:ascii="宋体"/>
          <w:color w:val="auto"/>
          <w:sz w:val="24"/>
        </w:rPr>
      </w:pPr>
      <w:r>
        <w:rPr>
          <w:rFonts w:hint="eastAsia" w:ascii="宋体" w:hAnsi="宋体"/>
          <w:color w:val="auto"/>
          <w:sz w:val="24"/>
        </w:rPr>
        <w:t>年月日                             年月日</w:t>
      </w:r>
    </w:p>
    <w:p>
      <w:pPr>
        <w:spacing w:line="360" w:lineRule="auto"/>
        <w:rPr>
          <w:rFonts w:ascii="宋体" w:cs="宋体"/>
          <w:color w:val="auto"/>
          <w:sz w:val="24"/>
        </w:rPr>
        <w:sectPr>
          <w:pgSz w:w="11906" w:h="16838"/>
          <w:pgMar w:top="1440" w:right="1486" w:bottom="1440" w:left="1800" w:header="851" w:footer="992" w:gutter="0"/>
          <w:cols w:space="720" w:num="1"/>
          <w:docGrid w:type="lines" w:linePitch="312" w:charSpace="0"/>
        </w:sectPr>
      </w:pPr>
    </w:p>
    <w:p>
      <w:pPr>
        <w:pStyle w:val="2"/>
        <w:rPr>
          <w:rFonts w:ascii="宋体" w:cs="宋体"/>
          <w:color w:val="auto"/>
          <w:szCs w:val="32"/>
        </w:rPr>
      </w:pPr>
      <w:bookmarkStart w:id="52" w:name="_Toc20963"/>
      <w:bookmarkStart w:id="53" w:name="_Toc393791423"/>
      <w:r>
        <w:rPr>
          <w:rFonts w:hint="eastAsia"/>
          <w:color w:val="auto"/>
          <w:szCs w:val="32"/>
        </w:rPr>
        <w:t>第四部分 评标办法及标准</w:t>
      </w:r>
      <w:bookmarkEnd w:id="52"/>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评分细则</w:t>
      </w:r>
    </w:p>
    <w:p>
      <w:pPr>
        <w:spacing w:line="360" w:lineRule="auto"/>
        <w:ind w:firstLine="480" w:firstLineChars="200"/>
        <w:rPr>
          <w:rFonts w:ascii="宋体" w:cs="宋体"/>
          <w:color w:val="auto"/>
          <w:sz w:val="24"/>
        </w:rPr>
      </w:pPr>
      <w:r>
        <w:rPr>
          <w:rFonts w:ascii="宋体" w:hAnsi="宋体" w:cs="宋体"/>
          <w:color w:val="auto"/>
          <w:sz w:val="24"/>
        </w:rPr>
        <w:t>1.1</w:t>
      </w:r>
      <w:r>
        <w:rPr>
          <w:rFonts w:hint="eastAsia" w:ascii="宋体" w:hAnsi="宋体" w:cs="宋体"/>
          <w:color w:val="auto"/>
          <w:sz w:val="24"/>
        </w:rPr>
        <w:t>商务技术评分表（</w:t>
      </w:r>
      <w:r>
        <w:rPr>
          <w:rFonts w:ascii="宋体" w:hAnsi="宋体" w:cs="宋体"/>
          <w:color w:val="auto"/>
          <w:sz w:val="24"/>
        </w:rPr>
        <w:t>90</w:t>
      </w:r>
      <w:r>
        <w:rPr>
          <w:rFonts w:hint="eastAsia" w:ascii="宋体" w:hAnsi="宋体" w:cs="宋体"/>
          <w:color w:val="auto"/>
          <w:sz w:val="24"/>
        </w:rPr>
        <w:t>分）</w:t>
      </w:r>
    </w:p>
    <w:tbl>
      <w:tblPr>
        <w:tblStyle w:val="27"/>
        <w:tblW w:w="8836" w:type="dxa"/>
        <w:jc w:val="center"/>
        <w:tblInd w:w="0" w:type="dxa"/>
        <w:tblLayout w:type="fixed"/>
        <w:tblCellMar>
          <w:top w:w="15" w:type="dxa"/>
          <w:left w:w="108" w:type="dxa"/>
          <w:bottom w:w="15" w:type="dxa"/>
          <w:right w:w="108" w:type="dxa"/>
        </w:tblCellMar>
      </w:tblPr>
      <w:tblGrid>
        <w:gridCol w:w="403"/>
        <w:gridCol w:w="661"/>
        <w:gridCol w:w="666"/>
        <w:gridCol w:w="533"/>
        <w:gridCol w:w="3812"/>
        <w:gridCol w:w="2761"/>
      </w:tblGrid>
      <w:tr>
        <w:tblPrEx>
          <w:tblLayout w:type="fixed"/>
          <w:tblCellMar>
            <w:top w:w="15" w:type="dxa"/>
            <w:left w:w="108" w:type="dxa"/>
            <w:bottom w:w="15" w:type="dxa"/>
            <w:right w:w="108" w:type="dxa"/>
          </w:tblCellMar>
        </w:tblPrEx>
        <w:trPr>
          <w:cantSplit/>
          <w:tblHeader/>
          <w:jc w:val="center"/>
        </w:trPr>
        <w:tc>
          <w:tcPr>
            <w:tcW w:w="40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b/>
                <w:bCs/>
                <w:color w:val="auto"/>
                <w:kern w:val="0"/>
                <w:sz w:val="18"/>
                <w:szCs w:val="18"/>
              </w:rPr>
            </w:pPr>
            <w:r>
              <w:rPr>
                <w:rFonts w:hint="eastAsia" w:ascii="宋体" w:hAnsi="宋体" w:cs="宋体"/>
                <w:b/>
                <w:bCs/>
                <w:color w:val="auto"/>
                <w:kern w:val="0"/>
                <w:sz w:val="18"/>
                <w:szCs w:val="18"/>
              </w:rPr>
              <w:t>序号</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b/>
                <w:bCs/>
                <w:color w:val="auto"/>
                <w:kern w:val="0"/>
                <w:sz w:val="18"/>
                <w:szCs w:val="18"/>
              </w:rPr>
            </w:pPr>
            <w:r>
              <w:rPr>
                <w:rFonts w:hint="eastAsia" w:ascii="宋体" w:hAnsi="宋体" w:cs="宋体"/>
                <w:b/>
                <w:bCs/>
                <w:color w:val="auto"/>
                <w:kern w:val="0"/>
                <w:sz w:val="18"/>
                <w:szCs w:val="18"/>
              </w:rPr>
              <w:t>分类</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b/>
                <w:bCs/>
                <w:color w:val="auto"/>
                <w:kern w:val="0"/>
                <w:sz w:val="18"/>
                <w:szCs w:val="18"/>
              </w:rPr>
            </w:pPr>
            <w:r>
              <w:rPr>
                <w:rFonts w:hint="eastAsia" w:ascii="宋体" w:hAnsi="宋体" w:cs="宋体"/>
                <w:b/>
                <w:bCs/>
                <w:color w:val="auto"/>
                <w:kern w:val="0"/>
                <w:sz w:val="18"/>
                <w:szCs w:val="18"/>
              </w:rPr>
              <w:t>评分因素</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b/>
                <w:bCs/>
                <w:color w:val="auto"/>
                <w:kern w:val="0"/>
                <w:sz w:val="18"/>
                <w:szCs w:val="18"/>
              </w:rPr>
            </w:pPr>
            <w:r>
              <w:rPr>
                <w:rFonts w:hint="eastAsia" w:ascii="宋体" w:hAnsi="宋体" w:cs="宋体"/>
                <w:b/>
                <w:bCs/>
                <w:color w:val="auto"/>
                <w:kern w:val="0"/>
                <w:sz w:val="18"/>
                <w:szCs w:val="18"/>
              </w:rPr>
              <w:t>分值</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b/>
                <w:bCs/>
                <w:color w:val="auto"/>
                <w:kern w:val="0"/>
                <w:sz w:val="18"/>
                <w:szCs w:val="18"/>
              </w:rPr>
            </w:pPr>
            <w:r>
              <w:rPr>
                <w:rFonts w:hint="eastAsia" w:ascii="宋体" w:hAnsi="宋体" w:cs="宋体"/>
                <w:b/>
                <w:bCs/>
                <w:color w:val="auto"/>
                <w:kern w:val="0"/>
                <w:sz w:val="18"/>
                <w:szCs w:val="18"/>
              </w:rPr>
              <w:t>评分标准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b/>
                <w:bCs/>
                <w:color w:val="auto"/>
                <w:kern w:val="0"/>
                <w:sz w:val="18"/>
                <w:szCs w:val="18"/>
              </w:rPr>
            </w:pPr>
            <w:r>
              <w:rPr>
                <w:rFonts w:hint="eastAsia" w:ascii="宋体" w:hAnsi="宋体" w:cs="宋体"/>
                <w:b/>
                <w:bCs/>
                <w:color w:val="auto"/>
                <w:kern w:val="0"/>
                <w:sz w:val="18"/>
                <w:szCs w:val="18"/>
              </w:rPr>
              <w:t>说明</w:t>
            </w:r>
          </w:p>
        </w:tc>
      </w:tr>
      <w:tr>
        <w:tblPrEx>
          <w:tblLayout w:type="fixed"/>
          <w:tblCellMar>
            <w:top w:w="15" w:type="dxa"/>
            <w:left w:w="108" w:type="dxa"/>
            <w:bottom w:w="15" w:type="dxa"/>
            <w:right w:w="108" w:type="dxa"/>
          </w:tblCellMar>
        </w:tblPrEx>
        <w:trPr>
          <w:cantSplit/>
          <w:jc w:val="center"/>
        </w:trPr>
        <w:tc>
          <w:tcPr>
            <w:tcW w:w="403"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ascii="宋体" w:hAnsi="宋体" w:cs="宋体"/>
                <w:color w:val="auto"/>
                <w:kern w:val="0"/>
                <w:sz w:val="18"/>
                <w:szCs w:val="18"/>
              </w:rPr>
              <w:t>1</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商务部分</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资质认定</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10</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r>
              <w:rPr>
                <w:rFonts w:hint="eastAsia" w:ascii="宋体" w:hAnsi="宋体" w:cs="宋体"/>
                <w:color w:val="auto"/>
                <w:kern w:val="0"/>
                <w:sz w:val="18"/>
                <w:szCs w:val="18"/>
              </w:rPr>
              <w:t>根据投标人提供的资质认定（计量认定）证书附表批准的检测项目承检完整度，能承检所有商品的得10分，不能承检一个商品扣</w:t>
            </w:r>
            <w:r>
              <w:rPr>
                <w:rFonts w:ascii="宋体" w:hAnsi="宋体" w:cs="宋体"/>
                <w:color w:val="auto"/>
                <w:kern w:val="0"/>
                <w:sz w:val="18"/>
                <w:szCs w:val="18"/>
              </w:rPr>
              <w:t>1</w:t>
            </w:r>
            <w:r>
              <w:rPr>
                <w:rFonts w:hint="eastAsia" w:ascii="宋体" w:hAnsi="宋体" w:cs="宋体"/>
                <w:color w:val="auto"/>
                <w:kern w:val="0"/>
                <w:sz w:val="18"/>
                <w:szCs w:val="18"/>
              </w:rPr>
              <w:t>分，以此类推，直至扣完。商品中如有检测项目不能满足的，视同不能承检该商品。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r>
              <w:rPr>
                <w:rFonts w:hint="eastAsia" w:ascii="宋体" w:hAnsi="宋体" w:cs="宋体"/>
                <w:color w:val="auto"/>
                <w:kern w:val="0"/>
                <w:sz w:val="18"/>
                <w:szCs w:val="18"/>
              </w:rPr>
              <w:t>需提供相关证书及认定材料复印件，需在投标文件中将CMA资质对应项标注清楚，并附能力附表，原件备查。</w:t>
            </w:r>
          </w:p>
        </w:tc>
      </w:tr>
      <w:tr>
        <w:tblPrEx>
          <w:tblLayout w:type="fixed"/>
          <w:tblCellMar>
            <w:top w:w="15" w:type="dxa"/>
            <w:left w:w="108" w:type="dxa"/>
            <w:bottom w:w="15" w:type="dxa"/>
            <w:right w:w="108" w:type="dxa"/>
          </w:tblCellMar>
        </w:tblPrEx>
        <w:trPr>
          <w:cantSplit/>
          <w:jc w:val="center"/>
        </w:trPr>
        <w:tc>
          <w:tcPr>
            <w:tcW w:w="40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业绩</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16</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投标人</w:t>
            </w:r>
            <w:r>
              <w:rPr>
                <w:rFonts w:ascii="宋体" w:hAnsi="宋体" w:cs="宋体"/>
                <w:color w:val="auto"/>
                <w:kern w:val="0"/>
                <w:sz w:val="18"/>
                <w:szCs w:val="18"/>
              </w:rPr>
              <w:t>20</w:t>
            </w:r>
            <w:r>
              <w:rPr>
                <w:rFonts w:hint="eastAsia" w:ascii="宋体" w:hAnsi="宋体" w:cs="宋体"/>
                <w:color w:val="auto"/>
                <w:kern w:val="0"/>
                <w:sz w:val="18"/>
                <w:szCs w:val="18"/>
              </w:rPr>
              <w:t>16年以来同类项目的业绩情况：</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1</w:t>
            </w:r>
            <w:r>
              <w:rPr>
                <w:rFonts w:hint="eastAsia" w:ascii="宋体" w:hAnsi="宋体" w:cs="宋体"/>
                <w:color w:val="auto"/>
                <w:kern w:val="0"/>
                <w:sz w:val="18"/>
                <w:szCs w:val="18"/>
              </w:rPr>
              <w:t>）承担国家级行政机关</w:t>
            </w:r>
            <w:r>
              <w:rPr>
                <w:rFonts w:hint="eastAsia" w:ascii="宋体" w:hAnsi="宋体" w:cs="宋体"/>
                <w:b/>
                <w:color w:val="auto"/>
                <w:kern w:val="0"/>
                <w:sz w:val="18"/>
                <w:szCs w:val="18"/>
              </w:rPr>
              <w:t>商品质量</w:t>
            </w:r>
            <w:r>
              <w:rPr>
                <w:rFonts w:hint="eastAsia" w:ascii="宋体" w:hAnsi="宋体" w:cs="宋体"/>
                <w:color w:val="auto"/>
                <w:kern w:val="0"/>
                <w:sz w:val="18"/>
                <w:szCs w:val="18"/>
              </w:rPr>
              <w:t>检验任务的，累计合同金额大于或等于所投标项的预算金额的得5分，累计合同金额小于所投标项的预算金额的得2.5分；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2</w:t>
            </w:r>
            <w:r>
              <w:rPr>
                <w:rFonts w:hint="eastAsia" w:ascii="宋体" w:hAnsi="宋体" w:cs="宋体"/>
                <w:color w:val="auto"/>
                <w:kern w:val="0"/>
                <w:sz w:val="18"/>
                <w:szCs w:val="18"/>
              </w:rPr>
              <w:t>）承担省级行政机关</w:t>
            </w:r>
            <w:r>
              <w:rPr>
                <w:rFonts w:hint="eastAsia" w:ascii="宋体" w:hAnsi="宋体" w:cs="宋体"/>
                <w:b/>
                <w:color w:val="auto"/>
                <w:kern w:val="0"/>
                <w:sz w:val="18"/>
                <w:szCs w:val="18"/>
              </w:rPr>
              <w:t>商品质量</w:t>
            </w:r>
            <w:r>
              <w:rPr>
                <w:rFonts w:hint="eastAsia" w:ascii="宋体" w:hAnsi="宋体" w:cs="宋体"/>
                <w:color w:val="auto"/>
                <w:kern w:val="0"/>
                <w:sz w:val="18"/>
                <w:szCs w:val="18"/>
              </w:rPr>
              <w:t>检验任务的，累计合同金额大于等于所投标项的预算金额的得4分，合同金额合同金额小于所投标项的预算金额的得</w:t>
            </w:r>
            <w:r>
              <w:rPr>
                <w:rFonts w:ascii="宋体" w:hAnsi="宋体" w:cs="宋体"/>
                <w:color w:val="auto"/>
                <w:kern w:val="0"/>
                <w:sz w:val="18"/>
                <w:szCs w:val="18"/>
              </w:rPr>
              <w:t>2</w:t>
            </w:r>
            <w:r>
              <w:rPr>
                <w:rFonts w:hint="eastAsia" w:ascii="宋体" w:hAnsi="宋体" w:cs="宋体"/>
                <w:color w:val="auto"/>
                <w:kern w:val="0"/>
                <w:sz w:val="18"/>
                <w:szCs w:val="18"/>
              </w:rPr>
              <w:t>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3</w:t>
            </w:r>
            <w:r>
              <w:rPr>
                <w:rFonts w:hint="eastAsia" w:ascii="宋体" w:hAnsi="宋体" w:cs="宋体"/>
                <w:color w:val="auto"/>
                <w:kern w:val="0"/>
                <w:sz w:val="18"/>
                <w:szCs w:val="18"/>
              </w:rPr>
              <w:t>）有省级或市级以上行政机关委托的网络商品抽检经历且有成功案例的，每个合同得</w:t>
            </w:r>
            <w:r>
              <w:rPr>
                <w:rFonts w:ascii="宋体" w:hAnsi="宋体" w:cs="宋体"/>
                <w:color w:val="auto"/>
                <w:kern w:val="0"/>
                <w:sz w:val="18"/>
                <w:szCs w:val="18"/>
              </w:rPr>
              <w:t>1</w:t>
            </w:r>
            <w:r>
              <w:rPr>
                <w:rFonts w:hint="eastAsia" w:ascii="宋体" w:hAnsi="宋体" w:cs="宋体"/>
                <w:color w:val="auto"/>
                <w:kern w:val="0"/>
                <w:sz w:val="18"/>
                <w:szCs w:val="18"/>
              </w:rPr>
              <w:t>分，最高5分。据此评定投标人的业绩、经验和能力。</w:t>
            </w:r>
          </w:p>
          <w:p>
            <w:pPr>
              <w:widowControl/>
              <w:snapToGrid w:val="0"/>
              <w:jc w:val="left"/>
              <w:rPr>
                <w:rFonts w:ascii="宋体" w:cs="宋体"/>
                <w:color w:val="auto"/>
                <w:kern w:val="0"/>
                <w:sz w:val="18"/>
                <w:szCs w:val="18"/>
              </w:rPr>
            </w:pPr>
            <w:r>
              <w:rPr>
                <w:rFonts w:hint="eastAsia" w:ascii="宋体" w:hAnsi="宋体" w:cs="宋体"/>
                <w:color w:val="auto"/>
                <w:kern w:val="0"/>
                <w:sz w:val="18"/>
                <w:szCs w:val="18"/>
              </w:rPr>
              <w:t>（4）有过流通领域网络抽检任务经验的，加2分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r>
              <w:rPr>
                <w:rFonts w:hint="eastAsia" w:ascii="宋体" w:hAnsi="宋体" w:cs="宋体"/>
                <w:color w:val="auto"/>
                <w:kern w:val="0"/>
                <w:sz w:val="18"/>
                <w:szCs w:val="18"/>
              </w:rPr>
              <w:t>须提供合同、委托书、业主方证明等证明材料，业主方证明需原件，其他材料需提供复印件并加盖公章，原件备查，且证明材料的检测内容需与本次采购要求具有关联性，否则不得分。</w:t>
            </w:r>
          </w:p>
        </w:tc>
      </w:tr>
      <w:tr>
        <w:tblPrEx>
          <w:tblLayout w:type="fixed"/>
          <w:tblCellMar>
            <w:top w:w="15" w:type="dxa"/>
            <w:left w:w="108" w:type="dxa"/>
            <w:bottom w:w="15" w:type="dxa"/>
            <w:right w:w="108" w:type="dxa"/>
          </w:tblCellMar>
        </w:tblPrEx>
        <w:trPr>
          <w:cantSplit/>
          <w:jc w:val="center"/>
        </w:trPr>
        <w:tc>
          <w:tcPr>
            <w:tcW w:w="403"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ascii="宋体" w:hAnsi="宋体" w:cs="宋体"/>
                <w:color w:val="auto"/>
                <w:kern w:val="0"/>
                <w:sz w:val="18"/>
                <w:szCs w:val="18"/>
              </w:rPr>
              <w:t>2</w:t>
            </w:r>
          </w:p>
        </w:tc>
        <w:tc>
          <w:tcPr>
            <w:tcW w:w="661"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技术部分</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实验室场地及设备</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19</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投标人选组所投项目检测的实验条件：</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1</w:t>
            </w:r>
            <w:r>
              <w:rPr>
                <w:rFonts w:hint="eastAsia" w:ascii="宋体" w:hAnsi="宋体" w:cs="宋体"/>
                <w:color w:val="auto"/>
                <w:kern w:val="0"/>
                <w:sz w:val="18"/>
                <w:szCs w:val="18"/>
              </w:rPr>
              <w:t>）有满足检测工作需要的、独立的、固定的实验场地的且实验室面积大于等于20000㎡的，得</w:t>
            </w:r>
            <w:r>
              <w:rPr>
                <w:rFonts w:ascii="宋体" w:hAnsi="宋体" w:cs="宋体"/>
                <w:color w:val="auto"/>
                <w:kern w:val="0"/>
                <w:sz w:val="18"/>
                <w:szCs w:val="18"/>
              </w:rPr>
              <w:t>5</w:t>
            </w:r>
            <w:r>
              <w:rPr>
                <w:rFonts w:hint="eastAsia" w:ascii="宋体" w:hAnsi="宋体" w:cs="宋体"/>
                <w:color w:val="auto"/>
                <w:kern w:val="0"/>
                <w:sz w:val="18"/>
                <w:szCs w:val="18"/>
              </w:rPr>
              <w:t>分；10000㎡-20000㎡的，得3分；低于10000㎡的，得1分</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s="宋体"/>
                <w:color w:val="auto"/>
                <w:kern w:val="0"/>
                <w:sz w:val="18"/>
                <w:szCs w:val="18"/>
              </w:rPr>
              <w:t>2</w:t>
            </w:r>
            <w:r>
              <w:rPr>
                <w:rFonts w:hint="eastAsia" w:ascii="宋体" w:hAnsi="宋体" w:cs="宋体"/>
                <w:color w:val="auto"/>
                <w:kern w:val="0"/>
                <w:sz w:val="18"/>
                <w:szCs w:val="18"/>
              </w:rPr>
              <w:t>）投标人须具有符合检测要求的仪器设备，实验室检测仪器设备充足、能满足大批量样品的检测周期需要的，得4分；不能全部满足的，酌情扣分。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3</w:t>
            </w:r>
            <w:r>
              <w:rPr>
                <w:rFonts w:hint="eastAsia" w:ascii="宋体" w:hAnsi="宋体" w:cs="宋体"/>
                <w:color w:val="auto"/>
                <w:kern w:val="0"/>
                <w:sz w:val="18"/>
                <w:szCs w:val="18"/>
              </w:rPr>
              <w:t>）运用计算机与信息技术或自动设备对检测数据、信息资料进行采集、处理、分析、记录、报告或存贮，且能提供具有检验检测公章的电子版报告的，得4分。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4</w:t>
            </w:r>
            <w:r>
              <w:rPr>
                <w:rFonts w:hint="eastAsia" w:ascii="宋体" w:hAnsi="宋体" w:cs="宋体"/>
                <w:color w:val="auto"/>
                <w:kern w:val="0"/>
                <w:sz w:val="18"/>
                <w:szCs w:val="18"/>
              </w:rPr>
              <w:t>）按照国家级、省级检验中心（实验室）进行评分，所投商品中有国家级的得3分，省级得2分，市级得1分，最高得3分。</w:t>
            </w:r>
          </w:p>
          <w:p>
            <w:pPr>
              <w:widowControl/>
              <w:snapToGrid w:val="0"/>
              <w:jc w:val="left"/>
              <w:rPr>
                <w:rFonts w:ascii="宋体" w:cs="宋体"/>
                <w:color w:val="auto"/>
                <w:kern w:val="0"/>
                <w:sz w:val="18"/>
                <w:szCs w:val="18"/>
              </w:rPr>
            </w:pPr>
            <w:r>
              <w:rPr>
                <w:rFonts w:hint="eastAsia" w:ascii="宋体" w:hAnsi="宋体" w:cs="宋体"/>
                <w:color w:val="auto"/>
                <w:kern w:val="0"/>
                <w:sz w:val="18"/>
                <w:szCs w:val="18"/>
              </w:rPr>
              <w:t>（5）有满足检测工作需要的、独立的、固定的仓储条件的场地且场地面积大于等于100㎡的，得3分； 50－100㎡的，得2分。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r>
              <w:rPr>
                <w:rFonts w:hint="eastAsia" w:ascii="宋体" w:hAnsi="宋体" w:cs="宋体"/>
                <w:color w:val="auto"/>
                <w:kern w:val="0"/>
                <w:sz w:val="18"/>
                <w:szCs w:val="18"/>
              </w:rPr>
              <w:t>条件（</w:t>
            </w:r>
            <w:r>
              <w:rPr>
                <w:rFonts w:ascii="宋体" w:hAnsi="宋体" w:cs="宋体"/>
                <w:color w:val="auto"/>
                <w:kern w:val="0"/>
                <w:sz w:val="18"/>
                <w:szCs w:val="18"/>
              </w:rPr>
              <w:t>1</w:t>
            </w:r>
            <w:r>
              <w:rPr>
                <w:rFonts w:hint="eastAsia" w:ascii="宋体" w:hAnsi="宋体" w:cs="宋体"/>
                <w:color w:val="auto"/>
                <w:kern w:val="0"/>
                <w:sz w:val="18"/>
                <w:szCs w:val="18"/>
              </w:rPr>
              <w:t>）须提供相应的证明材料，包括房产证或房屋租赁合同或上级主管部门的证明及附图、工作场地照片，并附说明。</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2</w:t>
            </w:r>
            <w:r>
              <w:rPr>
                <w:rFonts w:hint="eastAsia" w:ascii="宋体" w:hAnsi="宋体" w:cs="宋体"/>
                <w:color w:val="auto"/>
                <w:kern w:val="0"/>
                <w:sz w:val="18"/>
                <w:szCs w:val="18"/>
              </w:rPr>
              <w:t>）须提供仪器设备一览表或校准证书（复印件），并提供书面真实性承诺。</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3</w:t>
            </w:r>
            <w:r>
              <w:rPr>
                <w:rFonts w:hint="eastAsia" w:ascii="宋体" w:hAnsi="宋体" w:cs="宋体"/>
                <w:color w:val="auto"/>
                <w:kern w:val="0"/>
                <w:sz w:val="18"/>
                <w:szCs w:val="18"/>
              </w:rPr>
              <w:t>）须提供相关的信息化系统工作流程图及主要环节系统界面截图等材料。</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4</w:t>
            </w:r>
            <w:r>
              <w:rPr>
                <w:rFonts w:hint="eastAsia" w:ascii="宋体" w:hAnsi="宋体" w:cs="宋体"/>
                <w:color w:val="auto"/>
                <w:kern w:val="0"/>
                <w:sz w:val="18"/>
                <w:szCs w:val="18"/>
              </w:rPr>
              <w:t>）须提供相关证明文件，并注明相应的商品名称或所在类别。</w:t>
            </w:r>
          </w:p>
        </w:tc>
      </w:tr>
      <w:tr>
        <w:tblPrEx>
          <w:tblLayout w:type="fixed"/>
          <w:tblCellMar>
            <w:top w:w="15" w:type="dxa"/>
            <w:left w:w="108" w:type="dxa"/>
            <w:bottom w:w="15" w:type="dxa"/>
            <w:right w:w="108" w:type="dxa"/>
          </w:tblCellMar>
        </w:tblPrEx>
        <w:trPr>
          <w:cantSplit/>
          <w:jc w:val="center"/>
        </w:trPr>
        <w:tc>
          <w:tcPr>
            <w:tcW w:w="403"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1"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项目人员配备</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cs="宋体"/>
                <w:color w:val="auto"/>
                <w:kern w:val="0"/>
                <w:sz w:val="18"/>
                <w:szCs w:val="18"/>
              </w:rPr>
            </w:pPr>
            <w:r>
              <w:rPr>
                <w:rFonts w:hint="eastAsia" w:ascii="宋体" w:hAnsi="宋体" w:cs="宋体"/>
                <w:color w:val="auto"/>
                <w:kern w:val="0"/>
                <w:sz w:val="18"/>
                <w:szCs w:val="18"/>
              </w:rPr>
              <w:t>17</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napToGrid w:val="0"/>
              <w:jc w:val="left"/>
              <w:rPr>
                <w:rFonts w:ascii="宋体" w:cs="宋体"/>
                <w:color w:val="auto"/>
                <w:kern w:val="0"/>
                <w:sz w:val="18"/>
                <w:szCs w:val="18"/>
              </w:rPr>
            </w:pPr>
            <w:r>
              <w:rPr>
                <w:rFonts w:hint="eastAsia" w:ascii="宋体" w:hAnsi="宋体" w:cs="宋体"/>
                <w:color w:val="auto"/>
                <w:kern w:val="0"/>
                <w:sz w:val="18"/>
                <w:szCs w:val="18"/>
              </w:rPr>
              <w:t>拟投入项目负责人</w:t>
            </w:r>
            <w:r>
              <w:rPr>
                <w:rFonts w:ascii="宋体" w:hAnsi="宋体" w:cs="宋体"/>
                <w:color w:val="auto"/>
                <w:kern w:val="0"/>
                <w:sz w:val="18"/>
                <w:szCs w:val="18"/>
              </w:rPr>
              <w:t>201</w:t>
            </w:r>
            <w:r>
              <w:rPr>
                <w:rFonts w:hint="eastAsia" w:ascii="宋体" w:hAnsi="宋体" w:cs="宋体"/>
                <w:color w:val="auto"/>
                <w:kern w:val="0"/>
                <w:sz w:val="18"/>
                <w:szCs w:val="18"/>
              </w:rPr>
              <w:t>6年以来有行政机关委托履行网络商品抽样检测服务经历的，每次得</w:t>
            </w:r>
            <w:r>
              <w:rPr>
                <w:rFonts w:ascii="宋体" w:hAnsi="宋体" w:cs="宋体"/>
                <w:color w:val="auto"/>
                <w:kern w:val="0"/>
                <w:sz w:val="18"/>
                <w:szCs w:val="18"/>
              </w:rPr>
              <w:t>1</w:t>
            </w:r>
            <w:r>
              <w:rPr>
                <w:rFonts w:hint="eastAsia" w:ascii="宋体" w:hAnsi="宋体" w:cs="宋体"/>
                <w:color w:val="auto"/>
                <w:kern w:val="0"/>
                <w:sz w:val="18"/>
                <w:szCs w:val="18"/>
              </w:rPr>
              <w:t>分，最高得5分。</w:t>
            </w:r>
          </w:p>
          <w:p>
            <w:pPr>
              <w:widowControl/>
              <w:numPr>
                <w:ilvl w:val="0"/>
                <w:numId w:val="4"/>
              </w:numPr>
              <w:snapToGrid w:val="0"/>
              <w:jc w:val="left"/>
              <w:rPr>
                <w:rFonts w:ascii="宋体" w:cs="宋体"/>
                <w:color w:val="auto"/>
                <w:kern w:val="0"/>
                <w:sz w:val="18"/>
                <w:szCs w:val="18"/>
              </w:rPr>
            </w:pPr>
            <w:r>
              <w:rPr>
                <w:rFonts w:hint="eastAsia" w:ascii="宋体" w:hAnsi="宋体" w:cs="宋体"/>
                <w:color w:val="auto"/>
                <w:kern w:val="0"/>
                <w:sz w:val="18"/>
                <w:szCs w:val="18"/>
              </w:rPr>
              <w:t>投标人针对本项目项目团队人员具有与本项目相关专业的高级及以上职称的，每1人得1分；最高得8分</w:t>
            </w:r>
            <w:r>
              <w:rPr>
                <w:rFonts w:hint="eastAsia" w:ascii="宋体" w:cs="宋体"/>
                <w:color w:val="auto"/>
                <w:kern w:val="0"/>
                <w:sz w:val="18"/>
                <w:szCs w:val="18"/>
              </w:rPr>
              <w:t>。</w:t>
            </w:r>
          </w:p>
          <w:p>
            <w:pPr>
              <w:widowControl/>
              <w:numPr>
                <w:ilvl w:val="0"/>
                <w:numId w:val="4"/>
              </w:numPr>
              <w:snapToGrid w:val="0"/>
              <w:jc w:val="left"/>
              <w:rPr>
                <w:rFonts w:ascii="宋体" w:cs="宋体"/>
                <w:color w:val="auto"/>
                <w:kern w:val="0"/>
                <w:sz w:val="18"/>
                <w:szCs w:val="18"/>
              </w:rPr>
            </w:pPr>
            <w:r>
              <w:rPr>
                <w:rFonts w:hint="eastAsia" w:ascii="宋体" w:hAnsi="宋体" w:cs="宋体"/>
                <w:color w:val="auto"/>
                <w:kern w:val="0"/>
                <w:sz w:val="18"/>
                <w:szCs w:val="18"/>
              </w:rPr>
              <w:t>设有专门的网络商品抽样团队和实验室团队的，得4分。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条件（1）投标人需提供项目负责人相关学历、职称、项目经历、本单位近三年社保证明等材料，原件备查。</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条件（2）投标人需提供拟投入项目组的成员名单，提供相关职称证书复印件及本单位最近三个月的社保证明条件</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条件（3）投标人需提供抽样人员配置方案，介绍抽样人员的基本信息、职称及相关网络商品抽检工作经历，并附相关证明材料，原件备查。</w:t>
            </w:r>
          </w:p>
        </w:tc>
      </w:tr>
      <w:tr>
        <w:tblPrEx>
          <w:tblLayout w:type="fixed"/>
          <w:tblCellMar>
            <w:top w:w="15" w:type="dxa"/>
            <w:left w:w="108" w:type="dxa"/>
            <w:bottom w:w="15" w:type="dxa"/>
            <w:right w:w="108" w:type="dxa"/>
          </w:tblCellMar>
        </w:tblPrEx>
        <w:trPr>
          <w:cantSplit/>
          <w:jc w:val="center"/>
        </w:trPr>
        <w:tc>
          <w:tcPr>
            <w:tcW w:w="403"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1"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服务保障</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ascii="宋体" w:hAnsi="宋体" w:cs="宋体"/>
                <w:color w:val="auto"/>
                <w:kern w:val="0"/>
                <w:sz w:val="18"/>
                <w:szCs w:val="18"/>
              </w:rPr>
              <w:t>20</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s="宋体"/>
                <w:color w:val="auto"/>
                <w:kern w:val="0"/>
                <w:sz w:val="18"/>
                <w:szCs w:val="18"/>
              </w:rPr>
              <w:t>1</w:t>
            </w:r>
            <w:r>
              <w:rPr>
                <w:rFonts w:hint="eastAsia" w:ascii="宋体" w:hAnsi="宋体" w:cs="宋体"/>
                <w:color w:val="auto"/>
                <w:kern w:val="0"/>
                <w:sz w:val="18"/>
                <w:szCs w:val="18"/>
              </w:rPr>
              <w:t>）投标文件：投标人的投标文件是否编制完整、格式规范、内容详实、装订整齐、符合招标文件要求，最高得</w:t>
            </w:r>
            <w:r>
              <w:rPr>
                <w:rFonts w:ascii="宋体" w:hAnsi="宋体" w:cs="宋体"/>
                <w:color w:val="auto"/>
                <w:kern w:val="0"/>
                <w:sz w:val="18"/>
                <w:szCs w:val="18"/>
              </w:rPr>
              <w:t>3</w:t>
            </w:r>
            <w:r>
              <w:rPr>
                <w:rFonts w:hint="eastAsia" w:ascii="宋体" w:hAnsi="宋体" w:cs="宋体"/>
                <w:color w:val="auto"/>
                <w:kern w:val="0"/>
                <w:sz w:val="18"/>
                <w:szCs w:val="18"/>
              </w:rPr>
              <w:t>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2</w:t>
            </w:r>
            <w:r>
              <w:rPr>
                <w:rFonts w:hint="eastAsia" w:ascii="宋体" w:hAnsi="宋体" w:cs="宋体"/>
                <w:color w:val="auto"/>
                <w:kern w:val="0"/>
                <w:sz w:val="18"/>
                <w:szCs w:val="18"/>
              </w:rPr>
              <w:t>）工作制度：投标人具有完善的安全检验工作制度、网络商品采样制度、抽样人员随机选派制度、检验责任追究制度、检验档案管理制度、样品管理与处置制度等，最高得</w:t>
            </w:r>
            <w:r>
              <w:rPr>
                <w:rFonts w:ascii="宋体" w:hAnsi="宋体" w:cs="宋体"/>
                <w:color w:val="auto"/>
                <w:kern w:val="0"/>
                <w:sz w:val="18"/>
                <w:szCs w:val="18"/>
              </w:rPr>
              <w:t>3</w:t>
            </w:r>
            <w:r>
              <w:rPr>
                <w:rFonts w:hint="eastAsia" w:ascii="宋体" w:hAnsi="宋体" w:cs="宋体"/>
                <w:color w:val="auto"/>
                <w:kern w:val="0"/>
                <w:sz w:val="18"/>
                <w:szCs w:val="18"/>
              </w:rPr>
              <w:t>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3</w:t>
            </w:r>
            <w:r>
              <w:rPr>
                <w:rFonts w:hint="eastAsia" w:ascii="宋体" w:hAnsi="宋体" w:cs="宋体"/>
                <w:color w:val="auto"/>
                <w:kern w:val="0"/>
                <w:sz w:val="18"/>
                <w:szCs w:val="18"/>
              </w:rPr>
              <w:t>）实施方案：在符合采购方要求的前提下，有详实细致的网络商品抽检实施方案，并承诺在全过程中采取严格的保密措施的，最高得</w:t>
            </w:r>
            <w:r>
              <w:rPr>
                <w:rFonts w:ascii="宋体" w:hAnsi="宋体" w:cs="宋体"/>
                <w:color w:val="auto"/>
                <w:kern w:val="0"/>
                <w:sz w:val="18"/>
                <w:szCs w:val="18"/>
              </w:rPr>
              <w:t>2</w:t>
            </w:r>
            <w:r>
              <w:rPr>
                <w:rFonts w:hint="eastAsia" w:ascii="宋体" w:hAnsi="宋体" w:cs="宋体"/>
                <w:color w:val="auto"/>
                <w:kern w:val="0"/>
                <w:sz w:val="18"/>
                <w:szCs w:val="18"/>
              </w:rPr>
              <w:t>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4</w:t>
            </w:r>
            <w:r>
              <w:rPr>
                <w:rFonts w:hint="eastAsia" w:ascii="宋体" w:hAnsi="宋体" w:cs="宋体"/>
                <w:color w:val="auto"/>
                <w:kern w:val="0"/>
                <w:sz w:val="18"/>
                <w:szCs w:val="18"/>
              </w:rPr>
              <w:t>）软硬件设备：投标人具备全套采样软硬件设备，得</w:t>
            </w:r>
            <w:r>
              <w:rPr>
                <w:rFonts w:ascii="宋体" w:hAnsi="宋体" w:cs="宋体"/>
                <w:color w:val="auto"/>
                <w:kern w:val="0"/>
                <w:sz w:val="18"/>
                <w:szCs w:val="18"/>
              </w:rPr>
              <w:t>2</w:t>
            </w:r>
            <w:r>
              <w:rPr>
                <w:rFonts w:hint="eastAsia" w:ascii="宋体" w:hAnsi="宋体" w:cs="宋体"/>
                <w:color w:val="auto"/>
                <w:kern w:val="0"/>
                <w:sz w:val="18"/>
                <w:szCs w:val="18"/>
              </w:rPr>
              <w:t>分；提供真实有效的样品收货地址清单并提供合理且有可行性的样品收货地址组织选取方案的，得</w:t>
            </w:r>
            <w:r>
              <w:rPr>
                <w:rFonts w:ascii="宋体" w:hAnsi="宋体" w:cs="宋体"/>
                <w:color w:val="auto"/>
                <w:kern w:val="0"/>
                <w:sz w:val="18"/>
                <w:szCs w:val="18"/>
              </w:rPr>
              <w:t>4</w:t>
            </w:r>
            <w:r>
              <w:rPr>
                <w:rFonts w:hint="eastAsia" w:ascii="宋体" w:hAnsi="宋体" w:cs="宋体"/>
                <w:color w:val="auto"/>
                <w:kern w:val="0"/>
                <w:sz w:val="18"/>
                <w:szCs w:val="18"/>
              </w:rPr>
              <w:t>分；提供必要的采样专用车的，得</w:t>
            </w:r>
            <w:r>
              <w:rPr>
                <w:rFonts w:ascii="宋体" w:hAnsi="宋体" w:cs="宋体"/>
                <w:color w:val="auto"/>
                <w:kern w:val="0"/>
                <w:sz w:val="18"/>
                <w:szCs w:val="18"/>
              </w:rPr>
              <w:t>2</w:t>
            </w:r>
            <w:r>
              <w:rPr>
                <w:rFonts w:hint="eastAsia" w:ascii="宋体" w:hAnsi="宋体" w:cs="宋体"/>
                <w:color w:val="auto"/>
                <w:kern w:val="0"/>
                <w:sz w:val="18"/>
                <w:szCs w:val="18"/>
              </w:rPr>
              <w:t>分。最高得</w:t>
            </w:r>
            <w:r>
              <w:rPr>
                <w:rFonts w:ascii="宋体" w:hAnsi="宋体" w:cs="宋体"/>
                <w:color w:val="auto"/>
                <w:kern w:val="0"/>
                <w:sz w:val="18"/>
                <w:szCs w:val="18"/>
              </w:rPr>
              <w:t>8</w:t>
            </w:r>
            <w:r>
              <w:rPr>
                <w:rFonts w:hint="eastAsia" w:ascii="宋体" w:hAnsi="宋体" w:cs="宋体"/>
                <w:color w:val="auto"/>
                <w:kern w:val="0"/>
                <w:sz w:val="18"/>
                <w:szCs w:val="18"/>
              </w:rPr>
              <w:t>分。</w:t>
            </w:r>
            <w:r>
              <w:rPr>
                <w:rFonts w:ascii="宋体" w:cs="宋体"/>
                <w:color w:val="auto"/>
                <w:kern w:val="0"/>
                <w:sz w:val="18"/>
                <w:szCs w:val="18"/>
              </w:rPr>
              <w:br w:type="textWrapping"/>
            </w:r>
            <w:r>
              <w:rPr>
                <w:rFonts w:hint="eastAsia" w:ascii="宋体" w:hAnsi="宋体" w:cs="宋体"/>
                <w:color w:val="auto"/>
                <w:kern w:val="0"/>
                <w:sz w:val="18"/>
                <w:szCs w:val="18"/>
              </w:rPr>
              <w:t>（</w:t>
            </w:r>
            <w:r>
              <w:rPr>
                <w:rFonts w:ascii="宋体" w:hAnsi="宋体" w:cs="宋体"/>
                <w:color w:val="auto"/>
                <w:kern w:val="0"/>
                <w:sz w:val="18"/>
                <w:szCs w:val="18"/>
              </w:rPr>
              <w:t>5</w:t>
            </w:r>
            <w:r>
              <w:rPr>
                <w:rFonts w:hint="eastAsia" w:ascii="宋体" w:hAnsi="宋体" w:cs="宋体"/>
                <w:color w:val="auto"/>
                <w:kern w:val="0"/>
                <w:sz w:val="18"/>
                <w:szCs w:val="18"/>
              </w:rPr>
              <w:t>）数据分析能力：投标人应在收检后25日内完成检验工作，并出具检测报告和汇总表；投标人应在完成检验工作后</w:t>
            </w:r>
            <w:r>
              <w:rPr>
                <w:rFonts w:ascii="宋体" w:hAnsi="宋体" w:cs="宋体"/>
                <w:color w:val="auto"/>
                <w:kern w:val="0"/>
                <w:sz w:val="18"/>
                <w:szCs w:val="18"/>
              </w:rPr>
              <w:t>5</w:t>
            </w:r>
            <w:r>
              <w:rPr>
                <w:rFonts w:hint="eastAsia" w:ascii="宋体" w:hAnsi="宋体" w:cs="宋体"/>
                <w:color w:val="auto"/>
                <w:kern w:val="0"/>
                <w:sz w:val="18"/>
                <w:szCs w:val="18"/>
              </w:rPr>
              <w:t>日内向采购方提供检测报告电子版、质量分析报告、报盘（报盘模板由采购方提供）、样品处理记录等相关材料的，并按采购方要求及时将抽样检验相关数据录入采购方指定的信息管理系统。最高得</w:t>
            </w:r>
            <w:r>
              <w:rPr>
                <w:rFonts w:ascii="宋体" w:hAnsi="宋体" w:cs="宋体"/>
                <w:color w:val="auto"/>
                <w:kern w:val="0"/>
                <w:sz w:val="18"/>
                <w:szCs w:val="18"/>
              </w:rPr>
              <w:t>4</w:t>
            </w:r>
            <w:r>
              <w:rPr>
                <w:rFonts w:hint="eastAsia" w:ascii="宋体" w:hAnsi="宋体" w:cs="宋体"/>
                <w:color w:val="auto"/>
                <w:kern w:val="0"/>
                <w:sz w:val="18"/>
                <w:szCs w:val="18"/>
              </w:rPr>
              <w:t>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w:t>
            </w:r>
            <w:r>
              <w:rPr>
                <w:rFonts w:ascii="宋体" w:hAnsi="宋体" w:cs="宋体"/>
                <w:color w:val="auto"/>
                <w:kern w:val="0"/>
                <w:sz w:val="18"/>
                <w:szCs w:val="18"/>
              </w:rPr>
              <w:t>1</w:t>
            </w:r>
            <w:r>
              <w:rPr>
                <w:rFonts w:hint="eastAsia" w:ascii="宋体" w:hAnsi="宋体" w:cs="宋体"/>
                <w:color w:val="auto"/>
                <w:kern w:val="0"/>
                <w:sz w:val="18"/>
                <w:szCs w:val="18"/>
              </w:rPr>
              <w:t>）以投标人提供的最终投标文件为准。</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2</w:t>
            </w:r>
            <w:r>
              <w:rPr>
                <w:rFonts w:hint="eastAsia" w:ascii="宋体" w:hAnsi="宋体" w:cs="宋体"/>
                <w:color w:val="auto"/>
                <w:kern w:val="0"/>
                <w:sz w:val="18"/>
                <w:szCs w:val="18"/>
              </w:rPr>
              <w:t>）须提供相应的制度证明材料，加盖公章。</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3</w:t>
            </w:r>
            <w:r>
              <w:rPr>
                <w:rFonts w:hint="eastAsia" w:ascii="宋体" w:hAnsi="宋体" w:cs="宋体"/>
                <w:color w:val="auto"/>
                <w:kern w:val="0"/>
                <w:sz w:val="18"/>
                <w:szCs w:val="18"/>
              </w:rPr>
              <w:t>）提供以往中标的网络商品抽检实施方案及本次投标的预方案。</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4</w:t>
            </w:r>
            <w:r>
              <w:rPr>
                <w:rFonts w:hint="eastAsia" w:ascii="宋体" w:hAnsi="宋体" w:cs="宋体"/>
                <w:color w:val="auto"/>
                <w:kern w:val="0"/>
                <w:sz w:val="18"/>
                <w:szCs w:val="18"/>
              </w:rPr>
              <w:t>）需提供相关软硬件设备的书面、图片等证明材料、样品收货地址清单、租赁协议，本次投标的收货地址组织选取预方案及专用车辆相关证明材料（原件备查）。</w:t>
            </w:r>
            <w:r>
              <w:rPr>
                <w:rFonts w:ascii="宋体" w:cs="宋体"/>
                <w:color w:val="auto"/>
                <w:kern w:val="0"/>
                <w:sz w:val="18"/>
                <w:szCs w:val="18"/>
              </w:rPr>
              <w:br w:type="textWrapping"/>
            </w:r>
            <w:r>
              <w:rPr>
                <w:rFonts w:hint="eastAsia" w:ascii="宋体" w:hAnsi="宋体" w:cs="宋体"/>
                <w:color w:val="auto"/>
                <w:kern w:val="0"/>
                <w:sz w:val="18"/>
                <w:szCs w:val="18"/>
              </w:rPr>
              <w:t>条件（</w:t>
            </w:r>
            <w:r>
              <w:rPr>
                <w:rFonts w:ascii="宋体" w:hAnsi="宋体" w:cs="宋体"/>
                <w:color w:val="auto"/>
                <w:kern w:val="0"/>
                <w:sz w:val="18"/>
                <w:szCs w:val="18"/>
              </w:rPr>
              <w:t>5</w:t>
            </w:r>
            <w:r>
              <w:rPr>
                <w:rFonts w:hint="eastAsia" w:ascii="宋体" w:hAnsi="宋体" w:cs="宋体"/>
                <w:color w:val="auto"/>
                <w:kern w:val="0"/>
                <w:sz w:val="18"/>
                <w:szCs w:val="18"/>
              </w:rPr>
              <w:t>）提供相应的证明材料及承诺书。</w:t>
            </w:r>
          </w:p>
        </w:tc>
      </w:tr>
      <w:tr>
        <w:tblPrEx>
          <w:tblLayout w:type="fixed"/>
          <w:tblCellMar>
            <w:top w:w="15" w:type="dxa"/>
            <w:left w:w="108" w:type="dxa"/>
            <w:bottom w:w="15" w:type="dxa"/>
            <w:right w:w="108" w:type="dxa"/>
          </w:tblCellMar>
        </w:tblPrEx>
        <w:trPr>
          <w:cantSplit/>
          <w:jc w:val="center"/>
        </w:trPr>
        <w:tc>
          <w:tcPr>
            <w:tcW w:w="403"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1"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应急响应处置机制</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napToGrid w:val="0"/>
              <w:jc w:val="left"/>
              <w:rPr>
                <w:rFonts w:ascii="宋体" w:cs="宋体"/>
                <w:color w:val="auto"/>
                <w:kern w:val="0"/>
                <w:sz w:val="18"/>
                <w:szCs w:val="18"/>
              </w:rPr>
            </w:pPr>
            <w:r>
              <w:rPr>
                <w:rFonts w:hint="eastAsia" w:ascii="宋体" w:cs="宋体"/>
                <w:color w:val="auto"/>
                <w:kern w:val="0"/>
                <w:sz w:val="18"/>
                <w:szCs w:val="18"/>
              </w:rPr>
              <w:t>为避免样品运输途中发生情况，实验室与集中拆样点（杭州市市场监督管理局拆样大厅，凤起东路109号）直线距离在200公里以内的的2分</w:t>
            </w:r>
            <w:r>
              <w:rPr>
                <w:rFonts w:hint="eastAsia" w:ascii="宋体" w:hAnsi="宋体" w:cs="宋体"/>
                <w:color w:val="auto"/>
                <w:kern w:val="0"/>
                <w:sz w:val="18"/>
                <w:szCs w:val="18"/>
              </w:rPr>
              <w:t>（根据百度地图截图为准）</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（2）具有针对突发事件的响应，接到采购人通知后2小时内现场响应的得1分（根据百度地图截图为准）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r>
              <w:rPr>
                <w:rFonts w:hint="eastAsia" w:ascii="宋体" w:hAnsi="宋体" w:cs="宋体"/>
                <w:color w:val="auto"/>
                <w:kern w:val="0"/>
                <w:sz w:val="18"/>
                <w:szCs w:val="18"/>
              </w:rPr>
              <w:t>条件（</w:t>
            </w:r>
            <w:r>
              <w:rPr>
                <w:rFonts w:ascii="宋体" w:hAnsi="宋体" w:cs="宋体"/>
                <w:color w:val="auto"/>
                <w:kern w:val="0"/>
                <w:sz w:val="18"/>
                <w:szCs w:val="18"/>
              </w:rPr>
              <w:t>1</w:t>
            </w:r>
            <w:r>
              <w:rPr>
                <w:rFonts w:hint="eastAsia" w:ascii="宋体" w:hAnsi="宋体" w:cs="宋体"/>
                <w:color w:val="auto"/>
                <w:kern w:val="0"/>
                <w:sz w:val="18"/>
                <w:szCs w:val="18"/>
              </w:rPr>
              <w:t>）需提供相应的印证材料（原件备查）</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w:t>
            </w:r>
            <w:r>
              <w:rPr>
                <w:rFonts w:ascii="宋体" w:hAnsi="宋体" w:cs="宋体"/>
                <w:color w:val="auto"/>
                <w:kern w:val="0"/>
                <w:sz w:val="18"/>
                <w:szCs w:val="18"/>
              </w:rPr>
              <w:t>2</w:t>
            </w:r>
            <w:r>
              <w:rPr>
                <w:rFonts w:hint="eastAsia" w:ascii="宋体" w:hAnsi="宋体" w:cs="宋体"/>
                <w:color w:val="auto"/>
                <w:kern w:val="0"/>
                <w:sz w:val="18"/>
                <w:szCs w:val="18"/>
              </w:rPr>
              <w:t>）提供应急预案及相应措施的相关资料，并加盖公章。</w:t>
            </w:r>
          </w:p>
        </w:tc>
      </w:tr>
      <w:tr>
        <w:tblPrEx>
          <w:tblLayout w:type="fixed"/>
          <w:tblCellMar>
            <w:top w:w="15" w:type="dxa"/>
            <w:left w:w="108" w:type="dxa"/>
            <w:bottom w:w="15" w:type="dxa"/>
            <w:right w:w="108" w:type="dxa"/>
          </w:tblCellMar>
        </w:tblPrEx>
        <w:trPr>
          <w:cantSplit/>
          <w:jc w:val="center"/>
        </w:trPr>
        <w:tc>
          <w:tcPr>
            <w:tcW w:w="403"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1" w:type="dxa"/>
            <w:vMerge w:val="continue"/>
            <w:tcBorders>
              <w:left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综合实力</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根据投标人的专业水平、诚信建设、品牌建设、服务能力、媒体报道等要素综合打分,最高得3分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根据投标人提供的材料，由评审专家综合评定打分</w:t>
            </w:r>
          </w:p>
        </w:tc>
      </w:tr>
      <w:tr>
        <w:tblPrEx>
          <w:tblLayout w:type="fixed"/>
          <w:tblCellMar>
            <w:top w:w="15" w:type="dxa"/>
            <w:left w:w="108" w:type="dxa"/>
            <w:bottom w:w="15" w:type="dxa"/>
            <w:right w:w="108" w:type="dxa"/>
          </w:tblCellMar>
        </w:tblPrEx>
        <w:trPr>
          <w:cantSplit/>
          <w:jc w:val="center"/>
        </w:trPr>
        <w:tc>
          <w:tcPr>
            <w:tcW w:w="403" w:type="dxa"/>
            <w:vMerge w:val="continue"/>
            <w:tcBorders>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1" w:type="dxa"/>
            <w:vMerge w:val="continue"/>
            <w:tcBorders>
              <w:left w:val="single" w:color="auto" w:sz="4" w:space="0"/>
              <w:bottom w:val="single" w:color="auto" w:sz="4" w:space="0"/>
              <w:right w:val="single" w:color="auto" w:sz="4" w:space="0"/>
            </w:tcBorders>
            <w:vAlign w:val="center"/>
          </w:tcPr>
          <w:p>
            <w:pPr>
              <w:widowControl/>
              <w:snapToGrid w:val="0"/>
              <w:jc w:val="left"/>
              <w:rPr>
                <w:rFonts w:ascii="宋体" w:cs="宋体"/>
                <w:color w:val="auto"/>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增值服务与服务承诺</w:t>
            </w:r>
          </w:p>
        </w:tc>
        <w:tc>
          <w:tcPr>
            <w:tcW w:w="5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3812"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snapToGrid w:val="0"/>
              <w:jc w:val="left"/>
              <w:rPr>
                <w:rFonts w:ascii="宋体" w:hAnsi="宋体" w:cs="宋体"/>
                <w:color w:val="auto"/>
                <w:kern w:val="0"/>
                <w:sz w:val="18"/>
                <w:szCs w:val="18"/>
              </w:rPr>
            </w:pPr>
            <w:r>
              <w:rPr>
                <w:rFonts w:hint="eastAsia" w:ascii="宋体" w:hAnsi="宋体" w:cs="宋体"/>
                <w:color w:val="auto"/>
                <w:kern w:val="0"/>
                <w:sz w:val="18"/>
                <w:szCs w:val="18"/>
              </w:rPr>
              <w:t>投标人承诺中标后为采购人举办不少于2次的业务培训，得1分；</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（2）投标人其余可提供的增值服务，最高得1分。</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条件（1）投标人需提供培训承诺书</w:t>
            </w:r>
          </w:p>
          <w:p>
            <w:pPr>
              <w:widowControl/>
              <w:snapToGrid w:val="0"/>
              <w:jc w:val="left"/>
              <w:rPr>
                <w:rFonts w:ascii="宋体" w:hAnsi="宋体" w:cs="宋体"/>
                <w:color w:val="auto"/>
                <w:kern w:val="0"/>
                <w:sz w:val="18"/>
                <w:szCs w:val="18"/>
              </w:rPr>
            </w:pPr>
            <w:r>
              <w:rPr>
                <w:rFonts w:hint="eastAsia" w:ascii="宋体" w:hAnsi="宋体" w:cs="宋体"/>
                <w:color w:val="auto"/>
                <w:kern w:val="0"/>
                <w:sz w:val="18"/>
                <w:szCs w:val="18"/>
              </w:rPr>
              <w:t>条件（2）投标人自行添加可提供的增值服务</w:t>
            </w:r>
          </w:p>
        </w:tc>
      </w:tr>
    </w:tbl>
    <w:p>
      <w:pPr>
        <w:adjustRightInd w:val="0"/>
        <w:snapToGrid w:val="0"/>
        <w:spacing w:line="360" w:lineRule="auto"/>
        <w:rPr>
          <w:rFonts w:ascii="宋体" w:cs="宋体"/>
          <w:color w:val="auto"/>
          <w:szCs w:val="21"/>
        </w:rPr>
      </w:pPr>
    </w:p>
    <w:p>
      <w:pPr>
        <w:adjustRightInd w:val="0"/>
        <w:snapToGrid w:val="0"/>
        <w:spacing w:line="360" w:lineRule="auto"/>
        <w:rPr>
          <w:rFonts w:ascii="宋体" w:cs="宋体"/>
          <w:color w:val="auto"/>
          <w:szCs w:val="21"/>
        </w:rPr>
      </w:pPr>
      <w:r>
        <w:rPr>
          <w:rFonts w:hint="eastAsia" w:ascii="宋体" w:hAnsi="宋体" w:cs="宋体"/>
          <w:color w:val="auto"/>
          <w:szCs w:val="21"/>
        </w:rPr>
        <w:t>注：</w:t>
      </w:r>
      <w:r>
        <w:rPr>
          <w:rFonts w:ascii="宋体" w:hAnsi="宋体" w:cs="宋体"/>
          <w:color w:val="auto"/>
          <w:szCs w:val="21"/>
        </w:rPr>
        <w:t>1</w:t>
      </w:r>
      <w:r>
        <w:rPr>
          <w:rFonts w:hint="eastAsia" w:ascii="宋体" w:hAnsi="宋体" w:cs="宋体"/>
          <w:color w:val="auto"/>
          <w:szCs w:val="21"/>
        </w:rPr>
        <w:t>）、上述内容，商务文件或技术文件未涉及的得</w:t>
      </w:r>
      <w:r>
        <w:rPr>
          <w:rFonts w:ascii="宋体" w:cs="宋体"/>
          <w:color w:val="auto"/>
          <w:szCs w:val="21"/>
        </w:rPr>
        <w:t>0</w:t>
      </w:r>
      <w:r>
        <w:rPr>
          <w:rFonts w:hint="eastAsia" w:ascii="宋体" w:hAnsi="宋体" w:cs="宋体"/>
          <w:color w:val="auto"/>
          <w:szCs w:val="21"/>
        </w:rPr>
        <w:t>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投标文件中如附有外文资料，必须逐一对应翻译成中文并加盖投标人公章后附在相关外文资料后面，否则外文资料不予认可。翻译的中文资料与外文资料不符的，均不予认可。翻译严重错误的，将视同提供虚假资料，不予退还投标保证金。</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）、投标人应提供权威部门认定的各类有效证明文件及资料</w:t>
      </w:r>
      <w:r>
        <w:rPr>
          <w:rFonts w:ascii="宋体" w:cs="宋体"/>
          <w:color w:val="auto"/>
          <w:szCs w:val="21"/>
        </w:rPr>
        <w:t>,</w:t>
      </w:r>
      <w:r>
        <w:rPr>
          <w:rFonts w:hint="eastAsia" w:ascii="宋体" w:hAnsi="宋体" w:cs="宋体"/>
          <w:color w:val="auto"/>
          <w:szCs w:val="21"/>
        </w:rPr>
        <w:t>未提供或者资料无效不得分，</w:t>
      </w:r>
    </w:p>
    <w:p>
      <w:pPr>
        <w:adjustRightInd w:val="0"/>
        <w:snapToGrid w:val="0"/>
        <w:spacing w:line="360" w:lineRule="auto"/>
        <w:ind w:firstLine="420" w:firstLineChars="200"/>
        <w:rPr>
          <w:rFonts w:ascii="宋体" w:cs="宋体"/>
          <w:color w:val="auto"/>
          <w:szCs w:val="21"/>
        </w:rPr>
      </w:pPr>
      <w:r>
        <w:rPr>
          <w:rFonts w:ascii="宋体" w:hAnsi="宋体" w:cs="宋体"/>
          <w:color w:val="auto"/>
          <w:szCs w:val="21"/>
        </w:rPr>
        <w:t>1.2</w:t>
      </w:r>
      <w:r>
        <w:rPr>
          <w:rFonts w:hint="eastAsia" w:ascii="宋体" w:hAnsi="宋体" w:cs="宋体"/>
          <w:color w:val="auto"/>
          <w:szCs w:val="21"/>
        </w:rPr>
        <w:t>价格部分评分方法（</w:t>
      </w:r>
      <w:r>
        <w:rPr>
          <w:rFonts w:ascii="宋体" w:hAnsi="宋体" w:cs="宋体"/>
          <w:color w:val="auto"/>
          <w:szCs w:val="21"/>
        </w:rPr>
        <w:t>10</w:t>
      </w:r>
      <w:r>
        <w:rPr>
          <w:rFonts w:hint="eastAsia" w:ascii="宋体" w:hAnsi="宋体" w:cs="宋体"/>
          <w:color w:val="auto"/>
          <w:szCs w:val="21"/>
        </w:rPr>
        <w:t>分）：</w:t>
      </w:r>
    </w:p>
    <w:p>
      <w:pPr>
        <w:widowControl/>
        <w:autoSpaceDE w:val="0"/>
        <w:autoSpaceDN w:val="0"/>
        <w:adjustRightInd w:val="0"/>
        <w:snapToGrid w:val="0"/>
        <w:spacing w:line="360" w:lineRule="auto"/>
        <w:ind w:firstLine="420" w:firstLineChars="200"/>
        <w:textAlignment w:val="bottom"/>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商务报价评审应以报价口径范围一致的投标评标价为依据。投标评标价应在最终报价的基础上，按照招标文件约定的因素和方法进行计算。凡属招标文件的原因造成报价口径范围不一致的，应调整投标人报价，但因投标人自身失误造成多算、少算、漏算的，不得调整。</w:t>
      </w:r>
    </w:p>
    <w:p>
      <w:pPr>
        <w:widowControl/>
        <w:autoSpaceDE w:val="0"/>
        <w:autoSpaceDN w:val="0"/>
        <w:adjustRightInd w:val="0"/>
        <w:snapToGrid w:val="0"/>
        <w:spacing w:line="360" w:lineRule="auto"/>
        <w:ind w:firstLine="420" w:firstLineChars="200"/>
        <w:textAlignment w:val="bottom"/>
        <w:rPr>
          <w:rFonts w:ascii="宋体" w:cs="宋体"/>
          <w:b/>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本项目以商品为最小评审单位,如供应商未具有招标文件中商品所对应的全项能力,将在评审中被认为不具有该商品的检测能力。若因资质限制，无法提供检测特定商品的所有指标而导致报价缺漏的，则将加上其他投标人中该项检测商品的最高价，计入评标价，得出相应检验费总价，并计算价格得分。</w:t>
      </w:r>
    </w:p>
    <w:p>
      <w:pPr>
        <w:adjustRightInd w:val="0"/>
        <w:snapToGrid w:val="0"/>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）根据各投标人的有效投标评标价，以满足招标文件要求且有效投标评标价格的最低的为评标基准价，其价格分为满分。</w:t>
      </w:r>
    </w:p>
    <w:tbl>
      <w:tblPr>
        <w:tblStyle w:val="27"/>
        <w:tblW w:w="8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95" w:type="dxa"/>
            <w:vAlign w:val="center"/>
          </w:tcPr>
          <w:p>
            <w:pPr>
              <w:snapToGrid w:val="0"/>
              <w:jc w:val="center"/>
              <w:rPr>
                <w:rFonts w:ascii="宋体" w:cs="宋体"/>
                <w:b/>
                <w:bCs/>
                <w:color w:val="auto"/>
                <w:sz w:val="18"/>
                <w:szCs w:val="18"/>
              </w:rPr>
            </w:pPr>
            <w:r>
              <w:rPr>
                <w:rFonts w:hint="eastAsia" w:ascii="宋体" w:hAnsi="宋体" w:cs="宋体"/>
                <w:b/>
                <w:bCs/>
                <w:color w:val="auto"/>
                <w:sz w:val="18"/>
                <w:szCs w:val="18"/>
              </w:rPr>
              <w:t>价格权值</w:t>
            </w:r>
          </w:p>
        </w:tc>
        <w:tc>
          <w:tcPr>
            <w:tcW w:w="6981" w:type="dxa"/>
            <w:vAlign w:val="center"/>
          </w:tcPr>
          <w:p>
            <w:pPr>
              <w:snapToGrid w:val="0"/>
              <w:jc w:val="center"/>
              <w:rPr>
                <w:rFonts w:ascii="宋体" w:cs="宋体"/>
                <w:b/>
                <w:bCs/>
                <w:color w:val="auto"/>
                <w:sz w:val="18"/>
                <w:szCs w:val="18"/>
              </w:rPr>
            </w:pPr>
            <w:r>
              <w:rPr>
                <w:rFonts w:hint="eastAsia" w:ascii="宋体" w:hAnsi="宋体" w:cs="宋体"/>
                <w:b/>
                <w:bCs/>
                <w:color w:val="auto"/>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vAlign w:val="center"/>
          </w:tcPr>
          <w:p>
            <w:pPr>
              <w:snapToGrid w:val="0"/>
              <w:jc w:val="center"/>
              <w:rPr>
                <w:rFonts w:ascii="宋体" w:cs="宋体"/>
                <w:color w:val="auto"/>
                <w:sz w:val="18"/>
                <w:szCs w:val="18"/>
              </w:rPr>
            </w:pPr>
            <w:r>
              <w:rPr>
                <w:rFonts w:hint="eastAsia" w:ascii="宋体" w:hAnsi="宋体" w:cs="宋体"/>
                <w:color w:val="auto"/>
                <w:sz w:val="18"/>
                <w:szCs w:val="18"/>
              </w:rPr>
              <w:t>价格权值</w:t>
            </w:r>
            <w:r>
              <w:rPr>
                <w:rFonts w:ascii="宋体" w:hAnsi="宋体" w:cs="宋体"/>
                <w:color w:val="auto"/>
                <w:sz w:val="18"/>
                <w:szCs w:val="18"/>
              </w:rPr>
              <w:t>=0.10</w:t>
            </w:r>
          </w:p>
        </w:tc>
        <w:tc>
          <w:tcPr>
            <w:tcW w:w="6981" w:type="dxa"/>
            <w:vAlign w:val="center"/>
          </w:tcPr>
          <w:p>
            <w:pPr>
              <w:snapToGrid w:val="0"/>
              <w:rPr>
                <w:rFonts w:ascii="宋体" w:cs="宋体"/>
                <w:color w:val="auto"/>
                <w:sz w:val="18"/>
                <w:szCs w:val="18"/>
              </w:rPr>
            </w:pPr>
            <w:r>
              <w:rPr>
                <w:rFonts w:hint="eastAsia" w:ascii="宋体" w:hAnsi="宋体" w:cs="宋体"/>
                <w:color w:val="auto"/>
                <w:sz w:val="18"/>
                <w:szCs w:val="18"/>
              </w:rPr>
              <w:t>投标报价得分</w:t>
            </w:r>
            <w:r>
              <w:rPr>
                <w:rFonts w:ascii="宋体" w:hAnsi="宋体" w:cs="宋体"/>
                <w:color w:val="auto"/>
                <w:sz w:val="18"/>
                <w:szCs w:val="18"/>
              </w:rPr>
              <w:t>=(</w:t>
            </w:r>
            <w:r>
              <w:rPr>
                <w:rFonts w:hint="eastAsia" w:ascii="宋体" w:hAnsi="宋体" w:cs="宋体"/>
                <w:color w:val="auto"/>
                <w:sz w:val="18"/>
                <w:szCs w:val="18"/>
              </w:rPr>
              <w:t>评标基准价／投标评标报价</w:t>
            </w:r>
            <w:r>
              <w:rPr>
                <w:rFonts w:ascii="宋体" w:hAnsi="宋体" w:cs="宋体"/>
                <w:color w:val="auto"/>
                <w:sz w:val="18"/>
                <w:szCs w:val="18"/>
              </w:rPr>
              <w:t>)</w:t>
            </w:r>
            <w:r>
              <w:rPr>
                <w:rFonts w:hint="eastAsia" w:ascii="宋体" w:hAnsi="宋体" w:cs="宋体"/>
                <w:color w:val="auto"/>
                <w:sz w:val="18"/>
                <w:szCs w:val="18"/>
              </w:rPr>
              <w:t>×价格权值×</w:t>
            </w:r>
            <w:r>
              <w:rPr>
                <w:rFonts w:ascii="宋体" w:hAnsi="宋体" w:cs="宋体"/>
                <w:color w:val="auto"/>
                <w:sz w:val="18"/>
                <w:szCs w:val="18"/>
              </w:rPr>
              <w:t xml:space="preserve">100 </w:t>
            </w:r>
            <w:r>
              <w:rPr>
                <w:rFonts w:hint="eastAsia" w:ascii="宋体" w:hAnsi="宋体" w:cs="宋体"/>
                <w:color w:val="auto"/>
                <w:sz w:val="18"/>
                <w:szCs w:val="18"/>
              </w:rPr>
              <w:t>（计算得分保留小数点后</w:t>
            </w:r>
            <w:r>
              <w:rPr>
                <w:rFonts w:ascii="宋体" w:hAnsi="宋体" w:cs="宋体"/>
                <w:color w:val="auto"/>
                <w:sz w:val="18"/>
                <w:szCs w:val="18"/>
              </w:rPr>
              <w:t>2</w:t>
            </w:r>
            <w:r>
              <w:rPr>
                <w:rFonts w:hint="eastAsia" w:ascii="宋体" w:hAnsi="宋体" w:cs="宋体"/>
                <w:color w:val="auto"/>
                <w:sz w:val="18"/>
                <w:szCs w:val="18"/>
              </w:rPr>
              <w:t>位）</w:t>
            </w:r>
          </w:p>
          <w:p>
            <w:pPr>
              <w:snapToGrid w:val="0"/>
              <w:rPr>
                <w:rFonts w:ascii="宋体" w:cs="宋体"/>
                <w:color w:val="auto"/>
                <w:sz w:val="18"/>
                <w:szCs w:val="18"/>
                <w:lang w:val="zh-CN"/>
              </w:rPr>
            </w:pPr>
            <w:r>
              <w:rPr>
                <w:rFonts w:hint="eastAsia" w:ascii="宋体" w:hAnsi="宋体" w:cs="宋体"/>
                <w:color w:val="auto"/>
                <w:sz w:val="18"/>
                <w:szCs w:val="18"/>
                <w:lang w:val="zh-CN"/>
              </w:rPr>
              <w:t>其中投标报价为经评标委员会评审后的价格。</w:t>
            </w:r>
          </w:p>
          <w:p>
            <w:pPr>
              <w:snapToGrid w:val="0"/>
              <w:rPr>
                <w:rFonts w:ascii="宋体" w:cs="宋体"/>
                <w:color w:val="auto"/>
                <w:sz w:val="18"/>
                <w:szCs w:val="18"/>
              </w:rPr>
            </w:pPr>
            <w:r>
              <w:rPr>
                <w:rFonts w:hint="eastAsia" w:ascii="宋体" w:cs="宋体"/>
                <w:color w:val="auto"/>
                <w:sz w:val="18"/>
                <w:szCs w:val="18"/>
              </w:rPr>
              <w:t>根据《政府采购促进中小企业发展暂行办法》（财库[2011]181号）、《财政部 司法部关于政府采购支持监狱企业发展有关问题的通知》（财库[2014]68号）及《关于促进残疾人就业政府采购政策的通知》（财库[2017]141号）规定要求，评标委员会对提供有效认定材料的小微企业、监狱企业及符合条件的残疾人福利性单位给予6%的价格扣除后，计算各投标人价格分，其中：</w:t>
            </w:r>
          </w:p>
          <w:p>
            <w:pPr>
              <w:snapToGrid w:val="0"/>
              <w:rPr>
                <w:rFonts w:ascii="宋体" w:cs="宋体"/>
                <w:color w:val="auto"/>
                <w:sz w:val="18"/>
                <w:szCs w:val="18"/>
              </w:rPr>
            </w:pPr>
            <w:r>
              <w:rPr>
                <w:rFonts w:hint="eastAsia" w:ascii="宋体" w:cs="宋体"/>
                <w:color w:val="auto"/>
                <w:sz w:val="18"/>
                <w:szCs w:val="18"/>
              </w:rPr>
              <w:t>a.中小企业划分标准根据《政府采购促进中小企业发展暂行办法》（财库[2011]181号）文件确定，参加政府采购活动的中小企业应当根据划分标准如实填写财库[2011]181号文件附件格式的《中小企业声明函》供评标委员会认定；</w:t>
            </w:r>
          </w:p>
          <w:p>
            <w:pPr>
              <w:snapToGrid w:val="0"/>
              <w:rPr>
                <w:rFonts w:ascii="宋体" w:cs="宋体"/>
                <w:color w:val="auto"/>
                <w:sz w:val="18"/>
                <w:szCs w:val="18"/>
              </w:rPr>
            </w:pPr>
            <w:r>
              <w:rPr>
                <w:rFonts w:hint="eastAsia" w:ascii="宋体" w:cs="宋体"/>
                <w:color w:val="auto"/>
                <w:sz w:val="18"/>
                <w:szCs w:val="18"/>
              </w:rPr>
              <w:t>b.监狱企业参加政府采购活动时，应当提供由省级以上监狱管理局、戒毒管理局（含新疆生产建设兵团）出具的属于监狱企业的证明文件供评标委员会认定。</w:t>
            </w:r>
          </w:p>
          <w:p>
            <w:pPr>
              <w:snapToGrid w:val="0"/>
              <w:rPr>
                <w:rFonts w:ascii="宋体" w:cs="宋体"/>
                <w:color w:val="auto"/>
                <w:sz w:val="18"/>
                <w:szCs w:val="18"/>
              </w:rPr>
            </w:pPr>
            <w:r>
              <w:rPr>
                <w:rFonts w:hint="eastAsia" w:ascii="宋体" w:cs="宋体"/>
                <w:color w:val="auto"/>
                <w:sz w:val="18"/>
                <w:szCs w:val="18"/>
              </w:rPr>
              <w:t>c.符合条件的残疾人福利性单位在参加政府采购活动时，应当提供财库[2017]141号文件附件格式的《残疾人福利性单位声明函》供评标委员会认定，并对声明的真实性负责。</w:t>
            </w:r>
          </w:p>
        </w:tc>
      </w:tr>
    </w:tbl>
    <w:p>
      <w:pPr>
        <w:widowControl/>
        <w:spacing w:line="360" w:lineRule="auto"/>
        <w:jc w:val="left"/>
        <w:rPr>
          <w:rFonts w:ascii="宋体" w:cs="宋体"/>
          <w:b/>
          <w:color w:val="auto"/>
          <w:kern w:val="44"/>
          <w:sz w:val="32"/>
          <w:szCs w:val="44"/>
        </w:rPr>
        <w:sectPr>
          <w:pgSz w:w="11906" w:h="16838"/>
          <w:pgMar w:top="1440" w:right="1486" w:bottom="1440" w:left="1800" w:header="851" w:footer="992" w:gutter="0"/>
          <w:cols w:space="720" w:num="1"/>
          <w:docGrid w:type="lines" w:linePitch="312" w:charSpace="0"/>
        </w:sectPr>
      </w:pPr>
    </w:p>
    <w:p>
      <w:pPr>
        <w:pStyle w:val="2"/>
        <w:rPr>
          <w:rFonts w:ascii="宋体" w:cs="宋体"/>
          <w:color w:val="auto"/>
        </w:rPr>
      </w:pPr>
      <w:bookmarkStart w:id="54" w:name="_Toc4521"/>
      <w:r>
        <w:rPr>
          <w:rFonts w:hint="eastAsia" w:ascii="宋体" w:hAnsi="宋体" w:cs="宋体"/>
          <w:color w:val="auto"/>
        </w:rPr>
        <w:t>第五部分投标文件格式</w:t>
      </w:r>
      <w:bookmarkEnd w:id="53"/>
      <w:bookmarkEnd w:id="54"/>
    </w:p>
    <w:p>
      <w:pPr>
        <w:pStyle w:val="3"/>
        <w:rPr>
          <w:color w:val="auto"/>
          <w:sz w:val="32"/>
        </w:rPr>
      </w:pPr>
      <w:bookmarkStart w:id="55" w:name="_Toc21142"/>
      <w:r>
        <w:rPr>
          <w:rFonts w:hint="eastAsia"/>
          <w:color w:val="auto"/>
          <w:sz w:val="32"/>
        </w:rPr>
        <w:t>一、评分索引表</w:t>
      </w:r>
      <w:bookmarkEnd w:id="55"/>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0" w:firstLine="0" w:firstLineChars="0"/>
              <w:jc w:val="center"/>
              <w:rPr>
                <w:rFonts w:ascii="宋体"/>
                <w:b/>
                <w:bCs/>
                <w:color w:val="auto"/>
                <w:lang w:eastAsia="zh-CN"/>
              </w:rPr>
            </w:pPr>
            <w:r>
              <w:rPr>
                <w:rFonts w:hint="eastAsia" w:ascii="宋体" w:hAnsi="宋体"/>
                <w:b/>
                <w:color w:val="auto"/>
                <w:lang w:eastAsia="zh-CN"/>
              </w:rPr>
              <w:t>招标文件中的评分项目</w:t>
            </w:r>
          </w:p>
        </w:tc>
        <w:tc>
          <w:tcPr>
            <w:tcW w:w="4167" w:type="dxa"/>
            <w:vAlign w:val="center"/>
          </w:tcPr>
          <w:p>
            <w:pPr>
              <w:jc w:val="center"/>
              <w:rPr>
                <w:rFonts w:ascii="宋体"/>
                <w:b/>
                <w:color w:val="auto"/>
                <w:sz w:val="24"/>
              </w:rPr>
            </w:pPr>
            <w:r>
              <w:rPr>
                <w:rFonts w:hint="eastAsia" w:ascii="宋体" w:hAnsi="宋体"/>
                <w:b/>
                <w:color w:val="auto"/>
                <w:sz w:val="24"/>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2" w:firstLine="482"/>
              <w:jc w:val="center"/>
              <w:rPr>
                <w:rFonts w:ascii="宋体"/>
                <w:b/>
                <w:color w:val="auto"/>
                <w:lang w:eastAsia="zh-CN"/>
              </w:rPr>
            </w:pPr>
          </w:p>
        </w:tc>
        <w:tc>
          <w:tcPr>
            <w:tcW w:w="4167" w:type="dxa"/>
            <w:vAlign w:val="center"/>
          </w:tcPr>
          <w:p>
            <w:pPr>
              <w:ind w:firstLine="482"/>
              <w:jc w:val="center"/>
              <w:rPr>
                <w:rFonts w:asci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2"/>
            <w:vAlign w:val="center"/>
          </w:tcPr>
          <w:p>
            <w:pPr>
              <w:pStyle w:val="84"/>
              <w:shd w:val="clear" w:color="auto" w:fill="FFFFFF"/>
              <w:spacing w:line="265" w:lineRule="atLeast"/>
              <w:ind w:left="1440" w:firstLine="480"/>
              <w:jc w:val="center"/>
              <w:rPr>
                <w:rFonts w:ascii="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2"/>
            <w:vAlign w:val="center"/>
          </w:tcPr>
          <w:p>
            <w:pPr>
              <w:pStyle w:val="84"/>
              <w:shd w:val="clear" w:color="auto" w:fill="FFFFFF"/>
              <w:spacing w:line="265" w:lineRule="atLeast"/>
              <w:ind w:left="1440" w:firstLine="480"/>
              <w:jc w:val="center"/>
              <w:rPr>
                <w:rFonts w:ascii="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2"/>
            <w:vAlign w:val="center"/>
          </w:tcPr>
          <w:p>
            <w:pPr>
              <w:pStyle w:val="84"/>
              <w:shd w:val="clear" w:color="auto" w:fill="FFFFFF"/>
              <w:spacing w:line="265" w:lineRule="atLeast"/>
              <w:ind w:left="1442" w:firstLine="482"/>
              <w:jc w:val="center"/>
              <w:rPr>
                <w:rFonts w:ascii="宋体"/>
                <w:b/>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2" w:firstLine="482"/>
              <w:jc w:val="center"/>
              <w:rPr>
                <w:rFonts w:ascii="宋体"/>
                <w:b/>
                <w:bCs/>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1442" w:firstLine="482"/>
              <w:jc w:val="center"/>
              <w:rPr>
                <w:rFonts w:ascii="宋体"/>
                <w:b/>
                <w:bCs/>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2"/>
            <w:vAlign w:val="center"/>
          </w:tcPr>
          <w:p>
            <w:pPr>
              <w:pStyle w:val="84"/>
              <w:shd w:val="clear" w:color="auto" w:fill="FFFFFF"/>
              <w:spacing w:line="265" w:lineRule="atLeast"/>
              <w:ind w:left="1442" w:firstLine="482"/>
              <w:jc w:val="center"/>
              <w:rPr>
                <w:rFonts w:ascii="宋体"/>
                <w:b/>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960" w:firstLine="480"/>
              <w:jc w:val="center"/>
              <w:rPr>
                <w:rFonts w:ascii="宋体"/>
                <w:color w:val="auto"/>
                <w:lang w:eastAsia="zh-CN"/>
              </w:rPr>
            </w:pPr>
          </w:p>
        </w:tc>
        <w:tc>
          <w:tcPr>
            <w:tcW w:w="4167" w:type="dxa"/>
            <w:vAlign w:val="center"/>
          </w:tcPr>
          <w:p>
            <w:pPr>
              <w:ind w:firstLine="48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355" w:type="dxa"/>
            <w:vAlign w:val="center"/>
          </w:tcPr>
          <w:p>
            <w:pPr>
              <w:pStyle w:val="84"/>
              <w:shd w:val="clear" w:color="auto" w:fill="FFFFFF"/>
              <w:spacing w:line="265" w:lineRule="atLeast"/>
              <w:ind w:left="960" w:firstLine="480"/>
              <w:jc w:val="center"/>
              <w:rPr>
                <w:rFonts w:ascii="宋体"/>
                <w:color w:val="auto"/>
                <w:lang w:eastAsia="zh-CN"/>
              </w:rPr>
            </w:pPr>
          </w:p>
        </w:tc>
        <w:tc>
          <w:tcPr>
            <w:tcW w:w="4167" w:type="dxa"/>
            <w:vAlign w:val="center"/>
          </w:tcPr>
          <w:p>
            <w:pPr>
              <w:ind w:firstLine="480"/>
              <w:jc w:val="center"/>
              <w:rPr>
                <w:rFonts w:ascii="宋体"/>
                <w:color w:val="auto"/>
              </w:rPr>
            </w:pPr>
          </w:p>
        </w:tc>
      </w:tr>
    </w:tbl>
    <w:p>
      <w:pPr>
        <w:spacing w:line="440" w:lineRule="exact"/>
        <w:ind w:firstLine="643"/>
        <w:jc w:val="center"/>
        <w:rPr>
          <w:rFonts w:ascii="宋体"/>
          <w:b/>
          <w:bCs/>
          <w:color w:val="auto"/>
          <w:sz w:val="28"/>
          <w:szCs w:val="28"/>
        </w:rPr>
      </w:pPr>
      <w:r>
        <w:rPr>
          <w:rFonts w:hint="eastAsia" w:ascii="宋体" w:hAnsi="宋体"/>
          <w:b/>
          <w:bCs/>
          <w:color w:val="auto"/>
          <w:sz w:val="28"/>
          <w:szCs w:val="28"/>
        </w:rPr>
        <w:t>（本表由投标人填写，方便评委评审）</w:t>
      </w:r>
    </w:p>
    <w:p>
      <w:pPr>
        <w:spacing w:line="440" w:lineRule="exact"/>
        <w:ind w:firstLine="643"/>
        <w:jc w:val="center"/>
        <w:rPr>
          <w:rFonts w:ascii="宋体"/>
          <w:b/>
          <w:bCs/>
          <w:color w:val="auto"/>
          <w:sz w:val="32"/>
          <w:szCs w:val="32"/>
        </w:rPr>
      </w:pPr>
    </w:p>
    <w:p>
      <w:pPr>
        <w:pStyle w:val="3"/>
        <w:rPr>
          <w:color w:val="auto"/>
          <w:sz w:val="32"/>
        </w:rPr>
      </w:pPr>
      <w:r>
        <w:rPr>
          <w:rFonts w:ascii="宋体" w:cs="宋体"/>
          <w:b w:val="0"/>
          <w:color w:val="auto"/>
          <w:sz w:val="30"/>
          <w:szCs w:val="30"/>
        </w:rPr>
        <w:br w:type="page"/>
      </w:r>
      <w:bookmarkStart w:id="56" w:name="_Toc32578"/>
      <w:r>
        <w:rPr>
          <w:rFonts w:hint="eastAsia"/>
          <w:color w:val="auto"/>
          <w:sz w:val="32"/>
        </w:rPr>
        <w:t>二、资格性和符合性检查响应对照表</w:t>
      </w:r>
      <w:bookmarkEnd w:id="56"/>
    </w:p>
    <w:p>
      <w:pPr>
        <w:jc w:val="center"/>
        <w:rPr>
          <w:rStyle w:val="81"/>
          <w:rFonts w:ascii="宋体"/>
          <w:bCs/>
          <w:color w:val="auto"/>
        </w:rPr>
      </w:pPr>
    </w:p>
    <w:p>
      <w:pPr>
        <w:ind w:firstLine="105" w:firstLineChars="50"/>
        <w:rPr>
          <w:rFonts w:ascii="宋体"/>
          <w:color w:val="auto"/>
        </w:rPr>
      </w:pPr>
      <w:r>
        <w:rPr>
          <w:rFonts w:hint="eastAsia" w:ascii="宋体" w:hAnsi="宋体"/>
          <w:color w:val="auto"/>
        </w:rPr>
        <w:t>投标人全称（加盖公章）：</w:t>
      </w:r>
    </w:p>
    <w:tbl>
      <w:tblPr>
        <w:tblStyle w:val="2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852"/>
        <w:gridCol w:w="2797"/>
        <w:gridCol w:w="130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536" w:type="dxa"/>
            <w:vAlign w:val="center"/>
          </w:tcPr>
          <w:p>
            <w:pPr>
              <w:snapToGrid w:val="0"/>
              <w:spacing w:line="240" w:lineRule="atLeast"/>
              <w:jc w:val="center"/>
              <w:rPr>
                <w:rFonts w:ascii="宋体"/>
                <w:b/>
                <w:color w:val="auto"/>
                <w:sz w:val="18"/>
                <w:szCs w:val="18"/>
              </w:rPr>
            </w:pPr>
            <w:r>
              <w:rPr>
                <w:rFonts w:hint="eastAsia" w:ascii="宋体" w:hAnsi="宋体"/>
                <w:b/>
                <w:color w:val="auto"/>
                <w:sz w:val="18"/>
                <w:szCs w:val="18"/>
              </w:rPr>
              <w:t>序号</w:t>
            </w:r>
          </w:p>
        </w:tc>
        <w:tc>
          <w:tcPr>
            <w:tcW w:w="2852" w:type="dxa"/>
            <w:vAlign w:val="center"/>
          </w:tcPr>
          <w:p>
            <w:pPr>
              <w:snapToGrid w:val="0"/>
              <w:spacing w:line="240" w:lineRule="atLeast"/>
              <w:jc w:val="center"/>
              <w:rPr>
                <w:rFonts w:ascii="宋体"/>
                <w:b/>
                <w:color w:val="auto"/>
                <w:sz w:val="18"/>
                <w:szCs w:val="18"/>
              </w:rPr>
            </w:pPr>
            <w:r>
              <w:rPr>
                <w:rFonts w:hint="eastAsia" w:ascii="宋体" w:hAnsi="宋体"/>
                <w:b/>
                <w:color w:val="auto"/>
                <w:sz w:val="18"/>
                <w:szCs w:val="18"/>
              </w:rPr>
              <w:t>资格性检查响应内容</w:t>
            </w:r>
          </w:p>
        </w:tc>
        <w:tc>
          <w:tcPr>
            <w:tcW w:w="2797" w:type="dxa"/>
            <w:vAlign w:val="center"/>
          </w:tcPr>
          <w:p>
            <w:pPr>
              <w:snapToGrid w:val="0"/>
              <w:spacing w:line="240" w:lineRule="atLeast"/>
              <w:jc w:val="center"/>
              <w:rPr>
                <w:color w:val="auto"/>
                <w:sz w:val="18"/>
                <w:szCs w:val="18"/>
              </w:rPr>
            </w:pPr>
            <w:r>
              <w:rPr>
                <w:rFonts w:hint="eastAsia" w:ascii="宋体" w:hAnsi="宋体"/>
                <w:b/>
                <w:color w:val="auto"/>
                <w:sz w:val="18"/>
                <w:szCs w:val="18"/>
              </w:rPr>
              <w:t>需提供的资格材料</w:t>
            </w:r>
          </w:p>
        </w:tc>
        <w:tc>
          <w:tcPr>
            <w:tcW w:w="1302" w:type="dxa"/>
            <w:vAlign w:val="center"/>
          </w:tcPr>
          <w:p>
            <w:pPr>
              <w:snapToGrid w:val="0"/>
              <w:spacing w:line="240" w:lineRule="atLeast"/>
              <w:jc w:val="center"/>
              <w:rPr>
                <w:rFonts w:ascii="宋体" w:hAnsi="宋体"/>
                <w:b/>
                <w:color w:val="auto"/>
                <w:sz w:val="18"/>
                <w:szCs w:val="18"/>
              </w:rPr>
            </w:pPr>
            <w:r>
              <w:rPr>
                <w:rFonts w:hint="eastAsia" w:ascii="宋体" w:hAnsi="宋体"/>
                <w:b/>
                <w:color w:val="auto"/>
                <w:sz w:val="18"/>
                <w:szCs w:val="18"/>
              </w:rPr>
              <w:t>是否响应</w:t>
            </w:r>
          </w:p>
          <w:p>
            <w:pPr>
              <w:snapToGrid w:val="0"/>
              <w:spacing w:line="240" w:lineRule="atLeast"/>
              <w:jc w:val="center"/>
              <w:rPr>
                <w:rFonts w:ascii="宋体"/>
                <w:b/>
                <w:color w:val="auto"/>
                <w:sz w:val="18"/>
                <w:szCs w:val="18"/>
              </w:rPr>
            </w:pPr>
            <w:r>
              <w:rPr>
                <w:rFonts w:hint="eastAsia" w:ascii="宋体" w:hAnsi="宋体"/>
                <w:b/>
                <w:color w:val="auto"/>
                <w:sz w:val="18"/>
                <w:szCs w:val="18"/>
              </w:rPr>
              <w:t>（填是或否）</w:t>
            </w:r>
          </w:p>
        </w:tc>
        <w:tc>
          <w:tcPr>
            <w:tcW w:w="1033" w:type="dxa"/>
            <w:vAlign w:val="center"/>
          </w:tcPr>
          <w:p>
            <w:pPr>
              <w:snapToGrid w:val="0"/>
              <w:spacing w:line="240" w:lineRule="atLeast"/>
              <w:jc w:val="center"/>
              <w:rPr>
                <w:rFonts w:ascii="宋体"/>
                <w:b/>
                <w:color w:val="auto"/>
                <w:sz w:val="18"/>
                <w:szCs w:val="18"/>
              </w:rPr>
            </w:pPr>
            <w:r>
              <w:rPr>
                <w:rFonts w:hint="eastAsia" w:ascii="宋体" w:hAnsi="宋体"/>
                <w:b/>
                <w:color w:val="auto"/>
                <w:sz w:val="18"/>
                <w:szCs w:val="18"/>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536" w:type="dxa"/>
            <w:vAlign w:val="center"/>
          </w:tcPr>
          <w:p>
            <w:pPr>
              <w:jc w:val="center"/>
              <w:rPr>
                <w:rFonts w:ascii="宋体"/>
                <w:b/>
                <w:color w:val="auto"/>
              </w:rPr>
            </w:pPr>
            <w:r>
              <w:rPr>
                <w:rFonts w:ascii="宋体" w:hAnsi="宋体"/>
                <w:color w:val="auto"/>
              </w:rPr>
              <w:t>1</w:t>
            </w:r>
          </w:p>
        </w:tc>
        <w:tc>
          <w:tcPr>
            <w:tcW w:w="2852" w:type="dxa"/>
            <w:vAlign w:val="center"/>
          </w:tcPr>
          <w:p>
            <w:pPr>
              <w:jc w:val="left"/>
              <w:rPr>
                <w:rFonts w:ascii="宋体" w:hAnsi="宋体"/>
                <w:color w:val="auto"/>
                <w:sz w:val="18"/>
                <w:szCs w:val="18"/>
              </w:rPr>
            </w:pPr>
            <w:r>
              <w:rPr>
                <w:rFonts w:ascii="宋体" w:hAnsi="宋体"/>
                <w:color w:val="auto"/>
                <w:sz w:val="18"/>
                <w:szCs w:val="18"/>
              </w:rPr>
              <w:t>具有独立承担民事责任的能力</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法人或者其他组织的营业执照等证明文件</w:t>
            </w:r>
          </w:p>
        </w:tc>
        <w:tc>
          <w:tcPr>
            <w:tcW w:w="1302" w:type="dxa"/>
            <w:vAlign w:val="center"/>
          </w:tcPr>
          <w:p>
            <w:pPr>
              <w:jc w:val="center"/>
              <w:rPr>
                <w:rFonts w:ascii="宋体"/>
                <w:b/>
                <w:color w:val="auto"/>
              </w:rPr>
            </w:pPr>
          </w:p>
        </w:tc>
        <w:tc>
          <w:tcPr>
            <w:tcW w:w="1033" w:type="dxa"/>
            <w:vAlign w:val="center"/>
          </w:tcPr>
          <w:p>
            <w:pPr>
              <w:jc w:val="center"/>
              <w:rPr>
                <w:rFonts w:asci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36" w:type="dxa"/>
            <w:vAlign w:val="center"/>
          </w:tcPr>
          <w:p>
            <w:pPr>
              <w:jc w:val="center"/>
              <w:rPr>
                <w:rFonts w:ascii="宋体"/>
                <w:color w:val="auto"/>
              </w:rPr>
            </w:pPr>
            <w:r>
              <w:rPr>
                <w:rFonts w:ascii="宋体" w:hAnsi="宋体"/>
                <w:color w:val="auto"/>
              </w:rPr>
              <w:t>2</w:t>
            </w:r>
          </w:p>
        </w:tc>
        <w:tc>
          <w:tcPr>
            <w:tcW w:w="2852" w:type="dxa"/>
            <w:vAlign w:val="center"/>
          </w:tcPr>
          <w:p>
            <w:pPr>
              <w:jc w:val="left"/>
              <w:rPr>
                <w:rFonts w:ascii="宋体" w:hAnsi="宋体"/>
                <w:color w:val="auto"/>
                <w:sz w:val="18"/>
                <w:szCs w:val="18"/>
              </w:rPr>
            </w:pPr>
            <w:r>
              <w:rPr>
                <w:rFonts w:hint="eastAsia" w:ascii="宋体" w:hAnsi="宋体"/>
                <w:color w:val="auto"/>
                <w:sz w:val="18"/>
                <w:szCs w:val="18"/>
              </w:rPr>
              <w:t>具有良好的商业信誉和健全的财务会计制度</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财务状况报告</w:t>
            </w:r>
          </w:p>
        </w:tc>
        <w:tc>
          <w:tcPr>
            <w:tcW w:w="1302" w:type="dxa"/>
            <w:vAlign w:val="center"/>
          </w:tcPr>
          <w:p>
            <w:pPr>
              <w:jc w:val="center"/>
              <w:rPr>
                <w:rFonts w:ascii="宋体"/>
                <w:color w:val="auto"/>
              </w:rPr>
            </w:pPr>
          </w:p>
        </w:tc>
        <w:tc>
          <w:tcPr>
            <w:tcW w:w="1033" w:type="dxa"/>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536" w:type="dxa"/>
            <w:vAlign w:val="center"/>
          </w:tcPr>
          <w:p>
            <w:pPr>
              <w:jc w:val="center"/>
              <w:rPr>
                <w:rFonts w:ascii="宋体"/>
                <w:color w:val="auto"/>
              </w:rPr>
            </w:pPr>
            <w:r>
              <w:rPr>
                <w:rFonts w:ascii="宋体" w:hAnsi="宋体"/>
                <w:color w:val="auto"/>
              </w:rPr>
              <w:t>3</w:t>
            </w:r>
          </w:p>
        </w:tc>
        <w:tc>
          <w:tcPr>
            <w:tcW w:w="2852" w:type="dxa"/>
            <w:vAlign w:val="center"/>
          </w:tcPr>
          <w:p>
            <w:pPr>
              <w:jc w:val="left"/>
              <w:rPr>
                <w:rFonts w:ascii="宋体" w:hAnsi="宋体"/>
                <w:color w:val="auto"/>
                <w:sz w:val="18"/>
                <w:szCs w:val="18"/>
              </w:rPr>
            </w:pPr>
            <w:r>
              <w:rPr>
                <w:rFonts w:hint="eastAsia" w:ascii="宋体" w:hAnsi="宋体"/>
                <w:color w:val="auto"/>
                <w:sz w:val="18"/>
                <w:szCs w:val="18"/>
              </w:rPr>
              <w:t>有依法缴纳税收和社会保障资金的良好记录</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依法缴纳税收和社会保障资金的相关材料</w:t>
            </w:r>
          </w:p>
        </w:tc>
        <w:tc>
          <w:tcPr>
            <w:tcW w:w="1302" w:type="dxa"/>
            <w:vAlign w:val="center"/>
          </w:tcPr>
          <w:p>
            <w:pPr>
              <w:jc w:val="center"/>
              <w:rPr>
                <w:rFonts w:ascii="宋体"/>
                <w:color w:val="auto"/>
              </w:rPr>
            </w:pPr>
          </w:p>
        </w:tc>
        <w:tc>
          <w:tcPr>
            <w:tcW w:w="1033" w:type="dxa"/>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536" w:type="dxa"/>
            <w:vAlign w:val="center"/>
          </w:tcPr>
          <w:p>
            <w:pPr>
              <w:jc w:val="center"/>
              <w:rPr>
                <w:rFonts w:ascii="宋体"/>
                <w:color w:val="auto"/>
              </w:rPr>
            </w:pPr>
            <w:r>
              <w:rPr>
                <w:rFonts w:ascii="宋体" w:hAnsi="宋体"/>
                <w:color w:val="auto"/>
              </w:rPr>
              <w:t>4</w:t>
            </w:r>
          </w:p>
        </w:tc>
        <w:tc>
          <w:tcPr>
            <w:tcW w:w="2852" w:type="dxa"/>
            <w:vAlign w:val="center"/>
          </w:tcPr>
          <w:p>
            <w:pPr>
              <w:jc w:val="left"/>
              <w:rPr>
                <w:rFonts w:ascii="宋体" w:hAnsi="宋体"/>
                <w:color w:val="auto"/>
                <w:sz w:val="18"/>
                <w:szCs w:val="18"/>
              </w:rPr>
            </w:pPr>
            <w:r>
              <w:rPr>
                <w:rFonts w:hint="eastAsia" w:ascii="宋体" w:hAnsi="宋体"/>
                <w:color w:val="auto"/>
                <w:sz w:val="18"/>
                <w:szCs w:val="18"/>
              </w:rPr>
              <w:t>具有履行合同所必需的设备和专业技术能力</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具备履行合同所必需的设备和专业技术能力的证明材料</w:t>
            </w:r>
          </w:p>
        </w:tc>
        <w:tc>
          <w:tcPr>
            <w:tcW w:w="1302" w:type="dxa"/>
            <w:vAlign w:val="center"/>
          </w:tcPr>
          <w:p>
            <w:pPr>
              <w:jc w:val="center"/>
              <w:rPr>
                <w:rFonts w:ascii="宋体"/>
                <w:color w:val="auto"/>
              </w:rPr>
            </w:pPr>
          </w:p>
        </w:tc>
        <w:tc>
          <w:tcPr>
            <w:tcW w:w="1033" w:type="dxa"/>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36" w:type="dxa"/>
            <w:vAlign w:val="center"/>
          </w:tcPr>
          <w:p>
            <w:pPr>
              <w:jc w:val="center"/>
              <w:rPr>
                <w:rFonts w:ascii="宋体"/>
                <w:i/>
                <w:iCs/>
                <w:color w:val="auto"/>
                <w:u w:val="single"/>
              </w:rPr>
            </w:pPr>
            <w:r>
              <w:rPr>
                <w:rFonts w:ascii="宋体" w:hAnsi="宋体"/>
                <w:color w:val="auto"/>
              </w:rPr>
              <w:t>5</w:t>
            </w:r>
          </w:p>
        </w:tc>
        <w:tc>
          <w:tcPr>
            <w:tcW w:w="2852" w:type="dxa"/>
            <w:vAlign w:val="center"/>
          </w:tcPr>
          <w:p>
            <w:pPr>
              <w:jc w:val="left"/>
              <w:rPr>
                <w:rFonts w:ascii="宋体" w:hAnsi="宋体"/>
                <w:color w:val="auto"/>
                <w:sz w:val="18"/>
                <w:szCs w:val="18"/>
              </w:rPr>
            </w:pPr>
            <w:r>
              <w:rPr>
                <w:rFonts w:hint="eastAsia" w:ascii="宋体" w:hAnsi="宋体"/>
                <w:color w:val="auto"/>
                <w:sz w:val="18"/>
                <w:szCs w:val="18"/>
              </w:rPr>
              <w:t>参加政府采购活动前三年内，在经营活动中没有重大违法记录</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参加政府采购活动前三年内在经营活动中没有重大违法记录的书面声明</w:t>
            </w:r>
          </w:p>
        </w:tc>
        <w:tc>
          <w:tcPr>
            <w:tcW w:w="1302" w:type="dxa"/>
            <w:vAlign w:val="center"/>
          </w:tcPr>
          <w:p>
            <w:pPr>
              <w:jc w:val="center"/>
              <w:rPr>
                <w:rFonts w:ascii="宋体"/>
                <w:color w:val="auto"/>
              </w:rPr>
            </w:pPr>
          </w:p>
        </w:tc>
        <w:tc>
          <w:tcPr>
            <w:tcW w:w="1033" w:type="dxa"/>
            <w:vAlign w:val="center"/>
          </w:tcPr>
          <w:p>
            <w:pPr>
              <w:snapToGrid w:val="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536" w:type="dxa"/>
            <w:vAlign w:val="center"/>
          </w:tcPr>
          <w:p>
            <w:pPr>
              <w:jc w:val="center"/>
              <w:rPr>
                <w:rFonts w:ascii="宋体"/>
                <w:color w:val="auto"/>
              </w:rPr>
            </w:pPr>
            <w:r>
              <w:rPr>
                <w:rFonts w:ascii="宋体" w:hAnsi="宋体"/>
                <w:color w:val="auto"/>
              </w:rPr>
              <w:t>6</w:t>
            </w:r>
          </w:p>
        </w:tc>
        <w:tc>
          <w:tcPr>
            <w:tcW w:w="2852" w:type="dxa"/>
            <w:vAlign w:val="center"/>
          </w:tcPr>
          <w:p>
            <w:pPr>
              <w:jc w:val="left"/>
              <w:rPr>
                <w:rFonts w:ascii="宋体" w:hAnsi="宋体"/>
                <w:color w:val="auto"/>
                <w:sz w:val="18"/>
                <w:szCs w:val="18"/>
              </w:rPr>
            </w:pPr>
            <w:r>
              <w:rPr>
                <w:rFonts w:ascii="宋体" w:hAnsi="宋体"/>
                <w:color w:val="auto"/>
                <w:sz w:val="18"/>
                <w:szCs w:val="18"/>
              </w:rPr>
              <w:t>未被“信用中国”（www.creditchina.gov.cn）、中国政府采购网（www.ccgp.gov.cn）列入失信被执行人、重大税收违法案件当事人名单、政府采购严重违法失信行为记录名单</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开标前两个工作日内的网站查询结果完整截图</w:t>
            </w:r>
          </w:p>
        </w:tc>
        <w:tc>
          <w:tcPr>
            <w:tcW w:w="1302" w:type="dxa"/>
            <w:vAlign w:val="center"/>
          </w:tcPr>
          <w:p>
            <w:pPr>
              <w:jc w:val="center"/>
              <w:rPr>
                <w:rFonts w:ascii="宋体"/>
                <w:color w:val="auto"/>
              </w:rPr>
            </w:pPr>
          </w:p>
        </w:tc>
        <w:tc>
          <w:tcPr>
            <w:tcW w:w="1033" w:type="dxa"/>
            <w:vAlign w:val="center"/>
          </w:tcPr>
          <w:p>
            <w:pPr>
              <w:snapToGrid w:val="0"/>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536" w:type="dxa"/>
            <w:vAlign w:val="center"/>
          </w:tcPr>
          <w:p>
            <w:pPr>
              <w:jc w:val="center"/>
              <w:rPr>
                <w:rFonts w:ascii="宋体"/>
                <w:color w:val="auto"/>
              </w:rPr>
            </w:pPr>
            <w:r>
              <w:rPr>
                <w:rFonts w:ascii="宋体" w:hAnsi="宋体"/>
                <w:color w:val="auto"/>
              </w:rPr>
              <w:t>7</w:t>
            </w:r>
          </w:p>
        </w:tc>
        <w:tc>
          <w:tcPr>
            <w:tcW w:w="2852" w:type="dxa"/>
            <w:vAlign w:val="center"/>
          </w:tcPr>
          <w:p>
            <w:pPr>
              <w:jc w:val="left"/>
              <w:rPr>
                <w:rFonts w:ascii="宋体" w:hAnsi="宋体"/>
                <w:color w:val="auto"/>
                <w:sz w:val="18"/>
                <w:szCs w:val="18"/>
              </w:rPr>
            </w:pPr>
            <w:r>
              <w:rPr>
                <w:rFonts w:ascii="宋体" w:hAnsi="宋体"/>
                <w:color w:val="auto"/>
                <w:sz w:val="18"/>
                <w:szCs w:val="18"/>
              </w:rPr>
              <w:t>符合《浙江省检验机构管理条例》第八条规定</w:t>
            </w:r>
          </w:p>
        </w:tc>
        <w:tc>
          <w:tcPr>
            <w:tcW w:w="2797" w:type="dxa"/>
            <w:vAlign w:val="center"/>
          </w:tcPr>
          <w:p>
            <w:pPr>
              <w:jc w:val="left"/>
              <w:rPr>
                <w:rFonts w:ascii="宋体" w:hAnsi="宋体"/>
                <w:color w:val="auto"/>
                <w:sz w:val="18"/>
                <w:szCs w:val="18"/>
              </w:rPr>
            </w:pPr>
            <w:r>
              <w:rPr>
                <w:rFonts w:hint="eastAsia" w:ascii="宋体" w:hAnsi="宋体"/>
                <w:color w:val="auto"/>
                <w:sz w:val="18"/>
                <w:szCs w:val="18"/>
              </w:rPr>
              <w:t>有效的计量认证合格证书（CMA）</w:t>
            </w:r>
          </w:p>
        </w:tc>
        <w:tc>
          <w:tcPr>
            <w:tcW w:w="1302" w:type="dxa"/>
            <w:vAlign w:val="center"/>
          </w:tcPr>
          <w:p>
            <w:pPr>
              <w:jc w:val="center"/>
              <w:rPr>
                <w:rFonts w:ascii="宋体"/>
                <w:color w:val="auto"/>
              </w:rPr>
            </w:pPr>
          </w:p>
        </w:tc>
        <w:tc>
          <w:tcPr>
            <w:tcW w:w="1033" w:type="dxa"/>
            <w:vAlign w:val="center"/>
          </w:tcPr>
          <w:p>
            <w:pPr>
              <w:snapToGrid w:val="0"/>
              <w:jc w:val="center"/>
              <w:rPr>
                <w:rFonts w:ascii="宋体"/>
                <w:color w:val="auto"/>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rPr>
          <w:color w:val="auto"/>
          <w:sz w:val="32"/>
        </w:rPr>
      </w:pPr>
      <w:bookmarkStart w:id="57" w:name="_Toc6735"/>
      <w:r>
        <w:rPr>
          <w:rFonts w:hint="eastAsia"/>
          <w:color w:val="auto"/>
          <w:sz w:val="32"/>
        </w:rPr>
        <w:t>三、投标函</w:t>
      </w:r>
      <w:bookmarkEnd w:id="57"/>
    </w:p>
    <w:p>
      <w:pPr>
        <w:spacing w:line="360" w:lineRule="auto"/>
        <w:rPr>
          <w:rFonts w:ascii="宋体" w:cs="宋体"/>
          <w:color w:val="auto"/>
          <w:sz w:val="24"/>
        </w:rPr>
      </w:pPr>
    </w:p>
    <w:p>
      <w:pPr>
        <w:spacing w:line="520" w:lineRule="exact"/>
        <w:rPr>
          <w:rFonts w:ascii="宋体" w:cs="宋体"/>
          <w:color w:val="auto"/>
          <w:sz w:val="28"/>
          <w:szCs w:val="28"/>
        </w:rPr>
      </w:pPr>
      <w:r>
        <w:rPr>
          <w:rFonts w:hint="eastAsia" w:ascii="宋体" w:hAnsi="宋体" w:cs="宋体"/>
          <w:color w:val="auto"/>
          <w:sz w:val="28"/>
          <w:szCs w:val="28"/>
        </w:rPr>
        <w:t>杭州市市场监督管理局：</w:t>
      </w:r>
    </w:p>
    <w:p>
      <w:pPr>
        <w:spacing w:line="520" w:lineRule="exact"/>
        <w:ind w:firstLine="560" w:firstLineChars="200"/>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、根据已收到的贵方编号为的项目的招标文件，遵照《中华人民共和国政府采购法》等有关规定，我方经研究上述招标文件的各项条款后，我方愿以以下报价承担招标文件要求的采购任务。</w:t>
      </w:r>
    </w:p>
    <w:p>
      <w:pPr>
        <w:spacing w:line="520" w:lineRule="exact"/>
        <w:ind w:firstLine="551" w:firstLineChars="196"/>
        <w:rPr>
          <w:rFonts w:ascii="宋体" w:cs="宋体"/>
          <w:b/>
          <w:color w:val="auto"/>
          <w:sz w:val="28"/>
          <w:szCs w:val="28"/>
        </w:rPr>
      </w:pPr>
      <w:r>
        <w:rPr>
          <w:rFonts w:hint="eastAsia" w:ascii="宋体" w:hAnsi="宋体" w:cs="宋体"/>
          <w:b/>
          <w:color w:val="auto"/>
          <w:sz w:val="28"/>
          <w:szCs w:val="28"/>
        </w:rPr>
        <w:t>投标总价（大写）：      元人民币（</w:t>
      </w:r>
      <w:r>
        <w:rPr>
          <w:rFonts w:ascii="宋体" w:hAnsi="宋体" w:cs="宋体"/>
          <w:b/>
          <w:color w:val="auto"/>
          <w:sz w:val="28"/>
          <w:szCs w:val="28"/>
        </w:rPr>
        <w:t>RMB</w:t>
      </w:r>
      <w:r>
        <w:rPr>
          <w:rFonts w:hint="eastAsia" w:ascii="宋体" w:hAnsi="宋体" w:cs="宋体"/>
          <w:b/>
          <w:color w:val="auto"/>
          <w:sz w:val="28"/>
          <w:szCs w:val="28"/>
        </w:rPr>
        <w:t>：￥      ）</w:t>
      </w:r>
    </w:p>
    <w:p>
      <w:pPr>
        <w:spacing w:line="520" w:lineRule="exact"/>
        <w:ind w:firstLine="560" w:firstLineChars="200"/>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、我方已详细审核全部招标文件，包括补疑文件及有关附件，我方完全接受本次采购招标文件的各项内容以及总评标价调整的相关规则。</w:t>
      </w:r>
    </w:p>
    <w:p>
      <w:pPr>
        <w:spacing w:line="520" w:lineRule="exact"/>
        <w:ind w:firstLine="560" w:firstLineChars="200"/>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、我方自愿参加本次采购的投标，并保证投标文件中所列举的投标报价、公司基本资料及相关资料是真实的、合法的。</w:t>
      </w:r>
    </w:p>
    <w:p>
      <w:pPr>
        <w:spacing w:line="520" w:lineRule="exact"/>
        <w:ind w:firstLine="560" w:firstLineChars="200"/>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、如果我方中标（入围），我方保证按照招标文件要求及投标文件承诺签订合同、履行合同。</w:t>
      </w:r>
    </w:p>
    <w:p>
      <w:pPr>
        <w:spacing w:line="520" w:lineRule="exact"/>
        <w:ind w:firstLine="560" w:firstLineChars="200"/>
        <w:rPr>
          <w:rFonts w:ascii="宋体" w:cs="宋体"/>
          <w:color w:val="auto"/>
          <w:sz w:val="28"/>
          <w:szCs w:val="28"/>
        </w:rPr>
      </w:pPr>
    </w:p>
    <w:p>
      <w:pPr>
        <w:spacing w:line="520" w:lineRule="exact"/>
        <w:ind w:firstLine="560" w:firstLineChars="200"/>
        <w:rPr>
          <w:rFonts w:ascii="宋体" w:cs="宋体"/>
          <w:color w:val="auto"/>
          <w:sz w:val="28"/>
          <w:szCs w:val="28"/>
        </w:rPr>
      </w:pPr>
    </w:p>
    <w:p>
      <w:pPr>
        <w:spacing w:line="520" w:lineRule="exact"/>
        <w:ind w:firstLine="560" w:firstLineChars="200"/>
        <w:rPr>
          <w:rFonts w:ascii="宋体" w:cs="宋体"/>
          <w:color w:val="auto"/>
          <w:sz w:val="28"/>
          <w:szCs w:val="28"/>
        </w:rPr>
      </w:pPr>
    </w:p>
    <w:p>
      <w:pPr>
        <w:spacing w:line="520" w:lineRule="exact"/>
        <w:ind w:firstLine="630" w:firstLineChars="225"/>
        <w:rPr>
          <w:rFonts w:ascii="宋体" w:cs="宋体"/>
          <w:color w:val="auto"/>
          <w:sz w:val="28"/>
          <w:szCs w:val="28"/>
        </w:rPr>
      </w:pPr>
      <w:r>
        <w:rPr>
          <w:rFonts w:hint="eastAsia" w:ascii="宋体" w:hAnsi="宋体" w:cs="宋体"/>
          <w:color w:val="auto"/>
          <w:sz w:val="28"/>
          <w:szCs w:val="28"/>
        </w:rPr>
        <w:t>投标人：（盖章）</w:t>
      </w:r>
    </w:p>
    <w:p>
      <w:pPr>
        <w:spacing w:line="520" w:lineRule="exact"/>
        <w:ind w:firstLine="630" w:firstLineChars="225"/>
        <w:rPr>
          <w:rFonts w:ascii="宋体" w:cs="宋体"/>
          <w:color w:val="auto"/>
          <w:sz w:val="28"/>
          <w:szCs w:val="28"/>
        </w:rPr>
      </w:pPr>
    </w:p>
    <w:p>
      <w:pPr>
        <w:spacing w:line="520" w:lineRule="exact"/>
        <w:ind w:firstLine="630" w:firstLineChars="225"/>
        <w:rPr>
          <w:rFonts w:ascii="宋体" w:cs="宋体"/>
          <w:color w:val="auto"/>
          <w:sz w:val="28"/>
          <w:szCs w:val="28"/>
        </w:rPr>
      </w:pPr>
      <w:r>
        <w:rPr>
          <w:rFonts w:hint="eastAsia" w:ascii="宋体" w:hAnsi="宋体" w:cs="宋体"/>
          <w:color w:val="auto"/>
          <w:sz w:val="28"/>
          <w:szCs w:val="28"/>
        </w:rPr>
        <w:t>投标人代表：（签字或盖章）</w:t>
      </w:r>
    </w:p>
    <w:p>
      <w:pPr>
        <w:spacing w:line="520" w:lineRule="exact"/>
        <w:ind w:firstLine="6090" w:firstLineChars="2175"/>
        <w:rPr>
          <w:rFonts w:ascii="宋体" w:cs="宋体"/>
          <w:color w:val="auto"/>
          <w:sz w:val="28"/>
          <w:szCs w:val="28"/>
        </w:rPr>
      </w:pP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2019年</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月</w:t>
      </w: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t>日</w:t>
      </w:r>
    </w:p>
    <w:p>
      <w:pPr>
        <w:spacing w:line="520" w:lineRule="exact"/>
        <w:rPr>
          <w:rFonts w:ascii="宋体" w:cs="宋体"/>
          <w:color w:val="auto"/>
          <w:sz w:val="28"/>
          <w:szCs w:val="28"/>
        </w:rPr>
      </w:pPr>
    </w:p>
    <w:p>
      <w:pPr>
        <w:spacing w:line="360" w:lineRule="auto"/>
        <w:rPr>
          <w:rFonts w:ascii="宋体" w:cs="宋体"/>
          <w:color w:val="auto"/>
          <w:sz w:val="24"/>
        </w:rPr>
      </w:pPr>
    </w:p>
    <w:p>
      <w:pPr>
        <w:spacing w:line="360" w:lineRule="auto"/>
        <w:rPr>
          <w:rFonts w:ascii="宋体" w:cs="宋体"/>
          <w:color w:val="auto"/>
          <w:sz w:val="24"/>
        </w:rPr>
      </w:pPr>
    </w:p>
    <w:p>
      <w:pPr>
        <w:pStyle w:val="3"/>
        <w:rPr>
          <w:rFonts w:ascii="宋体" w:cs="宋体"/>
          <w:color w:val="auto"/>
          <w:sz w:val="32"/>
        </w:rPr>
      </w:pPr>
      <w:bookmarkStart w:id="58" w:name="_Toc22438"/>
      <w:r>
        <w:rPr>
          <w:rFonts w:hint="eastAsia"/>
          <w:color w:val="auto"/>
          <w:sz w:val="32"/>
        </w:rPr>
        <w:t>四、投标报价明细表</w:t>
      </w:r>
      <w:bookmarkEnd w:id="58"/>
      <w:bookmarkStart w:id="59" w:name="_Toc86217005"/>
    </w:p>
    <w:p>
      <w:pPr>
        <w:spacing w:line="360" w:lineRule="auto"/>
        <w:jc w:val="left"/>
        <w:rPr>
          <w:rFonts w:ascii="宋体" w:cs="宋体"/>
          <w:color w:val="auto"/>
          <w:sz w:val="24"/>
        </w:rPr>
      </w:pPr>
      <w:r>
        <w:rPr>
          <w:rFonts w:hint="eastAsia" w:ascii="宋体" w:hAnsi="宋体" w:cs="宋体"/>
          <w:color w:val="auto"/>
          <w:sz w:val="24"/>
        </w:rPr>
        <w:t>金额单位：元</w:t>
      </w:r>
    </w:p>
    <w:tbl>
      <w:tblPr>
        <w:tblStyle w:val="27"/>
        <w:tblW w:w="8522" w:type="dxa"/>
        <w:tblInd w:w="0" w:type="dxa"/>
        <w:tblLayout w:type="fixed"/>
        <w:tblCellMar>
          <w:top w:w="0" w:type="dxa"/>
          <w:left w:w="108" w:type="dxa"/>
          <w:bottom w:w="0" w:type="dxa"/>
          <w:right w:w="108" w:type="dxa"/>
        </w:tblCellMar>
      </w:tblPr>
      <w:tblGrid>
        <w:gridCol w:w="699"/>
        <w:gridCol w:w="3520"/>
        <w:gridCol w:w="3008"/>
        <w:gridCol w:w="1295"/>
      </w:tblGrid>
      <w:tr>
        <w:tblPrEx>
          <w:tblLayout w:type="fixed"/>
          <w:tblCellMar>
            <w:top w:w="0" w:type="dxa"/>
            <w:left w:w="108" w:type="dxa"/>
            <w:bottom w:w="0" w:type="dxa"/>
            <w:right w:w="108" w:type="dxa"/>
          </w:tblCellMar>
        </w:tblPrEx>
        <w:trPr>
          <w:trHeight w:val="315" w:hRule="atLeast"/>
        </w:trPr>
        <w:tc>
          <w:tcPr>
            <w:tcW w:w="6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hAnsi="宋体" w:cs="宋体"/>
                <w:b/>
                <w:bCs/>
                <w:color w:val="auto"/>
                <w:kern w:val="0"/>
                <w:sz w:val="24"/>
              </w:rPr>
              <w:t>序号</w:t>
            </w:r>
          </w:p>
        </w:tc>
        <w:tc>
          <w:tcPr>
            <w:tcW w:w="3520" w:type="dxa"/>
            <w:vMerge w:val="restart"/>
            <w:tcBorders>
              <w:top w:val="single" w:color="auto" w:sz="4" w:space="0"/>
              <w:left w:val="nil"/>
              <w:right w:val="single" w:color="auto" w:sz="4" w:space="0"/>
            </w:tcBorders>
            <w:vAlign w:val="center"/>
          </w:tcPr>
          <w:p>
            <w:pPr>
              <w:widowControl/>
              <w:jc w:val="center"/>
              <w:rPr>
                <w:rFonts w:ascii="宋体" w:cs="宋体"/>
                <w:b/>
                <w:bCs/>
                <w:color w:val="auto"/>
                <w:kern w:val="0"/>
                <w:sz w:val="24"/>
              </w:rPr>
            </w:pPr>
            <w:r>
              <w:rPr>
                <w:rFonts w:hint="eastAsia" w:ascii="宋体" w:hAnsi="宋体" w:cs="宋体"/>
                <w:b/>
                <w:bCs/>
                <w:color w:val="auto"/>
                <w:kern w:val="0"/>
                <w:sz w:val="24"/>
              </w:rPr>
              <w:t>商品名称</w:t>
            </w:r>
          </w:p>
        </w:tc>
        <w:tc>
          <w:tcPr>
            <w:tcW w:w="4303" w:type="dxa"/>
            <w:gridSpan w:val="2"/>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r>
              <w:rPr>
                <w:rFonts w:hint="eastAsia" w:ascii="宋体" w:hAnsi="宋体" w:cs="宋体"/>
                <w:b/>
                <w:color w:val="auto"/>
                <w:sz w:val="24"/>
              </w:rPr>
              <w:t>投标人项目检测费报价</w:t>
            </w:r>
          </w:p>
        </w:tc>
      </w:tr>
      <w:tr>
        <w:tblPrEx>
          <w:tblLayout w:type="fixed"/>
          <w:tblCellMar>
            <w:top w:w="0" w:type="dxa"/>
            <w:left w:w="108" w:type="dxa"/>
            <w:bottom w:w="0" w:type="dxa"/>
            <w:right w:w="108" w:type="dxa"/>
          </w:tblCellMar>
        </w:tblPrEx>
        <w:trPr>
          <w:trHeight w:val="31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auto"/>
                <w:kern w:val="0"/>
                <w:sz w:val="24"/>
              </w:rPr>
            </w:pPr>
          </w:p>
        </w:tc>
        <w:tc>
          <w:tcPr>
            <w:tcW w:w="3520" w:type="dxa"/>
            <w:vMerge w:val="continue"/>
            <w:tcBorders>
              <w:left w:val="nil"/>
              <w:bottom w:val="single" w:color="auto" w:sz="4" w:space="0"/>
              <w:right w:val="single" w:color="auto" w:sz="4" w:space="0"/>
            </w:tcBorders>
            <w:vAlign w:val="center"/>
          </w:tcPr>
          <w:p>
            <w:pPr>
              <w:widowControl/>
              <w:jc w:val="left"/>
              <w:rPr>
                <w:rFonts w:ascii="宋体" w:cs="宋体"/>
                <w:b/>
                <w:bCs/>
                <w:color w:val="auto"/>
                <w:kern w:val="0"/>
                <w:sz w:val="24"/>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hAnsi="宋体" w:cs="宋体"/>
                <w:b/>
                <w:bCs/>
                <w:color w:val="auto"/>
                <w:kern w:val="0"/>
                <w:sz w:val="24"/>
              </w:rPr>
              <w:t>报价（元）</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hAnsi="宋体" w:cs="宋体"/>
                <w:b/>
                <w:bCs/>
                <w:color w:val="auto"/>
                <w:kern w:val="0"/>
                <w:sz w:val="24"/>
              </w:rPr>
              <w:t>备注</w:t>
            </w:r>
          </w:p>
        </w:tc>
      </w:tr>
      <w:tr>
        <w:tblPrEx>
          <w:tblLayout w:type="fixed"/>
          <w:tblCellMar>
            <w:top w:w="0" w:type="dxa"/>
            <w:left w:w="108" w:type="dxa"/>
            <w:bottom w:w="0" w:type="dxa"/>
            <w:right w:w="108" w:type="dxa"/>
          </w:tblCellMar>
        </w:tblPrEx>
        <w:trPr>
          <w:trHeight w:val="620"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1</w:t>
            </w:r>
          </w:p>
        </w:tc>
        <w:tc>
          <w:tcPr>
            <w:tcW w:w="35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rPr>
            </w:pPr>
          </w:p>
        </w:tc>
        <w:tc>
          <w:tcPr>
            <w:tcW w:w="30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rPr>
            </w:pPr>
            <w:r>
              <w:rPr>
                <w:rFonts w:hint="eastAsia" w:ascii="宋体" w:hAnsi="宋体" w:cs="宋体"/>
                <w:color w:val="auto"/>
                <w:sz w:val="20"/>
              </w:rPr>
              <w:t>（商品所包含的所有检测项目单价的合价）</w:t>
            </w:r>
          </w:p>
        </w:tc>
        <w:tc>
          <w:tcPr>
            <w:tcW w:w="1295" w:type="dxa"/>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p>
        </w:tc>
      </w:tr>
      <w:tr>
        <w:tblPrEx>
          <w:tblLayout w:type="fixed"/>
          <w:tblCellMar>
            <w:top w:w="0" w:type="dxa"/>
            <w:left w:w="108" w:type="dxa"/>
            <w:bottom w:w="0" w:type="dxa"/>
            <w:right w:w="108" w:type="dxa"/>
          </w:tblCellMar>
        </w:tblPrEx>
        <w:trPr>
          <w:trHeight w:val="620"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2</w:t>
            </w:r>
          </w:p>
        </w:tc>
        <w:tc>
          <w:tcPr>
            <w:tcW w:w="35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rPr>
            </w:pPr>
          </w:p>
        </w:tc>
        <w:tc>
          <w:tcPr>
            <w:tcW w:w="3008" w:type="dxa"/>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p>
        </w:tc>
        <w:tc>
          <w:tcPr>
            <w:tcW w:w="1295" w:type="dxa"/>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p>
        </w:tc>
      </w:tr>
      <w:tr>
        <w:tblPrEx>
          <w:tblLayout w:type="fixed"/>
          <w:tblCellMar>
            <w:top w:w="0" w:type="dxa"/>
            <w:left w:w="108" w:type="dxa"/>
            <w:bottom w:w="0" w:type="dxa"/>
            <w:right w:w="108" w:type="dxa"/>
          </w:tblCellMar>
        </w:tblPrEx>
        <w:trPr>
          <w:trHeight w:val="620"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cs="宋体"/>
                <w:b/>
                <w:bCs/>
                <w:color w:val="auto"/>
                <w:kern w:val="0"/>
                <w:sz w:val="24"/>
              </w:rPr>
              <w:t>…</w:t>
            </w:r>
          </w:p>
        </w:tc>
        <w:tc>
          <w:tcPr>
            <w:tcW w:w="35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rPr>
            </w:pPr>
          </w:p>
        </w:tc>
        <w:tc>
          <w:tcPr>
            <w:tcW w:w="3008" w:type="dxa"/>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p>
        </w:tc>
        <w:tc>
          <w:tcPr>
            <w:tcW w:w="1295" w:type="dxa"/>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p>
        </w:tc>
      </w:tr>
      <w:tr>
        <w:tblPrEx>
          <w:tblLayout w:type="fixed"/>
          <w:tblCellMar>
            <w:top w:w="0" w:type="dxa"/>
            <w:left w:w="108" w:type="dxa"/>
            <w:bottom w:w="0" w:type="dxa"/>
            <w:right w:w="108" w:type="dxa"/>
          </w:tblCellMar>
        </w:tblPrEx>
        <w:trPr>
          <w:trHeight w:val="620" w:hRule="atLeast"/>
        </w:trPr>
        <w:tc>
          <w:tcPr>
            <w:tcW w:w="42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rPr>
            </w:pPr>
            <w:r>
              <w:rPr>
                <w:rFonts w:hint="eastAsia" w:ascii="宋体" w:hAnsi="宋体" w:cs="宋体"/>
                <w:b/>
                <w:bCs/>
                <w:color w:val="auto"/>
                <w:sz w:val="24"/>
              </w:rPr>
              <w:t>合计费用报价</w:t>
            </w:r>
          </w:p>
        </w:tc>
        <w:tc>
          <w:tcPr>
            <w:tcW w:w="4303" w:type="dxa"/>
            <w:gridSpan w:val="2"/>
            <w:tcBorders>
              <w:top w:val="single" w:color="auto" w:sz="4" w:space="0"/>
              <w:left w:val="nil"/>
              <w:bottom w:val="single" w:color="auto" w:sz="4" w:space="0"/>
              <w:right w:val="single" w:color="auto" w:sz="4" w:space="0"/>
            </w:tcBorders>
            <w:vAlign w:val="center"/>
          </w:tcPr>
          <w:p>
            <w:pPr>
              <w:jc w:val="center"/>
              <w:rPr>
                <w:rFonts w:ascii="宋体" w:cs="宋体"/>
                <w:b/>
                <w:color w:val="auto"/>
                <w:sz w:val="24"/>
              </w:rPr>
            </w:pPr>
          </w:p>
        </w:tc>
      </w:tr>
    </w:tbl>
    <w:p>
      <w:pPr>
        <w:spacing w:line="360" w:lineRule="auto"/>
        <w:ind w:firstLine="472" w:firstLineChars="196"/>
        <w:rPr>
          <w:rFonts w:ascii="宋体" w:cs="宋体"/>
          <w:color w:val="auto"/>
          <w:sz w:val="24"/>
        </w:rPr>
      </w:pPr>
      <w:r>
        <w:rPr>
          <w:rFonts w:hint="eastAsia" w:ascii="宋体" w:hAnsi="宋体" w:cs="宋体"/>
          <w:b/>
          <w:bCs/>
          <w:color w:val="auto"/>
          <w:sz w:val="24"/>
        </w:rPr>
        <w:t>承检方必须具有相应的资质能力，提供计量认证</w:t>
      </w:r>
      <w:r>
        <w:rPr>
          <w:rFonts w:ascii="宋体" w:hAnsi="宋体" w:cs="宋体"/>
          <w:b/>
          <w:bCs/>
          <w:color w:val="auto"/>
          <w:sz w:val="24"/>
        </w:rPr>
        <w:t>CMA</w:t>
      </w:r>
      <w:r>
        <w:rPr>
          <w:rFonts w:hint="eastAsia" w:ascii="宋体" w:hAnsi="宋体" w:cs="宋体"/>
          <w:b/>
          <w:bCs/>
          <w:color w:val="auto"/>
          <w:sz w:val="24"/>
        </w:rPr>
        <w:t>及后附能力表。</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、投标报价明细表合计费用报价应与投标函中的“投标总价”相一致，不一致时，以投标函为准。</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、投标报价明细表为多页的，每页均需由投标人代表签字并加盖投标人公章。</w:t>
      </w:r>
    </w:p>
    <w:p>
      <w:pPr>
        <w:spacing w:line="360" w:lineRule="auto"/>
        <w:ind w:firstLine="480" w:firstLineChars="200"/>
        <w:rPr>
          <w:rFonts w:ascii="宋体" w:cs="宋体"/>
          <w:color w:val="auto"/>
          <w:sz w:val="24"/>
        </w:rPr>
      </w:pPr>
      <w:r>
        <w:rPr>
          <w:rFonts w:hint="eastAsia" w:ascii="宋体" w:hAnsi="宋体" w:cs="宋体"/>
          <w:color w:val="auto"/>
          <w:sz w:val="24"/>
        </w:rPr>
        <w:t>3、投标报价明细表所填内容包含实施本标项所需的一切费用（买样费除外）。漏报的视同已包含在投标总价内。有重大缺项的将作无效标处理（资质限制除外）。</w:t>
      </w:r>
    </w:p>
    <w:p>
      <w:pPr>
        <w:spacing w:line="360" w:lineRule="auto"/>
        <w:ind w:firstLine="482" w:firstLineChars="200"/>
        <w:rPr>
          <w:rFonts w:ascii="宋体" w:cs="宋体"/>
          <w:b/>
          <w:color w:val="auto"/>
          <w:sz w:val="24"/>
        </w:rPr>
      </w:pPr>
      <w:r>
        <w:rPr>
          <w:rFonts w:hint="eastAsia" w:ascii="宋体" w:hAnsi="宋体" w:cs="宋体"/>
          <w:b/>
          <w:color w:val="auto"/>
          <w:sz w:val="24"/>
        </w:rPr>
        <w:t>4、本项目以商品为最小评审单位,如供应商未具有招标文件中商品所对应的全项能力,将在评审中被认为不具有该商品的检测能力。若因资质限制，无法提供检测特定商品的所有指标而导致报价缺漏的，则将加上其他投标人中该项检测商品的最高价，计入评标价，得出相应检验费总价，并计算价格得分。</w:t>
      </w:r>
    </w:p>
    <w:p>
      <w:pPr>
        <w:spacing w:line="360" w:lineRule="auto"/>
        <w:ind w:firstLine="482" w:firstLineChars="200"/>
        <w:rPr>
          <w:rFonts w:ascii="宋体" w:cs="宋体"/>
          <w:b/>
          <w:color w:val="auto"/>
          <w:sz w:val="24"/>
        </w:rPr>
      </w:pPr>
    </w:p>
    <w:p>
      <w:pPr>
        <w:spacing w:line="360" w:lineRule="auto"/>
        <w:ind w:firstLine="504" w:firstLineChars="210"/>
        <w:rPr>
          <w:rFonts w:ascii="宋体" w:cs="宋体"/>
          <w:color w:val="auto"/>
          <w:sz w:val="24"/>
        </w:rPr>
      </w:pPr>
      <w:r>
        <w:rPr>
          <w:rFonts w:hint="eastAsia" w:ascii="宋体" w:hAnsi="宋体" w:cs="宋体"/>
          <w:color w:val="auto"/>
          <w:sz w:val="24"/>
        </w:rPr>
        <w:t>投标人名称（盖章）：</w:t>
      </w:r>
    </w:p>
    <w:p>
      <w:pPr>
        <w:spacing w:line="360" w:lineRule="auto"/>
        <w:ind w:firstLine="480" w:firstLineChars="200"/>
        <w:rPr>
          <w:rFonts w:ascii="宋体" w:cs="宋体"/>
          <w:color w:val="auto"/>
          <w:sz w:val="24"/>
        </w:rPr>
      </w:pPr>
      <w:r>
        <w:rPr>
          <w:rFonts w:hint="eastAsia" w:ascii="宋体" w:hAnsi="宋体" w:cs="宋体"/>
          <w:color w:val="auto"/>
          <w:sz w:val="24"/>
        </w:rPr>
        <w:t>投标人代表（签字）：</w:t>
      </w:r>
    </w:p>
    <w:p>
      <w:pPr>
        <w:spacing w:line="360" w:lineRule="auto"/>
        <w:ind w:firstLine="480" w:firstLineChars="200"/>
        <w:rPr>
          <w:rFonts w:ascii="宋体" w:cs="宋体"/>
          <w:color w:val="auto"/>
          <w:sz w:val="24"/>
        </w:rPr>
      </w:pPr>
    </w:p>
    <w:p>
      <w:pPr>
        <w:spacing w:line="360" w:lineRule="auto"/>
        <w:ind w:firstLine="480" w:firstLineChars="200"/>
        <w:rPr>
          <w:rFonts w:ascii="宋体" w:hAnsi="宋体" w:cs="宋体"/>
          <w:color w:val="auto"/>
          <w:sz w:val="24"/>
        </w:rPr>
        <w:sectPr>
          <w:headerReference r:id="rId7" w:type="first"/>
          <w:footerReference r:id="rId9" w:type="first"/>
          <w:headerReference r:id="rId5" w:type="default"/>
          <w:headerReference r:id="rId6" w:type="even"/>
          <w:footerReference r:id="rId8" w:type="even"/>
          <w:pgSz w:w="11906" w:h="16838"/>
          <w:pgMar w:top="1440" w:right="1800" w:bottom="1440" w:left="1800" w:header="851" w:footer="992" w:gutter="0"/>
          <w:cols w:space="425" w:num="1"/>
          <w:docGrid w:type="lines" w:linePitch="312" w:charSpace="0"/>
        </w:sectPr>
      </w:pPr>
      <w:r>
        <w:rPr>
          <w:rFonts w:hint="eastAsia" w:ascii="宋体" w:hAnsi="宋体" w:cs="宋体"/>
          <w:color w:val="auto"/>
          <w:sz w:val="24"/>
        </w:rPr>
        <w:t>2019年 月 日</w:t>
      </w:r>
    </w:p>
    <w:p>
      <w:pPr>
        <w:spacing w:line="360" w:lineRule="auto"/>
        <w:rPr>
          <w:rFonts w:ascii="宋体" w:cs="宋体"/>
          <w:b/>
          <w:color w:val="auto"/>
          <w:sz w:val="24"/>
        </w:rPr>
      </w:pPr>
      <w:r>
        <w:rPr>
          <w:rFonts w:hint="eastAsia" w:ascii="宋体" w:cs="宋体"/>
          <w:b/>
          <w:color w:val="auto"/>
          <w:sz w:val="24"/>
        </w:rPr>
        <w:t>附件：投标报价明细分解表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042"/>
        <w:gridCol w:w="2091"/>
        <w:gridCol w:w="1992"/>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snapToGrid w:val="0"/>
              <w:jc w:val="center"/>
              <w:rPr>
                <w:rFonts w:ascii="宋体" w:cs="宋体"/>
                <w:b/>
                <w:color w:val="auto"/>
                <w:kern w:val="0"/>
                <w:sz w:val="24"/>
              </w:rPr>
            </w:pPr>
            <w:r>
              <w:rPr>
                <w:rFonts w:hint="eastAsia" w:ascii="宋体" w:cs="宋体"/>
                <w:b/>
                <w:color w:val="auto"/>
                <w:kern w:val="0"/>
                <w:sz w:val="24"/>
              </w:rPr>
              <w:t>序号</w:t>
            </w:r>
          </w:p>
        </w:tc>
        <w:tc>
          <w:tcPr>
            <w:tcW w:w="2042" w:type="dxa"/>
            <w:vAlign w:val="center"/>
          </w:tcPr>
          <w:p>
            <w:pPr>
              <w:snapToGrid w:val="0"/>
              <w:jc w:val="center"/>
              <w:rPr>
                <w:rFonts w:ascii="宋体" w:cs="宋体"/>
                <w:b/>
                <w:color w:val="auto"/>
                <w:kern w:val="0"/>
                <w:sz w:val="24"/>
              </w:rPr>
            </w:pPr>
            <w:r>
              <w:rPr>
                <w:rFonts w:hint="eastAsia" w:ascii="宋体" w:cs="宋体"/>
                <w:b/>
                <w:color w:val="auto"/>
                <w:kern w:val="0"/>
                <w:sz w:val="24"/>
              </w:rPr>
              <w:t>检测商品</w:t>
            </w:r>
          </w:p>
        </w:tc>
        <w:tc>
          <w:tcPr>
            <w:tcW w:w="2091" w:type="dxa"/>
            <w:vAlign w:val="center"/>
          </w:tcPr>
          <w:p>
            <w:pPr>
              <w:snapToGrid w:val="0"/>
              <w:jc w:val="center"/>
              <w:rPr>
                <w:rFonts w:ascii="宋体" w:cs="宋体"/>
                <w:b/>
                <w:color w:val="auto"/>
                <w:kern w:val="0"/>
                <w:sz w:val="24"/>
              </w:rPr>
            </w:pPr>
            <w:r>
              <w:rPr>
                <w:rFonts w:hint="eastAsia" w:ascii="宋体" w:cs="宋体"/>
                <w:b/>
                <w:color w:val="auto"/>
                <w:kern w:val="0"/>
                <w:sz w:val="24"/>
              </w:rPr>
              <w:t>对应检测项目</w:t>
            </w:r>
          </w:p>
        </w:tc>
        <w:tc>
          <w:tcPr>
            <w:tcW w:w="1992" w:type="dxa"/>
            <w:vAlign w:val="center"/>
          </w:tcPr>
          <w:p>
            <w:pPr>
              <w:snapToGrid w:val="0"/>
              <w:jc w:val="center"/>
              <w:rPr>
                <w:rFonts w:ascii="宋体" w:cs="宋体"/>
                <w:b/>
                <w:color w:val="auto"/>
                <w:kern w:val="0"/>
                <w:sz w:val="24"/>
              </w:rPr>
            </w:pPr>
            <w:r>
              <w:rPr>
                <w:rFonts w:hint="eastAsia" w:ascii="宋体" w:cs="宋体"/>
                <w:b/>
                <w:color w:val="auto"/>
                <w:kern w:val="0"/>
                <w:sz w:val="24"/>
              </w:rPr>
              <w:t>检测项目单价（元）</w:t>
            </w:r>
          </w:p>
        </w:tc>
        <w:tc>
          <w:tcPr>
            <w:tcW w:w="1415" w:type="dxa"/>
            <w:vAlign w:val="center"/>
          </w:tcPr>
          <w:p>
            <w:pPr>
              <w:snapToGrid w:val="0"/>
              <w:jc w:val="center"/>
              <w:rPr>
                <w:rFonts w:ascii="宋体" w:cs="宋体"/>
                <w:b/>
                <w:color w:val="auto"/>
                <w:kern w:val="0"/>
                <w:sz w:val="24"/>
              </w:rPr>
            </w:pPr>
            <w:r>
              <w:rPr>
                <w:rFonts w:hint="eastAsia" w:ascii="宋体" w:cs="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restart"/>
            <w:vAlign w:val="center"/>
          </w:tcPr>
          <w:p>
            <w:pPr>
              <w:snapToGrid w:val="0"/>
              <w:jc w:val="center"/>
              <w:rPr>
                <w:rFonts w:ascii="宋体" w:cs="宋体"/>
                <w:color w:val="auto"/>
                <w:kern w:val="0"/>
                <w:sz w:val="24"/>
              </w:rPr>
            </w:pPr>
            <w:r>
              <w:rPr>
                <w:rFonts w:hint="eastAsia" w:ascii="宋体" w:cs="宋体"/>
                <w:color w:val="auto"/>
                <w:kern w:val="0"/>
                <w:sz w:val="24"/>
              </w:rPr>
              <w:t>1</w:t>
            </w:r>
          </w:p>
        </w:tc>
        <w:tc>
          <w:tcPr>
            <w:tcW w:w="2042" w:type="dxa"/>
            <w:vMerge w:val="restart"/>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continue"/>
            <w:vAlign w:val="center"/>
          </w:tcPr>
          <w:p>
            <w:pPr>
              <w:snapToGrid w:val="0"/>
              <w:jc w:val="center"/>
              <w:rPr>
                <w:rFonts w:ascii="宋体" w:cs="宋体"/>
                <w:color w:val="auto"/>
                <w:kern w:val="0"/>
                <w:sz w:val="24"/>
              </w:rPr>
            </w:pPr>
          </w:p>
        </w:tc>
        <w:tc>
          <w:tcPr>
            <w:tcW w:w="2042" w:type="dxa"/>
            <w:vMerge w:val="continue"/>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continue"/>
            <w:vAlign w:val="center"/>
          </w:tcPr>
          <w:p>
            <w:pPr>
              <w:snapToGrid w:val="0"/>
              <w:jc w:val="center"/>
              <w:rPr>
                <w:rFonts w:ascii="宋体" w:cs="宋体"/>
                <w:color w:val="auto"/>
                <w:kern w:val="0"/>
                <w:sz w:val="24"/>
              </w:rPr>
            </w:pPr>
          </w:p>
        </w:tc>
        <w:tc>
          <w:tcPr>
            <w:tcW w:w="2042" w:type="dxa"/>
            <w:vMerge w:val="continue"/>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restart"/>
            <w:vAlign w:val="center"/>
          </w:tcPr>
          <w:p>
            <w:pPr>
              <w:snapToGrid w:val="0"/>
              <w:jc w:val="center"/>
              <w:rPr>
                <w:rFonts w:ascii="宋体" w:cs="宋体"/>
                <w:color w:val="auto"/>
                <w:kern w:val="0"/>
                <w:sz w:val="24"/>
              </w:rPr>
            </w:pPr>
            <w:r>
              <w:rPr>
                <w:rFonts w:hint="eastAsia" w:ascii="宋体" w:cs="宋体"/>
                <w:color w:val="auto"/>
                <w:kern w:val="0"/>
                <w:sz w:val="24"/>
              </w:rPr>
              <w:t>2</w:t>
            </w:r>
          </w:p>
        </w:tc>
        <w:tc>
          <w:tcPr>
            <w:tcW w:w="2042" w:type="dxa"/>
            <w:vMerge w:val="restart"/>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continue"/>
            <w:vAlign w:val="center"/>
          </w:tcPr>
          <w:p>
            <w:pPr>
              <w:snapToGrid w:val="0"/>
              <w:jc w:val="center"/>
              <w:rPr>
                <w:rFonts w:ascii="宋体" w:cs="宋体"/>
                <w:color w:val="auto"/>
                <w:kern w:val="0"/>
                <w:sz w:val="24"/>
              </w:rPr>
            </w:pPr>
          </w:p>
        </w:tc>
        <w:tc>
          <w:tcPr>
            <w:tcW w:w="2042" w:type="dxa"/>
            <w:vMerge w:val="continue"/>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continue"/>
            <w:vAlign w:val="center"/>
          </w:tcPr>
          <w:p>
            <w:pPr>
              <w:snapToGrid w:val="0"/>
              <w:jc w:val="center"/>
              <w:rPr>
                <w:rFonts w:ascii="宋体" w:cs="宋体"/>
                <w:color w:val="auto"/>
                <w:kern w:val="0"/>
                <w:sz w:val="24"/>
              </w:rPr>
            </w:pPr>
          </w:p>
        </w:tc>
        <w:tc>
          <w:tcPr>
            <w:tcW w:w="2042" w:type="dxa"/>
            <w:vMerge w:val="continue"/>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restart"/>
            <w:vAlign w:val="center"/>
          </w:tcPr>
          <w:p>
            <w:pPr>
              <w:snapToGrid w:val="0"/>
              <w:jc w:val="center"/>
              <w:rPr>
                <w:rFonts w:ascii="宋体" w:cs="宋体"/>
                <w:color w:val="auto"/>
                <w:kern w:val="0"/>
                <w:sz w:val="24"/>
              </w:rPr>
            </w:pPr>
            <w:r>
              <w:rPr>
                <w:rFonts w:hint="eastAsia" w:ascii="宋体" w:cs="宋体"/>
                <w:color w:val="auto"/>
                <w:kern w:val="0"/>
                <w:sz w:val="24"/>
              </w:rPr>
              <w:t>…</w:t>
            </w:r>
          </w:p>
        </w:tc>
        <w:tc>
          <w:tcPr>
            <w:tcW w:w="2042" w:type="dxa"/>
            <w:vMerge w:val="restart"/>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continue"/>
            <w:vAlign w:val="center"/>
          </w:tcPr>
          <w:p>
            <w:pPr>
              <w:snapToGrid w:val="0"/>
              <w:jc w:val="center"/>
              <w:rPr>
                <w:rFonts w:ascii="宋体" w:cs="宋体"/>
                <w:color w:val="auto"/>
                <w:kern w:val="0"/>
                <w:sz w:val="24"/>
              </w:rPr>
            </w:pPr>
          </w:p>
        </w:tc>
        <w:tc>
          <w:tcPr>
            <w:tcW w:w="2042" w:type="dxa"/>
            <w:vMerge w:val="continue"/>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Merge w:val="continue"/>
            <w:vAlign w:val="center"/>
          </w:tcPr>
          <w:p>
            <w:pPr>
              <w:snapToGrid w:val="0"/>
              <w:jc w:val="center"/>
              <w:rPr>
                <w:rFonts w:ascii="宋体" w:cs="宋体"/>
                <w:color w:val="auto"/>
                <w:kern w:val="0"/>
                <w:sz w:val="24"/>
              </w:rPr>
            </w:pPr>
          </w:p>
        </w:tc>
        <w:tc>
          <w:tcPr>
            <w:tcW w:w="2042" w:type="dxa"/>
            <w:vMerge w:val="continue"/>
            <w:vAlign w:val="center"/>
          </w:tcPr>
          <w:p>
            <w:pPr>
              <w:snapToGrid w:val="0"/>
              <w:jc w:val="center"/>
              <w:rPr>
                <w:rFonts w:ascii="宋体" w:cs="宋体"/>
                <w:color w:val="auto"/>
                <w:kern w:val="0"/>
                <w:sz w:val="24"/>
              </w:rPr>
            </w:pPr>
          </w:p>
        </w:tc>
        <w:tc>
          <w:tcPr>
            <w:tcW w:w="2091" w:type="dxa"/>
            <w:vAlign w:val="center"/>
          </w:tcPr>
          <w:p>
            <w:pPr>
              <w:snapToGrid w:val="0"/>
              <w:jc w:val="center"/>
              <w:rPr>
                <w:rFonts w:ascii="宋体" w:cs="宋体"/>
                <w:color w:val="auto"/>
                <w:kern w:val="0"/>
                <w:sz w:val="24"/>
              </w:rPr>
            </w:pPr>
          </w:p>
        </w:tc>
        <w:tc>
          <w:tcPr>
            <w:tcW w:w="1992" w:type="dxa"/>
            <w:vAlign w:val="center"/>
          </w:tcPr>
          <w:p>
            <w:pPr>
              <w:snapToGrid w:val="0"/>
              <w:jc w:val="center"/>
              <w:rPr>
                <w:rFonts w:ascii="宋体" w:cs="宋体"/>
                <w:color w:val="auto"/>
                <w:kern w:val="0"/>
                <w:sz w:val="24"/>
              </w:rPr>
            </w:pPr>
          </w:p>
        </w:tc>
        <w:tc>
          <w:tcPr>
            <w:tcW w:w="1415" w:type="dxa"/>
            <w:vAlign w:val="center"/>
          </w:tcPr>
          <w:p>
            <w:pPr>
              <w:snapToGrid w:val="0"/>
              <w:jc w:val="center"/>
              <w:rPr>
                <w:rFonts w:ascii="宋体" w:cs="宋体"/>
                <w:color w:val="auto"/>
                <w:kern w:val="0"/>
                <w:sz w:val="24"/>
              </w:rPr>
            </w:pPr>
          </w:p>
        </w:tc>
      </w:tr>
    </w:tbl>
    <w:p>
      <w:pPr>
        <w:spacing w:line="360" w:lineRule="auto"/>
        <w:rPr>
          <w:rFonts w:ascii="宋体" w:cs="宋体"/>
          <w:color w:val="auto"/>
          <w:sz w:val="24"/>
        </w:rPr>
      </w:pPr>
      <w:r>
        <w:rPr>
          <w:rFonts w:hint="eastAsia" w:ascii="宋体" w:cs="宋体"/>
          <w:color w:val="auto"/>
          <w:sz w:val="24"/>
        </w:rPr>
        <w:t>注：</w:t>
      </w:r>
    </w:p>
    <w:p>
      <w:pPr>
        <w:pStyle w:val="85"/>
        <w:numPr>
          <w:ilvl w:val="0"/>
          <w:numId w:val="7"/>
        </w:numPr>
        <w:spacing w:line="360" w:lineRule="auto"/>
        <w:ind w:firstLineChars="0"/>
        <w:rPr>
          <w:rFonts w:ascii="宋体" w:cs="宋体"/>
          <w:color w:val="auto"/>
          <w:sz w:val="24"/>
        </w:rPr>
      </w:pPr>
      <w:r>
        <w:rPr>
          <w:rFonts w:hint="eastAsia" w:ascii="宋体" w:cs="宋体"/>
          <w:color w:val="auto"/>
          <w:sz w:val="24"/>
        </w:rPr>
        <w:t>本表为投标报价明细表中商品报价的分解表，投标人根据本表格式对所投商品报价以检测项目为基本单位进行分解，作为采购人委托入围供应商具体商品检测任务的价格计算依据。本表可自行增行。</w:t>
      </w:r>
    </w:p>
    <w:p>
      <w:pPr>
        <w:pStyle w:val="85"/>
        <w:numPr>
          <w:ilvl w:val="0"/>
          <w:numId w:val="7"/>
        </w:numPr>
        <w:spacing w:line="360" w:lineRule="auto"/>
        <w:ind w:firstLineChars="0"/>
        <w:rPr>
          <w:rFonts w:ascii="宋体" w:cs="宋体"/>
          <w:color w:val="auto"/>
          <w:sz w:val="24"/>
        </w:rPr>
      </w:pPr>
      <w:r>
        <w:rPr>
          <w:rFonts w:hint="eastAsia" w:ascii="宋体" w:hAnsi="宋体" w:cs="宋体"/>
          <w:color w:val="auto"/>
          <w:sz w:val="24"/>
        </w:rPr>
        <w:t>本表各商品对应检测项目的合计费用报价应与投标报价明细表中的各商品报价相一致，不一致时，以投标报价明细表报价为准，并按比例对本表单价进行调整。</w:t>
      </w:r>
    </w:p>
    <w:p>
      <w:pPr>
        <w:pStyle w:val="85"/>
        <w:spacing w:line="360" w:lineRule="auto"/>
        <w:ind w:left="360" w:firstLine="0" w:firstLineChars="0"/>
        <w:rPr>
          <w:rFonts w:ascii="宋体" w:cs="宋体"/>
          <w:color w:val="auto"/>
          <w:sz w:val="24"/>
        </w:rPr>
      </w:pPr>
    </w:p>
    <w:p>
      <w:pPr>
        <w:spacing w:line="360" w:lineRule="auto"/>
        <w:ind w:firstLine="504" w:firstLineChars="210"/>
        <w:rPr>
          <w:rFonts w:ascii="宋体" w:cs="宋体"/>
          <w:color w:val="auto"/>
          <w:sz w:val="24"/>
        </w:rPr>
      </w:pPr>
      <w:r>
        <w:rPr>
          <w:rFonts w:hint="eastAsia" w:ascii="宋体" w:hAnsi="宋体" w:cs="宋体"/>
          <w:color w:val="auto"/>
          <w:sz w:val="24"/>
        </w:rPr>
        <w:t>投标人名称（盖章）：</w:t>
      </w:r>
    </w:p>
    <w:p>
      <w:pPr>
        <w:spacing w:line="360" w:lineRule="auto"/>
        <w:ind w:firstLine="480" w:firstLineChars="200"/>
        <w:rPr>
          <w:rFonts w:ascii="宋体" w:cs="宋体"/>
          <w:color w:val="auto"/>
          <w:sz w:val="24"/>
        </w:rPr>
      </w:pPr>
      <w:r>
        <w:rPr>
          <w:rFonts w:hint="eastAsia" w:ascii="宋体" w:hAnsi="宋体" w:cs="宋体"/>
          <w:color w:val="auto"/>
          <w:sz w:val="24"/>
        </w:rPr>
        <w:t>投标人代表（签字）：</w:t>
      </w:r>
    </w:p>
    <w:p>
      <w:pPr>
        <w:spacing w:line="360" w:lineRule="auto"/>
        <w:ind w:firstLine="480" w:firstLineChars="200"/>
        <w:rPr>
          <w:rFonts w:ascii="宋体" w:cs="宋体"/>
          <w:color w:val="auto"/>
          <w:sz w:val="24"/>
        </w:rPr>
      </w:pPr>
    </w:p>
    <w:p>
      <w:pPr>
        <w:pStyle w:val="85"/>
        <w:spacing w:line="360" w:lineRule="auto"/>
        <w:ind w:left="360" w:firstLine="0" w:firstLineChars="0"/>
        <w:rPr>
          <w:rFonts w:ascii="宋体" w:cs="宋体"/>
          <w:color w:val="auto"/>
          <w:sz w:val="24"/>
        </w:rPr>
      </w:pPr>
      <w:r>
        <w:rPr>
          <w:rFonts w:hint="eastAsia" w:ascii="宋体" w:hAnsi="宋体" w:cs="宋体"/>
          <w:color w:val="auto"/>
          <w:sz w:val="24"/>
        </w:rPr>
        <w:t>2019年 月 日</w:t>
      </w:r>
    </w:p>
    <w:p>
      <w:pPr>
        <w:pStyle w:val="3"/>
        <w:spacing w:line="520" w:lineRule="exact"/>
        <w:rPr>
          <w:rFonts w:ascii="宋体" w:cs="宋体"/>
          <w:color w:val="auto"/>
          <w:sz w:val="36"/>
          <w:szCs w:val="36"/>
        </w:rPr>
      </w:pPr>
      <w:r>
        <w:rPr>
          <w:rFonts w:ascii="宋体" w:cs="宋体"/>
          <w:b w:val="0"/>
          <w:bCs w:val="0"/>
          <w:color w:val="auto"/>
          <w:sz w:val="24"/>
        </w:rPr>
        <w:br w:type="page"/>
      </w:r>
      <w:bookmarkStart w:id="60" w:name="_Toc24345"/>
      <w:r>
        <w:rPr>
          <w:rFonts w:hint="eastAsia" w:ascii="宋体" w:hAnsi="宋体" w:cs="宋体"/>
          <w:bCs w:val="0"/>
          <w:color w:val="auto"/>
          <w:sz w:val="36"/>
          <w:szCs w:val="36"/>
        </w:rPr>
        <w:t>五</w:t>
      </w:r>
      <w:r>
        <w:rPr>
          <w:rFonts w:hint="eastAsia" w:ascii="宋体" w:hAnsi="宋体" w:cs="宋体"/>
          <w:color w:val="auto"/>
          <w:sz w:val="36"/>
          <w:szCs w:val="36"/>
        </w:rPr>
        <w:t>、法定代表人授权委托书（样式）</w:t>
      </w:r>
      <w:bookmarkEnd w:id="60"/>
    </w:p>
    <w:p>
      <w:pPr>
        <w:spacing w:line="520" w:lineRule="exact"/>
        <w:jc w:val="center"/>
        <w:rPr>
          <w:rFonts w:ascii="宋体" w:cs="宋体"/>
          <w:b/>
          <w:color w:val="auto"/>
          <w:sz w:val="24"/>
        </w:rPr>
      </w:pPr>
    </w:p>
    <w:p>
      <w:pPr>
        <w:spacing w:line="520" w:lineRule="exact"/>
        <w:rPr>
          <w:rFonts w:ascii="宋体" w:cs="宋体"/>
          <w:color w:val="auto"/>
          <w:sz w:val="30"/>
          <w:szCs w:val="30"/>
        </w:rPr>
      </w:pPr>
      <w:r>
        <w:rPr>
          <w:rFonts w:hint="eastAsia" w:ascii="宋体" w:hAnsi="宋体" w:cs="宋体"/>
          <w:color w:val="auto"/>
          <w:sz w:val="30"/>
          <w:szCs w:val="30"/>
        </w:rPr>
        <w:t>本授权委托书声明：</w:t>
      </w:r>
    </w:p>
    <w:p>
      <w:pPr>
        <w:spacing w:line="520" w:lineRule="exact"/>
        <w:ind w:firstLine="600" w:firstLineChars="200"/>
        <w:rPr>
          <w:rFonts w:ascii="宋体" w:hAnsi="宋体" w:cs="宋体"/>
          <w:color w:val="auto"/>
          <w:sz w:val="30"/>
          <w:szCs w:val="30"/>
        </w:rPr>
      </w:pPr>
      <w:r>
        <w:rPr>
          <w:rFonts w:hint="eastAsia" w:ascii="宋体" w:hAnsi="宋体" w:cs="宋体"/>
          <w:color w:val="auto"/>
          <w:sz w:val="30"/>
          <w:szCs w:val="30"/>
        </w:rPr>
        <w:t>本人</w:t>
      </w:r>
      <w:r>
        <w:rPr>
          <w:rFonts w:hint="eastAsia" w:ascii="宋体" w:hAnsi="宋体" w:cs="宋体"/>
          <w:color w:val="auto"/>
          <w:sz w:val="30"/>
          <w:szCs w:val="30"/>
          <w:u w:val="single"/>
        </w:rPr>
        <w:t>（姓名）</w:t>
      </w:r>
      <w:r>
        <w:rPr>
          <w:rFonts w:hint="eastAsia" w:ascii="宋体" w:hAnsi="宋体" w:cs="宋体"/>
          <w:color w:val="auto"/>
          <w:sz w:val="30"/>
          <w:szCs w:val="30"/>
        </w:rPr>
        <w:t>系</w:t>
      </w:r>
      <w:r>
        <w:rPr>
          <w:rFonts w:hint="eastAsia" w:ascii="宋体" w:hAnsi="宋体" w:cs="宋体"/>
          <w:color w:val="auto"/>
          <w:sz w:val="30"/>
          <w:szCs w:val="30"/>
          <w:u w:val="single"/>
        </w:rPr>
        <w:t>（投标人名称）</w:t>
      </w:r>
      <w:r>
        <w:rPr>
          <w:rFonts w:hint="eastAsia" w:ascii="宋体" w:hAnsi="宋体" w:cs="宋体"/>
          <w:color w:val="auto"/>
          <w:sz w:val="30"/>
          <w:szCs w:val="30"/>
        </w:rPr>
        <w:t>法定代表人，现委托本单位的在职职工</w:t>
      </w:r>
      <w:r>
        <w:rPr>
          <w:rFonts w:hint="eastAsia" w:ascii="宋体" w:hAnsi="宋体" w:cs="宋体"/>
          <w:color w:val="auto"/>
          <w:sz w:val="30"/>
          <w:szCs w:val="30"/>
          <w:u w:val="single"/>
        </w:rPr>
        <w:t>（姓名）</w:t>
      </w:r>
      <w:r>
        <w:rPr>
          <w:rFonts w:hint="eastAsia" w:ascii="宋体" w:hAnsi="宋体" w:cs="宋体"/>
          <w:color w:val="auto"/>
          <w:sz w:val="30"/>
          <w:szCs w:val="30"/>
        </w:rPr>
        <w:t>为我方投标人代表，以我方名义参加编号为</w:t>
      </w:r>
      <w:r>
        <w:rPr>
          <w:rFonts w:hint="eastAsia" w:ascii="宋体" w:hAnsi="宋体" w:cs="宋体"/>
          <w:color w:val="auto"/>
          <w:sz w:val="30"/>
          <w:szCs w:val="30"/>
          <w:u w:val="single"/>
        </w:rPr>
        <w:t>ZJZN-19833-SJ03-01</w:t>
      </w:r>
      <w:r>
        <w:rPr>
          <w:rFonts w:hint="eastAsia" w:ascii="宋体" w:hAnsi="宋体" w:cs="宋体"/>
          <w:color w:val="auto"/>
          <w:sz w:val="30"/>
          <w:szCs w:val="30"/>
        </w:rPr>
        <w:t>的项目的政府采购活动，并代表我方全权办理针对上述项目投标过程中的一切事宜。我方对投标人代表的签名事项负全部责任。</w:t>
      </w:r>
    </w:p>
    <w:p>
      <w:pPr>
        <w:spacing w:line="520" w:lineRule="exact"/>
        <w:ind w:firstLine="600" w:firstLineChars="200"/>
        <w:rPr>
          <w:rFonts w:ascii="宋体" w:cs="宋体"/>
          <w:color w:val="auto"/>
          <w:sz w:val="30"/>
          <w:szCs w:val="30"/>
        </w:rPr>
      </w:pPr>
      <w:r>
        <w:rPr>
          <w:rFonts w:hint="eastAsia" w:ascii="宋体" w:hAnsi="宋体" w:cs="宋体"/>
          <w:color w:val="auto"/>
          <w:sz w:val="30"/>
          <w:szCs w:val="30"/>
        </w:rPr>
        <w:t>在撤销授权的书面通知以前，本授权书一直有效。投标人代表在授权书有效期内签署的所有文件不因授权的撤销而失效。</w:t>
      </w:r>
    </w:p>
    <w:p>
      <w:pPr>
        <w:spacing w:line="520" w:lineRule="exact"/>
        <w:ind w:firstLine="600" w:firstLineChars="200"/>
        <w:rPr>
          <w:rFonts w:ascii="宋体" w:cs="宋体"/>
          <w:color w:val="auto"/>
          <w:sz w:val="30"/>
          <w:szCs w:val="30"/>
        </w:rPr>
      </w:pPr>
      <w:r>
        <w:rPr>
          <w:rFonts w:hint="eastAsia" w:ascii="宋体" w:hAnsi="宋体" w:cs="宋体"/>
          <w:color w:val="auto"/>
          <w:sz w:val="30"/>
          <w:szCs w:val="30"/>
        </w:rPr>
        <w:t>投标人代表无转委托权，特此委托。</w:t>
      </w:r>
    </w:p>
    <w:p>
      <w:pPr>
        <w:spacing w:line="520" w:lineRule="exact"/>
        <w:ind w:firstLine="600" w:firstLineChars="200"/>
        <w:rPr>
          <w:rFonts w:ascii="宋体" w:cs="宋体"/>
          <w:color w:val="auto"/>
          <w:sz w:val="30"/>
          <w:szCs w:val="30"/>
        </w:rPr>
      </w:pPr>
    </w:p>
    <w:p>
      <w:pPr>
        <w:spacing w:line="520" w:lineRule="exact"/>
        <w:ind w:firstLine="600" w:firstLineChars="200"/>
        <w:rPr>
          <w:rFonts w:ascii="宋体" w:cs="宋体"/>
          <w:color w:val="auto"/>
          <w:sz w:val="30"/>
          <w:szCs w:val="30"/>
          <w:u w:val="single"/>
        </w:rPr>
      </w:pPr>
      <w:r>
        <w:rPr>
          <w:rFonts w:hint="eastAsia" w:ascii="宋体" w:hAnsi="宋体" w:cs="宋体"/>
          <w:color w:val="auto"/>
          <w:sz w:val="30"/>
          <w:szCs w:val="30"/>
        </w:rPr>
        <w:t>法定代表人：</w:t>
      </w:r>
      <w:r>
        <w:rPr>
          <w:rFonts w:hint="eastAsia" w:ascii="宋体" w:hAnsi="宋体" w:cs="宋体"/>
          <w:color w:val="auto"/>
          <w:sz w:val="30"/>
          <w:szCs w:val="30"/>
          <w:u w:val="single"/>
        </w:rPr>
        <w:t>（签名或盖章）</w:t>
      </w:r>
      <w:r>
        <w:rPr>
          <w:rFonts w:hint="eastAsia" w:ascii="宋体" w:hAnsi="宋体" w:cs="宋体"/>
          <w:color w:val="auto"/>
          <w:sz w:val="30"/>
          <w:szCs w:val="30"/>
        </w:rPr>
        <w:t>投标人代表：</w:t>
      </w:r>
      <w:r>
        <w:rPr>
          <w:rFonts w:hint="eastAsia" w:ascii="宋体" w:hAnsi="宋体" w:cs="宋体"/>
          <w:color w:val="auto"/>
          <w:sz w:val="30"/>
          <w:szCs w:val="30"/>
          <w:u w:val="single"/>
        </w:rPr>
        <w:t>（签名）</w:t>
      </w:r>
    </w:p>
    <w:p>
      <w:pPr>
        <w:spacing w:line="520" w:lineRule="exact"/>
        <w:ind w:firstLine="600" w:firstLineChars="200"/>
        <w:rPr>
          <w:rFonts w:ascii="宋体" w:cs="宋体"/>
          <w:color w:val="auto"/>
          <w:sz w:val="30"/>
          <w:szCs w:val="30"/>
        </w:rPr>
      </w:pPr>
    </w:p>
    <w:p>
      <w:pPr>
        <w:spacing w:line="520" w:lineRule="exact"/>
        <w:ind w:firstLine="600" w:firstLineChars="200"/>
        <w:rPr>
          <w:rFonts w:ascii="宋体" w:cs="宋体"/>
          <w:color w:val="auto"/>
          <w:sz w:val="30"/>
          <w:szCs w:val="30"/>
        </w:rPr>
      </w:pPr>
      <w:r>
        <w:rPr>
          <w:rFonts w:hint="eastAsia" w:ascii="宋体" w:hAnsi="宋体" w:cs="宋体"/>
          <w:color w:val="auto"/>
          <w:sz w:val="30"/>
          <w:szCs w:val="30"/>
        </w:rPr>
        <w:t>职务：              职务：</w:t>
      </w:r>
    </w:p>
    <w:p>
      <w:pPr>
        <w:spacing w:line="520" w:lineRule="exact"/>
        <w:ind w:firstLine="600" w:firstLineChars="200"/>
        <w:rPr>
          <w:rFonts w:ascii="宋体" w:cs="宋体"/>
          <w:color w:val="auto"/>
          <w:sz w:val="30"/>
          <w:szCs w:val="30"/>
        </w:rPr>
      </w:pPr>
      <w:r>
        <w:rPr>
          <w:rFonts w:hint="eastAsia" w:ascii="宋体" w:hAnsi="宋体" w:cs="宋体"/>
          <w:color w:val="auto"/>
          <w:sz w:val="30"/>
          <w:szCs w:val="30"/>
        </w:rPr>
        <w:t>身份证号码：        身份证号码；</w:t>
      </w:r>
    </w:p>
    <w:p>
      <w:pPr>
        <w:spacing w:line="520" w:lineRule="exact"/>
        <w:ind w:firstLine="600" w:firstLineChars="200"/>
        <w:rPr>
          <w:rFonts w:ascii="宋体" w:cs="宋体"/>
          <w:color w:val="auto"/>
          <w:sz w:val="30"/>
          <w:szCs w:val="30"/>
        </w:rPr>
      </w:pPr>
      <w:r>
        <w:rPr>
          <w:rFonts w:hint="eastAsia" w:ascii="宋体" w:hAnsi="宋体" w:cs="宋体"/>
          <w:color w:val="auto"/>
          <w:sz w:val="30"/>
          <w:szCs w:val="30"/>
        </w:rPr>
        <w:t>联系电话：          联系电话：</w:t>
      </w:r>
    </w:p>
    <w:p>
      <w:pPr>
        <w:spacing w:line="520" w:lineRule="exact"/>
        <w:ind w:firstLine="600" w:firstLineChars="200"/>
        <w:rPr>
          <w:rFonts w:ascii="宋体" w:cs="宋体"/>
          <w:color w:val="auto"/>
          <w:sz w:val="30"/>
          <w:szCs w:val="30"/>
        </w:rPr>
      </w:pPr>
    </w:p>
    <w:p>
      <w:pPr>
        <w:spacing w:line="520" w:lineRule="exact"/>
        <w:ind w:firstLine="600" w:firstLineChars="200"/>
        <w:rPr>
          <w:rFonts w:ascii="宋体" w:cs="宋体"/>
          <w:color w:val="auto"/>
          <w:sz w:val="30"/>
          <w:szCs w:val="30"/>
        </w:rPr>
      </w:pPr>
    </w:p>
    <w:p>
      <w:pPr>
        <w:spacing w:line="520" w:lineRule="exact"/>
        <w:ind w:firstLine="600" w:firstLineChars="200"/>
        <w:rPr>
          <w:rFonts w:ascii="宋体" w:cs="宋体"/>
          <w:color w:val="auto"/>
          <w:sz w:val="30"/>
          <w:szCs w:val="30"/>
        </w:rPr>
      </w:pPr>
      <w:r>
        <w:rPr>
          <w:rFonts w:hint="eastAsia" w:ascii="宋体" w:hAnsi="宋体" w:cs="宋体"/>
          <w:color w:val="auto"/>
          <w:sz w:val="30"/>
          <w:szCs w:val="30"/>
        </w:rPr>
        <w:t>投标人公章：</w:t>
      </w:r>
    </w:p>
    <w:p>
      <w:pPr>
        <w:spacing w:line="520" w:lineRule="exact"/>
        <w:ind w:firstLine="5625" w:firstLineChars="1875"/>
        <w:rPr>
          <w:rFonts w:ascii="宋体" w:cs="宋体"/>
          <w:color w:val="auto"/>
          <w:sz w:val="30"/>
          <w:szCs w:val="30"/>
        </w:rPr>
      </w:pPr>
    </w:p>
    <w:p>
      <w:pPr>
        <w:spacing w:line="520" w:lineRule="exact"/>
        <w:ind w:firstLine="3600" w:firstLineChars="1200"/>
        <w:rPr>
          <w:rFonts w:ascii="宋体" w:cs="宋体"/>
          <w:color w:val="auto"/>
          <w:sz w:val="30"/>
          <w:szCs w:val="30"/>
        </w:rPr>
      </w:pPr>
      <w:r>
        <w:rPr>
          <w:rFonts w:hint="eastAsia" w:ascii="宋体" w:hAnsi="宋体" w:cs="宋体"/>
          <w:color w:val="auto"/>
          <w:sz w:val="30"/>
          <w:szCs w:val="30"/>
        </w:rPr>
        <w:t>授权委托日期：年月日</w:t>
      </w: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pStyle w:val="3"/>
        <w:rPr>
          <w:rFonts w:ascii="宋体" w:cs="宋体"/>
          <w:color w:val="auto"/>
          <w:sz w:val="44"/>
          <w:szCs w:val="44"/>
        </w:rPr>
      </w:pPr>
      <w:bookmarkStart w:id="61" w:name="_Toc2446"/>
      <w:r>
        <w:rPr>
          <w:rFonts w:hint="eastAsia" w:ascii="宋体" w:hAnsi="宋体" w:cs="宋体"/>
          <w:color w:val="auto"/>
          <w:sz w:val="44"/>
          <w:szCs w:val="44"/>
        </w:rPr>
        <w:t>六、诚信承诺书</w:t>
      </w:r>
      <w:bookmarkEnd w:id="61"/>
    </w:p>
    <w:p>
      <w:pPr>
        <w:spacing w:line="360" w:lineRule="auto"/>
        <w:jc w:val="center"/>
        <w:rPr>
          <w:rFonts w:ascii="宋体" w:cs="宋体"/>
          <w:b/>
          <w:color w:val="auto"/>
          <w:sz w:val="24"/>
        </w:rPr>
      </w:pPr>
    </w:p>
    <w:p>
      <w:pPr>
        <w:spacing w:line="520" w:lineRule="exact"/>
        <w:rPr>
          <w:rFonts w:ascii="宋体" w:cs="宋体"/>
          <w:color w:val="auto"/>
          <w:sz w:val="28"/>
          <w:szCs w:val="28"/>
        </w:rPr>
      </w:pPr>
      <w:r>
        <w:rPr>
          <w:rFonts w:hint="eastAsia" w:ascii="宋体" w:hAnsi="宋体" w:cs="宋体"/>
          <w:color w:val="auto"/>
          <w:sz w:val="28"/>
          <w:szCs w:val="28"/>
          <w:u w:val="single"/>
        </w:rPr>
        <w:t>（采购人或采购代理机构）</w:t>
      </w:r>
      <w:r>
        <w:rPr>
          <w:rFonts w:hint="eastAsia" w:ascii="宋体" w:hAnsi="宋体" w:cs="宋体"/>
          <w:color w:val="auto"/>
          <w:sz w:val="28"/>
          <w:szCs w:val="28"/>
        </w:rPr>
        <w:t>：</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我方在参加贵单位编号为的</w:t>
      </w:r>
      <w:r>
        <w:rPr>
          <w:rFonts w:hint="eastAsia" w:ascii="宋体" w:hAnsi="宋体" w:cs="宋体"/>
          <w:color w:val="auto"/>
          <w:sz w:val="28"/>
          <w:szCs w:val="28"/>
          <w:u w:val="single"/>
        </w:rPr>
        <w:t>＿＿＿＿</w:t>
      </w:r>
      <w:r>
        <w:rPr>
          <w:rFonts w:hint="eastAsia" w:ascii="宋体" w:hAnsi="宋体" w:cs="宋体"/>
          <w:color w:val="auto"/>
          <w:sz w:val="28"/>
          <w:szCs w:val="28"/>
        </w:rPr>
        <w:t>政府采购项目的招投标活动中，郑重承诺如下：</w:t>
      </w:r>
    </w:p>
    <w:p>
      <w:pPr>
        <w:spacing w:line="520" w:lineRule="exact"/>
        <w:ind w:firstLine="560" w:firstLineChars="200"/>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、我方申报的所有资料都是真实、准确、完整的；</w:t>
      </w:r>
    </w:p>
    <w:p>
      <w:pPr>
        <w:spacing w:line="520" w:lineRule="exact"/>
        <w:ind w:firstLine="560" w:firstLineChars="200"/>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、我方无资质挂靠情形，保证不参与串标、围标及抬标；</w:t>
      </w:r>
    </w:p>
    <w:p>
      <w:pPr>
        <w:spacing w:line="520" w:lineRule="exact"/>
        <w:ind w:firstLine="560" w:firstLineChars="200"/>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、我方没有被各级行政主管部门做出停止市场行为的处罚；</w:t>
      </w:r>
    </w:p>
    <w:p>
      <w:pPr>
        <w:spacing w:line="520" w:lineRule="exact"/>
        <w:ind w:firstLine="560" w:firstLineChars="200"/>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、若我方中标（入围），将严格按照规定及时与采购人签订合同；</w:t>
      </w:r>
    </w:p>
    <w:p>
      <w:pPr>
        <w:spacing w:line="520" w:lineRule="exact"/>
        <w:ind w:firstLine="560" w:firstLineChars="200"/>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、若我方中标（入围），将严格按照招标文件及投标文件所承诺的报价、质量、工期、投标方案、项目负责人等内容组织实施。</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我方若违反上述承诺，隐瞒、提供虚假资料或不按招标文件要求组织实施或参与串标围标抬标等行为，被贵方发现或被他人举报查实，无条件接受贵方、行政主管部门作出的取消投标资格、中标（入围）资格、解除合同、拒绝后续政府采购投标、不良行为记录等的处罚，对由此给贵方造成的任何损失均由我方承担。</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特此承诺。</w:t>
      </w:r>
    </w:p>
    <w:p>
      <w:pPr>
        <w:spacing w:line="520" w:lineRule="exact"/>
        <w:ind w:firstLine="560" w:firstLineChars="200"/>
        <w:rPr>
          <w:rFonts w:ascii="宋体" w:cs="宋体"/>
          <w:color w:val="auto"/>
          <w:sz w:val="28"/>
          <w:szCs w:val="28"/>
        </w:rPr>
      </w:pP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承诺单位：（加盖公章）</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法定代表人（授权委托人签名）：</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地址：</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邮政编码：</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电话：</w:t>
      </w:r>
    </w:p>
    <w:p>
      <w:pPr>
        <w:spacing w:line="520" w:lineRule="exact"/>
        <w:ind w:firstLine="560" w:firstLineChars="200"/>
        <w:rPr>
          <w:rFonts w:ascii="宋体" w:cs="宋体"/>
          <w:color w:val="auto"/>
          <w:sz w:val="28"/>
          <w:szCs w:val="28"/>
        </w:rPr>
      </w:pPr>
      <w:r>
        <w:rPr>
          <w:rFonts w:hint="eastAsia" w:ascii="宋体" w:hAnsi="宋体" w:cs="宋体"/>
          <w:color w:val="auto"/>
          <w:sz w:val="28"/>
          <w:szCs w:val="28"/>
        </w:rPr>
        <w:t>日期：2019年月日</w:t>
      </w:r>
    </w:p>
    <w:p>
      <w:pPr>
        <w:spacing w:line="520" w:lineRule="exact"/>
        <w:jc w:val="center"/>
        <w:rPr>
          <w:rFonts w:ascii="宋体" w:cs="宋体"/>
          <w:b/>
          <w:color w:val="auto"/>
          <w:sz w:val="28"/>
          <w:szCs w:val="28"/>
        </w:rPr>
      </w:pPr>
    </w:p>
    <w:p>
      <w:pPr>
        <w:pStyle w:val="3"/>
        <w:rPr>
          <w:rFonts w:ascii="宋体" w:cs="宋体"/>
          <w:color w:val="auto"/>
          <w:sz w:val="32"/>
        </w:rPr>
      </w:pPr>
      <w:bookmarkStart w:id="62" w:name="_Toc2612"/>
      <w:r>
        <w:rPr>
          <w:rFonts w:hint="eastAsia" w:ascii="宋体" w:hAnsi="宋体" w:cs="宋体"/>
          <w:color w:val="auto"/>
          <w:sz w:val="32"/>
        </w:rPr>
        <w:t>七、投标人基本情况表</w:t>
      </w:r>
      <w:bookmarkEnd w:id="62"/>
    </w:p>
    <w:p>
      <w:pPr>
        <w:spacing w:line="360" w:lineRule="auto"/>
        <w:jc w:val="center"/>
        <w:rPr>
          <w:rFonts w:ascii="宋体" w:cs="宋体"/>
          <w:b/>
          <w:color w:val="auto"/>
          <w:sz w:val="24"/>
        </w:rPr>
      </w:pPr>
    </w:p>
    <w:tbl>
      <w:tblPr>
        <w:tblStyle w:val="27"/>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投标人名称</w:t>
            </w:r>
          </w:p>
        </w:tc>
        <w:tc>
          <w:tcPr>
            <w:tcW w:w="6339" w:type="dxa"/>
            <w:gridSpan w:val="5"/>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地址</w:t>
            </w:r>
          </w:p>
        </w:tc>
        <w:tc>
          <w:tcPr>
            <w:tcW w:w="6339" w:type="dxa"/>
            <w:gridSpan w:val="5"/>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经营范围</w:t>
            </w:r>
          </w:p>
        </w:tc>
        <w:tc>
          <w:tcPr>
            <w:tcW w:w="2118" w:type="dxa"/>
            <w:vAlign w:val="center"/>
          </w:tcPr>
          <w:p>
            <w:pPr>
              <w:jc w:val="center"/>
              <w:rPr>
                <w:rFonts w:ascii="宋体" w:cs="宋体"/>
                <w:color w:val="auto"/>
                <w:sz w:val="24"/>
              </w:rPr>
            </w:pPr>
          </w:p>
        </w:tc>
        <w:tc>
          <w:tcPr>
            <w:tcW w:w="1980" w:type="dxa"/>
            <w:vAlign w:val="center"/>
          </w:tcPr>
          <w:p>
            <w:pPr>
              <w:jc w:val="center"/>
              <w:rPr>
                <w:rFonts w:ascii="宋体" w:cs="宋体"/>
                <w:color w:val="auto"/>
                <w:sz w:val="24"/>
              </w:rPr>
            </w:pPr>
            <w:r>
              <w:rPr>
                <w:rFonts w:hint="eastAsia" w:ascii="宋体" w:hAnsi="宋体" w:cs="宋体"/>
                <w:color w:val="auto"/>
                <w:sz w:val="24"/>
              </w:rPr>
              <w:t>企业类型</w:t>
            </w:r>
          </w:p>
        </w:tc>
        <w:tc>
          <w:tcPr>
            <w:tcW w:w="2241" w:type="dxa"/>
            <w:gridSpan w:val="3"/>
            <w:vAlign w:val="center"/>
          </w:tcPr>
          <w:p>
            <w:pPr>
              <w:jc w:val="center"/>
              <w:rPr>
                <w:rFonts w:ascii="宋体" w:cs="宋体"/>
                <w:color w:val="auto"/>
                <w:sz w:val="24"/>
              </w:rPr>
            </w:pPr>
            <w:r>
              <w:rPr>
                <w:rFonts w:hint="eastAsia" w:ascii="宋体" w:hAnsi="宋体" w:cs="宋体"/>
                <w:color w:val="auto"/>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成立时间</w:t>
            </w:r>
          </w:p>
        </w:tc>
        <w:tc>
          <w:tcPr>
            <w:tcW w:w="2118" w:type="dxa"/>
            <w:vAlign w:val="center"/>
          </w:tcPr>
          <w:p>
            <w:pPr>
              <w:jc w:val="center"/>
              <w:rPr>
                <w:rFonts w:ascii="宋体" w:cs="宋体"/>
                <w:color w:val="auto"/>
                <w:sz w:val="24"/>
              </w:rPr>
            </w:pPr>
          </w:p>
        </w:tc>
        <w:tc>
          <w:tcPr>
            <w:tcW w:w="1980" w:type="dxa"/>
            <w:vAlign w:val="center"/>
          </w:tcPr>
          <w:p>
            <w:pPr>
              <w:jc w:val="center"/>
              <w:rPr>
                <w:rFonts w:ascii="宋体" w:cs="宋体"/>
                <w:color w:val="auto"/>
                <w:sz w:val="24"/>
              </w:rPr>
            </w:pPr>
            <w:r>
              <w:rPr>
                <w:rFonts w:hint="eastAsia" w:ascii="宋体" w:hAnsi="宋体" w:cs="宋体"/>
                <w:color w:val="auto"/>
                <w:sz w:val="24"/>
              </w:rPr>
              <w:t>经济性质</w:t>
            </w:r>
          </w:p>
        </w:tc>
        <w:tc>
          <w:tcPr>
            <w:tcW w:w="2241" w:type="dxa"/>
            <w:gridSpan w:val="3"/>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法定代表人</w:t>
            </w:r>
          </w:p>
        </w:tc>
        <w:tc>
          <w:tcPr>
            <w:tcW w:w="2118" w:type="dxa"/>
            <w:vAlign w:val="center"/>
          </w:tcPr>
          <w:p>
            <w:pPr>
              <w:jc w:val="center"/>
              <w:rPr>
                <w:rFonts w:ascii="宋体" w:cs="宋体"/>
                <w:color w:val="auto"/>
                <w:sz w:val="24"/>
              </w:rPr>
            </w:pPr>
          </w:p>
        </w:tc>
        <w:tc>
          <w:tcPr>
            <w:tcW w:w="1980" w:type="dxa"/>
            <w:vAlign w:val="center"/>
          </w:tcPr>
          <w:p>
            <w:pPr>
              <w:jc w:val="center"/>
              <w:rPr>
                <w:rFonts w:ascii="宋体" w:cs="宋体"/>
                <w:color w:val="auto"/>
                <w:sz w:val="24"/>
              </w:rPr>
            </w:pPr>
            <w:r>
              <w:rPr>
                <w:rFonts w:hint="eastAsia" w:ascii="宋体" w:hAnsi="宋体" w:cs="宋体"/>
                <w:color w:val="auto"/>
                <w:sz w:val="24"/>
              </w:rPr>
              <w:t>联系电话</w:t>
            </w:r>
          </w:p>
        </w:tc>
        <w:tc>
          <w:tcPr>
            <w:tcW w:w="2241" w:type="dxa"/>
            <w:gridSpan w:val="3"/>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Merge w:val="restart"/>
            <w:vAlign w:val="center"/>
          </w:tcPr>
          <w:p>
            <w:pPr>
              <w:jc w:val="center"/>
              <w:rPr>
                <w:rFonts w:ascii="宋体" w:cs="宋体"/>
                <w:color w:val="auto"/>
                <w:sz w:val="24"/>
              </w:rPr>
            </w:pPr>
            <w:r>
              <w:rPr>
                <w:rFonts w:hint="eastAsia" w:ascii="宋体" w:hAnsi="宋体" w:cs="宋体"/>
                <w:color w:val="auto"/>
                <w:sz w:val="24"/>
              </w:rPr>
              <w:t>注册资本</w:t>
            </w:r>
          </w:p>
        </w:tc>
        <w:tc>
          <w:tcPr>
            <w:tcW w:w="2118" w:type="dxa"/>
            <w:vMerge w:val="restart"/>
            <w:vAlign w:val="center"/>
          </w:tcPr>
          <w:p>
            <w:pPr>
              <w:jc w:val="center"/>
              <w:rPr>
                <w:rFonts w:ascii="宋体" w:cs="宋体"/>
                <w:color w:val="auto"/>
                <w:sz w:val="24"/>
              </w:rPr>
            </w:pPr>
          </w:p>
        </w:tc>
        <w:tc>
          <w:tcPr>
            <w:tcW w:w="1980" w:type="dxa"/>
            <w:vMerge w:val="restart"/>
            <w:vAlign w:val="center"/>
          </w:tcPr>
          <w:p>
            <w:pPr>
              <w:jc w:val="center"/>
              <w:rPr>
                <w:rFonts w:ascii="宋体" w:cs="宋体"/>
                <w:color w:val="auto"/>
                <w:sz w:val="24"/>
              </w:rPr>
            </w:pPr>
            <w:r>
              <w:rPr>
                <w:rFonts w:hint="eastAsia" w:ascii="宋体" w:hAnsi="宋体" w:cs="宋体"/>
                <w:color w:val="auto"/>
                <w:sz w:val="24"/>
              </w:rPr>
              <w:t>技术人员数</w:t>
            </w:r>
          </w:p>
        </w:tc>
        <w:tc>
          <w:tcPr>
            <w:tcW w:w="720" w:type="dxa"/>
            <w:vAlign w:val="center"/>
          </w:tcPr>
          <w:p>
            <w:pPr>
              <w:jc w:val="center"/>
              <w:rPr>
                <w:rFonts w:ascii="宋体" w:cs="宋体"/>
                <w:color w:val="auto"/>
                <w:sz w:val="24"/>
              </w:rPr>
            </w:pPr>
            <w:r>
              <w:rPr>
                <w:rFonts w:hint="eastAsia" w:ascii="宋体" w:hAnsi="宋体" w:cs="宋体"/>
                <w:color w:val="auto"/>
                <w:sz w:val="24"/>
              </w:rPr>
              <w:t>高级</w:t>
            </w:r>
          </w:p>
        </w:tc>
        <w:tc>
          <w:tcPr>
            <w:tcW w:w="720" w:type="dxa"/>
            <w:vAlign w:val="center"/>
          </w:tcPr>
          <w:p>
            <w:pPr>
              <w:jc w:val="center"/>
              <w:rPr>
                <w:rFonts w:ascii="宋体" w:cs="宋体"/>
                <w:color w:val="auto"/>
                <w:sz w:val="24"/>
              </w:rPr>
            </w:pPr>
            <w:r>
              <w:rPr>
                <w:rFonts w:hint="eastAsia" w:ascii="宋体" w:hAnsi="宋体" w:cs="宋体"/>
                <w:color w:val="auto"/>
                <w:sz w:val="24"/>
              </w:rPr>
              <w:t>中级</w:t>
            </w:r>
          </w:p>
        </w:tc>
        <w:tc>
          <w:tcPr>
            <w:tcW w:w="801" w:type="dxa"/>
            <w:vAlign w:val="center"/>
          </w:tcPr>
          <w:p>
            <w:pPr>
              <w:jc w:val="center"/>
              <w:rPr>
                <w:rFonts w:ascii="宋体" w:cs="宋体"/>
                <w:color w:val="auto"/>
                <w:sz w:val="24"/>
              </w:rPr>
            </w:pPr>
            <w:r>
              <w:rPr>
                <w:rFonts w:hint="eastAsia" w:ascii="宋体" w:hAnsi="宋体" w:cs="宋体"/>
                <w:color w:val="auto"/>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Merge w:val="continue"/>
            <w:vAlign w:val="center"/>
          </w:tcPr>
          <w:p>
            <w:pPr>
              <w:widowControl/>
              <w:jc w:val="left"/>
              <w:rPr>
                <w:rFonts w:ascii="宋体" w:cs="宋体"/>
                <w:color w:val="auto"/>
                <w:sz w:val="24"/>
              </w:rPr>
            </w:pPr>
          </w:p>
        </w:tc>
        <w:tc>
          <w:tcPr>
            <w:tcW w:w="2118" w:type="dxa"/>
            <w:vMerge w:val="continue"/>
            <w:vAlign w:val="center"/>
          </w:tcPr>
          <w:p>
            <w:pPr>
              <w:widowControl/>
              <w:jc w:val="left"/>
              <w:rPr>
                <w:rFonts w:ascii="宋体" w:cs="宋体"/>
                <w:color w:val="auto"/>
                <w:sz w:val="24"/>
              </w:rPr>
            </w:pPr>
          </w:p>
        </w:tc>
        <w:tc>
          <w:tcPr>
            <w:tcW w:w="1980" w:type="dxa"/>
            <w:vMerge w:val="continue"/>
            <w:vAlign w:val="center"/>
          </w:tcPr>
          <w:p>
            <w:pPr>
              <w:widowControl/>
              <w:jc w:val="left"/>
              <w:rPr>
                <w:rFonts w:ascii="宋体" w:cs="宋体"/>
                <w:color w:val="auto"/>
                <w:sz w:val="24"/>
              </w:rPr>
            </w:pPr>
          </w:p>
        </w:tc>
        <w:tc>
          <w:tcPr>
            <w:tcW w:w="720" w:type="dxa"/>
            <w:vAlign w:val="center"/>
          </w:tcPr>
          <w:p>
            <w:pPr>
              <w:jc w:val="center"/>
              <w:rPr>
                <w:rFonts w:ascii="宋体" w:cs="宋体"/>
                <w:color w:val="auto"/>
                <w:sz w:val="24"/>
              </w:rPr>
            </w:pPr>
          </w:p>
        </w:tc>
        <w:tc>
          <w:tcPr>
            <w:tcW w:w="720" w:type="dxa"/>
            <w:vAlign w:val="center"/>
          </w:tcPr>
          <w:p>
            <w:pPr>
              <w:jc w:val="center"/>
              <w:rPr>
                <w:rFonts w:ascii="宋体" w:cs="宋体"/>
                <w:color w:val="auto"/>
                <w:sz w:val="24"/>
              </w:rPr>
            </w:pPr>
          </w:p>
        </w:tc>
        <w:tc>
          <w:tcPr>
            <w:tcW w:w="801" w:type="dxa"/>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资产总额</w:t>
            </w:r>
          </w:p>
        </w:tc>
        <w:tc>
          <w:tcPr>
            <w:tcW w:w="2118" w:type="dxa"/>
            <w:vAlign w:val="center"/>
          </w:tcPr>
          <w:p>
            <w:pPr>
              <w:jc w:val="center"/>
              <w:rPr>
                <w:rFonts w:ascii="宋体" w:cs="宋体"/>
                <w:color w:val="auto"/>
                <w:sz w:val="24"/>
              </w:rPr>
            </w:pPr>
          </w:p>
        </w:tc>
        <w:tc>
          <w:tcPr>
            <w:tcW w:w="1980" w:type="dxa"/>
            <w:vAlign w:val="center"/>
          </w:tcPr>
          <w:p>
            <w:pPr>
              <w:jc w:val="center"/>
              <w:rPr>
                <w:rFonts w:ascii="宋体" w:cs="宋体"/>
                <w:color w:val="auto"/>
                <w:sz w:val="24"/>
              </w:rPr>
            </w:pPr>
            <w:r>
              <w:rPr>
                <w:rFonts w:hint="eastAsia" w:ascii="宋体" w:hAnsi="宋体" w:cs="宋体"/>
                <w:color w:val="auto"/>
                <w:sz w:val="24"/>
              </w:rPr>
              <w:t>所有者权益</w:t>
            </w:r>
          </w:p>
        </w:tc>
        <w:tc>
          <w:tcPr>
            <w:tcW w:w="2241" w:type="dxa"/>
            <w:gridSpan w:val="3"/>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工商登记号</w:t>
            </w:r>
          </w:p>
        </w:tc>
        <w:tc>
          <w:tcPr>
            <w:tcW w:w="2118" w:type="dxa"/>
            <w:vAlign w:val="center"/>
          </w:tcPr>
          <w:p>
            <w:pPr>
              <w:jc w:val="center"/>
              <w:rPr>
                <w:rFonts w:ascii="宋体" w:cs="宋体"/>
                <w:color w:val="auto"/>
                <w:sz w:val="24"/>
              </w:rPr>
            </w:pPr>
          </w:p>
        </w:tc>
        <w:tc>
          <w:tcPr>
            <w:tcW w:w="1980" w:type="dxa"/>
            <w:vAlign w:val="center"/>
          </w:tcPr>
          <w:p>
            <w:pPr>
              <w:jc w:val="center"/>
              <w:rPr>
                <w:rFonts w:ascii="宋体" w:cs="宋体"/>
                <w:color w:val="auto"/>
                <w:sz w:val="24"/>
              </w:rPr>
            </w:pPr>
            <w:r>
              <w:rPr>
                <w:rFonts w:hint="eastAsia" w:ascii="宋体" w:hAnsi="宋体" w:cs="宋体"/>
                <w:color w:val="auto"/>
                <w:sz w:val="24"/>
              </w:rPr>
              <w:t>税务登记号</w:t>
            </w:r>
          </w:p>
        </w:tc>
        <w:tc>
          <w:tcPr>
            <w:tcW w:w="2241" w:type="dxa"/>
            <w:gridSpan w:val="3"/>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是否依法纳税</w:t>
            </w:r>
          </w:p>
        </w:tc>
        <w:tc>
          <w:tcPr>
            <w:tcW w:w="2118" w:type="dxa"/>
            <w:vAlign w:val="center"/>
          </w:tcPr>
          <w:p>
            <w:pPr>
              <w:jc w:val="center"/>
              <w:rPr>
                <w:rFonts w:ascii="宋体" w:cs="宋体"/>
                <w:color w:val="auto"/>
                <w:sz w:val="24"/>
              </w:rPr>
            </w:pPr>
          </w:p>
        </w:tc>
        <w:tc>
          <w:tcPr>
            <w:tcW w:w="1980" w:type="dxa"/>
            <w:vAlign w:val="center"/>
          </w:tcPr>
          <w:p>
            <w:pPr>
              <w:jc w:val="center"/>
              <w:rPr>
                <w:rFonts w:ascii="宋体" w:cs="宋体"/>
                <w:color w:val="auto"/>
                <w:sz w:val="24"/>
              </w:rPr>
            </w:pPr>
            <w:r>
              <w:rPr>
                <w:rFonts w:hint="eastAsia" w:ascii="宋体" w:hAnsi="宋体" w:cs="宋体"/>
                <w:color w:val="auto"/>
                <w:sz w:val="24"/>
              </w:rPr>
              <w:t>是否参加社保</w:t>
            </w:r>
          </w:p>
        </w:tc>
        <w:tc>
          <w:tcPr>
            <w:tcW w:w="2241" w:type="dxa"/>
            <w:gridSpan w:val="3"/>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4" w:hRule="atLeast"/>
          <w:jc w:val="center"/>
        </w:trPr>
        <w:tc>
          <w:tcPr>
            <w:tcW w:w="2202" w:type="dxa"/>
            <w:vAlign w:val="center"/>
          </w:tcPr>
          <w:p>
            <w:pPr>
              <w:jc w:val="center"/>
              <w:rPr>
                <w:rFonts w:ascii="宋体" w:cs="宋体"/>
                <w:color w:val="auto"/>
                <w:sz w:val="24"/>
              </w:rPr>
            </w:pPr>
            <w:r>
              <w:rPr>
                <w:rFonts w:hint="eastAsia" w:ascii="宋体" w:hAnsi="宋体" w:cs="宋体"/>
                <w:color w:val="auto"/>
                <w:sz w:val="24"/>
              </w:rPr>
              <w:t>售后服务</w:t>
            </w:r>
            <w:r>
              <w:rPr>
                <w:rFonts w:ascii="宋体" w:hAnsi="宋体" w:cs="宋体"/>
                <w:color w:val="auto"/>
                <w:sz w:val="24"/>
              </w:rPr>
              <w:t>/</w:t>
            </w:r>
            <w:r>
              <w:rPr>
                <w:rFonts w:hint="eastAsia" w:ascii="宋体" w:hAnsi="宋体" w:cs="宋体"/>
                <w:color w:val="auto"/>
                <w:sz w:val="24"/>
              </w:rPr>
              <w:t>本地服务机构情况</w:t>
            </w:r>
          </w:p>
        </w:tc>
        <w:tc>
          <w:tcPr>
            <w:tcW w:w="6339" w:type="dxa"/>
            <w:gridSpan w:val="5"/>
            <w:vAlign w:val="center"/>
          </w:tcPr>
          <w:p>
            <w:pPr>
              <w:spacing w:line="360" w:lineRule="auto"/>
              <w:ind w:firstLine="60" w:firstLineChars="25"/>
              <w:rPr>
                <w:rFonts w:ascii="宋体" w:cs="宋体"/>
                <w:color w:val="auto"/>
                <w:sz w:val="24"/>
              </w:rPr>
            </w:pPr>
            <w:r>
              <w:rPr>
                <w:rFonts w:hint="eastAsia" w:ascii="宋体" w:hAnsi="宋体" w:cs="宋体"/>
                <w:color w:val="auto"/>
                <w:sz w:val="24"/>
              </w:rPr>
              <w:t>售后</w:t>
            </w:r>
            <w:r>
              <w:rPr>
                <w:rFonts w:ascii="宋体" w:hAnsi="宋体" w:cs="宋体"/>
                <w:color w:val="auto"/>
                <w:sz w:val="24"/>
              </w:rPr>
              <w:t>/</w:t>
            </w:r>
            <w:r>
              <w:rPr>
                <w:rFonts w:hint="eastAsia" w:ascii="宋体" w:hAnsi="宋体" w:cs="宋体"/>
                <w:color w:val="auto"/>
                <w:sz w:val="24"/>
              </w:rPr>
              <w:t>本地服务机构名称：</w:t>
            </w:r>
          </w:p>
          <w:p>
            <w:pPr>
              <w:spacing w:line="360" w:lineRule="auto"/>
              <w:ind w:firstLine="60" w:firstLineChars="25"/>
              <w:rPr>
                <w:rFonts w:ascii="宋体" w:cs="宋体"/>
                <w:color w:val="auto"/>
                <w:sz w:val="24"/>
              </w:rPr>
            </w:pPr>
            <w:r>
              <w:rPr>
                <w:rFonts w:hint="eastAsia" w:ascii="宋体" w:hAnsi="宋体" w:cs="宋体"/>
                <w:color w:val="auto"/>
                <w:sz w:val="24"/>
              </w:rPr>
              <w:t>地址：</w:t>
            </w:r>
          </w:p>
          <w:p>
            <w:pPr>
              <w:spacing w:line="360" w:lineRule="auto"/>
              <w:ind w:firstLine="60" w:firstLineChars="25"/>
              <w:rPr>
                <w:rFonts w:ascii="宋体" w:cs="宋体"/>
                <w:color w:val="auto"/>
                <w:sz w:val="24"/>
              </w:rPr>
            </w:pPr>
            <w:r>
              <w:rPr>
                <w:rFonts w:hint="eastAsia" w:ascii="宋体" w:hAnsi="宋体" w:cs="宋体"/>
                <w:color w:val="auto"/>
                <w:sz w:val="24"/>
              </w:rPr>
              <w:t>人员状况：</w:t>
            </w:r>
          </w:p>
          <w:p>
            <w:pPr>
              <w:spacing w:line="360" w:lineRule="auto"/>
              <w:ind w:firstLine="60" w:firstLineChars="25"/>
              <w:rPr>
                <w:rFonts w:ascii="宋体" w:cs="宋体"/>
                <w:color w:val="auto"/>
                <w:sz w:val="24"/>
              </w:rPr>
            </w:pPr>
            <w:r>
              <w:rPr>
                <w:rFonts w:hint="eastAsia" w:ascii="宋体" w:hAnsi="宋体" w:cs="宋体"/>
                <w:color w:val="auto"/>
                <w:sz w:val="24"/>
              </w:rPr>
              <w:t>联系方式：</w:t>
            </w:r>
          </w:p>
          <w:p>
            <w:pPr>
              <w:spacing w:line="360" w:lineRule="auto"/>
              <w:ind w:firstLine="60" w:firstLineChars="25"/>
              <w:rPr>
                <w:rFonts w:ascii="宋体" w:cs="宋体"/>
                <w:color w:val="auto"/>
                <w:sz w:val="24"/>
              </w:rPr>
            </w:pPr>
            <w:r>
              <w:rPr>
                <w:rFonts w:hint="eastAsia" w:ascii="宋体" w:hAnsi="宋体" w:cs="宋体"/>
                <w:color w:val="auto"/>
                <w:sz w:val="24"/>
              </w:rPr>
              <w:t>（可另附纸说明）</w:t>
            </w:r>
          </w:p>
        </w:tc>
      </w:tr>
    </w:tbl>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r>
        <w:rPr>
          <w:rFonts w:hint="eastAsia" w:ascii="宋体" w:hAnsi="宋体" w:cs="宋体"/>
          <w:color w:val="auto"/>
          <w:sz w:val="24"/>
        </w:rPr>
        <w:t>投标人代表签字：</w:t>
      </w: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r>
        <w:rPr>
          <w:rFonts w:hint="eastAsia" w:ascii="宋体" w:hAnsi="宋体" w:cs="宋体"/>
          <w:color w:val="auto"/>
          <w:sz w:val="24"/>
        </w:rPr>
        <w:t>投标人（公章）</w:t>
      </w:r>
    </w:p>
    <w:p>
      <w:pPr>
        <w:pStyle w:val="3"/>
        <w:rPr>
          <w:rFonts w:ascii="宋体" w:cs="宋体"/>
          <w:color w:val="auto"/>
          <w:sz w:val="32"/>
        </w:rPr>
      </w:pPr>
      <w:bookmarkStart w:id="63" w:name="_Toc224"/>
      <w:r>
        <w:rPr>
          <w:rFonts w:hint="eastAsia" w:ascii="宋体" w:hAnsi="宋体" w:cs="宋体"/>
          <w:color w:val="auto"/>
          <w:sz w:val="32"/>
        </w:rPr>
        <w:t>八、本项目的项目负责人情况表</w:t>
      </w:r>
      <w:bookmarkEnd w:id="63"/>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552"/>
        <w:gridCol w:w="4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姓名</w:t>
            </w:r>
          </w:p>
        </w:tc>
        <w:tc>
          <w:tcPr>
            <w:tcW w:w="1552" w:type="dxa"/>
            <w:vAlign w:val="center"/>
          </w:tcPr>
          <w:p>
            <w:pPr>
              <w:jc w:val="center"/>
              <w:rPr>
                <w:rFonts w:ascii="宋体" w:cs="宋体"/>
                <w:color w:val="auto"/>
                <w:sz w:val="24"/>
              </w:rPr>
            </w:pPr>
          </w:p>
        </w:tc>
        <w:tc>
          <w:tcPr>
            <w:tcW w:w="4989" w:type="dxa"/>
            <w:vAlign w:val="center"/>
          </w:tcPr>
          <w:p>
            <w:pPr>
              <w:jc w:val="center"/>
              <w:rPr>
                <w:rFonts w:ascii="宋体" w:cs="宋体"/>
                <w:color w:val="auto"/>
                <w:sz w:val="24"/>
              </w:rPr>
            </w:pPr>
            <w:r>
              <w:rPr>
                <w:rFonts w:hint="eastAsia" w:ascii="宋体" w:hAnsi="宋体" w:cs="宋体"/>
                <w:color w:val="auto"/>
                <w:sz w:val="24"/>
              </w:rPr>
              <w:t>近</w:t>
            </w:r>
            <w:r>
              <w:rPr>
                <w:rFonts w:ascii="宋体" w:hAnsi="宋体" w:cs="宋体"/>
                <w:color w:val="auto"/>
                <w:sz w:val="24"/>
              </w:rPr>
              <w:t>3</w:t>
            </w:r>
            <w:r>
              <w:rPr>
                <w:rFonts w:hint="eastAsia" w:ascii="宋体" w:hAnsi="宋体" w:cs="宋体"/>
                <w:color w:val="auto"/>
                <w:sz w:val="24"/>
              </w:rPr>
              <w:t>年业绩及承担的主要工作情况</w:t>
            </w:r>
          </w:p>
          <w:p>
            <w:pPr>
              <w:jc w:val="center"/>
              <w:rPr>
                <w:rFonts w:ascii="宋体" w:cs="宋体"/>
                <w:color w:val="auto"/>
              </w:rPr>
            </w:pPr>
            <w:r>
              <w:rPr>
                <w:rFonts w:hint="eastAsia" w:ascii="宋体" w:hAnsi="宋体" w:cs="宋体"/>
                <w:color w:val="auto"/>
                <w:sz w:val="24"/>
              </w:rPr>
              <w:t>（曾担任项目经理的项目应列明细）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性别</w:t>
            </w:r>
          </w:p>
        </w:tc>
        <w:tc>
          <w:tcPr>
            <w:tcW w:w="1552" w:type="dxa"/>
            <w:vAlign w:val="center"/>
          </w:tcPr>
          <w:p>
            <w:pPr>
              <w:jc w:val="center"/>
              <w:rPr>
                <w:rFonts w:ascii="宋体" w:cs="宋体"/>
                <w:color w:val="auto"/>
                <w:sz w:val="24"/>
              </w:rPr>
            </w:pPr>
          </w:p>
        </w:tc>
        <w:tc>
          <w:tcPr>
            <w:tcW w:w="4989" w:type="dxa"/>
            <w:vMerge w:val="restart"/>
            <w:vAlign w:val="center"/>
          </w:tcPr>
          <w:p>
            <w:pPr>
              <w:spacing w:line="360" w:lineRule="auto"/>
              <w:ind w:firstLine="7" w:firstLineChars="3"/>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年龄</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职称</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毕业时间</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所学专业</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学历</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资质证书编号</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其他资质情况</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1" w:type="dxa"/>
            <w:vAlign w:val="center"/>
          </w:tcPr>
          <w:p>
            <w:pPr>
              <w:jc w:val="center"/>
              <w:rPr>
                <w:rFonts w:ascii="宋体" w:cs="宋体"/>
                <w:color w:val="auto"/>
                <w:sz w:val="24"/>
              </w:rPr>
            </w:pPr>
            <w:r>
              <w:rPr>
                <w:rFonts w:hint="eastAsia" w:ascii="宋体" w:hAnsi="宋体" w:cs="宋体"/>
                <w:color w:val="auto"/>
                <w:sz w:val="24"/>
              </w:rPr>
              <w:t>联系电话</w:t>
            </w:r>
          </w:p>
        </w:tc>
        <w:tc>
          <w:tcPr>
            <w:tcW w:w="1552" w:type="dxa"/>
            <w:vAlign w:val="center"/>
          </w:tcPr>
          <w:p>
            <w:pPr>
              <w:jc w:val="center"/>
              <w:rPr>
                <w:rFonts w:ascii="宋体" w:cs="宋体"/>
                <w:color w:val="auto"/>
                <w:sz w:val="24"/>
              </w:rPr>
            </w:pPr>
          </w:p>
        </w:tc>
        <w:tc>
          <w:tcPr>
            <w:tcW w:w="4989" w:type="dxa"/>
            <w:vMerge w:val="continue"/>
            <w:vAlign w:val="center"/>
          </w:tcPr>
          <w:p>
            <w:pPr>
              <w:widowControl/>
              <w:jc w:val="left"/>
              <w:rPr>
                <w:rFonts w:ascii="宋体" w:cs="宋体"/>
                <w:color w:val="auto"/>
                <w:sz w:val="24"/>
              </w:rPr>
            </w:pPr>
          </w:p>
        </w:tc>
      </w:tr>
    </w:tbl>
    <w:p>
      <w:pPr>
        <w:spacing w:line="360" w:lineRule="auto"/>
        <w:rPr>
          <w:rFonts w:ascii="宋体" w:cs="宋体"/>
          <w:color w:val="auto"/>
          <w:sz w:val="24"/>
        </w:rPr>
      </w:pPr>
      <w:r>
        <w:rPr>
          <w:rFonts w:hint="eastAsia"/>
          <w:color w:val="auto"/>
        </w:rPr>
        <w:t>注：须随表提交相应的证书复印件及投标人注册所在地劳动保障部门出具的社保证明。</w:t>
      </w:r>
    </w:p>
    <w:p>
      <w:pPr>
        <w:pStyle w:val="3"/>
        <w:rPr>
          <w:rFonts w:ascii="宋体" w:cs="宋体"/>
          <w:color w:val="auto"/>
          <w:sz w:val="32"/>
        </w:rPr>
      </w:pPr>
      <w:bookmarkStart w:id="64" w:name="_Toc2294"/>
      <w:r>
        <w:rPr>
          <w:rFonts w:hint="eastAsia" w:ascii="宋体" w:hAnsi="宋体" w:cs="宋体"/>
          <w:color w:val="auto"/>
          <w:sz w:val="32"/>
        </w:rPr>
        <w:t>九、本项目的项目小组人员情况表</w:t>
      </w:r>
      <w:bookmarkEnd w:id="64"/>
    </w:p>
    <w:p>
      <w:pPr>
        <w:spacing w:line="360" w:lineRule="auto"/>
        <w:jc w:val="center"/>
        <w:rPr>
          <w:rFonts w:ascii="宋体" w:cs="宋体"/>
          <w:color w:val="auto"/>
          <w:sz w:val="24"/>
        </w:rPr>
      </w:pPr>
      <w:r>
        <w:rPr>
          <w:rFonts w:hint="eastAsia" w:ascii="宋体" w:hAnsi="宋体" w:cs="宋体"/>
          <w:color w:val="auto"/>
          <w:sz w:val="24"/>
        </w:rPr>
        <w:t>（按此格式自制）</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00"/>
        <w:gridCol w:w="648"/>
        <w:gridCol w:w="600"/>
        <w:gridCol w:w="714"/>
        <w:gridCol w:w="600"/>
        <w:gridCol w:w="760"/>
        <w:gridCol w:w="1081"/>
        <w:gridCol w:w="802"/>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846" w:type="dxa"/>
            <w:textDirection w:val="tbRlV"/>
            <w:vAlign w:val="center"/>
          </w:tcPr>
          <w:p>
            <w:pPr>
              <w:jc w:val="center"/>
              <w:rPr>
                <w:rFonts w:ascii="宋体" w:cs="宋体"/>
                <w:color w:val="auto"/>
                <w:sz w:val="24"/>
              </w:rPr>
            </w:pPr>
            <w:r>
              <w:rPr>
                <w:rFonts w:hint="eastAsia" w:ascii="宋体" w:hAnsi="宋体" w:cs="宋体"/>
                <w:color w:val="auto"/>
                <w:sz w:val="24"/>
              </w:rPr>
              <w:t>序号</w:t>
            </w:r>
          </w:p>
        </w:tc>
        <w:tc>
          <w:tcPr>
            <w:tcW w:w="600" w:type="dxa"/>
            <w:vAlign w:val="center"/>
          </w:tcPr>
          <w:p>
            <w:pPr>
              <w:jc w:val="center"/>
              <w:rPr>
                <w:rFonts w:ascii="宋体" w:cs="宋体"/>
                <w:color w:val="auto"/>
                <w:sz w:val="24"/>
              </w:rPr>
            </w:pPr>
            <w:r>
              <w:rPr>
                <w:rFonts w:hint="eastAsia" w:ascii="宋体" w:hAnsi="宋体" w:cs="宋体"/>
                <w:color w:val="auto"/>
                <w:sz w:val="24"/>
              </w:rPr>
              <w:t>姓名</w:t>
            </w:r>
          </w:p>
        </w:tc>
        <w:tc>
          <w:tcPr>
            <w:tcW w:w="648" w:type="dxa"/>
            <w:vAlign w:val="center"/>
          </w:tcPr>
          <w:p>
            <w:pPr>
              <w:jc w:val="center"/>
              <w:rPr>
                <w:rFonts w:ascii="宋体" w:cs="宋体"/>
                <w:color w:val="auto"/>
                <w:sz w:val="24"/>
              </w:rPr>
            </w:pPr>
            <w:r>
              <w:rPr>
                <w:rFonts w:hint="eastAsia" w:ascii="宋体" w:hAnsi="宋体" w:cs="宋体"/>
                <w:color w:val="auto"/>
                <w:sz w:val="24"/>
              </w:rPr>
              <w:t>性别</w:t>
            </w:r>
          </w:p>
        </w:tc>
        <w:tc>
          <w:tcPr>
            <w:tcW w:w="600" w:type="dxa"/>
            <w:vAlign w:val="center"/>
          </w:tcPr>
          <w:p>
            <w:pPr>
              <w:jc w:val="center"/>
              <w:rPr>
                <w:rFonts w:ascii="宋体" w:cs="宋体"/>
                <w:color w:val="auto"/>
                <w:sz w:val="24"/>
              </w:rPr>
            </w:pPr>
            <w:r>
              <w:rPr>
                <w:rFonts w:hint="eastAsia" w:ascii="宋体" w:hAnsi="宋体" w:cs="宋体"/>
                <w:color w:val="auto"/>
                <w:sz w:val="24"/>
              </w:rPr>
              <w:t>年龄</w:t>
            </w:r>
          </w:p>
        </w:tc>
        <w:tc>
          <w:tcPr>
            <w:tcW w:w="714" w:type="dxa"/>
            <w:vAlign w:val="center"/>
          </w:tcPr>
          <w:p>
            <w:pPr>
              <w:jc w:val="center"/>
              <w:rPr>
                <w:rFonts w:ascii="宋体" w:cs="宋体"/>
                <w:color w:val="auto"/>
                <w:sz w:val="24"/>
              </w:rPr>
            </w:pPr>
            <w:r>
              <w:rPr>
                <w:rFonts w:hint="eastAsia" w:ascii="宋体" w:hAnsi="宋体" w:cs="宋体"/>
                <w:color w:val="auto"/>
                <w:sz w:val="24"/>
              </w:rPr>
              <w:t>学历</w:t>
            </w:r>
          </w:p>
        </w:tc>
        <w:tc>
          <w:tcPr>
            <w:tcW w:w="600" w:type="dxa"/>
            <w:vAlign w:val="center"/>
          </w:tcPr>
          <w:p>
            <w:pPr>
              <w:jc w:val="center"/>
              <w:rPr>
                <w:rFonts w:ascii="宋体" w:cs="宋体"/>
                <w:color w:val="auto"/>
                <w:sz w:val="24"/>
              </w:rPr>
            </w:pPr>
            <w:r>
              <w:rPr>
                <w:rFonts w:hint="eastAsia" w:ascii="宋体" w:hAnsi="宋体" w:cs="宋体"/>
                <w:color w:val="auto"/>
                <w:sz w:val="24"/>
              </w:rPr>
              <w:t>专业</w:t>
            </w:r>
          </w:p>
        </w:tc>
        <w:tc>
          <w:tcPr>
            <w:tcW w:w="760" w:type="dxa"/>
            <w:vAlign w:val="center"/>
          </w:tcPr>
          <w:p>
            <w:pPr>
              <w:jc w:val="center"/>
              <w:rPr>
                <w:rFonts w:ascii="宋体" w:cs="宋体"/>
                <w:color w:val="auto"/>
                <w:sz w:val="24"/>
              </w:rPr>
            </w:pPr>
            <w:r>
              <w:rPr>
                <w:rFonts w:hint="eastAsia" w:ascii="宋体" w:hAnsi="宋体" w:cs="宋体"/>
                <w:color w:val="auto"/>
                <w:sz w:val="24"/>
              </w:rPr>
              <w:t>职称</w:t>
            </w:r>
          </w:p>
        </w:tc>
        <w:tc>
          <w:tcPr>
            <w:tcW w:w="1081" w:type="dxa"/>
            <w:vAlign w:val="center"/>
          </w:tcPr>
          <w:p>
            <w:pPr>
              <w:jc w:val="center"/>
              <w:rPr>
                <w:rFonts w:ascii="宋体" w:cs="宋体"/>
                <w:color w:val="auto"/>
                <w:sz w:val="24"/>
              </w:rPr>
            </w:pPr>
            <w:r>
              <w:rPr>
                <w:rFonts w:hint="eastAsia" w:ascii="宋体" w:hAnsi="宋体" w:cs="宋体"/>
                <w:color w:val="auto"/>
                <w:sz w:val="24"/>
              </w:rPr>
              <w:t>本项目中的职责</w:t>
            </w:r>
          </w:p>
        </w:tc>
        <w:tc>
          <w:tcPr>
            <w:tcW w:w="802" w:type="dxa"/>
            <w:vAlign w:val="center"/>
          </w:tcPr>
          <w:p>
            <w:pPr>
              <w:jc w:val="center"/>
              <w:rPr>
                <w:rFonts w:ascii="宋体" w:cs="宋体"/>
                <w:color w:val="auto"/>
                <w:sz w:val="24"/>
              </w:rPr>
            </w:pPr>
            <w:r>
              <w:rPr>
                <w:rFonts w:hint="eastAsia" w:ascii="宋体" w:hAnsi="宋体" w:cs="宋体"/>
                <w:color w:val="auto"/>
                <w:sz w:val="24"/>
              </w:rPr>
              <w:t>项目经历</w:t>
            </w:r>
          </w:p>
        </w:tc>
        <w:tc>
          <w:tcPr>
            <w:tcW w:w="1871" w:type="dxa"/>
            <w:vAlign w:val="center"/>
          </w:tcPr>
          <w:p>
            <w:pPr>
              <w:jc w:val="center"/>
              <w:rPr>
                <w:rFonts w:ascii="宋体" w:cs="宋体"/>
                <w:color w:val="auto"/>
                <w:sz w:val="24"/>
              </w:rPr>
            </w:pPr>
            <w:r>
              <w:rPr>
                <w:rFonts w:hint="eastAsia" w:ascii="宋体" w:hAnsi="宋体" w:cs="宋体"/>
                <w:color w:val="auto"/>
                <w:sz w:val="24"/>
              </w:rPr>
              <w:t>参与本项目的</w:t>
            </w:r>
          </w:p>
          <w:p>
            <w:pPr>
              <w:jc w:val="center"/>
              <w:rPr>
                <w:rFonts w:ascii="宋体" w:cs="宋体"/>
                <w:color w:val="auto"/>
                <w:sz w:val="24"/>
              </w:rPr>
            </w:pPr>
            <w:r>
              <w:rPr>
                <w:rFonts w:hint="eastAsia" w:ascii="宋体" w:hAnsi="宋体" w:cs="宋体"/>
                <w:color w:val="auto"/>
                <w:sz w:val="24"/>
              </w:rPr>
              <w:t>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846"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648"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14"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60" w:type="dxa"/>
            <w:vAlign w:val="center"/>
          </w:tcPr>
          <w:p>
            <w:pPr>
              <w:spacing w:line="360" w:lineRule="auto"/>
              <w:rPr>
                <w:rFonts w:ascii="宋体" w:cs="宋体"/>
                <w:color w:val="auto"/>
                <w:sz w:val="24"/>
              </w:rPr>
            </w:pPr>
          </w:p>
        </w:tc>
        <w:tc>
          <w:tcPr>
            <w:tcW w:w="1081" w:type="dxa"/>
            <w:vAlign w:val="center"/>
          </w:tcPr>
          <w:p>
            <w:pPr>
              <w:spacing w:line="360" w:lineRule="auto"/>
              <w:rPr>
                <w:rFonts w:ascii="宋体" w:cs="宋体"/>
                <w:color w:val="auto"/>
                <w:sz w:val="24"/>
              </w:rPr>
            </w:pPr>
          </w:p>
        </w:tc>
        <w:tc>
          <w:tcPr>
            <w:tcW w:w="802" w:type="dxa"/>
            <w:vAlign w:val="center"/>
          </w:tcPr>
          <w:p>
            <w:pPr>
              <w:spacing w:line="360" w:lineRule="auto"/>
              <w:rPr>
                <w:rFonts w:ascii="宋体" w:cs="宋体"/>
                <w:color w:val="auto"/>
                <w:sz w:val="24"/>
              </w:rPr>
            </w:pPr>
          </w:p>
        </w:tc>
        <w:tc>
          <w:tcPr>
            <w:tcW w:w="1871" w:type="dxa"/>
            <w:vAlign w:val="center"/>
          </w:tcPr>
          <w:p>
            <w:pPr>
              <w:spacing w:line="360" w:lineRule="auto"/>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846"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648"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14"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60" w:type="dxa"/>
            <w:vAlign w:val="center"/>
          </w:tcPr>
          <w:p>
            <w:pPr>
              <w:spacing w:line="360" w:lineRule="auto"/>
              <w:rPr>
                <w:rFonts w:ascii="宋体" w:cs="宋体"/>
                <w:color w:val="auto"/>
                <w:sz w:val="24"/>
              </w:rPr>
            </w:pPr>
          </w:p>
        </w:tc>
        <w:tc>
          <w:tcPr>
            <w:tcW w:w="1081" w:type="dxa"/>
            <w:vAlign w:val="center"/>
          </w:tcPr>
          <w:p>
            <w:pPr>
              <w:spacing w:line="360" w:lineRule="auto"/>
              <w:rPr>
                <w:rFonts w:ascii="宋体" w:cs="宋体"/>
                <w:color w:val="auto"/>
                <w:sz w:val="24"/>
              </w:rPr>
            </w:pPr>
          </w:p>
        </w:tc>
        <w:tc>
          <w:tcPr>
            <w:tcW w:w="802" w:type="dxa"/>
            <w:vAlign w:val="center"/>
          </w:tcPr>
          <w:p>
            <w:pPr>
              <w:spacing w:line="360" w:lineRule="auto"/>
              <w:rPr>
                <w:rFonts w:ascii="宋体" w:cs="宋体"/>
                <w:color w:val="auto"/>
                <w:sz w:val="24"/>
              </w:rPr>
            </w:pPr>
          </w:p>
        </w:tc>
        <w:tc>
          <w:tcPr>
            <w:tcW w:w="1871" w:type="dxa"/>
            <w:vAlign w:val="center"/>
          </w:tcPr>
          <w:p>
            <w:pPr>
              <w:spacing w:line="360" w:lineRule="auto"/>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846"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648"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14"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60" w:type="dxa"/>
            <w:vAlign w:val="center"/>
          </w:tcPr>
          <w:p>
            <w:pPr>
              <w:spacing w:line="360" w:lineRule="auto"/>
              <w:rPr>
                <w:rFonts w:ascii="宋体" w:cs="宋体"/>
                <w:color w:val="auto"/>
                <w:sz w:val="24"/>
              </w:rPr>
            </w:pPr>
          </w:p>
        </w:tc>
        <w:tc>
          <w:tcPr>
            <w:tcW w:w="1081" w:type="dxa"/>
            <w:vAlign w:val="center"/>
          </w:tcPr>
          <w:p>
            <w:pPr>
              <w:spacing w:line="360" w:lineRule="auto"/>
              <w:rPr>
                <w:rFonts w:ascii="宋体" w:cs="宋体"/>
                <w:color w:val="auto"/>
                <w:sz w:val="24"/>
              </w:rPr>
            </w:pPr>
          </w:p>
        </w:tc>
        <w:tc>
          <w:tcPr>
            <w:tcW w:w="802" w:type="dxa"/>
            <w:vAlign w:val="center"/>
          </w:tcPr>
          <w:p>
            <w:pPr>
              <w:spacing w:line="360" w:lineRule="auto"/>
              <w:rPr>
                <w:rFonts w:ascii="宋体" w:cs="宋体"/>
                <w:color w:val="auto"/>
                <w:sz w:val="24"/>
              </w:rPr>
            </w:pPr>
          </w:p>
        </w:tc>
        <w:tc>
          <w:tcPr>
            <w:tcW w:w="1871" w:type="dxa"/>
            <w:vAlign w:val="center"/>
          </w:tcPr>
          <w:p>
            <w:pPr>
              <w:spacing w:line="360" w:lineRule="auto"/>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846"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648"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14" w:type="dxa"/>
            <w:vAlign w:val="center"/>
          </w:tcPr>
          <w:p>
            <w:pPr>
              <w:spacing w:line="360" w:lineRule="auto"/>
              <w:rPr>
                <w:rFonts w:ascii="宋体" w:cs="宋体"/>
                <w:color w:val="auto"/>
                <w:sz w:val="24"/>
              </w:rPr>
            </w:pPr>
          </w:p>
        </w:tc>
        <w:tc>
          <w:tcPr>
            <w:tcW w:w="600" w:type="dxa"/>
            <w:vAlign w:val="center"/>
          </w:tcPr>
          <w:p>
            <w:pPr>
              <w:spacing w:line="360" w:lineRule="auto"/>
              <w:rPr>
                <w:rFonts w:ascii="宋体" w:cs="宋体"/>
                <w:color w:val="auto"/>
                <w:sz w:val="24"/>
              </w:rPr>
            </w:pPr>
          </w:p>
        </w:tc>
        <w:tc>
          <w:tcPr>
            <w:tcW w:w="760" w:type="dxa"/>
            <w:vAlign w:val="center"/>
          </w:tcPr>
          <w:p>
            <w:pPr>
              <w:spacing w:line="360" w:lineRule="auto"/>
              <w:rPr>
                <w:rFonts w:ascii="宋体" w:cs="宋体"/>
                <w:color w:val="auto"/>
                <w:sz w:val="24"/>
              </w:rPr>
            </w:pPr>
          </w:p>
        </w:tc>
        <w:tc>
          <w:tcPr>
            <w:tcW w:w="1081" w:type="dxa"/>
            <w:vAlign w:val="center"/>
          </w:tcPr>
          <w:p>
            <w:pPr>
              <w:spacing w:line="360" w:lineRule="auto"/>
              <w:rPr>
                <w:rFonts w:ascii="宋体" w:cs="宋体"/>
                <w:color w:val="auto"/>
                <w:sz w:val="24"/>
              </w:rPr>
            </w:pPr>
          </w:p>
        </w:tc>
        <w:tc>
          <w:tcPr>
            <w:tcW w:w="802" w:type="dxa"/>
            <w:vAlign w:val="center"/>
          </w:tcPr>
          <w:p>
            <w:pPr>
              <w:spacing w:line="360" w:lineRule="auto"/>
              <w:rPr>
                <w:rFonts w:ascii="宋体" w:cs="宋体"/>
                <w:color w:val="auto"/>
                <w:sz w:val="24"/>
              </w:rPr>
            </w:pPr>
          </w:p>
        </w:tc>
        <w:tc>
          <w:tcPr>
            <w:tcW w:w="1871" w:type="dxa"/>
            <w:vAlign w:val="center"/>
          </w:tcPr>
          <w:p>
            <w:pPr>
              <w:spacing w:line="360" w:lineRule="auto"/>
              <w:rPr>
                <w:rFonts w:ascii="宋体" w:cs="宋体"/>
                <w:color w:val="auto"/>
                <w:sz w:val="24"/>
              </w:rPr>
            </w:pPr>
          </w:p>
        </w:tc>
      </w:tr>
    </w:tbl>
    <w:p>
      <w:pPr>
        <w:spacing w:line="360" w:lineRule="auto"/>
        <w:ind w:firstLine="4920" w:firstLineChars="2050"/>
        <w:jc w:val="left"/>
        <w:rPr>
          <w:rFonts w:ascii="宋体" w:cs="宋体"/>
          <w:color w:val="auto"/>
          <w:sz w:val="24"/>
        </w:rPr>
      </w:pPr>
      <w:r>
        <w:rPr>
          <w:rFonts w:hint="eastAsia" w:ascii="宋体" w:hAnsi="宋体" w:cs="宋体"/>
          <w:color w:val="auto"/>
          <w:sz w:val="24"/>
        </w:rPr>
        <w:t>投标人名称（盖章）：</w:t>
      </w:r>
    </w:p>
    <w:p>
      <w:pPr>
        <w:spacing w:line="360" w:lineRule="auto"/>
        <w:ind w:firstLine="4920" w:firstLineChars="2050"/>
        <w:jc w:val="left"/>
        <w:rPr>
          <w:rFonts w:ascii="宋体" w:hAnsi="宋体" w:cs="宋体"/>
          <w:color w:val="auto"/>
          <w:sz w:val="24"/>
        </w:rPr>
      </w:pPr>
      <w:r>
        <w:rPr>
          <w:rFonts w:hint="eastAsia" w:ascii="宋体" w:hAnsi="宋体" w:cs="宋体"/>
          <w:color w:val="auto"/>
          <w:sz w:val="24"/>
        </w:rPr>
        <w:t>投标人代表（签字）：</w:t>
      </w:r>
    </w:p>
    <w:p>
      <w:pPr>
        <w:spacing w:line="360" w:lineRule="auto"/>
        <w:ind w:firstLine="4920" w:firstLineChars="2050"/>
        <w:jc w:val="left"/>
        <w:rPr>
          <w:rFonts w:ascii="宋体" w:hAnsi="宋体" w:cs="宋体"/>
          <w:color w:val="auto"/>
          <w:sz w:val="24"/>
        </w:rPr>
      </w:pPr>
      <w:r>
        <w:rPr>
          <w:rFonts w:hint="eastAsia" w:ascii="宋体" w:hAnsi="宋体" w:cs="宋体"/>
          <w:color w:val="auto"/>
          <w:sz w:val="24"/>
        </w:rPr>
        <w:t>日期：20  年月日</w:t>
      </w:r>
    </w:p>
    <w:p>
      <w:pPr>
        <w:pStyle w:val="3"/>
        <w:rPr>
          <w:rFonts w:ascii="宋体" w:cs="宋体"/>
          <w:color w:val="auto"/>
          <w:sz w:val="32"/>
        </w:rPr>
      </w:pPr>
      <w:bookmarkStart w:id="65" w:name="_Toc27285"/>
      <w:r>
        <w:rPr>
          <w:rFonts w:hint="eastAsia" w:ascii="宋体" w:hAnsi="宋体" w:cs="宋体"/>
          <w:color w:val="auto"/>
          <w:sz w:val="32"/>
        </w:rPr>
        <w:t>十、商务偏离表</w:t>
      </w:r>
      <w:bookmarkEnd w:id="65"/>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373"/>
        <w:gridCol w:w="2726"/>
        <w:gridCol w:w="1941"/>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66" w:type="dxa"/>
            <w:vAlign w:val="center"/>
          </w:tcPr>
          <w:p>
            <w:pPr>
              <w:jc w:val="center"/>
              <w:rPr>
                <w:rFonts w:ascii="宋体" w:cs="宋体"/>
                <w:color w:val="auto"/>
                <w:sz w:val="24"/>
              </w:rPr>
            </w:pPr>
            <w:r>
              <w:rPr>
                <w:rFonts w:hint="eastAsia" w:ascii="宋体" w:hAnsi="宋体" w:cs="宋体"/>
                <w:color w:val="auto"/>
                <w:sz w:val="24"/>
              </w:rPr>
              <w:t>序号</w:t>
            </w:r>
          </w:p>
        </w:tc>
        <w:tc>
          <w:tcPr>
            <w:tcW w:w="1373" w:type="dxa"/>
            <w:vAlign w:val="center"/>
          </w:tcPr>
          <w:p>
            <w:pPr>
              <w:jc w:val="center"/>
              <w:rPr>
                <w:rFonts w:ascii="宋体" w:cs="宋体"/>
                <w:color w:val="auto"/>
                <w:sz w:val="24"/>
              </w:rPr>
            </w:pPr>
            <w:r>
              <w:rPr>
                <w:rFonts w:hint="eastAsia" w:ascii="宋体" w:hAnsi="宋体" w:cs="宋体"/>
                <w:color w:val="auto"/>
                <w:sz w:val="24"/>
              </w:rPr>
              <w:t>内容</w:t>
            </w:r>
          </w:p>
        </w:tc>
        <w:tc>
          <w:tcPr>
            <w:tcW w:w="2726" w:type="dxa"/>
            <w:vAlign w:val="center"/>
          </w:tcPr>
          <w:p>
            <w:pPr>
              <w:jc w:val="center"/>
              <w:rPr>
                <w:rFonts w:ascii="宋体" w:cs="宋体"/>
                <w:color w:val="auto"/>
                <w:sz w:val="24"/>
              </w:rPr>
            </w:pPr>
            <w:r>
              <w:rPr>
                <w:rFonts w:hint="eastAsia" w:ascii="宋体" w:hAnsi="宋体" w:cs="宋体"/>
                <w:color w:val="auto"/>
                <w:sz w:val="24"/>
              </w:rPr>
              <w:t>采购文件商务要求</w:t>
            </w:r>
          </w:p>
        </w:tc>
        <w:tc>
          <w:tcPr>
            <w:tcW w:w="1941" w:type="dxa"/>
            <w:vAlign w:val="center"/>
          </w:tcPr>
          <w:p>
            <w:pPr>
              <w:jc w:val="center"/>
              <w:rPr>
                <w:rFonts w:ascii="宋体" w:cs="宋体"/>
                <w:color w:val="auto"/>
                <w:sz w:val="24"/>
              </w:rPr>
            </w:pPr>
            <w:r>
              <w:rPr>
                <w:rFonts w:hint="eastAsia" w:ascii="宋体" w:hAnsi="宋体" w:cs="宋体"/>
                <w:color w:val="auto"/>
                <w:sz w:val="24"/>
              </w:rPr>
              <w:t>投标文件</w:t>
            </w:r>
          </w:p>
          <w:p>
            <w:pPr>
              <w:jc w:val="center"/>
              <w:rPr>
                <w:rFonts w:ascii="宋体" w:cs="宋体"/>
                <w:color w:val="auto"/>
                <w:sz w:val="24"/>
              </w:rPr>
            </w:pPr>
            <w:r>
              <w:rPr>
                <w:rFonts w:hint="eastAsia" w:ascii="宋体" w:hAnsi="宋体" w:cs="宋体"/>
                <w:color w:val="auto"/>
                <w:sz w:val="24"/>
              </w:rPr>
              <w:t>商务资料</w:t>
            </w:r>
          </w:p>
        </w:tc>
        <w:tc>
          <w:tcPr>
            <w:tcW w:w="1716" w:type="dxa"/>
            <w:vAlign w:val="center"/>
          </w:tcPr>
          <w:p>
            <w:pPr>
              <w:jc w:val="center"/>
              <w:rPr>
                <w:rFonts w:asci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66" w:type="dxa"/>
            <w:vAlign w:val="center"/>
          </w:tcPr>
          <w:p>
            <w:pPr>
              <w:spacing w:line="360" w:lineRule="auto"/>
              <w:jc w:val="center"/>
              <w:rPr>
                <w:rFonts w:ascii="宋体" w:cs="宋体"/>
                <w:color w:val="auto"/>
                <w:sz w:val="24"/>
              </w:rPr>
            </w:pPr>
            <w:r>
              <w:rPr>
                <w:rFonts w:ascii="宋体" w:hAnsi="宋体" w:cs="宋体"/>
                <w:color w:val="auto"/>
                <w:sz w:val="24"/>
              </w:rPr>
              <w:t>1</w:t>
            </w:r>
          </w:p>
        </w:tc>
        <w:tc>
          <w:tcPr>
            <w:tcW w:w="1373" w:type="dxa"/>
            <w:vAlign w:val="center"/>
          </w:tcPr>
          <w:p>
            <w:pPr>
              <w:spacing w:line="360" w:lineRule="auto"/>
              <w:ind w:firstLine="480" w:firstLineChars="200"/>
              <w:jc w:val="center"/>
              <w:rPr>
                <w:rFonts w:ascii="宋体" w:cs="宋体"/>
                <w:color w:val="auto"/>
                <w:sz w:val="24"/>
              </w:rPr>
            </w:pPr>
          </w:p>
        </w:tc>
        <w:tc>
          <w:tcPr>
            <w:tcW w:w="2726" w:type="dxa"/>
            <w:vAlign w:val="center"/>
          </w:tcPr>
          <w:p>
            <w:pPr>
              <w:spacing w:line="360" w:lineRule="auto"/>
              <w:ind w:firstLine="480" w:firstLineChars="200"/>
              <w:jc w:val="center"/>
              <w:rPr>
                <w:rFonts w:ascii="宋体" w:cs="宋体"/>
                <w:color w:val="auto"/>
                <w:sz w:val="24"/>
              </w:rPr>
            </w:pPr>
          </w:p>
        </w:tc>
        <w:tc>
          <w:tcPr>
            <w:tcW w:w="1941" w:type="dxa"/>
            <w:vAlign w:val="center"/>
          </w:tcPr>
          <w:p>
            <w:pPr>
              <w:spacing w:line="360" w:lineRule="auto"/>
              <w:ind w:firstLine="480" w:firstLineChars="200"/>
              <w:jc w:val="center"/>
              <w:rPr>
                <w:rFonts w:ascii="宋体" w:cs="宋体"/>
                <w:color w:val="auto"/>
                <w:sz w:val="24"/>
              </w:rPr>
            </w:pPr>
          </w:p>
        </w:tc>
        <w:tc>
          <w:tcPr>
            <w:tcW w:w="1716" w:type="dxa"/>
            <w:vAlign w:val="center"/>
          </w:tcPr>
          <w:p>
            <w:pPr>
              <w:spacing w:line="360" w:lineRule="auto"/>
              <w:ind w:firstLine="480" w:firstLineChars="200"/>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66" w:type="dxa"/>
            <w:vAlign w:val="center"/>
          </w:tcPr>
          <w:p>
            <w:pPr>
              <w:spacing w:line="360" w:lineRule="auto"/>
              <w:jc w:val="center"/>
              <w:rPr>
                <w:rFonts w:ascii="宋体" w:cs="宋体"/>
                <w:color w:val="auto"/>
                <w:sz w:val="24"/>
              </w:rPr>
            </w:pPr>
            <w:r>
              <w:rPr>
                <w:rFonts w:ascii="宋体" w:hAnsi="宋体" w:cs="宋体"/>
                <w:color w:val="auto"/>
                <w:sz w:val="24"/>
              </w:rPr>
              <w:t>2</w:t>
            </w:r>
          </w:p>
        </w:tc>
        <w:tc>
          <w:tcPr>
            <w:tcW w:w="1373" w:type="dxa"/>
            <w:vAlign w:val="center"/>
          </w:tcPr>
          <w:p>
            <w:pPr>
              <w:spacing w:line="360" w:lineRule="auto"/>
              <w:ind w:firstLine="480" w:firstLineChars="200"/>
              <w:jc w:val="center"/>
              <w:rPr>
                <w:rFonts w:ascii="宋体" w:cs="宋体"/>
                <w:color w:val="auto"/>
                <w:sz w:val="24"/>
              </w:rPr>
            </w:pPr>
          </w:p>
        </w:tc>
        <w:tc>
          <w:tcPr>
            <w:tcW w:w="2726" w:type="dxa"/>
            <w:vAlign w:val="center"/>
          </w:tcPr>
          <w:p>
            <w:pPr>
              <w:spacing w:line="360" w:lineRule="auto"/>
              <w:ind w:firstLine="480" w:firstLineChars="200"/>
              <w:jc w:val="center"/>
              <w:rPr>
                <w:rFonts w:ascii="宋体" w:cs="宋体"/>
                <w:color w:val="auto"/>
                <w:sz w:val="24"/>
              </w:rPr>
            </w:pPr>
          </w:p>
        </w:tc>
        <w:tc>
          <w:tcPr>
            <w:tcW w:w="1941" w:type="dxa"/>
            <w:vAlign w:val="center"/>
          </w:tcPr>
          <w:p>
            <w:pPr>
              <w:spacing w:line="360" w:lineRule="auto"/>
              <w:ind w:firstLine="480" w:firstLineChars="200"/>
              <w:jc w:val="center"/>
              <w:rPr>
                <w:rFonts w:ascii="宋体" w:cs="宋体"/>
                <w:color w:val="auto"/>
                <w:sz w:val="24"/>
              </w:rPr>
            </w:pPr>
          </w:p>
        </w:tc>
        <w:tc>
          <w:tcPr>
            <w:tcW w:w="1716" w:type="dxa"/>
            <w:vAlign w:val="center"/>
          </w:tcPr>
          <w:p>
            <w:pPr>
              <w:spacing w:line="360" w:lineRule="auto"/>
              <w:ind w:firstLine="480" w:firstLineChars="200"/>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66" w:type="dxa"/>
            <w:vAlign w:val="center"/>
          </w:tcPr>
          <w:p>
            <w:pPr>
              <w:spacing w:line="360" w:lineRule="auto"/>
              <w:jc w:val="center"/>
              <w:rPr>
                <w:rFonts w:ascii="宋体" w:cs="宋体"/>
                <w:color w:val="auto"/>
                <w:sz w:val="24"/>
              </w:rPr>
            </w:pPr>
            <w:r>
              <w:rPr>
                <w:rFonts w:ascii="宋体" w:cs="宋体"/>
                <w:color w:val="auto"/>
                <w:sz w:val="24"/>
              </w:rPr>
              <w:t>..</w:t>
            </w:r>
          </w:p>
        </w:tc>
        <w:tc>
          <w:tcPr>
            <w:tcW w:w="1373" w:type="dxa"/>
            <w:vAlign w:val="center"/>
          </w:tcPr>
          <w:p>
            <w:pPr>
              <w:spacing w:line="360" w:lineRule="auto"/>
              <w:ind w:firstLine="480" w:firstLineChars="200"/>
              <w:jc w:val="center"/>
              <w:rPr>
                <w:rFonts w:ascii="宋体" w:cs="宋体"/>
                <w:color w:val="auto"/>
                <w:sz w:val="24"/>
              </w:rPr>
            </w:pPr>
          </w:p>
        </w:tc>
        <w:tc>
          <w:tcPr>
            <w:tcW w:w="2726" w:type="dxa"/>
            <w:vAlign w:val="center"/>
          </w:tcPr>
          <w:p>
            <w:pPr>
              <w:spacing w:line="360" w:lineRule="auto"/>
              <w:ind w:firstLine="480" w:firstLineChars="200"/>
              <w:jc w:val="center"/>
              <w:rPr>
                <w:rFonts w:ascii="宋体" w:cs="宋体"/>
                <w:color w:val="auto"/>
                <w:sz w:val="24"/>
              </w:rPr>
            </w:pPr>
          </w:p>
        </w:tc>
        <w:tc>
          <w:tcPr>
            <w:tcW w:w="1941" w:type="dxa"/>
            <w:vAlign w:val="center"/>
          </w:tcPr>
          <w:p>
            <w:pPr>
              <w:spacing w:line="360" w:lineRule="auto"/>
              <w:ind w:firstLine="480" w:firstLineChars="200"/>
              <w:jc w:val="center"/>
              <w:rPr>
                <w:rFonts w:ascii="宋体" w:cs="宋体"/>
                <w:color w:val="auto"/>
                <w:sz w:val="24"/>
              </w:rPr>
            </w:pPr>
          </w:p>
        </w:tc>
        <w:tc>
          <w:tcPr>
            <w:tcW w:w="1716" w:type="dxa"/>
            <w:vAlign w:val="center"/>
          </w:tcPr>
          <w:p>
            <w:pPr>
              <w:spacing w:line="360" w:lineRule="auto"/>
              <w:ind w:firstLine="480" w:firstLineChars="200"/>
              <w:jc w:val="center"/>
              <w:rPr>
                <w:rFonts w:ascii="宋体" w:cs="宋体"/>
                <w:color w:val="auto"/>
                <w:sz w:val="24"/>
              </w:rPr>
            </w:pPr>
          </w:p>
        </w:tc>
      </w:tr>
    </w:tbl>
    <w:p>
      <w:pPr>
        <w:spacing w:line="360" w:lineRule="auto"/>
        <w:ind w:firstLine="4440" w:firstLineChars="1850"/>
        <w:rPr>
          <w:rFonts w:ascii="宋体" w:cs="宋体"/>
          <w:color w:val="auto"/>
          <w:sz w:val="24"/>
        </w:rPr>
      </w:pPr>
      <w:r>
        <w:rPr>
          <w:rFonts w:hint="eastAsia" w:ascii="宋体" w:hAnsi="宋体" w:cs="宋体"/>
          <w:color w:val="auto"/>
          <w:sz w:val="24"/>
        </w:rPr>
        <w:t>投标人名称（盖章）：</w:t>
      </w:r>
    </w:p>
    <w:p>
      <w:pPr>
        <w:spacing w:line="360" w:lineRule="auto"/>
        <w:ind w:firstLine="4440" w:firstLineChars="1850"/>
        <w:rPr>
          <w:rFonts w:ascii="宋体" w:hAnsi="宋体" w:cs="宋体"/>
          <w:color w:val="auto"/>
          <w:sz w:val="24"/>
        </w:rPr>
      </w:pPr>
      <w:r>
        <w:rPr>
          <w:rFonts w:hint="eastAsia" w:ascii="宋体" w:hAnsi="宋体" w:cs="宋体"/>
          <w:color w:val="auto"/>
          <w:sz w:val="24"/>
        </w:rPr>
        <w:t>投标人代表（签字）：</w:t>
      </w:r>
    </w:p>
    <w:p>
      <w:pPr>
        <w:spacing w:line="360" w:lineRule="auto"/>
        <w:ind w:firstLine="4440" w:firstLineChars="1850"/>
        <w:rPr>
          <w:rFonts w:ascii="宋体" w:hAnsi="宋体" w:cs="宋体"/>
          <w:color w:val="auto"/>
          <w:sz w:val="24"/>
        </w:rPr>
      </w:pPr>
      <w:r>
        <w:rPr>
          <w:rFonts w:hint="eastAsia" w:ascii="宋体" w:hAnsi="宋体" w:cs="宋体"/>
          <w:color w:val="auto"/>
          <w:sz w:val="24"/>
        </w:rPr>
        <w:t>日期：20  年月日</w:t>
      </w:r>
    </w:p>
    <w:p>
      <w:pPr>
        <w:spacing w:line="360" w:lineRule="auto"/>
        <w:jc w:val="center"/>
        <w:rPr>
          <w:rFonts w:ascii="宋体" w:cs="宋体"/>
          <w:b/>
          <w:color w:val="auto"/>
          <w:sz w:val="24"/>
        </w:rPr>
      </w:pPr>
    </w:p>
    <w:p>
      <w:pPr>
        <w:pStyle w:val="3"/>
        <w:rPr>
          <w:rFonts w:ascii="宋体" w:cs="宋体"/>
          <w:color w:val="auto"/>
          <w:sz w:val="32"/>
        </w:rPr>
      </w:pPr>
      <w:bookmarkStart w:id="66" w:name="_Toc23936"/>
      <w:r>
        <w:rPr>
          <w:rFonts w:hint="eastAsia" w:ascii="宋体" w:hAnsi="宋体" w:cs="宋体"/>
          <w:color w:val="auto"/>
          <w:sz w:val="32"/>
        </w:rPr>
        <w:t>十一、相关项目实施业绩一览表</w:t>
      </w:r>
      <w:bookmarkEnd w:id="66"/>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17"/>
        <w:gridCol w:w="2074"/>
        <w:gridCol w:w="1596"/>
        <w:gridCol w:w="111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40" w:type="dxa"/>
            <w:vAlign w:val="center"/>
          </w:tcPr>
          <w:p>
            <w:pPr>
              <w:jc w:val="center"/>
              <w:rPr>
                <w:rFonts w:ascii="宋体" w:cs="宋体"/>
                <w:color w:val="auto"/>
                <w:sz w:val="24"/>
              </w:rPr>
            </w:pPr>
            <w:r>
              <w:rPr>
                <w:rFonts w:hint="eastAsia" w:ascii="宋体" w:hAnsi="宋体" w:cs="宋体"/>
                <w:color w:val="auto"/>
                <w:sz w:val="24"/>
              </w:rPr>
              <w:t>采购单位</w:t>
            </w:r>
          </w:p>
        </w:tc>
        <w:tc>
          <w:tcPr>
            <w:tcW w:w="1117" w:type="dxa"/>
            <w:vAlign w:val="center"/>
          </w:tcPr>
          <w:p>
            <w:pPr>
              <w:jc w:val="center"/>
              <w:rPr>
                <w:rFonts w:ascii="宋体" w:cs="宋体"/>
                <w:color w:val="auto"/>
                <w:sz w:val="24"/>
              </w:rPr>
            </w:pPr>
            <w:r>
              <w:rPr>
                <w:rFonts w:hint="eastAsia" w:ascii="宋体" w:hAnsi="宋体" w:cs="宋体"/>
                <w:color w:val="auto"/>
                <w:sz w:val="24"/>
              </w:rPr>
              <w:t>项目名称</w:t>
            </w:r>
          </w:p>
        </w:tc>
        <w:tc>
          <w:tcPr>
            <w:tcW w:w="2074" w:type="dxa"/>
            <w:vAlign w:val="center"/>
          </w:tcPr>
          <w:p>
            <w:pPr>
              <w:jc w:val="center"/>
              <w:rPr>
                <w:rFonts w:ascii="宋体" w:cs="宋体"/>
                <w:color w:val="auto"/>
                <w:sz w:val="24"/>
              </w:rPr>
            </w:pPr>
            <w:r>
              <w:rPr>
                <w:rFonts w:hint="eastAsia" w:ascii="宋体" w:hAnsi="宋体" w:cs="宋体"/>
                <w:color w:val="auto"/>
                <w:sz w:val="24"/>
              </w:rPr>
              <w:t>项目简要描述</w:t>
            </w:r>
          </w:p>
        </w:tc>
        <w:tc>
          <w:tcPr>
            <w:tcW w:w="1596" w:type="dxa"/>
            <w:vAlign w:val="center"/>
          </w:tcPr>
          <w:p>
            <w:pPr>
              <w:jc w:val="center"/>
              <w:rPr>
                <w:rFonts w:ascii="宋体" w:cs="宋体"/>
                <w:color w:val="auto"/>
                <w:sz w:val="24"/>
              </w:rPr>
            </w:pPr>
            <w:r>
              <w:rPr>
                <w:rFonts w:hint="eastAsia" w:ascii="宋体" w:hAnsi="宋体" w:cs="宋体"/>
                <w:color w:val="auto"/>
                <w:sz w:val="24"/>
              </w:rPr>
              <w:t>项目金额</w:t>
            </w:r>
          </w:p>
          <w:p>
            <w:pPr>
              <w:jc w:val="center"/>
              <w:rPr>
                <w:rFonts w:ascii="宋体" w:cs="宋体"/>
                <w:color w:val="auto"/>
                <w:sz w:val="24"/>
              </w:rPr>
            </w:pPr>
            <w:r>
              <w:rPr>
                <w:rFonts w:hint="eastAsia" w:ascii="宋体" w:hAnsi="宋体" w:cs="宋体"/>
                <w:color w:val="auto"/>
                <w:sz w:val="24"/>
              </w:rPr>
              <w:t>（万元）</w:t>
            </w:r>
          </w:p>
        </w:tc>
        <w:tc>
          <w:tcPr>
            <w:tcW w:w="1117" w:type="dxa"/>
            <w:vAlign w:val="center"/>
          </w:tcPr>
          <w:p>
            <w:pPr>
              <w:jc w:val="center"/>
              <w:rPr>
                <w:rFonts w:ascii="宋体" w:cs="宋体"/>
                <w:color w:val="auto"/>
                <w:sz w:val="24"/>
              </w:rPr>
            </w:pPr>
            <w:r>
              <w:rPr>
                <w:rFonts w:hint="eastAsia" w:ascii="宋体" w:hAnsi="宋体" w:cs="宋体"/>
                <w:color w:val="auto"/>
                <w:sz w:val="24"/>
              </w:rPr>
              <w:t>实施时间</w:t>
            </w:r>
          </w:p>
        </w:tc>
        <w:tc>
          <w:tcPr>
            <w:tcW w:w="1478" w:type="dxa"/>
            <w:vAlign w:val="center"/>
          </w:tcPr>
          <w:p>
            <w:pPr>
              <w:jc w:val="center"/>
              <w:rPr>
                <w:rFonts w:ascii="宋体" w:cs="宋体"/>
                <w:color w:val="auto"/>
                <w:sz w:val="24"/>
              </w:rPr>
            </w:pPr>
            <w:r>
              <w:rPr>
                <w:rFonts w:hint="eastAsia" w:ascii="宋体" w:hAnsi="宋体" w:cs="宋体"/>
                <w:color w:val="auto"/>
                <w:sz w:val="24"/>
              </w:rPr>
              <w:t>采购单位</w:t>
            </w:r>
          </w:p>
          <w:p>
            <w:pPr>
              <w:jc w:val="center"/>
              <w:rPr>
                <w:rFonts w:ascii="宋体" w:cs="宋体"/>
                <w:color w:val="auto"/>
                <w:sz w:val="24"/>
              </w:rPr>
            </w:pPr>
            <w:r>
              <w:rPr>
                <w:rFonts w:hint="eastAsia" w:ascii="宋体" w:hAnsi="宋体" w:cs="宋体"/>
                <w:color w:val="auto"/>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140" w:type="dxa"/>
            <w:vAlign w:val="center"/>
          </w:tcPr>
          <w:p>
            <w:pPr>
              <w:spacing w:line="360" w:lineRule="auto"/>
              <w:ind w:firstLine="480" w:firstLineChars="200"/>
              <w:rPr>
                <w:rFonts w:ascii="宋体" w:cs="宋体"/>
                <w:color w:val="auto"/>
                <w:sz w:val="24"/>
              </w:rPr>
            </w:pPr>
          </w:p>
        </w:tc>
        <w:tc>
          <w:tcPr>
            <w:tcW w:w="1117" w:type="dxa"/>
            <w:vAlign w:val="center"/>
          </w:tcPr>
          <w:p>
            <w:pPr>
              <w:spacing w:line="360" w:lineRule="auto"/>
              <w:ind w:firstLine="480" w:firstLineChars="200"/>
              <w:rPr>
                <w:rFonts w:ascii="宋体" w:cs="宋体"/>
                <w:color w:val="auto"/>
                <w:sz w:val="24"/>
              </w:rPr>
            </w:pPr>
          </w:p>
        </w:tc>
        <w:tc>
          <w:tcPr>
            <w:tcW w:w="2074" w:type="dxa"/>
            <w:vAlign w:val="center"/>
          </w:tcPr>
          <w:p>
            <w:pPr>
              <w:spacing w:line="360" w:lineRule="auto"/>
              <w:ind w:firstLine="480" w:firstLineChars="200"/>
              <w:rPr>
                <w:rFonts w:ascii="宋体" w:cs="宋体"/>
                <w:color w:val="auto"/>
                <w:sz w:val="24"/>
              </w:rPr>
            </w:pPr>
          </w:p>
        </w:tc>
        <w:tc>
          <w:tcPr>
            <w:tcW w:w="1596" w:type="dxa"/>
            <w:vAlign w:val="center"/>
          </w:tcPr>
          <w:p>
            <w:pPr>
              <w:spacing w:line="360" w:lineRule="auto"/>
              <w:ind w:firstLine="480" w:firstLineChars="200"/>
              <w:rPr>
                <w:rFonts w:ascii="宋体" w:cs="宋体"/>
                <w:color w:val="auto"/>
                <w:sz w:val="24"/>
              </w:rPr>
            </w:pPr>
          </w:p>
        </w:tc>
        <w:tc>
          <w:tcPr>
            <w:tcW w:w="1117" w:type="dxa"/>
            <w:vAlign w:val="center"/>
          </w:tcPr>
          <w:p>
            <w:pPr>
              <w:spacing w:line="360" w:lineRule="auto"/>
              <w:ind w:firstLine="480" w:firstLineChars="200"/>
              <w:rPr>
                <w:rFonts w:ascii="宋体" w:cs="宋体"/>
                <w:color w:val="auto"/>
                <w:sz w:val="24"/>
              </w:rPr>
            </w:pPr>
          </w:p>
        </w:tc>
        <w:tc>
          <w:tcPr>
            <w:tcW w:w="1478" w:type="dxa"/>
            <w:vAlign w:val="center"/>
          </w:tcPr>
          <w:p>
            <w:pPr>
              <w:spacing w:line="360" w:lineRule="auto"/>
              <w:ind w:firstLine="480" w:firstLineChars="200"/>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140" w:type="dxa"/>
            <w:vAlign w:val="center"/>
          </w:tcPr>
          <w:p>
            <w:pPr>
              <w:spacing w:line="360" w:lineRule="auto"/>
              <w:ind w:firstLine="480" w:firstLineChars="200"/>
              <w:rPr>
                <w:rFonts w:ascii="宋体" w:cs="宋体"/>
                <w:color w:val="auto"/>
                <w:sz w:val="24"/>
              </w:rPr>
            </w:pPr>
          </w:p>
        </w:tc>
        <w:tc>
          <w:tcPr>
            <w:tcW w:w="1117" w:type="dxa"/>
            <w:vAlign w:val="center"/>
          </w:tcPr>
          <w:p>
            <w:pPr>
              <w:spacing w:line="360" w:lineRule="auto"/>
              <w:ind w:firstLine="480" w:firstLineChars="200"/>
              <w:rPr>
                <w:rFonts w:ascii="宋体" w:cs="宋体"/>
                <w:color w:val="auto"/>
                <w:sz w:val="24"/>
              </w:rPr>
            </w:pPr>
          </w:p>
        </w:tc>
        <w:tc>
          <w:tcPr>
            <w:tcW w:w="2074" w:type="dxa"/>
            <w:vAlign w:val="center"/>
          </w:tcPr>
          <w:p>
            <w:pPr>
              <w:spacing w:line="360" w:lineRule="auto"/>
              <w:ind w:firstLine="480" w:firstLineChars="200"/>
              <w:rPr>
                <w:rFonts w:ascii="宋体" w:cs="宋体"/>
                <w:color w:val="auto"/>
                <w:sz w:val="24"/>
              </w:rPr>
            </w:pPr>
          </w:p>
        </w:tc>
        <w:tc>
          <w:tcPr>
            <w:tcW w:w="1596" w:type="dxa"/>
            <w:vAlign w:val="center"/>
          </w:tcPr>
          <w:p>
            <w:pPr>
              <w:spacing w:line="360" w:lineRule="auto"/>
              <w:ind w:firstLine="480" w:firstLineChars="200"/>
              <w:rPr>
                <w:rFonts w:ascii="宋体" w:cs="宋体"/>
                <w:color w:val="auto"/>
                <w:sz w:val="24"/>
              </w:rPr>
            </w:pPr>
          </w:p>
        </w:tc>
        <w:tc>
          <w:tcPr>
            <w:tcW w:w="1117" w:type="dxa"/>
            <w:vAlign w:val="center"/>
          </w:tcPr>
          <w:p>
            <w:pPr>
              <w:spacing w:line="360" w:lineRule="auto"/>
              <w:ind w:firstLine="480" w:firstLineChars="200"/>
              <w:rPr>
                <w:rFonts w:ascii="宋体" w:cs="宋体"/>
                <w:color w:val="auto"/>
                <w:sz w:val="24"/>
              </w:rPr>
            </w:pPr>
          </w:p>
        </w:tc>
        <w:tc>
          <w:tcPr>
            <w:tcW w:w="1478" w:type="dxa"/>
            <w:vAlign w:val="center"/>
          </w:tcPr>
          <w:p>
            <w:pPr>
              <w:spacing w:line="360" w:lineRule="auto"/>
              <w:ind w:firstLine="480" w:firstLineChars="200"/>
              <w:rPr>
                <w:rFonts w:ascii="宋体" w:cs="宋体"/>
                <w:color w:val="auto"/>
                <w:sz w:val="24"/>
              </w:rPr>
            </w:pPr>
          </w:p>
        </w:tc>
      </w:tr>
    </w:tbl>
    <w:p>
      <w:pPr>
        <w:spacing w:line="360" w:lineRule="auto"/>
        <w:ind w:firstLine="4440" w:firstLineChars="1850"/>
        <w:rPr>
          <w:rFonts w:ascii="宋体" w:cs="宋体"/>
          <w:color w:val="auto"/>
          <w:sz w:val="24"/>
        </w:rPr>
      </w:pPr>
      <w:r>
        <w:rPr>
          <w:rFonts w:hint="eastAsia" w:ascii="宋体" w:hAnsi="宋体" w:cs="宋体"/>
          <w:color w:val="auto"/>
          <w:sz w:val="24"/>
        </w:rPr>
        <w:t>投标人名称（盖章）：</w:t>
      </w:r>
    </w:p>
    <w:p>
      <w:pPr>
        <w:spacing w:line="360" w:lineRule="auto"/>
        <w:ind w:firstLine="4440" w:firstLineChars="1850"/>
        <w:rPr>
          <w:rFonts w:ascii="宋体" w:hAnsi="宋体" w:cs="宋体"/>
          <w:color w:val="auto"/>
          <w:sz w:val="24"/>
        </w:rPr>
      </w:pPr>
      <w:r>
        <w:rPr>
          <w:rFonts w:hint="eastAsia" w:ascii="宋体" w:hAnsi="宋体" w:cs="宋体"/>
          <w:color w:val="auto"/>
          <w:sz w:val="24"/>
        </w:rPr>
        <w:t>投标人代表（签字）：</w:t>
      </w:r>
    </w:p>
    <w:p>
      <w:pPr>
        <w:spacing w:line="360" w:lineRule="auto"/>
        <w:ind w:firstLine="4440" w:firstLineChars="1850"/>
        <w:rPr>
          <w:rFonts w:ascii="宋体" w:hAnsi="宋体" w:cs="宋体"/>
          <w:color w:val="auto"/>
          <w:sz w:val="24"/>
        </w:rPr>
      </w:pPr>
      <w:r>
        <w:rPr>
          <w:rFonts w:hint="eastAsia" w:ascii="宋体" w:hAnsi="宋体" w:cs="宋体"/>
          <w:color w:val="auto"/>
          <w:sz w:val="24"/>
        </w:rPr>
        <w:t>日期：20  年月日</w:t>
      </w:r>
    </w:p>
    <w:p>
      <w:pPr>
        <w:spacing w:line="360" w:lineRule="auto"/>
        <w:jc w:val="center"/>
        <w:rPr>
          <w:rFonts w:ascii="宋体" w:cs="宋体"/>
          <w:b/>
          <w:color w:val="auto"/>
          <w:sz w:val="24"/>
        </w:rPr>
      </w:pPr>
    </w:p>
    <w:p>
      <w:pPr>
        <w:spacing w:line="360" w:lineRule="auto"/>
        <w:jc w:val="center"/>
        <w:rPr>
          <w:rFonts w:ascii="宋体" w:cs="宋体"/>
          <w:b/>
          <w:color w:val="auto"/>
          <w:sz w:val="24"/>
        </w:rPr>
      </w:pPr>
    </w:p>
    <w:p>
      <w:pPr>
        <w:spacing w:line="360" w:lineRule="auto"/>
        <w:jc w:val="center"/>
        <w:rPr>
          <w:rFonts w:ascii="宋体" w:cs="宋体"/>
          <w:b/>
          <w:color w:val="auto"/>
          <w:sz w:val="24"/>
        </w:rPr>
      </w:pPr>
    </w:p>
    <w:p>
      <w:pPr>
        <w:pStyle w:val="3"/>
        <w:rPr>
          <w:rFonts w:ascii="宋体" w:cs="宋体"/>
          <w:color w:val="auto"/>
          <w:sz w:val="32"/>
        </w:rPr>
      </w:pPr>
      <w:bookmarkStart w:id="67" w:name="_Toc27927"/>
      <w:r>
        <w:rPr>
          <w:rFonts w:hint="eastAsia" w:ascii="宋体" w:hAnsi="宋体" w:cs="宋体"/>
          <w:color w:val="auto"/>
          <w:sz w:val="32"/>
        </w:rPr>
        <w:t>十二、技术规范偏离表</w:t>
      </w:r>
      <w:bookmarkEnd w:id="67"/>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33"/>
        <w:gridCol w:w="2516"/>
        <w:gridCol w:w="209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16" w:type="dxa"/>
            <w:vAlign w:val="center"/>
          </w:tcPr>
          <w:p>
            <w:pPr>
              <w:jc w:val="center"/>
              <w:rPr>
                <w:rFonts w:ascii="宋体" w:cs="宋体"/>
                <w:color w:val="auto"/>
                <w:sz w:val="24"/>
              </w:rPr>
            </w:pPr>
            <w:r>
              <w:rPr>
                <w:rFonts w:hint="eastAsia" w:ascii="宋体" w:hAnsi="宋体" w:cs="宋体"/>
                <w:color w:val="auto"/>
                <w:sz w:val="24"/>
              </w:rPr>
              <w:t>序号</w:t>
            </w:r>
          </w:p>
        </w:tc>
        <w:tc>
          <w:tcPr>
            <w:tcW w:w="1433" w:type="dxa"/>
            <w:vAlign w:val="center"/>
          </w:tcPr>
          <w:p>
            <w:pPr>
              <w:jc w:val="center"/>
              <w:rPr>
                <w:rFonts w:ascii="宋体" w:cs="宋体"/>
                <w:color w:val="auto"/>
                <w:sz w:val="24"/>
              </w:rPr>
            </w:pPr>
            <w:r>
              <w:rPr>
                <w:rFonts w:hint="eastAsia" w:ascii="宋体" w:cs="宋体"/>
                <w:color w:val="auto"/>
                <w:sz w:val="24"/>
              </w:rPr>
              <w:t>内容</w:t>
            </w:r>
          </w:p>
        </w:tc>
        <w:tc>
          <w:tcPr>
            <w:tcW w:w="2516" w:type="dxa"/>
            <w:vAlign w:val="center"/>
          </w:tcPr>
          <w:p>
            <w:pPr>
              <w:jc w:val="center"/>
              <w:rPr>
                <w:rFonts w:ascii="宋体" w:cs="宋体"/>
                <w:color w:val="auto"/>
                <w:sz w:val="24"/>
              </w:rPr>
            </w:pPr>
            <w:r>
              <w:rPr>
                <w:rFonts w:hint="eastAsia" w:ascii="宋体" w:hAnsi="宋体" w:cs="宋体"/>
                <w:color w:val="auto"/>
                <w:sz w:val="24"/>
              </w:rPr>
              <w:t>招标文件</w:t>
            </w:r>
          </w:p>
          <w:p>
            <w:pPr>
              <w:jc w:val="center"/>
              <w:rPr>
                <w:rFonts w:ascii="宋体" w:cs="宋体"/>
                <w:color w:val="auto"/>
                <w:sz w:val="24"/>
              </w:rPr>
            </w:pPr>
            <w:r>
              <w:rPr>
                <w:rFonts w:hint="eastAsia" w:ascii="宋体" w:hAnsi="宋体" w:cs="宋体"/>
                <w:color w:val="auto"/>
                <w:sz w:val="24"/>
              </w:rPr>
              <w:t>技术规范、要求</w:t>
            </w:r>
          </w:p>
        </w:tc>
        <w:tc>
          <w:tcPr>
            <w:tcW w:w="2090" w:type="dxa"/>
            <w:vAlign w:val="center"/>
          </w:tcPr>
          <w:p>
            <w:pPr>
              <w:jc w:val="center"/>
              <w:rPr>
                <w:rFonts w:ascii="宋体" w:cs="宋体"/>
                <w:color w:val="auto"/>
                <w:sz w:val="24"/>
              </w:rPr>
            </w:pPr>
            <w:r>
              <w:rPr>
                <w:rFonts w:hint="eastAsia" w:ascii="宋体" w:hAnsi="宋体" w:cs="宋体"/>
                <w:color w:val="auto"/>
                <w:sz w:val="24"/>
              </w:rPr>
              <w:t>投标文件</w:t>
            </w:r>
          </w:p>
          <w:p>
            <w:pPr>
              <w:jc w:val="center"/>
              <w:rPr>
                <w:rFonts w:ascii="宋体" w:cs="宋体"/>
                <w:color w:val="auto"/>
                <w:sz w:val="24"/>
              </w:rPr>
            </w:pPr>
            <w:r>
              <w:rPr>
                <w:rFonts w:hint="eastAsia" w:ascii="宋体" w:hAnsi="宋体" w:cs="宋体"/>
                <w:color w:val="auto"/>
                <w:sz w:val="24"/>
              </w:rPr>
              <w:t>响应情况</w:t>
            </w:r>
          </w:p>
        </w:tc>
        <w:tc>
          <w:tcPr>
            <w:tcW w:w="1667" w:type="dxa"/>
            <w:vAlign w:val="center"/>
          </w:tcPr>
          <w:p>
            <w:pPr>
              <w:jc w:val="center"/>
              <w:rPr>
                <w:rFonts w:asci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16" w:type="dxa"/>
            <w:vAlign w:val="center"/>
          </w:tcPr>
          <w:p>
            <w:pPr>
              <w:jc w:val="center"/>
              <w:rPr>
                <w:rFonts w:ascii="宋体" w:cs="宋体"/>
                <w:color w:val="auto"/>
                <w:sz w:val="22"/>
              </w:rPr>
            </w:pPr>
          </w:p>
        </w:tc>
        <w:tc>
          <w:tcPr>
            <w:tcW w:w="1433" w:type="dxa"/>
            <w:vAlign w:val="center"/>
          </w:tcPr>
          <w:p>
            <w:pPr>
              <w:jc w:val="center"/>
              <w:rPr>
                <w:rFonts w:ascii="宋体" w:cs="宋体"/>
                <w:color w:val="auto"/>
                <w:sz w:val="22"/>
              </w:rPr>
            </w:pPr>
            <w:r>
              <w:rPr>
                <w:rFonts w:hint="eastAsia" w:ascii="宋体" w:cs="宋体"/>
                <w:color w:val="auto"/>
                <w:sz w:val="22"/>
              </w:rPr>
              <w:t>（填写本项目服务要求等）</w:t>
            </w:r>
          </w:p>
        </w:tc>
        <w:tc>
          <w:tcPr>
            <w:tcW w:w="2516" w:type="dxa"/>
            <w:vAlign w:val="center"/>
          </w:tcPr>
          <w:p>
            <w:pPr>
              <w:jc w:val="center"/>
              <w:rPr>
                <w:rFonts w:ascii="宋体" w:cs="宋体"/>
                <w:color w:val="auto"/>
                <w:sz w:val="22"/>
              </w:rPr>
            </w:pPr>
          </w:p>
        </w:tc>
        <w:tc>
          <w:tcPr>
            <w:tcW w:w="2090" w:type="dxa"/>
            <w:vAlign w:val="center"/>
          </w:tcPr>
          <w:p>
            <w:pPr>
              <w:jc w:val="center"/>
              <w:rPr>
                <w:rFonts w:ascii="宋体" w:cs="宋体"/>
                <w:color w:val="auto"/>
                <w:sz w:val="22"/>
              </w:rPr>
            </w:pPr>
          </w:p>
        </w:tc>
        <w:tc>
          <w:tcPr>
            <w:tcW w:w="1667" w:type="dxa"/>
            <w:vAlign w:val="center"/>
          </w:tcPr>
          <w:p>
            <w:pPr>
              <w:jc w:val="center"/>
              <w:rPr>
                <w:rFonts w:asci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16" w:type="dxa"/>
            <w:vAlign w:val="center"/>
          </w:tcPr>
          <w:p>
            <w:pPr>
              <w:jc w:val="center"/>
              <w:rPr>
                <w:rFonts w:ascii="宋体" w:cs="宋体"/>
                <w:color w:val="auto"/>
                <w:sz w:val="22"/>
              </w:rPr>
            </w:pPr>
          </w:p>
        </w:tc>
        <w:tc>
          <w:tcPr>
            <w:tcW w:w="1433" w:type="dxa"/>
            <w:vAlign w:val="center"/>
          </w:tcPr>
          <w:p>
            <w:pPr>
              <w:jc w:val="center"/>
              <w:rPr>
                <w:rFonts w:ascii="宋体" w:cs="宋体"/>
                <w:color w:val="auto"/>
                <w:sz w:val="22"/>
              </w:rPr>
            </w:pPr>
          </w:p>
        </w:tc>
        <w:tc>
          <w:tcPr>
            <w:tcW w:w="2516" w:type="dxa"/>
            <w:vAlign w:val="center"/>
          </w:tcPr>
          <w:p>
            <w:pPr>
              <w:jc w:val="center"/>
              <w:rPr>
                <w:rFonts w:ascii="宋体" w:cs="宋体"/>
                <w:color w:val="auto"/>
                <w:sz w:val="22"/>
              </w:rPr>
            </w:pPr>
          </w:p>
        </w:tc>
        <w:tc>
          <w:tcPr>
            <w:tcW w:w="2090" w:type="dxa"/>
            <w:vAlign w:val="center"/>
          </w:tcPr>
          <w:p>
            <w:pPr>
              <w:jc w:val="center"/>
              <w:rPr>
                <w:rFonts w:ascii="宋体" w:cs="宋体"/>
                <w:color w:val="auto"/>
                <w:sz w:val="22"/>
              </w:rPr>
            </w:pPr>
          </w:p>
        </w:tc>
        <w:tc>
          <w:tcPr>
            <w:tcW w:w="1667" w:type="dxa"/>
            <w:vAlign w:val="center"/>
          </w:tcPr>
          <w:p>
            <w:pPr>
              <w:jc w:val="center"/>
              <w:rPr>
                <w:rFonts w:ascii="宋体" w:cs="宋体"/>
                <w:color w:val="auto"/>
                <w:sz w:val="22"/>
              </w:rPr>
            </w:pPr>
          </w:p>
        </w:tc>
      </w:tr>
    </w:tbl>
    <w:p>
      <w:pPr>
        <w:spacing w:line="360" w:lineRule="auto"/>
        <w:ind w:firstLine="4440" w:firstLineChars="1850"/>
        <w:rPr>
          <w:rFonts w:ascii="宋体" w:cs="宋体"/>
          <w:color w:val="auto"/>
          <w:sz w:val="24"/>
        </w:rPr>
      </w:pPr>
      <w:r>
        <w:rPr>
          <w:rFonts w:hint="eastAsia" w:ascii="宋体" w:hAnsi="宋体" w:cs="宋体"/>
          <w:color w:val="auto"/>
          <w:sz w:val="24"/>
        </w:rPr>
        <w:t>投标人名称（盖章）：</w:t>
      </w:r>
    </w:p>
    <w:p>
      <w:pPr>
        <w:spacing w:line="360" w:lineRule="auto"/>
        <w:ind w:firstLine="4440" w:firstLineChars="1850"/>
        <w:rPr>
          <w:rFonts w:ascii="宋体" w:hAnsi="宋体" w:cs="宋体"/>
          <w:color w:val="auto"/>
          <w:sz w:val="24"/>
        </w:rPr>
      </w:pPr>
      <w:r>
        <w:rPr>
          <w:rFonts w:hint="eastAsia" w:ascii="宋体" w:hAnsi="宋体" w:cs="宋体"/>
          <w:color w:val="auto"/>
          <w:sz w:val="24"/>
        </w:rPr>
        <w:t>投标人代表（签字）：</w:t>
      </w:r>
    </w:p>
    <w:p>
      <w:pPr>
        <w:spacing w:line="360" w:lineRule="auto"/>
        <w:ind w:firstLine="4440" w:firstLineChars="1850"/>
        <w:rPr>
          <w:rFonts w:ascii="宋体" w:hAnsi="宋体" w:cs="宋体"/>
          <w:color w:val="auto"/>
          <w:sz w:val="24"/>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24"/>
        </w:rPr>
        <w:t>日期：</w:t>
      </w:r>
      <w:r>
        <w:rPr>
          <w:rFonts w:ascii="宋体" w:hAnsi="宋体" w:cs="宋体"/>
          <w:color w:val="auto"/>
          <w:sz w:val="24"/>
        </w:rPr>
        <w:t xml:space="preserve">20  </w:t>
      </w:r>
      <w:r>
        <w:rPr>
          <w:rFonts w:hint="eastAsia" w:ascii="宋体" w:hAnsi="宋体" w:cs="宋体"/>
          <w:color w:val="auto"/>
          <w:sz w:val="24"/>
        </w:rPr>
        <w:t>年月日</w:t>
      </w:r>
    </w:p>
    <w:p>
      <w:pPr>
        <w:pStyle w:val="3"/>
        <w:rPr>
          <w:rFonts w:ascii="宋体" w:cs="宋体"/>
          <w:color w:val="auto"/>
          <w:sz w:val="32"/>
        </w:rPr>
      </w:pPr>
      <w:bookmarkStart w:id="68" w:name="_Toc13884"/>
      <w:r>
        <w:rPr>
          <w:rFonts w:hint="eastAsia" w:ascii="宋体" w:hAnsi="宋体" w:cs="宋体"/>
          <w:color w:val="auto"/>
          <w:sz w:val="32"/>
        </w:rPr>
        <w:t>十三、检测能力偏离表</w:t>
      </w:r>
      <w:bookmarkEnd w:id="68"/>
    </w:p>
    <w:tbl>
      <w:tblPr>
        <w:tblStyle w:val="27"/>
        <w:tblW w:w="14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1"/>
        <w:gridCol w:w="437"/>
        <w:gridCol w:w="284"/>
        <w:gridCol w:w="1342"/>
        <w:gridCol w:w="7966"/>
        <w:gridCol w:w="1228"/>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271"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标项</w:t>
            </w:r>
          </w:p>
        </w:tc>
        <w:tc>
          <w:tcPr>
            <w:tcW w:w="437"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大类名称</w:t>
            </w: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序号</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商品名称</w:t>
            </w:r>
          </w:p>
        </w:tc>
        <w:tc>
          <w:tcPr>
            <w:tcW w:w="7966"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检测项目</w:t>
            </w:r>
          </w:p>
        </w:tc>
        <w:tc>
          <w:tcPr>
            <w:tcW w:w="1228"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是否具有商品完整检测能力</w:t>
            </w:r>
          </w:p>
          <w:p>
            <w:pPr>
              <w:widowControl/>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（填是或否）</w:t>
            </w:r>
          </w:p>
        </w:tc>
        <w:tc>
          <w:tcPr>
            <w:tcW w:w="2526" w:type="dxa"/>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检测项目对应检测能力附表所在投标文件页码</w:t>
            </w:r>
          </w:p>
          <w:p>
            <w:pPr>
              <w:widowControl/>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（可填写多个页码）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1、家用电器类（含小家电专项）</w:t>
            </w:r>
          </w:p>
        </w:tc>
        <w:tc>
          <w:tcPr>
            <w:tcW w:w="437"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家用电器</w:t>
            </w: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电水壶</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标志和说明、输入功率和电流、工作温度下的泄漏电流和电气强度、结构、内部布线、电源连接和外部软线、接地措施、端子骚扰电压、骚扰功率、谐波电流、感观，浸泡液，不锈钢（其他金属材料）迁移物指标</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电炖锅</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内部布线、电源连接和外部软线、接地措施、端子骚扰电压、骚扰功率、谐波电流、感观，浸泡液，不锈钢（其他金属材料）迁移物指标、高锰酸钾消耗量，总迁移量，重金属（以铅计），单体限量及迁移量</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电磁炉</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标志和说明、输入功率和电流、工作温度下的泄漏电流和电气强度、机械强度、结构、内部布线、电源连接和外部软线、接地措施、热效率、待机状态功率、端子骚扰电压、骚扰功率、谐波电流</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破壁机</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非正常工作、结构、电源连接和外部软线、接地措施、端子骚扰电压、骚扰功率、谐波电流、感观，浸泡液，高锰酸钾消耗量，总迁移量，重金属（以铅计），单体限量及迁移量</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搅拌机</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非正常工作、结构、电源连接和外部软线、接地措施、端子骚扰电压、骚扰功率、谐波电流、感观，浸泡液，高锰酸钾消耗量，总迁移量，重金属（以铅计），单体限量及迁移量</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加湿器</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对触及带电部件的防护，输入功率和电流，工作温度下的泄漏电流和电气强度，稳定性和机械危险，机械强度，结构，内部布线，电源连接和外部软线，外部导线用接线端子，接地措施，螺钉和连接，电气间隙、爬电距离和固体绝缘、端子连续骚扰电压</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restart"/>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r>
              <w:rPr>
                <w:rFonts w:hint="eastAsia" w:ascii="宋体" w:hAnsi="宋体" w:cs="宋体"/>
                <w:color w:val="auto"/>
                <w:sz w:val="18"/>
                <w:szCs w:val="18"/>
              </w:rPr>
              <w:t>家用新型小家电专项</w:t>
            </w:r>
          </w:p>
        </w:tc>
        <w:tc>
          <w:tcPr>
            <w:tcW w:w="284"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63</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智能马桶盖</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标志和说明、对触及带电部件的防护、输入功率和电流、发热、工作温度下的泄漏电流和电气强度、结构、内部布线、电源连接和外部软线、外部导线用接线端子、接地措施、端子骚扰电压、骚扰功率、谐波电流</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64</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空气净化器</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输入功率和电流、工作温度下的泄漏电流和电气强度内部布线、电源连接和外部软线、接地措施，耐热和耐燃、洁净空气量（颗粒物）、净化能效（颗粒物）、待机功率、噪声、端子骚扰电压、骚扰功率、谐波电流</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65</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室内加热器</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标志和说明、输入功率和电流、工作温度下的泄漏电流和电气强度、非正常工作、结构、电源连接和外部软线、接地措施、端子骚扰电压、骚扰功率、谐波电流</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66</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除湿机</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r>
              <w:rPr>
                <w:rFonts w:hint="eastAsia" w:ascii="宋体" w:hAnsi="宋体" w:cs="宋体"/>
                <w:color w:val="auto"/>
                <w:kern w:val="0"/>
                <w:sz w:val="18"/>
                <w:szCs w:val="18"/>
              </w:rPr>
              <w:t>对触及带电部件的防护、输入功率和电流、发热、工作温度下的泄漏电流和电气强度、耐潮湿、泄漏电流和电气强度、稳定性和机械危险、结构（不包括第22.46条试验）、内部布线、电源连接和外部软线、外部导线用接线端子、接地措施、螺钉和连接、电气间隙、爬电距离和固体绝缘、名义除湿量、单位输入功率除湿量</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67</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真空吸尘器</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标志和说明、输入功率和电流、工作温度下的泄漏电流和电气强度、非正常工作、结构、内部布线、电源连接和外部软线、接地措施，耐热和耐燃、端子骚扰电压、骚扰功率、谐波电流</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2、电子及智能新产品</w:t>
            </w:r>
          </w:p>
        </w:tc>
        <w:tc>
          <w:tcPr>
            <w:tcW w:w="437"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电子产品</w:t>
            </w: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19</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数字移动电话</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接触放电、空气放电、接触温度的限值、爬电距离、耐异常热、传导连续骚扰、电快速瞬变脉冲群抗扰度、浪涌（冲击）抗扰度</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便携式电源（移动电源）</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外观及尺寸、额定容量、输入电流、短路保护、过充电保护、振动、自由跌落、热滥用、防火防护外壳的材料、重物冲击</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21</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无线路由器</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记和说明、电击和能量危险的防护、电气绝缘、电气间隙、爬电距离、接触电流和保护导体电流、抗电强度、结构设计（直插式设备）、电源端子的传导骚扰电压、电快速瞬变脉冲群抗扰度、浪涌（冲击）抗扰度、射频场感应的传导骚扰抗扰度</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restart"/>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智能产品</w:t>
            </w: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22</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智能耳机（无线、有线）</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电气间隙和爬电距离、机械强度、高温、跌落、短路</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23</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有源音箱、智能音箱</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标志和说明、防触电的结构要求、正常工作条件下的触电危险、绝缘要求、电气间隙和爬电距离</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1" w:type="dxa"/>
            <w:vMerge w:val="continue"/>
            <w:shd w:val="clear" w:color="auto" w:fill="auto"/>
            <w:tcMar>
              <w:top w:w="12" w:type="dxa"/>
              <w:left w:w="12" w:type="dxa"/>
              <w:right w:w="12" w:type="dxa"/>
            </w:tcMar>
            <w:vAlign w:val="center"/>
          </w:tcPr>
          <w:p>
            <w:pPr>
              <w:widowControl/>
              <w:snapToGrid w:val="0"/>
              <w:jc w:val="center"/>
              <w:rPr>
                <w:rFonts w:ascii="宋体" w:hAnsi="宋体" w:cs="宋体"/>
                <w:b/>
                <w:color w:val="auto"/>
                <w:sz w:val="18"/>
                <w:szCs w:val="18"/>
              </w:rPr>
            </w:pPr>
          </w:p>
        </w:tc>
        <w:tc>
          <w:tcPr>
            <w:tcW w:w="437" w:type="dxa"/>
            <w:vMerge w:val="continue"/>
            <w:shd w:val="clear" w:color="auto" w:fill="auto"/>
            <w:tcMar>
              <w:top w:w="12" w:type="dxa"/>
              <w:left w:w="12" w:type="dxa"/>
              <w:right w:w="12" w:type="dxa"/>
            </w:tcMar>
            <w:vAlign w:val="center"/>
          </w:tcPr>
          <w:p>
            <w:pPr>
              <w:widowControl/>
              <w:snapToGrid w:val="0"/>
              <w:jc w:val="center"/>
              <w:rPr>
                <w:rFonts w:ascii="宋体" w:hAnsi="宋体" w:cs="宋体"/>
                <w:color w:val="auto"/>
                <w:sz w:val="18"/>
                <w:szCs w:val="18"/>
              </w:rPr>
            </w:pPr>
          </w:p>
        </w:tc>
        <w:tc>
          <w:tcPr>
            <w:tcW w:w="284"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1342" w:type="dxa"/>
            <w:shd w:val="clear" w:color="auto" w:fill="auto"/>
            <w:tcMar>
              <w:top w:w="12" w:type="dxa"/>
              <w:left w:w="12" w:type="dxa"/>
              <w:right w:w="12" w:type="dxa"/>
            </w:tcMar>
            <w:vAlign w:val="center"/>
          </w:tcPr>
          <w:p>
            <w:pPr>
              <w:widowControl/>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智能穿戴设备 （VR一体机）</w:t>
            </w:r>
          </w:p>
        </w:tc>
        <w:tc>
          <w:tcPr>
            <w:tcW w:w="796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sz w:val="18"/>
                <w:szCs w:val="18"/>
              </w:rPr>
            </w:pPr>
            <w:r>
              <w:rPr>
                <w:rFonts w:hint="eastAsia" w:ascii="宋体" w:hAnsi="宋体" w:cs="宋体"/>
                <w:color w:val="auto"/>
                <w:kern w:val="0"/>
                <w:sz w:val="18"/>
                <w:szCs w:val="18"/>
              </w:rPr>
              <w:t>标记和说明、电击和能量危险的防护、电气绝缘、电气间隙、爬电距离、接触电流和保护导体电流、抗电强度、结构设计（直插式设备）、端子骚扰电压、辐射、谐波电流</w:t>
            </w:r>
          </w:p>
        </w:tc>
        <w:tc>
          <w:tcPr>
            <w:tcW w:w="1228"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c>
          <w:tcPr>
            <w:tcW w:w="2526" w:type="dxa"/>
            <w:shd w:val="clear" w:color="auto" w:fill="auto"/>
            <w:tcMar>
              <w:top w:w="12" w:type="dxa"/>
              <w:left w:w="12" w:type="dxa"/>
              <w:right w:w="12" w:type="dxa"/>
            </w:tcMar>
            <w:vAlign w:val="center"/>
          </w:tcPr>
          <w:p>
            <w:pPr>
              <w:widowControl/>
              <w:snapToGrid w:val="0"/>
              <w:jc w:val="left"/>
              <w:textAlignment w:val="center"/>
              <w:rPr>
                <w:rFonts w:ascii="宋体" w:hAnsi="宋体" w:cs="宋体"/>
                <w:color w:val="auto"/>
                <w:kern w:val="0"/>
                <w:sz w:val="18"/>
                <w:szCs w:val="18"/>
              </w:rPr>
            </w:pPr>
          </w:p>
        </w:tc>
      </w:tr>
    </w:tbl>
    <w:p>
      <w:pPr>
        <w:spacing w:line="360" w:lineRule="auto"/>
        <w:rPr>
          <w:rFonts w:ascii="宋体" w:hAnsi="宋体" w:cs="宋体"/>
          <w:b/>
          <w:color w:val="auto"/>
          <w:sz w:val="24"/>
          <w:shd w:val="clear" w:color="FFFFFF" w:fill="D9D9D9"/>
        </w:rPr>
      </w:pPr>
      <w:r>
        <w:rPr>
          <w:rFonts w:hint="eastAsia" w:ascii="宋体" w:hAnsi="宋体" w:cs="宋体"/>
          <w:b/>
          <w:color w:val="auto"/>
          <w:sz w:val="24"/>
          <w:shd w:val="clear" w:color="FFFFFF" w:fill="D9D9D9"/>
        </w:rPr>
        <w:t>本表应如实填写，不允许增行、减行、增列、减列或修改已事先填入的内容。本项目以商品为最小评审单位,如供应商未具有招标文件中商品所对应的全项检测能力,则必须在“是否具有商品完整检测能力”填写“否”。</w:t>
      </w:r>
    </w:p>
    <w:p>
      <w:pPr>
        <w:spacing w:line="360" w:lineRule="auto"/>
        <w:ind w:firstLine="8820" w:firstLineChars="3675"/>
        <w:rPr>
          <w:rFonts w:ascii="宋体" w:cs="宋体"/>
          <w:color w:val="auto"/>
          <w:sz w:val="24"/>
        </w:rPr>
      </w:pPr>
      <w:r>
        <w:rPr>
          <w:rFonts w:hint="eastAsia" w:ascii="宋体" w:hAnsi="宋体" w:cs="宋体"/>
          <w:color w:val="auto"/>
          <w:sz w:val="24"/>
        </w:rPr>
        <w:t>投标人名称（盖章）：</w:t>
      </w:r>
    </w:p>
    <w:p>
      <w:pPr>
        <w:spacing w:line="360" w:lineRule="auto"/>
        <w:ind w:firstLine="8820" w:firstLineChars="3675"/>
        <w:rPr>
          <w:rFonts w:ascii="宋体" w:hAnsi="宋体" w:cs="宋体"/>
          <w:color w:val="auto"/>
          <w:sz w:val="24"/>
        </w:rPr>
      </w:pPr>
      <w:r>
        <w:rPr>
          <w:rFonts w:hint="eastAsia" w:ascii="宋体" w:hAnsi="宋体" w:cs="宋体"/>
          <w:color w:val="auto"/>
          <w:sz w:val="24"/>
        </w:rPr>
        <w:t>投标人代表（签字）：</w:t>
      </w:r>
    </w:p>
    <w:p>
      <w:pPr>
        <w:spacing w:line="360" w:lineRule="auto"/>
        <w:ind w:firstLine="8820" w:firstLineChars="3675"/>
        <w:rPr>
          <w:rFonts w:ascii="宋体" w:hAnsi="宋体" w:cs="宋体"/>
          <w:color w:val="auto"/>
          <w:sz w:val="24"/>
        </w:rPr>
      </w:pPr>
      <w:r>
        <w:rPr>
          <w:rFonts w:hint="eastAsia" w:ascii="宋体" w:hAnsi="宋体" w:cs="宋体"/>
          <w:color w:val="auto"/>
          <w:sz w:val="24"/>
        </w:rPr>
        <w:t>日期：20  年月日</w:t>
      </w:r>
    </w:p>
    <w:p>
      <w:pPr>
        <w:spacing w:line="360" w:lineRule="auto"/>
        <w:ind w:firstLine="8820" w:firstLineChars="3675"/>
        <w:rPr>
          <w:rFonts w:ascii="宋体" w:hAnsi="宋体" w:cs="宋体"/>
          <w:color w:val="auto"/>
          <w:sz w:val="24"/>
        </w:rPr>
        <w:sectPr>
          <w:pgSz w:w="16838" w:h="11906" w:orient="landscape"/>
          <w:pgMar w:top="1800" w:right="1440" w:bottom="1800" w:left="1440" w:header="851" w:footer="992" w:gutter="0"/>
          <w:cols w:space="425" w:num="1"/>
          <w:docGrid w:type="lines" w:linePitch="312" w:charSpace="0"/>
        </w:sectPr>
      </w:pPr>
    </w:p>
    <w:p>
      <w:pPr>
        <w:pStyle w:val="3"/>
        <w:rPr>
          <w:rFonts w:ascii="宋体" w:cs="宋体"/>
          <w:color w:val="auto"/>
          <w:sz w:val="32"/>
        </w:rPr>
      </w:pPr>
      <w:bookmarkStart w:id="69" w:name="_Toc8257"/>
      <w:r>
        <w:rPr>
          <w:rFonts w:hint="eastAsia" w:ascii="宋体" w:hAnsi="宋体" w:cs="宋体"/>
          <w:color w:val="auto"/>
          <w:sz w:val="32"/>
        </w:rPr>
        <w:t>十四、投标文件外层包装封面（格式供参考）</w:t>
      </w:r>
      <w:bookmarkEnd w:id="69"/>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、投标文件外层包装封面</w:t>
      </w:r>
    </w:p>
    <w:p>
      <w:pPr>
        <w:spacing w:line="360" w:lineRule="auto"/>
        <w:jc w:val="center"/>
        <w:rPr>
          <w:rFonts w:ascii="宋体" w:cs="宋体"/>
          <w:color w:val="auto"/>
          <w:sz w:val="24"/>
        </w:rPr>
      </w:pPr>
      <w:r>
        <w:rPr>
          <w:rFonts w:hint="eastAsia" w:ascii="宋体" w:hAnsi="宋体" w:cs="宋体"/>
          <w:color w:val="auto"/>
          <w:sz w:val="24"/>
        </w:rPr>
        <w:t>投标文件（商务文件</w:t>
      </w:r>
      <w:r>
        <w:rPr>
          <w:rFonts w:ascii="宋体" w:hAnsi="宋体" w:cs="宋体"/>
          <w:color w:val="auto"/>
          <w:sz w:val="24"/>
        </w:rPr>
        <w:t>/</w:t>
      </w:r>
      <w:r>
        <w:rPr>
          <w:rFonts w:hint="eastAsia" w:ascii="宋体" w:hAnsi="宋体" w:cs="宋体"/>
          <w:color w:val="auto"/>
          <w:sz w:val="24"/>
        </w:rPr>
        <w:t>技术文件）</w:t>
      </w:r>
    </w:p>
    <w:p>
      <w:pPr>
        <w:spacing w:line="360" w:lineRule="auto"/>
        <w:ind w:firstLine="1620" w:firstLineChars="675"/>
        <w:rPr>
          <w:rFonts w:ascii="宋体" w:cs="宋体"/>
          <w:color w:val="auto"/>
          <w:sz w:val="24"/>
        </w:rPr>
      </w:pPr>
      <w:r>
        <w:rPr>
          <w:rFonts w:hint="eastAsia" w:ascii="宋体" w:hAnsi="宋体" w:cs="宋体"/>
          <w:color w:val="auto"/>
          <w:sz w:val="24"/>
        </w:rPr>
        <w:t>项目名称：</w:t>
      </w:r>
    </w:p>
    <w:p>
      <w:pPr>
        <w:spacing w:line="360" w:lineRule="auto"/>
        <w:ind w:firstLine="1620" w:firstLineChars="675"/>
        <w:rPr>
          <w:rFonts w:ascii="宋体" w:cs="宋体"/>
          <w:color w:val="auto"/>
          <w:sz w:val="24"/>
        </w:rPr>
      </w:pPr>
      <w:r>
        <w:rPr>
          <w:rFonts w:hint="eastAsia" w:ascii="宋体" w:hAnsi="宋体" w:cs="宋体"/>
          <w:color w:val="auto"/>
          <w:sz w:val="24"/>
        </w:rPr>
        <w:t>项目编号：</w:t>
      </w:r>
    </w:p>
    <w:p>
      <w:pPr>
        <w:spacing w:line="360" w:lineRule="auto"/>
        <w:ind w:firstLine="1620" w:firstLineChars="675"/>
        <w:rPr>
          <w:rFonts w:ascii="宋体" w:cs="宋体"/>
          <w:color w:val="auto"/>
          <w:sz w:val="24"/>
        </w:rPr>
      </w:pPr>
      <w:r>
        <w:rPr>
          <w:rFonts w:hint="eastAsia" w:ascii="宋体" w:hAnsi="宋体" w:cs="宋体"/>
          <w:color w:val="auto"/>
          <w:sz w:val="24"/>
        </w:rPr>
        <w:t>标项序号：</w:t>
      </w:r>
    </w:p>
    <w:p>
      <w:pPr>
        <w:spacing w:line="360" w:lineRule="auto"/>
        <w:ind w:firstLine="1620" w:firstLineChars="675"/>
        <w:rPr>
          <w:rFonts w:ascii="宋体" w:cs="宋体"/>
          <w:color w:val="auto"/>
          <w:sz w:val="24"/>
        </w:rPr>
      </w:pPr>
      <w:r>
        <w:rPr>
          <w:rFonts w:hint="eastAsia" w:ascii="宋体" w:hAnsi="宋体" w:cs="宋体"/>
          <w:color w:val="auto"/>
          <w:sz w:val="24"/>
        </w:rPr>
        <w:t>投标人名称（盖章）：</w:t>
      </w:r>
    </w:p>
    <w:p>
      <w:pPr>
        <w:spacing w:line="360" w:lineRule="auto"/>
        <w:ind w:firstLine="1620" w:firstLineChars="675"/>
        <w:rPr>
          <w:rFonts w:ascii="宋体" w:cs="宋体"/>
          <w:color w:val="auto"/>
          <w:sz w:val="24"/>
        </w:rPr>
      </w:pPr>
      <w:r>
        <w:rPr>
          <w:rFonts w:hint="eastAsia" w:ascii="宋体" w:hAnsi="宋体" w:cs="宋体"/>
          <w:color w:val="auto"/>
          <w:sz w:val="24"/>
        </w:rPr>
        <w:t>在年月日时分之前不得启封</w:t>
      </w: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、报价文件外层包装封面</w:t>
      </w:r>
    </w:p>
    <w:p>
      <w:pPr>
        <w:spacing w:line="360" w:lineRule="auto"/>
        <w:jc w:val="center"/>
        <w:rPr>
          <w:rFonts w:ascii="宋体" w:cs="宋体"/>
          <w:color w:val="auto"/>
          <w:sz w:val="24"/>
        </w:rPr>
      </w:pPr>
      <w:r>
        <w:rPr>
          <w:rFonts w:hint="eastAsia" w:ascii="宋体" w:hAnsi="宋体" w:cs="宋体"/>
          <w:color w:val="auto"/>
          <w:sz w:val="24"/>
        </w:rPr>
        <w:t>报价文件</w:t>
      </w:r>
    </w:p>
    <w:p>
      <w:pPr>
        <w:spacing w:line="360" w:lineRule="auto"/>
        <w:ind w:firstLine="1620" w:firstLineChars="675"/>
        <w:rPr>
          <w:rFonts w:ascii="宋体" w:cs="宋体"/>
          <w:color w:val="auto"/>
          <w:sz w:val="24"/>
        </w:rPr>
      </w:pPr>
      <w:r>
        <w:rPr>
          <w:rFonts w:hint="eastAsia" w:ascii="宋体" w:hAnsi="宋体" w:cs="宋体"/>
          <w:color w:val="auto"/>
          <w:sz w:val="24"/>
        </w:rPr>
        <w:t>项目名称：</w:t>
      </w:r>
    </w:p>
    <w:p>
      <w:pPr>
        <w:spacing w:line="360" w:lineRule="auto"/>
        <w:ind w:firstLine="1620" w:firstLineChars="675"/>
        <w:rPr>
          <w:rFonts w:ascii="宋体" w:cs="宋体"/>
          <w:color w:val="auto"/>
          <w:sz w:val="24"/>
        </w:rPr>
      </w:pPr>
      <w:r>
        <w:rPr>
          <w:rFonts w:hint="eastAsia" w:ascii="宋体" w:hAnsi="宋体" w:cs="宋体"/>
          <w:color w:val="auto"/>
          <w:sz w:val="24"/>
        </w:rPr>
        <w:t>标项序号：</w:t>
      </w:r>
    </w:p>
    <w:p>
      <w:pPr>
        <w:spacing w:line="360" w:lineRule="auto"/>
        <w:ind w:firstLine="1620" w:firstLineChars="675"/>
        <w:rPr>
          <w:rFonts w:ascii="宋体" w:cs="宋体"/>
          <w:color w:val="auto"/>
          <w:sz w:val="24"/>
        </w:rPr>
      </w:pPr>
      <w:r>
        <w:rPr>
          <w:rFonts w:hint="eastAsia" w:ascii="宋体" w:hAnsi="宋体" w:cs="宋体"/>
          <w:color w:val="auto"/>
          <w:sz w:val="24"/>
        </w:rPr>
        <w:t>投标人名称（盖章）：</w:t>
      </w:r>
    </w:p>
    <w:p>
      <w:pPr>
        <w:spacing w:line="360" w:lineRule="auto"/>
        <w:ind w:firstLine="1620" w:firstLineChars="675"/>
        <w:rPr>
          <w:rFonts w:ascii="宋体" w:cs="宋体"/>
          <w:color w:val="auto"/>
          <w:sz w:val="24"/>
        </w:rPr>
      </w:pPr>
      <w:r>
        <w:rPr>
          <w:rFonts w:hint="eastAsia" w:ascii="宋体" w:hAnsi="宋体" w:cs="宋体"/>
          <w:color w:val="auto"/>
          <w:sz w:val="24"/>
        </w:rPr>
        <w:t>在年月日时分之前不得启封</w:t>
      </w:r>
    </w:p>
    <w:p>
      <w:pPr>
        <w:spacing w:line="360" w:lineRule="auto"/>
        <w:ind w:firstLine="480" w:firstLineChars="200"/>
        <w:rPr>
          <w:rFonts w:ascii="宋体" w:cs="宋体"/>
          <w:color w:val="auto"/>
          <w:sz w:val="24"/>
        </w:rPr>
      </w:pPr>
    </w:p>
    <w:p>
      <w:pPr>
        <w:pStyle w:val="3"/>
        <w:rPr>
          <w:rFonts w:ascii="宋体" w:cs="宋体"/>
          <w:color w:val="auto"/>
          <w:sz w:val="32"/>
        </w:rPr>
      </w:pPr>
      <w:bookmarkStart w:id="70" w:name="_Toc19015"/>
      <w:r>
        <w:rPr>
          <w:rFonts w:hint="eastAsia" w:ascii="宋体" w:hAnsi="宋体" w:cs="宋体"/>
          <w:color w:val="auto"/>
          <w:sz w:val="32"/>
        </w:rPr>
        <w:t>十五、投标文件封面（格式供参考）</w:t>
      </w:r>
      <w:bookmarkEnd w:id="70"/>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、商务</w:t>
      </w:r>
      <w:r>
        <w:rPr>
          <w:rFonts w:ascii="宋体" w:hAnsi="宋体" w:cs="宋体"/>
          <w:color w:val="auto"/>
          <w:sz w:val="24"/>
        </w:rPr>
        <w:t>/</w:t>
      </w:r>
      <w:r>
        <w:rPr>
          <w:rFonts w:hint="eastAsia" w:ascii="宋体" w:hAnsi="宋体" w:cs="宋体"/>
          <w:color w:val="auto"/>
          <w:sz w:val="24"/>
        </w:rPr>
        <w:t>技术文件封面</w:t>
      </w:r>
    </w:p>
    <w:p>
      <w:pPr>
        <w:spacing w:line="360" w:lineRule="auto"/>
        <w:ind w:firstLine="480" w:firstLineChars="200"/>
        <w:rPr>
          <w:rFonts w:ascii="宋体" w:cs="宋体"/>
          <w:color w:val="auto"/>
          <w:sz w:val="24"/>
        </w:rPr>
      </w:pPr>
      <w:r>
        <w:rPr>
          <w:rFonts w:hint="eastAsia" w:ascii="宋体" w:hAnsi="宋体" w:cs="宋体"/>
          <w:color w:val="auto"/>
          <w:sz w:val="24"/>
        </w:rPr>
        <w:t>正本</w:t>
      </w:r>
      <w:r>
        <w:rPr>
          <w:rFonts w:ascii="宋体" w:hAnsi="宋体" w:cs="宋体"/>
          <w:color w:val="auto"/>
          <w:sz w:val="24"/>
        </w:rPr>
        <w:t>/</w:t>
      </w:r>
      <w:r>
        <w:rPr>
          <w:rFonts w:hint="eastAsia" w:ascii="宋体" w:hAnsi="宋体" w:cs="宋体"/>
          <w:color w:val="auto"/>
          <w:sz w:val="24"/>
        </w:rPr>
        <w:t>副本</w:t>
      </w:r>
    </w:p>
    <w:p>
      <w:pPr>
        <w:spacing w:line="360" w:lineRule="auto"/>
        <w:jc w:val="center"/>
        <w:rPr>
          <w:rFonts w:ascii="宋体" w:cs="宋体"/>
          <w:color w:val="auto"/>
          <w:sz w:val="24"/>
        </w:rPr>
      </w:pPr>
      <w:r>
        <w:rPr>
          <w:rFonts w:hint="eastAsia" w:ascii="宋体" w:hAnsi="宋体" w:cs="宋体"/>
          <w:color w:val="auto"/>
          <w:sz w:val="24"/>
        </w:rPr>
        <w:t>商务</w:t>
      </w:r>
      <w:r>
        <w:rPr>
          <w:rFonts w:ascii="宋体" w:hAnsi="宋体" w:cs="宋体"/>
          <w:color w:val="auto"/>
          <w:sz w:val="24"/>
        </w:rPr>
        <w:t>/</w:t>
      </w:r>
      <w:r>
        <w:rPr>
          <w:rFonts w:hint="eastAsia" w:ascii="宋体" w:hAnsi="宋体" w:cs="宋体"/>
          <w:color w:val="auto"/>
          <w:sz w:val="24"/>
        </w:rPr>
        <w:t>技术文件</w:t>
      </w:r>
    </w:p>
    <w:p>
      <w:pPr>
        <w:spacing w:line="360" w:lineRule="auto"/>
        <w:ind w:firstLine="1440" w:firstLineChars="600"/>
        <w:rPr>
          <w:rFonts w:ascii="宋体" w:cs="宋体"/>
          <w:color w:val="auto"/>
          <w:sz w:val="24"/>
        </w:rPr>
      </w:pPr>
      <w:r>
        <w:rPr>
          <w:rFonts w:hint="eastAsia" w:ascii="宋体" w:hAnsi="宋体" w:cs="宋体"/>
          <w:color w:val="auto"/>
          <w:sz w:val="24"/>
        </w:rPr>
        <w:t>项目名称：</w:t>
      </w:r>
    </w:p>
    <w:p>
      <w:pPr>
        <w:spacing w:line="360" w:lineRule="auto"/>
        <w:ind w:firstLine="1440" w:firstLineChars="600"/>
        <w:rPr>
          <w:rFonts w:ascii="宋体" w:cs="宋体"/>
          <w:color w:val="auto"/>
          <w:sz w:val="24"/>
        </w:rPr>
      </w:pPr>
      <w:r>
        <w:rPr>
          <w:rFonts w:hint="eastAsia" w:ascii="宋体" w:hAnsi="宋体" w:cs="宋体"/>
          <w:color w:val="auto"/>
          <w:sz w:val="24"/>
        </w:rPr>
        <w:t>项目编号：</w:t>
      </w:r>
    </w:p>
    <w:p>
      <w:pPr>
        <w:spacing w:line="360" w:lineRule="auto"/>
        <w:ind w:firstLine="1440" w:firstLineChars="600"/>
        <w:rPr>
          <w:rFonts w:ascii="宋体" w:cs="宋体"/>
          <w:color w:val="auto"/>
          <w:sz w:val="24"/>
        </w:rPr>
      </w:pPr>
      <w:r>
        <w:rPr>
          <w:rFonts w:hint="eastAsia" w:ascii="宋体" w:hAnsi="宋体" w:cs="宋体"/>
          <w:color w:val="auto"/>
          <w:sz w:val="24"/>
        </w:rPr>
        <w:t>标项序号：</w:t>
      </w:r>
    </w:p>
    <w:p>
      <w:pPr>
        <w:spacing w:line="360" w:lineRule="auto"/>
        <w:ind w:firstLine="1440" w:firstLineChars="600"/>
        <w:rPr>
          <w:rFonts w:ascii="宋体" w:cs="宋体"/>
          <w:color w:val="auto"/>
          <w:sz w:val="24"/>
        </w:rPr>
      </w:pPr>
      <w:r>
        <w:rPr>
          <w:rFonts w:hint="eastAsia" w:ascii="宋体" w:hAnsi="宋体" w:cs="宋体"/>
          <w:color w:val="auto"/>
          <w:sz w:val="24"/>
        </w:rPr>
        <w:t>投标人名称（盖章）：</w:t>
      </w:r>
    </w:p>
    <w:p>
      <w:pPr>
        <w:spacing w:line="360" w:lineRule="auto"/>
        <w:ind w:firstLine="1440" w:firstLineChars="600"/>
        <w:rPr>
          <w:rFonts w:ascii="宋体" w:cs="宋体"/>
          <w:color w:val="auto"/>
          <w:sz w:val="24"/>
        </w:rPr>
      </w:pPr>
      <w:r>
        <w:rPr>
          <w:rFonts w:hint="eastAsia" w:ascii="宋体" w:hAnsi="宋体" w:cs="宋体"/>
          <w:color w:val="auto"/>
          <w:sz w:val="24"/>
        </w:rPr>
        <w:t>投标人代表签字：</w:t>
      </w: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、报价文件封面</w:t>
      </w:r>
    </w:p>
    <w:p>
      <w:pPr>
        <w:spacing w:line="360" w:lineRule="auto"/>
        <w:ind w:firstLine="480" w:firstLineChars="200"/>
        <w:rPr>
          <w:rFonts w:ascii="宋体" w:cs="宋体"/>
          <w:color w:val="auto"/>
          <w:sz w:val="24"/>
        </w:rPr>
      </w:pPr>
      <w:r>
        <w:rPr>
          <w:rFonts w:hint="eastAsia" w:ascii="宋体" w:hAnsi="宋体" w:cs="宋体"/>
          <w:color w:val="auto"/>
          <w:sz w:val="24"/>
        </w:rPr>
        <w:t>正本</w:t>
      </w:r>
      <w:r>
        <w:rPr>
          <w:rFonts w:ascii="宋体" w:hAnsi="宋体" w:cs="宋体"/>
          <w:color w:val="auto"/>
          <w:sz w:val="24"/>
        </w:rPr>
        <w:t>/</w:t>
      </w:r>
      <w:r>
        <w:rPr>
          <w:rFonts w:hint="eastAsia" w:ascii="宋体" w:hAnsi="宋体" w:cs="宋体"/>
          <w:color w:val="auto"/>
          <w:sz w:val="24"/>
        </w:rPr>
        <w:t>副本</w:t>
      </w:r>
    </w:p>
    <w:p>
      <w:pPr>
        <w:spacing w:line="360" w:lineRule="auto"/>
        <w:jc w:val="center"/>
        <w:rPr>
          <w:rFonts w:ascii="宋体" w:cs="宋体"/>
          <w:color w:val="auto"/>
          <w:sz w:val="24"/>
        </w:rPr>
      </w:pPr>
      <w:r>
        <w:rPr>
          <w:rFonts w:hint="eastAsia" w:ascii="宋体" w:hAnsi="宋体" w:cs="宋体"/>
          <w:color w:val="auto"/>
          <w:sz w:val="24"/>
        </w:rPr>
        <w:t>报价文件</w:t>
      </w:r>
    </w:p>
    <w:p>
      <w:pPr>
        <w:spacing w:line="360" w:lineRule="auto"/>
        <w:ind w:firstLine="1440" w:firstLineChars="600"/>
        <w:rPr>
          <w:rFonts w:ascii="宋体" w:cs="宋体"/>
          <w:color w:val="auto"/>
          <w:sz w:val="24"/>
        </w:rPr>
      </w:pPr>
      <w:r>
        <w:rPr>
          <w:rFonts w:hint="eastAsia" w:ascii="宋体" w:hAnsi="宋体" w:cs="宋体"/>
          <w:color w:val="auto"/>
          <w:sz w:val="24"/>
        </w:rPr>
        <w:t>项目名称：</w:t>
      </w:r>
    </w:p>
    <w:p>
      <w:pPr>
        <w:spacing w:line="360" w:lineRule="auto"/>
        <w:ind w:firstLine="1440" w:firstLineChars="600"/>
        <w:rPr>
          <w:rFonts w:ascii="宋体" w:cs="宋体"/>
          <w:color w:val="auto"/>
          <w:sz w:val="24"/>
        </w:rPr>
      </w:pPr>
      <w:r>
        <w:rPr>
          <w:rFonts w:hint="eastAsia" w:ascii="宋体" w:hAnsi="宋体" w:cs="宋体"/>
          <w:color w:val="auto"/>
          <w:sz w:val="24"/>
        </w:rPr>
        <w:t>标项序号：</w:t>
      </w:r>
    </w:p>
    <w:p>
      <w:pPr>
        <w:spacing w:line="360" w:lineRule="auto"/>
        <w:ind w:firstLine="1440" w:firstLineChars="600"/>
        <w:rPr>
          <w:rFonts w:ascii="宋体" w:cs="宋体"/>
          <w:color w:val="auto"/>
          <w:sz w:val="24"/>
        </w:rPr>
      </w:pPr>
      <w:r>
        <w:rPr>
          <w:rFonts w:hint="eastAsia" w:ascii="宋体" w:hAnsi="宋体" w:cs="宋体"/>
          <w:color w:val="auto"/>
          <w:sz w:val="24"/>
        </w:rPr>
        <w:t>投标人名称（盖章）：</w:t>
      </w:r>
    </w:p>
    <w:p>
      <w:pPr>
        <w:spacing w:line="360" w:lineRule="auto"/>
        <w:ind w:firstLine="1440" w:firstLineChars="600"/>
        <w:rPr>
          <w:rFonts w:ascii="宋体" w:cs="宋体"/>
          <w:color w:val="auto"/>
          <w:sz w:val="24"/>
        </w:rPr>
      </w:pPr>
      <w:r>
        <w:rPr>
          <w:rFonts w:hint="eastAsia" w:ascii="宋体" w:hAnsi="宋体" w:cs="宋体"/>
          <w:color w:val="auto"/>
          <w:sz w:val="24"/>
        </w:rPr>
        <w:t>投标人代表签字：</w:t>
      </w:r>
    </w:p>
    <w:p>
      <w:pPr>
        <w:spacing w:line="360" w:lineRule="auto"/>
        <w:ind w:firstLine="480" w:firstLineChars="200"/>
        <w:rPr>
          <w:rFonts w:ascii="宋体" w:cs="宋体"/>
          <w:color w:val="auto"/>
          <w:sz w:val="24"/>
        </w:rPr>
      </w:pPr>
    </w:p>
    <w:p>
      <w:pPr>
        <w:pStyle w:val="2"/>
        <w:rPr>
          <w:rFonts w:ascii="宋体" w:cs="宋体"/>
          <w:color w:val="auto"/>
        </w:rPr>
      </w:pPr>
      <w:r>
        <w:rPr>
          <w:rFonts w:ascii="宋体" w:cs="宋体"/>
          <w:b w:val="0"/>
          <w:color w:val="auto"/>
          <w:highlight w:val="cyan"/>
        </w:rPr>
        <w:br w:type="page"/>
      </w:r>
      <w:bookmarkStart w:id="71" w:name="_Toc10915"/>
      <w:r>
        <w:rPr>
          <w:rFonts w:hint="eastAsia" w:ascii="宋体" w:hAnsi="宋体" w:cs="宋体"/>
          <w:color w:val="auto"/>
        </w:rPr>
        <w:t>第六部分 政府采购合同条款</w:t>
      </w:r>
      <w:bookmarkEnd w:id="71"/>
    </w:p>
    <w:p>
      <w:pPr>
        <w:spacing w:line="360" w:lineRule="auto"/>
        <w:ind w:firstLine="480" w:firstLineChars="200"/>
        <w:rPr>
          <w:rFonts w:ascii="宋体" w:cs="宋体"/>
          <w:color w:val="auto"/>
          <w:sz w:val="24"/>
        </w:rPr>
      </w:pPr>
    </w:p>
    <w:p>
      <w:pPr>
        <w:spacing w:line="520" w:lineRule="exact"/>
        <w:ind w:firstLine="480" w:firstLineChars="200"/>
        <w:rPr>
          <w:rFonts w:ascii="宋体" w:cs="宋体"/>
          <w:b/>
          <w:color w:val="auto"/>
          <w:sz w:val="24"/>
        </w:rPr>
      </w:pPr>
      <w:r>
        <w:rPr>
          <w:rFonts w:hint="eastAsia" w:ascii="宋体" w:hAnsi="宋体" w:cs="宋体"/>
          <w:color w:val="auto"/>
          <w:sz w:val="24"/>
        </w:rPr>
        <w:t>合同将由杭州市市场监督管理局（以下简称甲方）与经评审最终确定的入围供应商（以下简称乙方）结合本项目具体情况协商后签订。以下为采购人提出涉及乙方的主要条款，投标人在投标文件中应对其进行确认或拒绝。如投标人在其投标文件中未做拒绝或提出修改要求的，采购人将视作认同。</w:t>
      </w:r>
      <w:r>
        <w:rPr>
          <w:rFonts w:hint="eastAsia" w:ascii="宋体" w:hAnsi="宋体" w:cs="宋体"/>
          <w:b/>
          <w:color w:val="auto"/>
          <w:sz w:val="24"/>
        </w:rPr>
        <w:t>采购人将根据相应内部管理办法在入选供应商备选库中，确定具体检测任务的承担供应商，并就具体项目签订检测项目合同，按照实际完成的批次和协议价格进行核算、支付。（详见《项目分配评价表》和《单次委托检验合同》）</w:t>
      </w:r>
    </w:p>
    <w:p>
      <w:pPr>
        <w:spacing w:line="520" w:lineRule="exact"/>
        <w:rPr>
          <w:rFonts w:ascii="宋体" w:cs="宋体"/>
          <w:color w:val="auto"/>
          <w:sz w:val="24"/>
        </w:rPr>
      </w:pPr>
    </w:p>
    <w:p>
      <w:pPr>
        <w:spacing w:line="520" w:lineRule="exact"/>
        <w:jc w:val="center"/>
        <w:rPr>
          <w:rFonts w:ascii="宋体" w:cs="宋体"/>
          <w:b/>
          <w:color w:val="auto"/>
          <w:sz w:val="32"/>
          <w:szCs w:val="32"/>
        </w:rPr>
      </w:pPr>
      <w:r>
        <w:rPr>
          <w:rFonts w:hint="eastAsia" w:ascii="宋体" w:hAnsi="宋体" w:cs="宋体"/>
          <w:b/>
          <w:color w:val="auto"/>
          <w:sz w:val="32"/>
          <w:szCs w:val="32"/>
        </w:rPr>
        <w:t>杭州市流通领域</w:t>
      </w:r>
      <w:r>
        <w:rPr>
          <w:rFonts w:ascii="宋体" w:hAnsi="宋体" w:cs="宋体"/>
          <w:b/>
          <w:color w:val="auto"/>
          <w:sz w:val="32"/>
          <w:szCs w:val="32"/>
        </w:rPr>
        <w:t>(</w:t>
      </w:r>
      <w:r>
        <w:rPr>
          <w:rFonts w:hint="eastAsia" w:ascii="宋体" w:hAnsi="宋体" w:cs="宋体"/>
          <w:b/>
          <w:color w:val="auto"/>
          <w:sz w:val="32"/>
          <w:szCs w:val="32"/>
        </w:rPr>
        <w:t>网络</w:t>
      </w:r>
      <w:r>
        <w:rPr>
          <w:rFonts w:ascii="宋体" w:hAnsi="宋体" w:cs="宋体"/>
          <w:b/>
          <w:color w:val="auto"/>
          <w:sz w:val="32"/>
          <w:szCs w:val="32"/>
        </w:rPr>
        <w:t>)</w:t>
      </w:r>
      <w:r>
        <w:rPr>
          <w:rFonts w:hint="eastAsia" w:ascii="宋体" w:hAnsi="宋体" w:cs="宋体"/>
          <w:b/>
          <w:color w:val="auto"/>
          <w:sz w:val="32"/>
          <w:szCs w:val="32"/>
        </w:rPr>
        <w:t>商品质量抽检承检机构备选库入围协议</w:t>
      </w:r>
    </w:p>
    <w:p>
      <w:pPr>
        <w:spacing w:line="520" w:lineRule="exact"/>
        <w:rPr>
          <w:rFonts w:ascii="宋体" w:cs="宋体"/>
          <w:color w:val="auto"/>
          <w:sz w:val="24"/>
        </w:rPr>
      </w:pPr>
    </w:p>
    <w:p>
      <w:pPr>
        <w:spacing w:line="520" w:lineRule="exact"/>
        <w:rPr>
          <w:rFonts w:ascii="宋体" w:cs="宋体"/>
          <w:color w:val="auto"/>
          <w:sz w:val="24"/>
        </w:rPr>
      </w:pPr>
    </w:p>
    <w:p>
      <w:pPr>
        <w:spacing w:line="520" w:lineRule="exact"/>
        <w:rPr>
          <w:rFonts w:ascii="宋体" w:cs="宋体"/>
          <w:color w:val="auto"/>
          <w:sz w:val="24"/>
        </w:rPr>
      </w:pPr>
      <w:r>
        <w:rPr>
          <w:rFonts w:hint="eastAsia" w:ascii="宋体" w:hAnsi="宋体" w:cs="宋体"/>
          <w:color w:val="auto"/>
          <w:sz w:val="24"/>
        </w:rPr>
        <w:t>合同编号</w:t>
      </w:r>
    </w:p>
    <w:p>
      <w:pPr>
        <w:spacing w:line="520" w:lineRule="exact"/>
        <w:rPr>
          <w:rFonts w:ascii="宋体" w:hAnsi="宋体" w:cs="宋体"/>
          <w:color w:val="auto"/>
          <w:sz w:val="24"/>
        </w:rPr>
      </w:pPr>
      <w:r>
        <w:rPr>
          <w:rFonts w:hint="eastAsia" w:ascii="宋体" w:hAnsi="宋体" w:cs="宋体"/>
          <w:color w:val="auto"/>
          <w:sz w:val="24"/>
        </w:rPr>
        <w:t>招标编号：</w:t>
      </w:r>
    </w:p>
    <w:p>
      <w:pPr>
        <w:spacing w:line="520" w:lineRule="exact"/>
        <w:rPr>
          <w:rFonts w:ascii="宋体" w:hAnsi="宋体" w:cs="宋体"/>
          <w:color w:val="auto"/>
          <w:sz w:val="24"/>
        </w:rPr>
      </w:pPr>
      <w:r>
        <w:rPr>
          <w:rFonts w:hint="eastAsia" w:ascii="宋体" w:hAnsi="宋体" w:cs="宋体"/>
          <w:color w:val="auto"/>
          <w:sz w:val="24"/>
        </w:rPr>
        <w:t>项目名称：</w:t>
      </w:r>
    </w:p>
    <w:p>
      <w:pPr>
        <w:spacing w:line="520" w:lineRule="exact"/>
        <w:rPr>
          <w:rFonts w:ascii="宋体" w:hAnsi="宋体" w:cs="宋体"/>
          <w:color w:val="auto"/>
          <w:sz w:val="24"/>
        </w:rPr>
      </w:pPr>
      <w:r>
        <w:rPr>
          <w:rFonts w:hint="eastAsia" w:ascii="宋体" w:hAnsi="宋体" w:cs="宋体"/>
          <w:color w:val="auto"/>
          <w:sz w:val="24"/>
        </w:rPr>
        <w:t>标项名称：</w:t>
      </w:r>
    </w:p>
    <w:p>
      <w:pPr>
        <w:spacing w:line="520" w:lineRule="exact"/>
        <w:rPr>
          <w:rFonts w:ascii="宋体" w:cs="宋体"/>
          <w:color w:val="auto"/>
          <w:sz w:val="24"/>
        </w:rPr>
      </w:pPr>
      <w:r>
        <w:rPr>
          <w:rFonts w:hint="eastAsia" w:ascii="宋体" w:hAnsi="宋体" w:cs="宋体"/>
          <w:color w:val="auto"/>
          <w:sz w:val="24"/>
        </w:rPr>
        <w:t>委托方（以下简称甲方）：杭州市市场监督管理局</w:t>
      </w:r>
    </w:p>
    <w:p>
      <w:pPr>
        <w:spacing w:line="520" w:lineRule="exact"/>
        <w:rPr>
          <w:rFonts w:ascii="宋体" w:cs="宋体"/>
          <w:color w:val="auto"/>
          <w:sz w:val="24"/>
        </w:rPr>
      </w:pPr>
      <w:r>
        <w:rPr>
          <w:rFonts w:hint="eastAsia" w:ascii="宋体" w:hAnsi="宋体" w:cs="宋体"/>
          <w:color w:val="auto"/>
          <w:sz w:val="24"/>
        </w:rPr>
        <w:t>受委托方（以下简称乙方）：</w:t>
      </w:r>
    </w:p>
    <w:p>
      <w:pPr>
        <w:spacing w:line="520" w:lineRule="exact"/>
        <w:ind w:firstLine="480" w:firstLineChars="200"/>
        <w:rPr>
          <w:rFonts w:ascii="宋体" w:cs="宋体"/>
          <w:color w:val="auto"/>
          <w:sz w:val="24"/>
        </w:rPr>
      </w:pPr>
      <w:r>
        <w:rPr>
          <w:rFonts w:hint="eastAsia" w:ascii="宋体" w:hAnsi="宋体" w:cs="宋体"/>
          <w:color w:val="auto"/>
          <w:sz w:val="24"/>
        </w:rPr>
        <w:t>经过公开招标，甲方将乙方作为杭州市流通领域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商品质量抽查检验承检机构。依照《中华人民共和国政府采购法》，遵循平等、自愿、公平和诚信的原则，甲方将杭州市流通领域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商品质量抽查检验承检委托乙方实施。乙方接受甲方委托，按照抽检和承检有关规定，在甲方委托事宜范围内依法组织开展抽检承检工作。经甲乙双方协商一致，签订如下合同</w:t>
      </w:r>
    </w:p>
    <w:p>
      <w:pPr>
        <w:spacing w:line="520" w:lineRule="exact"/>
        <w:rPr>
          <w:rFonts w:ascii="宋体" w:cs="宋体"/>
          <w:color w:val="auto"/>
          <w:sz w:val="24"/>
        </w:rPr>
      </w:pPr>
      <w:bookmarkStart w:id="72" w:name="_Toc393791425"/>
      <w:r>
        <w:rPr>
          <w:rFonts w:hint="eastAsia" w:ascii="宋体" w:hAnsi="宋体" w:cs="宋体"/>
          <w:color w:val="auto"/>
          <w:sz w:val="24"/>
        </w:rPr>
        <w:t>一、基本情况</w:t>
      </w:r>
      <w:bookmarkEnd w:id="72"/>
    </w:p>
    <w:p>
      <w:pPr>
        <w:spacing w:line="520" w:lineRule="exact"/>
        <w:ind w:firstLine="480" w:firstLineChars="200"/>
        <w:rPr>
          <w:rFonts w:ascii="宋体" w:cs="宋体"/>
          <w:color w:val="auto"/>
          <w:sz w:val="24"/>
        </w:rPr>
      </w:pPr>
      <w:r>
        <w:rPr>
          <w:rFonts w:ascii="宋体" w:hAnsi="宋体" w:cs="宋体"/>
          <w:color w:val="auto"/>
          <w:sz w:val="24"/>
        </w:rPr>
        <w:t xml:space="preserve">1. </w:t>
      </w:r>
      <w:r>
        <w:rPr>
          <w:rFonts w:hint="eastAsia" w:ascii="宋体" w:hAnsi="宋体" w:cs="宋体"/>
          <w:color w:val="auto"/>
          <w:sz w:val="24"/>
        </w:rPr>
        <w:t>协议事项：杭州市市场监督管理局流通领域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w:t>
      </w:r>
    </w:p>
    <w:p>
      <w:pPr>
        <w:spacing w:line="520" w:lineRule="exact"/>
        <w:ind w:firstLine="480" w:firstLineChars="200"/>
        <w:rPr>
          <w:rFonts w:ascii="宋体" w:cs="宋体"/>
          <w:color w:val="auto"/>
          <w:sz w:val="24"/>
        </w:rPr>
      </w:pPr>
      <w:r>
        <w:rPr>
          <w:rFonts w:ascii="宋体" w:hAnsi="宋体" w:cs="宋体"/>
          <w:color w:val="auto"/>
          <w:sz w:val="24"/>
        </w:rPr>
        <w:t xml:space="preserve">2. </w:t>
      </w:r>
      <w:r>
        <w:rPr>
          <w:rFonts w:hint="eastAsia" w:ascii="宋体" w:hAnsi="宋体" w:cs="宋体"/>
          <w:color w:val="auto"/>
          <w:sz w:val="24"/>
        </w:rPr>
        <w:t>甲方向乙方提供抽检方案、抽样批次、抽样地点等相关信息。甲乙双方共同完成抽样工作，乙方协助甲方完成样品抽取、记录、封样等工作。抽样程序必须遵守原国家工商总局《流通领域商品质量抽査检验办法》</w:t>
      </w:r>
      <w:r>
        <w:rPr>
          <w:rFonts w:hint="eastAsia" w:ascii="宋体" w:hAnsi="宋体" w:cs="宋体"/>
          <w:b/>
          <w:bCs/>
          <w:color w:val="auto"/>
          <w:sz w:val="24"/>
        </w:rPr>
        <w:t>、</w:t>
      </w:r>
      <w:r>
        <w:rPr>
          <w:rFonts w:hint="eastAsia"/>
          <w:b/>
          <w:bCs/>
          <w:color w:val="auto"/>
          <w:sz w:val="24"/>
        </w:rPr>
        <w:t>《关于加强和规范网络交易商品质量抽查检验的意见》等</w:t>
      </w:r>
      <w:r>
        <w:rPr>
          <w:rFonts w:hint="eastAsia" w:ascii="宋体" w:hAnsi="宋体" w:cs="宋体"/>
          <w:color w:val="auto"/>
          <w:sz w:val="24"/>
        </w:rPr>
        <w:t>的相关规定。</w:t>
      </w:r>
    </w:p>
    <w:p>
      <w:pPr>
        <w:spacing w:line="520" w:lineRule="exact"/>
        <w:ind w:firstLine="480" w:firstLineChars="200"/>
        <w:rPr>
          <w:rFonts w:ascii="宋体" w:cs="宋体"/>
          <w:color w:val="auto"/>
          <w:sz w:val="24"/>
        </w:rPr>
      </w:pPr>
      <w:r>
        <w:rPr>
          <w:rFonts w:ascii="宋体" w:hAnsi="宋体" w:cs="宋体"/>
          <w:color w:val="auto"/>
          <w:sz w:val="24"/>
        </w:rPr>
        <w:t>3.</w:t>
      </w:r>
      <w:r>
        <w:rPr>
          <w:rFonts w:hint="eastAsia" w:ascii="宋体" w:hAnsi="宋体" w:cs="宋体"/>
          <w:color w:val="auto"/>
          <w:sz w:val="24"/>
        </w:rPr>
        <w:t>实验室检验</w:t>
      </w:r>
    </w:p>
    <w:p>
      <w:pPr>
        <w:spacing w:line="520" w:lineRule="exact"/>
        <w:ind w:firstLine="480" w:firstLineChars="200"/>
        <w:rPr>
          <w:rFonts w:ascii="宋体" w:cs="宋体"/>
          <w:color w:val="auto"/>
          <w:sz w:val="24"/>
        </w:rPr>
      </w:pPr>
      <w:r>
        <w:rPr>
          <w:rFonts w:ascii="宋体" w:hAnsi="宋体" w:cs="宋体"/>
          <w:color w:val="auto"/>
          <w:sz w:val="24"/>
        </w:rPr>
        <w:t xml:space="preserve">4. </w:t>
      </w:r>
      <w:r>
        <w:rPr>
          <w:rFonts w:hint="eastAsia" w:ascii="宋体" w:hAnsi="宋体" w:cs="宋体"/>
          <w:color w:val="auto"/>
          <w:sz w:val="24"/>
        </w:rPr>
        <w:t>抽检经费：按照完成的批次和协议价格核算。</w:t>
      </w:r>
    </w:p>
    <w:p>
      <w:pPr>
        <w:spacing w:line="520" w:lineRule="exact"/>
        <w:ind w:firstLine="480" w:firstLineChars="200"/>
        <w:rPr>
          <w:rFonts w:ascii="宋体" w:cs="宋体"/>
          <w:color w:val="auto"/>
          <w:sz w:val="24"/>
        </w:rPr>
      </w:pPr>
      <w:r>
        <w:rPr>
          <w:rFonts w:ascii="宋体" w:hAnsi="宋体" w:cs="宋体"/>
          <w:color w:val="auto"/>
          <w:sz w:val="24"/>
        </w:rPr>
        <w:t xml:space="preserve">5. </w:t>
      </w:r>
      <w:r>
        <w:rPr>
          <w:rFonts w:hint="eastAsia" w:ascii="宋体" w:hAnsi="宋体" w:cs="宋体"/>
          <w:color w:val="auto"/>
          <w:sz w:val="24"/>
        </w:rPr>
        <w:t>资金来源：财政直接支付</w:t>
      </w:r>
    </w:p>
    <w:p>
      <w:pPr>
        <w:spacing w:line="520" w:lineRule="exact"/>
        <w:ind w:firstLine="480" w:firstLineChars="200"/>
        <w:rPr>
          <w:rFonts w:ascii="宋体" w:cs="宋体"/>
          <w:color w:val="auto"/>
          <w:sz w:val="24"/>
        </w:rPr>
      </w:pPr>
      <w:r>
        <w:rPr>
          <w:rFonts w:ascii="宋体" w:hAnsi="宋体" w:cs="宋体"/>
          <w:color w:val="auto"/>
          <w:sz w:val="24"/>
        </w:rPr>
        <w:t xml:space="preserve">6. </w:t>
      </w:r>
      <w:r>
        <w:rPr>
          <w:rFonts w:hint="eastAsia" w:ascii="宋体" w:hAnsi="宋体" w:cs="宋体"/>
          <w:color w:val="auto"/>
          <w:sz w:val="24"/>
        </w:rPr>
        <w:t>有效期限：</w:t>
      </w:r>
      <w:r>
        <w:rPr>
          <w:rFonts w:hint="eastAsia" w:ascii="宋体" w:hAnsi="宋体" w:cs="宋体"/>
          <w:bCs/>
          <w:color w:val="auto"/>
          <w:sz w:val="24"/>
        </w:rPr>
        <w:t>本次招标入围资格自合同签定之日起至2019年</w:t>
      </w:r>
      <w:r>
        <w:rPr>
          <w:rFonts w:ascii="宋体" w:hAnsi="宋体" w:cs="宋体"/>
          <w:bCs/>
          <w:color w:val="auto"/>
          <w:sz w:val="24"/>
        </w:rPr>
        <w:t>12</w:t>
      </w:r>
      <w:r>
        <w:rPr>
          <w:rFonts w:hint="eastAsia" w:ascii="宋体" w:hAnsi="宋体" w:cs="宋体"/>
          <w:bCs/>
          <w:color w:val="auto"/>
          <w:sz w:val="24"/>
        </w:rPr>
        <w:t>月</w:t>
      </w:r>
      <w:r>
        <w:rPr>
          <w:rFonts w:ascii="宋体" w:hAnsi="宋体" w:cs="宋体"/>
          <w:bCs/>
          <w:color w:val="auto"/>
          <w:sz w:val="24"/>
        </w:rPr>
        <w:t>31</w:t>
      </w:r>
      <w:r>
        <w:rPr>
          <w:rFonts w:hint="eastAsia" w:ascii="宋体" w:hAnsi="宋体" w:cs="宋体"/>
          <w:bCs/>
          <w:color w:val="auto"/>
          <w:sz w:val="24"/>
        </w:rPr>
        <w:t>日有效，合同期满，经采购人考核验收，绩效评价好、满意度高的，在年度预算能够保障的前提下，采购人报政府采购监管部门同意后，可续签服务合同。续签合同次数最多不超过一次。</w:t>
      </w:r>
    </w:p>
    <w:p>
      <w:pPr>
        <w:spacing w:line="520" w:lineRule="exact"/>
        <w:rPr>
          <w:rFonts w:ascii="宋体" w:cs="宋体"/>
          <w:color w:val="auto"/>
          <w:sz w:val="24"/>
        </w:rPr>
      </w:pPr>
      <w:bookmarkStart w:id="73" w:name="_Toc393791426"/>
      <w:r>
        <w:rPr>
          <w:rFonts w:hint="eastAsia" w:ascii="宋体" w:hAnsi="宋体" w:cs="宋体"/>
          <w:color w:val="auto"/>
          <w:sz w:val="24"/>
        </w:rPr>
        <w:t>二、甲方委托乙方的具体事项</w:t>
      </w:r>
      <w:bookmarkEnd w:id="73"/>
    </w:p>
    <w:p>
      <w:pPr>
        <w:spacing w:line="520" w:lineRule="exact"/>
        <w:ind w:firstLine="480" w:firstLineChars="200"/>
        <w:rPr>
          <w:rFonts w:ascii="宋体" w:cs="宋体"/>
          <w:color w:val="auto"/>
          <w:sz w:val="24"/>
        </w:rPr>
      </w:pPr>
      <w:r>
        <w:rPr>
          <w:rFonts w:ascii="宋体" w:hAnsi="宋体" w:cs="宋体"/>
          <w:color w:val="auto"/>
          <w:sz w:val="24"/>
        </w:rPr>
        <w:t xml:space="preserve">1. </w:t>
      </w:r>
      <w:r>
        <w:rPr>
          <w:rFonts w:hint="eastAsia" w:ascii="宋体" w:hAnsi="宋体" w:cs="宋体"/>
          <w:color w:val="auto"/>
          <w:sz w:val="24"/>
        </w:rPr>
        <w:t>按照国家法律法规规定的产品质量标准和检验标准，《流通领域商品质量抽査检验办法》、</w:t>
      </w:r>
      <w:r>
        <w:rPr>
          <w:rFonts w:hint="eastAsia"/>
          <w:b/>
          <w:bCs/>
          <w:color w:val="auto"/>
          <w:sz w:val="24"/>
        </w:rPr>
        <w:t>《关于加强和规范网络交易商品质量抽查检验的意见》</w:t>
      </w:r>
      <w:r>
        <w:rPr>
          <w:rFonts w:hint="eastAsia" w:ascii="宋体" w:hAnsi="宋体" w:cs="宋体"/>
          <w:color w:val="auto"/>
          <w:sz w:val="24"/>
        </w:rPr>
        <w:t>等有关规范，承担杭州市市场监督管理局流通领域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w:t>
      </w:r>
    </w:p>
    <w:p>
      <w:pPr>
        <w:spacing w:line="520" w:lineRule="exact"/>
        <w:ind w:firstLine="480" w:firstLineChars="200"/>
        <w:rPr>
          <w:rFonts w:ascii="宋体" w:cs="宋体"/>
          <w:b/>
          <w:bCs/>
          <w:color w:val="auto"/>
          <w:sz w:val="24"/>
        </w:rPr>
      </w:pPr>
      <w:r>
        <w:rPr>
          <w:rFonts w:ascii="宋体" w:hAnsi="宋体" w:cs="宋体"/>
          <w:color w:val="auto"/>
          <w:sz w:val="24"/>
        </w:rPr>
        <w:t xml:space="preserve">2. </w:t>
      </w:r>
      <w:r>
        <w:rPr>
          <w:rFonts w:hint="eastAsia" w:ascii="宋体" w:hAnsi="宋体" w:cs="宋体"/>
          <w:color w:val="auto"/>
          <w:sz w:val="24"/>
        </w:rPr>
        <w:t>甲乙双方共同完成抽样工作，乙方协助甲方完成样品抽取、记录、封样等工作，乙方抽样人员抽样时应当</w:t>
      </w:r>
      <w:r>
        <w:rPr>
          <w:rFonts w:hint="eastAsia" w:ascii="宋体" w:hAnsi="宋体" w:cs="宋体"/>
          <w:b/>
          <w:bCs/>
          <w:color w:val="auto"/>
          <w:sz w:val="24"/>
        </w:rPr>
        <w:t>采集所有抽样数据信息。</w:t>
      </w:r>
    </w:p>
    <w:p>
      <w:pPr>
        <w:spacing w:line="520" w:lineRule="exact"/>
        <w:ind w:firstLine="480" w:firstLineChars="200"/>
        <w:rPr>
          <w:rFonts w:ascii="宋体" w:cs="宋体"/>
          <w:color w:val="auto"/>
          <w:sz w:val="24"/>
        </w:rPr>
      </w:pPr>
      <w:r>
        <w:rPr>
          <w:rFonts w:hint="eastAsia" w:ascii="宋体" w:hAnsi="宋体" w:cs="宋体"/>
          <w:color w:val="auto"/>
          <w:sz w:val="24"/>
        </w:rPr>
        <w:t>承检方负责每次检验商品的抽样</w:t>
      </w:r>
      <w:r>
        <w:rPr>
          <w:rFonts w:hint="eastAsia" w:ascii="宋体" w:hAnsi="宋体" w:cs="宋体"/>
          <w:b/>
          <w:bCs/>
          <w:color w:val="auto"/>
          <w:sz w:val="24"/>
        </w:rPr>
        <w:t>、收样</w:t>
      </w:r>
      <w:r>
        <w:rPr>
          <w:rFonts w:hint="eastAsia" w:ascii="宋体" w:hAnsi="宋体" w:cs="宋体"/>
          <w:color w:val="auto"/>
          <w:sz w:val="24"/>
        </w:rPr>
        <w:t>与运送并保证运送安全。</w:t>
      </w:r>
    </w:p>
    <w:p>
      <w:pPr>
        <w:spacing w:line="520" w:lineRule="exact"/>
        <w:ind w:firstLine="480" w:firstLineChars="200"/>
        <w:rPr>
          <w:rFonts w:ascii="宋体" w:cs="宋体"/>
          <w:color w:val="auto"/>
          <w:sz w:val="24"/>
        </w:rPr>
      </w:pPr>
      <w:r>
        <w:rPr>
          <w:rFonts w:hint="eastAsia" w:ascii="宋体" w:hAnsi="宋体" w:cs="宋体"/>
          <w:color w:val="auto"/>
          <w:sz w:val="24"/>
        </w:rPr>
        <w:t>抽样程序必须遵守原国家工商总局《流通领域商品质量抽査检验办法》的相关规定。抽样商品所执行的相关标准、相关法律法规及国家有关规定，并按照抽样检验实施方案的约定进行判定。</w:t>
      </w:r>
    </w:p>
    <w:p>
      <w:pPr>
        <w:spacing w:line="520" w:lineRule="exact"/>
        <w:ind w:firstLine="480" w:firstLineChars="200"/>
        <w:rPr>
          <w:rFonts w:ascii="宋体" w:cs="宋体"/>
          <w:color w:val="auto"/>
          <w:sz w:val="24"/>
        </w:rPr>
      </w:pPr>
      <w:r>
        <w:rPr>
          <w:rFonts w:ascii="宋体" w:hAnsi="宋体" w:cs="宋体"/>
          <w:color w:val="auto"/>
          <w:sz w:val="24"/>
        </w:rPr>
        <w:t>3.</w:t>
      </w:r>
      <w:r>
        <w:rPr>
          <w:rFonts w:hint="eastAsia" w:ascii="宋体" w:hAnsi="宋体" w:cs="宋体"/>
          <w:color w:val="auto"/>
          <w:sz w:val="24"/>
        </w:rPr>
        <w:t>根据甲方需求对于紧急性、临时性、特殊性抽检任务由双方负责人协商临时抽检方案，乙方应积极配合（在工作时间一小时内响应，非工作时间两小时内响应）甲方开展应急商品抽检，乙方必须在浙江有常驻的售后服务人员及售后服务场所。</w:t>
      </w:r>
    </w:p>
    <w:p>
      <w:pPr>
        <w:spacing w:line="520" w:lineRule="exact"/>
        <w:ind w:firstLine="480" w:firstLineChars="200"/>
        <w:rPr>
          <w:rFonts w:ascii="宋体" w:cs="宋体"/>
          <w:color w:val="auto"/>
          <w:sz w:val="24"/>
        </w:rPr>
      </w:pPr>
      <w:r>
        <w:rPr>
          <w:rFonts w:ascii="宋体" w:hAnsi="宋体" w:cs="宋体"/>
          <w:color w:val="auto"/>
          <w:sz w:val="24"/>
        </w:rPr>
        <w:t xml:space="preserve">4. </w:t>
      </w:r>
      <w:r>
        <w:rPr>
          <w:rFonts w:hint="eastAsia" w:ascii="宋体" w:hAnsi="宋体" w:cs="宋体"/>
          <w:color w:val="auto"/>
          <w:sz w:val="24"/>
        </w:rPr>
        <w:t>乙方应当严格按照甲方提供的抽检方案技术标准和检验要求等进行检验，出具的检验报告应当格式规范、内容齐全、结论明确，并对其出具的检验报告的真实性、准确性、合法性负责，禁止伪造检验报告、出具虚似数据和结果。甲方可监督整个检验过程，或委托第三方检测机构对乙方检测结果进行复检、抽检。</w:t>
      </w:r>
    </w:p>
    <w:p>
      <w:pPr>
        <w:spacing w:line="520" w:lineRule="exact"/>
        <w:ind w:firstLine="480" w:firstLineChars="200"/>
        <w:rPr>
          <w:rFonts w:ascii="宋体" w:cs="宋体"/>
          <w:color w:val="auto"/>
          <w:sz w:val="24"/>
        </w:rPr>
      </w:pPr>
      <w:r>
        <w:rPr>
          <w:rFonts w:hint="eastAsia" w:ascii="宋体" w:hAnsi="宋体" w:cs="宋体"/>
          <w:color w:val="auto"/>
          <w:sz w:val="24"/>
        </w:rPr>
        <w:t>乙方在签订承检项目合同后，需</w:t>
      </w:r>
      <w:r>
        <w:rPr>
          <w:rFonts w:ascii="宋体" w:hAnsi="宋体" w:cs="宋体"/>
          <w:color w:val="auto"/>
          <w:sz w:val="24"/>
        </w:rPr>
        <w:t>2</w:t>
      </w:r>
      <w:r>
        <w:rPr>
          <w:rFonts w:hint="eastAsia" w:ascii="宋体" w:hAnsi="宋体" w:cs="宋体"/>
          <w:color w:val="auto"/>
          <w:sz w:val="24"/>
        </w:rPr>
        <w:t>日内提交抽检实施方案初稿；在接到检测通知后</w:t>
      </w:r>
      <w:r>
        <w:rPr>
          <w:rFonts w:ascii="宋体" w:hAnsi="宋体" w:cs="宋体"/>
          <w:color w:val="auto"/>
          <w:sz w:val="24"/>
        </w:rPr>
        <w:t>1</w:t>
      </w:r>
      <w:r>
        <w:rPr>
          <w:rFonts w:hint="eastAsia" w:ascii="宋体" w:hAnsi="宋体" w:cs="宋体"/>
          <w:color w:val="auto"/>
          <w:sz w:val="24"/>
        </w:rPr>
        <w:t>天内，组织安排好相关人员及车辆，做好抽样配合工作；抽样人员，每组不得少于</w:t>
      </w:r>
      <w:r>
        <w:rPr>
          <w:rFonts w:ascii="宋体" w:hAnsi="宋体" w:cs="宋体"/>
          <w:color w:val="auto"/>
          <w:sz w:val="24"/>
        </w:rPr>
        <w:t>2</w:t>
      </w:r>
      <w:r>
        <w:rPr>
          <w:rFonts w:hint="eastAsia" w:ascii="宋体" w:hAnsi="宋体" w:cs="宋体"/>
          <w:color w:val="auto"/>
          <w:sz w:val="24"/>
        </w:rPr>
        <w:t>名专业人员，并根据实际分组情况安排抽样人员。</w:t>
      </w:r>
    </w:p>
    <w:p>
      <w:pPr>
        <w:spacing w:line="520" w:lineRule="exact"/>
        <w:ind w:firstLine="480" w:firstLineChars="200"/>
        <w:rPr>
          <w:rFonts w:ascii="宋体" w:cs="宋体"/>
          <w:color w:val="auto"/>
          <w:sz w:val="24"/>
        </w:rPr>
      </w:pPr>
      <w:r>
        <w:rPr>
          <w:rFonts w:ascii="宋体" w:hAnsi="宋体" w:cs="宋体"/>
          <w:color w:val="auto"/>
          <w:sz w:val="24"/>
        </w:rPr>
        <w:t>5.</w:t>
      </w:r>
      <w:r>
        <w:rPr>
          <w:rFonts w:hint="eastAsia" w:ascii="宋体" w:hAnsi="宋体" w:cs="宋体"/>
          <w:color w:val="auto"/>
          <w:sz w:val="24"/>
        </w:rPr>
        <w:t>乙方按时完成检验工作，在抽样工作完成后，</w:t>
      </w:r>
      <w:r>
        <w:rPr>
          <w:rFonts w:ascii="宋体" w:hAnsi="宋体" w:cs="宋体"/>
          <w:color w:val="auto"/>
          <w:sz w:val="24"/>
        </w:rPr>
        <w:t>15</w:t>
      </w:r>
      <w:r>
        <w:rPr>
          <w:rFonts w:hint="eastAsia" w:ascii="宋体" w:hAnsi="宋体" w:cs="宋体"/>
          <w:color w:val="auto"/>
          <w:sz w:val="24"/>
        </w:rPr>
        <w:t>日内完成检验工作，并出具检测报告和汇总表；乙方应在完成检验工作后</w:t>
      </w:r>
      <w:r>
        <w:rPr>
          <w:rFonts w:ascii="宋体" w:hAnsi="宋体" w:cs="宋体"/>
          <w:color w:val="auto"/>
          <w:sz w:val="24"/>
        </w:rPr>
        <w:t>5</w:t>
      </w:r>
      <w:r>
        <w:rPr>
          <w:rFonts w:hint="eastAsia" w:ascii="宋体" w:hAnsi="宋体" w:cs="宋体"/>
          <w:color w:val="auto"/>
          <w:sz w:val="24"/>
        </w:rPr>
        <w:t>日内向甲提供检测报告电子版、质量分析报告、报盘（报盘模板由甲方提供）、样品处理记录等相关材料的，并按甲方要求及时将抽样检验相关数据录入甲方指定的信息管理系统。</w:t>
      </w:r>
    </w:p>
    <w:p>
      <w:pPr>
        <w:spacing w:line="520" w:lineRule="exact"/>
        <w:ind w:firstLine="480" w:firstLineChars="200"/>
        <w:rPr>
          <w:rFonts w:ascii="宋体" w:cs="宋体"/>
          <w:color w:val="auto"/>
          <w:sz w:val="24"/>
        </w:rPr>
      </w:pPr>
      <w:r>
        <w:rPr>
          <w:rFonts w:ascii="宋体" w:hAnsi="宋体" w:cs="宋体"/>
          <w:color w:val="auto"/>
          <w:sz w:val="24"/>
        </w:rPr>
        <w:t xml:space="preserve">6. </w:t>
      </w:r>
      <w:r>
        <w:rPr>
          <w:rFonts w:hint="eastAsia" w:ascii="宋体" w:hAnsi="宋体" w:cs="宋体"/>
          <w:color w:val="auto"/>
          <w:sz w:val="24"/>
        </w:rPr>
        <w:t>乙方应当具备目击实验条件，能根据采购人要求进行目击复检实验。甲方指定第三方检测机构复检的，由乙方负责备份样品的取样及送达，相关差旅费用由承检机构承担，如复检结果有更改，复检费用由承检机构承担。</w:t>
      </w:r>
    </w:p>
    <w:p>
      <w:pPr>
        <w:spacing w:line="520" w:lineRule="exact"/>
        <w:ind w:firstLine="480" w:firstLineChars="200"/>
        <w:rPr>
          <w:rFonts w:ascii="宋体" w:cs="宋体"/>
          <w:color w:val="auto"/>
          <w:sz w:val="24"/>
        </w:rPr>
      </w:pPr>
      <w:r>
        <w:rPr>
          <w:rFonts w:ascii="宋体" w:hAnsi="宋体" w:cs="宋体"/>
          <w:color w:val="auto"/>
          <w:sz w:val="24"/>
        </w:rPr>
        <w:t xml:space="preserve">7. </w:t>
      </w:r>
      <w:r>
        <w:rPr>
          <w:rFonts w:hint="eastAsia" w:ascii="宋体" w:hAnsi="宋体" w:cs="宋体"/>
          <w:color w:val="auto"/>
          <w:sz w:val="24"/>
        </w:rPr>
        <w:t>甲方有权对项目方案作适当修改，检测项目和经费根据采购人和合同的要求按时完成。</w:t>
      </w:r>
    </w:p>
    <w:p>
      <w:pPr>
        <w:spacing w:line="520" w:lineRule="exact"/>
        <w:ind w:firstLine="480" w:firstLineChars="200"/>
        <w:rPr>
          <w:rFonts w:ascii="宋体" w:cs="宋体"/>
          <w:color w:val="auto"/>
          <w:sz w:val="24"/>
        </w:rPr>
      </w:pPr>
      <w:r>
        <w:rPr>
          <w:rFonts w:ascii="宋体" w:hAnsi="宋体" w:cs="宋体"/>
          <w:color w:val="auto"/>
          <w:sz w:val="24"/>
        </w:rPr>
        <w:t>8.</w:t>
      </w:r>
      <w:r>
        <w:rPr>
          <w:rFonts w:hint="eastAsia" w:ascii="宋体" w:hAnsi="宋体" w:cs="宋体"/>
          <w:color w:val="auto"/>
          <w:sz w:val="24"/>
        </w:rPr>
        <w:t>购样费由乙方先行垫支，抽检工作完成后由委托方按发票及购样清单由委托方按实际金额支付。邮寄费、复检费用、抽样差旅食宿费等其他发生的费用由乙方负责，甲方不予支付。</w:t>
      </w:r>
    </w:p>
    <w:p>
      <w:pPr>
        <w:spacing w:line="520" w:lineRule="exact"/>
        <w:ind w:firstLine="480" w:firstLineChars="200"/>
        <w:rPr>
          <w:rFonts w:ascii="宋体" w:cs="宋体"/>
          <w:color w:val="auto"/>
          <w:sz w:val="24"/>
        </w:rPr>
      </w:pPr>
      <w:r>
        <w:rPr>
          <w:rFonts w:ascii="宋体" w:hAnsi="宋体" w:cs="宋体"/>
          <w:color w:val="auto"/>
          <w:sz w:val="24"/>
        </w:rPr>
        <w:t xml:space="preserve">9. </w:t>
      </w:r>
      <w:r>
        <w:rPr>
          <w:rFonts w:hint="eastAsia" w:ascii="宋体" w:hAnsi="宋体"/>
          <w:color w:val="auto"/>
          <w:sz w:val="24"/>
        </w:rPr>
        <w:t>检验结果复检结束后</w:t>
      </w:r>
      <w:r>
        <w:rPr>
          <w:rFonts w:ascii="宋体" w:hAnsi="宋体"/>
          <w:color w:val="auto"/>
          <w:sz w:val="24"/>
        </w:rPr>
        <w:t>30</w:t>
      </w:r>
      <w:r>
        <w:rPr>
          <w:rFonts w:hint="eastAsia" w:ascii="宋体" w:hAnsi="宋体"/>
          <w:color w:val="auto"/>
          <w:sz w:val="24"/>
        </w:rPr>
        <w:t>日内承检单位负责对样品进行拆解、销毁、环保处理</w:t>
      </w:r>
      <w:r>
        <w:rPr>
          <w:rFonts w:ascii="宋体" w:hAnsi="宋体"/>
          <w:color w:val="auto"/>
          <w:sz w:val="24"/>
        </w:rPr>
        <w:t>(</w:t>
      </w:r>
      <w:r>
        <w:rPr>
          <w:rFonts w:hint="eastAsia" w:ascii="宋体" w:hAnsi="宋体"/>
          <w:color w:val="auto"/>
          <w:sz w:val="24"/>
        </w:rPr>
        <w:t>除甲方提出需要留样的外</w:t>
      </w:r>
      <w:r>
        <w:rPr>
          <w:rFonts w:ascii="宋体" w:hAnsi="宋体"/>
          <w:color w:val="auto"/>
          <w:sz w:val="24"/>
        </w:rPr>
        <w:t>)</w:t>
      </w:r>
      <w:r>
        <w:rPr>
          <w:rFonts w:hint="eastAsia" w:ascii="宋体" w:hAnsi="宋体"/>
          <w:color w:val="auto"/>
          <w:sz w:val="24"/>
        </w:rPr>
        <w:t>，相关费用由承检单位负责，乙方填写《样品处理记录》（一式两份）由双方盖章签字后，各执一份留存；同时乙方应出具样品处置说明及样品处置相关照片。</w:t>
      </w:r>
    </w:p>
    <w:p>
      <w:pPr>
        <w:spacing w:line="520" w:lineRule="exact"/>
        <w:ind w:firstLine="480" w:firstLineChars="200"/>
        <w:rPr>
          <w:rFonts w:ascii="宋体" w:cs="宋体"/>
          <w:color w:val="auto"/>
          <w:sz w:val="24"/>
        </w:rPr>
      </w:pPr>
      <w:r>
        <w:rPr>
          <w:rFonts w:ascii="宋体" w:hAnsi="宋体" w:cs="宋体"/>
          <w:color w:val="auto"/>
          <w:sz w:val="24"/>
        </w:rPr>
        <w:t xml:space="preserve">10. </w:t>
      </w:r>
      <w:r>
        <w:rPr>
          <w:rFonts w:hint="eastAsia" w:ascii="宋体" w:hAnsi="宋体" w:cs="宋体"/>
          <w:color w:val="auto"/>
          <w:sz w:val="24"/>
        </w:rPr>
        <w:t>按照有关法律法规和技术规范开展流通领域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未经甲方同意，乙方不得少检或漏检，不得将委托检测的产品以任何方式转包、分包和挂靠其他机构检测。乙方不得对外泄漏和公布检测数据和结果，对检验过程及检验结果全程保密，未经甲方同意不得告知第三方。如发现乙方有上述行为，采购人有权解除合同，取消乙方承接杭州市市场监督管理局抽检工作资格，乙方应当全额退还甲方的检验费用，并没收其履约保证金，甲方将对乙方给予网上通报，禁止其在一至三年内参与省本级政府采购活动，给甲方造成损失的，乙方须承担赔偿责任，同时根据相关国家规定及约定承担其他民事责任。</w:t>
      </w:r>
    </w:p>
    <w:p>
      <w:pPr>
        <w:spacing w:line="520" w:lineRule="exact"/>
        <w:ind w:firstLine="482" w:firstLineChars="200"/>
        <w:rPr>
          <w:rFonts w:ascii="宋体" w:cs="宋体"/>
          <w:b/>
          <w:bCs/>
          <w:color w:val="auto"/>
          <w:sz w:val="30"/>
          <w:szCs w:val="30"/>
        </w:rPr>
      </w:pPr>
      <w:r>
        <w:rPr>
          <w:rFonts w:ascii="宋体" w:hAnsi="宋体" w:cs="宋体"/>
          <w:b/>
          <w:color w:val="auto"/>
          <w:sz w:val="24"/>
        </w:rPr>
        <w:t xml:space="preserve">11. </w:t>
      </w:r>
      <w:r>
        <w:rPr>
          <w:rFonts w:hint="eastAsia" w:ascii="宋体" w:hAnsi="宋体" w:cs="宋体"/>
          <w:b/>
          <w:color w:val="auto"/>
          <w:sz w:val="24"/>
        </w:rPr>
        <w:t>乙方向甲方提供技术咨询及其他后续服务。乙方每年免费为甲方举办不得少于</w:t>
      </w:r>
      <w:r>
        <w:rPr>
          <w:rFonts w:ascii="宋体" w:hAnsi="宋体" w:cs="宋体"/>
          <w:b/>
          <w:color w:val="auto"/>
          <w:sz w:val="24"/>
        </w:rPr>
        <w:t>2</w:t>
      </w:r>
      <w:r>
        <w:rPr>
          <w:rFonts w:hint="eastAsia" w:ascii="宋体" w:hAnsi="宋体" w:cs="宋体"/>
          <w:b/>
          <w:color w:val="auto"/>
          <w:sz w:val="24"/>
        </w:rPr>
        <w:t>次的业务培训</w:t>
      </w:r>
      <w:r>
        <w:rPr>
          <w:rFonts w:hint="eastAsia" w:ascii="宋体" w:hAnsi="宋体" w:cs="宋体"/>
          <w:b/>
          <w:bCs/>
          <w:color w:val="auto"/>
          <w:sz w:val="30"/>
          <w:szCs w:val="30"/>
        </w:rPr>
        <w:t>。</w:t>
      </w:r>
    </w:p>
    <w:p>
      <w:pPr>
        <w:spacing w:line="520" w:lineRule="exact"/>
        <w:rPr>
          <w:rFonts w:ascii="宋体" w:cs="宋体"/>
          <w:color w:val="auto"/>
          <w:sz w:val="24"/>
        </w:rPr>
      </w:pPr>
      <w:bookmarkStart w:id="74" w:name="_Toc393791427"/>
      <w:r>
        <w:rPr>
          <w:rFonts w:hint="eastAsia" w:ascii="宋体" w:hAnsi="宋体" w:cs="宋体"/>
          <w:color w:val="auto"/>
          <w:sz w:val="24"/>
        </w:rPr>
        <w:t>三、甲方的权利和义务</w:t>
      </w:r>
      <w:bookmarkEnd w:id="74"/>
    </w:p>
    <w:p>
      <w:pPr>
        <w:spacing w:line="520" w:lineRule="exact"/>
        <w:ind w:firstLine="480" w:firstLineChars="200"/>
        <w:rPr>
          <w:rFonts w:ascii="宋体" w:cs="宋体"/>
          <w:color w:val="auto"/>
          <w:sz w:val="24"/>
        </w:rPr>
      </w:pPr>
      <w:r>
        <w:rPr>
          <w:rFonts w:ascii="宋体" w:hAnsi="宋体" w:cs="宋体"/>
          <w:color w:val="auto"/>
          <w:sz w:val="24"/>
        </w:rPr>
        <w:t xml:space="preserve">1. </w:t>
      </w:r>
      <w:r>
        <w:rPr>
          <w:rFonts w:hint="eastAsia" w:ascii="宋体" w:hAnsi="宋体" w:cs="宋体"/>
          <w:color w:val="auto"/>
          <w:sz w:val="24"/>
        </w:rPr>
        <w:t>指定一名抽检工作联系人，确保通讯畅通，每日</w:t>
      </w:r>
      <w:r>
        <w:rPr>
          <w:rFonts w:ascii="宋体" w:hAnsi="宋体" w:cs="宋体"/>
          <w:color w:val="auto"/>
          <w:sz w:val="24"/>
        </w:rPr>
        <w:t>24</w:t>
      </w:r>
      <w:r>
        <w:rPr>
          <w:rFonts w:hint="eastAsia" w:ascii="宋体" w:hAnsi="宋体" w:cs="宋体"/>
          <w:color w:val="auto"/>
          <w:sz w:val="24"/>
        </w:rPr>
        <w:t>小时开机，代表甲方处理流通领域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商品质量抽查检验承检工作中的有关事宜。</w:t>
      </w:r>
    </w:p>
    <w:p>
      <w:pPr>
        <w:spacing w:line="520" w:lineRule="exact"/>
        <w:ind w:firstLine="480" w:firstLineChars="200"/>
        <w:rPr>
          <w:rFonts w:ascii="宋体" w:cs="宋体"/>
          <w:color w:val="auto"/>
          <w:sz w:val="24"/>
          <w:highlight w:val="yellow"/>
        </w:rPr>
      </w:pPr>
      <w:r>
        <w:rPr>
          <w:rFonts w:ascii="宋体" w:hAnsi="宋体" w:cs="宋体"/>
          <w:color w:val="auto"/>
          <w:sz w:val="24"/>
        </w:rPr>
        <w:t xml:space="preserve">2. </w:t>
      </w:r>
      <w:r>
        <w:rPr>
          <w:rFonts w:hint="eastAsia" w:ascii="宋体" w:hAnsi="宋体" w:cs="宋体"/>
          <w:color w:val="auto"/>
          <w:sz w:val="24"/>
        </w:rPr>
        <w:t>向乙方提供流通领域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商品质量抽查检验承检工作计划和服务内容等书面材料和要求。检测产品的种类、品种、项目、抽样地点及样品处理由甲方提前</w:t>
      </w:r>
      <w:r>
        <w:rPr>
          <w:rFonts w:ascii="宋体" w:hAnsi="宋体" w:cs="宋体"/>
          <w:color w:val="auto"/>
          <w:sz w:val="24"/>
        </w:rPr>
        <w:t>7</w:t>
      </w:r>
      <w:r>
        <w:rPr>
          <w:rFonts w:hint="eastAsia" w:ascii="宋体" w:hAnsi="宋体" w:cs="宋体"/>
          <w:color w:val="auto"/>
          <w:sz w:val="24"/>
        </w:rPr>
        <w:t>日通知乙方。</w:t>
      </w:r>
    </w:p>
    <w:p>
      <w:pPr>
        <w:spacing w:line="520" w:lineRule="exact"/>
        <w:ind w:firstLine="480" w:firstLineChars="200"/>
        <w:rPr>
          <w:rFonts w:ascii="宋体" w:cs="宋体"/>
          <w:color w:val="auto"/>
          <w:sz w:val="24"/>
        </w:rPr>
      </w:pPr>
      <w:r>
        <w:rPr>
          <w:rFonts w:ascii="宋体" w:hAnsi="宋体" w:cs="宋体"/>
          <w:color w:val="auto"/>
          <w:sz w:val="24"/>
        </w:rPr>
        <w:t xml:space="preserve">3. </w:t>
      </w:r>
      <w:r>
        <w:rPr>
          <w:rFonts w:hint="eastAsia" w:ascii="宋体" w:hAnsi="宋体" w:cs="宋体"/>
          <w:color w:val="auto"/>
          <w:sz w:val="24"/>
        </w:rPr>
        <w:t>对乙方流通领域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商品质量抽查检验承检工作计划完成情况予以审核确认，如期向乙方支付抽检费用。</w:t>
      </w:r>
    </w:p>
    <w:p>
      <w:pPr>
        <w:spacing w:line="520" w:lineRule="exact"/>
        <w:ind w:firstLine="480" w:firstLineChars="200"/>
        <w:rPr>
          <w:rFonts w:ascii="宋体" w:cs="宋体"/>
          <w:color w:val="auto"/>
          <w:sz w:val="24"/>
        </w:rPr>
      </w:pPr>
      <w:r>
        <w:rPr>
          <w:rFonts w:ascii="宋体" w:hAnsi="宋体" w:cs="宋体"/>
          <w:color w:val="auto"/>
          <w:sz w:val="24"/>
        </w:rPr>
        <w:t xml:space="preserve">4. </w:t>
      </w:r>
      <w:r>
        <w:rPr>
          <w:rFonts w:hint="eastAsia" w:ascii="宋体" w:hAnsi="宋体" w:cs="宋体"/>
          <w:color w:val="auto"/>
          <w:sz w:val="24"/>
        </w:rPr>
        <w:t>有权利就委托的事项提出合法、合理的要求。</w:t>
      </w:r>
    </w:p>
    <w:p>
      <w:pPr>
        <w:spacing w:line="520" w:lineRule="exact"/>
        <w:ind w:firstLine="480" w:firstLineChars="200"/>
        <w:rPr>
          <w:rFonts w:ascii="宋体" w:cs="宋体"/>
          <w:color w:val="auto"/>
          <w:sz w:val="24"/>
        </w:rPr>
      </w:pPr>
      <w:r>
        <w:rPr>
          <w:rFonts w:ascii="宋体" w:hAnsi="宋体" w:cs="宋体"/>
          <w:color w:val="auto"/>
          <w:sz w:val="24"/>
        </w:rPr>
        <w:t>5</w:t>
      </w:r>
      <w:r>
        <w:rPr>
          <w:rFonts w:hint="eastAsia" w:ascii="宋体" w:hAnsi="宋体" w:cs="宋体"/>
          <w:color w:val="auto"/>
          <w:sz w:val="24"/>
        </w:rPr>
        <w:t>．有权利对乙方流通领域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商品质量抽查检验承检行为进行考核。</w:t>
      </w:r>
    </w:p>
    <w:p>
      <w:pPr>
        <w:spacing w:line="520" w:lineRule="exact"/>
        <w:ind w:firstLine="480" w:firstLineChars="200"/>
        <w:rPr>
          <w:rFonts w:ascii="宋体" w:cs="宋体"/>
          <w:color w:val="auto"/>
          <w:sz w:val="24"/>
        </w:rPr>
      </w:pPr>
      <w:r>
        <w:rPr>
          <w:rFonts w:ascii="宋体" w:hAnsi="宋体" w:cs="宋体"/>
          <w:color w:val="auto"/>
          <w:sz w:val="24"/>
        </w:rPr>
        <w:t xml:space="preserve">6. </w:t>
      </w:r>
      <w:r>
        <w:rPr>
          <w:rFonts w:hint="eastAsia" w:ascii="宋体" w:hAnsi="宋体" w:cs="宋体"/>
          <w:color w:val="auto"/>
          <w:sz w:val="24"/>
        </w:rPr>
        <w:t>有权利派专家和工作人员监督抽检工作，但不得非法干预、影响检测过程和结果。甲方参加监督的专家和工作人员必须出具授权书，并写明参加的具体人员姓名。</w:t>
      </w:r>
    </w:p>
    <w:p>
      <w:pPr>
        <w:spacing w:line="520" w:lineRule="exact"/>
        <w:ind w:firstLine="480" w:firstLineChars="200"/>
        <w:rPr>
          <w:rFonts w:ascii="宋体" w:cs="宋体"/>
          <w:color w:val="auto"/>
          <w:sz w:val="24"/>
        </w:rPr>
      </w:pPr>
      <w:r>
        <w:rPr>
          <w:rFonts w:ascii="宋体" w:hAnsi="宋体" w:cs="宋体"/>
          <w:color w:val="auto"/>
          <w:sz w:val="24"/>
        </w:rPr>
        <w:t>7</w:t>
      </w:r>
      <w:r>
        <w:rPr>
          <w:rFonts w:hint="eastAsia" w:ascii="宋体" w:hAnsi="宋体" w:cs="宋体"/>
          <w:color w:val="auto"/>
          <w:sz w:val="24"/>
        </w:rPr>
        <w:t>．有义务保守检测工作的相关秘密。</w:t>
      </w:r>
    </w:p>
    <w:p>
      <w:pPr>
        <w:spacing w:line="520" w:lineRule="exact"/>
        <w:ind w:firstLine="480" w:firstLineChars="200"/>
        <w:rPr>
          <w:rFonts w:ascii="宋体" w:cs="宋体"/>
          <w:color w:val="auto"/>
          <w:sz w:val="24"/>
        </w:rPr>
      </w:pPr>
      <w:r>
        <w:rPr>
          <w:rFonts w:ascii="宋体" w:hAnsi="宋体" w:cs="宋体"/>
          <w:color w:val="auto"/>
          <w:sz w:val="24"/>
        </w:rPr>
        <w:t xml:space="preserve">8. </w:t>
      </w:r>
      <w:r>
        <w:rPr>
          <w:rFonts w:hint="eastAsia" w:ascii="宋体" w:hAnsi="宋体" w:cs="宋体"/>
          <w:color w:val="auto"/>
          <w:sz w:val="24"/>
        </w:rPr>
        <w:t>应遵守法律法规和各项检测规范和制度。</w:t>
      </w:r>
    </w:p>
    <w:p>
      <w:pPr>
        <w:spacing w:line="520" w:lineRule="exact"/>
        <w:rPr>
          <w:rFonts w:ascii="宋体" w:cs="宋体"/>
          <w:color w:val="auto"/>
          <w:sz w:val="24"/>
        </w:rPr>
      </w:pPr>
      <w:bookmarkStart w:id="75" w:name="_Toc393791428"/>
      <w:r>
        <w:rPr>
          <w:rFonts w:hint="eastAsia" w:ascii="宋体" w:hAnsi="宋体" w:cs="宋体"/>
          <w:color w:val="auto"/>
          <w:sz w:val="24"/>
        </w:rPr>
        <w:t>四、乙方的权利和义务</w:t>
      </w:r>
      <w:bookmarkEnd w:id="75"/>
    </w:p>
    <w:p>
      <w:pPr>
        <w:spacing w:line="520" w:lineRule="exact"/>
        <w:ind w:firstLine="480" w:firstLineChars="200"/>
        <w:rPr>
          <w:rFonts w:ascii="宋体" w:cs="宋体"/>
          <w:color w:val="auto"/>
          <w:sz w:val="24"/>
        </w:rPr>
      </w:pPr>
      <w:r>
        <w:rPr>
          <w:rFonts w:ascii="宋体" w:hAnsi="宋体" w:cs="宋体"/>
          <w:color w:val="auto"/>
          <w:sz w:val="24"/>
        </w:rPr>
        <w:t xml:space="preserve">1. </w:t>
      </w:r>
      <w:r>
        <w:rPr>
          <w:rFonts w:hint="eastAsia" w:ascii="宋体" w:hAnsi="宋体" w:cs="宋体"/>
          <w:color w:val="auto"/>
          <w:sz w:val="24"/>
        </w:rPr>
        <w:t>指派专人负责项目联络工作，确保通讯畅通，每日</w:t>
      </w:r>
      <w:r>
        <w:rPr>
          <w:rFonts w:ascii="宋体" w:hAnsi="宋体" w:cs="宋体"/>
          <w:color w:val="auto"/>
          <w:sz w:val="24"/>
        </w:rPr>
        <w:t>24</w:t>
      </w:r>
      <w:r>
        <w:rPr>
          <w:rFonts w:hint="eastAsia" w:ascii="宋体" w:hAnsi="宋体" w:cs="宋体"/>
          <w:color w:val="auto"/>
          <w:sz w:val="24"/>
        </w:rPr>
        <w:t>小时开机，及时响应，如有变化应及时告知甲方。</w:t>
      </w:r>
    </w:p>
    <w:p>
      <w:pPr>
        <w:spacing w:line="520" w:lineRule="exact"/>
        <w:ind w:firstLine="480" w:firstLineChars="200"/>
        <w:rPr>
          <w:rFonts w:ascii="宋体" w:cs="宋体"/>
          <w:color w:val="auto"/>
          <w:sz w:val="24"/>
        </w:rPr>
      </w:pPr>
      <w:r>
        <w:rPr>
          <w:rFonts w:ascii="宋体" w:hAnsi="宋体" w:cs="宋体"/>
          <w:color w:val="auto"/>
          <w:sz w:val="24"/>
        </w:rPr>
        <w:t xml:space="preserve">2. </w:t>
      </w:r>
      <w:r>
        <w:rPr>
          <w:rFonts w:hint="eastAsia" w:ascii="宋体" w:hAnsi="宋体" w:cs="宋体"/>
          <w:color w:val="auto"/>
          <w:sz w:val="24"/>
        </w:rPr>
        <w:t>按照有关法律法规和技术规范要求，加强质量控制和规范管理，确保检测结果客观、准确，并按照委托时限上报。</w:t>
      </w:r>
    </w:p>
    <w:p>
      <w:pPr>
        <w:spacing w:line="520" w:lineRule="exact"/>
        <w:ind w:firstLine="480" w:firstLineChars="200"/>
        <w:rPr>
          <w:rFonts w:ascii="宋体" w:cs="宋体"/>
          <w:color w:val="auto"/>
          <w:sz w:val="24"/>
        </w:rPr>
      </w:pPr>
      <w:r>
        <w:rPr>
          <w:rFonts w:ascii="宋体" w:hAnsi="宋体" w:cs="宋体"/>
          <w:color w:val="auto"/>
          <w:sz w:val="24"/>
        </w:rPr>
        <w:t xml:space="preserve">3. </w:t>
      </w:r>
      <w:r>
        <w:rPr>
          <w:rFonts w:hint="eastAsia" w:ascii="宋体" w:hAnsi="宋体" w:cs="宋体"/>
          <w:color w:val="auto"/>
          <w:sz w:val="24"/>
        </w:rPr>
        <w:t>根据甲方要求制订流通领域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商品质量抽查检验承检工作计划，同时可以根据甲方需求提出合理化建议。</w:t>
      </w:r>
    </w:p>
    <w:p>
      <w:pPr>
        <w:spacing w:line="520" w:lineRule="exact"/>
        <w:ind w:firstLine="480" w:firstLineChars="200"/>
        <w:rPr>
          <w:rFonts w:ascii="宋体" w:cs="宋体"/>
          <w:color w:val="auto"/>
          <w:sz w:val="24"/>
        </w:rPr>
      </w:pPr>
      <w:r>
        <w:rPr>
          <w:rFonts w:ascii="宋体" w:hAnsi="宋体" w:cs="宋体"/>
          <w:color w:val="auto"/>
          <w:sz w:val="24"/>
        </w:rPr>
        <w:t xml:space="preserve">4. </w:t>
      </w:r>
      <w:r>
        <w:rPr>
          <w:rFonts w:hint="eastAsia" w:ascii="宋体" w:hAnsi="宋体" w:cs="宋体"/>
          <w:color w:val="auto"/>
          <w:sz w:val="24"/>
        </w:rPr>
        <w:t>根据甲方要求开展流通领域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商品质量抽查检验承检工作，每个抽检工作结束后可向甲方提出出具书面确认材料。</w:t>
      </w:r>
    </w:p>
    <w:p>
      <w:pPr>
        <w:spacing w:line="520" w:lineRule="exact"/>
        <w:ind w:firstLine="480" w:firstLineChars="200"/>
        <w:rPr>
          <w:rFonts w:ascii="宋体" w:cs="宋体"/>
          <w:color w:val="auto"/>
          <w:sz w:val="24"/>
        </w:rPr>
      </w:pPr>
      <w:r>
        <w:rPr>
          <w:rFonts w:ascii="宋体" w:hAnsi="宋体" w:cs="宋体"/>
          <w:color w:val="auto"/>
          <w:sz w:val="24"/>
        </w:rPr>
        <w:t xml:space="preserve">5. </w:t>
      </w:r>
      <w:r>
        <w:rPr>
          <w:rFonts w:hint="eastAsia" w:ascii="宋体" w:hAnsi="宋体" w:cs="宋体"/>
          <w:color w:val="auto"/>
          <w:sz w:val="24"/>
        </w:rPr>
        <w:t>满足甲方的合法、合理要求，但对违法违规以及无理的要求应予拒绝。</w:t>
      </w:r>
    </w:p>
    <w:p>
      <w:pPr>
        <w:spacing w:line="520" w:lineRule="exact"/>
        <w:ind w:firstLine="480" w:firstLineChars="200"/>
        <w:rPr>
          <w:rFonts w:ascii="宋体" w:cs="宋体"/>
          <w:color w:val="auto"/>
          <w:sz w:val="24"/>
        </w:rPr>
      </w:pPr>
      <w:r>
        <w:rPr>
          <w:rFonts w:ascii="宋体" w:hAnsi="宋体" w:cs="宋体"/>
          <w:color w:val="auto"/>
          <w:sz w:val="24"/>
        </w:rPr>
        <w:t xml:space="preserve">6. </w:t>
      </w:r>
      <w:r>
        <w:rPr>
          <w:rFonts w:hint="eastAsia" w:ascii="宋体" w:hAnsi="宋体" w:cs="宋体"/>
          <w:color w:val="auto"/>
          <w:sz w:val="24"/>
        </w:rPr>
        <w:t>可根据需要，就流通领域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商品质量抽查检验承检工作征询专家意见。</w:t>
      </w:r>
    </w:p>
    <w:p>
      <w:pPr>
        <w:spacing w:line="520" w:lineRule="exact"/>
        <w:ind w:firstLine="480" w:firstLineChars="200"/>
        <w:rPr>
          <w:rFonts w:ascii="宋体" w:cs="宋体"/>
          <w:color w:val="auto"/>
          <w:sz w:val="24"/>
        </w:rPr>
      </w:pPr>
      <w:r>
        <w:rPr>
          <w:rFonts w:ascii="宋体" w:hAnsi="宋体" w:cs="宋体"/>
          <w:color w:val="auto"/>
          <w:sz w:val="24"/>
        </w:rPr>
        <w:t xml:space="preserve">7. </w:t>
      </w:r>
      <w:r>
        <w:rPr>
          <w:rFonts w:hint="eastAsia" w:ascii="宋体" w:hAnsi="宋体" w:cs="宋体"/>
          <w:color w:val="auto"/>
          <w:sz w:val="24"/>
        </w:rPr>
        <w:t>在委托事项范围内应及时答复甲方的询问和质疑。</w:t>
      </w:r>
    </w:p>
    <w:p>
      <w:pPr>
        <w:spacing w:line="520" w:lineRule="exact"/>
        <w:ind w:firstLine="480" w:firstLineChars="200"/>
        <w:rPr>
          <w:rFonts w:ascii="宋体" w:cs="宋体"/>
          <w:color w:val="auto"/>
          <w:sz w:val="24"/>
        </w:rPr>
      </w:pPr>
      <w:r>
        <w:rPr>
          <w:rFonts w:ascii="宋体" w:hAnsi="宋体" w:cs="宋体"/>
          <w:color w:val="auto"/>
          <w:sz w:val="24"/>
        </w:rPr>
        <w:t xml:space="preserve">8. </w:t>
      </w:r>
      <w:r>
        <w:rPr>
          <w:rFonts w:hint="eastAsia" w:ascii="宋体" w:hAnsi="宋体" w:cs="宋体"/>
          <w:color w:val="auto"/>
          <w:sz w:val="24"/>
        </w:rPr>
        <w:t>有义务保守检测工作的相关秘密。</w:t>
      </w:r>
    </w:p>
    <w:p>
      <w:pPr>
        <w:spacing w:line="520" w:lineRule="exact"/>
        <w:ind w:firstLine="480" w:firstLineChars="200"/>
        <w:rPr>
          <w:rFonts w:ascii="宋体" w:cs="宋体"/>
          <w:color w:val="auto"/>
          <w:sz w:val="24"/>
        </w:rPr>
      </w:pPr>
      <w:r>
        <w:rPr>
          <w:rFonts w:ascii="宋体" w:hAnsi="宋体" w:cs="宋体"/>
          <w:color w:val="auto"/>
          <w:sz w:val="24"/>
        </w:rPr>
        <w:t xml:space="preserve">9. </w:t>
      </w:r>
      <w:r>
        <w:rPr>
          <w:rFonts w:hint="eastAsia" w:ascii="宋体" w:hAnsi="宋体" w:cs="宋体"/>
          <w:color w:val="auto"/>
          <w:sz w:val="24"/>
        </w:rPr>
        <w:t>在采样过程中不得收取生产经营单位任何费用。</w:t>
      </w:r>
    </w:p>
    <w:p>
      <w:pPr>
        <w:spacing w:line="520" w:lineRule="exact"/>
        <w:ind w:firstLine="480" w:firstLineChars="200"/>
        <w:rPr>
          <w:rFonts w:ascii="宋体" w:cs="宋体"/>
          <w:color w:val="auto"/>
          <w:sz w:val="24"/>
        </w:rPr>
      </w:pPr>
      <w:r>
        <w:rPr>
          <w:rFonts w:ascii="宋体" w:hAnsi="宋体" w:cs="宋体"/>
          <w:color w:val="auto"/>
          <w:sz w:val="24"/>
        </w:rPr>
        <w:t xml:space="preserve">10. </w:t>
      </w:r>
      <w:r>
        <w:rPr>
          <w:rFonts w:hint="eastAsia" w:ascii="宋体" w:hAnsi="宋体" w:cs="宋体"/>
          <w:color w:val="auto"/>
          <w:sz w:val="24"/>
        </w:rPr>
        <w:t>有权向甲方举报生产经营单位违法违规行为。</w:t>
      </w:r>
    </w:p>
    <w:p>
      <w:pPr>
        <w:spacing w:line="520" w:lineRule="exact"/>
        <w:ind w:firstLine="480" w:firstLineChars="200"/>
        <w:rPr>
          <w:rFonts w:ascii="宋体" w:cs="宋体"/>
          <w:color w:val="auto"/>
          <w:sz w:val="24"/>
        </w:rPr>
      </w:pPr>
      <w:r>
        <w:rPr>
          <w:rFonts w:ascii="宋体" w:hAnsi="宋体" w:cs="宋体"/>
          <w:color w:val="auto"/>
          <w:sz w:val="24"/>
        </w:rPr>
        <w:t xml:space="preserve">11. </w:t>
      </w:r>
      <w:r>
        <w:rPr>
          <w:rFonts w:hint="eastAsia" w:ascii="宋体" w:hAnsi="宋体" w:cs="宋体"/>
          <w:color w:val="auto"/>
          <w:sz w:val="24"/>
        </w:rPr>
        <w:t>应遵守法律法规和检测技术规范和相关制度。</w:t>
      </w:r>
    </w:p>
    <w:p>
      <w:pPr>
        <w:spacing w:line="520" w:lineRule="exact"/>
        <w:rPr>
          <w:rFonts w:ascii="宋体" w:cs="宋体"/>
          <w:color w:val="auto"/>
          <w:sz w:val="24"/>
        </w:rPr>
      </w:pPr>
      <w:bookmarkStart w:id="76" w:name="_Toc393791429"/>
      <w:r>
        <w:rPr>
          <w:rFonts w:hint="eastAsia" w:ascii="宋体" w:hAnsi="宋体" w:cs="宋体"/>
          <w:color w:val="auto"/>
          <w:sz w:val="24"/>
        </w:rPr>
        <w:t>五、有关费用</w:t>
      </w:r>
      <w:bookmarkEnd w:id="76"/>
    </w:p>
    <w:p>
      <w:pPr>
        <w:spacing w:line="520" w:lineRule="exact"/>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大宗抽检工作中产生的采样费，包括购样费、检验费、邮寄费、复检费用、抽样差旅食宿费等。其中，购样费由承检方先行垫支，抽检工作完成后由委托方按发票及购样清单由委托方按实际金额支付。邮寄费、复检费用、抽样差旅食宿费等其他发生的费用由中标（入围）方负责，委托方不予支付。</w:t>
      </w:r>
    </w:p>
    <w:p>
      <w:pPr>
        <w:adjustRightInd w:val="0"/>
        <w:snapToGrid w:val="0"/>
        <w:spacing w:line="520" w:lineRule="exact"/>
        <w:ind w:firstLine="480" w:firstLineChars="200"/>
        <w:rPr>
          <w:rFonts w:ascii="宋体"/>
          <w:color w:val="auto"/>
          <w:sz w:val="24"/>
        </w:rPr>
      </w:pPr>
      <w:r>
        <w:rPr>
          <w:rFonts w:ascii="宋体" w:hAnsi="宋体" w:cs="宋体"/>
          <w:color w:val="auto"/>
          <w:sz w:val="24"/>
        </w:rPr>
        <w:t>2</w:t>
      </w:r>
      <w:r>
        <w:rPr>
          <w:rFonts w:hint="eastAsia" w:ascii="宋体" w:hAnsi="宋体" w:cs="宋体"/>
          <w:color w:val="auto"/>
          <w:sz w:val="24"/>
        </w:rPr>
        <w:t>、</w:t>
      </w:r>
      <w:r>
        <w:rPr>
          <w:rFonts w:hint="eastAsia" w:ascii="宋体" w:hAnsi="宋体"/>
          <w:color w:val="auto"/>
          <w:kern w:val="0"/>
          <w:sz w:val="24"/>
          <w:lang w:val="zh-CN"/>
        </w:rPr>
        <w:t>履约保证金。签订合同时乙方须向甲方交纳壹万元整的履约保证金。</w:t>
      </w:r>
      <w:r>
        <w:rPr>
          <w:rFonts w:hint="eastAsia" w:ascii="宋体" w:hAnsi="宋体"/>
          <w:color w:val="auto"/>
          <w:sz w:val="24"/>
        </w:rPr>
        <w:t>履约保证金将在本项目服务期结束，通过相关部门验收合格且无质量问题后</w:t>
      </w:r>
      <w:r>
        <w:rPr>
          <w:rFonts w:ascii="宋体" w:hAnsi="宋体"/>
          <w:color w:val="auto"/>
          <w:sz w:val="24"/>
        </w:rPr>
        <w:t>10</w:t>
      </w:r>
      <w:r>
        <w:rPr>
          <w:rFonts w:hint="eastAsia" w:ascii="宋体" w:hAnsi="宋体"/>
          <w:color w:val="auto"/>
          <w:sz w:val="24"/>
        </w:rPr>
        <w:t>个工作日内</w:t>
      </w:r>
      <w:r>
        <w:rPr>
          <w:rFonts w:hint="eastAsia" w:ascii="宋体" w:hAnsi="宋体"/>
          <w:bCs/>
          <w:color w:val="auto"/>
          <w:sz w:val="24"/>
        </w:rPr>
        <w:t>无息退还</w:t>
      </w:r>
      <w:r>
        <w:rPr>
          <w:rFonts w:hint="eastAsia" w:ascii="宋体" w:hAnsi="宋体"/>
          <w:color w:val="auto"/>
          <w:sz w:val="24"/>
        </w:rPr>
        <w:t>。</w:t>
      </w:r>
    </w:p>
    <w:p>
      <w:pPr>
        <w:adjustRightInd w:val="0"/>
        <w:snapToGrid w:val="0"/>
        <w:spacing w:line="520" w:lineRule="exact"/>
        <w:ind w:firstLine="480" w:firstLineChars="200"/>
        <w:rPr>
          <w:rFonts w:ascii="宋体" w:cs="宋体"/>
          <w:color w:val="auto"/>
          <w:sz w:val="24"/>
        </w:rPr>
      </w:pPr>
      <w:r>
        <w:rPr>
          <w:rFonts w:hint="eastAsia" w:ascii="宋体" w:hAnsi="宋体" w:cs="宋体"/>
          <w:color w:val="auto"/>
          <w:sz w:val="24"/>
        </w:rPr>
        <w:t>甲方保证金账户名称、开户银行和帐号为：</w:t>
      </w:r>
    </w:p>
    <w:p>
      <w:pPr>
        <w:adjustRightInd w:val="0"/>
        <w:snapToGrid w:val="0"/>
        <w:spacing w:line="520" w:lineRule="exact"/>
        <w:ind w:firstLine="480" w:firstLineChars="200"/>
        <w:rPr>
          <w:rFonts w:ascii="宋体" w:cs="宋体"/>
          <w:color w:val="auto"/>
          <w:sz w:val="24"/>
        </w:rPr>
      </w:pPr>
      <w:r>
        <w:rPr>
          <w:rFonts w:hint="eastAsia" w:ascii="宋体" w:hAnsi="宋体" w:cs="宋体"/>
          <w:color w:val="auto"/>
          <w:sz w:val="24"/>
        </w:rPr>
        <w:t>账户名称：杭州市市级机关事业单位会计结算中心</w:t>
      </w:r>
    </w:p>
    <w:p>
      <w:pPr>
        <w:adjustRightInd w:val="0"/>
        <w:snapToGrid w:val="0"/>
        <w:spacing w:line="520" w:lineRule="exact"/>
        <w:ind w:firstLine="480" w:firstLineChars="200"/>
        <w:rPr>
          <w:rFonts w:ascii="宋体" w:cs="宋体"/>
          <w:color w:val="auto"/>
          <w:sz w:val="24"/>
        </w:rPr>
      </w:pPr>
      <w:r>
        <w:rPr>
          <w:rFonts w:hint="eastAsia" w:ascii="宋体" w:hAnsi="宋体" w:cs="宋体"/>
          <w:color w:val="auto"/>
          <w:sz w:val="24"/>
        </w:rPr>
        <w:t>帐号：</w:t>
      </w:r>
      <w:r>
        <w:rPr>
          <w:rFonts w:ascii="宋体" w:hAnsi="宋体" w:cs="宋体"/>
          <w:color w:val="auto"/>
          <w:sz w:val="24"/>
        </w:rPr>
        <w:t>75182014309888-092001</w:t>
      </w:r>
    </w:p>
    <w:p>
      <w:pPr>
        <w:spacing w:line="520" w:lineRule="exact"/>
        <w:ind w:firstLine="480" w:firstLineChars="200"/>
        <w:rPr>
          <w:rFonts w:ascii="宋体" w:cs="宋体"/>
          <w:color w:val="auto"/>
          <w:sz w:val="24"/>
        </w:rPr>
      </w:pPr>
      <w:r>
        <w:rPr>
          <w:rFonts w:hint="eastAsia" w:ascii="宋体" w:hAnsi="宋体" w:cs="宋体"/>
          <w:color w:val="auto"/>
          <w:sz w:val="24"/>
        </w:rPr>
        <w:t>2、检测费用支付时间：</w:t>
      </w:r>
    </w:p>
    <w:p>
      <w:pPr>
        <w:spacing w:line="520" w:lineRule="exact"/>
        <w:ind w:firstLine="480" w:firstLineChars="200"/>
        <w:rPr>
          <w:rFonts w:ascii="宋体" w:hAnsi="宋体" w:cs="宋体"/>
          <w:color w:val="auto"/>
          <w:sz w:val="24"/>
        </w:rPr>
      </w:pPr>
      <w:r>
        <w:rPr>
          <w:rFonts w:hint="eastAsia" w:ascii="宋体" w:hAnsi="宋体" w:cs="宋体"/>
          <w:color w:val="auto"/>
          <w:sz w:val="24"/>
        </w:rPr>
        <w:t>单次委托检验合同（另行签订）签订后15个工作日内支付合同款项的50%，项目履行结束服务情况良好，无质量和服务问题，支付剩余应付款项。</w:t>
      </w:r>
    </w:p>
    <w:p>
      <w:pPr>
        <w:spacing w:line="520" w:lineRule="exact"/>
        <w:rPr>
          <w:rFonts w:ascii="宋体" w:cs="宋体"/>
          <w:color w:val="auto"/>
          <w:sz w:val="24"/>
        </w:rPr>
      </w:pPr>
      <w:bookmarkStart w:id="77" w:name="_Toc393791430"/>
      <w:r>
        <w:rPr>
          <w:rFonts w:hint="eastAsia" w:ascii="宋体" w:hAnsi="宋体" w:cs="宋体"/>
          <w:color w:val="auto"/>
          <w:sz w:val="24"/>
        </w:rPr>
        <w:t>七、</w:t>
      </w:r>
      <w:bookmarkStart w:id="78" w:name="_Toc320875197"/>
      <w:r>
        <w:rPr>
          <w:rFonts w:hint="eastAsia" w:ascii="宋体" w:hAnsi="宋体" w:cs="宋体"/>
          <w:color w:val="auto"/>
          <w:sz w:val="24"/>
        </w:rPr>
        <w:t>保密条款</w:t>
      </w:r>
      <w:bookmarkEnd w:id="78"/>
    </w:p>
    <w:p>
      <w:pPr>
        <w:spacing w:line="520" w:lineRule="exact"/>
        <w:ind w:firstLine="420" w:firstLineChars="175"/>
        <w:rPr>
          <w:rFonts w:ascii="宋体" w:cs="宋体"/>
          <w:color w:val="auto"/>
          <w:sz w:val="24"/>
        </w:rPr>
      </w:pPr>
      <w:r>
        <w:rPr>
          <w:rFonts w:hint="eastAsia" w:ascii="宋体" w:hAnsi="宋体" w:cs="宋体"/>
          <w:color w:val="auto"/>
          <w:sz w:val="24"/>
        </w:rPr>
        <w:t>乙方承诺，未经甲方同意，乙方不得将甲方的任何资料及报告内容泄露给第三方。</w:t>
      </w:r>
    </w:p>
    <w:p>
      <w:pPr>
        <w:spacing w:line="520" w:lineRule="exact"/>
        <w:rPr>
          <w:rFonts w:ascii="宋体" w:cs="宋体"/>
          <w:color w:val="auto"/>
          <w:sz w:val="24"/>
        </w:rPr>
      </w:pPr>
      <w:r>
        <w:rPr>
          <w:rFonts w:hint="eastAsia" w:ascii="宋体" w:hAnsi="宋体" w:cs="宋体"/>
          <w:color w:val="auto"/>
          <w:sz w:val="24"/>
        </w:rPr>
        <w:t>六、违约责任及处理</w:t>
      </w:r>
      <w:bookmarkEnd w:id="77"/>
    </w:p>
    <w:p>
      <w:pPr>
        <w:spacing w:line="520" w:lineRule="exact"/>
        <w:ind w:firstLine="480" w:firstLineChars="200"/>
        <w:rPr>
          <w:rFonts w:ascii="宋体" w:cs="宋体"/>
          <w:color w:val="auto"/>
          <w:sz w:val="24"/>
        </w:rPr>
      </w:pPr>
      <w:r>
        <w:rPr>
          <w:rFonts w:hint="eastAsia" w:ascii="宋体" w:hAnsi="宋体" w:cs="宋体"/>
          <w:color w:val="auto"/>
          <w:sz w:val="24"/>
        </w:rPr>
        <w:t>甲乙双方应遵守法律法规、技术规范和本协议有关规定，否则，将承担相应的违约责任。甲方应如期支付相关检测费用，逾期未支付相关检测费用，甲方承担违约责任。乙方应按协议如期流通领域</w:t>
      </w:r>
      <w:r>
        <w:rPr>
          <w:rFonts w:ascii="宋体" w:hAnsi="宋体" w:cs="宋体"/>
          <w:color w:val="auto"/>
          <w:sz w:val="24"/>
        </w:rPr>
        <w:t>(</w:t>
      </w:r>
      <w:r>
        <w:rPr>
          <w:rFonts w:hint="eastAsia" w:ascii="宋体" w:hAnsi="宋体" w:cs="宋体"/>
          <w:color w:val="auto"/>
          <w:sz w:val="24"/>
        </w:rPr>
        <w:t>网络</w:t>
      </w:r>
      <w:r>
        <w:rPr>
          <w:rFonts w:ascii="宋体" w:hAnsi="宋体" w:cs="宋体"/>
          <w:color w:val="auto"/>
          <w:sz w:val="24"/>
        </w:rPr>
        <w:t>)</w:t>
      </w:r>
      <w:r>
        <w:rPr>
          <w:rFonts w:hint="eastAsia" w:ascii="宋体" w:hAnsi="宋体" w:cs="宋体"/>
          <w:color w:val="auto"/>
          <w:sz w:val="24"/>
        </w:rPr>
        <w:t>商品质量抽查检验承检工作，未按协议规定开展抽检工作的，乙方承担包含但不限于《杭州市流通领域(网络)商品质量抽查检验项目委托检验合同（单次委托检验合同）》所明确的违约责任。甲方如发现乙方存在违约事件，经向同级财政监管部门办报告后，给予网上通报，禁止其在一至三年内参与浙江省内政府采购活动，给采购人造成损失的，入围供应商须承担赔偿责任，同时根据相关国家规定及约定承担其他民事责任。</w:t>
      </w:r>
    </w:p>
    <w:p>
      <w:pPr>
        <w:spacing w:line="520" w:lineRule="exact"/>
        <w:ind w:firstLine="480" w:firstLineChars="200"/>
        <w:rPr>
          <w:rFonts w:ascii="宋体" w:cs="宋体"/>
          <w:color w:val="auto"/>
          <w:sz w:val="24"/>
        </w:rPr>
      </w:pPr>
      <w:r>
        <w:rPr>
          <w:rFonts w:hint="eastAsia" w:ascii="宋体" w:hAnsi="宋体" w:cs="宋体"/>
          <w:color w:val="auto"/>
          <w:sz w:val="24"/>
        </w:rPr>
        <w:t>本协议自甲乙双方签字盖章之日起生效。</w:t>
      </w:r>
    </w:p>
    <w:p>
      <w:pPr>
        <w:spacing w:line="520" w:lineRule="exact"/>
        <w:ind w:firstLine="480" w:firstLineChars="200"/>
        <w:rPr>
          <w:rFonts w:ascii="宋体" w:cs="宋体"/>
          <w:color w:val="auto"/>
          <w:sz w:val="24"/>
        </w:rPr>
      </w:pPr>
      <w:r>
        <w:rPr>
          <w:rFonts w:hint="eastAsia" w:ascii="宋体" w:hAnsi="宋体" w:cs="宋体"/>
          <w:color w:val="auto"/>
          <w:sz w:val="24"/>
        </w:rPr>
        <w:t>本合同一式五份，甲方执四份，乙方执一份。</w:t>
      </w:r>
    </w:p>
    <w:p>
      <w:pPr>
        <w:spacing w:line="520" w:lineRule="exact"/>
        <w:rPr>
          <w:rFonts w:ascii="宋体" w:cs="宋体"/>
          <w:color w:val="auto"/>
          <w:sz w:val="24"/>
        </w:rPr>
      </w:pPr>
    </w:p>
    <w:p>
      <w:pPr>
        <w:spacing w:line="520" w:lineRule="exact"/>
        <w:rPr>
          <w:rFonts w:ascii="宋体" w:cs="宋体"/>
          <w:color w:val="auto"/>
          <w:sz w:val="24"/>
        </w:rPr>
      </w:pPr>
    </w:p>
    <w:p>
      <w:pPr>
        <w:spacing w:line="520" w:lineRule="exact"/>
        <w:rPr>
          <w:rFonts w:ascii="宋体" w:cs="宋体"/>
          <w:color w:val="auto"/>
          <w:sz w:val="24"/>
        </w:rPr>
      </w:pPr>
    </w:p>
    <w:p>
      <w:pPr>
        <w:spacing w:line="520" w:lineRule="exact"/>
        <w:ind w:firstLine="720" w:firstLineChars="300"/>
        <w:rPr>
          <w:rFonts w:ascii="宋体" w:cs="宋体"/>
          <w:color w:val="auto"/>
          <w:sz w:val="24"/>
        </w:rPr>
      </w:pPr>
      <w:r>
        <w:rPr>
          <w:rFonts w:hint="eastAsia" w:ascii="宋体" w:hAnsi="宋体" w:cs="宋体"/>
          <w:color w:val="auto"/>
          <w:sz w:val="24"/>
        </w:rPr>
        <w:t>甲方：（盖章）                     乙方：（盖章）</w:t>
      </w:r>
    </w:p>
    <w:p>
      <w:pPr>
        <w:spacing w:line="520" w:lineRule="exact"/>
        <w:ind w:firstLine="720" w:firstLineChars="300"/>
        <w:rPr>
          <w:rFonts w:ascii="宋体" w:cs="宋体"/>
          <w:color w:val="auto"/>
          <w:sz w:val="24"/>
        </w:rPr>
      </w:pPr>
      <w:r>
        <w:rPr>
          <w:rFonts w:hint="eastAsia" w:ascii="宋体" w:hAnsi="宋体" w:cs="宋体"/>
          <w:color w:val="auto"/>
          <w:sz w:val="24"/>
        </w:rPr>
        <w:t>负责人签字：                      负责人签字：</w:t>
      </w:r>
    </w:p>
    <w:p>
      <w:pPr>
        <w:spacing w:line="520" w:lineRule="exact"/>
        <w:ind w:firstLine="720" w:firstLineChars="300"/>
        <w:rPr>
          <w:rFonts w:ascii="宋体" w:cs="宋体"/>
          <w:color w:val="auto"/>
          <w:sz w:val="24"/>
        </w:rPr>
      </w:pPr>
      <w:r>
        <w:rPr>
          <w:rFonts w:hint="eastAsia" w:ascii="宋体" w:hAnsi="宋体" w:cs="宋体"/>
          <w:color w:val="auto"/>
          <w:sz w:val="24"/>
        </w:rPr>
        <w:t>联系人：                          联系人：</w:t>
      </w:r>
    </w:p>
    <w:p>
      <w:pPr>
        <w:spacing w:line="520" w:lineRule="exact"/>
        <w:ind w:firstLine="720" w:firstLineChars="300"/>
        <w:rPr>
          <w:rFonts w:ascii="宋体" w:cs="宋体"/>
          <w:color w:val="auto"/>
          <w:sz w:val="24"/>
        </w:rPr>
      </w:pPr>
      <w:r>
        <w:rPr>
          <w:rFonts w:hint="eastAsia" w:ascii="宋体" w:hAnsi="宋体" w:cs="宋体"/>
          <w:color w:val="auto"/>
          <w:sz w:val="24"/>
        </w:rPr>
        <w:t>联系电话：                        联系电话：</w:t>
      </w:r>
    </w:p>
    <w:p>
      <w:pPr>
        <w:spacing w:line="520" w:lineRule="exact"/>
        <w:rPr>
          <w:rFonts w:ascii="宋体" w:cs="宋体"/>
          <w:color w:val="auto"/>
          <w:sz w:val="24"/>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24"/>
        </w:rPr>
        <w:t>2019年月日2019年月日</w:t>
      </w:r>
    </w:p>
    <w:bookmarkEnd w:id="59"/>
    <w:p>
      <w:pPr>
        <w:snapToGrid w:val="0"/>
        <w:spacing w:line="360" w:lineRule="auto"/>
        <w:jc w:val="center"/>
        <w:rPr>
          <w:rFonts w:ascii="宋体"/>
          <w:b/>
          <w:color w:val="auto"/>
          <w:sz w:val="36"/>
          <w:szCs w:val="36"/>
        </w:rPr>
      </w:pPr>
      <w:r>
        <w:rPr>
          <w:rFonts w:hint="eastAsia" w:ascii="宋体" w:hAnsi="宋体"/>
          <w:b/>
          <w:color w:val="auto"/>
          <w:sz w:val="36"/>
          <w:szCs w:val="36"/>
        </w:rPr>
        <w:t>政府采购支持中小企业信用融资相关事项通知</w:t>
      </w:r>
    </w:p>
    <w:p>
      <w:pPr>
        <w:snapToGrid w:val="0"/>
        <w:spacing w:line="360" w:lineRule="auto"/>
        <w:jc w:val="center"/>
        <w:rPr>
          <w:rFonts w:ascii="宋体"/>
          <w:b/>
          <w:color w:val="auto"/>
          <w:sz w:val="28"/>
          <w:szCs w:val="28"/>
        </w:rPr>
      </w:pPr>
    </w:p>
    <w:p>
      <w:pPr>
        <w:snapToGrid w:val="0"/>
        <w:spacing w:line="520" w:lineRule="exact"/>
        <w:ind w:firstLine="560" w:firstLineChars="200"/>
        <w:rPr>
          <w:rFonts w:ascii="宋体"/>
          <w:color w:val="auto"/>
          <w:sz w:val="28"/>
        </w:rPr>
      </w:pPr>
      <w:r>
        <w:rPr>
          <w:rFonts w:hint="eastAsia" w:ascii="宋体" w:hAnsi="宋体"/>
          <w:color w:val="auto"/>
          <w:sz w:val="28"/>
        </w:rPr>
        <w:t>为支持和促进中小企业发展，进一步发挥政府采购政策功能，杭州市财政局与省银监局、市金融办、市经信委共同出台了《杭州市政府采购支持中小企业信用融资暂行办法》，并从</w:t>
      </w:r>
      <w:r>
        <w:rPr>
          <w:rFonts w:ascii="宋体" w:hAnsi="宋体"/>
          <w:color w:val="auto"/>
          <w:sz w:val="28"/>
        </w:rPr>
        <w:t>2014</w:t>
      </w:r>
      <w:r>
        <w:rPr>
          <w:rFonts w:hint="eastAsia" w:ascii="宋体" w:hAnsi="宋体"/>
          <w:color w:val="auto"/>
          <w:sz w:val="28"/>
        </w:rPr>
        <w:t>年</w:t>
      </w:r>
      <w:r>
        <w:rPr>
          <w:rFonts w:ascii="宋体" w:hAnsi="宋体"/>
          <w:color w:val="auto"/>
          <w:sz w:val="28"/>
        </w:rPr>
        <w:t>7</w:t>
      </w:r>
      <w:r>
        <w:rPr>
          <w:rFonts w:hint="eastAsia" w:ascii="宋体" w:hAnsi="宋体"/>
          <w:color w:val="auto"/>
          <w:sz w:val="28"/>
        </w:rPr>
        <w:t>月</w:t>
      </w:r>
      <w:r>
        <w:rPr>
          <w:rFonts w:ascii="宋体" w:hAnsi="宋体"/>
          <w:color w:val="auto"/>
          <w:sz w:val="28"/>
        </w:rPr>
        <w:t>1</w:t>
      </w:r>
      <w:r>
        <w:rPr>
          <w:rFonts w:hint="eastAsia" w:ascii="宋体" w:hAnsi="宋体"/>
          <w:color w:val="auto"/>
          <w:sz w:val="28"/>
        </w:rPr>
        <w:t>日起正式启动信用融资工作，现将相关事项通知如下：</w:t>
      </w:r>
    </w:p>
    <w:p>
      <w:pPr>
        <w:snapToGrid w:val="0"/>
        <w:spacing w:line="520" w:lineRule="exact"/>
        <w:ind w:firstLine="560" w:firstLineChars="200"/>
        <w:rPr>
          <w:rFonts w:ascii="宋体"/>
          <w:color w:val="auto"/>
          <w:sz w:val="28"/>
        </w:rPr>
      </w:pPr>
      <w:r>
        <w:rPr>
          <w:rFonts w:hint="eastAsia" w:ascii="宋体" w:hAnsi="宋体"/>
          <w:color w:val="auto"/>
          <w:sz w:val="28"/>
        </w:rPr>
        <w:t>一、适用对象</w:t>
      </w:r>
    </w:p>
    <w:p>
      <w:pPr>
        <w:snapToGrid w:val="0"/>
        <w:spacing w:line="520" w:lineRule="exact"/>
        <w:ind w:firstLine="560" w:firstLineChars="200"/>
        <w:rPr>
          <w:rFonts w:ascii="宋体"/>
          <w:color w:val="auto"/>
          <w:sz w:val="28"/>
        </w:rPr>
      </w:pPr>
      <w:r>
        <w:rPr>
          <w:rFonts w:hint="eastAsia" w:ascii="宋体" w:hAnsi="宋体"/>
          <w:color w:val="auto"/>
          <w:sz w:val="28"/>
        </w:rPr>
        <w:t>在杭州市政府采购网上注册入库，并取得杭州市政府采购合同的杭州市内中小企业供应商。</w:t>
      </w:r>
    </w:p>
    <w:p>
      <w:pPr>
        <w:snapToGrid w:val="0"/>
        <w:spacing w:line="520" w:lineRule="exact"/>
        <w:ind w:firstLine="560" w:firstLineChars="200"/>
        <w:rPr>
          <w:rFonts w:ascii="宋体"/>
          <w:color w:val="auto"/>
          <w:sz w:val="28"/>
        </w:rPr>
      </w:pPr>
      <w:r>
        <w:rPr>
          <w:rFonts w:hint="eastAsia" w:ascii="宋体" w:hAnsi="宋体"/>
          <w:color w:val="auto"/>
          <w:sz w:val="28"/>
        </w:rPr>
        <w:t>二、相关信息获取方式</w:t>
      </w:r>
    </w:p>
    <w:p>
      <w:pPr>
        <w:snapToGrid w:val="0"/>
        <w:spacing w:line="520" w:lineRule="exact"/>
        <w:ind w:firstLine="560" w:firstLineChars="200"/>
        <w:rPr>
          <w:rFonts w:ascii="宋体"/>
          <w:color w:val="auto"/>
          <w:sz w:val="28"/>
        </w:rPr>
      </w:pPr>
      <w:r>
        <w:rPr>
          <w:rFonts w:hint="eastAsia" w:ascii="宋体" w:hAnsi="宋体"/>
          <w:color w:val="auto"/>
          <w:sz w:val="28"/>
        </w:rPr>
        <w:t>请登陆杭州市政府采购网（</w:t>
      </w:r>
      <w:r>
        <w:rPr>
          <w:rFonts w:ascii="宋体" w:hAnsi="宋体"/>
          <w:color w:val="auto"/>
          <w:sz w:val="28"/>
        </w:rPr>
        <w:t>http://cg.hzft.gov.cn</w:t>
      </w:r>
      <w:r>
        <w:rPr>
          <w:rFonts w:hint="eastAsia" w:ascii="宋体" w:hAnsi="宋体"/>
          <w:color w:val="auto"/>
          <w:sz w:val="28"/>
        </w:rPr>
        <w:t>）“中小企业信用融资”专栏，可查看信用融资政策文件及各相关银行服务方案。</w:t>
      </w:r>
    </w:p>
    <w:p>
      <w:pPr>
        <w:snapToGrid w:val="0"/>
        <w:spacing w:line="520" w:lineRule="exact"/>
        <w:ind w:firstLine="560" w:firstLineChars="200"/>
        <w:rPr>
          <w:rFonts w:ascii="宋体"/>
          <w:color w:val="auto"/>
          <w:sz w:val="28"/>
        </w:rPr>
      </w:pPr>
      <w:r>
        <w:rPr>
          <w:rFonts w:hint="eastAsia" w:ascii="宋体" w:hAnsi="宋体"/>
          <w:color w:val="auto"/>
          <w:sz w:val="28"/>
        </w:rPr>
        <w:t>三、申请方式和步骤</w:t>
      </w:r>
    </w:p>
    <w:p>
      <w:pPr>
        <w:snapToGrid w:val="0"/>
        <w:spacing w:line="520" w:lineRule="exact"/>
        <w:ind w:firstLine="560" w:firstLineChars="200"/>
        <w:rPr>
          <w:rFonts w:ascii="宋体"/>
          <w:color w:val="auto"/>
          <w:sz w:val="28"/>
        </w:rPr>
      </w:pPr>
      <w:r>
        <w:rPr>
          <w:rFonts w:ascii="宋体" w:hAnsi="宋体"/>
          <w:color w:val="auto"/>
          <w:sz w:val="28"/>
        </w:rPr>
        <w:t>1</w:t>
      </w:r>
      <w:r>
        <w:rPr>
          <w:rFonts w:hint="eastAsia" w:ascii="宋体" w:hAnsi="宋体"/>
          <w:color w:val="auto"/>
          <w:sz w:val="28"/>
        </w:rPr>
        <w:t>、供应商若有融资意向，需先与六家合作银行对接，办理相关融资前期手续；</w:t>
      </w:r>
    </w:p>
    <w:p>
      <w:pPr>
        <w:snapToGrid w:val="0"/>
        <w:spacing w:line="520" w:lineRule="exact"/>
        <w:ind w:firstLine="560" w:firstLineChars="200"/>
        <w:rPr>
          <w:rFonts w:ascii="宋体"/>
          <w:color w:val="auto"/>
          <w:sz w:val="28"/>
        </w:rPr>
      </w:pPr>
      <w:r>
        <w:rPr>
          <w:rFonts w:ascii="宋体" w:hAnsi="宋体"/>
          <w:color w:val="auto"/>
          <w:sz w:val="28"/>
        </w:rPr>
        <w:t>2</w:t>
      </w:r>
      <w:r>
        <w:rPr>
          <w:rFonts w:hint="eastAsia" w:ascii="宋体" w:hAnsi="宋体"/>
          <w:color w:val="auto"/>
          <w:sz w:val="28"/>
        </w:rPr>
        <w:t>、中标后，供应商应与采购单位或者采购代理机构及时联系，告知融资需求；</w:t>
      </w:r>
    </w:p>
    <w:p>
      <w:pPr>
        <w:snapToGrid w:val="0"/>
        <w:spacing w:line="520" w:lineRule="exact"/>
        <w:ind w:firstLine="560" w:firstLineChars="200"/>
        <w:rPr>
          <w:rFonts w:ascii="宋体"/>
          <w:color w:val="auto"/>
          <w:sz w:val="28"/>
        </w:rPr>
      </w:pPr>
      <w:r>
        <w:rPr>
          <w:rFonts w:ascii="宋体" w:hAnsi="宋体"/>
          <w:color w:val="auto"/>
          <w:sz w:val="28"/>
        </w:rPr>
        <w:t>3</w:t>
      </w:r>
      <w:r>
        <w:rPr>
          <w:rFonts w:hint="eastAsia" w:ascii="宋体" w:hAnsi="宋体"/>
          <w:color w:val="auto"/>
          <w:sz w:val="28"/>
        </w:rPr>
        <w:t>、采购单位或者采购代理机构在政府采购信息系统录入中标合同信息时，须在合同备案页“是否为可融资合同”前打勾，并选择相应的信用融资合作银行，录入账号信息；</w:t>
      </w:r>
    </w:p>
    <w:p>
      <w:pPr>
        <w:snapToGrid w:val="0"/>
        <w:spacing w:line="520" w:lineRule="exact"/>
        <w:ind w:firstLine="560" w:firstLineChars="200"/>
        <w:rPr>
          <w:rFonts w:ascii="宋体"/>
          <w:color w:val="auto"/>
          <w:sz w:val="28"/>
        </w:rPr>
      </w:pPr>
      <w:r>
        <w:rPr>
          <w:rFonts w:ascii="宋体" w:hAnsi="宋体"/>
          <w:color w:val="auto"/>
          <w:sz w:val="28"/>
        </w:rPr>
        <w:t>4</w:t>
      </w:r>
      <w:r>
        <w:rPr>
          <w:rFonts w:hint="eastAsia" w:ascii="宋体" w:hAnsi="宋体"/>
          <w:color w:val="auto"/>
          <w:sz w:val="28"/>
        </w:rPr>
        <w:t>、相关信息录入后，相关合作银行将在政府采购信息系统查询到合同备案信息，经审核，与供应商联系并办理相关融资事宜。</w:t>
      </w:r>
    </w:p>
    <w:p>
      <w:pPr>
        <w:snapToGrid w:val="0"/>
        <w:spacing w:line="520" w:lineRule="exact"/>
        <w:ind w:firstLine="560" w:firstLineChars="200"/>
        <w:rPr>
          <w:rFonts w:ascii="宋体"/>
          <w:color w:val="auto"/>
          <w:sz w:val="28"/>
        </w:rPr>
      </w:pPr>
      <w:r>
        <w:rPr>
          <w:rFonts w:hint="eastAsia" w:ascii="宋体" w:hAnsi="宋体"/>
          <w:color w:val="auto"/>
          <w:sz w:val="28"/>
        </w:rPr>
        <w:t>四、注意事项</w:t>
      </w:r>
    </w:p>
    <w:p>
      <w:pPr>
        <w:snapToGrid w:val="0"/>
        <w:spacing w:line="520" w:lineRule="exact"/>
        <w:ind w:firstLine="560" w:firstLineChars="200"/>
        <w:rPr>
          <w:color w:val="auto"/>
        </w:rPr>
      </w:pPr>
      <w:r>
        <w:rPr>
          <w:rFonts w:hint="eastAsia" w:ascii="宋体" w:hAnsi="宋体"/>
          <w:color w:val="auto"/>
          <w:sz w:val="28"/>
        </w:rPr>
        <w:t>请各采购单位和采购代理机构积极支持和配合政府采购信用融资工作，在合同备案环节务必请仔细核对收款银行、账号信息等内容，一旦录入将无法修改。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18</w:t>
    </w:r>
    <w:r>
      <w:rPr>
        <w:lang w:val="zh-CN"/>
      </w:rP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A4A98"/>
    <w:multiLevelType w:val="singleLevel"/>
    <w:tmpl w:val="989A4A98"/>
    <w:lvl w:ilvl="0" w:tentative="0">
      <w:start w:val="1"/>
      <w:numFmt w:val="decimal"/>
      <w:suff w:val="nothing"/>
      <w:lvlText w:val="（%1）"/>
      <w:lvlJc w:val="left"/>
    </w:lvl>
  </w:abstractNum>
  <w:abstractNum w:abstractNumId="1">
    <w:nsid w:val="0B602150"/>
    <w:multiLevelType w:val="multilevel"/>
    <w:tmpl w:val="0B6021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B0187C"/>
    <w:multiLevelType w:val="singleLevel"/>
    <w:tmpl w:val="47B0187C"/>
    <w:lvl w:ilvl="0" w:tentative="0">
      <w:start w:val="1"/>
      <w:numFmt w:val="decimal"/>
      <w:suff w:val="nothing"/>
      <w:lvlText w:val="（%1）"/>
      <w:lvlJc w:val="left"/>
    </w:lvl>
  </w:abstractNum>
  <w:abstractNum w:abstractNumId="3">
    <w:nsid w:val="4C866EC0"/>
    <w:multiLevelType w:val="singleLevel"/>
    <w:tmpl w:val="4C866EC0"/>
    <w:lvl w:ilvl="0" w:tentative="0">
      <w:start w:val="1"/>
      <w:numFmt w:val="decimal"/>
      <w:suff w:val="nothing"/>
      <w:lvlText w:val="（%1）"/>
      <w:lvlJc w:val="left"/>
    </w:lvl>
  </w:abstractNum>
  <w:abstractNum w:abstractNumId="4">
    <w:nsid w:val="555C8649"/>
    <w:multiLevelType w:val="multilevel"/>
    <w:tmpl w:val="555C8649"/>
    <w:lvl w:ilvl="0" w:tentative="0">
      <w:start w:val="1"/>
      <w:numFmt w:val="chineseCounting"/>
      <w:suff w:val="nothing"/>
      <w:lvlText w:val="%1"/>
      <w:lvlJc w:val="left"/>
      <w:pPr>
        <w:tabs>
          <w:tab w:val="left" w:pos="1260"/>
        </w:tabs>
        <w:ind w:firstLine="420"/>
      </w:pPr>
      <w:rPr>
        <w:rFonts w:hint="eastAsia" w:ascii="宋体" w:hAnsi="宋体" w:eastAsia="宋体" w:cs="宋体"/>
      </w:rPr>
    </w:lvl>
    <w:lvl w:ilvl="1" w:tentative="0">
      <w:start w:val="1"/>
      <w:numFmt w:val="lowerLetter"/>
      <w:lvlText w:val="%2)"/>
      <w:lvlJc w:val="left"/>
      <w:pPr>
        <w:tabs>
          <w:tab w:val="left" w:pos="1260"/>
        </w:tabs>
        <w:ind w:left="840" w:hanging="420"/>
      </w:pPr>
      <w:rPr>
        <w:rFonts w:hint="eastAsia" w:ascii="宋体" w:hAnsi="宋体" w:eastAsia="宋体" w:cs="宋体"/>
      </w:rPr>
    </w:lvl>
    <w:lvl w:ilvl="2" w:tentative="0">
      <w:start w:val="0"/>
      <w:numFmt w:val="none"/>
      <w:pStyle w:val="4"/>
      <w:lvlText w:val=""/>
      <w:lvlJc w:val="left"/>
      <w:pPr>
        <w:tabs>
          <w:tab w:val="left" w:pos="360"/>
        </w:tabs>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lef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left"/>
      <w:pPr>
        <w:tabs>
          <w:tab w:val="left" w:pos="3780"/>
        </w:tabs>
        <w:ind w:left="3780" w:hanging="420"/>
      </w:pPr>
      <w:rPr>
        <w:rFonts w:cs="Times New Roman"/>
      </w:rPr>
    </w:lvl>
  </w:abstractNum>
  <w:abstractNum w:abstractNumId="5">
    <w:nsid w:val="555E8FFD"/>
    <w:multiLevelType w:val="singleLevel"/>
    <w:tmpl w:val="555E8FFD"/>
    <w:lvl w:ilvl="0" w:tentative="0">
      <w:start w:val="30"/>
      <w:numFmt w:val="decimal"/>
      <w:suff w:val="nothing"/>
      <w:lvlText w:val="%1."/>
      <w:lvlJc w:val="left"/>
      <w:rPr>
        <w:rFonts w:cs="Times New Roman"/>
      </w:rPr>
    </w:lvl>
  </w:abstractNum>
  <w:abstractNum w:abstractNumId="6">
    <w:nsid w:val="555EE09D"/>
    <w:multiLevelType w:val="multilevel"/>
    <w:tmpl w:val="555EE09D"/>
    <w:lvl w:ilvl="0" w:tentative="0">
      <w:start w:val="1"/>
      <w:numFmt w:val="decimal"/>
      <w:isLgl/>
      <w:lvlText w:val="%1."/>
      <w:lvlJc w:val="left"/>
      <w:pPr>
        <w:tabs>
          <w:tab w:val="left" w:pos="425"/>
        </w:tabs>
        <w:ind w:left="425" w:hanging="425"/>
      </w:pPr>
      <w:rPr>
        <w:rFonts w:hint="eastAsia" w:ascii="宋体" w:hAnsi="宋体" w:eastAsia="宋体" w:cs="宋体"/>
      </w:rPr>
    </w:lvl>
    <w:lvl w:ilvl="1" w:tentative="0">
      <w:start w:val="1"/>
      <w:numFmt w:val="decimal"/>
      <w:lvlText w:val="%1.%2."/>
      <w:lvlJc w:val="left"/>
      <w:pPr>
        <w:tabs>
          <w:tab w:val="left" w:pos="850"/>
        </w:tabs>
        <w:ind w:left="850" w:hanging="453"/>
      </w:pPr>
      <w:rPr>
        <w:rFonts w:hint="eastAsia" w:ascii="宋体" w:hAnsi="宋体" w:eastAsia="宋体" w:cs="宋体"/>
      </w:rPr>
    </w:lvl>
    <w:lvl w:ilvl="2" w:tentative="0">
      <w:start w:val="1"/>
      <w:numFmt w:val="decimal"/>
      <w:lvlText w:val="%1.%2.%3."/>
      <w:lvlJc w:val="left"/>
      <w:pPr>
        <w:tabs>
          <w:tab w:val="left" w:pos="1508"/>
        </w:tabs>
        <w:ind w:left="1508" w:hanging="708"/>
      </w:pPr>
      <w:rPr>
        <w:rFonts w:cs="Times New Roman"/>
      </w:rPr>
    </w:lvl>
    <w:lvl w:ilvl="3" w:tentative="0">
      <w:start w:val="1"/>
      <w:numFmt w:val="decimal"/>
      <w:lvlText w:val="%1.%2.%3.%4."/>
      <w:lvlJc w:val="left"/>
      <w:pPr>
        <w:tabs>
          <w:tab w:val="left" w:pos="2053"/>
        </w:tabs>
        <w:ind w:left="2053" w:hanging="853"/>
      </w:pPr>
      <w:rPr>
        <w:rFonts w:cs="Times New Roman"/>
      </w:rPr>
    </w:lvl>
    <w:lvl w:ilvl="4" w:tentative="0">
      <w:start w:val="1"/>
      <w:numFmt w:val="decimal"/>
      <w:lvlText w:val="%1.%2.%3.%4.%5."/>
      <w:lvlJc w:val="left"/>
      <w:pPr>
        <w:tabs>
          <w:tab w:val="left" w:pos="2495"/>
        </w:tabs>
        <w:ind w:left="2495" w:hanging="895"/>
      </w:pPr>
      <w:rPr>
        <w:rFonts w:cs="Times New Roman"/>
      </w:rPr>
    </w:lvl>
    <w:lvl w:ilvl="5" w:tentative="0">
      <w:start w:val="1"/>
      <w:numFmt w:val="decimal"/>
      <w:lvlText w:val="%1.%2.%3.%4.%5.%6."/>
      <w:lvlJc w:val="left"/>
      <w:pPr>
        <w:tabs>
          <w:tab w:val="left" w:pos="3136"/>
        </w:tabs>
        <w:ind w:left="3136" w:hanging="1136"/>
      </w:pPr>
      <w:rPr>
        <w:rFonts w:cs="Times New Roman"/>
      </w:rPr>
    </w:lvl>
    <w:lvl w:ilvl="6" w:tentative="0">
      <w:start w:val="1"/>
      <w:numFmt w:val="decimal"/>
      <w:lvlText w:val="%1.%2.%3.%4.%5.%6.%7."/>
      <w:lvlJc w:val="left"/>
      <w:pPr>
        <w:tabs>
          <w:tab w:val="left" w:pos="3673"/>
        </w:tabs>
        <w:ind w:left="3673" w:hanging="1273"/>
      </w:pPr>
      <w:rPr>
        <w:rFonts w:cs="Times New Roman"/>
      </w:rPr>
    </w:lvl>
    <w:lvl w:ilvl="7" w:tentative="0">
      <w:start w:val="1"/>
      <w:numFmt w:val="decimal"/>
      <w:lvlText w:val="%1.%2.%3.%4.%5.%6.%7.%8."/>
      <w:lvlJc w:val="left"/>
      <w:pPr>
        <w:tabs>
          <w:tab w:val="left" w:pos="4218"/>
        </w:tabs>
        <w:ind w:left="4218" w:hanging="1418"/>
      </w:pPr>
      <w:rPr>
        <w:rFonts w:cs="Times New Roman"/>
      </w:rPr>
    </w:lvl>
    <w:lvl w:ilvl="8" w:tentative="0">
      <w:start w:val="1"/>
      <w:numFmt w:val="decimal"/>
      <w:lvlText w:val="%1.%2.%3.%4.%5.%6.%7.%8.%9."/>
      <w:lvlJc w:val="left"/>
      <w:pPr>
        <w:tabs>
          <w:tab w:val="left" w:pos="4648"/>
        </w:tabs>
        <w:ind w:left="4648" w:hanging="1448"/>
      </w:pPr>
      <w:rPr>
        <w:rFonts w:cs="Times New Roman"/>
      </w:rPr>
    </w:lvl>
  </w:abstractNum>
  <w:num w:numId="1">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0"/>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5374"/>
    <w:rsid w:val="0000185E"/>
    <w:rsid w:val="000049D0"/>
    <w:rsid w:val="00005BA9"/>
    <w:rsid w:val="000066C6"/>
    <w:rsid w:val="00015374"/>
    <w:rsid w:val="00016242"/>
    <w:rsid w:val="00017125"/>
    <w:rsid w:val="000343A4"/>
    <w:rsid w:val="0003693D"/>
    <w:rsid w:val="000427DA"/>
    <w:rsid w:val="00044CFE"/>
    <w:rsid w:val="00051570"/>
    <w:rsid w:val="0006020D"/>
    <w:rsid w:val="00063D6E"/>
    <w:rsid w:val="00064020"/>
    <w:rsid w:val="00065923"/>
    <w:rsid w:val="00073C41"/>
    <w:rsid w:val="00074B45"/>
    <w:rsid w:val="000752B6"/>
    <w:rsid w:val="00075D0B"/>
    <w:rsid w:val="0008435F"/>
    <w:rsid w:val="00097628"/>
    <w:rsid w:val="000A4212"/>
    <w:rsid w:val="000A7158"/>
    <w:rsid w:val="000C0779"/>
    <w:rsid w:val="000C2A4E"/>
    <w:rsid w:val="000D281E"/>
    <w:rsid w:val="000D474A"/>
    <w:rsid w:val="000E06B0"/>
    <w:rsid w:val="000E2053"/>
    <w:rsid w:val="000E5E41"/>
    <w:rsid w:val="000F37D1"/>
    <w:rsid w:val="00107B0B"/>
    <w:rsid w:val="001149CB"/>
    <w:rsid w:val="00133EA3"/>
    <w:rsid w:val="00137894"/>
    <w:rsid w:val="00137DCF"/>
    <w:rsid w:val="001411B2"/>
    <w:rsid w:val="00151090"/>
    <w:rsid w:val="00153289"/>
    <w:rsid w:val="0015731C"/>
    <w:rsid w:val="00157DB5"/>
    <w:rsid w:val="0016162E"/>
    <w:rsid w:val="0016168D"/>
    <w:rsid w:val="00165C92"/>
    <w:rsid w:val="00166EBF"/>
    <w:rsid w:val="00166FE2"/>
    <w:rsid w:val="001768D1"/>
    <w:rsid w:val="00182C27"/>
    <w:rsid w:val="001929D6"/>
    <w:rsid w:val="001B04C2"/>
    <w:rsid w:val="001B1B31"/>
    <w:rsid w:val="001B5D28"/>
    <w:rsid w:val="001C11CF"/>
    <w:rsid w:val="001D2FF6"/>
    <w:rsid w:val="001D3089"/>
    <w:rsid w:val="001D56D0"/>
    <w:rsid w:val="001E05EC"/>
    <w:rsid w:val="001F0492"/>
    <w:rsid w:val="001F0505"/>
    <w:rsid w:val="001F0AA5"/>
    <w:rsid w:val="001F5EDD"/>
    <w:rsid w:val="00201602"/>
    <w:rsid w:val="002076BA"/>
    <w:rsid w:val="002105F6"/>
    <w:rsid w:val="00217F07"/>
    <w:rsid w:val="002214BD"/>
    <w:rsid w:val="0022344A"/>
    <w:rsid w:val="00226A0B"/>
    <w:rsid w:val="00227361"/>
    <w:rsid w:val="00232CF4"/>
    <w:rsid w:val="00240DBC"/>
    <w:rsid w:val="0024153B"/>
    <w:rsid w:val="00243F33"/>
    <w:rsid w:val="002508E5"/>
    <w:rsid w:val="002510CC"/>
    <w:rsid w:val="00253DF7"/>
    <w:rsid w:val="00254988"/>
    <w:rsid w:val="002610E8"/>
    <w:rsid w:val="00275F6D"/>
    <w:rsid w:val="0027669A"/>
    <w:rsid w:val="00287892"/>
    <w:rsid w:val="002912DF"/>
    <w:rsid w:val="002A22A7"/>
    <w:rsid w:val="002A23E9"/>
    <w:rsid w:val="002A62E7"/>
    <w:rsid w:val="002B0E73"/>
    <w:rsid w:val="002D3CDE"/>
    <w:rsid w:val="002D7586"/>
    <w:rsid w:val="002E3E0D"/>
    <w:rsid w:val="002E6907"/>
    <w:rsid w:val="002F6DD9"/>
    <w:rsid w:val="002F785D"/>
    <w:rsid w:val="003023AF"/>
    <w:rsid w:val="00310A03"/>
    <w:rsid w:val="00312589"/>
    <w:rsid w:val="003139A0"/>
    <w:rsid w:val="00320797"/>
    <w:rsid w:val="0032109F"/>
    <w:rsid w:val="0032254B"/>
    <w:rsid w:val="00332383"/>
    <w:rsid w:val="00337F86"/>
    <w:rsid w:val="00341028"/>
    <w:rsid w:val="00342CEB"/>
    <w:rsid w:val="00345851"/>
    <w:rsid w:val="00346A49"/>
    <w:rsid w:val="00346C8B"/>
    <w:rsid w:val="00347E3C"/>
    <w:rsid w:val="00364DE2"/>
    <w:rsid w:val="0038084E"/>
    <w:rsid w:val="00383755"/>
    <w:rsid w:val="0039699B"/>
    <w:rsid w:val="003A14F3"/>
    <w:rsid w:val="003B173D"/>
    <w:rsid w:val="003B35C3"/>
    <w:rsid w:val="003B5F72"/>
    <w:rsid w:val="003C50E2"/>
    <w:rsid w:val="003C6909"/>
    <w:rsid w:val="003D187B"/>
    <w:rsid w:val="003D7E6A"/>
    <w:rsid w:val="003E1DC3"/>
    <w:rsid w:val="003E1FD5"/>
    <w:rsid w:val="003E73BC"/>
    <w:rsid w:val="003F05CF"/>
    <w:rsid w:val="003F09B4"/>
    <w:rsid w:val="003F1B27"/>
    <w:rsid w:val="004030EC"/>
    <w:rsid w:val="00404D7D"/>
    <w:rsid w:val="00405137"/>
    <w:rsid w:val="004054DC"/>
    <w:rsid w:val="00406FBE"/>
    <w:rsid w:val="00414BCF"/>
    <w:rsid w:val="00421387"/>
    <w:rsid w:val="004216AA"/>
    <w:rsid w:val="004223EC"/>
    <w:rsid w:val="00432050"/>
    <w:rsid w:val="004340D5"/>
    <w:rsid w:val="004356DD"/>
    <w:rsid w:val="004401F9"/>
    <w:rsid w:val="00441FB2"/>
    <w:rsid w:val="00444FE9"/>
    <w:rsid w:val="00450DDD"/>
    <w:rsid w:val="004541BC"/>
    <w:rsid w:val="00457F56"/>
    <w:rsid w:val="004608DF"/>
    <w:rsid w:val="00462132"/>
    <w:rsid w:val="00462259"/>
    <w:rsid w:val="00463C93"/>
    <w:rsid w:val="00464E74"/>
    <w:rsid w:val="00466A47"/>
    <w:rsid w:val="004733A9"/>
    <w:rsid w:val="00473530"/>
    <w:rsid w:val="00473C7F"/>
    <w:rsid w:val="00474E68"/>
    <w:rsid w:val="0048329F"/>
    <w:rsid w:val="0048525D"/>
    <w:rsid w:val="00493963"/>
    <w:rsid w:val="00495D80"/>
    <w:rsid w:val="004A02B6"/>
    <w:rsid w:val="004B3789"/>
    <w:rsid w:val="004B53B8"/>
    <w:rsid w:val="004B7F56"/>
    <w:rsid w:val="004C1D77"/>
    <w:rsid w:val="004C3FE2"/>
    <w:rsid w:val="004C669A"/>
    <w:rsid w:val="004D03D4"/>
    <w:rsid w:val="004D3E8F"/>
    <w:rsid w:val="004E1068"/>
    <w:rsid w:val="004E50FE"/>
    <w:rsid w:val="004F7BCE"/>
    <w:rsid w:val="005033E9"/>
    <w:rsid w:val="00503489"/>
    <w:rsid w:val="00505231"/>
    <w:rsid w:val="00510D24"/>
    <w:rsid w:val="00517B93"/>
    <w:rsid w:val="00520C1D"/>
    <w:rsid w:val="0052514E"/>
    <w:rsid w:val="005276E9"/>
    <w:rsid w:val="005357BD"/>
    <w:rsid w:val="005443C3"/>
    <w:rsid w:val="00545EF5"/>
    <w:rsid w:val="005618EA"/>
    <w:rsid w:val="00562BFC"/>
    <w:rsid w:val="00566720"/>
    <w:rsid w:val="00571B52"/>
    <w:rsid w:val="0057295F"/>
    <w:rsid w:val="00581064"/>
    <w:rsid w:val="005923A1"/>
    <w:rsid w:val="00592AA0"/>
    <w:rsid w:val="00597CE6"/>
    <w:rsid w:val="005A3AE3"/>
    <w:rsid w:val="005A441A"/>
    <w:rsid w:val="005B7A6E"/>
    <w:rsid w:val="005D1EB7"/>
    <w:rsid w:val="005F2F7C"/>
    <w:rsid w:val="005F33A2"/>
    <w:rsid w:val="005F542D"/>
    <w:rsid w:val="00603EA0"/>
    <w:rsid w:val="006224B7"/>
    <w:rsid w:val="00624C84"/>
    <w:rsid w:val="00625D9F"/>
    <w:rsid w:val="00627292"/>
    <w:rsid w:val="00631322"/>
    <w:rsid w:val="00634916"/>
    <w:rsid w:val="006405C7"/>
    <w:rsid w:val="00661470"/>
    <w:rsid w:val="006617E2"/>
    <w:rsid w:val="00664913"/>
    <w:rsid w:val="00671483"/>
    <w:rsid w:val="0068426A"/>
    <w:rsid w:val="0068555C"/>
    <w:rsid w:val="0068746E"/>
    <w:rsid w:val="00687EDD"/>
    <w:rsid w:val="0069518B"/>
    <w:rsid w:val="006A147F"/>
    <w:rsid w:val="006A57C9"/>
    <w:rsid w:val="006B3448"/>
    <w:rsid w:val="006D0E6D"/>
    <w:rsid w:val="006D4B69"/>
    <w:rsid w:val="006D7C92"/>
    <w:rsid w:val="006E3957"/>
    <w:rsid w:val="006E44DA"/>
    <w:rsid w:val="006E56BD"/>
    <w:rsid w:val="006F2370"/>
    <w:rsid w:val="006F55CF"/>
    <w:rsid w:val="006F66FD"/>
    <w:rsid w:val="006F6C64"/>
    <w:rsid w:val="006F7F2E"/>
    <w:rsid w:val="007015BA"/>
    <w:rsid w:val="007022C4"/>
    <w:rsid w:val="00706119"/>
    <w:rsid w:val="007121FF"/>
    <w:rsid w:val="007169AB"/>
    <w:rsid w:val="007325F5"/>
    <w:rsid w:val="0074543E"/>
    <w:rsid w:val="0075064C"/>
    <w:rsid w:val="00753242"/>
    <w:rsid w:val="007576C9"/>
    <w:rsid w:val="007614DD"/>
    <w:rsid w:val="00766B78"/>
    <w:rsid w:val="00775DA0"/>
    <w:rsid w:val="00780087"/>
    <w:rsid w:val="00780D03"/>
    <w:rsid w:val="00793C1E"/>
    <w:rsid w:val="007B2CBC"/>
    <w:rsid w:val="007C3616"/>
    <w:rsid w:val="007D4281"/>
    <w:rsid w:val="007E0701"/>
    <w:rsid w:val="007E3669"/>
    <w:rsid w:val="007E3E98"/>
    <w:rsid w:val="007F4104"/>
    <w:rsid w:val="007F5CF5"/>
    <w:rsid w:val="007F6864"/>
    <w:rsid w:val="00801636"/>
    <w:rsid w:val="00804F09"/>
    <w:rsid w:val="00805653"/>
    <w:rsid w:val="00807600"/>
    <w:rsid w:val="00807F70"/>
    <w:rsid w:val="00812A22"/>
    <w:rsid w:val="008154E5"/>
    <w:rsid w:val="0081561E"/>
    <w:rsid w:val="00827D1C"/>
    <w:rsid w:val="008317A7"/>
    <w:rsid w:val="00831874"/>
    <w:rsid w:val="00834E95"/>
    <w:rsid w:val="008518CA"/>
    <w:rsid w:val="008528DD"/>
    <w:rsid w:val="00853D8B"/>
    <w:rsid w:val="00854552"/>
    <w:rsid w:val="00854E8B"/>
    <w:rsid w:val="008610E6"/>
    <w:rsid w:val="0086186C"/>
    <w:rsid w:val="008635E2"/>
    <w:rsid w:val="0087104F"/>
    <w:rsid w:val="0087199F"/>
    <w:rsid w:val="00873656"/>
    <w:rsid w:val="0088085A"/>
    <w:rsid w:val="00884C77"/>
    <w:rsid w:val="00885AB4"/>
    <w:rsid w:val="0088673B"/>
    <w:rsid w:val="008940ED"/>
    <w:rsid w:val="008A4CCD"/>
    <w:rsid w:val="008A737A"/>
    <w:rsid w:val="008B22AB"/>
    <w:rsid w:val="008B3834"/>
    <w:rsid w:val="008B4C9A"/>
    <w:rsid w:val="008C2838"/>
    <w:rsid w:val="008C768F"/>
    <w:rsid w:val="008D4B39"/>
    <w:rsid w:val="008D5CC9"/>
    <w:rsid w:val="008E45B8"/>
    <w:rsid w:val="008E79B6"/>
    <w:rsid w:val="008F1DE5"/>
    <w:rsid w:val="00912F9B"/>
    <w:rsid w:val="00922F87"/>
    <w:rsid w:val="00923508"/>
    <w:rsid w:val="00934278"/>
    <w:rsid w:val="0094205C"/>
    <w:rsid w:val="00944BAE"/>
    <w:rsid w:val="00945476"/>
    <w:rsid w:val="00946330"/>
    <w:rsid w:val="00946C8F"/>
    <w:rsid w:val="00960634"/>
    <w:rsid w:val="00971660"/>
    <w:rsid w:val="0097778E"/>
    <w:rsid w:val="00980FDF"/>
    <w:rsid w:val="009900B7"/>
    <w:rsid w:val="009A5342"/>
    <w:rsid w:val="009B0706"/>
    <w:rsid w:val="009B0BE8"/>
    <w:rsid w:val="009C5E36"/>
    <w:rsid w:val="009C7403"/>
    <w:rsid w:val="009C783D"/>
    <w:rsid w:val="009D0775"/>
    <w:rsid w:val="009E01C4"/>
    <w:rsid w:val="009E61D3"/>
    <w:rsid w:val="009F6160"/>
    <w:rsid w:val="00A0178B"/>
    <w:rsid w:val="00A22103"/>
    <w:rsid w:val="00A22548"/>
    <w:rsid w:val="00A2663E"/>
    <w:rsid w:val="00A27652"/>
    <w:rsid w:val="00A31347"/>
    <w:rsid w:val="00A31C32"/>
    <w:rsid w:val="00A32D4D"/>
    <w:rsid w:val="00A41B52"/>
    <w:rsid w:val="00A43E92"/>
    <w:rsid w:val="00A46F08"/>
    <w:rsid w:val="00A54D8F"/>
    <w:rsid w:val="00A55BC7"/>
    <w:rsid w:val="00A75FB3"/>
    <w:rsid w:val="00A80FA5"/>
    <w:rsid w:val="00A835A3"/>
    <w:rsid w:val="00A84F5F"/>
    <w:rsid w:val="00A85CB3"/>
    <w:rsid w:val="00A9025A"/>
    <w:rsid w:val="00A90ECC"/>
    <w:rsid w:val="00A96DD2"/>
    <w:rsid w:val="00AA1F34"/>
    <w:rsid w:val="00AA5EA8"/>
    <w:rsid w:val="00AA605C"/>
    <w:rsid w:val="00AB073C"/>
    <w:rsid w:val="00AB62C6"/>
    <w:rsid w:val="00AB6BA3"/>
    <w:rsid w:val="00AB7E2B"/>
    <w:rsid w:val="00AD2B83"/>
    <w:rsid w:val="00AD3A2C"/>
    <w:rsid w:val="00AD6B4A"/>
    <w:rsid w:val="00AE01B7"/>
    <w:rsid w:val="00AE1B6F"/>
    <w:rsid w:val="00AE71C2"/>
    <w:rsid w:val="00AF09C5"/>
    <w:rsid w:val="00AF2887"/>
    <w:rsid w:val="00B02799"/>
    <w:rsid w:val="00B063A8"/>
    <w:rsid w:val="00B24F22"/>
    <w:rsid w:val="00B2738A"/>
    <w:rsid w:val="00B30D43"/>
    <w:rsid w:val="00B35F61"/>
    <w:rsid w:val="00B37046"/>
    <w:rsid w:val="00B416F4"/>
    <w:rsid w:val="00B46886"/>
    <w:rsid w:val="00B50CAA"/>
    <w:rsid w:val="00B60219"/>
    <w:rsid w:val="00B61B48"/>
    <w:rsid w:val="00B6239A"/>
    <w:rsid w:val="00B6327F"/>
    <w:rsid w:val="00B671DB"/>
    <w:rsid w:val="00B752E4"/>
    <w:rsid w:val="00B87CBD"/>
    <w:rsid w:val="00B923CD"/>
    <w:rsid w:val="00B93F01"/>
    <w:rsid w:val="00B952C3"/>
    <w:rsid w:val="00BA049A"/>
    <w:rsid w:val="00BA3026"/>
    <w:rsid w:val="00BA4E97"/>
    <w:rsid w:val="00BB4415"/>
    <w:rsid w:val="00BC1F1A"/>
    <w:rsid w:val="00BC43A5"/>
    <w:rsid w:val="00BD0808"/>
    <w:rsid w:val="00BF44C9"/>
    <w:rsid w:val="00C03434"/>
    <w:rsid w:val="00C05DC5"/>
    <w:rsid w:val="00C1668D"/>
    <w:rsid w:val="00C20A1C"/>
    <w:rsid w:val="00C21A76"/>
    <w:rsid w:val="00C32369"/>
    <w:rsid w:val="00C402A5"/>
    <w:rsid w:val="00C423DE"/>
    <w:rsid w:val="00C4433D"/>
    <w:rsid w:val="00C478C3"/>
    <w:rsid w:val="00C50E99"/>
    <w:rsid w:val="00C71CE6"/>
    <w:rsid w:val="00C812F9"/>
    <w:rsid w:val="00C846E2"/>
    <w:rsid w:val="00CA277E"/>
    <w:rsid w:val="00CA4A64"/>
    <w:rsid w:val="00CA6627"/>
    <w:rsid w:val="00CB153A"/>
    <w:rsid w:val="00CC09BB"/>
    <w:rsid w:val="00CC2A1C"/>
    <w:rsid w:val="00CD1A55"/>
    <w:rsid w:val="00CD7DF9"/>
    <w:rsid w:val="00CE116E"/>
    <w:rsid w:val="00CE185A"/>
    <w:rsid w:val="00CE315E"/>
    <w:rsid w:val="00CF41DC"/>
    <w:rsid w:val="00CF656D"/>
    <w:rsid w:val="00D01536"/>
    <w:rsid w:val="00D12DA0"/>
    <w:rsid w:val="00D16279"/>
    <w:rsid w:val="00D23477"/>
    <w:rsid w:val="00D24A0A"/>
    <w:rsid w:val="00D24E86"/>
    <w:rsid w:val="00D26756"/>
    <w:rsid w:val="00D33E71"/>
    <w:rsid w:val="00D3700E"/>
    <w:rsid w:val="00D37E6F"/>
    <w:rsid w:val="00D4410E"/>
    <w:rsid w:val="00D60E5F"/>
    <w:rsid w:val="00D6125C"/>
    <w:rsid w:val="00D6196A"/>
    <w:rsid w:val="00D65C4E"/>
    <w:rsid w:val="00D718EC"/>
    <w:rsid w:val="00D87609"/>
    <w:rsid w:val="00D9491D"/>
    <w:rsid w:val="00DB30BF"/>
    <w:rsid w:val="00DB550E"/>
    <w:rsid w:val="00DC0AEF"/>
    <w:rsid w:val="00DC7032"/>
    <w:rsid w:val="00DD1E76"/>
    <w:rsid w:val="00DE0739"/>
    <w:rsid w:val="00DE4519"/>
    <w:rsid w:val="00DF7D9B"/>
    <w:rsid w:val="00E14611"/>
    <w:rsid w:val="00E206B4"/>
    <w:rsid w:val="00E22400"/>
    <w:rsid w:val="00E27A69"/>
    <w:rsid w:val="00E32DAA"/>
    <w:rsid w:val="00E347A9"/>
    <w:rsid w:val="00E423B7"/>
    <w:rsid w:val="00E4302F"/>
    <w:rsid w:val="00E454AE"/>
    <w:rsid w:val="00E60AA2"/>
    <w:rsid w:val="00E62756"/>
    <w:rsid w:val="00E64716"/>
    <w:rsid w:val="00E66E0C"/>
    <w:rsid w:val="00E8141A"/>
    <w:rsid w:val="00E8153A"/>
    <w:rsid w:val="00E82145"/>
    <w:rsid w:val="00E8317E"/>
    <w:rsid w:val="00E864A7"/>
    <w:rsid w:val="00E908FB"/>
    <w:rsid w:val="00E9638C"/>
    <w:rsid w:val="00E97B85"/>
    <w:rsid w:val="00EA5C95"/>
    <w:rsid w:val="00EA5D46"/>
    <w:rsid w:val="00EB123A"/>
    <w:rsid w:val="00EC3475"/>
    <w:rsid w:val="00EC3C28"/>
    <w:rsid w:val="00EC46C9"/>
    <w:rsid w:val="00EC63EA"/>
    <w:rsid w:val="00EC76D5"/>
    <w:rsid w:val="00EC7A70"/>
    <w:rsid w:val="00ED44AD"/>
    <w:rsid w:val="00ED6857"/>
    <w:rsid w:val="00EE6EED"/>
    <w:rsid w:val="00EE75BA"/>
    <w:rsid w:val="00F04C1B"/>
    <w:rsid w:val="00F10929"/>
    <w:rsid w:val="00F12BA8"/>
    <w:rsid w:val="00F2021F"/>
    <w:rsid w:val="00F2365B"/>
    <w:rsid w:val="00F30961"/>
    <w:rsid w:val="00F37452"/>
    <w:rsid w:val="00F5107D"/>
    <w:rsid w:val="00F63DE0"/>
    <w:rsid w:val="00F66414"/>
    <w:rsid w:val="00F67232"/>
    <w:rsid w:val="00F809A6"/>
    <w:rsid w:val="00FA4244"/>
    <w:rsid w:val="00FB3E18"/>
    <w:rsid w:val="00FD2815"/>
    <w:rsid w:val="00FF7A46"/>
    <w:rsid w:val="01E17676"/>
    <w:rsid w:val="040A65C4"/>
    <w:rsid w:val="043E6E53"/>
    <w:rsid w:val="06DC61F6"/>
    <w:rsid w:val="0EC322F2"/>
    <w:rsid w:val="0EEF060F"/>
    <w:rsid w:val="10081712"/>
    <w:rsid w:val="1415757C"/>
    <w:rsid w:val="153F2B10"/>
    <w:rsid w:val="16B23DE3"/>
    <w:rsid w:val="17F33875"/>
    <w:rsid w:val="1A1411D2"/>
    <w:rsid w:val="1A640B95"/>
    <w:rsid w:val="1A922C4C"/>
    <w:rsid w:val="23E71BF5"/>
    <w:rsid w:val="2740036E"/>
    <w:rsid w:val="29407318"/>
    <w:rsid w:val="2BEE28DE"/>
    <w:rsid w:val="2E6E426C"/>
    <w:rsid w:val="2F5010C6"/>
    <w:rsid w:val="3335792C"/>
    <w:rsid w:val="34F325AF"/>
    <w:rsid w:val="3609123D"/>
    <w:rsid w:val="39F74657"/>
    <w:rsid w:val="3AE26A35"/>
    <w:rsid w:val="40FA0167"/>
    <w:rsid w:val="41A1247F"/>
    <w:rsid w:val="44DB03A7"/>
    <w:rsid w:val="45950342"/>
    <w:rsid w:val="49570B07"/>
    <w:rsid w:val="4A3719BD"/>
    <w:rsid w:val="4B2D31EC"/>
    <w:rsid w:val="4FE96E85"/>
    <w:rsid w:val="51AA32AC"/>
    <w:rsid w:val="55257755"/>
    <w:rsid w:val="56AB0A6D"/>
    <w:rsid w:val="57402408"/>
    <w:rsid w:val="5C026857"/>
    <w:rsid w:val="5F166923"/>
    <w:rsid w:val="67390A9A"/>
    <w:rsid w:val="6AB21F7A"/>
    <w:rsid w:val="6D2E2DFF"/>
    <w:rsid w:val="6F972F66"/>
    <w:rsid w:val="70AB4641"/>
    <w:rsid w:val="74265C1F"/>
    <w:rsid w:val="74C81A6D"/>
    <w:rsid w:val="75B47061"/>
    <w:rsid w:val="77453599"/>
    <w:rsid w:val="78CE52C7"/>
    <w:rsid w:val="7AAB0172"/>
    <w:rsid w:val="7AB8175C"/>
    <w:rsid w:val="7C2269C6"/>
    <w:rsid w:val="7C6813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9"/>
    <w:pPr>
      <w:keepNext/>
      <w:keepLines/>
      <w:spacing w:before="240" w:after="60" w:line="360" w:lineRule="auto"/>
      <w:jc w:val="center"/>
      <w:outlineLvl w:val="0"/>
    </w:pPr>
    <w:rPr>
      <w:rFonts w:ascii="Arial" w:hAnsi="Arial"/>
      <w:b/>
      <w:kern w:val="44"/>
      <w:sz w:val="32"/>
      <w:szCs w:val="44"/>
    </w:rPr>
  </w:style>
  <w:style w:type="paragraph" w:styleId="3">
    <w:name w:val="heading 2"/>
    <w:basedOn w:val="1"/>
    <w:next w:val="1"/>
    <w:link w:val="36"/>
    <w:qFormat/>
    <w:uiPriority w:val="99"/>
    <w:pPr>
      <w:keepNext/>
      <w:keepLines/>
      <w:spacing w:before="260" w:after="260" w:line="415" w:lineRule="auto"/>
      <w:jc w:val="center"/>
      <w:outlineLvl w:val="1"/>
    </w:pPr>
    <w:rPr>
      <w:rFonts w:ascii="Arial" w:hAnsi="Arial"/>
      <w:b/>
      <w:bCs/>
      <w:sz w:val="28"/>
      <w:szCs w:val="32"/>
    </w:rPr>
  </w:style>
  <w:style w:type="paragraph" w:styleId="4">
    <w:name w:val="heading 3"/>
    <w:basedOn w:val="1"/>
    <w:next w:val="1"/>
    <w:link w:val="37"/>
    <w:qFormat/>
    <w:uiPriority w:val="99"/>
    <w:pPr>
      <w:keepNext/>
      <w:keepLines/>
      <w:widowControl/>
      <w:numPr>
        <w:ilvl w:val="2"/>
        <w:numId w:val="1"/>
      </w:numPr>
      <w:spacing w:before="140" w:after="140" w:line="415" w:lineRule="auto"/>
      <w:jc w:val="left"/>
      <w:outlineLvl w:val="2"/>
    </w:pPr>
    <w:rPr>
      <w:b/>
      <w:bCs/>
      <w:kern w:val="0"/>
      <w:sz w:val="24"/>
      <w:szCs w:val="32"/>
    </w:rPr>
  </w:style>
  <w:style w:type="paragraph" w:styleId="5">
    <w:name w:val="heading 4"/>
    <w:basedOn w:val="1"/>
    <w:next w:val="6"/>
    <w:link w:val="38"/>
    <w:qFormat/>
    <w:uiPriority w:val="99"/>
    <w:pPr>
      <w:keepNext/>
      <w:keepLines/>
      <w:spacing w:before="280" w:after="290" w:line="376" w:lineRule="auto"/>
      <w:ind w:firstLine="200" w:firstLineChars="200"/>
      <w:outlineLvl w:val="3"/>
    </w:pPr>
    <w:rPr>
      <w:rFonts w:ascii="Arial" w:hAnsi="Arial" w:eastAsia="黑体"/>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59"/>
    <w:qFormat/>
    <w:uiPriority w:val="99"/>
    <w:pPr>
      <w:widowControl/>
      <w:ind w:firstLine="200" w:firstLineChars="200"/>
      <w:jc w:val="left"/>
    </w:pPr>
    <w:rPr>
      <w:kern w:val="0"/>
      <w:sz w:val="28"/>
      <w:szCs w:val="20"/>
    </w:rPr>
  </w:style>
  <w:style w:type="paragraph" w:styleId="7">
    <w:name w:val="toc 7"/>
    <w:basedOn w:val="1"/>
    <w:next w:val="1"/>
    <w:qFormat/>
    <w:uiPriority w:val="99"/>
    <w:pPr>
      <w:spacing w:line="360" w:lineRule="auto"/>
      <w:ind w:left="2520" w:leftChars="1200" w:firstLine="200" w:firstLineChars="200"/>
    </w:pPr>
    <w:rPr>
      <w:sz w:val="24"/>
      <w:szCs w:val="21"/>
    </w:rPr>
  </w:style>
  <w:style w:type="paragraph" w:styleId="8">
    <w:name w:val="Document Map"/>
    <w:basedOn w:val="1"/>
    <w:link w:val="41"/>
    <w:qFormat/>
    <w:uiPriority w:val="99"/>
    <w:pPr>
      <w:shd w:val="clear" w:color="auto" w:fill="000080"/>
      <w:spacing w:line="360" w:lineRule="auto"/>
      <w:ind w:firstLine="200" w:firstLineChars="200"/>
    </w:pPr>
    <w:rPr>
      <w:sz w:val="24"/>
      <w:szCs w:val="21"/>
    </w:rPr>
  </w:style>
  <w:style w:type="paragraph" w:styleId="9">
    <w:name w:val="annotation text"/>
    <w:basedOn w:val="1"/>
    <w:link w:val="39"/>
    <w:qFormat/>
    <w:uiPriority w:val="99"/>
    <w:pPr>
      <w:jc w:val="left"/>
    </w:pPr>
  </w:style>
  <w:style w:type="paragraph" w:styleId="10">
    <w:name w:val="Body Text"/>
    <w:basedOn w:val="1"/>
    <w:link w:val="42"/>
    <w:qFormat/>
    <w:uiPriority w:val="99"/>
    <w:pPr>
      <w:widowControl/>
      <w:overflowPunct w:val="0"/>
      <w:autoSpaceDE w:val="0"/>
      <w:autoSpaceDN w:val="0"/>
      <w:adjustRightInd w:val="0"/>
      <w:spacing w:line="180" w:lineRule="atLeast"/>
      <w:ind w:firstLine="454" w:firstLineChars="200"/>
      <w:textAlignment w:val="baseline"/>
    </w:pPr>
    <w:rPr>
      <w:rFonts w:ascii="Arial" w:hAnsi="Arial"/>
      <w:spacing w:val="-5"/>
      <w:kern w:val="0"/>
      <w:sz w:val="28"/>
      <w:szCs w:val="20"/>
    </w:rPr>
  </w:style>
  <w:style w:type="paragraph" w:styleId="11">
    <w:name w:val="Block Text"/>
    <w:basedOn w:val="1"/>
    <w:qFormat/>
    <w:uiPriority w:val="99"/>
    <w:pPr>
      <w:adjustRightInd w:val="0"/>
      <w:snapToGrid w:val="0"/>
      <w:spacing w:line="300" w:lineRule="auto"/>
      <w:ind w:left="1916" w:right="-120" w:rightChars="-120"/>
      <w:jc w:val="left"/>
    </w:pPr>
    <w:rPr>
      <w:rFonts w:ascii="宋体" w:hAnsi="宋体"/>
      <w:sz w:val="28"/>
      <w:szCs w:val="20"/>
    </w:rPr>
  </w:style>
  <w:style w:type="paragraph" w:styleId="12">
    <w:name w:val="toc 5"/>
    <w:basedOn w:val="1"/>
    <w:next w:val="1"/>
    <w:qFormat/>
    <w:uiPriority w:val="99"/>
    <w:pPr>
      <w:spacing w:line="360" w:lineRule="auto"/>
      <w:ind w:left="1680" w:leftChars="800" w:firstLine="200" w:firstLineChars="200"/>
    </w:pPr>
    <w:rPr>
      <w:sz w:val="24"/>
      <w:szCs w:val="21"/>
    </w:rPr>
  </w:style>
  <w:style w:type="paragraph" w:styleId="13">
    <w:name w:val="toc 3"/>
    <w:basedOn w:val="1"/>
    <w:next w:val="1"/>
    <w:qFormat/>
    <w:uiPriority w:val="99"/>
    <w:pPr>
      <w:ind w:left="840" w:leftChars="400"/>
    </w:pPr>
  </w:style>
  <w:style w:type="paragraph" w:styleId="14">
    <w:name w:val="Plain Text"/>
    <w:basedOn w:val="1"/>
    <w:link w:val="43"/>
    <w:qFormat/>
    <w:uiPriority w:val="99"/>
    <w:pPr>
      <w:spacing w:line="360" w:lineRule="auto"/>
      <w:ind w:firstLine="200" w:firstLineChars="200"/>
    </w:pPr>
    <w:rPr>
      <w:rFonts w:ascii="宋体" w:hAnsi="Courier New"/>
      <w:szCs w:val="21"/>
    </w:rPr>
  </w:style>
  <w:style w:type="paragraph" w:styleId="15">
    <w:name w:val="toc 8"/>
    <w:basedOn w:val="1"/>
    <w:next w:val="1"/>
    <w:qFormat/>
    <w:uiPriority w:val="99"/>
    <w:pPr>
      <w:spacing w:line="360" w:lineRule="auto"/>
      <w:ind w:left="2940" w:leftChars="1400" w:firstLine="200" w:firstLineChars="200"/>
    </w:pPr>
    <w:rPr>
      <w:sz w:val="24"/>
      <w:szCs w:val="21"/>
    </w:rPr>
  </w:style>
  <w:style w:type="paragraph" w:styleId="16">
    <w:name w:val="Date"/>
    <w:basedOn w:val="1"/>
    <w:next w:val="1"/>
    <w:link w:val="44"/>
    <w:qFormat/>
    <w:uiPriority w:val="99"/>
    <w:pPr>
      <w:spacing w:line="360" w:lineRule="auto"/>
      <w:ind w:firstLine="200" w:firstLineChars="200"/>
    </w:pPr>
    <w:rPr>
      <w:kern w:val="0"/>
      <w:sz w:val="20"/>
      <w:szCs w:val="21"/>
    </w:rPr>
  </w:style>
  <w:style w:type="paragraph" w:styleId="17">
    <w:name w:val="Balloon Text"/>
    <w:basedOn w:val="1"/>
    <w:link w:val="45"/>
    <w:qFormat/>
    <w:uiPriority w:val="99"/>
    <w:rPr>
      <w:sz w:val="18"/>
      <w:szCs w:val="18"/>
    </w:rPr>
  </w:style>
  <w:style w:type="paragraph" w:styleId="18">
    <w:name w:val="footer"/>
    <w:basedOn w:val="1"/>
    <w:link w:val="46"/>
    <w:qFormat/>
    <w:uiPriority w:val="99"/>
    <w:pPr>
      <w:tabs>
        <w:tab w:val="center" w:pos="4153"/>
        <w:tab w:val="right" w:pos="8306"/>
      </w:tabs>
      <w:snapToGrid w:val="0"/>
      <w:jc w:val="left"/>
    </w:pPr>
    <w:rPr>
      <w:sz w:val="18"/>
      <w:szCs w:val="18"/>
    </w:rPr>
  </w:style>
  <w:style w:type="paragraph" w:styleId="19">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line="360" w:lineRule="auto"/>
    </w:pPr>
    <w:rPr>
      <w:b/>
      <w:sz w:val="24"/>
    </w:rPr>
  </w:style>
  <w:style w:type="paragraph" w:styleId="21">
    <w:name w:val="toc 4"/>
    <w:basedOn w:val="1"/>
    <w:next w:val="1"/>
    <w:qFormat/>
    <w:uiPriority w:val="99"/>
    <w:pPr>
      <w:spacing w:line="360" w:lineRule="auto"/>
      <w:ind w:left="1260" w:leftChars="600" w:firstLine="200" w:firstLineChars="200"/>
    </w:pPr>
    <w:rPr>
      <w:sz w:val="24"/>
      <w:szCs w:val="21"/>
    </w:rPr>
  </w:style>
  <w:style w:type="paragraph" w:styleId="22">
    <w:name w:val="toc 6"/>
    <w:basedOn w:val="1"/>
    <w:next w:val="1"/>
    <w:qFormat/>
    <w:uiPriority w:val="99"/>
    <w:pPr>
      <w:spacing w:line="360" w:lineRule="auto"/>
      <w:ind w:left="2100" w:leftChars="1000" w:firstLine="200" w:firstLineChars="200"/>
    </w:pPr>
    <w:rPr>
      <w:sz w:val="24"/>
      <w:szCs w:val="21"/>
    </w:rPr>
  </w:style>
  <w:style w:type="paragraph" w:styleId="23">
    <w:name w:val="toc 2"/>
    <w:basedOn w:val="1"/>
    <w:next w:val="1"/>
    <w:qFormat/>
    <w:uiPriority w:val="39"/>
    <w:pPr>
      <w:spacing w:line="360" w:lineRule="auto"/>
      <w:ind w:left="420" w:leftChars="200"/>
    </w:pPr>
    <w:rPr>
      <w:sz w:val="24"/>
    </w:rPr>
  </w:style>
  <w:style w:type="paragraph" w:styleId="24">
    <w:name w:val="toc 9"/>
    <w:basedOn w:val="1"/>
    <w:next w:val="1"/>
    <w:qFormat/>
    <w:uiPriority w:val="99"/>
    <w:pPr>
      <w:spacing w:line="360" w:lineRule="auto"/>
      <w:ind w:left="3360" w:leftChars="1600" w:firstLine="200" w:firstLineChars="200"/>
    </w:pPr>
    <w:rPr>
      <w:sz w:val="24"/>
      <w:szCs w:val="21"/>
    </w:rPr>
  </w:style>
  <w:style w:type="paragraph" w:styleId="25">
    <w:name w:val="Normal (Web)"/>
    <w:basedOn w:val="1"/>
    <w:qFormat/>
    <w:uiPriority w:val="99"/>
    <w:rPr>
      <w:sz w:val="24"/>
    </w:rPr>
  </w:style>
  <w:style w:type="paragraph" w:styleId="26">
    <w:name w:val="annotation subject"/>
    <w:basedOn w:val="9"/>
    <w:next w:val="9"/>
    <w:link w:val="40"/>
    <w:qFormat/>
    <w:uiPriority w:val="99"/>
    <w:pPr>
      <w:spacing w:line="360" w:lineRule="auto"/>
      <w:ind w:firstLine="200" w:firstLineChars="200"/>
    </w:pPr>
    <w:rPr>
      <w:rFonts w:ascii="Calibri" w:hAnsi="Calibri"/>
      <w:b/>
      <w:bCs/>
      <w:sz w:val="24"/>
      <w:szCs w:val="21"/>
    </w:rPr>
  </w:style>
  <w:style w:type="table" w:styleId="28">
    <w:name w:val="Table Grid"/>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0">
    <w:name w:val="Strong"/>
    <w:basedOn w:val="29"/>
    <w:qFormat/>
    <w:uiPriority w:val="99"/>
    <w:rPr>
      <w:rFonts w:ascii="Verdana" w:hAnsi="Verdana" w:cs="Times New Roman"/>
      <w:b/>
      <w:kern w:val="0"/>
      <w:sz w:val="20"/>
      <w:lang w:eastAsia="en-US"/>
    </w:rPr>
  </w:style>
  <w:style w:type="character" w:styleId="31">
    <w:name w:val="page number"/>
    <w:basedOn w:val="29"/>
    <w:qFormat/>
    <w:uiPriority w:val="99"/>
    <w:rPr>
      <w:rFonts w:cs="Times New Roman"/>
    </w:rPr>
  </w:style>
  <w:style w:type="character" w:styleId="32">
    <w:name w:val="FollowedHyperlink"/>
    <w:basedOn w:val="29"/>
    <w:qFormat/>
    <w:uiPriority w:val="99"/>
    <w:rPr>
      <w:rFonts w:ascii="Verdana" w:hAnsi="Verdana" w:cs="Times New Roman"/>
      <w:color w:val="333333"/>
      <w:kern w:val="0"/>
      <w:sz w:val="20"/>
      <w:u w:val="none"/>
      <w:lang w:eastAsia="en-US"/>
    </w:rPr>
  </w:style>
  <w:style w:type="character" w:styleId="33">
    <w:name w:val="Hyperlink"/>
    <w:basedOn w:val="29"/>
    <w:qFormat/>
    <w:uiPriority w:val="99"/>
    <w:rPr>
      <w:rFonts w:ascii="Verdana" w:hAnsi="Verdana" w:cs="Times New Roman"/>
      <w:color w:val="333333"/>
      <w:kern w:val="0"/>
      <w:sz w:val="20"/>
      <w:u w:val="none"/>
      <w:lang w:eastAsia="en-US"/>
    </w:rPr>
  </w:style>
  <w:style w:type="character" w:styleId="34">
    <w:name w:val="annotation reference"/>
    <w:basedOn w:val="29"/>
    <w:qFormat/>
    <w:uiPriority w:val="99"/>
    <w:rPr>
      <w:rFonts w:cs="Times New Roman"/>
      <w:sz w:val="21"/>
    </w:rPr>
  </w:style>
  <w:style w:type="character" w:customStyle="1" w:styleId="35">
    <w:name w:val="标题 1 Char"/>
    <w:basedOn w:val="29"/>
    <w:link w:val="2"/>
    <w:qFormat/>
    <w:locked/>
    <w:uiPriority w:val="99"/>
    <w:rPr>
      <w:rFonts w:ascii="Arial" w:hAnsi="Arial" w:cs="Times New Roman"/>
      <w:b/>
      <w:kern w:val="44"/>
      <w:sz w:val="44"/>
    </w:rPr>
  </w:style>
  <w:style w:type="character" w:customStyle="1" w:styleId="36">
    <w:name w:val="标题 2 Char"/>
    <w:basedOn w:val="29"/>
    <w:link w:val="3"/>
    <w:qFormat/>
    <w:locked/>
    <w:uiPriority w:val="99"/>
    <w:rPr>
      <w:rFonts w:ascii="Arial" w:hAnsi="Arial" w:cs="Times New Roman"/>
      <w:b/>
      <w:kern w:val="2"/>
      <w:sz w:val="32"/>
    </w:rPr>
  </w:style>
  <w:style w:type="character" w:customStyle="1" w:styleId="37">
    <w:name w:val="标题 3 Char"/>
    <w:basedOn w:val="29"/>
    <w:link w:val="4"/>
    <w:qFormat/>
    <w:locked/>
    <w:uiPriority w:val="99"/>
    <w:rPr>
      <w:rFonts w:cs="Times New Roman"/>
      <w:b/>
      <w:sz w:val="32"/>
    </w:rPr>
  </w:style>
  <w:style w:type="character" w:customStyle="1" w:styleId="38">
    <w:name w:val="标题 4 Char"/>
    <w:basedOn w:val="29"/>
    <w:link w:val="5"/>
    <w:qFormat/>
    <w:locked/>
    <w:uiPriority w:val="99"/>
    <w:rPr>
      <w:rFonts w:ascii="Arial" w:hAnsi="Arial" w:eastAsia="黑体" w:cs="Times New Roman"/>
      <w:b/>
      <w:kern w:val="2"/>
      <w:sz w:val="28"/>
    </w:rPr>
  </w:style>
  <w:style w:type="character" w:customStyle="1" w:styleId="39">
    <w:name w:val="批注文字 Char"/>
    <w:basedOn w:val="29"/>
    <w:link w:val="9"/>
    <w:qFormat/>
    <w:locked/>
    <w:uiPriority w:val="99"/>
    <w:rPr>
      <w:rFonts w:cs="Times New Roman"/>
      <w:kern w:val="2"/>
      <w:sz w:val="24"/>
    </w:rPr>
  </w:style>
  <w:style w:type="character" w:customStyle="1" w:styleId="40">
    <w:name w:val="批注主题 Char"/>
    <w:basedOn w:val="39"/>
    <w:link w:val="26"/>
    <w:qFormat/>
    <w:locked/>
    <w:uiPriority w:val="99"/>
    <w:rPr>
      <w:rFonts w:ascii="Calibri" w:hAnsi="Calibri" w:cs="Times New Roman"/>
      <w:b/>
      <w:kern w:val="2"/>
      <w:sz w:val="21"/>
    </w:rPr>
  </w:style>
  <w:style w:type="character" w:customStyle="1" w:styleId="41">
    <w:name w:val="文档结构图 Char"/>
    <w:basedOn w:val="29"/>
    <w:link w:val="8"/>
    <w:qFormat/>
    <w:locked/>
    <w:uiPriority w:val="99"/>
    <w:rPr>
      <w:rFonts w:cs="Times New Roman"/>
      <w:kern w:val="2"/>
      <w:sz w:val="21"/>
      <w:shd w:val="clear" w:color="auto" w:fill="000080"/>
    </w:rPr>
  </w:style>
  <w:style w:type="character" w:customStyle="1" w:styleId="42">
    <w:name w:val="正文文本 Char"/>
    <w:basedOn w:val="29"/>
    <w:link w:val="10"/>
    <w:qFormat/>
    <w:locked/>
    <w:uiPriority w:val="99"/>
    <w:rPr>
      <w:rFonts w:ascii="Arial" w:hAnsi="Arial" w:cs="Times New Roman"/>
      <w:spacing w:val="-5"/>
      <w:sz w:val="28"/>
    </w:rPr>
  </w:style>
  <w:style w:type="character" w:customStyle="1" w:styleId="43">
    <w:name w:val="纯文本 Char2"/>
    <w:basedOn w:val="29"/>
    <w:link w:val="14"/>
    <w:qFormat/>
    <w:locked/>
    <w:uiPriority w:val="99"/>
    <w:rPr>
      <w:rFonts w:ascii="宋体" w:hAnsi="Courier New" w:cs="Times New Roman"/>
      <w:kern w:val="2"/>
      <w:sz w:val="21"/>
    </w:rPr>
  </w:style>
  <w:style w:type="character" w:customStyle="1" w:styleId="44">
    <w:name w:val="日期 Char"/>
    <w:basedOn w:val="29"/>
    <w:link w:val="16"/>
    <w:qFormat/>
    <w:locked/>
    <w:uiPriority w:val="99"/>
    <w:rPr>
      <w:rFonts w:cs="Times New Roman"/>
      <w:sz w:val="21"/>
    </w:rPr>
  </w:style>
  <w:style w:type="character" w:customStyle="1" w:styleId="45">
    <w:name w:val="批注框文本 Char"/>
    <w:basedOn w:val="29"/>
    <w:link w:val="17"/>
    <w:qFormat/>
    <w:locked/>
    <w:uiPriority w:val="99"/>
    <w:rPr>
      <w:rFonts w:cs="Times New Roman"/>
      <w:kern w:val="2"/>
      <w:sz w:val="18"/>
    </w:rPr>
  </w:style>
  <w:style w:type="character" w:customStyle="1" w:styleId="46">
    <w:name w:val="页脚 Char"/>
    <w:basedOn w:val="29"/>
    <w:link w:val="18"/>
    <w:qFormat/>
    <w:locked/>
    <w:uiPriority w:val="99"/>
    <w:rPr>
      <w:rFonts w:cs="Times New Roman"/>
      <w:kern w:val="2"/>
      <w:sz w:val="18"/>
    </w:rPr>
  </w:style>
  <w:style w:type="character" w:customStyle="1" w:styleId="47">
    <w:name w:val="页眉 Char"/>
    <w:basedOn w:val="29"/>
    <w:link w:val="19"/>
    <w:qFormat/>
    <w:locked/>
    <w:uiPriority w:val="99"/>
    <w:rPr>
      <w:rFonts w:cs="Times New Roman"/>
      <w:kern w:val="2"/>
      <w:sz w:val="18"/>
    </w:rPr>
  </w:style>
  <w:style w:type="paragraph" w:customStyle="1" w:styleId="48">
    <w:name w:val="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
    <w:name w:val="公开招标文件"/>
    <w:basedOn w:val="1"/>
    <w:qFormat/>
    <w:uiPriority w:val="99"/>
    <w:pPr>
      <w:spacing w:line="1000" w:lineRule="exact"/>
      <w:jc w:val="center"/>
    </w:pPr>
    <w:rPr>
      <w:rFonts w:ascii="宋体" w:hAnsi="宋体" w:cs="宋体"/>
      <w:b/>
      <w:bCs/>
      <w:sz w:val="92"/>
      <w:szCs w:val="20"/>
    </w:rPr>
  </w:style>
  <w:style w:type="paragraph" w:customStyle="1" w:styleId="50">
    <w:name w:val="封面编号"/>
    <w:basedOn w:val="1"/>
    <w:qFormat/>
    <w:uiPriority w:val="99"/>
    <w:pPr>
      <w:spacing w:line="360" w:lineRule="auto"/>
      <w:jc w:val="center"/>
    </w:pPr>
    <w:rPr>
      <w:rFonts w:ascii="黑体" w:hAnsi="宋体" w:eastAsia="黑体" w:cs="宋体"/>
      <w:b/>
      <w:bCs/>
      <w:sz w:val="38"/>
      <w:szCs w:val="20"/>
    </w:rPr>
  </w:style>
  <w:style w:type="paragraph" w:customStyle="1" w:styleId="51">
    <w:name w:val="二级目录"/>
    <w:next w:val="1"/>
    <w:link w:val="60"/>
    <w:qFormat/>
    <w:uiPriority w:val="99"/>
    <w:pPr>
      <w:tabs>
        <w:tab w:val="left" w:pos="720"/>
      </w:tabs>
      <w:ind w:left="720" w:hanging="720"/>
      <w:outlineLvl w:val="1"/>
    </w:pPr>
    <w:rPr>
      <w:rFonts w:ascii="Calibri" w:hAnsi="Calibri" w:eastAsia="宋体" w:cs="Times New Roman"/>
      <w:b/>
      <w:kern w:val="2"/>
      <w:sz w:val="22"/>
      <w:szCs w:val="22"/>
      <w:lang w:val="en-US" w:eastAsia="zh-CN" w:bidi="ar-SA"/>
    </w:rPr>
  </w:style>
  <w:style w:type="paragraph" w:customStyle="1" w:styleId="52">
    <w:name w:val="普通正文"/>
    <w:basedOn w:val="1"/>
    <w:qFormat/>
    <w:uiPriority w:val="99"/>
    <w:pPr>
      <w:adjustRightInd w:val="0"/>
      <w:spacing w:before="120" w:after="120" w:line="360" w:lineRule="auto"/>
      <w:ind w:firstLine="480" w:firstLineChars="200"/>
      <w:jc w:val="left"/>
      <w:textAlignment w:val="baseline"/>
    </w:pPr>
    <w:rPr>
      <w:rFonts w:ascii="Arial" w:hAnsi="Arial"/>
      <w:kern w:val="0"/>
      <w:sz w:val="24"/>
    </w:rPr>
  </w:style>
  <w:style w:type="paragraph" w:customStyle="1" w:styleId="53">
    <w:name w:val="一级目录"/>
    <w:next w:val="1"/>
    <w:qFormat/>
    <w:uiPriority w:val="99"/>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54">
    <w:name w:val="p0"/>
    <w:basedOn w:val="1"/>
    <w:qFormat/>
    <w:uiPriority w:val="99"/>
    <w:pPr>
      <w:widowControl/>
      <w:spacing w:line="360" w:lineRule="auto"/>
    </w:pPr>
    <w:rPr>
      <w:rFonts w:ascii="Calibri" w:hAnsi="Calibri" w:cs="Calibri"/>
      <w:kern w:val="0"/>
      <w:szCs w:val="21"/>
    </w:rPr>
  </w:style>
  <w:style w:type="paragraph" w:customStyle="1" w:styleId="55">
    <w:name w:val="_Style 47"/>
    <w:basedOn w:val="1"/>
    <w:qFormat/>
    <w:uiPriority w:val="99"/>
    <w:rPr>
      <w:rFonts w:ascii="Tahoma" w:hAnsi="Tahoma"/>
      <w:sz w:val="24"/>
      <w:szCs w:val="20"/>
    </w:rPr>
  </w:style>
  <w:style w:type="paragraph" w:customStyle="1" w:styleId="56">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57">
    <w:name w:val="列出段落1"/>
    <w:basedOn w:val="1"/>
    <w:link w:val="61"/>
    <w:qFormat/>
    <w:uiPriority w:val="99"/>
    <w:pPr>
      <w:widowControl/>
      <w:spacing w:line="360" w:lineRule="auto"/>
      <w:ind w:left="720" w:firstLine="200" w:firstLineChars="200"/>
      <w:contextualSpacing/>
      <w:jc w:val="left"/>
    </w:pPr>
    <w:rPr>
      <w:rFonts w:ascii="Calibri" w:hAnsi="Calibri"/>
      <w:kern w:val="0"/>
      <w:sz w:val="24"/>
      <w:szCs w:val="20"/>
      <w:lang w:eastAsia="en-US"/>
    </w:rPr>
  </w:style>
  <w:style w:type="paragraph" w:customStyle="1" w:styleId="58">
    <w:name w:val="Char"/>
    <w:basedOn w:val="1"/>
    <w:qFormat/>
    <w:uiPriority w:val="99"/>
    <w:pPr>
      <w:spacing w:before="120" w:after="120"/>
    </w:pPr>
    <w:rPr>
      <w:rFonts w:ascii="Tahoma" w:hAnsi="Tahoma"/>
      <w:sz w:val="24"/>
      <w:szCs w:val="20"/>
    </w:rPr>
  </w:style>
  <w:style w:type="character" w:customStyle="1" w:styleId="59">
    <w:name w:val="正文缩进 Char"/>
    <w:link w:val="6"/>
    <w:qFormat/>
    <w:locked/>
    <w:uiPriority w:val="99"/>
    <w:rPr>
      <w:rFonts w:eastAsia="Times New Roman"/>
      <w:sz w:val="28"/>
    </w:rPr>
  </w:style>
  <w:style w:type="character" w:customStyle="1" w:styleId="60">
    <w:name w:val="二级目录 Char"/>
    <w:link w:val="51"/>
    <w:qFormat/>
    <w:locked/>
    <w:uiPriority w:val="99"/>
    <w:rPr>
      <w:rFonts w:ascii="Calibri" w:hAnsi="Calibri"/>
      <w:b/>
      <w:kern w:val="2"/>
      <w:sz w:val="22"/>
    </w:rPr>
  </w:style>
  <w:style w:type="character" w:customStyle="1" w:styleId="61">
    <w:name w:val="列出段落 Char"/>
    <w:link w:val="57"/>
    <w:qFormat/>
    <w:locked/>
    <w:uiPriority w:val="99"/>
    <w:rPr>
      <w:rFonts w:ascii="Calibri" w:hAnsi="Calibri"/>
      <w:sz w:val="24"/>
      <w:lang w:eastAsia="en-US"/>
    </w:rPr>
  </w:style>
  <w:style w:type="character" w:customStyle="1" w:styleId="62">
    <w:name w:val="font31"/>
    <w:qFormat/>
    <w:uiPriority w:val="99"/>
    <w:rPr>
      <w:rFonts w:ascii="宋体" w:hAnsi="宋体" w:eastAsia="宋体"/>
      <w:color w:val="FF00FF"/>
      <w:sz w:val="21"/>
      <w:u w:val="none"/>
    </w:rPr>
  </w:style>
  <w:style w:type="character" w:customStyle="1" w:styleId="63">
    <w:name w:val="font21"/>
    <w:qFormat/>
    <w:uiPriority w:val="99"/>
    <w:rPr>
      <w:rFonts w:ascii="宋体" w:hAnsi="宋体" w:eastAsia="宋体"/>
      <w:color w:val="FF0000"/>
      <w:sz w:val="21"/>
      <w:u w:val="none"/>
    </w:rPr>
  </w:style>
  <w:style w:type="character" w:customStyle="1" w:styleId="64">
    <w:name w:val="font101"/>
    <w:qFormat/>
    <w:uiPriority w:val="99"/>
    <w:rPr>
      <w:rFonts w:ascii="宋体" w:hAnsi="宋体" w:eastAsia="宋体"/>
      <w:color w:val="3366FF"/>
      <w:sz w:val="20"/>
      <w:u w:val="none"/>
    </w:rPr>
  </w:style>
  <w:style w:type="character" w:customStyle="1" w:styleId="65">
    <w:name w:val="font51"/>
    <w:qFormat/>
    <w:uiPriority w:val="99"/>
    <w:rPr>
      <w:rFonts w:ascii="宋体" w:hAnsi="宋体" w:eastAsia="宋体"/>
      <w:color w:val="0066CC"/>
      <w:sz w:val="20"/>
      <w:u w:val="none"/>
    </w:rPr>
  </w:style>
  <w:style w:type="character" w:customStyle="1" w:styleId="66">
    <w:name w:val="font41"/>
    <w:qFormat/>
    <w:uiPriority w:val="99"/>
    <w:rPr>
      <w:rFonts w:ascii="宋体" w:hAnsi="宋体" w:eastAsia="宋体"/>
      <w:color w:val="000000"/>
      <w:sz w:val="21"/>
      <w:u w:val="single"/>
    </w:rPr>
  </w:style>
  <w:style w:type="character" w:customStyle="1" w:styleId="67">
    <w:name w:val="font141"/>
    <w:qFormat/>
    <w:uiPriority w:val="99"/>
    <w:rPr>
      <w:rFonts w:ascii="宋体" w:hAnsi="宋体" w:eastAsia="宋体"/>
      <w:color w:val="000000"/>
      <w:sz w:val="20"/>
      <w:u w:val="none"/>
    </w:rPr>
  </w:style>
  <w:style w:type="character" w:customStyle="1" w:styleId="68">
    <w:name w:val="font81"/>
    <w:qFormat/>
    <w:uiPriority w:val="99"/>
    <w:rPr>
      <w:rFonts w:ascii="Times New Roman" w:hAnsi="Times New Roman"/>
      <w:color w:val="000000"/>
      <w:sz w:val="21"/>
      <w:u w:val="none"/>
    </w:rPr>
  </w:style>
  <w:style w:type="character" w:customStyle="1" w:styleId="69">
    <w:name w:val="font161"/>
    <w:qFormat/>
    <w:uiPriority w:val="99"/>
    <w:rPr>
      <w:rFonts w:ascii="宋体" w:hAnsi="宋体" w:eastAsia="宋体"/>
      <w:color w:val="0000FF"/>
      <w:sz w:val="20"/>
      <w:u w:val="none"/>
    </w:rPr>
  </w:style>
  <w:style w:type="character" w:customStyle="1" w:styleId="70">
    <w:name w:val="font11"/>
    <w:qFormat/>
    <w:uiPriority w:val="99"/>
    <w:rPr>
      <w:rFonts w:ascii="宋体" w:hAnsi="宋体" w:eastAsia="宋体"/>
      <w:color w:val="000000"/>
      <w:sz w:val="21"/>
      <w:u w:val="none"/>
    </w:rPr>
  </w:style>
  <w:style w:type="character" w:customStyle="1" w:styleId="71">
    <w:name w:val="font131"/>
    <w:qFormat/>
    <w:uiPriority w:val="99"/>
    <w:rPr>
      <w:rFonts w:ascii="宋体" w:hAnsi="宋体" w:eastAsia="宋体"/>
      <w:color w:val="000000"/>
      <w:sz w:val="21"/>
      <w:u w:val="none"/>
    </w:rPr>
  </w:style>
  <w:style w:type="character" w:customStyle="1" w:styleId="72">
    <w:name w:val="Char Char11"/>
    <w:qFormat/>
    <w:locked/>
    <w:uiPriority w:val="99"/>
    <w:rPr>
      <w:rFonts w:ascii="宋体" w:hAnsi="Courier New" w:eastAsia="宋体"/>
      <w:kern w:val="0"/>
      <w:sz w:val="21"/>
    </w:rPr>
  </w:style>
  <w:style w:type="character" w:customStyle="1" w:styleId="73">
    <w:name w:val="font01"/>
    <w:qFormat/>
    <w:uiPriority w:val="99"/>
    <w:rPr>
      <w:rFonts w:ascii="宋体" w:hAnsi="宋体" w:eastAsia="宋体"/>
      <w:color w:val="000000"/>
      <w:sz w:val="21"/>
      <w:u w:val="none"/>
    </w:rPr>
  </w:style>
  <w:style w:type="character" w:customStyle="1" w:styleId="74">
    <w:name w:val="font112"/>
    <w:qFormat/>
    <w:uiPriority w:val="99"/>
    <w:rPr>
      <w:rFonts w:ascii="宋体" w:hAnsi="宋体" w:eastAsia="宋体"/>
      <w:color w:val="FF0000"/>
      <w:sz w:val="20"/>
      <w:u w:val="none"/>
    </w:rPr>
  </w:style>
  <w:style w:type="character" w:customStyle="1" w:styleId="75">
    <w:name w:val="font71"/>
    <w:qFormat/>
    <w:uiPriority w:val="99"/>
    <w:rPr>
      <w:rFonts w:ascii="宋体" w:hAnsi="宋体" w:eastAsia="宋体"/>
      <w:color w:val="003366"/>
      <w:sz w:val="20"/>
      <w:u w:val="none"/>
    </w:rPr>
  </w:style>
  <w:style w:type="character" w:customStyle="1" w:styleId="76">
    <w:name w:val="font91"/>
    <w:qFormat/>
    <w:uiPriority w:val="99"/>
    <w:rPr>
      <w:rFonts w:ascii="宋体" w:hAnsi="宋体" w:eastAsia="宋体"/>
      <w:color w:val="0066CC"/>
      <w:sz w:val="21"/>
      <w:u w:val="none"/>
    </w:rPr>
  </w:style>
  <w:style w:type="character" w:customStyle="1" w:styleId="77">
    <w:name w:val="批注框文本 Char1"/>
    <w:semiHidden/>
    <w:qFormat/>
    <w:uiPriority w:val="99"/>
    <w:rPr>
      <w:sz w:val="18"/>
    </w:rPr>
  </w:style>
  <w:style w:type="character" w:customStyle="1" w:styleId="78">
    <w:name w:val="批注文字 Char1"/>
    <w:semiHidden/>
    <w:qFormat/>
    <w:uiPriority w:val="99"/>
  </w:style>
  <w:style w:type="character" w:customStyle="1" w:styleId="79">
    <w:name w:val="纯文本 Char1"/>
    <w:semiHidden/>
    <w:qFormat/>
    <w:uiPriority w:val="99"/>
    <w:rPr>
      <w:rFonts w:ascii="宋体" w:hAnsi="Courier New" w:eastAsia="宋体"/>
      <w:sz w:val="21"/>
    </w:rPr>
  </w:style>
  <w:style w:type="character" w:customStyle="1" w:styleId="80">
    <w:name w:val="批注主题 Char1"/>
    <w:semiHidden/>
    <w:qFormat/>
    <w:uiPriority w:val="99"/>
    <w:rPr>
      <w:b/>
    </w:rPr>
  </w:style>
  <w:style w:type="character" w:customStyle="1" w:styleId="81">
    <w:name w:val="正文 第五章 中间"/>
    <w:qFormat/>
    <w:uiPriority w:val="99"/>
    <w:rPr>
      <w:b/>
      <w:color w:val="000000"/>
      <w:sz w:val="32"/>
    </w:rPr>
  </w:style>
  <w:style w:type="paragraph" w:customStyle="1" w:styleId="8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3">
    <w:name w:val="纯文本 Char"/>
    <w:qFormat/>
    <w:uiPriority w:val="99"/>
    <w:rPr>
      <w:rFonts w:ascii="宋体" w:hAnsi="Courier New" w:eastAsia="宋体"/>
      <w:kern w:val="2"/>
      <w:sz w:val="21"/>
      <w:lang w:val="en-US" w:eastAsia="zh-CN"/>
    </w:rPr>
  </w:style>
  <w:style w:type="paragraph" w:customStyle="1" w:styleId="84">
    <w:name w:val="列出段落2"/>
    <w:basedOn w:val="1"/>
    <w:qFormat/>
    <w:uiPriority w:val="99"/>
    <w:pPr>
      <w:widowControl/>
      <w:spacing w:line="360" w:lineRule="auto"/>
      <w:ind w:left="720" w:firstLine="200" w:firstLineChars="200"/>
      <w:contextualSpacing/>
      <w:jc w:val="left"/>
    </w:pPr>
    <w:rPr>
      <w:rFonts w:ascii="Calibri" w:hAnsi="Calibri"/>
      <w:kern w:val="0"/>
      <w:sz w:val="24"/>
      <w:lang w:eastAsia="en-US"/>
    </w:rPr>
  </w:style>
  <w:style w:type="paragraph" w:styleId="85">
    <w:name w:val="List Paragraph"/>
    <w:basedOn w:val="1"/>
    <w:qFormat/>
    <w:uiPriority w:val="34"/>
    <w:pPr>
      <w:ind w:firstLine="420" w:firstLineChars="200"/>
    </w:pPr>
  </w:style>
  <w:style w:type="character" w:customStyle="1" w:styleId="86">
    <w:name w:val="font61"/>
    <w:basedOn w:val="29"/>
    <w:qFormat/>
    <w:uiPriority w:val="0"/>
    <w:rPr>
      <w:rFonts w:hint="eastAsia" w:ascii="仿宋" w:hAnsi="仿宋" w:eastAsia="仿宋" w:cs="仿宋"/>
      <w:strike/>
      <w:color w:val="FF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04307-DA49-48E5-A280-749CE75333E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36301</Words>
  <Characters>6595</Characters>
  <Lines>54</Lines>
  <Paragraphs>85</Paragraphs>
  <TotalTime>23</TotalTime>
  <ScaleCrop>false</ScaleCrop>
  <LinksUpToDate>false</LinksUpToDate>
  <CharactersWithSpaces>42811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2018-05-21T06:03:00Z</dcterms:created>
  <dc:creator>马丹</dc:creator>
  <cp:lastModifiedBy>Kizuna</cp:lastModifiedBy>
  <cp:lastPrinted>2017-07-11T08:02:00Z</cp:lastPrinted>
  <dcterms:modified xsi:type="dcterms:W3CDTF">2019-05-16T10:54:10Z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