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ascii="宋体" w:hAnsi="宋体" w:cs="宋体"/>
          <w:b/>
          <w:bCs/>
          <w:sz w:val="24"/>
          <w:szCs w:val="24"/>
          <w:highlight w:val="none"/>
        </w:rPr>
      </w:pPr>
      <w:r>
        <w:rPr>
          <w:rFonts w:hint="eastAsia" w:ascii="宋体" w:hAnsi="宋体" w:cs="宋体"/>
          <w:b/>
          <w:bCs/>
          <w:sz w:val="24"/>
          <w:szCs w:val="24"/>
          <w:highlight w:val="none"/>
        </w:rPr>
        <w:t>采购需求</w:t>
      </w:r>
    </w:p>
    <w:p>
      <w:pPr>
        <w:snapToGrid w:val="0"/>
        <w:spacing w:line="360" w:lineRule="exact"/>
        <w:rPr>
          <w:rFonts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7"/>
        <w:tblW w:w="9381" w:type="dxa"/>
        <w:jc w:val="center"/>
        <w:tblLayout w:type="fixed"/>
        <w:tblCellMar>
          <w:top w:w="0" w:type="dxa"/>
          <w:left w:w="108" w:type="dxa"/>
          <w:bottom w:w="0" w:type="dxa"/>
          <w:right w:w="108" w:type="dxa"/>
        </w:tblCellMar>
      </w:tblPr>
      <w:tblGrid>
        <w:gridCol w:w="1038"/>
        <w:gridCol w:w="2385"/>
        <w:gridCol w:w="1634"/>
        <w:gridCol w:w="2162"/>
        <w:gridCol w:w="2162"/>
      </w:tblGrid>
      <w:tr>
        <w:tblPrEx>
          <w:tblCellMar>
            <w:top w:w="0" w:type="dxa"/>
            <w:left w:w="108" w:type="dxa"/>
            <w:bottom w:w="0" w:type="dxa"/>
            <w:right w:w="108" w:type="dxa"/>
          </w:tblCellMar>
        </w:tblPrEx>
        <w:trPr>
          <w:trHeight w:val="90" w:hRule="atLeast"/>
          <w:jc w:val="center"/>
        </w:trPr>
        <w:tc>
          <w:tcPr>
            <w:tcW w:w="10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序号</w:t>
            </w:r>
          </w:p>
        </w:tc>
        <w:tc>
          <w:tcPr>
            <w:tcW w:w="2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项目内容</w:t>
            </w:r>
          </w:p>
        </w:tc>
        <w:tc>
          <w:tcPr>
            <w:tcW w:w="16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数量</w:t>
            </w:r>
          </w:p>
        </w:tc>
        <w:tc>
          <w:tcPr>
            <w:tcW w:w="216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预算</w:t>
            </w:r>
          </w:p>
        </w:tc>
        <w:tc>
          <w:tcPr>
            <w:tcW w:w="216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709" w:hRule="atLeast"/>
          <w:jc w:val="center"/>
        </w:trPr>
        <w:tc>
          <w:tcPr>
            <w:tcW w:w="10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z w:val="22"/>
                <w:szCs w:val="22"/>
                <w:highlight w:val="none"/>
              </w:rPr>
            </w:pPr>
            <w:r>
              <w:rPr>
                <w:rFonts w:hint="eastAsia" w:ascii="宋体" w:hAnsi="宋体" w:cs="宋体"/>
                <w:sz w:val="22"/>
                <w:szCs w:val="22"/>
                <w:highlight w:val="none"/>
              </w:rPr>
              <w:t>1</w:t>
            </w:r>
          </w:p>
        </w:tc>
        <w:tc>
          <w:tcPr>
            <w:tcW w:w="2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宋体" w:hAnsi="宋体" w:cs="宋体"/>
                <w:snapToGrid w:val="0"/>
                <w:sz w:val="22"/>
                <w:szCs w:val="22"/>
                <w:highlight w:val="none"/>
                <w:lang w:val="zh-CN"/>
              </w:rPr>
            </w:pPr>
            <w:r>
              <w:rPr>
                <w:rFonts w:hint="eastAsia" w:ascii="宋体" w:hAnsi="宋体" w:cs="宋体"/>
                <w:snapToGrid w:val="0"/>
                <w:sz w:val="22"/>
                <w:szCs w:val="22"/>
                <w:highlight w:val="none"/>
                <w:lang w:val="zh-CN"/>
              </w:rPr>
              <w:t>2021年毕业典礼布展</w:t>
            </w:r>
          </w:p>
        </w:tc>
        <w:tc>
          <w:tcPr>
            <w:tcW w:w="163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1项</w:t>
            </w:r>
          </w:p>
        </w:tc>
        <w:tc>
          <w:tcPr>
            <w:tcW w:w="216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r>
              <w:rPr>
                <w:rFonts w:hint="eastAsia" w:ascii="宋体" w:hAnsi="宋体" w:cs="宋体"/>
                <w:sz w:val="22"/>
                <w:szCs w:val="22"/>
                <w:highlight w:val="none"/>
              </w:rPr>
              <w:t>25万元</w:t>
            </w:r>
          </w:p>
        </w:tc>
        <w:tc>
          <w:tcPr>
            <w:tcW w:w="2162"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pPr>
              <w:spacing w:line="370" w:lineRule="exact"/>
              <w:jc w:val="center"/>
              <w:rPr>
                <w:rFonts w:ascii="宋体" w:hAnsi="宋体" w:cs="宋体"/>
                <w:sz w:val="22"/>
                <w:szCs w:val="22"/>
                <w:highlight w:val="none"/>
              </w:rPr>
            </w:pPr>
          </w:p>
        </w:tc>
      </w:tr>
    </w:tbl>
    <w:p>
      <w:pPr>
        <w:pStyle w:val="2"/>
        <w:rPr>
          <w:highlight w:val="none"/>
        </w:rPr>
      </w:pPr>
    </w:p>
    <w:p>
      <w:pPr>
        <w:numPr>
          <w:ilvl w:val="0"/>
          <w:numId w:val="1"/>
        </w:numPr>
        <w:snapToGrid w:val="0"/>
        <w:spacing w:line="360" w:lineRule="exact"/>
        <w:outlineLvl w:val="0"/>
        <w:rPr>
          <w:rFonts w:ascii="宋体" w:hAnsi="宋体" w:cs="宋体"/>
          <w:b/>
          <w:spacing w:val="-6"/>
          <w:sz w:val="22"/>
          <w:szCs w:val="22"/>
          <w:highlight w:val="none"/>
        </w:rPr>
      </w:pPr>
      <w:r>
        <w:rPr>
          <w:rFonts w:hint="eastAsia" w:ascii="宋体" w:hAnsi="宋体" w:cs="宋体"/>
          <w:b/>
          <w:spacing w:val="-6"/>
          <w:sz w:val="22"/>
          <w:szCs w:val="22"/>
          <w:highlight w:val="none"/>
        </w:rPr>
        <w:t>商务要求（技术要求里另有注明的以技术要求为准）</w:t>
      </w:r>
    </w:p>
    <w:tbl>
      <w:tblPr>
        <w:tblStyle w:val="7"/>
        <w:tblW w:w="92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付款条件</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cstheme="minorEastAsia"/>
                <w:sz w:val="22"/>
                <w:szCs w:val="22"/>
                <w:highlight w:val="none"/>
              </w:rPr>
            </w:pPr>
            <w:r>
              <w:rPr>
                <w:rFonts w:hint="eastAsia" w:ascii="宋体" w:hAnsi="宋体" w:cs="宋体"/>
                <w:b/>
                <w:spacing w:val="-6"/>
                <w:sz w:val="22"/>
                <w:szCs w:val="22"/>
                <w:highlight w:val="none"/>
                <w:u w:val="single"/>
              </w:rPr>
              <w:t>▲</w:t>
            </w:r>
            <w:r>
              <w:rPr>
                <w:rFonts w:hint="eastAsia" w:asciiTheme="minorEastAsia" w:hAnsiTheme="minorEastAsia" w:eastAsiaTheme="minorEastAsia" w:cstheme="minorEastAsia"/>
                <w:sz w:val="22"/>
                <w:szCs w:val="22"/>
                <w:highlight w:val="none"/>
                <w:u w:val="single"/>
              </w:rPr>
              <w:t>项目圆满完成并经甲方验收合格后，由甲方于15个工作日内向乙方支付合同的100%货款。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时间要求</w:t>
            </w:r>
          </w:p>
        </w:tc>
        <w:tc>
          <w:tcPr>
            <w:tcW w:w="808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exac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2021年6月 9 日15：00前搭建完成；</w:t>
            </w:r>
          </w:p>
          <w:p>
            <w:pPr>
              <w:numPr>
                <w:ilvl w:val="0"/>
                <w:numId w:val="2"/>
              </w:numPr>
              <w:spacing w:line="360" w:lineRule="exac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2021年6月 10 日下午10:00前进行设备调试、彩排（音响系统的使用、调音师、LED调试及技术员2021年6月 10、11 日彩排、调试，正式使用期间需全程参加）；</w:t>
            </w:r>
          </w:p>
          <w:p>
            <w:pPr>
              <w:numPr>
                <w:ilvl w:val="0"/>
                <w:numId w:val="2"/>
              </w:numPr>
              <w:spacing w:line="360" w:lineRule="exac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2021年6月11 日晚17：00开始正式使用，至晚上21：30；</w:t>
            </w:r>
          </w:p>
          <w:p>
            <w:pPr>
              <w:numPr>
                <w:ilvl w:val="0"/>
                <w:numId w:val="2"/>
              </w:numPr>
              <w:spacing w:line="360" w:lineRule="exac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6月 12 日前清场完毕；</w:t>
            </w:r>
          </w:p>
          <w:p>
            <w:pPr>
              <w:spacing w:line="288" w:lineRule="auto"/>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若由于其他特殊情况发生导致项目实施时间需调整，供应商需根据采购人通知的时间安排及时调整进度，完成前期各项进度。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交付地点</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校方指定地点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pStyle w:val="10"/>
              <w:tabs>
                <w:tab w:val="left" w:pos="885"/>
              </w:tabs>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服务响应</w:t>
            </w:r>
          </w:p>
        </w:tc>
        <w:tc>
          <w:tcPr>
            <w:tcW w:w="8080" w:type="dxa"/>
            <w:tcBorders>
              <w:top w:val="single" w:color="auto" w:sz="4" w:space="0"/>
              <w:left w:val="single" w:color="auto" w:sz="4" w:space="0"/>
              <w:bottom w:val="single" w:color="auto" w:sz="4" w:space="0"/>
              <w:right w:val="single" w:color="auto" w:sz="4" w:space="0"/>
            </w:tcBorders>
            <w:vAlign w:val="center"/>
          </w:tcPr>
          <w:p>
            <w:pPr>
              <w:pStyle w:val="10"/>
              <w:tabs>
                <w:tab w:val="left" w:pos="885"/>
              </w:tabs>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供应商需提供24小时应急响应服务，成交供应商接到采购人通知应在不超过2小时内做出响应，4小时上门服务，48小时内解决故障，以保证设备的正常工作。活动当天及其他采购人有特殊需要时，成交供应商需派专人现场保障。</w:t>
            </w:r>
          </w:p>
          <w:p>
            <w:pPr>
              <w:pStyle w:val="10"/>
              <w:tabs>
                <w:tab w:val="left" w:pos="885"/>
              </w:tabs>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2.按采购人要求在规定时间内保质保量完成相关服务内容。</w:t>
            </w:r>
          </w:p>
          <w:p>
            <w:pPr>
              <w:pStyle w:val="10"/>
              <w:tabs>
                <w:tab w:val="left" w:pos="885"/>
              </w:tabs>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由学校组织专家和用户代表或第三方机构，按照采购文件要求、采购响应文件、合同条款和实际应用效果对项目进行验收，验收费用（专家费）如有由供应商承担。</w:t>
            </w:r>
          </w:p>
        </w:tc>
      </w:tr>
    </w:tbl>
    <w:p>
      <w:pPr>
        <w:pStyle w:val="4"/>
        <w:ind w:left="0" w:right="-252"/>
        <w:rPr>
          <w:highlight w:val="none"/>
        </w:rPr>
      </w:pPr>
    </w:p>
    <w:p>
      <w:pPr>
        <w:numPr>
          <w:ilvl w:val="0"/>
          <w:numId w:val="3"/>
        </w:numPr>
        <w:snapToGrid w:val="0"/>
        <w:spacing w:line="360" w:lineRule="exact"/>
        <w:rPr>
          <w:rFonts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6" w:hRule="atLeast"/>
          <w:jc w:val="center"/>
        </w:trPr>
        <w:tc>
          <w:tcPr>
            <w:tcW w:w="9854" w:type="dxa"/>
          </w:tcPr>
          <w:p>
            <w:pPr>
              <w:spacing w:line="300" w:lineRule="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一、舞台设计制作要求：</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（1）主舞台：钢结构舞台要适合典礼及节目穿插使用；要稳固安全，不能发生摇晃、或者发出异响等现象；有一定的台风抗拒能力；如果进行改造，则活动结束后要恢复原样。</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（2）其它要求：</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fr-FR"/>
              </w:rPr>
              <w:t>A．所有使用的电线、电缆必须采用国家免检产品，电路变电箱、控</w:t>
            </w:r>
            <w:r>
              <w:rPr>
                <w:rFonts w:hint="eastAsia" w:asciiTheme="minorEastAsia" w:hAnsiTheme="minorEastAsia" w:eastAsiaTheme="minorEastAsia" w:cstheme="minorEastAsia"/>
                <w:sz w:val="22"/>
                <w:szCs w:val="22"/>
                <w:highlight w:val="none"/>
              </w:rPr>
              <w:t>制箱须安装在比较方便检修地方（且须有专人负责）。各类连线不能裸露在地面，应有专用材料遮盖。</w:t>
            </w:r>
          </w:p>
          <w:p>
            <w:pPr>
              <w:spacing w:line="300" w:lineRule="auto"/>
              <w:ind w:firstLine="440" w:firstLineChars="200"/>
              <w:rPr>
                <w:rFonts w:asciiTheme="minorEastAsia" w:hAnsiTheme="minorEastAsia" w:eastAsiaTheme="minorEastAsia" w:cstheme="minorEastAsia"/>
                <w:sz w:val="22"/>
                <w:szCs w:val="22"/>
                <w:highlight w:val="none"/>
                <w:lang w:val="fr-FR"/>
              </w:rPr>
            </w:pPr>
            <w:r>
              <w:rPr>
                <w:rFonts w:hint="eastAsia" w:asciiTheme="minorEastAsia" w:hAnsiTheme="minorEastAsia" w:eastAsiaTheme="minorEastAsia" w:cstheme="minorEastAsia"/>
                <w:sz w:val="22"/>
                <w:szCs w:val="22"/>
                <w:highlight w:val="none"/>
                <w:lang w:val="fr-FR"/>
              </w:rPr>
              <w:t>B．所使用的搭建材料均须达到国家规定的环保质量要求及标准，不得在搭建验收前后散发刺激性或令人不快的气味。</w:t>
            </w:r>
          </w:p>
          <w:p>
            <w:pPr>
              <w:spacing w:line="300" w:lineRule="auto"/>
              <w:ind w:firstLine="440" w:firstLineChars="200"/>
              <w:rPr>
                <w:rFonts w:asciiTheme="minorEastAsia" w:hAnsiTheme="minorEastAsia" w:eastAsiaTheme="minorEastAsia" w:cstheme="minorEastAsia"/>
                <w:sz w:val="22"/>
                <w:szCs w:val="22"/>
                <w:highlight w:val="none"/>
                <w:lang w:val="fr-FR"/>
              </w:rPr>
            </w:pPr>
            <w:r>
              <w:rPr>
                <w:rFonts w:hint="eastAsia" w:asciiTheme="minorEastAsia" w:hAnsiTheme="minorEastAsia" w:eastAsiaTheme="minorEastAsia" w:cstheme="minorEastAsia"/>
                <w:sz w:val="22"/>
                <w:szCs w:val="22"/>
                <w:highlight w:val="none"/>
                <w:lang w:val="fr-FR"/>
              </w:rPr>
              <w:t>C．舞台两侧配置一定数量的灭火器。</w:t>
            </w:r>
          </w:p>
          <w:p>
            <w:pPr>
              <w:spacing w:line="300" w:lineRule="auto"/>
              <w:ind w:firstLine="440" w:firstLineChars="200"/>
              <w:rPr>
                <w:rFonts w:asciiTheme="minorEastAsia" w:hAnsiTheme="minorEastAsia" w:eastAsiaTheme="minorEastAsia" w:cstheme="minorEastAsia"/>
                <w:sz w:val="22"/>
                <w:szCs w:val="22"/>
                <w:highlight w:val="none"/>
                <w:lang w:val="fr-FR"/>
              </w:rPr>
            </w:pPr>
            <w:r>
              <w:rPr>
                <w:rFonts w:hint="eastAsia" w:asciiTheme="minorEastAsia" w:hAnsiTheme="minorEastAsia" w:eastAsiaTheme="minorEastAsia" w:cstheme="minorEastAsia"/>
                <w:sz w:val="22"/>
                <w:szCs w:val="22"/>
                <w:highlight w:val="none"/>
                <w:lang w:val="fr-FR"/>
              </w:rPr>
              <w:t>D．需做好雨天预案，确保小雨状态下典礼能正常举行。</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（3）舞台效果图：投标人须根据采购需求提交2021届毕业典礼舞台和灯光效果图。</w:t>
            </w:r>
          </w:p>
          <w:p>
            <w:pPr>
              <w:spacing w:line="300" w:lineRule="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二、活动执行：</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（1）执行方案：根据采购人提供的创意思路确定执行方案，要求可操作性强;</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（2）执行过程：根据最后确定的执行方案出具执行细则，考虑现场需求和活动需要，制定严格的过程管控;</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（3）现场执行：根据采购人提供的创意思路需满足现场同步音、视频切换;</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（4）相关要求：准备与方案相符的相关硬件设备、满足现场要求及方案要求;</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（5）方案调整：根据活动需要，如果需对舞台作微调，经双方协调，中标人应尽量配合支持。</w:t>
            </w:r>
          </w:p>
          <w:p>
            <w:pPr>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（6）毕业典礼相关情况：</w:t>
            </w:r>
          </w:p>
          <w:p>
            <w:pPr>
              <w:numPr>
                <w:ilvl w:val="0"/>
                <w:numId w:val="4"/>
              </w:numPr>
              <w:tabs>
                <w:tab w:val="left" w:pos="420"/>
              </w:tabs>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演出时间：2021年6月11 日（根据常态化疫情防控要求，时间可能会根据实际情况有适当调整，具体时间由采购人通知为准）</w:t>
            </w:r>
          </w:p>
          <w:p>
            <w:pPr>
              <w:numPr>
                <w:ilvl w:val="0"/>
                <w:numId w:val="4"/>
              </w:numPr>
              <w:tabs>
                <w:tab w:val="left" w:pos="420"/>
              </w:tabs>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演出地点：温州肯恩大学大草坪</w:t>
            </w:r>
          </w:p>
          <w:p>
            <w:pPr>
              <w:numPr>
                <w:ilvl w:val="0"/>
                <w:numId w:val="4"/>
              </w:numPr>
              <w:tabs>
                <w:tab w:val="left" w:pos="420"/>
              </w:tabs>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参加观众：市领导、学校领导、师生代表、家长代表、校友代表、全体毕业生等，具体需根据疫情发展情况调整，以实际人数为准。</w:t>
            </w:r>
          </w:p>
          <w:p>
            <w:pPr>
              <w:numPr>
                <w:ilvl w:val="0"/>
                <w:numId w:val="4"/>
              </w:numPr>
              <w:tabs>
                <w:tab w:val="left" w:pos="420"/>
              </w:tabs>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持续时间：180分钟左右</w:t>
            </w:r>
          </w:p>
          <w:p>
            <w:pPr>
              <w:numPr>
                <w:ilvl w:val="0"/>
                <w:numId w:val="4"/>
              </w:numPr>
              <w:tabs>
                <w:tab w:val="left" w:pos="420"/>
              </w:tabs>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舞美要求：室外搭台</w:t>
            </w:r>
          </w:p>
          <w:p>
            <w:pPr>
              <w:numPr>
                <w:ilvl w:val="0"/>
                <w:numId w:val="4"/>
              </w:numPr>
              <w:tabs>
                <w:tab w:val="left" w:pos="420"/>
              </w:tabs>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现场禁忌：火、吸烟</w:t>
            </w:r>
          </w:p>
          <w:p>
            <w:pPr>
              <w:numPr>
                <w:ilvl w:val="0"/>
                <w:numId w:val="4"/>
              </w:numPr>
              <w:tabs>
                <w:tab w:val="left" w:pos="420"/>
              </w:tabs>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时间进程：</w:t>
            </w:r>
          </w:p>
          <w:p>
            <w:pPr>
              <w:ind w:left="42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1）2021年6月 9 日15：00前搭建完成；</w:t>
            </w:r>
          </w:p>
          <w:p>
            <w:pPr>
              <w:ind w:left="42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2）2021年6月 10 日下午10:00前进行设备调试、彩排（音响系统的使用、调音师、LED调试及技术员2021年6月 10、11 日彩排、调试，正式使用期间需全程参加）；</w:t>
            </w:r>
          </w:p>
          <w:p>
            <w:pPr>
              <w:ind w:left="42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3）2021年6月11 日晚17：00开始正式使用，至晚上21：30；</w:t>
            </w:r>
          </w:p>
          <w:p>
            <w:pPr>
              <w:ind w:left="42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4）6月 12 日前清场完毕；</w:t>
            </w:r>
          </w:p>
          <w:p>
            <w:pPr>
              <w:numPr>
                <w:ilvl w:val="0"/>
                <w:numId w:val="4"/>
              </w:numPr>
              <w:tabs>
                <w:tab w:val="left" w:pos="420"/>
              </w:tabs>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典礼内容及形式：</w:t>
            </w:r>
          </w:p>
          <w:p>
            <w:pPr>
              <w:pStyle w:val="5"/>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（1）典礼为主，辅以曲目演（唱）奏；</w:t>
            </w:r>
          </w:p>
          <w:p>
            <w:pPr>
              <w:pStyle w:val="5"/>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（2）舞台设发言席1个；</w:t>
            </w:r>
          </w:p>
          <w:p>
            <w:pPr>
              <w:pStyle w:val="5"/>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（3）学校领导主持人1名和教师主持人3名；</w:t>
            </w:r>
          </w:p>
          <w:p>
            <w:pPr>
              <w:pStyle w:val="5"/>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（4）校长及嘉宾、学生、代表依次致辞、发言，穿插合唱团演唱环节；</w:t>
            </w:r>
          </w:p>
          <w:p>
            <w:pPr>
              <w:pStyle w:val="5"/>
              <w:ind w:firstLine="440" w:firstLineChars="200"/>
              <w:jc w:val="left"/>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（5）设置LED大屏幕，满足现场直播及播放VCR功能（切换流畅）。</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6）主要流程：视频播放，毕业典礼入场仪式，主持人介绍领导、嘉宾；主持人宣布典礼开始，奏唱国歌；温州市领导致辞；校长发言；嘉宾发言；毕业生代表发言；文艺节目；颁发卷轴；校友会会长致辞；全体起立，奏唱校歌。</w:t>
            </w:r>
          </w:p>
          <w:p>
            <w:pPr>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特别提示：</w:t>
            </w:r>
          </w:p>
          <w:p>
            <w:pPr>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投标人须提供舞台搭建材料的详细清单，并注明材料的品牌、产地、规格型号、单价、数量和整个投标报价的成本分析；</w:t>
            </w:r>
          </w:p>
          <w:p>
            <w:pPr>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须提供执行方案的报价清单，并注明相关硬件的品牌、产地、规格型号、单价、数量和整个执行方案报价的成本分析。</w:t>
            </w:r>
          </w:p>
          <w:p>
            <w:pPr>
              <w:spacing w:line="300" w:lineRule="auto"/>
              <w:ind w:firstLine="440" w:firstLineChars="200"/>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项目需踏勘，踏勘联系人：谢甸园 ，联系电话：13757132822</w:t>
            </w:r>
          </w:p>
          <w:p>
            <w:pP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三、投入设备名称及主要技术要求，请供应商在响应文件内详细列明</w:t>
            </w:r>
          </w:p>
          <w:p>
            <w:pPr>
              <w:pStyle w:val="2"/>
              <w:rPr>
                <w:rFonts w:asciiTheme="minorEastAsia" w:hAnsiTheme="minorEastAsia" w:eastAsiaTheme="minorEastAsia" w:cstheme="minorEastAsia"/>
                <w:sz w:val="22"/>
                <w:szCs w:val="22"/>
                <w:highlight w:val="none"/>
              </w:rPr>
            </w:pPr>
          </w:p>
          <w:p>
            <w:pPr>
              <w:pStyle w:val="3"/>
              <w:rPr>
                <w:rFonts w:asciiTheme="minorEastAsia" w:hAnsiTheme="minorEastAsia" w:eastAsiaTheme="minorEastAsia" w:cstheme="minorEastAsia"/>
                <w:sz w:val="22"/>
                <w:szCs w:val="22"/>
                <w:highlight w:val="none"/>
              </w:rPr>
            </w:pPr>
          </w:p>
          <w:p>
            <w:pPr>
              <w:pStyle w:val="3"/>
              <w:rPr>
                <w:rFonts w:asciiTheme="minorEastAsia" w:hAnsiTheme="minorEastAsia" w:eastAsiaTheme="minorEastAsia" w:cstheme="minorEastAsia"/>
                <w:sz w:val="22"/>
                <w:szCs w:val="22"/>
                <w:highlight w:val="none"/>
              </w:rPr>
            </w:pPr>
          </w:p>
          <w:p>
            <w:pPr>
              <w:pStyle w:val="3"/>
              <w:rPr>
                <w:rFonts w:asciiTheme="minorEastAsia" w:hAnsiTheme="minorEastAsia" w:eastAsiaTheme="minorEastAsia" w:cstheme="minorEastAsia"/>
                <w:sz w:val="22"/>
                <w:szCs w:val="22"/>
                <w:highlight w:val="none"/>
              </w:rPr>
            </w:pPr>
          </w:p>
          <w:p>
            <w:pPr>
              <w:pStyle w:val="2"/>
              <w:jc w:val="center"/>
              <w:rPr>
                <w:rFonts w:asciiTheme="minorEastAsia" w:hAnsiTheme="minorEastAsia" w:eastAsiaTheme="minorEastAsia" w:cstheme="minorEastAsia"/>
                <w:sz w:val="22"/>
                <w:szCs w:val="22"/>
                <w:highlight w:val="none"/>
              </w:rPr>
            </w:pPr>
          </w:p>
          <w:p>
            <w:pPr>
              <w:pStyle w:val="2"/>
              <w:jc w:val="center"/>
              <w:rPr>
                <w:rFonts w:asciiTheme="minorEastAsia" w:hAnsiTheme="minorEastAsia" w:eastAsiaTheme="minorEastAsia" w:cstheme="minorEastAsia"/>
                <w:sz w:val="22"/>
                <w:szCs w:val="22"/>
                <w:highlight w:val="none"/>
              </w:rPr>
            </w:pPr>
          </w:p>
          <w:p>
            <w:pPr>
              <w:pStyle w:val="2"/>
              <w:jc w:val="center"/>
              <w:rPr>
                <w:rFonts w:asciiTheme="minorEastAsia" w:hAnsiTheme="minorEastAsia" w:eastAsiaTheme="minorEastAsia" w:cstheme="minorEastAsia"/>
                <w:sz w:val="22"/>
                <w:szCs w:val="22"/>
                <w:highlight w:val="none"/>
              </w:rPr>
            </w:pPr>
          </w:p>
          <w:p>
            <w:pPr>
              <w:pStyle w:val="2"/>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drawing>
                <wp:inline distT="0" distB="0" distL="114300" distR="114300">
                  <wp:extent cx="5679440" cy="3244850"/>
                  <wp:effectExtent l="0" t="0" r="16510" b="12700"/>
                  <wp:docPr id="5" name="图片 5" descr="61b7e41fa3755503233f84f5406c2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1b7e41fa3755503233f84f5406c23b"/>
                          <pic:cNvPicPr>
                            <a:picLocks noChangeAspect="1"/>
                          </pic:cNvPicPr>
                        </pic:nvPicPr>
                        <pic:blipFill>
                          <a:blip r:embed="rId4"/>
                          <a:stretch>
                            <a:fillRect/>
                          </a:stretch>
                        </pic:blipFill>
                        <pic:spPr>
                          <a:xfrm>
                            <a:off x="0" y="0"/>
                            <a:ext cx="5679440" cy="3244850"/>
                          </a:xfrm>
                          <a:prstGeom prst="rect">
                            <a:avLst/>
                          </a:prstGeom>
                        </pic:spPr>
                      </pic:pic>
                    </a:graphicData>
                  </a:graphic>
                </wp:inline>
              </w:drawing>
            </w:r>
          </w:p>
          <w:p>
            <w:pPr>
              <w:pStyle w:val="2"/>
              <w:jc w:val="center"/>
              <w:rPr>
                <w:rFonts w:asciiTheme="minorEastAsia" w:hAnsiTheme="minorEastAsia" w:eastAsiaTheme="minorEastAsia" w:cstheme="minorEastAsia"/>
                <w:sz w:val="22"/>
                <w:szCs w:val="22"/>
                <w:highlight w:val="none"/>
              </w:rPr>
            </w:pPr>
          </w:p>
          <w:p>
            <w:pPr>
              <w:pStyle w:val="3"/>
              <w:jc w:val="center"/>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以上图片仅供参考，具体深化效果图由响应单位提供具体方案。</w:t>
            </w:r>
          </w:p>
          <w:p>
            <w:pPr>
              <w:pStyle w:val="3"/>
              <w:rPr>
                <w:rFonts w:asciiTheme="minorEastAsia" w:hAnsiTheme="minorEastAsia" w:eastAsiaTheme="minorEastAsia" w:cstheme="minorEastAsia"/>
                <w:sz w:val="22"/>
                <w:szCs w:val="22"/>
                <w:highlight w:val="none"/>
              </w:rPr>
            </w:pPr>
          </w:p>
          <w:p>
            <w:pPr>
              <w:pStyle w:val="3"/>
              <w:rPr>
                <w:rFonts w:asciiTheme="minorEastAsia" w:hAnsiTheme="minorEastAsia" w:eastAsiaTheme="minorEastAsia" w:cstheme="minorEastAsia"/>
                <w:sz w:val="22"/>
                <w:szCs w:val="22"/>
                <w:highlight w:val="none"/>
              </w:rPr>
            </w:pPr>
          </w:p>
        </w:tc>
      </w:tr>
    </w:tbl>
    <w:p>
      <w:pPr>
        <w:pStyle w:val="2"/>
        <w:rPr>
          <w:highlight w:val="none"/>
        </w:rPr>
      </w:pPr>
    </w:p>
    <w:tbl>
      <w:tblPr>
        <w:tblStyle w:val="7"/>
        <w:tblpPr w:leftFromText="180" w:rightFromText="180" w:vertAnchor="text" w:horzAnchor="page" w:tblpXSpec="center" w:tblpY="-1439"/>
        <w:tblW w:w="10830" w:type="dxa"/>
        <w:jc w:val="center"/>
        <w:tblLayout w:type="fixed"/>
        <w:tblCellMar>
          <w:top w:w="0" w:type="dxa"/>
          <w:left w:w="108" w:type="dxa"/>
          <w:bottom w:w="0" w:type="dxa"/>
          <w:right w:w="108" w:type="dxa"/>
        </w:tblCellMar>
      </w:tblPr>
      <w:tblGrid>
        <w:gridCol w:w="811"/>
        <w:gridCol w:w="440"/>
        <w:gridCol w:w="2678"/>
        <w:gridCol w:w="2794"/>
        <w:gridCol w:w="1358"/>
        <w:gridCol w:w="2018"/>
        <w:gridCol w:w="731"/>
      </w:tblGrid>
      <w:tr>
        <w:tblPrEx>
          <w:tblCellMar>
            <w:top w:w="0" w:type="dxa"/>
            <w:left w:w="108" w:type="dxa"/>
            <w:bottom w:w="0" w:type="dxa"/>
            <w:right w:w="108" w:type="dxa"/>
          </w:tblCellMar>
        </w:tblPrEx>
        <w:trPr>
          <w:trHeight w:val="696" w:hRule="atLeast"/>
          <w:jc w:val="center"/>
        </w:trPr>
        <w:tc>
          <w:tcPr>
            <w:tcW w:w="10830"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bCs/>
                <w:kern w:val="0"/>
                <w:sz w:val="18"/>
                <w:szCs w:val="18"/>
                <w:highlight w:val="none"/>
              </w:rPr>
            </w:pPr>
            <w:r>
              <w:rPr>
                <w:rFonts w:hint="eastAsia" w:ascii="微软雅黑" w:hAnsi="微软雅黑" w:eastAsia="微软雅黑" w:cs="宋体"/>
                <w:b/>
                <w:bCs/>
                <w:kern w:val="0"/>
                <w:sz w:val="18"/>
                <w:szCs w:val="18"/>
                <w:highlight w:val="none"/>
              </w:rPr>
              <w:t>舞台区域物料配备</w:t>
            </w:r>
          </w:p>
        </w:tc>
      </w:tr>
      <w:tr>
        <w:tblPrEx>
          <w:tblCellMar>
            <w:top w:w="0" w:type="dxa"/>
            <w:left w:w="108" w:type="dxa"/>
            <w:bottom w:w="0" w:type="dxa"/>
            <w:right w:w="108" w:type="dxa"/>
          </w:tblCellMar>
        </w:tblPrEx>
        <w:trPr>
          <w:trHeight w:val="301" w:hRule="atLeast"/>
          <w:jc w:val="center"/>
        </w:trPr>
        <w:tc>
          <w:tcPr>
            <w:tcW w:w="81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类别</w:t>
            </w: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序号</w:t>
            </w:r>
          </w:p>
        </w:tc>
        <w:tc>
          <w:tcPr>
            <w:tcW w:w="267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项目名称</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品牌、规格型号</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单位</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数量</w:t>
            </w:r>
          </w:p>
        </w:tc>
        <w:tc>
          <w:tcPr>
            <w:tcW w:w="73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备注</w:t>
            </w:r>
          </w:p>
        </w:tc>
      </w:tr>
      <w:tr>
        <w:tblPrEx>
          <w:tblCellMar>
            <w:top w:w="0" w:type="dxa"/>
            <w:left w:w="108" w:type="dxa"/>
            <w:bottom w:w="0" w:type="dxa"/>
            <w:right w:w="108" w:type="dxa"/>
          </w:tblCellMar>
        </w:tblPrEx>
        <w:trPr>
          <w:trHeight w:val="301" w:hRule="atLeast"/>
          <w:jc w:val="center"/>
        </w:trPr>
        <w:tc>
          <w:tcPr>
            <w:tcW w:w="811" w:type="dxa"/>
            <w:vMerge w:val="restart"/>
            <w:tcBorders>
              <w:top w:val="nil"/>
              <w:left w:val="single" w:color="auto" w:sz="4" w:space="0"/>
              <w:bottom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视频系统</w:t>
            </w: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主视觉LED (LAYER悬挂)</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户外P3显示屏12*6m</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平方</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72</w:t>
            </w:r>
          </w:p>
        </w:tc>
        <w:tc>
          <w:tcPr>
            <w:tcW w:w="731" w:type="dxa"/>
            <w:vMerge w:val="restart"/>
            <w:tcBorders>
              <w:top w:val="nil"/>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直播LED  (LAYER悬挂)</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户外P3显示屏6*4m*2侧</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平方</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48</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3</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领导返看LED  (LAYER悬挂)</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户外P3显示屏3*1.5m*2侧</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平方</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9</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视频系统处理周边</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5</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视频导播控台</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音频系统</w:t>
            </w: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线阵全频音箱</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只</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16</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线阵低音音箱</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只</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8</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3</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线阵返听音箱</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只</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线阵补声音箱</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只</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5</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音频系统处理周边</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6</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音频调音台</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90"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7</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专业无线人声话筒</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8</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8</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专业无线头戴话筒</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6</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9</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合唱电容话筒</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10</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专业会议鹅颈话筒</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舞台基础+道具</w:t>
            </w: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舞台基础</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16m*12m(高度1M)</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平方</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192</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2</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舞台上领导阶梯看台</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12m*1.2m(高度0.2-0.4-0.6M)</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3</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舞台上领导阶梯看台上座椅</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张</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100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4</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台口斜挡+标语</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16m*1.5m</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平方</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24</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5</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舞台区域整铺地毯（深灰色拉绒）</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平方</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240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6</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舞台内侧台阶4.8M四阶</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7</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舞台外侧台阶2.4M四阶</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8</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残疾人通道</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9</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左右通道绿植</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10</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LAYER结构灯架</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平方</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700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11</w:t>
            </w: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xml:space="preserve">面光LAYER </w:t>
            </w:r>
          </w:p>
        </w:tc>
        <w:tc>
          <w:tcPr>
            <w:tcW w:w="279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平方</w:t>
            </w:r>
          </w:p>
        </w:tc>
        <w:tc>
          <w:tcPr>
            <w:tcW w:w="201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128</w:t>
            </w:r>
          </w:p>
        </w:tc>
        <w:tc>
          <w:tcPr>
            <w:tcW w:w="731" w:type="dxa"/>
            <w:vMerge w:val="continue"/>
            <w:tcBorders>
              <w:left w:val="nil"/>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12</w:t>
            </w:r>
          </w:p>
        </w:tc>
        <w:tc>
          <w:tcPr>
            <w:tcW w:w="2678"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控台搭建区域</w:t>
            </w:r>
          </w:p>
        </w:tc>
        <w:tc>
          <w:tcPr>
            <w:tcW w:w="2794"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auto" w:fill="auto"/>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13</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地面LOGO粉构</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14</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TRUSS结构灯架表面整铺黑色拉网</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平方</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360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15</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彩纸机</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彩带机</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16</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气柱</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8</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restart"/>
            <w:tcBorders>
              <w:top w:val="nil"/>
              <w:left w:val="single" w:color="auto" w:sz="4" w:space="0"/>
              <w:bottom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灯光系统</w:t>
            </w: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电脑摇头光束灯</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台</w:t>
            </w:r>
          </w:p>
        </w:tc>
        <w:tc>
          <w:tcPr>
            <w:tcW w:w="201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电脑三合一图案灯</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台</w:t>
            </w:r>
          </w:p>
        </w:tc>
        <w:tc>
          <w:tcPr>
            <w:tcW w:w="201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16</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3</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电脑图案灯</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台</w:t>
            </w:r>
          </w:p>
        </w:tc>
        <w:tc>
          <w:tcPr>
            <w:tcW w:w="201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图案灯LOGO片</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张</w:t>
            </w:r>
          </w:p>
        </w:tc>
        <w:tc>
          <w:tcPr>
            <w:tcW w:w="201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5</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摇头面光灯</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台</w:t>
            </w:r>
          </w:p>
        </w:tc>
        <w:tc>
          <w:tcPr>
            <w:tcW w:w="201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16</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6</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LEDPA染色灯</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台</w:t>
            </w:r>
          </w:p>
        </w:tc>
        <w:tc>
          <w:tcPr>
            <w:tcW w:w="201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80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7</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灯光数字调控台</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台</w:t>
            </w:r>
          </w:p>
        </w:tc>
        <w:tc>
          <w:tcPr>
            <w:tcW w:w="201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8</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追光</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套</w:t>
            </w:r>
          </w:p>
        </w:tc>
        <w:tc>
          <w:tcPr>
            <w:tcW w:w="201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9</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电源直通箱</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台</w:t>
            </w:r>
          </w:p>
        </w:tc>
        <w:tc>
          <w:tcPr>
            <w:tcW w:w="201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10</w:t>
            </w:r>
          </w:p>
        </w:tc>
        <w:tc>
          <w:tcPr>
            <w:tcW w:w="2678"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临时电源阻燃电缆</w:t>
            </w:r>
          </w:p>
        </w:tc>
        <w:tc>
          <w:tcPr>
            <w:tcW w:w="2794"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xml:space="preserve">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米</w:t>
            </w:r>
          </w:p>
        </w:tc>
        <w:tc>
          <w:tcPr>
            <w:tcW w:w="201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120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人员配备</w:t>
            </w: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1</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音响师1名+音响助理1名</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场</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2</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视频播控老师1名+导播助理1名</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场</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3</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灯光师</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人</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4</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安装及拆卸人员</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工</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5</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运输</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731" w:type="dxa"/>
            <w:vMerge w:val="continue"/>
            <w:tcBorders>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603" w:hRule="atLeast"/>
          <w:jc w:val="center"/>
        </w:trPr>
        <w:tc>
          <w:tcPr>
            <w:tcW w:w="10830"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b/>
                <w:bCs/>
                <w:kern w:val="0"/>
                <w:sz w:val="18"/>
                <w:szCs w:val="18"/>
                <w:highlight w:val="none"/>
              </w:rPr>
            </w:pPr>
            <w:r>
              <w:rPr>
                <w:rFonts w:hint="eastAsia" w:ascii="微软雅黑" w:hAnsi="微软雅黑" w:eastAsia="微软雅黑" w:cs="宋体"/>
                <w:b/>
                <w:bCs/>
                <w:kern w:val="0"/>
                <w:sz w:val="18"/>
                <w:szCs w:val="18"/>
                <w:highlight w:val="none"/>
              </w:rPr>
              <w:t>观众区域物料配备</w:t>
            </w:r>
          </w:p>
        </w:tc>
      </w:tr>
      <w:tr>
        <w:tblPrEx>
          <w:tblCellMar>
            <w:top w:w="0" w:type="dxa"/>
            <w:left w:w="108" w:type="dxa"/>
            <w:bottom w:w="0" w:type="dxa"/>
            <w:right w:w="108" w:type="dxa"/>
          </w:tblCellMar>
        </w:tblPrEx>
        <w:trPr>
          <w:trHeight w:val="301" w:hRule="atLeast"/>
          <w:jc w:val="center"/>
        </w:trPr>
        <w:tc>
          <w:tcPr>
            <w:tcW w:w="81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类别</w:t>
            </w: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序号</w:t>
            </w:r>
          </w:p>
        </w:tc>
        <w:tc>
          <w:tcPr>
            <w:tcW w:w="267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项目名称</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品牌、规格型号</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单位</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数量</w:t>
            </w:r>
          </w:p>
        </w:tc>
        <w:tc>
          <w:tcPr>
            <w:tcW w:w="731" w:type="dxa"/>
            <w:vMerge w:val="restart"/>
            <w:tcBorders>
              <w:top w:val="nil"/>
              <w:left w:val="nil"/>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　</w:t>
            </w: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观众座椅（白色塑料椅）</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张</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1600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专业草坪保护垫</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平方</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1500</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3</w:t>
            </w:r>
          </w:p>
        </w:tc>
        <w:tc>
          <w:tcPr>
            <w:tcW w:w="2678"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冷风机</w:t>
            </w:r>
          </w:p>
        </w:tc>
        <w:tc>
          <w:tcPr>
            <w:tcW w:w="2794"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台</w:t>
            </w:r>
          </w:p>
        </w:tc>
        <w:tc>
          <w:tcPr>
            <w:tcW w:w="2018"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12</w:t>
            </w:r>
          </w:p>
        </w:tc>
        <w:tc>
          <w:tcPr>
            <w:tcW w:w="731" w:type="dxa"/>
            <w:vMerge w:val="continue"/>
            <w:tcBorders>
              <w:left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301" w:hRule="atLeast"/>
          <w:jc w:val="center"/>
        </w:trPr>
        <w:tc>
          <w:tcPr>
            <w:tcW w:w="811"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微软雅黑" w:hAnsi="微软雅黑" w:eastAsia="微软雅黑" w:cs="宋体"/>
                <w:kern w:val="0"/>
                <w:sz w:val="18"/>
                <w:szCs w:val="18"/>
                <w:highlight w:val="none"/>
              </w:rPr>
            </w:pPr>
          </w:p>
        </w:tc>
        <w:tc>
          <w:tcPr>
            <w:tcW w:w="440"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4</w:t>
            </w:r>
          </w:p>
        </w:tc>
        <w:tc>
          <w:tcPr>
            <w:tcW w:w="2678" w:type="dxa"/>
            <w:tcBorders>
              <w:top w:val="nil"/>
              <w:left w:val="nil"/>
              <w:bottom w:val="nil"/>
              <w:right w:val="single" w:color="auto" w:sz="4" w:space="0"/>
            </w:tcBorders>
            <w:shd w:val="clear" w:color="000000" w:fill="FFFFFF"/>
            <w:vAlign w:val="center"/>
          </w:tcPr>
          <w:p>
            <w:pPr>
              <w:widowControl/>
              <w:jc w:val="left"/>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座椅铺设人工+草坪保护垫铺设叉车人工</w:t>
            </w:r>
          </w:p>
        </w:tc>
        <w:tc>
          <w:tcPr>
            <w:tcW w:w="2794"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　</w:t>
            </w:r>
          </w:p>
        </w:tc>
        <w:tc>
          <w:tcPr>
            <w:tcW w:w="1358" w:type="dxa"/>
            <w:tcBorders>
              <w:top w:val="nil"/>
              <w:left w:val="nil"/>
              <w:bottom w:val="nil"/>
              <w:right w:val="single" w:color="auto" w:sz="4" w:space="0"/>
            </w:tcBorders>
            <w:shd w:val="clear" w:color="000000" w:fill="FFFFFF"/>
            <w:noWrap/>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工</w:t>
            </w:r>
          </w:p>
        </w:tc>
        <w:tc>
          <w:tcPr>
            <w:tcW w:w="2018" w:type="dxa"/>
            <w:tcBorders>
              <w:top w:val="nil"/>
              <w:left w:val="nil"/>
              <w:bottom w:val="nil"/>
              <w:right w:val="single" w:color="auto" w:sz="4" w:space="0"/>
            </w:tcBorders>
            <w:shd w:val="clear" w:color="000000" w:fill="FFFFFF"/>
            <w:vAlign w:val="center"/>
          </w:tcPr>
          <w:p>
            <w:pPr>
              <w:widowControl/>
              <w:jc w:val="center"/>
              <w:rPr>
                <w:rFonts w:ascii="微软雅黑" w:hAnsi="微软雅黑" w:eastAsia="微软雅黑" w:cs="宋体"/>
                <w:color w:val="000000"/>
                <w:kern w:val="0"/>
                <w:sz w:val="18"/>
                <w:szCs w:val="18"/>
                <w:highlight w:val="none"/>
              </w:rPr>
            </w:pPr>
            <w:r>
              <w:rPr>
                <w:rFonts w:hint="eastAsia" w:ascii="微软雅黑" w:hAnsi="微软雅黑" w:eastAsia="微软雅黑" w:cs="宋体"/>
                <w:color w:val="000000"/>
                <w:kern w:val="0"/>
                <w:sz w:val="18"/>
                <w:szCs w:val="18"/>
                <w:highlight w:val="none"/>
              </w:rPr>
              <w:t>20</w:t>
            </w:r>
          </w:p>
        </w:tc>
        <w:tc>
          <w:tcPr>
            <w:tcW w:w="731" w:type="dxa"/>
            <w:vMerge w:val="continue"/>
            <w:tcBorders>
              <w:left w:val="nil"/>
              <w:bottom w:val="nil"/>
              <w:right w:val="single" w:color="auto" w:sz="4" w:space="0"/>
            </w:tcBorders>
            <w:shd w:val="clear" w:color="000000" w:fill="FFFFFF"/>
            <w:noWrap/>
            <w:vAlign w:val="center"/>
          </w:tcPr>
          <w:p>
            <w:pPr>
              <w:widowControl/>
              <w:jc w:val="center"/>
              <w:rPr>
                <w:rFonts w:ascii="微软雅黑" w:hAnsi="微软雅黑" w:eastAsia="微软雅黑" w:cs="宋体"/>
                <w:kern w:val="0"/>
                <w:sz w:val="18"/>
                <w:szCs w:val="18"/>
                <w:highlight w:val="none"/>
              </w:rPr>
            </w:pPr>
          </w:p>
        </w:tc>
      </w:tr>
      <w:tr>
        <w:tblPrEx>
          <w:tblCellMar>
            <w:top w:w="0" w:type="dxa"/>
            <w:left w:w="108" w:type="dxa"/>
            <w:bottom w:w="0" w:type="dxa"/>
            <w:right w:w="108" w:type="dxa"/>
          </w:tblCellMar>
        </w:tblPrEx>
        <w:trPr>
          <w:trHeight w:val="853" w:hRule="atLeast"/>
          <w:jc w:val="center"/>
        </w:trPr>
        <w:tc>
          <w:tcPr>
            <w:tcW w:w="10830" w:type="dxa"/>
            <w:gridSpan w:val="7"/>
            <w:tcBorders>
              <w:top w:val="nil"/>
              <w:left w:val="single" w:color="auto" w:sz="4" w:space="0"/>
              <w:bottom w:val="single" w:color="000000" w:sz="4" w:space="0"/>
              <w:right w:val="single" w:color="auto" w:sz="4" w:space="0"/>
            </w:tcBorders>
            <w:shd w:val="clear" w:color="auto" w:fill="auto"/>
            <w:vAlign w:val="center"/>
          </w:tcPr>
          <w:p>
            <w:pPr>
              <w:widowControl/>
              <w:rPr>
                <w:rFonts w:ascii="微软雅黑" w:hAnsi="微软雅黑" w:eastAsia="微软雅黑" w:cs="宋体"/>
                <w:kern w:val="0"/>
                <w:sz w:val="18"/>
                <w:szCs w:val="18"/>
                <w:highlight w:val="none"/>
              </w:rPr>
            </w:pPr>
            <w:r>
              <w:rPr>
                <w:rFonts w:hint="eastAsia" w:ascii="微软雅黑" w:hAnsi="微软雅黑" w:eastAsia="微软雅黑" w:cs="宋体"/>
                <w:kern w:val="0"/>
                <w:sz w:val="18"/>
                <w:szCs w:val="18"/>
                <w:highlight w:val="none"/>
              </w:rPr>
              <w:t>以上设备清单需响应单位在响应文件内详细提供具体内容及符合情况对比表</w:t>
            </w:r>
          </w:p>
        </w:tc>
      </w:tr>
    </w:tbl>
    <w:p>
      <w:pPr>
        <w:pStyle w:val="6"/>
        <w:ind w:firstLine="560"/>
        <w:rPr>
          <w:highlight w:val="none"/>
        </w:rPr>
      </w:pPr>
    </w:p>
    <w:p>
      <w:pPr>
        <w:spacing w:line="360" w:lineRule="exact"/>
        <w:rPr>
          <w:rFonts w:ascii="宋体" w:hAnsi="宋体" w:cs="宋体"/>
          <w:b/>
          <w:bCs/>
          <w:sz w:val="22"/>
          <w:szCs w:val="22"/>
          <w:highlight w:val="none"/>
        </w:rPr>
      </w:pPr>
      <w:r>
        <w:rPr>
          <w:rFonts w:hint="eastAsia" w:ascii="宋体" w:hAnsi="宋体" w:cs="宋体"/>
          <w:b/>
          <w:spacing w:val="-6"/>
          <w:sz w:val="22"/>
          <w:szCs w:val="22"/>
          <w:highlight w:val="none"/>
        </w:rPr>
        <w:t>四、其他</w:t>
      </w:r>
    </w:p>
    <w:p>
      <w:pPr>
        <w:spacing w:line="360" w:lineRule="exact"/>
        <w:ind w:firstLine="418" w:firstLineChars="200"/>
        <w:rPr>
          <w:rFonts w:ascii="宋体" w:hAnsi="宋体" w:cs="宋体"/>
          <w:b/>
          <w:spacing w:val="-6"/>
          <w:sz w:val="22"/>
          <w:szCs w:val="22"/>
          <w:highlight w:val="none"/>
        </w:rPr>
      </w:pPr>
      <w:r>
        <w:rPr>
          <w:rFonts w:hint="eastAsia" w:ascii="宋体" w:hAnsi="宋体" w:cs="宋体"/>
          <w:b/>
          <w:spacing w:val="-6"/>
          <w:sz w:val="22"/>
          <w:szCs w:val="22"/>
          <w:highlight w:val="none"/>
        </w:rPr>
        <w:t>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除此之外其余的指标、服务要求以及合同条款可在采购现场，根据采购小组与供应商的采购进行变动。</w:t>
      </w:r>
    </w:p>
    <w:p>
      <w:pPr>
        <w:spacing w:line="360" w:lineRule="exact"/>
        <w:ind w:firstLine="418" w:firstLineChars="200"/>
        <w:rPr>
          <w:rFonts w:ascii="宋体" w:hAnsi="宋体" w:cs="宋体"/>
          <w:b/>
          <w:sz w:val="30"/>
          <w:szCs w:val="30"/>
          <w:highlight w:val="none"/>
        </w:rPr>
      </w:pPr>
      <w:r>
        <w:rPr>
          <w:rFonts w:hint="eastAsia" w:ascii="宋体" w:hAnsi="宋体" w:cs="宋体"/>
          <w:b/>
          <w:spacing w:val="-6"/>
          <w:sz w:val="22"/>
          <w:szCs w:val="22"/>
          <w:highlight w:val="none"/>
        </w:rPr>
        <w:t>除采购文件中所明确的采购需求规格外，欢迎其他能满足本项目采购需求且性能相当于或高于所明确的产品参加采购报价。同时在采购需求偏离表中作出详细对比说明</w:t>
      </w:r>
      <w:r>
        <w:rPr>
          <w:rFonts w:hint="eastAsia" w:ascii="宋体" w:hAnsi="宋体" w:cs="宋体"/>
          <w:b/>
          <w:bCs/>
          <w:kern w:val="0"/>
          <w:sz w:val="22"/>
          <w:szCs w:val="22"/>
          <w:highlight w:val="none"/>
        </w:rPr>
        <w:t>。</w:t>
      </w:r>
    </w:p>
    <w:p>
      <w:pPr>
        <w:adjustRightInd w:val="0"/>
        <w:snapToGrid w:val="0"/>
        <w:spacing w:before="120" w:beforeLines="50" w:after="120" w:afterLines="50" w:line="360" w:lineRule="auto"/>
        <w:jc w:val="center"/>
        <w:outlineLvl w:val="0"/>
        <w:rPr>
          <w:rFonts w:ascii="宋体" w:hAnsi="宋体" w:cs="宋体"/>
          <w:b/>
          <w:sz w:val="30"/>
          <w:szCs w:val="30"/>
          <w:highlight w:val="none"/>
        </w:rPr>
      </w:pPr>
    </w:p>
    <w:p>
      <w:pPr>
        <w:adjustRightInd w:val="0"/>
        <w:snapToGrid w:val="0"/>
        <w:spacing w:before="120" w:beforeLines="50" w:after="120" w:afterLines="50" w:line="360" w:lineRule="auto"/>
        <w:jc w:val="center"/>
        <w:outlineLvl w:val="0"/>
        <w:rPr>
          <w:rFonts w:ascii="宋体" w:hAnsi="宋体" w:cs="宋体"/>
          <w:b/>
          <w:sz w:val="30"/>
          <w:szCs w:val="30"/>
          <w:highlight w:val="none"/>
        </w:rPr>
      </w:pPr>
    </w:p>
    <w:p>
      <w:pPr>
        <w:adjustRightInd w:val="0"/>
        <w:snapToGrid w:val="0"/>
        <w:spacing w:before="120" w:beforeLines="50" w:after="120" w:afterLines="50" w:line="360" w:lineRule="auto"/>
        <w:jc w:val="center"/>
        <w:outlineLvl w:val="0"/>
        <w:rPr>
          <w:rFonts w:ascii="宋体" w:hAnsi="宋体" w:cs="宋体"/>
          <w:b/>
          <w:sz w:val="30"/>
          <w:szCs w:val="30"/>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C28497"/>
    <w:multiLevelType w:val="singleLevel"/>
    <w:tmpl w:val="C9C28497"/>
    <w:lvl w:ilvl="0" w:tentative="0">
      <w:start w:val="1"/>
      <w:numFmt w:val="decimal"/>
      <w:suff w:val="nothing"/>
      <w:lvlText w:val="（%1）"/>
      <w:lvlJc w:val="left"/>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abstractNum w:abstractNumId="2">
    <w:nsid w:val="00000007"/>
    <w:multiLevelType w:val="multilevel"/>
    <w:tmpl w:val="00000007"/>
    <w:lvl w:ilvl="0" w:tentative="0">
      <w:start w:val="1"/>
      <w:numFmt w:val="upperLetter"/>
      <w:suff w:val="nothing"/>
      <w:lvlText w:val="%1、"/>
      <w:lvlJc w:val="left"/>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3">
    <w:nsid w:val="287FA85A"/>
    <w:multiLevelType w:val="singleLevel"/>
    <w:tmpl w:val="287FA85A"/>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A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adjustRightInd w:val="0"/>
      <w:spacing w:line="360" w:lineRule="auto"/>
      <w:ind w:firstLine="490"/>
      <w:jc w:val="left"/>
    </w:pPr>
    <w:rPr>
      <w:rFonts w:ascii="宋体" w:hAnsi="宋体"/>
      <w:sz w:val="24"/>
    </w:rPr>
  </w:style>
  <w:style w:type="paragraph" w:styleId="3">
    <w:name w:val="envelope return"/>
    <w:basedOn w:val="1"/>
    <w:qFormat/>
    <w:uiPriority w:val="0"/>
    <w:pPr>
      <w:snapToGrid w:val="0"/>
    </w:pPr>
    <w:rPr>
      <w:rFonts w:ascii="Arial" w:hAnsi="Arial"/>
    </w:rPr>
  </w:style>
  <w:style w:type="paragraph" w:styleId="4">
    <w:name w:val="Block Text"/>
    <w:basedOn w:val="1"/>
    <w:qFormat/>
    <w:uiPriority w:val="0"/>
    <w:pPr>
      <w:adjustRightInd w:val="0"/>
      <w:spacing w:line="300" w:lineRule="auto"/>
      <w:ind w:left="958" w:right="-120" w:rightChars="-120"/>
      <w:jc w:val="left"/>
    </w:pPr>
    <w:rPr>
      <w:rFonts w:ascii="宋体" w:hAnsi="宋体"/>
      <w:sz w:val="28"/>
    </w:rPr>
  </w:style>
  <w:style w:type="paragraph" w:styleId="5">
    <w:name w:val="Plain Text"/>
    <w:basedOn w:val="1"/>
    <w:qFormat/>
    <w:uiPriority w:val="0"/>
    <w:rPr>
      <w:rFonts w:ascii="宋体" w:hAnsi="Courier New" w:cs="Courier New"/>
      <w:snapToGrid w:val="0"/>
      <w:sz w:val="18"/>
      <w:szCs w:val="21"/>
    </w:rPr>
  </w:style>
  <w:style w:type="paragraph" w:styleId="6">
    <w:name w:val="Body Text First Indent 2"/>
    <w:basedOn w:val="2"/>
    <w:qFormat/>
    <w:uiPriority w:val="0"/>
    <w:pPr>
      <w:autoSpaceDE w:val="0"/>
      <w:autoSpaceDN w:val="0"/>
      <w:spacing w:after="120" w:line="240" w:lineRule="auto"/>
      <w:ind w:left="420" w:leftChars="200" w:firstLine="420" w:firstLineChars="200"/>
      <w:textAlignment w:val="baseline"/>
    </w:pPr>
    <w:rPr>
      <w:rFonts w:ascii="Times New Roman" w:hAnsi="Times New Roman"/>
      <w:kern w:val="0"/>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标题"/>
    <w:basedOn w:val="1"/>
    <w:qFormat/>
    <w:uiPriority w:val="0"/>
    <w:rPr>
      <w:rFonts w:ascii="宋体" w:hAnsi="宋体" w:cs="宋体"/>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2021-05-21T08:33:29Z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