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570C5">
      <w:pPr>
        <w:spacing w:line="360" w:lineRule="auto"/>
        <w:rPr>
          <w:rFonts w:ascii="宋体" w:hAnsi="宋体" w:cs="宋体"/>
          <w:b/>
          <w:color w:val="auto"/>
          <w:sz w:val="84"/>
          <w:szCs w:val="84"/>
          <w:highlight w:val="none"/>
        </w:rPr>
      </w:pPr>
    </w:p>
    <w:p w14:paraId="21E424E9">
      <w:pPr>
        <w:spacing w:line="360" w:lineRule="auto"/>
        <w:jc w:val="center"/>
        <w:rPr>
          <w:rFonts w:ascii="宋体" w:hAnsi="宋体" w:cs="宋体"/>
          <w:b/>
          <w:color w:val="auto"/>
          <w:sz w:val="84"/>
          <w:szCs w:val="84"/>
          <w:highlight w:val="none"/>
        </w:rPr>
      </w:pPr>
      <w:r>
        <w:rPr>
          <w:rFonts w:hint="eastAsia" w:ascii="宋体" w:hAnsi="宋体" w:cs="宋体"/>
          <w:b/>
          <w:color w:val="auto"/>
          <w:sz w:val="84"/>
          <w:szCs w:val="84"/>
          <w:highlight w:val="none"/>
        </w:rPr>
        <w:t>温州肯恩大学采购项目</w:t>
      </w:r>
    </w:p>
    <w:p w14:paraId="4868D57C">
      <w:pPr>
        <w:spacing w:line="400" w:lineRule="exact"/>
        <w:ind w:firstLine="1885" w:firstLineChars="235"/>
        <w:rPr>
          <w:rFonts w:ascii="宋体" w:hAnsi="宋体" w:cs="宋体"/>
          <w:b/>
          <w:color w:val="auto"/>
          <w:spacing w:val="140"/>
          <w:sz w:val="52"/>
          <w:szCs w:val="52"/>
          <w:highlight w:val="none"/>
        </w:rPr>
      </w:pPr>
    </w:p>
    <w:p w14:paraId="78D2E3E3">
      <w:pPr>
        <w:spacing w:line="400" w:lineRule="exact"/>
        <w:ind w:firstLine="1885" w:firstLineChars="235"/>
        <w:rPr>
          <w:rFonts w:ascii="宋体" w:hAnsi="宋体" w:cs="宋体"/>
          <w:b/>
          <w:color w:val="auto"/>
          <w:spacing w:val="140"/>
          <w:sz w:val="52"/>
          <w:szCs w:val="52"/>
          <w:highlight w:val="none"/>
        </w:rPr>
      </w:pPr>
    </w:p>
    <w:p w14:paraId="4D7D869B">
      <w:pPr>
        <w:spacing w:line="400" w:lineRule="exact"/>
        <w:ind w:firstLine="1885" w:firstLineChars="235"/>
        <w:rPr>
          <w:rFonts w:ascii="宋体" w:hAnsi="宋体" w:cs="宋体"/>
          <w:b/>
          <w:color w:val="auto"/>
          <w:spacing w:val="140"/>
          <w:sz w:val="52"/>
          <w:szCs w:val="52"/>
          <w:highlight w:val="none"/>
        </w:rPr>
      </w:pPr>
    </w:p>
    <w:p w14:paraId="63A1CDFC">
      <w:pPr>
        <w:spacing w:line="360" w:lineRule="auto"/>
        <w:jc w:val="center"/>
        <w:rPr>
          <w:rFonts w:ascii="宋体" w:hAnsi="宋体" w:cs="宋体"/>
          <w:b/>
          <w:color w:val="auto"/>
          <w:spacing w:val="140"/>
          <w:sz w:val="52"/>
          <w:szCs w:val="52"/>
          <w:highlight w:val="none"/>
        </w:rPr>
      </w:pPr>
      <w:r>
        <w:rPr>
          <w:rFonts w:hint="eastAsia" w:ascii="宋体" w:hAnsi="宋体" w:cs="宋体"/>
          <w:b/>
          <w:color w:val="auto"/>
          <w:spacing w:val="140"/>
          <w:sz w:val="52"/>
          <w:szCs w:val="52"/>
          <w:highlight w:val="none"/>
        </w:rPr>
        <w:t>招标文件</w:t>
      </w:r>
      <w:bookmarkStart w:id="35" w:name="_GoBack"/>
      <w:bookmarkEnd w:id="35"/>
    </w:p>
    <w:p w14:paraId="5168290B">
      <w:pPr>
        <w:widowControl/>
        <w:spacing w:line="360" w:lineRule="auto"/>
        <w:ind w:right="-2"/>
        <w:jc w:val="center"/>
        <w:rPr>
          <w:rFonts w:ascii="宋体" w:hAnsi="宋体" w:cs="宋体"/>
          <w:b/>
          <w:color w:val="auto"/>
          <w:sz w:val="36"/>
          <w:highlight w:val="none"/>
        </w:rPr>
      </w:pPr>
      <w:r>
        <w:rPr>
          <w:rFonts w:hint="eastAsia" w:ascii="宋体" w:hAnsi="宋体" w:cs="宋体"/>
          <w:b/>
          <w:color w:val="auto"/>
          <w:sz w:val="36"/>
          <w:highlight w:val="none"/>
        </w:rPr>
        <w:t>（线上电子招投标）</w:t>
      </w:r>
    </w:p>
    <w:p w14:paraId="23FB6570">
      <w:pPr>
        <w:spacing w:line="400" w:lineRule="exact"/>
        <w:rPr>
          <w:rFonts w:ascii="宋体" w:hAnsi="宋体" w:cs="宋体"/>
          <w:b/>
          <w:color w:val="auto"/>
          <w:sz w:val="24"/>
          <w:highlight w:val="none"/>
        </w:rPr>
      </w:pPr>
    </w:p>
    <w:p w14:paraId="7E6F3660">
      <w:pPr>
        <w:spacing w:line="400" w:lineRule="exact"/>
        <w:rPr>
          <w:rFonts w:ascii="宋体" w:hAnsi="宋体" w:cs="宋体"/>
          <w:b/>
          <w:color w:val="auto"/>
          <w:sz w:val="24"/>
          <w:highlight w:val="none"/>
        </w:rPr>
      </w:pPr>
    </w:p>
    <w:p w14:paraId="0B860607">
      <w:pPr>
        <w:spacing w:line="360" w:lineRule="auto"/>
        <w:ind w:firstLine="2100" w:firstLineChars="700"/>
        <w:jc w:val="left"/>
        <w:rPr>
          <w:rFonts w:ascii="宋体" w:hAnsi="宋体" w:cs="宋体"/>
          <w:color w:val="auto"/>
          <w:sz w:val="30"/>
          <w:highlight w:val="none"/>
        </w:rPr>
      </w:pPr>
      <w:r>
        <w:rPr>
          <w:rFonts w:hint="eastAsia" w:ascii="宋体" w:hAnsi="宋体" w:cs="宋体"/>
          <w:color w:val="auto"/>
          <w:sz w:val="30"/>
          <w:highlight w:val="none"/>
        </w:rPr>
        <w:t xml:space="preserve">项目编号：ZJYC2025011（ZCGK) </w:t>
      </w:r>
    </w:p>
    <w:p w14:paraId="2FA1E57A">
      <w:pPr>
        <w:tabs>
          <w:tab w:val="left" w:pos="9240"/>
        </w:tabs>
        <w:spacing w:line="360" w:lineRule="auto"/>
        <w:ind w:left="3587" w:leftChars="994" w:hanging="1500" w:hangingChars="500"/>
        <w:jc w:val="left"/>
        <w:rPr>
          <w:rFonts w:ascii="宋体" w:hAnsi="宋体" w:cs="宋体"/>
          <w:color w:val="auto"/>
          <w:sz w:val="30"/>
          <w:highlight w:val="none"/>
        </w:rPr>
      </w:pPr>
      <w:r>
        <w:rPr>
          <w:rFonts w:hint="eastAsia" w:ascii="宋体" w:hAnsi="宋体" w:cs="宋体"/>
          <w:color w:val="auto"/>
          <w:sz w:val="30"/>
          <w:highlight w:val="none"/>
        </w:rPr>
        <w:t>招标项目：理工楼设备维保服务</w:t>
      </w:r>
    </w:p>
    <w:p w14:paraId="70ED563B">
      <w:pPr>
        <w:spacing w:line="360" w:lineRule="auto"/>
        <w:ind w:firstLine="2100" w:firstLineChars="700"/>
        <w:jc w:val="left"/>
        <w:rPr>
          <w:rFonts w:ascii="宋体" w:hAnsi="宋体" w:cs="宋体"/>
          <w:color w:val="auto"/>
          <w:sz w:val="22"/>
          <w:highlight w:val="none"/>
        </w:rPr>
      </w:pPr>
      <w:r>
        <w:rPr>
          <w:rFonts w:hint="eastAsia" w:ascii="宋体" w:hAnsi="宋体" w:cs="宋体"/>
          <w:color w:val="auto"/>
          <w:sz w:val="30"/>
          <w:highlight w:val="none"/>
        </w:rPr>
        <w:t>招标方式：校内公开招标</w:t>
      </w:r>
    </w:p>
    <w:p w14:paraId="5C11F843">
      <w:pPr>
        <w:spacing w:line="360" w:lineRule="auto"/>
        <w:ind w:firstLine="1080" w:firstLineChars="300"/>
        <w:jc w:val="center"/>
        <w:rPr>
          <w:rFonts w:ascii="宋体" w:hAnsi="宋体" w:cs="宋体"/>
          <w:color w:val="auto"/>
          <w:spacing w:val="40"/>
          <w:sz w:val="28"/>
          <w:szCs w:val="28"/>
          <w:highlight w:val="none"/>
        </w:rPr>
      </w:pPr>
    </w:p>
    <w:p w14:paraId="386E12A8">
      <w:pPr>
        <w:spacing w:line="360" w:lineRule="auto"/>
        <w:jc w:val="center"/>
        <w:rPr>
          <w:rFonts w:ascii="宋体" w:hAnsi="宋体" w:cs="宋体"/>
          <w:color w:val="auto"/>
          <w:kern w:val="0"/>
          <w:sz w:val="30"/>
          <w:highlight w:val="none"/>
        </w:rPr>
      </w:pPr>
      <w:r>
        <w:rPr>
          <w:rFonts w:hint="eastAsia" w:ascii="宋体" w:hAnsi="宋体" w:cs="宋体"/>
          <w:color w:val="auto"/>
          <w:kern w:val="0"/>
          <w:sz w:val="30"/>
          <w:highlight w:val="none"/>
        </w:rPr>
        <w:t>采购人：温州肯恩大学</w:t>
      </w:r>
    </w:p>
    <w:p w14:paraId="71CE9B95">
      <w:pPr>
        <w:spacing w:line="360" w:lineRule="auto"/>
        <w:jc w:val="center"/>
        <w:rPr>
          <w:rFonts w:ascii="宋体" w:hAnsi="宋体" w:cs="宋体"/>
          <w:color w:val="auto"/>
          <w:spacing w:val="40"/>
          <w:sz w:val="24"/>
          <w:szCs w:val="24"/>
          <w:highlight w:val="none"/>
        </w:rPr>
      </w:pPr>
      <w:r>
        <w:rPr>
          <w:rFonts w:hint="eastAsia" w:ascii="宋体" w:hAnsi="宋体" w:cs="宋体"/>
          <w:color w:val="auto"/>
          <w:kern w:val="0"/>
          <w:sz w:val="30"/>
          <w:highlight w:val="none"/>
        </w:rPr>
        <w:t>采购代理机构：浙江乐诚工程咨询有限公司</w:t>
      </w:r>
    </w:p>
    <w:p w14:paraId="1E339A31">
      <w:pPr>
        <w:spacing w:line="360" w:lineRule="auto"/>
        <w:jc w:val="center"/>
        <w:rPr>
          <w:rFonts w:ascii="宋体" w:hAnsi="宋体" w:cs="宋体"/>
          <w:color w:val="auto"/>
          <w:spacing w:val="40"/>
          <w:sz w:val="28"/>
          <w:highlight w:val="none"/>
        </w:rPr>
      </w:pPr>
    </w:p>
    <w:p w14:paraId="3CAF1567">
      <w:pPr>
        <w:spacing w:line="360" w:lineRule="auto"/>
        <w:jc w:val="center"/>
        <w:rPr>
          <w:rFonts w:ascii="宋体" w:hAnsi="宋体" w:cs="宋体"/>
          <w:color w:val="auto"/>
          <w:spacing w:val="40"/>
          <w:sz w:val="28"/>
          <w:highlight w:val="none"/>
        </w:rPr>
      </w:pPr>
    </w:p>
    <w:p w14:paraId="23D4F4D3">
      <w:pPr>
        <w:spacing w:line="360" w:lineRule="auto"/>
        <w:jc w:val="center"/>
        <w:rPr>
          <w:rFonts w:ascii="宋体" w:hAnsi="宋体" w:cs="宋体"/>
          <w:color w:val="auto"/>
          <w:spacing w:val="40"/>
          <w:sz w:val="28"/>
          <w:highlight w:val="none"/>
        </w:rPr>
      </w:pPr>
      <w:r>
        <w:rPr>
          <w:rFonts w:hint="eastAsia" w:ascii="宋体" w:hAnsi="宋体" w:cs="宋体"/>
          <w:color w:val="auto"/>
          <w:spacing w:val="40"/>
          <w:sz w:val="28"/>
          <w:highlight w:val="none"/>
        </w:rPr>
        <w:t>二0二五年</w:t>
      </w:r>
    </w:p>
    <w:p w14:paraId="3BC1056A">
      <w:pPr>
        <w:rPr>
          <w:rFonts w:ascii="宋体" w:hAnsi="宋体" w:cs="宋体"/>
          <w:color w:val="auto"/>
          <w:highlight w:val="none"/>
        </w:rPr>
      </w:pPr>
      <w:r>
        <w:rPr>
          <w:rFonts w:hint="eastAsia" w:ascii="宋体" w:hAnsi="宋体" w:cs="宋体"/>
          <w:color w:val="auto"/>
          <w:highlight w:val="none"/>
        </w:rPr>
        <w:br w:type="page"/>
      </w:r>
    </w:p>
    <w:sdt>
      <w:sdtPr>
        <w:rPr>
          <w:rFonts w:hint="eastAsia" w:ascii="宋体" w:hAnsi="宋体" w:cs="宋体"/>
          <w:color w:val="auto"/>
          <w:highlight w:val="none"/>
        </w:rPr>
        <w:id w:val="147459180"/>
        <w15:color w:val="DBDBDB"/>
        <w:docPartObj>
          <w:docPartGallery w:val="Table of Contents"/>
          <w:docPartUnique/>
        </w:docPartObj>
      </w:sdtPr>
      <w:sdtEndPr>
        <w:rPr>
          <w:rFonts w:hint="eastAsia" w:ascii="宋体" w:hAnsi="宋体" w:cs="宋体"/>
          <w:b/>
          <w:color w:val="auto"/>
          <w:highlight w:val="none"/>
        </w:rPr>
      </w:sdtEndPr>
      <w:sdtContent>
        <w:p w14:paraId="76F98746">
          <w:pPr>
            <w:jc w:val="center"/>
            <w:rPr>
              <w:rFonts w:ascii="宋体" w:hAnsi="宋体" w:cs="宋体"/>
              <w:color w:val="auto"/>
              <w:sz w:val="36"/>
              <w:szCs w:val="36"/>
              <w:highlight w:val="none"/>
            </w:rPr>
          </w:pPr>
          <w:r>
            <w:rPr>
              <w:rFonts w:hint="eastAsia" w:ascii="宋体" w:hAnsi="宋体" w:cs="宋体"/>
              <w:color w:val="auto"/>
              <w:sz w:val="36"/>
              <w:szCs w:val="36"/>
              <w:highlight w:val="none"/>
            </w:rPr>
            <w:t>目录</w:t>
          </w:r>
        </w:p>
        <w:p w14:paraId="5DC78B7A">
          <w:pPr>
            <w:pStyle w:val="23"/>
            <w:tabs>
              <w:tab w:val="right" w:leader="dot" w:pos="9355"/>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"_Toc19932" </w:instrText>
          </w:r>
          <w:r>
            <w:rPr>
              <w:color w:val="auto"/>
              <w:highlight w:val="none"/>
            </w:rPr>
            <w:fldChar w:fldCharType="separate"/>
          </w:r>
          <w:r>
            <w:rPr>
              <w:rFonts w:hint="eastAsia" w:ascii="宋体" w:hAnsi="宋体" w:cs="宋体"/>
              <w:color w:val="auto"/>
              <w:sz w:val="24"/>
              <w:szCs w:val="24"/>
              <w:highlight w:val="none"/>
            </w:rPr>
            <w:t>第一部分 投标邀请书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_Toc19932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B3EBBAF">
          <w:pPr>
            <w:pStyle w:val="23"/>
            <w:tabs>
              <w:tab w:val="right" w:leader="dot" w:pos="9355"/>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"_Toc30246" </w:instrText>
          </w:r>
          <w:r>
            <w:rPr>
              <w:color w:val="auto"/>
              <w:highlight w:val="none"/>
            </w:rPr>
            <w:fldChar w:fldCharType="separate"/>
          </w:r>
          <w:r>
            <w:rPr>
              <w:rFonts w:hint="eastAsia" w:ascii="宋体" w:hAnsi="宋体" w:cs="宋体"/>
              <w:color w:val="auto"/>
              <w:sz w:val="24"/>
              <w:szCs w:val="24"/>
              <w:highlight w:val="none"/>
            </w:rPr>
            <w:t>第二部分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_Toc30246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0B305C9">
          <w:pPr>
            <w:pStyle w:val="29"/>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"_Toc28039" </w:instrText>
          </w:r>
          <w:r>
            <w:rPr>
              <w:color w:val="auto"/>
              <w:highlight w:val="none"/>
            </w:rPr>
            <w:fldChar w:fldCharType="separate"/>
          </w:r>
          <w:r>
            <w:rPr>
              <w:rFonts w:hint="eastAsia" w:ascii="宋体" w:hAnsi="宋体" w:cs="宋体"/>
              <w:b w:val="0"/>
              <w:color w:val="auto"/>
              <w:szCs w:val="24"/>
              <w:highlight w:val="none"/>
            </w:rPr>
            <w:t>投标人须知前附表</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_Toc28039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6</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2EF1C85D">
          <w:pPr>
            <w:pStyle w:val="29"/>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"_Toc24663" </w:instrText>
          </w:r>
          <w:r>
            <w:rPr>
              <w:color w:val="auto"/>
              <w:highlight w:val="none"/>
            </w:rPr>
            <w:fldChar w:fldCharType="separate"/>
          </w:r>
          <w:r>
            <w:rPr>
              <w:rFonts w:hint="eastAsia" w:ascii="宋体" w:hAnsi="宋体" w:cs="宋体"/>
              <w:b w:val="0"/>
              <w:color w:val="auto"/>
              <w:szCs w:val="24"/>
              <w:highlight w:val="none"/>
            </w:rPr>
            <w:t>一、说明</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_Toc24663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10</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0CA0512F">
          <w:pPr>
            <w:pStyle w:val="29"/>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"_Toc16379" </w:instrText>
          </w:r>
          <w:r>
            <w:rPr>
              <w:color w:val="auto"/>
              <w:highlight w:val="none"/>
            </w:rPr>
            <w:fldChar w:fldCharType="separate"/>
          </w:r>
          <w:r>
            <w:rPr>
              <w:rFonts w:hint="eastAsia" w:ascii="宋体" w:hAnsi="宋体" w:cs="宋体"/>
              <w:b w:val="0"/>
              <w:color w:val="auto"/>
              <w:szCs w:val="24"/>
              <w:highlight w:val="none"/>
            </w:rPr>
            <w:t>二、招标文件</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_Toc16379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11</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7D5730CB">
          <w:pPr>
            <w:pStyle w:val="29"/>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"_Toc28675" </w:instrText>
          </w:r>
          <w:r>
            <w:rPr>
              <w:color w:val="auto"/>
              <w:highlight w:val="none"/>
            </w:rPr>
            <w:fldChar w:fldCharType="separate"/>
          </w:r>
          <w:r>
            <w:rPr>
              <w:rFonts w:hint="eastAsia" w:ascii="宋体" w:hAnsi="宋体" w:cs="宋体"/>
              <w:b w:val="0"/>
              <w:color w:val="auto"/>
              <w:szCs w:val="24"/>
              <w:highlight w:val="none"/>
            </w:rPr>
            <w:t>三、投标文件的编制</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_Toc28675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12</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14F7C8D8">
          <w:pPr>
            <w:pStyle w:val="29"/>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"_Toc9380" </w:instrText>
          </w:r>
          <w:r>
            <w:rPr>
              <w:color w:val="auto"/>
              <w:highlight w:val="none"/>
            </w:rPr>
            <w:fldChar w:fldCharType="separate"/>
          </w:r>
          <w:r>
            <w:rPr>
              <w:rFonts w:hint="eastAsia" w:ascii="宋体" w:hAnsi="宋体" w:cs="宋体"/>
              <w:b w:val="0"/>
              <w:color w:val="auto"/>
              <w:szCs w:val="24"/>
              <w:highlight w:val="none"/>
            </w:rPr>
            <w:t>四、投标文件的递交</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_Toc9380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14</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00E0CBEE">
          <w:pPr>
            <w:pStyle w:val="29"/>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"_Toc24977" </w:instrText>
          </w:r>
          <w:r>
            <w:rPr>
              <w:color w:val="auto"/>
              <w:highlight w:val="none"/>
            </w:rPr>
            <w:fldChar w:fldCharType="separate"/>
          </w:r>
          <w:r>
            <w:rPr>
              <w:rFonts w:hint="eastAsia" w:ascii="宋体" w:hAnsi="宋体" w:cs="宋体"/>
              <w:b w:val="0"/>
              <w:color w:val="auto"/>
              <w:szCs w:val="24"/>
              <w:highlight w:val="none"/>
            </w:rPr>
            <w:t>五、开标和评标</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_Toc24977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15</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4AFC2B8C">
          <w:pPr>
            <w:pStyle w:val="29"/>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"_Toc19585" </w:instrText>
          </w:r>
          <w:r>
            <w:rPr>
              <w:color w:val="auto"/>
              <w:highlight w:val="none"/>
            </w:rPr>
            <w:fldChar w:fldCharType="separate"/>
          </w:r>
          <w:r>
            <w:rPr>
              <w:rFonts w:hint="eastAsia" w:ascii="宋体" w:hAnsi="宋体" w:cs="宋体"/>
              <w:b w:val="0"/>
              <w:color w:val="auto"/>
              <w:szCs w:val="24"/>
              <w:highlight w:val="none"/>
            </w:rPr>
            <w:t>六、授予合同</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_Toc19585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20</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471F7BA4">
          <w:pPr>
            <w:pStyle w:val="29"/>
            <w:tabs>
              <w:tab w:val="right" w:leader="dot" w:pos="9355"/>
              <w:tab w:val="clear" w:pos="8302"/>
            </w:tabs>
            <w:spacing w:line="360" w:lineRule="auto"/>
            <w:ind w:left="0" w:leftChars="0" w:firstLine="482" w:firstLineChars="200"/>
            <w:rPr>
              <w:rFonts w:ascii="宋体" w:hAnsi="宋体" w:cs="宋体"/>
              <w:b w:val="0"/>
              <w:color w:val="auto"/>
              <w:szCs w:val="24"/>
              <w:highlight w:val="none"/>
            </w:rPr>
          </w:pPr>
          <w:r>
            <w:rPr>
              <w:color w:val="auto"/>
              <w:highlight w:val="none"/>
            </w:rPr>
            <w:fldChar w:fldCharType="begin"/>
          </w:r>
          <w:r>
            <w:rPr>
              <w:color w:val="auto"/>
              <w:highlight w:val="none"/>
            </w:rPr>
            <w:instrText xml:space="preserve"> HYPERLINK \l "_Toc3646" </w:instrText>
          </w:r>
          <w:r>
            <w:rPr>
              <w:color w:val="auto"/>
              <w:highlight w:val="none"/>
            </w:rPr>
            <w:fldChar w:fldCharType="separate"/>
          </w:r>
          <w:r>
            <w:rPr>
              <w:rFonts w:hint="eastAsia" w:ascii="宋体" w:hAnsi="宋体" w:cs="宋体"/>
              <w:b w:val="0"/>
              <w:color w:val="auto"/>
              <w:szCs w:val="24"/>
              <w:highlight w:val="none"/>
            </w:rPr>
            <w:t>七、可中止电子交易活动的情形</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begin"/>
          </w:r>
          <w:r>
            <w:rPr>
              <w:rFonts w:hint="eastAsia" w:ascii="宋体" w:hAnsi="宋体" w:cs="宋体"/>
              <w:b w:val="0"/>
              <w:color w:val="auto"/>
              <w:szCs w:val="24"/>
              <w:highlight w:val="none"/>
            </w:rPr>
            <w:instrText xml:space="preserve"> PAGEREF _Toc3646 \h </w:instrText>
          </w:r>
          <w:r>
            <w:rPr>
              <w:rFonts w:hint="eastAsia" w:ascii="宋体" w:hAnsi="宋体" w:cs="宋体"/>
              <w:b w:val="0"/>
              <w:color w:val="auto"/>
              <w:szCs w:val="24"/>
              <w:highlight w:val="none"/>
            </w:rPr>
            <w:fldChar w:fldCharType="separate"/>
          </w:r>
          <w:r>
            <w:rPr>
              <w:rFonts w:hint="eastAsia" w:ascii="宋体" w:hAnsi="宋体" w:cs="宋体"/>
              <w:b w:val="0"/>
              <w:color w:val="auto"/>
              <w:szCs w:val="24"/>
              <w:highlight w:val="none"/>
            </w:rPr>
            <w:t>20</w:t>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fldChar w:fldCharType="end"/>
          </w:r>
        </w:p>
        <w:p w14:paraId="1DD72975">
          <w:pPr>
            <w:pStyle w:val="23"/>
            <w:tabs>
              <w:tab w:val="right" w:leader="dot" w:pos="9355"/>
            </w:tabs>
            <w:spacing w:line="36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"_Toc19021" </w:instrText>
          </w:r>
          <w:r>
            <w:rPr>
              <w:color w:val="auto"/>
              <w:highlight w:val="none"/>
            </w:rPr>
            <w:fldChar w:fldCharType="separate"/>
          </w:r>
          <w:r>
            <w:rPr>
              <w:rFonts w:hint="eastAsia" w:ascii="宋体" w:hAnsi="宋体" w:cs="宋体"/>
              <w:color w:val="auto"/>
              <w:sz w:val="24"/>
              <w:szCs w:val="24"/>
              <w:highlight w:val="none"/>
            </w:rPr>
            <w:t>第三部分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_Toc19021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625E300A">
          <w:pPr>
            <w:pStyle w:val="23"/>
            <w:tabs>
              <w:tab w:val="right" w:leader="dot" w:pos="9355"/>
            </w:tabs>
            <w:spacing w:line="360" w:lineRule="auto"/>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"_Toc14203" </w:instrText>
          </w:r>
          <w:r>
            <w:rPr>
              <w:color w:val="auto"/>
              <w:highlight w:val="none"/>
            </w:rPr>
            <w:fldChar w:fldCharType="separate"/>
          </w:r>
          <w:r>
            <w:rPr>
              <w:rFonts w:hint="eastAsia" w:ascii="宋体" w:hAnsi="宋体" w:cs="宋体"/>
              <w:color w:val="auto"/>
              <w:sz w:val="24"/>
              <w:szCs w:val="24"/>
              <w:highlight w:val="none"/>
            </w:rPr>
            <w:t>第四部分 附件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23</w:t>
          </w:r>
        </w:p>
        <w:p w14:paraId="5265D4DC">
          <w:pPr>
            <w:pStyle w:val="23"/>
            <w:tabs>
              <w:tab w:val="right" w:leader="dot" w:pos="9355"/>
            </w:tabs>
            <w:spacing w:line="360" w:lineRule="auto"/>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"_Toc23636" </w:instrText>
          </w:r>
          <w:r>
            <w:rPr>
              <w:color w:val="auto"/>
              <w:highlight w:val="none"/>
            </w:rPr>
            <w:fldChar w:fldCharType="separate"/>
          </w:r>
          <w:r>
            <w:rPr>
              <w:rFonts w:hint="eastAsia" w:ascii="宋体" w:hAnsi="宋体" w:cs="宋体"/>
              <w:color w:val="auto"/>
              <w:sz w:val="24"/>
              <w:szCs w:val="24"/>
              <w:highlight w:val="none"/>
            </w:rPr>
            <w:t>第五部分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43</w:t>
          </w:r>
        </w:p>
        <w:p w14:paraId="27A3E4F9">
          <w:pPr>
            <w:pStyle w:val="23"/>
            <w:tabs>
              <w:tab w:val="right" w:leader="dot" w:pos="9355"/>
            </w:tabs>
            <w:spacing w:line="360" w:lineRule="auto"/>
            <w:rPr>
              <w:rFonts w:hint="eastAsia"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"_Toc30540" </w:instrText>
          </w:r>
          <w:r>
            <w:rPr>
              <w:color w:val="auto"/>
              <w:highlight w:val="none"/>
            </w:rPr>
            <w:fldChar w:fldCharType="separate"/>
          </w:r>
          <w:r>
            <w:rPr>
              <w:rFonts w:hint="eastAsia" w:ascii="宋体" w:hAnsi="宋体" w:cs="宋体"/>
              <w:color w:val="auto"/>
              <w:sz w:val="24"/>
              <w:szCs w:val="24"/>
              <w:highlight w:val="none"/>
            </w:rPr>
            <w:t>第六部分 评标原则及方法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1</w:t>
          </w:r>
        </w:p>
        <w:p w14:paraId="5593F142">
          <w:pPr>
            <w:pStyle w:val="29"/>
            <w:tabs>
              <w:tab w:val="right" w:leader="dot" w:pos="9355"/>
              <w:tab w:val="clear" w:pos="8302"/>
            </w:tabs>
            <w:spacing w:line="360" w:lineRule="auto"/>
            <w:ind w:left="0" w:leftChars="0" w:firstLine="482" w:firstLineChars="200"/>
            <w:rPr>
              <w:rFonts w:hint="eastAsia" w:ascii="宋体" w:hAnsi="宋体" w:eastAsia="宋体" w:cs="宋体"/>
              <w:b w:val="0"/>
              <w:color w:val="auto"/>
              <w:szCs w:val="24"/>
              <w:highlight w:val="none"/>
              <w:lang w:eastAsia="zh-CN"/>
            </w:rPr>
          </w:pPr>
          <w:r>
            <w:rPr>
              <w:color w:val="auto"/>
              <w:highlight w:val="none"/>
            </w:rPr>
            <w:fldChar w:fldCharType="begin"/>
          </w:r>
          <w:r>
            <w:rPr>
              <w:color w:val="auto"/>
              <w:highlight w:val="none"/>
            </w:rPr>
            <w:instrText xml:space="preserve"> HYPERLINK \l "_Toc24010" </w:instrText>
          </w:r>
          <w:r>
            <w:rPr>
              <w:color w:val="auto"/>
              <w:highlight w:val="none"/>
            </w:rPr>
            <w:fldChar w:fldCharType="separate"/>
          </w:r>
          <w:r>
            <w:rPr>
              <w:rFonts w:hint="eastAsia" w:ascii="宋体" w:hAnsi="宋体" w:cs="宋体"/>
              <w:b w:val="0"/>
              <w:color w:val="auto"/>
              <w:szCs w:val="24"/>
              <w:highlight w:val="none"/>
            </w:rPr>
            <w:t>一、总  则</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t>7</w:t>
          </w:r>
          <w:r>
            <w:rPr>
              <w:rFonts w:hint="eastAsia" w:ascii="宋体" w:hAnsi="宋体" w:cs="宋体"/>
              <w:b w:val="0"/>
              <w:color w:val="auto"/>
              <w:szCs w:val="24"/>
              <w:highlight w:val="none"/>
              <w:lang w:val="en-US" w:eastAsia="zh-CN"/>
            </w:rPr>
            <w:t>1</w:t>
          </w:r>
        </w:p>
        <w:p w14:paraId="279B51C9">
          <w:pPr>
            <w:pStyle w:val="29"/>
            <w:tabs>
              <w:tab w:val="right" w:leader="dot" w:pos="9355"/>
              <w:tab w:val="clear" w:pos="8302"/>
            </w:tabs>
            <w:spacing w:line="360" w:lineRule="auto"/>
            <w:ind w:left="0" w:leftChars="0" w:firstLine="482" w:firstLineChars="200"/>
            <w:rPr>
              <w:rFonts w:hint="eastAsia" w:ascii="宋体" w:hAnsi="宋体" w:eastAsia="宋体" w:cs="宋体"/>
              <w:b w:val="0"/>
              <w:color w:val="auto"/>
              <w:szCs w:val="24"/>
              <w:highlight w:val="none"/>
              <w:lang w:eastAsia="zh-CN"/>
            </w:rPr>
          </w:pPr>
          <w:r>
            <w:rPr>
              <w:color w:val="auto"/>
              <w:highlight w:val="none"/>
            </w:rPr>
            <w:fldChar w:fldCharType="begin"/>
          </w:r>
          <w:r>
            <w:rPr>
              <w:color w:val="auto"/>
              <w:highlight w:val="none"/>
            </w:rPr>
            <w:instrText xml:space="preserve"> HYPERLINK \l "_Toc18517" </w:instrText>
          </w:r>
          <w:r>
            <w:rPr>
              <w:color w:val="auto"/>
              <w:highlight w:val="none"/>
            </w:rPr>
            <w:fldChar w:fldCharType="separate"/>
          </w:r>
          <w:r>
            <w:rPr>
              <w:rFonts w:hint="eastAsia" w:ascii="宋体" w:hAnsi="宋体" w:cs="宋体"/>
              <w:b w:val="0"/>
              <w:color w:val="auto"/>
              <w:szCs w:val="24"/>
              <w:highlight w:val="none"/>
            </w:rPr>
            <w:t>二、评标组织</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t>7</w:t>
          </w:r>
          <w:r>
            <w:rPr>
              <w:rFonts w:hint="eastAsia" w:ascii="宋体" w:hAnsi="宋体" w:cs="宋体"/>
              <w:b w:val="0"/>
              <w:color w:val="auto"/>
              <w:szCs w:val="24"/>
              <w:highlight w:val="none"/>
              <w:lang w:val="en-US" w:eastAsia="zh-CN"/>
            </w:rPr>
            <w:t>1</w:t>
          </w:r>
        </w:p>
        <w:p w14:paraId="0C9D5993">
          <w:pPr>
            <w:pStyle w:val="29"/>
            <w:tabs>
              <w:tab w:val="right" w:leader="dot" w:pos="9355"/>
              <w:tab w:val="clear" w:pos="8302"/>
            </w:tabs>
            <w:spacing w:line="360" w:lineRule="auto"/>
            <w:ind w:left="0" w:leftChars="0" w:firstLine="482" w:firstLineChars="200"/>
            <w:rPr>
              <w:rFonts w:hint="eastAsia" w:ascii="宋体" w:hAnsi="宋体" w:eastAsia="宋体" w:cs="宋体"/>
              <w:b w:val="0"/>
              <w:color w:val="auto"/>
              <w:szCs w:val="24"/>
              <w:highlight w:val="none"/>
              <w:lang w:eastAsia="zh-CN"/>
            </w:rPr>
          </w:pPr>
          <w:r>
            <w:rPr>
              <w:color w:val="auto"/>
              <w:highlight w:val="none"/>
            </w:rPr>
            <w:fldChar w:fldCharType="begin"/>
          </w:r>
          <w:r>
            <w:rPr>
              <w:color w:val="auto"/>
              <w:highlight w:val="none"/>
            </w:rPr>
            <w:instrText xml:space="preserve"> HYPERLINK \l "_Toc8720" </w:instrText>
          </w:r>
          <w:r>
            <w:rPr>
              <w:color w:val="auto"/>
              <w:highlight w:val="none"/>
            </w:rPr>
            <w:fldChar w:fldCharType="separate"/>
          </w:r>
          <w:r>
            <w:rPr>
              <w:rFonts w:hint="eastAsia" w:ascii="宋体" w:hAnsi="宋体" w:cs="宋体"/>
              <w:b w:val="0"/>
              <w:color w:val="auto"/>
              <w:szCs w:val="24"/>
              <w:highlight w:val="none"/>
            </w:rPr>
            <w:t>三、评标程序</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t>7</w:t>
          </w:r>
          <w:r>
            <w:rPr>
              <w:rFonts w:hint="eastAsia" w:ascii="宋体" w:hAnsi="宋体" w:cs="宋体"/>
              <w:b w:val="0"/>
              <w:color w:val="auto"/>
              <w:szCs w:val="24"/>
              <w:highlight w:val="none"/>
              <w:lang w:val="en-US" w:eastAsia="zh-CN"/>
            </w:rPr>
            <w:t>1</w:t>
          </w:r>
        </w:p>
        <w:p w14:paraId="0B820FCF">
          <w:pPr>
            <w:pStyle w:val="29"/>
            <w:tabs>
              <w:tab w:val="right" w:leader="dot" w:pos="9355"/>
              <w:tab w:val="clear" w:pos="8302"/>
            </w:tabs>
            <w:spacing w:line="360" w:lineRule="auto"/>
            <w:ind w:left="0" w:leftChars="0" w:firstLine="482" w:firstLineChars="200"/>
            <w:rPr>
              <w:rFonts w:hint="eastAsia" w:ascii="宋体" w:hAnsi="宋体" w:eastAsia="宋体" w:cs="宋体"/>
              <w:color w:val="auto"/>
              <w:szCs w:val="24"/>
              <w:highlight w:val="none"/>
              <w:lang w:eastAsia="zh-CN"/>
            </w:rPr>
          </w:pPr>
          <w:r>
            <w:rPr>
              <w:color w:val="auto"/>
              <w:highlight w:val="none"/>
            </w:rPr>
            <w:fldChar w:fldCharType="begin"/>
          </w:r>
          <w:r>
            <w:rPr>
              <w:color w:val="auto"/>
              <w:highlight w:val="none"/>
            </w:rPr>
            <w:instrText xml:space="preserve"> HYPERLINK \l "_Toc11894" </w:instrText>
          </w:r>
          <w:r>
            <w:rPr>
              <w:color w:val="auto"/>
              <w:highlight w:val="none"/>
            </w:rPr>
            <w:fldChar w:fldCharType="separate"/>
          </w:r>
          <w:r>
            <w:rPr>
              <w:rFonts w:hint="eastAsia" w:ascii="宋体" w:hAnsi="宋体" w:cs="宋体"/>
              <w:b w:val="0"/>
              <w:color w:val="auto"/>
              <w:szCs w:val="24"/>
              <w:highlight w:val="none"/>
            </w:rPr>
            <w:t>四、评标办法</w:t>
          </w:r>
          <w:r>
            <w:rPr>
              <w:rFonts w:hint="eastAsia" w:ascii="宋体" w:hAnsi="宋体" w:cs="宋体"/>
              <w:b w:val="0"/>
              <w:color w:val="auto"/>
              <w:szCs w:val="24"/>
              <w:highlight w:val="none"/>
            </w:rPr>
            <w:tab/>
          </w:r>
          <w:r>
            <w:rPr>
              <w:rFonts w:hint="eastAsia" w:ascii="宋体" w:hAnsi="宋体" w:cs="宋体"/>
              <w:b w:val="0"/>
              <w:color w:val="auto"/>
              <w:szCs w:val="24"/>
              <w:highlight w:val="none"/>
            </w:rPr>
            <w:fldChar w:fldCharType="end"/>
          </w:r>
          <w:r>
            <w:rPr>
              <w:rFonts w:hint="eastAsia" w:ascii="宋体" w:hAnsi="宋体" w:cs="宋体"/>
              <w:b w:val="0"/>
              <w:color w:val="auto"/>
              <w:szCs w:val="24"/>
              <w:highlight w:val="none"/>
            </w:rPr>
            <w:t>7</w:t>
          </w:r>
          <w:r>
            <w:rPr>
              <w:rFonts w:hint="eastAsia" w:ascii="宋体" w:hAnsi="宋体" w:cs="宋体"/>
              <w:b w:val="0"/>
              <w:color w:val="auto"/>
              <w:szCs w:val="24"/>
              <w:highlight w:val="none"/>
              <w:lang w:val="en-US" w:eastAsia="zh-CN"/>
            </w:rPr>
            <w:t>1</w:t>
          </w:r>
        </w:p>
        <w:p w14:paraId="17A51C8B">
          <w:pPr>
            <w:pStyle w:val="3"/>
            <w:spacing w:after="0" w:line="360" w:lineRule="auto"/>
            <w:rPr>
              <w:rFonts w:ascii="宋体" w:hAnsi="宋体" w:cs="宋体"/>
              <w:b/>
              <w:color w:val="auto"/>
              <w:highlight w:val="none"/>
            </w:rPr>
          </w:pPr>
          <w:r>
            <w:rPr>
              <w:rFonts w:hint="eastAsia" w:ascii="宋体" w:hAnsi="宋体" w:cs="宋体"/>
              <w:color w:val="auto"/>
              <w:sz w:val="24"/>
              <w:szCs w:val="24"/>
              <w:highlight w:val="none"/>
            </w:rPr>
            <w:fldChar w:fldCharType="end"/>
          </w:r>
        </w:p>
      </w:sdtContent>
    </w:sdt>
    <w:p w14:paraId="3444B7A5">
      <w:pPr>
        <w:pStyle w:val="2"/>
        <w:ind w:firstLine="326"/>
        <w:rPr>
          <w:rFonts w:ascii="宋体" w:hAnsi="宋体" w:cs="宋体"/>
          <w:color w:val="auto"/>
          <w:highlight w:val="none"/>
        </w:rPr>
      </w:pPr>
    </w:p>
    <w:p w14:paraId="4B4602CB">
      <w:pPr>
        <w:spacing w:line="400" w:lineRule="exact"/>
        <w:rPr>
          <w:rFonts w:ascii="宋体" w:hAnsi="宋体" w:cs="宋体"/>
          <w:color w:val="auto"/>
          <w:sz w:val="22"/>
          <w:highlight w:val="none"/>
        </w:rPr>
      </w:pPr>
      <w:r>
        <w:rPr>
          <w:rFonts w:hint="eastAsia" w:ascii="宋体" w:hAnsi="宋体" w:cs="宋体"/>
          <w:b/>
          <w:color w:val="auto"/>
          <w:sz w:val="24"/>
          <w:highlight w:val="none"/>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14:paraId="57E5F505">
      <w:pPr>
        <w:spacing w:line="400" w:lineRule="exact"/>
        <w:rPr>
          <w:rFonts w:ascii="宋体" w:hAnsi="宋体" w:cs="宋体"/>
          <w:color w:val="auto"/>
          <w:sz w:val="22"/>
          <w:highlight w:val="none"/>
        </w:rPr>
      </w:pPr>
    </w:p>
    <w:p w14:paraId="2BF5A167">
      <w:pPr>
        <w:rPr>
          <w:rFonts w:ascii="宋体" w:hAnsi="宋体" w:cs="宋体"/>
          <w:b/>
          <w:color w:val="auto"/>
          <w:sz w:val="32"/>
          <w:highlight w:val="none"/>
        </w:rPr>
      </w:pPr>
      <w:r>
        <w:rPr>
          <w:rFonts w:hint="eastAsia" w:ascii="宋体" w:hAnsi="宋体" w:cs="宋体"/>
          <w:b/>
          <w:color w:val="auto"/>
          <w:sz w:val="32"/>
          <w:highlight w:val="none"/>
        </w:rPr>
        <w:br w:type="page"/>
      </w:r>
    </w:p>
    <w:p w14:paraId="093DA511">
      <w:pPr>
        <w:spacing w:line="400" w:lineRule="exact"/>
        <w:jc w:val="center"/>
        <w:outlineLvl w:val="0"/>
        <w:rPr>
          <w:rFonts w:ascii="宋体" w:hAnsi="宋体" w:cs="宋体"/>
          <w:b/>
          <w:color w:val="auto"/>
          <w:sz w:val="32"/>
          <w:highlight w:val="none"/>
        </w:rPr>
      </w:pPr>
      <w:bookmarkStart w:id="0" w:name="_Toc19932"/>
      <w:r>
        <w:rPr>
          <w:rFonts w:hint="eastAsia" w:ascii="宋体" w:hAnsi="宋体" w:cs="宋体"/>
          <w:b/>
          <w:color w:val="auto"/>
          <w:sz w:val="32"/>
          <w:highlight w:val="none"/>
        </w:rPr>
        <w:t>第一部分 投标邀请书</w:t>
      </w:r>
      <w:bookmarkEnd w:id="0"/>
    </w:p>
    <w:p w14:paraId="1CF23CF1">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项目概况        </w:t>
      </w:r>
    </w:p>
    <w:p w14:paraId="1418B322">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理工楼设备维保服务招标项目的潜在投标人应在政采云平台线上获取（下载）招标文件，并于</w:t>
      </w:r>
      <w:r>
        <w:rPr>
          <w:rFonts w:hint="eastAsia"/>
          <w:color w:val="auto"/>
          <w:sz w:val="22"/>
          <w:highlight w:val="none"/>
          <w:u w:val="single"/>
        </w:rPr>
        <w:t>2025年</w:t>
      </w:r>
      <w:r>
        <w:rPr>
          <w:rFonts w:hint="eastAsia"/>
          <w:color w:val="auto"/>
          <w:sz w:val="22"/>
          <w:highlight w:val="none"/>
          <w:u w:val="single"/>
          <w:lang w:val="en-US" w:eastAsia="zh-CN"/>
        </w:rPr>
        <w:t>06</w:t>
      </w:r>
      <w:r>
        <w:rPr>
          <w:rFonts w:hint="eastAsia"/>
          <w:color w:val="auto"/>
          <w:sz w:val="22"/>
          <w:highlight w:val="none"/>
          <w:u w:val="single"/>
        </w:rPr>
        <w:t>月</w:t>
      </w:r>
      <w:r>
        <w:rPr>
          <w:rFonts w:hint="eastAsia"/>
          <w:color w:val="auto"/>
          <w:sz w:val="22"/>
          <w:highlight w:val="none"/>
          <w:u w:val="single"/>
          <w:lang w:val="en-US" w:eastAsia="zh-CN"/>
        </w:rPr>
        <w:t>23</w:t>
      </w:r>
      <w:r>
        <w:rPr>
          <w:rFonts w:hint="eastAsia"/>
          <w:color w:val="auto"/>
          <w:sz w:val="22"/>
          <w:highlight w:val="none"/>
          <w:u w:val="single"/>
        </w:rPr>
        <w:t>日</w:t>
      </w:r>
      <w:r>
        <w:rPr>
          <w:rFonts w:hint="eastAsia"/>
          <w:color w:val="auto"/>
          <w:sz w:val="22"/>
          <w:highlight w:val="none"/>
          <w:lang w:eastAsia="zh-CN"/>
        </w:rPr>
        <w:t>上午9：30</w:t>
      </w:r>
      <w:r>
        <w:rPr>
          <w:rFonts w:hint="eastAsia"/>
          <w:color w:val="auto"/>
          <w:sz w:val="22"/>
          <w:highlight w:val="none"/>
        </w:rPr>
        <w:t>（北京时间）前递交（上传）投标文件。</w:t>
      </w:r>
    </w:p>
    <w:p w14:paraId="129CE111">
      <w:pPr>
        <w:pStyle w:val="30"/>
        <w:spacing w:before="0" w:beforeAutospacing="0" w:after="0" w:afterAutospacing="0" w:line="360" w:lineRule="exact"/>
        <w:ind w:firstLine="440" w:firstLineChars="200"/>
        <w:rPr>
          <w:color w:val="auto"/>
          <w:sz w:val="22"/>
          <w:highlight w:val="none"/>
        </w:rPr>
      </w:pPr>
    </w:p>
    <w:p w14:paraId="2773081E">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一、项目基本情况</w:t>
      </w:r>
    </w:p>
    <w:p w14:paraId="030B308F">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项目编号：ZJYC2025011（ZCGK)</w:t>
      </w:r>
    </w:p>
    <w:p w14:paraId="5F528044">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项目名称：理工楼设备维保服务</w:t>
      </w:r>
    </w:p>
    <w:p w14:paraId="7B0F91E2">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预算金额（元）：390000.00 </w:t>
      </w:r>
    </w:p>
    <w:p w14:paraId="1F5C9280">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最高限价（元）：370000.00 </w:t>
      </w:r>
    </w:p>
    <w:p w14:paraId="3D6CF4AB">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标项名称：理工楼设备维保服务    </w:t>
      </w:r>
    </w:p>
    <w:p w14:paraId="17F3187E">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数量：不限    </w:t>
      </w:r>
    </w:p>
    <w:p w14:paraId="63FF617A">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预算金额（元）：390000.00     </w:t>
      </w:r>
    </w:p>
    <w:p w14:paraId="574B7F01">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简要规格描述或项目基本概况介绍、用途：详见招标文件        </w:t>
      </w:r>
    </w:p>
    <w:p w14:paraId="0654229B">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合同履约期限：标项 1，详见招标文件</w:t>
      </w:r>
    </w:p>
    <w:p w14:paraId="64C05498">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本项目（否）接受联合体投标。</w:t>
      </w:r>
    </w:p>
    <w:p w14:paraId="417A4594">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二、申请人的资格要求：</w:t>
      </w:r>
    </w:p>
    <w:p w14:paraId="0ACC09FF">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0A83D33">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2.落实政府采购政策需满足的资格要求：标项1：无</w:t>
      </w:r>
    </w:p>
    <w:p w14:paraId="6140A4E4">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3.本项目的特定资格要求：无</w:t>
      </w:r>
    </w:p>
    <w:p w14:paraId="0802B717">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三、获取招标文件</w:t>
      </w:r>
    </w:p>
    <w:p w14:paraId="6B36B549">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时间：/至</w:t>
      </w:r>
      <w:r>
        <w:rPr>
          <w:rFonts w:hint="eastAsia"/>
          <w:color w:val="auto"/>
          <w:sz w:val="22"/>
          <w:highlight w:val="none"/>
          <w:u w:val="single"/>
        </w:rPr>
        <w:t>2025年</w:t>
      </w:r>
      <w:r>
        <w:rPr>
          <w:rFonts w:hint="eastAsia"/>
          <w:color w:val="auto"/>
          <w:sz w:val="22"/>
          <w:highlight w:val="none"/>
          <w:u w:val="single"/>
          <w:lang w:val="en-US" w:eastAsia="zh-CN"/>
        </w:rPr>
        <w:t>06</w:t>
      </w:r>
      <w:r>
        <w:rPr>
          <w:rFonts w:hint="eastAsia"/>
          <w:color w:val="auto"/>
          <w:sz w:val="22"/>
          <w:highlight w:val="none"/>
          <w:u w:val="single"/>
        </w:rPr>
        <w:t>月</w:t>
      </w:r>
      <w:r>
        <w:rPr>
          <w:rFonts w:hint="eastAsia"/>
          <w:color w:val="auto"/>
          <w:sz w:val="22"/>
          <w:highlight w:val="none"/>
          <w:u w:val="single"/>
          <w:lang w:val="en-US" w:eastAsia="zh-CN"/>
        </w:rPr>
        <w:t>23</w:t>
      </w:r>
      <w:r>
        <w:rPr>
          <w:rFonts w:hint="eastAsia"/>
          <w:color w:val="auto"/>
          <w:sz w:val="22"/>
          <w:highlight w:val="none"/>
          <w:u w:val="single"/>
        </w:rPr>
        <w:t>日</w:t>
      </w:r>
      <w:r>
        <w:rPr>
          <w:rFonts w:hint="eastAsia"/>
          <w:color w:val="auto"/>
          <w:sz w:val="22"/>
          <w:highlight w:val="none"/>
        </w:rPr>
        <w:t> ，每天上午00:00至12:00 ，下午12:00至23:59（北京时间，线上获取法定节假日均可，线下获取文件法定节假日除外）</w:t>
      </w:r>
    </w:p>
    <w:p w14:paraId="2CD599BF">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地点（网址）：政采云平台线上获取</w:t>
      </w:r>
    </w:p>
    <w:p w14:paraId="19780157">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方式：供应商登录政采云平台https://www.zcygov.cn/在线申请获取采购文件（进入“项目采购”应用，在获取采购文件菜单中选择项目，申请获取采购文件）（公告规定的招标文件获取方式为依法获取招标文件的方式，未按照公告规定的方式获取招标文件的，不得对招标文件提起质疑、投诉。）</w:t>
      </w:r>
    </w:p>
    <w:p w14:paraId="2BD82EFD">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售价（元）：0</w:t>
      </w:r>
    </w:p>
    <w:p w14:paraId="1F8F6539">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四、提交投标文件截止时间、开标时间和地点</w:t>
      </w:r>
    </w:p>
    <w:p w14:paraId="5B2AEFDB">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提交投标文件截止时间：</w:t>
      </w:r>
      <w:r>
        <w:rPr>
          <w:rFonts w:hint="eastAsia"/>
          <w:color w:val="auto"/>
          <w:sz w:val="22"/>
          <w:highlight w:val="none"/>
          <w:lang w:eastAsia="zh-CN"/>
        </w:rPr>
        <w:t>2025年06月23日上午9：30</w:t>
      </w:r>
      <w:r>
        <w:rPr>
          <w:rFonts w:hint="eastAsia"/>
          <w:color w:val="auto"/>
          <w:sz w:val="22"/>
          <w:highlight w:val="none"/>
        </w:rPr>
        <w:t>（北京时间）</w:t>
      </w:r>
    </w:p>
    <w:p w14:paraId="19408E96">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投标地点（网址）：请登录政采云投标客户端投标</w:t>
      </w:r>
    </w:p>
    <w:p w14:paraId="5CAAC4CA">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开标时间：</w:t>
      </w:r>
      <w:r>
        <w:rPr>
          <w:rFonts w:hint="eastAsia"/>
          <w:color w:val="auto"/>
          <w:sz w:val="22"/>
          <w:highlight w:val="none"/>
          <w:lang w:eastAsia="zh-CN"/>
        </w:rPr>
        <w:t>2025年06月23日上午9：30</w:t>
      </w:r>
      <w:r>
        <w:rPr>
          <w:rFonts w:hint="eastAsia"/>
          <w:color w:val="auto"/>
          <w:sz w:val="22"/>
          <w:highlight w:val="none"/>
        </w:rPr>
        <w:t xml:space="preserve">（北京时间） </w:t>
      </w:r>
    </w:p>
    <w:p w14:paraId="1E4C7158">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开标地点（网址）：浙江乐诚工程咨询有限公司评审室（温州市瓯海区三垟街道桥头河大桥温州生命健康小镇B03)（https://www.zcygov.cn/）</w:t>
      </w:r>
    </w:p>
    <w:p w14:paraId="75A50F63">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五、公告期限</w:t>
      </w:r>
    </w:p>
    <w:p w14:paraId="584C41AC">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自本公告发布之日起5个工作日。</w:t>
      </w:r>
    </w:p>
    <w:p w14:paraId="0080554E">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六、其他补充事宜</w:t>
      </w:r>
    </w:p>
    <w:p w14:paraId="56554170">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1FBC570F">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2.其他事项：无</w:t>
      </w:r>
    </w:p>
    <w:p w14:paraId="17649293">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七、对本次采购提出询问、质疑、投诉，请按以下方式联系</w:t>
      </w:r>
    </w:p>
    <w:p w14:paraId="0857C6C1">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1.采购人信息</w:t>
      </w:r>
    </w:p>
    <w:p w14:paraId="2A709A2E">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名    称：温州肯恩大学</w:t>
      </w:r>
    </w:p>
    <w:p w14:paraId="3CD795CD">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地    址：温州市瓯海区丽岙街道大学路88号</w:t>
      </w:r>
    </w:p>
    <w:p w14:paraId="359AB111">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传    真：/</w:t>
      </w:r>
    </w:p>
    <w:p w14:paraId="0A87999E">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项目联系人（询问）：孙老师</w:t>
      </w:r>
    </w:p>
    <w:p w14:paraId="0F1CFDF8">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项目联系方式（询问）：0577-55870565 </w:t>
      </w:r>
    </w:p>
    <w:p w14:paraId="6647D614">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质疑联系人：刘老师</w:t>
      </w:r>
    </w:p>
    <w:p w14:paraId="6CECA5F0">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质疑联系方式：0577-55870553</w:t>
      </w:r>
    </w:p>
    <w:p w14:paraId="4DA6DEE0">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2.采购代理机构信息</w:t>
      </w:r>
    </w:p>
    <w:p w14:paraId="15C1066D">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名    称：浙江乐诚工程咨询有限公司</w:t>
      </w:r>
    </w:p>
    <w:p w14:paraId="29204F47">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地    址：温州市瓯海区三垟街道桥头河大桥温州生命健康小镇B03</w:t>
      </w:r>
    </w:p>
    <w:p w14:paraId="578E1BCD">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传    真：</w:t>
      </w:r>
    </w:p>
    <w:p w14:paraId="01CD6C7B">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项目联系人（询问）：钱学丰、陈素芳</w:t>
      </w:r>
    </w:p>
    <w:p w14:paraId="40C75877">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项目联系方式（询问）：15356271770/0577-86077700</w:t>
      </w:r>
    </w:p>
    <w:p w14:paraId="3A99A666">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质疑联系人：王纪凤</w:t>
      </w:r>
    </w:p>
    <w:p w14:paraId="33916761">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质疑联系方式：15805779720</w:t>
      </w:r>
    </w:p>
    <w:p w14:paraId="6C37C349">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3.</w:t>
      </w:r>
      <w:r>
        <w:rPr>
          <w:rStyle w:val="42"/>
          <w:rFonts w:hint="eastAsia" w:ascii="宋体" w:hAnsi="宋体"/>
          <w:color w:val="auto"/>
          <w:sz w:val="22"/>
          <w:highlight w:val="none"/>
        </w:rPr>
        <w:t>同级采购监督管理部门</w:t>
      </w:r>
    </w:p>
    <w:p w14:paraId="324BB990">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名    称：温州肯恩大学</w:t>
      </w:r>
    </w:p>
    <w:p w14:paraId="1E1A8E79">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地    址：温州市瓯海区丽岙街道大学路88号</w:t>
      </w:r>
    </w:p>
    <w:p w14:paraId="7BD88488">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联 系 人：林老师</w:t>
      </w:r>
    </w:p>
    <w:p w14:paraId="3C6147AC">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监督投诉电话：</w:t>
      </w:r>
      <w:r>
        <w:rPr>
          <w:color w:val="auto"/>
          <w:sz w:val="22"/>
          <w:highlight w:val="none"/>
        </w:rPr>
        <w:t>0577-55870046</w:t>
      </w:r>
    </w:p>
    <w:p w14:paraId="7B076B78">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若对项目采购电子交易系统操作有疑问，可登录政采云（https://www.zcygov.cn/），点击右侧咨询小采，获取采小蜜智能服务管家帮助，或拨打政采云服务热线95763获取热线服务帮助。</w:t>
      </w:r>
    </w:p>
    <w:p w14:paraId="66B2E090">
      <w:pPr>
        <w:pStyle w:val="30"/>
        <w:spacing w:before="0" w:beforeAutospacing="0" w:after="0" w:afterAutospacing="0" w:line="360" w:lineRule="exact"/>
        <w:ind w:firstLine="440" w:firstLineChars="200"/>
        <w:rPr>
          <w:color w:val="auto"/>
          <w:sz w:val="22"/>
          <w:highlight w:val="none"/>
        </w:rPr>
      </w:pPr>
      <w:r>
        <w:rPr>
          <w:rFonts w:hint="eastAsia"/>
          <w:color w:val="auto"/>
          <w:sz w:val="22"/>
          <w:highlight w:val="none"/>
        </w:rPr>
        <w:t>CA问题联系电话（人工）：汇信CA 400-888-4636；天谷CA 400-087-8198。</w:t>
      </w:r>
    </w:p>
    <w:p w14:paraId="775DEBD2">
      <w:pPr>
        <w:widowControl/>
        <w:spacing w:line="360" w:lineRule="exact"/>
        <w:jc w:val="left"/>
        <w:rPr>
          <w:rFonts w:ascii="宋体" w:hAnsi="宋体" w:cs="宋体"/>
          <w:color w:val="auto"/>
          <w:highlight w:val="none"/>
        </w:rPr>
      </w:pPr>
      <w:r>
        <w:rPr>
          <w:rFonts w:hint="eastAsia" w:ascii="宋体" w:hAnsi="宋体" w:cs="宋体"/>
          <w:color w:val="auto"/>
          <w:kern w:val="0"/>
          <w:sz w:val="22"/>
          <w:highlight w:val="none"/>
        </w:rPr>
        <w:t>          </w:t>
      </w:r>
    </w:p>
    <w:p w14:paraId="692CCCA0">
      <w:pPr>
        <w:spacing w:line="400" w:lineRule="exact"/>
        <w:jc w:val="righ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温州肯恩大学</w:t>
      </w:r>
    </w:p>
    <w:p w14:paraId="76B30158">
      <w:pPr>
        <w:spacing w:line="400" w:lineRule="exact"/>
        <w:jc w:val="right"/>
        <w:rPr>
          <w:rFonts w:ascii="宋体" w:hAnsi="宋体" w:cs="宋体"/>
          <w:color w:val="auto"/>
          <w:spacing w:val="-6"/>
          <w:sz w:val="22"/>
          <w:highlight w:val="none"/>
          <w:lang w:val="zh-CN"/>
        </w:rPr>
      </w:pPr>
      <w:r>
        <w:rPr>
          <w:rFonts w:hint="eastAsia" w:ascii="宋体" w:hAnsi="宋体" w:cs="宋体"/>
          <w:color w:val="auto"/>
          <w:kern w:val="0"/>
          <w:sz w:val="22"/>
          <w:highlight w:val="none"/>
        </w:rPr>
        <w:t>浙江乐</w:t>
      </w:r>
      <w:r>
        <w:rPr>
          <w:rFonts w:hint="eastAsia" w:ascii="宋体" w:hAnsi="宋体" w:cs="宋体"/>
          <w:color w:val="auto"/>
          <w:spacing w:val="-6"/>
          <w:sz w:val="22"/>
          <w:highlight w:val="none"/>
          <w:lang w:val="zh-CN"/>
        </w:rPr>
        <w:t>诚工程咨询有限公司</w:t>
      </w:r>
    </w:p>
    <w:p w14:paraId="4C478A66">
      <w:pPr>
        <w:spacing w:line="400" w:lineRule="exact"/>
        <w:jc w:val="right"/>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202</w:t>
      </w:r>
      <w:r>
        <w:rPr>
          <w:rFonts w:hint="eastAsia" w:ascii="宋体" w:hAnsi="宋体" w:cs="宋体"/>
          <w:color w:val="auto"/>
          <w:spacing w:val="-6"/>
          <w:sz w:val="22"/>
          <w:highlight w:val="none"/>
        </w:rPr>
        <w:t>5</w:t>
      </w:r>
      <w:r>
        <w:rPr>
          <w:rFonts w:hint="eastAsia" w:ascii="宋体" w:hAnsi="宋体" w:cs="宋体"/>
          <w:color w:val="auto"/>
          <w:spacing w:val="-6"/>
          <w:sz w:val="22"/>
          <w:highlight w:val="none"/>
          <w:lang w:val="zh-CN"/>
        </w:rPr>
        <w:t>年</w:t>
      </w:r>
      <w:r>
        <w:rPr>
          <w:rFonts w:hint="eastAsia" w:ascii="宋体" w:hAnsi="宋体" w:cs="宋体"/>
          <w:color w:val="auto"/>
          <w:spacing w:val="-6"/>
          <w:sz w:val="22"/>
          <w:highlight w:val="none"/>
          <w:lang w:val="en-US" w:eastAsia="zh-CN"/>
        </w:rPr>
        <w:t>05</w:t>
      </w:r>
      <w:r>
        <w:rPr>
          <w:rFonts w:hint="eastAsia" w:ascii="宋体" w:hAnsi="宋体" w:cs="宋体"/>
          <w:color w:val="auto"/>
          <w:spacing w:val="-6"/>
          <w:sz w:val="22"/>
          <w:highlight w:val="none"/>
          <w:lang w:val="zh-CN"/>
        </w:rPr>
        <w:t>月</w:t>
      </w:r>
      <w:r>
        <w:rPr>
          <w:rFonts w:hint="eastAsia" w:ascii="宋体" w:hAnsi="宋体" w:cs="宋体"/>
          <w:color w:val="auto"/>
          <w:spacing w:val="-6"/>
          <w:sz w:val="22"/>
          <w:highlight w:val="none"/>
          <w:lang w:val="en-US" w:eastAsia="zh-CN"/>
        </w:rPr>
        <w:t>29</w:t>
      </w:r>
      <w:r>
        <w:rPr>
          <w:rFonts w:hint="eastAsia" w:ascii="宋体" w:hAnsi="宋体" w:cs="宋体"/>
          <w:color w:val="auto"/>
          <w:spacing w:val="-6"/>
          <w:sz w:val="22"/>
          <w:highlight w:val="none"/>
          <w:lang w:val="zh-CN"/>
        </w:rPr>
        <w:t>日</w:t>
      </w:r>
    </w:p>
    <w:p w14:paraId="6F954797">
      <w:pPr>
        <w:widowControl/>
        <w:spacing w:line="360" w:lineRule="exact"/>
        <w:ind w:firstLine="480" w:firstLineChars="200"/>
        <w:jc w:val="left"/>
        <w:rPr>
          <w:rFonts w:ascii="宋体" w:hAnsi="宋体" w:cs="宋体"/>
          <w:color w:val="auto"/>
          <w:sz w:val="24"/>
          <w:szCs w:val="24"/>
          <w:highlight w:val="none"/>
        </w:rPr>
      </w:pPr>
    </w:p>
    <w:p w14:paraId="4CE85235">
      <w:pPr>
        <w:widowControl/>
        <w:spacing w:line="360" w:lineRule="exact"/>
        <w:jc w:val="left"/>
        <w:rPr>
          <w:rFonts w:ascii="宋体" w:hAnsi="宋体" w:cs="宋体"/>
          <w:color w:val="auto"/>
          <w:sz w:val="22"/>
          <w:highlight w:val="none"/>
        </w:rPr>
      </w:pPr>
      <w:r>
        <w:rPr>
          <w:rFonts w:hint="eastAsia" w:ascii="宋体" w:hAnsi="宋体" w:cs="宋体"/>
          <w:color w:val="auto"/>
          <w:kern w:val="0"/>
          <w:sz w:val="22"/>
          <w:highlight w:val="none"/>
        </w:rPr>
        <w:t>       </w:t>
      </w:r>
    </w:p>
    <w:p w14:paraId="07A699E4">
      <w:pPr>
        <w:rPr>
          <w:rFonts w:ascii="宋体" w:hAnsi="宋体" w:cs="宋体"/>
          <w:b/>
          <w:color w:val="auto"/>
          <w:sz w:val="32"/>
          <w:highlight w:val="none"/>
        </w:rPr>
      </w:pPr>
      <w:bookmarkStart w:id="1" w:name="_Toc30246"/>
      <w:r>
        <w:rPr>
          <w:rFonts w:hint="eastAsia" w:ascii="宋体" w:hAnsi="宋体" w:cs="宋体"/>
          <w:b/>
          <w:color w:val="auto"/>
          <w:sz w:val="32"/>
          <w:highlight w:val="none"/>
        </w:rPr>
        <w:br w:type="page"/>
      </w:r>
    </w:p>
    <w:p w14:paraId="1D6A831E">
      <w:pPr>
        <w:spacing w:line="400" w:lineRule="exact"/>
        <w:jc w:val="center"/>
        <w:outlineLvl w:val="0"/>
        <w:rPr>
          <w:rFonts w:ascii="宋体" w:hAnsi="宋体" w:cs="宋体"/>
          <w:b/>
          <w:color w:val="auto"/>
          <w:sz w:val="32"/>
          <w:highlight w:val="none"/>
        </w:rPr>
      </w:pPr>
      <w:r>
        <w:rPr>
          <w:rFonts w:hint="eastAsia" w:ascii="宋体" w:hAnsi="宋体" w:cs="宋体"/>
          <w:b/>
          <w:color w:val="auto"/>
          <w:sz w:val="32"/>
          <w:highlight w:val="none"/>
        </w:rPr>
        <w:t>第二部分 投标人须知</w:t>
      </w:r>
      <w:bookmarkEnd w:id="1"/>
    </w:p>
    <w:p w14:paraId="1A34CDB9">
      <w:pPr>
        <w:spacing w:line="360" w:lineRule="exact"/>
        <w:jc w:val="center"/>
        <w:outlineLvl w:val="1"/>
        <w:rPr>
          <w:rFonts w:ascii="宋体" w:hAnsi="宋体" w:cs="宋体"/>
          <w:b/>
          <w:bCs/>
          <w:color w:val="auto"/>
          <w:sz w:val="28"/>
          <w:szCs w:val="28"/>
          <w:highlight w:val="none"/>
        </w:rPr>
      </w:pPr>
      <w:bookmarkStart w:id="2" w:name="_Toc28039"/>
      <w:r>
        <w:rPr>
          <w:rFonts w:hint="eastAsia" w:ascii="宋体" w:hAnsi="宋体" w:cs="宋体"/>
          <w:b/>
          <w:bCs/>
          <w:color w:val="auto"/>
          <w:sz w:val="28"/>
          <w:szCs w:val="28"/>
          <w:highlight w:val="none"/>
        </w:rPr>
        <w:t>投标人须知前附表</w:t>
      </w:r>
      <w:bookmarkEnd w:id="2"/>
    </w:p>
    <w:tbl>
      <w:tblPr>
        <w:tblStyle w:val="33"/>
        <w:tblW w:w="9525" w:type="dxa"/>
        <w:jc w:val="center"/>
        <w:tblLayout w:type="fixed"/>
        <w:tblCellMar>
          <w:top w:w="0" w:type="dxa"/>
          <w:left w:w="108" w:type="dxa"/>
          <w:bottom w:w="0" w:type="dxa"/>
          <w:right w:w="108" w:type="dxa"/>
        </w:tblCellMar>
      </w:tblPr>
      <w:tblGrid>
        <w:gridCol w:w="766"/>
        <w:gridCol w:w="1796"/>
        <w:gridCol w:w="6963"/>
      </w:tblGrid>
      <w:tr w14:paraId="1EE6016C">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6C4F20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1796" w:type="dxa"/>
            <w:tcBorders>
              <w:top w:val="single" w:color="auto" w:sz="4" w:space="0"/>
              <w:left w:val="single" w:color="auto" w:sz="4" w:space="0"/>
              <w:bottom w:val="single" w:color="auto" w:sz="4" w:space="0"/>
              <w:right w:val="single" w:color="auto" w:sz="4" w:space="0"/>
            </w:tcBorders>
            <w:vAlign w:val="center"/>
          </w:tcPr>
          <w:p w14:paraId="7C8686E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条款名称</w:t>
            </w:r>
          </w:p>
        </w:tc>
        <w:tc>
          <w:tcPr>
            <w:tcW w:w="6963" w:type="dxa"/>
            <w:tcBorders>
              <w:top w:val="single" w:color="auto" w:sz="4" w:space="0"/>
              <w:left w:val="single" w:color="auto" w:sz="4" w:space="0"/>
              <w:bottom w:val="single" w:color="auto" w:sz="4" w:space="0"/>
              <w:right w:val="single" w:color="auto" w:sz="4" w:space="0"/>
            </w:tcBorders>
            <w:vAlign w:val="center"/>
          </w:tcPr>
          <w:p w14:paraId="4FF2564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编列内容</w:t>
            </w:r>
          </w:p>
        </w:tc>
      </w:tr>
      <w:tr w14:paraId="699C7438">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8D1553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1796" w:type="dxa"/>
            <w:tcBorders>
              <w:top w:val="single" w:color="auto" w:sz="4" w:space="0"/>
              <w:left w:val="single" w:color="auto" w:sz="4" w:space="0"/>
              <w:bottom w:val="single" w:color="auto" w:sz="4" w:space="0"/>
              <w:right w:val="single" w:color="auto" w:sz="4" w:space="0"/>
            </w:tcBorders>
            <w:vAlign w:val="center"/>
          </w:tcPr>
          <w:p w14:paraId="11BEF5AD">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采购人</w:t>
            </w:r>
          </w:p>
        </w:tc>
        <w:tc>
          <w:tcPr>
            <w:tcW w:w="6963" w:type="dxa"/>
            <w:tcBorders>
              <w:top w:val="single" w:color="auto" w:sz="4" w:space="0"/>
              <w:left w:val="single" w:color="auto" w:sz="4" w:space="0"/>
              <w:bottom w:val="single" w:color="auto" w:sz="4" w:space="0"/>
              <w:right w:val="single" w:color="auto" w:sz="4" w:space="0"/>
            </w:tcBorders>
            <w:vAlign w:val="center"/>
          </w:tcPr>
          <w:p w14:paraId="65E3A777">
            <w:pPr>
              <w:spacing w:line="400" w:lineRule="exact"/>
              <w:ind w:right="416"/>
              <w:rPr>
                <w:rFonts w:ascii="宋体" w:hAnsi="宋体" w:cs="宋体"/>
                <w:color w:val="auto"/>
                <w:spacing w:val="-6"/>
                <w:sz w:val="22"/>
                <w:highlight w:val="none"/>
                <w:lang w:val="zh-CN"/>
              </w:rPr>
            </w:pPr>
            <w:r>
              <w:rPr>
                <w:rFonts w:hint="eastAsia" w:ascii="宋体" w:hAnsi="宋体" w:cs="宋体"/>
                <w:color w:val="auto"/>
                <w:spacing w:val="-6"/>
                <w:sz w:val="22"/>
                <w:highlight w:val="none"/>
                <w:lang w:val="zh-CN"/>
              </w:rPr>
              <w:t>温州肯恩大学</w:t>
            </w:r>
          </w:p>
        </w:tc>
      </w:tr>
      <w:tr w14:paraId="45BCB12C">
        <w:tblPrEx>
          <w:tblCellMar>
            <w:top w:w="0" w:type="dxa"/>
            <w:left w:w="108" w:type="dxa"/>
            <w:bottom w:w="0" w:type="dxa"/>
            <w:right w:w="108" w:type="dxa"/>
          </w:tblCellMar>
        </w:tblPrEx>
        <w:trPr>
          <w:trHeight w:val="45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223691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1796" w:type="dxa"/>
            <w:tcBorders>
              <w:top w:val="single" w:color="auto" w:sz="4" w:space="0"/>
              <w:left w:val="single" w:color="auto" w:sz="4" w:space="0"/>
              <w:bottom w:val="single" w:color="auto" w:sz="4" w:space="0"/>
              <w:right w:val="single" w:color="auto" w:sz="4" w:space="0"/>
            </w:tcBorders>
            <w:vAlign w:val="center"/>
          </w:tcPr>
          <w:p w14:paraId="1382EADA">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采购代理机构</w:t>
            </w:r>
          </w:p>
        </w:tc>
        <w:tc>
          <w:tcPr>
            <w:tcW w:w="6963" w:type="dxa"/>
            <w:tcBorders>
              <w:top w:val="single" w:color="auto" w:sz="4" w:space="0"/>
              <w:left w:val="single" w:color="auto" w:sz="4" w:space="0"/>
              <w:bottom w:val="single" w:color="auto" w:sz="4" w:space="0"/>
              <w:right w:val="single" w:color="auto" w:sz="4" w:space="0"/>
            </w:tcBorders>
            <w:vAlign w:val="center"/>
          </w:tcPr>
          <w:p w14:paraId="207864B8">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lang w:val="zh-CN"/>
              </w:rPr>
              <w:t>浙江乐诚工程咨询有限公司</w:t>
            </w:r>
          </w:p>
        </w:tc>
      </w:tr>
      <w:tr w14:paraId="426C750A">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2E5C60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1796" w:type="dxa"/>
            <w:tcBorders>
              <w:top w:val="single" w:color="auto" w:sz="4" w:space="0"/>
              <w:left w:val="single" w:color="auto" w:sz="4" w:space="0"/>
              <w:bottom w:val="single" w:color="auto" w:sz="4" w:space="0"/>
              <w:right w:val="single" w:color="auto" w:sz="4" w:space="0"/>
            </w:tcBorders>
            <w:vAlign w:val="center"/>
          </w:tcPr>
          <w:p w14:paraId="73EA69E8">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项目名称</w:t>
            </w:r>
          </w:p>
        </w:tc>
        <w:tc>
          <w:tcPr>
            <w:tcW w:w="6963" w:type="dxa"/>
            <w:tcBorders>
              <w:top w:val="single" w:color="auto" w:sz="4" w:space="0"/>
              <w:left w:val="single" w:color="auto" w:sz="4" w:space="0"/>
              <w:bottom w:val="single" w:color="auto" w:sz="4" w:space="0"/>
              <w:right w:val="single" w:color="auto" w:sz="4" w:space="0"/>
            </w:tcBorders>
            <w:vAlign w:val="center"/>
          </w:tcPr>
          <w:p w14:paraId="02EDDD33">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项目名称：理工楼设备维保服务</w:t>
            </w:r>
          </w:p>
          <w:p w14:paraId="7A4BA100">
            <w:pPr>
              <w:pStyle w:val="12"/>
              <w:ind w:left="440" w:hanging="440"/>
              <w:rPr>
                <w:rFonts w:ascii="宋体" w:hAnsi="宋体" w:cs="宋体"/>
                <w:color w:val="auto"/>
                <w:highlight w:val="none"/>
              </w:rPr>
            </w:pPr>
            <w:r>
              <w:rPr>
                <w:rFonts w:hint="eastAsia" w:ascii="宋体" w:hAnsi="宋体" w:cs="宋体"/>
                <w:color w:val="auto"/>
                <w:kern w:val="0"/>
                <w:sz w:val="22"/>
                <w:highlight w:val="none"/>
                <w:lang w:val="zh-CN"/>
              </w:rPr>
              <w:t>项目编号：ZJYC2025011（ZCGK)  </w:t>
            </w:r>
          </w:p>
        </w:tc>
      </w:tr>
      <w:tr w14:paraId="471B3D62">
        <w:tblPrEx>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5D2CAB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1796" w:type="dxa"/>
            <w:tcBorders>
              <w:top w:val="single" w:color="auto" w:sz="4" w:space="0"/>
              <w:left w:val="single" w:color="auto" w:sz="4" w:space="0"/>
              <w:bottom w:val="single" w:color="auto" w:sz="4" w:space="0"/>
              <w:right w:val="single" w:color="auto" w:sz="4" w:space="0"/>
            </w:tcBorders>
            <w:vAlign w:val="center"/>
          </w:tcPr>
          <w:p w14:paraId="12B880CA">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预算金额</w:t>
            </w:r>
          </w:p>
        </w:tc>
        <w:tc>
          <w:tcPr>
            <w:tcW w:w="6963" w:type="dxa"/>
            <w:tcBorders>
              <w:top w:val="single" w:color="auto" w:sz="4" w:space="0"/>
              <w:left w:val="single" w:color="auto" w:sz="4" w:space="0"/>
              <w:bottom w:val="single" w:color="auto" w:sz="4" w:space="0"/>
              <w:right w:val="single" w:color="auto" w:sz="4" w:space="0"/>
            </w:tcBorders>
            <w:vAlign w:val="center"/>
          </w:tcPr>
          <w:p w14:paraId="4B318DD7">
            <w:pPr>
              <w:pStyle w:val="30"/>
              <w:rPr>
                <w:color w:val="auto"/>
                <w:highlight w:val="none"/>
                <w:lang w:val="zh-CN"/>
              </w:rPr>
            </w:pPr>
            <w:r>
              <w:rPr>
                <w:rFonts w:hint="eastAsia"/>
                <w:color w:val="auto"/>
                <w:sz w:val="22"/>
                <w:highlight w:val="none"/>
                <w:u w:val="single"/>
                <w:lang w:val="zh-CN"/>
              </w:rPr>
              <w:t>▲预算金额：</w:t>
            </w:r>
            <w:r>
              <w:rPr>
                <w:rFonts w:hint="eastAsia"/>
                <w:color w:val="auto"/>
                <w:sz w:val="22"/>
                <w:highlight w:val="none"/>
                <w:u w:val="single"/>
              </w:rPr>
              <w:t>390000.00</w:t>
            </w:r>
            <w:r>
              <w:rPr>
                <w:rFonts w:hint="eastAsia"/>
                <w:color w:val="auto"/>
                <w:sz w:val="22"/>
                <w:highlight w:val="none"/>
                <w:u w:val="single"/>
                <w:lang w:val="zh-CN"/>
              </w:rPr>
              <w:t>元</w:t>
            </w:r>
            <w:r>
              <w:rPr>
                <w:rFonts w:hint="eastAsia"/>
                <w:color w:val="auto"/>
                <w:sz w:val="22"/>
                <w:highlight w:val="none"/>
                <w:u w:val="single"/>
              </w:rPr>
              <w:t>。报价超过对应预算金额的投标无效</w:t>
            </w:r>
            <w:r>
              <w:rPr>
                <w:rFonts w:hint="eastAsia"/>
                <w:color w:val="auto"/>
                <w:sz w:val="22"/>
                <w:highlight w:val="none"/>
                <w:u w:val="single"/>
                <w:lang w:val="zh-CN"/>
              </w:rPr>
              <w:t>。</w:t>
            </w:r>
          </w:p>
        </w:tc>
      </w:tr>
      <w:tr w14:paraId="004B968F">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B0EAEF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1796" w:type="dxa"/>
            <w:tcBorders>
              <w:top w:val="single" w:color="auto" w:sz="4" w:space="0"/>
              <w:left w:val="single" w:color="auto" w:sz="4" w:space="0"/>
              <w:bottom w:val="single" w:color="auto" w:sz="4" w:space="0"/>
              <w:right w:val="single" w:color="auto" w:sz="4" w:space="0"/>
            </w:tcBorders>
            <w:vAlign w:val="center"/>
          </w:tcPr>
          <w:p w14:paraId="7D5C30A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采购需求</w:t>
            </w:r>
          </w:p>
        </w:tc>
        <w:tc>
          <w:tcPr>
            <w:tcW w:w="6963" w:type="dxa"/>
            <w:tcBorders>
              <w:top w:val="single" w:color="auto" w:sz="4" w:space="0"/>
              <w:left w:val="single" w:color="auto" w:sz="4" w:space="0"/>
              <w:bottom w:val="single" w:color="auto" w:sz="4" w:space="0"/>
              <w:right w:val="single" w:color="auto" w:sz="4" w:space="0"/>
            </w:tcBorders>
            <w:vAlign w:val="center"/>
          </w:tcPr>
          <w:p w14:paraId="54C40DA0">
            <w:pPr>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详见第五部分</w:t>
            </w:r>
          </w:p>
        </w:tc>
      </w:tr>
      <w:tr w14:paraId="7BEF027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EDBA0D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6</w:t>
            </w:r>
          </w:p>
        </w:tc>
        <w:tc>
          <w:tcPr>
            <w:tcW w:w="1796" w:type="dxa"/>
            <w:tcBorders>
              <w:top w:val="single" w:color="auto" w:sz="4" w:space="0"/>
              <w:left w:val="single" w:color="auto" w:sz="4" w:space="0"/>
              <w:bottom w:val="single" w:color="auto" w:sz="4" w:space="0"/>
              <w:right w:val="single" w:color="auto" w:sz="4" w:space="0"/>
            </w:tcBorders>
            <w:vAlign w:val="center"/>
          </w:tcPr>
          <w:p w14:paraId="7AB687CF">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投标报价</w:t>
            </w:r>
          </w:p>
        </w:tc>
        <w:tc>
          <w:tcPr>
            <w:tcW w:w="6963" w:type="dxa"/>
            <w:tcBorders>
              <w:top w:val="single" w:color="auto" w:sz="4" w:space="0"/>
              <w:left w:val="single" w:color="auto" w:sz="4" w:space="0"/>
              <w:bottom w:val="single" w:color="auto" w:sz="4" w:space="0"/>
              <w:right w:val="single" w:color="auto" w:sz="4" w:space="0"/>
            </w:tcBorders>
            <w:vAlign w:val="center"/>
          </w:tcPr>
          <w:p w14:paraId="47851CD7">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1.投标报价是指一次性报出不得更改的价格；</w:t>
            </w:r>
          </w:p>
          <w:p w14:paraId="58B03BB2">
            <w:pPr>
              <w:adjustRightInd w:val="0"/>
              <w:snapToGrid w:val="0"/>
              <w:spacing w:line="360" w:lineRule="exact"/>
              <w:jc w:val="lef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2.</w:t>
            </w:r>
            <w:r>
              <w:rPr>
                <w:rFonts w:hint="eastAsia" w:ascii="宋体" w:hAnsi="宋体" w:cs="宋体"/>
                <w:b/>
                <w:color w:val="auto"/>
                <w:sz w:val="22"/>
                <w:highlight w:val="none"/>
              </w:rPr>
              <w:t>采用含税人民币报价。</w:t>
            </w:r>
          </w:p>
        </w:tc>
      </w:tr>
      <w:tr w14:paraId="64C998B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B3E712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7</w:t>
            </w:r>
          </w:p>
        </w:tc>
        <w:tc>
          <w:tcPr>
            <w:tcW w:w="1796" w:type="dxa"/>
            <w:tcBorders>
              <w:top w:val="single" w:color="auto" w:sz="4" w:space="0"/>
              <w:left w:val="single" w:color="auto" w:sz="4" w:space="0"/>
              <w:bottom w:val="single" w:color="auto" w:sz="4" w:space="0"/>
              <w:right w:val="single" w:color="auto" w:sz="4" w:space="0"/>
            </w:tcBorders>
            <w:vAlign w:val="center"/>
          </w:tcPr>
          <w:p w14:paraId="45881B52">
            <w:pPr>
              <w:autoSpaceDE w:val="0"/>
              <w:autoSpaceDN w:val="0"/>
              <w:adjustRightInd w:val="0"/>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投标费用</w:t>
            </w:r>
          </w:p>
        </w:tc>
        <w:tc>
          <w:tcPr>
            <w:tcW w:w="6963" w:type="dxa"/>
            <w:tcBorders>
              <w:top w:val="single" w:color="auto" w:sz="4" w:space="0"/>
              <w:left w:val="single" w:color="auto" w:sz="4" w:space="0"/>
              <w:bottom w:val="single" w:color="auto" w:sz="4" w:space="0"/>
              <w:right w:val="single" w:color="auto" w:sz="4" w:space="0"/>
            </w:tcBorders>
            <w:vAlign w:val="center"/>
          </w:tcPr>
          <w:p w14:paraId="118CE212">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不论投标结果如何，投标人均应自行承担所有与投标有关的全部费用</w:t>
            </w:r>
          </w:p>
        </w:tc>
      </w:tr>
      <w:tr w14:paraId="692D0DE1">
        <w:tblPrEx>
          <w:tblCellMar>
            <w:top w:w="0" w:type="dxa"/>
            <w:left w:w="108" w:type="dxa"/>
            <w:bottom w:w="0" w:type="dxa"/>
            <w:right w:w="108" w:type="dxa"/>
          </w:tblCellMar>
        </w:tblPrEx>
        <w:trPr>
          <w:trHeight w:val="490"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24F58073">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8</w:t>
            </w:r>
          </w:p>
        </w:tc>
        <w:tc>
          <w:tcPr>
            <w:tcW w:w="1796" w:type="dxa"/>
            <w:tcBorders>
              <w:top w:val="single" w:color="auto" w:sz="4" w:space="0"/>
              <w:left w:val="single" w:color="auto" w:sz="4" w:space="0"/>
              <w:bottom w:val="single" w:color="auto" w:sz="4" w:space="0"/>
              <w:right w:val="single" w:color="auto" w:sz="4" w:space="0"/>
            </w:tcBorders>
            <w:vAlign w:val="center"/>
          </w:tcPr>
          <w:p w14:paraId="794D83EE">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投标人资格要求</w:t>
            </w:r>
          </w:p>
        </w:tc>
        <w:tc>
          <w:tcPr>
            <w:tcW w:w="6963" w:type="dxa"/>
            <w:tcBorders>
              <w:top w:val="single" w:color="auto" w:sz="4" w:space="0"/>
              <w:left w:val="single" w:color="auto" w:sz="4" w:space="0"/>
              <w:bottom w:val="single" w:color="auto" w:sz="4" w:space="0"/>
              <w:right w:val="single" w:color="auto" w:sz="4" w:space="0"/>
            </w:tcBorders>
            <w:vAlign w:val="center"/>
          </w:tcPr>
          <w:p w14:paraId="2DCB3E98">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sz w:val="22"/>
                <w:highlight w:val="none"/>
              </w:rPr>
              <w:t>详见投标邀请书</w:t>
            </w:r>
          </w:p>
        </w:tc>
      </w:tr>
      <w:tr w14:paraId="472D9A80">
        <w:tblPrEx>
          <w:tblCellMar>
            <w:top w:w="0" w:type="dxa"/>
            <w:left w:w="108" w:type="dxa"/>
            <w:bottom w:w="0" w:type="dxa"/>
            <w:right w:w="108" w:type="dxa"/>
          </w:tblCellMar>
        </w:tblPrEx>
        <w:trPr>
          <w:trHeight w:val="31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07A679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9</w:t>
            </w:r>
          </w:p>
        </w:tc>
        <w:tc>
          <w:tcPr>
            <w:tcW w:w="1796" w:type="dxa"/>
            <w:tcBorders>
              <w:top w:val="single" w:color="auto" w:sz="4" w:space="0"/>
              <w:left w:val="single" w:color="auto" w:sz="4" w:space="0"/>
              <w:bottom w:val="single" w:color="auto" w:sz="4" w:space="0"/>
              <w:right w:val="single" w:color="auto" w:sz="4" w:space="0"/>
            </w:tcBorders>
            <w:vAlign w:val="center"/>
          </w:tcPr>
          <w:p w14:paraId="72E44F63">
            <w:pPr>
              <w:spacing w:line="360" w:lineRule="exact"/>
              <w:jc w:val="center"/>
              <w:rPr>
                <w:rFonts w:ascii="宋体" w:hAnsi="宋体" w:cs="宋体"/>
                <w:color w:val="auto"/>
                <w:kern w:val="0"/>
                <w:sz w:val="22"/>
                <w:highlight w:val="none"/>
                <w:lang w:val="zh-CN"/>
              </w:rPr>
            </w:pPr>
            <w:r>
              <w:rPr>
                <w:rFonts w:hint="eastAsia" w:ascii="宋体" w:hAnsi="宋体" w:cs="宋体"/>
                <w:color w:val="auto"/>
                <w:kern w:val="0"/>
                <w:sz w:val="22"/>
                <w:highlight w:val="none"/>
              </w:rPr>
              <w:t>是否接受联合体投标</w:t>
            </w:r>
          </w:p>
        </w:tc>
        <w:tc>
          <w:tcPr>
            <w:tcW w:w="6963" w:type="dxa"/>
            <w:tcBorders>
              <w:top w:val="single" w:color="auto" w:sz="4" w:space="0"/>
              <w:left w:val="single" w:color="auto" w:sz="4" w:space="0"/>
              <w:bottom w:val="single" w:color="auto" w:sz="4" w:space="0"/>
              <w:right w:val="single" w:color="auto" w:sz="4" w:space="0"/>
            </w:tcBorders>
            <w:vAlign w:val="center"/>
          </w:tcPr>
          <w:p w14:paraId="3BC672C4">
            <w:pPr>
              <w:autoSpaceDE w:val="0"/>
              <w:autoSpaceDN w:val="0"/>
              <w:adjustRightInd w:val="0"/>
              <w:spacing w:line="360" w:lineRule="exact"/>
              <w:jc w:val="left"/>
              <w:rPr>
                <w:rFonts w:ascii="宋体" w:hAnsi="宋体" w:cs="宋体"/>
                <w:color w:val="auto"/>
                <w:kern w:val="0"/>
                <w:sz w:val="22"/>
                <w:highlight w:val="none"/>
                <w:lang w:val="zh-CN"/>
              </w:rPr>
            </w:pPr>
            <w:r>
              <w:rPr>
                <w:rFonts w:hint="eastAsia" w:ascii="宋体" w:hAnsi="宋体" w:cs="宋体"/>
                <w:b/>
                <w:bCs/>
                <w:snapToGrid w:val="0"/>
                <w:color w:val="auto"/>
                <w:sz w:val="22"/>
                <w:highlight w:val="none"/>
              </w:rPr>
              <w:t>不接受</w:t>
            </w:r>
          </w:p>
        </w:tc>
      </w:tr>
      <w:tr w14:paraId="25482EDB">
        <w:tblPrEx>
          <w:tblCellMar>
            <w:top w:w="0" w:type="dxa"/>
            <w:left w:w="108" w:type="dxa"/>
            <w:bottom w:w="0" w:type="dxa"/>
            <w:right w:w="108" w:type="dxa"/>
          </w:tblCellMar>
        </w:tblPrEx>
        <w:trPr>
          <w:trHeight w:val="49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B8CFD6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10</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2AE287FA">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踏勘现场</w:t>
            </w:r>
          </w:p>
        </w:tc>
        <w:tc>
          <w:tcPr>
            <w:tcW w:w="6963" w:type="dxa"/>
            <w:tcBorders>
              <w:top w:val="single" w:color="auto" w:sz="4" w:space="0"/>
              <w:left w:val="single" w:color="auto" w:sz="4" w:space="0"/>
              <w:bottom w:val="single" w:color="auto" w:sz="4" w:space="0"/>
              <w:right w:val="single" w:color="auto" w:sz="4" w:space="0"/>
            </w:tcBorders>
            <w:shd w:val="clear" w:color="auto" w:fill="auto"/>
            <w:vAlign w:val="center"/>
          </w:tcPr>
          <w:p w14:paraId="4F874BB3">
            <w:pPr>
              <w:autoSpaceDE w:val="0"/>
              <w:autoSpaceDN w:val="0"/>
              <w:adjustRightInd w:val="0"/>
              <w:spacing w:line="360" w:lineRule="exact"/>
              <w:rPr>
                <w:rFonts w:ascii="宋体" w:hAnsi="宋体" w:cs="宋体"/>
                <w:b/>
                <w:bCs/>
                <w:snapToGrid w:val="0"/>
                <w:color w:val="auto"/>
                <w:sz w:val="22"/>
                <w:highlight w:val="none"/>
              </w:rPr>
            </w:pPr>
            <w:r>
              <w:rPr>
                <w:rFonts w:hint="eastAsia" w:ascii="宋体" w:hAnsi="宋体" w:cs="宋体"/>
                <w:b/>
                <w:bCs/>
                <w:snapToGrid w:val="0"/>
                <w:color w:val="auto"/>
                <w:sz w:val="22"/>
                <w:highlight w:val="none"/>
              </w:rPr>
              <w:t>自行踏勘：联系人：周老师  联系电话：0577-55870094</w:t>
            </w:r>
          </w:p>
          <w:p w14:paraId="146FEF9E">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b/>
                <w:bCs/>
                <w:snapToGrid w:val="0"/>
                <w:color w:val="auto"/>
                <w:sz w:val="22"/>
                <w:highlight w:val="none"/>
              </w:rPr>
              <w:t>如有需要</w:t>
            </w:r>
            <w:r>
              <w:rPr>
                <w:rFonts w:hint="eastAsia" w:ascii="宋体" w:hAnsi="宋体" w:cs="宋体"/>
                <w:b/>
                <w:bCs/>
                <w:snapToGrid w:val="0"/>
                <w:color w:val="auto"/>
                <w:sz w:val="22"/>
                <w:highlight w:val="none"/>
                <w:lang w:val="zh-CN"/>
              </w:rPr>
              <w:t>供应商自行前往项目现场进行踏勘，</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因现场踏勘影响投标报价、方案编制的，由</w:t>
            </w:r>
            <w:r>
              <w:rPr>
                <w:rFonts w:hint="eastAsia" w:ascii="宋体" w:hAnsi="宋体" w:cs="宋体"/>
                <w:b/>
                <w:bCs/>
                <w:snapToGrid w:val="0"/>
                <w:color w:val="auto"/>
                <w:sz w:val="22"/>
                <w:highlight w:val="none"/>
              </w:rPr>
              <w:t>供应商</w:t>
            </w:r>
            <w:r>
              <w:rPr>
                <w:rFonts w:hint="eastAsia" w:ascii="宋体" w:hAnsi="宋体" w:cs="宋体"/>
                <w:b/>
                <w:bCs/>
                <w:snapToGrid w:val="0"/>
                <w:color w:val="auto"/>
                <w:sz w:val="22"/>
                <w:highlight w:val="none"/>
                <w:lang w:val="zh-CN"/>
              </w:rPr>
              <w:t>自行承担。因供应商自身不能参加现场勘察或现场踏勘不全面的，供应商不得因此提出修改投标报价或提出索赔等要求。</w:t>
            </w:r>
          </w:p>
        </w:tc>
      </w:tr>
      <w:tr w14:paraId="4D0D6ADA">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5D3A52B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11</w:t>
            </w:r>
          </w:p>
        </w:tc>
        <w:tc>
          <w:tcPr>
            <w:tcW w:w="1796" w:type="dxa"/>
            <w:tcBorders>
              <w:top w:val="single" w:color="auto" w:sz="4" w:space="0"/>
              <w:left w:val="single" w:color="auto" w:sz="4" w:space="0"/>
              <w:bottom w:val="single" w:color="auto" w:sz="4" w:space="0"/>
              <w:right w:val="single" w:color="auto" w:sz="4" w:space="0"/>
            </w:tcBorders>
            <w:vAlign w:val="center"/>
          </w:tcPr>
          <w:p w14:paraId="2183F114">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投标预备会</w:t>
            </w:r>
          </w:p>
        </w:tc>
        <w:tc>
          <w:tcPr>
            <w:tcW w:w="6963" w:type="dxa"/>
            <w:tcBorders>
              <w:top w:val="single" w:color="auto" w:sz="4" w:space="0"/>
              <w:left w:val="single" w:color="auto" w:sz="4" w:space="0"/>
              <w:bottom w:val="single" w:color="auto" w:sz="4" w:space="0"/>
              <w:right w:val="single" w:color="auto" w:sz="4" w:space="0"/>
            </w:tcBorders>
            <w:vAlign w:val="center"/>
          </w:tcPr>
          <w:p w14:paraId="5DC44163">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不召开</w:t>
            </w:r>
          </w:p>
        </w:tc>
      </w:tr>
      <w:tr w14:paraId="3F48EA78">
        <w:tblPrEx>
          <w:tblCellMar>
            <w:top w:w="0" w:type="dxa"/>
            <w:left w:w="108" w:type="dxa"/>
            <w:bottom w:w="0" w:type="dxa"/>
            <w:right w:w="108" w:type="dxa"/>
          </w:tblCellMar>
        </w:tblPrEx>
        <w:trPr>
          <w:trHeight w:val="43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6C8F8A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12</w:t>
            </w:r>
          </w:p>
        </w:tc>
        <w:tc>
          <w:tcPr>
            <w:tcW w:w="1796" w:type="dxa"/>
            <w:tcBorders>
              <w:top w:val="single" w:color="auto" w:sz="4" w:space="0"/>
              <w:left w:val="single" w:color="auto" w:sz="4" w:space="0"/>
              <w:bottom w:val="single" w:color="auto" w:sz="4" w:space="0"/>
              <w:right w:val="single" w:color="auto" w:sz="4" w:space="0"/>
            </w:tcBorders>
            <w:vAlign w:val="center"/>
          </w:tcPr>
          <w:p w14:paraId="36F7CEC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分包和转包</w:t>
            </w:r>
          </w:p>
        </w:tc>
        <w:tc>
          <w:tcPr>
            <w:tcW w:w="6963" w:type="dxa"/>
            <w:tcBorders>
              <w:top w:val="single" w:color="auto" w:sz="4" w:space="0"/>
              <w:left w:val="single" w:color="auto" w:sz="4" w:space="0"/>
              <w:bottom w:val="single" w:color="auto" w:sz="4" w:space="0"/>
              <w:right w:val="single" w:color="auto" w:sz="4" w:space="0"/>
            </w:tcBorders>
            <w:vAlign w:val="center"/>
          </w:tcPr>
          <w:p w14:paraId="5BC44CEE">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1.</w:t>
            </w:r>
            <w:r>
              <w:rPr>
                <w:rFonts w:hint="eastAsia" w:ascii="宋体" w:hAnsi="宋体" w:cs="宋体"/>
                <w:color w:val="auto"/>
                <w:kern w:val="0"/>
                <w:sz w:val="22"/>
                <w:highlight w:val="none"/>
                <w:lang w:val="zh-CN"/>
              </w:rPr>
              <w:t>本项目不允许转包</w:t>
            </w:r>
          </w:p>
          <w:p w14:paraId="14C83FD9">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kern w:val="0"/>
                <w:sz w:val="22"/>
                <w:highlight w:val="none"/>
              </w:rPr>
              <w:t>2.分包</w:t>
            </w:r>
          </w:p>
          <w:p w14:paraId="61462532">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2.1投标人根据招标文件的规定和采购项目的实际情况，拟在中标后将中标项目的非主体、非关键性工作分包的，应当在投标文件中载明分包承担主体，分包承担主体应当具备相应资质条件且不得再次分包。</w:t>
            </w:r>
          </w:p>
          <w:p w14:paraId="5B0DE64C">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rPr>
              <w:t>2.2</w:t>
            </w:r>
            <w:r>
              <w:rPr>
                <w:rFonts w:hint="eastAsia" w:ascii="宋体" w:hAnsi="宋体" w:cs="宋体"/>
                <w:color w:val="auto"/>
                <w:kern w:val="0"/>
                <w:sz w:val="22"/>
                <w:highlight w:val="none"/>
                <w:lang w:val="zh-CN"/>
              </w:rPr>
              <w:t>当分包份额占到合同总金额100%时，视为转包。此情况根据《中华人民共和国政府采购法实施条例》（国务院令第658号）文件第七十二条规定，将依照政府采购法第七十七条第一款的规定追究相应法律责任。</w:t>
            </w:r>
          </w:p>
        </w:tc>
      </w:tr>
      <w:tr w14:paraId="3C9CD738">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B57D6E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13</w:t>
            </w:r>
          </w:p>
        </w:tc>
        <w:tc>
          <w:tcPr>
            <w:tcW w:w="1796" w:type="dxa"/>
            <w:tcBorders>
              <w:top w:val="single" w:color="auto" w:sz="4" w:space="0"/>
              <w:left w:val="single" w:color="auto" w:sz="4" w:space="0"/>
              <w:bottom w:val="single" w:color="auto" w:sz="4" w:space="0"/>
              <w:right w:val="single" w:color="auto" w:sz="4" w:space="0"/>
            </w:tcBorders>
            <w:vAlign w:val="center"/>
          </w:tcPr>
          <w:p w14:paraId="23DC6FE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偏离</w:t>
            </w:r>
          </w:p>
        </w:tc>
        <w:tc>
          <w:tcPr>
            <w:tcW w:w="6963" w:type="dxa"/>
            <w:tcBorders>
              <w:top w:val="single" w:color="auto" w:sz="4" w:space="0"/>
              <w:left w:val="single" w:color="auto" w:sz="4" w:space="0"/>
              <w:bottom w:val="single" w:color="auto" w:sz="4" w:space="0"/>
              <w:right w:val="single" w:color="auto" w:sz="4" w:space="0"/>
            </w:tcBorders>
            <w:vAlign w:val="center"/>
          </w:tcPr>
          <w:p w14:paraId="5ABDC0DD">
            <w:pPr>
              <w:autoSpaceDE w:val="0"/>
              <w:autoSpaceDN w:val="0"/>
              <w:adjustRightInd w:val="0"/>
              <w:spacing w:line="360" w:lineRule="exact"/>
              <w:rPr>
                <w:rFonts w:ascii="宋体" w:hAnsi="宋体" w:cs="宋体"/>
                <w:color w:val="auto"/>
                <w:kern w:val="0"/>
                <w:sz w:val="22"/>
                <w:highlight w:val="none"/>
                <w:lang w:val="zh-CN"/>
              </w:rPr>
            </w:pPr>
            <w:r>
              <w:rPr>
                <w:rFonts w:hint="eastAsia" w:ascii="宋体" w:hAnsi="宋体" w:cs="宋体"/>
                <w:color w:val="auto"/>
                <w:kern w:val="0"/>
                <w:sz w:val="22"/>
                <w:highlight w:val="none"/>
                <w:lang w:val="zh-CN"/>
              </w:rPr>
              <w:t>偏差允许幅度及其处理方法：允许细微偏差，不允许重大偏差。由评审小组判断，细微偏差要求投标人在评标结束前予以澄清、说明或补正，不接受要求进行的，评审小组有权做投标无效处理，详见评标办法。</w:t>
            </w:r>
          </w:p>
        </w:tc>
      </w:tr>
      <w:tr w14:paraId="7D18A2F4">
        <w:tblPrEx>
          <w:tblCellMar>
            <w:top w:w="0" w:type="dxa"/>
            <w:left w:w="108" w:type="dxa"/>
            <w:bottom w:w="0" w:type="dxa"/>
            <w:right w:w="108" w:type="dxa"/>
          </w:tblCellMar>
        </w:tblPrEx>
        <w:trPr>
          <w:trHeight w:val="51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7F95FA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14</w:t>
            </w:r>
          </w:p>
        </w:tc>
        <w:tc>
          <w:tcPr>
            <w:tcW w:w="1796" w:type="dxa"/>
            <w:tcBorders>
              <w:top w:val="single" w:color="auto" w:sz="4" w:space="0"/>
              <w:left w:val="single" w:color="auto" w:sz="4" w:space="0"/>
              <w:bottom w:val="single" w:color="auto" w:sz="4" w:space="0"/>
              <w:right w:val="single" w:color="auto" w:sz="4" w:space="0"/>
            </w:tcBorders>
            <w:vAlign w:val="center"/>
          </w:tcPr>
          <w:p w14:paraId="64D6669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投标有效期</w:t>
            </w:r>
          </w:p>
        </w:tc>
        <w:tc>
          <w:tcPr>
            <w:tcW w:w="6963" w:type="dxa"/>
            <w:tcBorders>
              <w:top w:val="single" w:color="auto" w:sz="4" w:space="0"/>
              <w:left w:val="single" w:color="auto" w:sz="4" w:space="0"/>
              <w:bottom w:val="single" w:color="auto" w:sz="4" w:space="0"/>
              <w:right w:val="single" w:color="auto" w:sz="4" w:space="0"/>
            </w:tcBorders>
            <w:vAlign w:val="center"/>
          </w:tcPr>
          <w:p w14:paraId="102BD860">
            <w:pPr>
              <w:widowControl/>
              <w:spacing w:line="360" w:lineRule="exact"/>
              <w:rPr>
                <w:rFonts w:ascii="宋体" w:hAnsi="宋体" w:cs="宋体"/>
                <w:color w:val="auto"/>
                <w:sz w:val="22"/>
                <w:highlight w:val="none"/>
                <w:lang w:val="zh-CN"/>
              </w:rPr>
            </w:pPr>
            <w:r>
              <w:rPr>
                <w:rFonts w:hint="eastAsia" w:ascii="宋体" w:hAnsi="宋体" w:cs="宋体"/>
                <w:color w:val="auto"/>
                <w:sz w:val="22"/>
                <w:highlight w:val="none"/>
              </w:rPr>
              <w:t>从提交投标文件的截止时间之日起90天。</w:t>
            </w:r>
          </w:p>
        </w:tc>
      </w:tr>
      <w:tr w14:paraId="17F4808B">
        <w:tblPrEx>
          <w:tblCellMar>
            <w:top w:w="0" w:type="dxa"/>
            <w:left w:w="108" w:type="dxa"/>
            <w:bottom w:w="0" w:type="dxa"/>
            <w:right w:w="108" w:type="dxa"/>
          </w:tblCellMar>
        </w:tblPrEx>
        <w:trPr>
          <w:trHeight w:val="482"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53060C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15</w:t>
            </w:r>
          </w:p>
        </w:tc>
        <w:tc>
          <w:tcPr>
            <w:tcW w:w="1796" w:type="dxa"/>
            <w:tcBorders>
              <w:top w:val="single" w:color="auto" w:sz="4" w:space="0"/>
              <w:left w:val="single" w:color="auto" w:sz="4" w:space="0"/>
              <w:bottom w:val="single" w:color="auto" w:sz="4" w:space="0"/>
              <w:right w:val="single" w:color="auto" w:sz="4" w:space="0"/>
            </w:tcBorders>
            <w:vAlign w:val="center"/>
          </w:tcPr>
          <w:p w14:paraId="1BFE838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投标保证金</w:t>
            </w:r>
          </w:p>
        </w:tc>
        <w:tc>
          <w:tcPr>
            <w:tcW w:w="6963" w:type="dxa"/>
            <w:tcBorders>
              <w:top w:val="single" w:color="auto" w:sz="4" w:space="0"/>
              <w:left w:val="single" w:color="auto" w:sz="4" w:space="0"/>
              <w:bottom w:val="single" w:color="auto" w:sz="4" w:space="0"/>
              <w:right w:val="single" w:color="auto" w:sz="4" w:space="0"/>
            </w:tcBorders>
            <w:vAlign w:val="center"/>
          </w:tcPr>
          <w:p w14:paraId="0E095AFE">
            <w:pPr>
              <w:widowControl/>
              <w:spacing w:line="360" w:lineRule="exact"/>
              <w:rPr>
                <w:rFonts w:ascii="宋体" w:hAnsi="宋体" w:cs="宋体"/>
                <w:color w:val="auto"/>
                <w:sz w:val="22"/>
                <w:highlight w:val="none"/>
              </w:rPr>
            </w:pPr>
            <w:r>
              <w:rPr>
                <w:rFonts w:hint="eastAsia" w:ascii="宋体" w:hAnsi="宋体" w:cs="宋体"/>
                <w:color w:val="auto"/>
                <w:sz w:val="22"/>
                <w:highlight w:val="none"/>
              </w:rPr>
              <w:t>无</w:t>
            </w:r>
          </w:p>
        </w:tc>
      </w:tr>
      <w:tr w14:paraId="5148D7E2">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19F405CD">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14:paraId="418F50E1">
            <w:pPr>
              <w:snapToGrid w:val="0"/>
              <w:spacing w:line="360" w:lineRule="exact"/>
              <w:jc w:val="left"/>
              <w:rPr>
                <w:rFonts w:ascii="宋体" w:hAnsi="宋体" w:cs="宋体"/>
                <w:color w:val="auto"/>
                <w:kern w:val="0"/>
                <w:sz w:val="22"/>
                <w:highlight w:val="none"/>
              </w:rPr>
            </w:pPr>
            <w:r>
              <w:rPr>
                <w:rFonts w:hint="eastAsia" w:ascii="宋体" w:hAnsi="宋体" w:cs="宋体"/>
                <w:b/>
                <w:bCs/>
                <w:color w:val="auto"/>
                <w:kern w:val="0"/>
                <w:sz w:val="22"/>
                <w:highlight w:val="none"/>
              </w:rPr>
              <w:t>投标文件形式、制作及组成</w:t>
            </w:r>
          </w:p>
        </w:tc>
        <w:tc>
          <w:tcPr>
            <w:tcW w:w="6963" w:type="dxa"/>
            <w:tcBorders>
              <w:top w:val="single" w:color="auto" w:sz="4" w:space="0"/>
              <w:left w:val="single" w:color="auto" w:sz="4" w:space="0"/>
              <w:bottom w:val="single" w:color="auto" w:sz="4" w:space="0"/>
              <w:right w:val="single" w:color="auto" w:sz="4" w:space="0"/>
            </w:tcBorders>
            <w:vAlign w:val="center"/>
          </w:tcPr>
          <w:p w14:paraId="321EA58D">
            <w:pPr>
              <w:pStyle w:val="17"/>
              <w:snapToGrid w:val="0"/>
              <w:spacing w:line="360" w:lineRule="exact"/>
              <w:rPr>
                <w:rFonts w:hAnsi="宋体" w:cs="宋体"/>
                <w:b/>
                <w:bCs/>
                <w:color w:val="auto"/>
                <w:sz w:val="22"/>
                <w:highlight w:val="none"/>
              </w:rPr>
            </w:pPr>
            <w:r>
              <w:rPr>
                <w:rFonts w:hint="eastAsia" w:hAnsi="宋体" w:cs="宋体"/>
                <w:b/>
                <w:bCs/>
                <w:color w:val="auto"/>
                <w:sz w:val="22"/>
                <w:highlight w:val="none"/>
              </w:rPr>
              <w:t>本项目实行网上电子投标。</w:t>
            </w:r>
          </w:p>
          <w:p w14:paraId="5CC1D595">
            <w:pPr>
              <w:pStyle w:val="17"/>
              <w:snapToGrid w:val="0"/>
              <w:spacing w:line="360" w:lineRule="exact"/>
              <w:rPr>
                <w:rFonts w:hAnsi="宋体" w:cs="宋体"/>
                <w:b/>
                <w:bCs/>
                <w:color w:val="auto"/>
                <w:sz w:val="22"/>
                <w:highlight w:val="none"/>
              </w:rPr>
            </w:pPr>
            <w:r>
              <w:rPr>
                <w:rFonts w:hint="eastAsia" w:hAnsi="宋体" w:cs="宋体"/>
                <w:b/>
                <w:bCs/>
                <w:color w:val="auto"/>
                <w:sz w:val="22"/>
                <w:highlight w:val="none"/>
              </w:rPr>
              <w:t>投标人应准备电子投标文件、以介质存储的数据电文形式的备份投标文件二类：</w:t>
            </w:r>
          </w:p>
          <w:p w14:paraId="132B9A49">
            <w:pPr>
              <w:pStyle w:val="17"/>
              <w:snapToGrid w:val="0"/>
              <w:spacing w:line="360" w:lineRule="exact"/>
              <w:ind w:firstLine="221" w:firstLineChars="100"/>
              <w:rPr>
                <w:rFonts w:hAnsi="宋体" w:cs="宋体"/>
                <w:b/>
                <w:bCs/>
                <w:color w:val="auto"/>
                <w:sz w:val="22"/>
                <w:highlight w:val="none"/>
              </w:rPr>
            </w:pPr>
            <w:r>
              <w:rPr>
                <w:rFonts w:hint="eastAsia" w:hAnsi="宋体" w:cs="宋体"/>
                <w:b/>
                <w:bCs/>
                <w:color w:val="auto"/>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color w:val="auto"/>
                <w:sz w:val="22"/>
                <w:highlight w:val="none"/>
                <w:lang w:val="zh-CN"/>
              </w:rPr>
              <w:t>。</w:t>
            </w:r>
          </w:p>
          <w:p w14:paraId="0ACA9E3E">
            <w:pPr>
              <w:spacing w:line="360" w:lineRule="exact"/>
              <w:ind w:firstLine="221" w:firstLineChars="100"/>
              <w:rPr>
                <w:rFonts w:ascii="宋体" w:hAnsi="宋体" w:cs="宋体"/>
                <w:b/>
                <w:bCs/>
                <w:color w:val="auto"/>
                <w:sz w:val="22"/>
                <w:highlight w:val="none"/>
              </w:rPr>
            </w:pPr>
            <w:r>
              <w:rPr>
                <w:rFonts w:hint="eastAsia" w:ascii="宋体" w:hAnsi="宋体" w:cs="宋体"/>
                <w:b/>
                <w:bCs/>
                <w:color w:val="auto"/>
                <w:sz w:val="22"/>
                <w:highlight w:val="none"/>
              </w:rPr>
              <w:t>（2）以介质存储的数据电文形式的备份投标文件（如有）：</w:t>
            </w:r>
            <w:r>
              <w:rPr>
                <w:rStyle w:val="36"/>
                <w:rFonts w:hint="eastAsia" w:ascii="宋体" w:hAnsi="宋体" w:cs="宋体"/>
                <w:bCs/>
                <w:color w:val="auto"/>
                <w:sz w:val="22"/>
                <w:highlight w:val="none"/>
              </w:rPr>
              <w:t>与“电子投标文件”同时生成的数据电文形式的备份投标文件(文件扩展名为.bfbs)</w:t>
            </w:r>
            <w:r>
              <w:rPr>
                <w:rFonts w:hint="eastAsia" w:ascii="宋体" w:hAnsi="宋体" w:cs="宋体"/>
                <w:b/>
                <w:bCs/>
                <w:color w:val="auto"/>
                <w:sz w:val="22"/>
                <w:highlight w:val="none"/>
              </w:rPr>
              <w:t>，投标文件提交截止时间前以</w:t>
            </w:r>
            <w:r>
              <w:rPr>
                <w:rFonts w:hint="eastAsia" w:ascii="宋体" w:hAnsi="宋体" w:cs="宋体"/>
                <w:b/>
                <w:bCs/>
                <w:color w:val="auto"/>
                <w:sz w:val="22"/>
                <w:highlight w:val="none"/>
                <w:lang w:val="zh-CN"/>
              </w:rPr>
              <w:t>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6"/>
                <w:rFonts w:hint="eastAsia" w:ascii="宋体" w:hAnsi="宋体" w:cs="宋体"/>
                <w:bCs/>
                <w:color w:val="auto"/>
                <w:sz w:val="22"/>
                <w:highlight w:val="none"/>
              </w:rPr>
              <w:t>。</w:t>
            </w:r>
          </w:p>
          <w:p w14:paraId="1A255B16">
            <w:pPr>
              <w:pStyle w:val="17"/>
              <w:snapToGrid w:val="0"/>
              <w:spacing w:line="360" w:lineRule="exact"/>
              <w:rPr>
                <w:rFonts w:hAnsi="宋体" w:cs="宋体"/>
                <w:b/>
                <w:bCs/>
                <w:color w:val="auto"/>
                <w:sz w:val="22"/>
                <w:highlight w:val="none"/>
              </w:rPr>
            </w:pPr>
            <w:r>
              <w:rPr>
                <w:rFonts w:hint="eastAsia" w:hAnsi="宋体" w:cs="宋体"/>
                <w:b/>
                <w:bCs/>
                <w:color w:val="auto"/>
                <w:sz w:val="22"/>
                <w:highlight w:val="none"/>
              </w:rPr>
              <w:t>投标文件由报价文件、资格文件、商务和技术文件三部分组成。</w:t>
            </w:r>
          </w:p>
          <w:p w14:paraId="26241510">
            <w:pPr>
              <w:pStyle w:val="17"/>
              <w:snapToGrid w:val="0"/>
              <w:spacing w:line="360" w:lineRule="exact"/>
              <w:rPr>
                <w:rFonts w:hAnsi="宋体" w:cs="宋体"/>
                <w:b/>
                <w:bCs/>
                <w:color w:val="auto"/>
                <w:sz w:val="22"/>
                <w:highlight w:val="none"/>
                <w:lang w:val="zh-CN"/>
              </w:rPr>
            </w:pPr>
            <w:r>
              <w:rPr>
                <w:rFonts w:hint="eastAsia" w:hAnsi="宋体" w:cs="宋体"/>
                <w:b/>
                <w:bCs/>
                <w:color w:val="auto"/>
                <w:sz w:val="22"/>
                <w:highlight w:val="none"/>
              </w:rPr>
              <w:t>注：中标人在领取中标通知书时按采购人要求提供全套纸质投标文件叁份。</w:t>
            </w:r>
          </w:p>
        </w:tc>
      </w:tr>
      <w:tr w14:paraId="2496DF6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28EE77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14:paraId="6F52D5C9">
            <w:pPr>
              <w:jc w:val="left"/>
              <w:rPr>
                <w:rFonts w:ascii="宋体" w:hAnsi="宋体" w:cs="宋体"/>
                <w:b/>
                <w:bCs/>
                <w:color w:val="auto"/>
                <w:kern w:val="0"/>
                <w:sz w:val="22"/>
                <w:highlight w:val="none"/>
              </w:rPr>
            </w:pPr>
            <w:r>
              <w:rPr>
                <w:rFonts w:hint="eastAsia" w:ascii="宋体" w:hAnsi="宋体" w:cs="宋体"/>
                <w:color w:val="auto"/>
                <w:kern w:val="0"/>
                <w:sz w:val="22"/>
                <w:highlight w:val="none"/>
              </w:rPr>
              <w:t>电子招投标特殊情况处理方式</w:t>
            </w:r>
          </w:p>
        </w:tc>
        <w:tc>
          <w:tcPr>
            <w:tcW w:w="6963" w:type="dxa"/>
            <w:tcBorders>
              <w:top w:val="single" w:color="auto" w:sz="4" w:space="0"/>
              <w:left w:val="single" w:color="auto" w:sz="4" w:space="0"/>
              <w:bottom w:val="single" w:color="auto" w:sz="4" w:space="0"/>
              <w:right w:val="single" w:color="auto" w:sz="4" w:space="0"/>
            </w:tcBorders>
            <w:vAlign w:val="center"/>
          </w:tcPr>
          <w:p w14:paraId="57E06F23">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本项目原则上采用政采云电子招投标开标及评审程序，但有以下情形之一的，按以下情况处理：</w:t>
            </w:r>
          </w:p>
          <w:p w14:paraId="581479F0">
            <w:pPr>
              <w:spacing w:line="360" w:lineRule="exact"/>
              <w:rPr>
                <w:rFonts w:ascii="宋体" w:hAnsi="宋体" w:cs="宋体"/>
                <w:b/>
                <w:bCs/>
                <w:color w:val="auto"/>
                <w:sz w:val="22"/>
                <w:highlight w:val="none"/>
                <w:lang w:val="zh-CN"/>
              </w:rPr>
            </w:pPr>
            <w:r>
              <w:rPr>
                <w:rFonts w:hint="eastAsia" w:ascii="宋体" w:hAnsi="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14:paraId="318F834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B06405F">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49E06C4E">
            <w:pPr>
              <w:jc w:val="center"/>
              <w:rPr>
                <w:rFonts w:ascii="宋体" w:hAnsi="宋体" w:cs="宋体"/>
                <w:color w:val="auto"/>
                <w:kern w:val="0"/>
                <w:sz w:val="22"/>
                <w:highlight w:val="none"/>
              </w:rPr>
            </w:pPr>
            <w:r>
              <w:rPr>
                <w:rFonts w:hint="eastAsia" w:ascii="宋体" w:hAnsi="宋体" w:cs="宋体"/>
                <w:b/>
                <w:bCs/>
                <w:color w:val="auto"/>
                <w:sz w:val="22"/>
                <w:highlight w:val="none"/>
              </w:rPr>
              <w:t>投标委托</w:t>
            </w:r>
          </w:p>
        </w:tc>
        <w:tc>
          <w:tcPr>
            <w:tcW w:w="6963" w:type="dxa"/>
            <w:tcBorders>
              <w:top w:val="single" w:color="auto" w:sz="4" w:space="0"/>
              <w:left w:val="single" w:color="auto" w:sz="4" w:space="0"/>
              <w:bottom w:val="single" w:color="auto" w:sz="4" w:space="0"/>
              <w:right w:val="single" w:color="auto" w:sz="4" w:space="0"/>
            </w:tcBorders>
            <w:shd w:val="clear" w:color="auto" w:fill="auto"/>
            <w:vAlign w:val="center"/>
          </w:tcPr>
          <w:p w14:paraId="41A7C67A">
            <w:p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1.投标委托：</w:t>
            </w:r>
          </w:p>
          <w:p w14:paraId="5C75FD80">
            <w:pPr>
              <w:spacing w:line="360" w:lineRule="exact"/>
              <w:jc w:val="left"/>
              <w:rPr>
                <w:rFonts w:ascii="宋体" w:hAnsi="宋体" w:cs="宋体"/>
                <w:b/>
                <w:bCs/>
                <w:color w:val="auto"/>
                <w:sz w:val="22"/>
                <w:highlight w:val="none"/>
              </w:rPr>
            </w:pPr>
            <w:r>
              <w:rPr>
                <w:rFonts w:hint="eastAsia" w:ascii="宋体" w:hAnsi="宋体" w:cs="宋体"/>
                <w:b/>
                <w:bCs/>
                <w:color w:val="auto"/>
                <w:sz w:val="22"/>
                <w:highlight w:val="none"/>
              </w:rPr>
              <w:t>1.1投标人代表是法定代表人（单位负责人、自然人本人）的，提供法定代表人资格证明书（格式见招标文件第</w:t>
            </w:r>
            <w:r>
              <w:rPr>
                <w:rFonts w:hint="eastAsia" w:ascii="宋体" w:hAnsi="宋体" w:cs="宋体"/>
                <w:b/>
                <w:bCs/>
                <w:color w:val="auto"/>
                <w:kern w:val="0"/>
                <w:sz w:val="22"/>
                <w:highlight w:val="none"/>
              </w:rPr>
              <w:t>四</w:t>
            </w:r>
            <w:r>
              <w:rPr>
                <w:rFonts w:hint="eastAsia" w:ascii="宋体" w:hAnsi="宋体" w:cs="宋体"/>
                <w:b/>
                <w:bCs/>
                <w:color w:val="auto"/>
                <w:sz w:val="22"/>
                <w:highlight w:val="none"/>
              </w:rPr>
              <w:t>部分）。</w:t>
            </w:r>
          </w:p>
          <w:p w14:paraId="358B06C5">
            <w:pPr>
              <w:spacing w:line="360" w:lineRule="exact"/>
              <w:jc w:val="left"/>
              <w:rPr>
                <w:rFonts w:ascii="宋体" w:hAnsi="宋体" w:cs="宋体"/>
                <w:b/>
                <w:bCs/>
                <w:color w:val="auto"/>
                <w:sz w:val="22"/>
                <w:highlight w:val="none"/>
                <w:lang w:val="zh-CN"/>
              </w:rPr>
            </w:pPr>
            <w:r>
              <w:rPr>
                <w:rFonts w:hint="eastAsia" w:ascii="宋体" w:hAnsi="宋体" w:cs="宋体"/>
                <w:b/>
                <w:bCs/>
                <w:color w:val="auto"/>
                <w:sz w:val="22"/>
                <w:highlight w:val="none"/>
                <w:u w:val="single"/>
              </w:rPr>
              <w:t>▲1.2投标人代表不是法定代表人（单位负责人、自然人本人）的，</w:t>
            </w:r>
            <w:r>
              <w:rPr>
                <w:rFonts w:hint="eastAsia" w:ascii="宋体" w:hAnsi="宋体" w:cs="宋体"/>
                <w:b/>
                <w:bCs/>
                <w:color w:val="auto"/>
                <w:kern w:val="0"/>
                <w:sz w:val="22"/>
                <w:highlight w:val="none"/>
                <w:u w:val="single"/>
              </w:rPr>
              <w:t>投标人授权代表必须为投标人本单位在职职工，</w:t>
            </w:r>
            <w:r>
              <w:rPr>
                <w:rFonts w:hint="eastAsia" w:ascii="宋体" w:hAnsi="宋体" w:cs="宋体"/>
                <w:b/>
                <w:bCs/>
                <w:color w:val="auto"/>
                <w:sz w:val="22"/>
                <w:highlight w:val="none"/>
                <w:u w:val="single"/>
              </w:rPr>
              <w:t>提供授权委托书（格式见招标文件第</w:t>
            </w:r>
            <w:r>
              <w:rPr>
                <w:rFonts w:hint="eastAsia" w:ascii="宋体" w:hAnsi="宋体" w:cs="宋体"/>
                <w:b/>
                <w:bCs/>
                <w:color w:val="auto"/>
                <w:kern w:val="0"/>
                <w:sz w:val="22"/>
                <w:highlight w:val="none"/>
                <w:u w:val="single"/>
              </w:rPr>
              <w:t>四</w:t>
            </w:r>
            <w:r>
              <w:rPr>
                <w:rFonts w:hint="eastAsia" w:ascii="宋体" w:hAnsi="宋体" w:cs="宋体"/>
                <w:b/>
                <w:bCs/>
                <w:color w:val="auto"/>
                <w:sz w:val="22"/>
                <w:highlight w:val="none"/>
                <w:u w:val="single"/>
              </w:rPr>
              <w:t>部分）和授权代表社保缴纳证明（2024年10月01日（含）至本项目投标文件提交截止时间止任意一月）</w:t>
            </w:r>
            <w:r>
              <w:rPr>
                <w:rFonts w:hint="eastAsia" w:ascii="宋体" w:hAnsi="宋体" w:cs="宋体"/>
                <w:b/>
                <w:bCs/>
                <w:color w:val="auto"/>
                <w:kern w:val="0"/>
                <w:sz w:val="22"/>
                <w:highlight w:val="none"/>
                <w:u w:val="single"/>
              </w:rPr>
              <w:t>或有效的劳务合同复印件</w:t>
            </w:r>
            <w:r>
              <w:rPr>
                <w:rFonts w:hint="eastAsia" w:ascii="宋体" w:hAnsi="宋体" w:cs="宋体"/>
                <w:b/>
                <w:bCs/>
                <w:color w:val="auto"/>
                <w:sz w:val="22"/>
                <w:highlight w:val="none"/>
                <w:u w:val="single"/>
              </w:rPr>
              <w:t>；</w:t>
            </w:r>
          </w:p>
        </w:tc>
      </w:tr>
      <w:tr w14:paraId="7A9A05C9">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69AC91E9">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vAlign w:val="center"/>
          </w:tcPr>
          <w:p w14:paraId="1C66844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评审小组的组建</w:t>
            </w:r>
          </w:p>
        </w:tc>
        <w:tc>
          <w:tcPr>
            <w:tcW w:w="6963" w:type="dxa"/>
            <w:tcBorders>
              <w:top w:val="single" w:color="auto" w:sz="4" w:space="0"/>
              <w:left w:val="single" w:color="auto" w:sz="4" w:space="0"/>
              <w:bottom w:val="single" w:color="auto" w:sz="4" w:space="0"/>
              <w:right w:val="single" w:color="auto" w:sz="4" w:space="0"/>
            </w:tcBorders>
            <w:vAlign w:val="center"/>
          </w:tcPr>
          <w:p w14:paraId="23EDF343">
            <w:pPr>
              <w:autoSpaceDE w:val="0"/>
              <w:autoSpaceDN w:val="0"/>
              <w:adjustRightInd w:val="0"/>
              <w:spacing w:line="360" w:lineRule="exact"/>
              <w:ind w:firstLine="31"/>
              <w:rPr>
                <w:rFonts w:ascii="宋体" w:hAnsi="宋体" w:cs="宋体"/>
                <w:color w:val="auto"/>
                <w:sz w:val="22"/>
                <w:highlight w:val="none"/>
                <w:lang w:val="zh-CN"/>
              </w:rPr>
            </w:pPr>
            <w:r>
              <w:rPr>
                <w:rFonts w:hint="eastAsia" w:ascii="宋体" w:hAnsi="宋体" w:cs="宋体"/>
                <w:color w:val="auto"/>
                <w:kern w:val="0"/>
                <w:sz w:val="22"/>
                <w:highlight w:val="none"/>
                <w:lang w:val="zh-CN"/>
              </w:rPr>
              <w:t>评审小组成员由采购人代表和有关技术、经济等方面的专家组成，有关技术、经济等方面的专家成员人数为</w:t>
            </w:r>
            <w:r>
              <w:rPr>
                <w:rFonts w:hint="eastAsia" w:ascii="宋体" w:hAnsi="宋体" w:cs="宋体"/>
                <w:color w:val="auto"/>
                <w:kern w:val="0"/>
                <w:sz w:val="22"/>
                <w:highlight w:val="none"/>
              </w:rPr>
              <w:t>3</w:t>
            </w:r>
            <w:r>
              <w:rPr>
                <w:rFonts w:hint="eastAsia" w:ascii="宋体" w:hAnsi="宋体" w:cs="宋体"/>
                <w:color w:val="auto"/>
                <w:kern w:val="0"/>
                <w:sz w:val="22"/>
                <w:highlight w:val="none"/>
                <w:lang w:val="zh-CN"/>
              </w:rPr>
              <w:t>人及以上单数，除采购人代表外的专家将按有关规定随机抽取产生。</w:t>
            </w:r>
          </w:p>
        </w:tc>
      </w:tr>
      <w:tr w14:paraId="0F13C50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1DCF5EC">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19</w:t>
            </w:r>
          </w:p>
        </w:tc>
        <w:tc>
          <w:tcPr>
            <w:tcW w:w="1796" w:type="dxa"/>
            <w:tcBorders>
              <w:top w:val="single" w:color="auto" w:sz="4" w:space="0"/>
              <w:left w:val="single" w:color="auto" w:sz="4" w:space="0"/>
              <w:bottom w:val="single" w:color="auto" w:sz="4" w:space="0"/>
              <w:right w:val="single" w:color="auto" w:sz="4" w:space="0"/>
            </w:tcBorders>
            <w:vAlign w:val="center"/>
          </w:tcPr>
          <w:p w14:paraId="14D302A1">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评审地点</w:t>
            </w:r>
          </w:p>
        </w:tc>
        <w:tc>
          <w:tcPr>
            <w:tcW w:w="6963" w:type="dxa"/>
            <w:tcBorders>
              <w:top w:val="single" w:color="auto" w:sz="4" w:space="0"/>
              <w:left w:val="single" w:color="auto" w:sz="4" w:space="0"/>
              <w:bottom w:val="single" w:color="auto" w:sz="4" w:space="0"/>
              <w:right w:val="single" w:color="auto" w:sz="4" w:space="0"/>
            </w:tcBorders>
            <w:vAlign w:val="center"/>
          </w:tcPr>
          <w:p w14:paraId="7E188E30">
            <w:pPr>
              <w:autoSpaceDE w:val="0"/>
              <w:autoSpaceDN w:val="0"/>
              <w:adjustRightInd w:val="0"/>
              <w:spacing w:line="360" w:lineRule="exact"/>
              <w:rPr>
                <w:rFonts w:ascii="宋体" w:hAnsi="宋体" w:cs="宋体"/>
                <w:color w:val="auto"/>
                <w:kern w:val="0"/>
                <w:sz w:val="22"/>
                <w:highlight w:val="none"/>
              </w:rPr>
            </w:pPr>
            <w:r>
              <w:rPr>
                <w:rFonts w:hint="eastAsia" w:ascii="宋体" w:hAnsi="宋体" w:cs="宋体"/>
                <w:color w:val="auto"/>
                <w:sz w:val="22"/>
                <w:highlight w:val="none"/>
              </w:rPr>
              <w:t>浙江乐诚工程咨询有限公司评审室（温州市瓯海区三垟街道桥头河大桥温州生命健康小镇B03)</w:t>
            </w:r>
          </w:p>
        </w:tc>
      </w:tr>
      <w:tr w14:paraId="234FD5A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047A14C8">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20</w:t>
            </w:r>
          </w:p>
        </w:tc>
        <w:tc>
          <w:tcPr>
            <w:tcW w:w="1796" w:type="dxa"/>
            <w:tcBorders>
              <w:top w:val="single" w:color="auto" w:sz="4" w:space="0"/>
              <w:left w:val="single" w:color="auto" w:sz="4" w:space="0"/>
              <w:bottom w:val="single" w:color="auto" w:sz="4" w:space="0"/>
              <w:right w:val="single" w:color="auto" w:sz="4" w:space="0"/>
            </w:tcBorders>
            <w:vAlign w:val="center"/>
          </w:tcPr>
          <w:p w14:paraId="5A7BE677">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 xml:space="preserve">项目属性 </w:t>
            </w:r>
          </w:p>
        </w:tc>
        <w:tc>
          <w:tcPr>
            <w:tcW w:w="6963" w:type="dxa"/>
            <w:tcBorders>
              <w:top w:val="single" w:color="auto" w:sz="4" w:space="0"/>
              <w:left w:val="single" w:color="auto" w:sz="4" w:space="0"/>
              <w:bottom w:val="single" w:color="auto" w:sz="4" w:space="0"/>
              <w:right w:val="single" w:color="auto" w:sz="4" w:space="0"/>
            </w:tcBorders>
            <w:vAlign w:val="center"/>
          </w:tcPr>
          <w:p w14:paraId="5E454AB4">
            <w:pPr>
              <w:autoSpaceDE w:val="0"/>
              <w:autoSpaceDN w:val="0"/>
              <w:adjustRightInd w:val="0"/>
              <w:snapToGrid w:val="0"/>
              <w:spacing w:line="360" w:lineRule="exact"/>
              <w:textAlignment w:val="bottom"/>
              <w:rPr>
                <w:rFonts w:ascii="宋体" w:hAnsi="宋体" w:cs="宋体"/>
                <w:color w:val="auto"/>
                <w:sz w:val="22"/>
                <w:highlight w:val="none"/>
              </w:rPr>
            </w:pPr>
            <w:r>
              <w:rPr>
                <w:rFonts w:hint="eastAsia" w:ascii="宋体" w:hAnsi="宋体" w:cs="宋体"/>
                <w:color w:val="auto"/>
                <w:kern w:val="0"/>
                <w:sz w:val="22"/>
                <w:highlight w:val="none"/>
              </w:rPr>
              <w:t>服务类</w:t>
            </w:r>
          </w:p>
        </w:tc>
      </w:tr>
      <w:tr w14:paraId="093E47A5">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8C5121B">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21</w:t>
            </w:r>
          </w:p>
        </w:tc>
        <w:tc>
          <w:tcPr>
            <w:tcW w:w="1796" w:type="dxa"/>
            <w:tcBorders>
              <w:top w:val="single" w:color="auto" w:sz="4" w:space="0"/>
              <w:left w:val="single" w:color="auto" w:sz="4" w:space="0"/>
              <w:bottom w:val="single" w:color="auto" w:sz="4" w:space="0"/>
              <w:right w:val="single" w:color="auto" w:sz="4" w:space="0"/>
            </w:tcBorders>
            <w:vAlign w:val="center"/>
          </w:tcPr>
          <w:p w14:paraId="4B5481DB">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评标办法及评分标准</w:t>
            </w:r>
          </w:p>
        </w:tc>
        <w:tc>
          <w:tcPr>
            <w:tcW w:w="6963" w:type="dxa"/>
            <w:tcBorders>
              <w:top w:val="single" w:color="auto" w:sz="4" w:space="0"/>
              <w:left w:val="single" w:color="auto" w:sz="4" w:space="0"/>
              <w:bottom w:val="single" w:color="auto" w:sz="4" w:space="0"/>
              <w:right w:val="single" w:color="auto" w:sz="4" w:space="0"/>
            </w:tcBorders>
            <w:vAlign w:val="center"/>
          </w:tcPr>
          <w:p w14:paraId="0406858E">
            <w:pPr>
              <w:autoSpaceDE w:val="0"/>
              <w:autoSpaceDN w:val="0"/>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综合评分法，详见第六部分评标原则及方法。</w:t>
            </w:r>
          </w:p>
        </w:tc>
      </w:tr>
      <w:tr w14:paraId="3FB934FD">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54F3B1E">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22</w:t>
            </w:r>
          </w:p>
        </w:tc>
        <w:tc>
          <w:tcPr>
            <w:tcW w:w="1796" w:type="dxa"/>
            <w:tcBorders>
              <w:top w:val="single" w:color="auto" w:sz="4" w:space="0"/>
              <w:left w:val="single" w:color="auto" w:sz="4" w:space="0"/>
              <w:bottom w:val="single" w:color="auto" w:sz="4" w:space="0"/>
              <w:right w:val="single" w:color="auto" w:sz="4" w:space="0"/>
            </w:tcBorders>
            <w:vAlign w:val="center"/>
          </w:tcPr>
          <w:p w14:paraId="3B9BADE3">
            <w:pPr>
              <w:spacing w:line="360" w:lineRule="exact"/>
              <w:jc w:val="center"/>
              <w:rPr>
                <w:rFonts w:ascii="宋体" w:hAnsi="宋体" w:cs="宋体"/>
                <w:b/>
                <w:bCs/>
                <w:snapToGrid w:val="0"/>
                <w:color w:val="auto"/>
                <w:sz w:val="22"/>
                <w:highlight w:val="none"/>
              </w:rPr>
            </w:pPr>
            <w:r>
              <w:rPr>
                <w:rFonts w:hint="eastAsia" w:ascii="宋体" w:hAnsi="宋体" w:cs="宋体"/>
                <w:color w:val="auto"/>
                <w:sz w:val="22"/>
                <w:highlight w:val="none"/>
              </w:rPr>
              <w:t>中标公告及中标通知书</w:t>
            </w:r>
          </w:p>
        </w:tc>
        <w:tc>
          <w:tcPr>
            <w:tcW w:w="6963" w:type="dxa"/>
            <w:tcBorders>
              <w:top w:val="single" w:color="auto" w:sz="4" w:space="0"/>
              <w:left w:val="single" w:color="auto" w:sz="4" w:space="0"/>
              <w:bottom w:val="single" w:color="auto" w:sz="4" w:space="0"/>
              <w:right w:val="single" w:color="auto" w:sz="4" w:space="0"/>
            </w:tcBorders>
            <w:vAlign w:val="center"/>
          </w:tcPr>
          <w:p w14:paraId="5E6ABBF3">
            <w:pPr>
              <w:autoSpaceDE w:val="0"/>
              <w:autoSpaceDN w:val="0"/>
              <w:adjustRightInd w:val="0"/>
              <w:spacing w:line="360" w:lineRule="exact"/>
              <w:ind w:firstLine="31"/>
              <w:rPr>
                <w:rFonts w:ascii="宋体" w:hAnsi="宋体" w:cs="宋体"/>
                <w:b/>
                <w:bCs/>
                <w:color w:val="auto"/>
                <w:sz w:val="22"/>
                <w:highlight w:val="none"/>
                <w:lang w:val="zh-CN"/>
              </w:rPr>
            </w:pPr>
            <w:r>
              <w:rPr>
                <w:rFonts w:hint="eastAsia" w:ascii="宋体" w:hAnsi="宋体" w:cs="宋体"/>
                <w:color w:val="auto"/>
                <w:sz w:val="22"/>
                <w:highlight w:val="none"/>
              </w:rPr>
              <w:t>评标结束后中标公告发布于浙江政府采购网，并向中标人发出中标通知书。</w:t>
            </w:r>
          </w:p>
        </w:tc>
      </w:tr>
      <w:tr w14:paraId="128D246B">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3F32B456">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23</w:t>
            </w:r>
          </w:p>
        </w:tc>
        <w:tc>
          <w:tcPr>
            <w:tcW w:w="1796" w:type="dxa"/>
            <w:tcBorders>
              <w:top w:val="single" w:color="auto" w:sz="4" w:space="0"/>
              <w:left w:val="single" w:color="auto" w:sz="4" w:space="0"/>
              <w:bottom w:val="single" w:color="auto" w:sz="4" w:space="0"/>
              <w:right w:val="single" w:color="auto" w:sz="4" w:space="0"/>
            </w:tcBorders>
            <w:vAlign w:val="center"/>
          </w:tcPr>
          <w:p w14:paraId="173D2CB3">
            <w:pPr>
              <w:spacing w:line="360" w:lineRule="exact"/>
              <w:jc w:val="center"/>
              <w:rPr>
                <w:rFonts w:ascii="宋体" w:hAnsi="宋体" w:cs="宋体"/>
                <w:color w:val="auto"/>
                <w:kern w:val="0"/>
                <w:sz w:val="22"/>
                <w:highlight w:val="none"/>
              </w:rPr>
            </w:pPr>
            <w:r>
              <w:rPr>
                <w:rFonts w:hint="eastAsia" w:ascii="宋体" w:hAnsi="宋体" w:cs="宋体"/>
                <w:color w:val="auto"/>
                <w:sz w:val="22"/>
                <w:highlight w:val="none"/>
              </w:rPr>
              <w:t>合同签订</w:t>
            </w:r>
          </w:p>
        </w:tc>
        <w:tc>
          <w:tcPr>
            <w:tcW w:w="6963" w:type="dxa"/>
            <w:tcBorders>
              <w:top w:val="single" w:color="auto" w:sz="4" w:space="0"/>
              <w:left w:val="single" w:color="auto" w:sz="4" w:space="0"/>
              <w:bottom w:val="single" w:color="auto" w:sz="4" w:space="0"/>
              <w:right w:val="single" w:color="auto" w:sz="4" w:space="0"/>
            </w:tcBorders>
            <w:vAlign w:val="center"/>
          </w:tcPr>
          <w:p w14:paraId="20E88042">
            <w:pPr>
              <w:spacing w:line="360" w:lineRule="exact"/>
              <w:rPr>
                <w:rFonts w:ascii="宋体" w:hAnsi="宋体" w:cs="宋体"/>
                <w:color w:val="auto"/>
                <w:sz w:val="22"/>
                <w:highlight w:val="none"/>
              </w:rPr>
            </w:pPr>
            <w:r>
              <w:rPr>
                <w:rFonts w:hint="eastAsia" w:ascii="宋体" w:hAnsi="宋体" w:cs="宋体"/>
                <w:color w:val="auto"/>
                <w:kern w:val="0"/>
                <w:sz w:val="22"/>
                <w:highlight w:val="none"/>
              </w:rPr>
              <w:t>中标人须在中标通知书发出之日起30日历天内与采购人签订合同。</w:t>
            </w:r>
          </w:p>
        </w:tc>
      </w:tr>
      <w:tr w14:paraId="0D25AB3E">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4BBAD870">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24</w:t>
            </w:r>
          </w:p>
        </w:tc>
        <w:tc>
          <w:tcPr>
            <w:tcW w:w="1796" w:type="dxa"/>
            <w:tcBorders>
              <w:top w:val="single" w:color="auto" w:sz="4" w:space="0"/>
              <w:left w:val="single" w:color="auto" w:sz="4" w:space="0"/>
              <w:bottom w:val="single" w:color="auto" w:sz="4" w:space="0"/>
              <w:right w:val="single" w:color="auto" w:sz="4" w:space="0"/>
            </w:tcBorders>
            <w:vAlign w:val="center"/>
          </w:tcPr>
          <w:p w14:paraId="5A0E2A09">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解释权</w:t>
            </w:r>
          </w:p>
        </w:tc>
        <w:tc>
          <w:tcPr>
            <w:tcW w:w="6963" w:type="dxa"/>
            <w:tcBorders>
              <w:top w:val="single" w:color="auto" w:sz="4" w:space="0"/>
              <w:left w:val="single" w:color="auto" w:sz="4" w:space="0"/>
              <w:bottom w:val="single" w:color="auto" w:sz="4" w:space="0"/>
              <w:right w:val="single" w:color="auto" w:sz="4" w:space="0"/>
            </w:tcBorders>
            <w:vAlign w:val="center"/>
          </w:tcPr>
          <w:p w14:paraId="6C6F83F1">
            <w:pPr>
              <w:spacing w:line="360" w:lineRule="exact"/>
              <w:rPr>
                <w:rFonts w:ascii="宋体" w:hAnsi="宋体" w:cs="宋体"/>
                <w:color w:val="auto"/>
                <w:sz w:val="22"/>
                <w:highlight w:val="none"/>
                <w:lang w:val="zh-CN"/>
              </w:rPr>
            </w:pPr>
            <w:r>
              <w:rPr>
                <w:rFonts w:hint="eastAsia" w:ascii="宋体" w:hAnsi="宋体" w:cs="宋体"/>
                <w:color w:val="auto"/>
                <w:sz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02E522F6">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14:paraId="79271235">
            <w:pPr>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25</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center"/>
          </w:tcPr>
          <w:p w14:paraId="6AF26D4B">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其他</w:t>
            </w:r>
          </w:p>
        </w:tc>
        <w:tc>
          <w:tcPr>
            <w:tcW w:w="6963" w:type="dxa"/>
            <w:tcBorders>
              <w:top w:val="single" w:color="auto" w:sz="4" w:space="0"/>
              <w:left w:val="single" w:color="auto" w:sz="4" w:space="0"/>
              <w:bottom w:val="single" w:color="auto" w:sz="4" w:space="0"/>
              <w:right w:val="single" w:color="auto" w:sz="4" w:space="0"/>
            </w:tcBorders>
            <w:shd w:val="clear" w:color="auto" w:fill="auto"/>
            <w:vAlign w:val="center"/>
          </w:tcPr>
          <w:p w14:paraId="7157C1C4">
            <w:pPr>
              <w:numPr>
                <w:ilvl w:val="0"/>
                <w:numId w:val="2"/>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招标公告属于本招标文件的一部分</w:t>
            </w:r>
          </w:p>
          <w:p w14:paraId="4EB16F38">
            <w:pPr>
              <w:numPr>
                <w:ilvl w:val="0"/>
                <w:numId w:val="2"/>
              </w:numPr>
              <w:spacing w:line="360" w:lineRule="exact"/>
              <w:rPr>
                <w:rFonts w:ascii="宋体" w:hAnsi="宋体" w:cs="宋体"/>
                <w:b/>
                <w:bCs/>
                <w:color w:val="auto"/>
                <w:sz w:val="22"/>
                <w:highlight w:val="none"/>
              </w:rPr>
            </w:pPr>
            <w:r>
              <w:rPr>
                <w:rFonts w:hint="eastAsia" w:ascii="宋体" w:hAnsi="宋体" w:cs="宋体"/>
                <w:b/>
                <w:bCs/>
                <w:color w:val="auto"/>
                <w:sz w:val="22"/>
                <w:highlight w:val="none"/>
              </w:rPr>
              <w:t>电子评标注意事项：</w:t>
            </w:r>
          </w:p>
          <w:p w14:paraId="08048A4B">
            <w:pPr>
              <w:pStyle w:val="30"/>
              <w:spacing w:before="0" w:beforeAutospacing="0" w:after="0" w:afterAutospacing="0" w:line="360" w:lineRule="exact"/>
              <w:rPr>
                <w:color w:val="auto"/>
                <w:sz w:val="22"/>
                <w:highlight w:val="none"/>
              </w:rPr>
            </w:pPr>
            <w:r>
              <w:rPr>
                <w:rFonts w:hint="eastAsia"/>
                <w:color w:val="auto"/>
                <w:sz w:val="22"/>
                <w:highlight w:val="none"/>
              </w:rPr>
              <w:t>2.1投标人必须先在政府采购云平台进行登记注册，相关事宜请参照（《供应商网上注册操作指南》“浙江政府采购网首页-办事指南-注册-供应商注册申请”），登录政府采购云平台后台依法进行网上自主下载。</w:t>
            </w:r>
          </w:p>
          <w:p w14:paraId="313A15A5">
            <w:pPr>
              <w:pStyle w:val="30"/>
              <w:spacing w:before="0" w:beforeAutospacing="0" w:after="0" w:afterAutospacing="0" w:line="360" w:lineRule="exact"/>
              <w:rPr>
                <w:color w:val="auto"/>
                <w:sz w:val="22"/>
                <w:highlight w:val="none"/>
              </w:rPr>
            </w:pPr>
            <w:r>
              <w:rPr>
                <w:rFonts w:hint="eastAsia"/>
                <w:color w:val="auto"/>
                <w:sz w:val="22"/>
                <w:highlight w:val="none"/>
              </w:rPr>
              <w:t>2.2本项目实行电子投标，应按照本项目招标文件和政采云平台的要求编制、加密并递交投标文件。投标人在使用系统进行投标的过程中遇到涉及平台使用的任何问题，可致电政采云平台技术支持热线咨询，联系方式：95763。</w:t>
            </w:r>
          </w:p>
          <w:p w14:paraId="1C5D2FD6">
            <w:pPr>
              <w:pStyle w:val="30"/>
              <w:spacing w:before="0" w:beforeAutospacing="0" w:after="0" w:afterAutospacing="0" w:line="360" w:lineRule="exact"/>
              <w:rPr>
                <w:color w:val="auto"/>
                <w:sz w:val="22"/>
                <w:highlight w:val="none"/>
              </w:rPr>
            </w:pPr>
            <w:r>
              <w:rPr>
                <w:rFonts w:hint="eastAsia"/>
                <w:color w:val="auto"/>
                <w:sz w:val="22"/>
                <w:highlight w:val="none"/>
              </w:rPr>
              <w:t>2.3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在浙江政府采购网下载专区查看。</w:t>
            </w:r>
          </w:p>
          <w:p w14:paraId="3E00F6DD">
            <w:pPr>
              <w:pStyle w:val="30"/>
              <w:spacing w:before="0" w:beforeAutospacing="0" w:after="0" w:afterAutospacing="0" w:line="360" w:lineRule="exact"/>
              <w:rPr>
                <w:color w:val="auto"/>
                <w:sz w:val="22"/>
                <w:highlight w:val="none"/>
              </w:rPr>
            </w:pPr>
            <w:r>
              <w:rPr>
                <w:rFonts w:hint="eastAsia"/>
                <w:color w:val="auto"/>
                <w:sz w:val="22"/>
                <w:highlight w:val="none"/>
              </w:rPr>
              <w:t>2.4投标人通过政采云平台电子投标工具制作投标文件，电子投标工具请投标人自行前往浙江省政府采购网下载并安装，（电子交易客户端在浙江政府采购网下载专区查看。</w:t>
            </w:r>
          </w:p>
          <w:p w14:paraId="460B591F">
            <w:pPr>
              <w:pStyle w:val="30"/>
              <w:spacing w:before="0" w:beforeAutospacing="0" w:after="0" w:afterAutospacing="0" w:line="360" w:lineRule="exact"/>
              <w:rPr>
                <w:color w:val="auto"/>
                <w:sz w:val="22"/>
                <w:highlight w:val="none"/>
              </w:rPr>
            </w:pPr>
            <w:r>
              <w:rPr>
                <w:rFonts w:hint="eastAsia"/>
                <w:color w:val="auto"/>
                <w:sz w:val="22"/>
                <w:highlight w:val="none"/>
              </w:rPr>
              <w:t>2.5投标人可通过浙江省“电子交易/不见面开评标”学习专题提前进行专题学习，熟悉操作，避免影响采购活动（https://edu.zcygov.cn/luban/e-biding）。</w:t>
            </w:r>
          </w:p>
          <w:p w14:paraId="3C66D620">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3.请务必确保投标文件制作客户端为最新版本，旧版本可能导致投标文件解密失败。</w:t>
            </w:r>
          </w:p>
          <w:p w14:paraId="503157A0">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4.请务必确保投标文件制作时所用的 CA 锁与投标文件解密时的 CA 锁为同一把，否则可能导致投标文件解密失败。</w:t>
            </w:r>
          </w:p>
          <w:p w14:paraId="0FFB7257">
            <w:pPr>
              <w:spacing w:line="360" w:lineRule="exact"/>
              <w:rPr>
                <w:rFonts w:ascii="宋体" w:hAnsi="宋体" w:cs="宋体"/>
                <w:b/>
                <w:bCs/>
                <w:color w:val="auto"/>
                <w:sz w:val="22"/>
                <w:highlight w:val="none"/>
              </w:rPr>
            </w:pPr>
            <w:r>
              <w:rPr>
                <w:rFonts w:hint="eastAsia" w:ascii="宋体" w:hAnsi="宋体" w:cs="宋体"/>
                <w:b/>
                <w:bCs/>
                <w:color w:val="auto"/>
                <w:sz w:val="22"/>
                <w:highlight w:val="none"/>
              </w:rPr>
              <w:t>5.在投标文件解密前，请务必检验 CA 锁与所用电脑的兼容性，部分电脑因 CA 驱动未正常安装、USB 接口兼容性差等原因可能造成投标文件解密失败。</w:t>
            </w:r>
          </w:p>
          <w:p w14:paraId="3C5E2595">
            <w:pPr>
              <w:spacing w:line="360" w:lineRule="exact"/>
              <w:rPr>
                <w:rFonts w:ascii="宋体" w:hAnsi="宋体" w:cs="宋体"/>
                <w:b/>
                <w:color w:val="auto"/>
                <w:sz w:val="22"/>
                <w:highlight w:val="none"/>
              </w:rPr>
            </w:pPr>
            <w:r>
              <w:rPr>
                <w:rFonts w:hint="eastAsia" w:ascii="宋体" w:hAnsi="宋体" w:cs="宋体"/>
                <w:b/>
                <w:bCs/>
                <w:color w:val="auto"/>
                <w:sz w:val="22"/>
                <w:highlight w:val="none"/>
              </w:rPr>
              <w:t>6.</w:t>
            </w:r>
            <w:r>
              <w:rPr>
                <w:rFonts w:hint="eastAsia" w:ascii="宋体" w:hAnsi="宋体" w:cs="宋体"/>
                <w:b/>
                <w:color w:val="auto"/>
                <w:sz w:val="22"/>
                <w:highlight w:val="none"/>
              </w:rPr>
              <w:t>投标人未按招标文件规定及提醒操作的，引起的一切后果由投标人自行负责。</w:t>
            </w:r>
          </w:p>
          <w:p w14:paraId="02D4A4E4">
            <w:pPr>
              <w:spacing w:line="360" w:lineRule="exact"/>
              <w:rPr>
                <w:rStyle w:val="36"/>
                <w:rFonts w:ascii="宋体" w:hAnsi="宋体" w:cs="宋体"/>
                <w:color w:val="auto"/>
                <w:sz w:val="22"/>
                <w:highlight w:val="none"/>
              </w:rPr>
            </w:pPr>
            <w:r>
              <w:rPr>
                <w:rFonts w:hint="eastAsia" w:ascii="宋体" w:hAnsi="宋体" w:cs="宋体"/>
                <w:b/>
                <w:color w:val="auto"/>
                <w:sz w:val="22"/>
                <w:highlight w:val="none"/>
              </w:rPr>
              <w:t>7.投标截止时间同</w:t>
            </w:r>
            <w:r>
              <w:rPr>
                <w:rStyle w:val="36"/>
                <w:rFonts w:hint="eastAsia" w:ascii="宋体" w:hAnsi="宋体" w:cs="宋体"/>
                <w:color w:val="auto"/>
                <w:sz w:val="22"/>
                <w:highlight w:val="none"/>
              </w:rPr>
              <w:t>提交投标文件截止时间。</w:t>
            </w:r>
          </w:p>
          <w:p w14:paraId="32C6778D">
            <w:pPr>
              <w:spacing w:line="360" w:lineRule="exact"/>
              <w:rPr>
                <w:rFonts w:ascii="宋体" w:hAnsi="宋体" w:cs="宋体"/>
                <w:color w:val="auto"/>
                <w:sz w:val="22"/>
                <w:highlight w:val="none"/>
                <w:lang w:val="zh-CN"/>
              </w:rPr>
            </w:pPr>
            <w:r>
              <w:rPr>
                <w:rStyle w:val="36"/>
                <w:rFonts w:hint="eastAsia" w:ascii="宋体" w:hAnsi="宋体" w:cs="宋体"/>
                <w:color w:val="auto"/>
                <w:sz w:val="22"/>
                <w:highlight w:val="none"/>
              </w:rPr>
              <w:t>8.</w:t>
            </w:r>
            <w:r>
              <w:rPr>
                <w:rFonts w:hint="eastAsia" w:ascii="宋体" w:hAnsi="宋体" w:cs="宋体"/>
                <w:b/>
                <w:bCs/>
                <w:color w:val="auto"/>
                <w:sz w:val="22"/>
                <w:highlight w:val="none"/>
              </w:rPr>
              <w:t>客户端填写的内容与以pdf格式上传文件中不一致的，应以Pdf格式上传文件中的内容为准。</w:t>
            </w:r>
          </w:p>
        </w:tc>
      </w:tr>
    </w:tbl>
    <w:p w14:paraId="2B7AED78">
      <w:pPr>
        <w:spacing w:line="400" w:lineRule="exact"/>
        <w:rPr>
          <w:rFonts w:ascii="宋体" w:hAnsi="宋体" w:cs="宋体"/>
          <w:b/>
          <w:color w:val="auto"/>
          <w:sz w:val="28"/>
          <w:szCs w:val="28"/>
          <w:highlight w:val="none"/>
        </w:rPr>
      </w:pPr>
    </w:p>
    <w:p w14:paraId="25F4CD9E">
      <w:pPr>
        <w:rPr>
          <w:rFonts w:ascii="宋体" w:hAnsi="宋体" w:cs="宋体"/>
          <w:b/>
          <w:color w:val="auto"/>
          <w:sz w:val="28"/>
          <w:szCs w:val="28"/>
          <w:highlight w:val="none"/>
        </w:rPr>
      </w:pPr>
      <w:bookmarkStart w:id="3" w:name="_Toc24663"/>
      <w:r>
        <w:rPr>
          <w:rFonts w:hint="eastAsia" w:ascii="宋体" w:hAnsi="宋体" w:cs="宋体"/>
          <w:b/>
          <w:color w:val="auto"/>
          <w:sz w:val="28"/>
          <w:szCs w:val="28"/>
          <w:highlight w:val="none"/>
        </w:rPr>
        <w:br w:type="page"/>
      </w:r>
    </w:p>
    <w:p w14:paraId="3B80F9A5">
      <w:pPr>
        <w:spacing w:line="40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一、说明</w:t>
      </w:r>
      <w:bookmarkEnd w:id="3"/>
    </w:p>
    <w:p w14:paraId="5DF60136">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1.本次招标是按照《中华人民共和国政府采购法》、《政府采购货物和服务招标投标管理办法》等法律及有关法规组织和实施的。</w:t>
      </w:r>
    </w:p>
    <w:p w14:paraId="41995F64">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2.定义</w:t>
      </w:r>
    </w:p>
    <w:p w14:paraId="33ED52F3">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“采购人”系指温州肯恩大学；</w:t>
      </w:r>
    </w:p>
    <w:p w14:paraId="32940307">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“采购代理机构”系指组织本次招标的浙江乐诚工程咨询有限公司；</w:t>
      </w:r>
    </w:p>
    <w:p w14:paraId="7344F9B5">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“投标人”“供应商”系指响应招标、参加投标竞争的法人、其他组织或者自然人；</w:t>
      </w:r>
    </w:p>
    <w:p w14:paraId="382C909C">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“书面形式”包括合同书、信件和数据电文(包括电报、电传、传真、电子数据交换和电子邮件)等可以有形地表现所载内容的形式。</w:t>
      </w:r>
    </w:p>
    <w:p w14:paraId="20B49441">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4AA84473">
      <w:pPr>
        <w:numPr>
          <w:ilvl w:val="0"/>
          <w:numId w:val="3"/>
        </w:numPr>
        <w:tabs>
          <w:tab w:val="left" w:pos="360"/>
        </w:tabs>
        <w:spacing w:line="360" w:lineRule="exact"/>
        <w:ind w:left="0" w:firstLine="440" w:firstLineChars="200"/>
        <w:rPr>
          <w:rFonts w:ascii="宋体" w:hAnsi="宋体" w:cs="宋体"/>
          <w:color w:val="auto"/>
          <w:sz w:val="22"/>
          <w:highlight w:val="none"/>
        </w:rPr>
      </w:pPr>
      <w:bookmarkStart w:id="4" w:name="_Hlk96327615"/>
      <w:r>
        <w:rPr>
          <w:rFonts w:hint="eastAsia" w:ascii="宋体" w:hAnsi="宋体" w:cs="宋体"/>
          <w:color w:val="auto"/>
          <w:sz w:val="22"/>
          <w:highlight w:val="none"/>
        </w:rPr>
        <w:t>“电子签章”系指数据电文中以电子形式所含、所附用于识别签名人身份并表明签名人认可其中内容的数据；“公章”系指单位法定名称章。</w:t>
      </w:r>
    </w:p>
    <w:p w14:paraId="3456CA84">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招标文件对投标文件签署、盖章的要求适用于电子签章或公章。</w:t>
      </w:r>
    </w:p>
    <w:bookmarkEnd w:id="4"/>
    <w:p w14:paraId="00A40286">
      <w:pPr>
        <w:numPr>
          <w:ilvl w:val="0"/>
          <w:numId w:val="3"/>
        </w:numPr>
        <w:tabs>
          <w:tab w:val="left" w:pos="360"/>
        </w:tabs>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“▲且加下划线”系指实质性要求条款，投标人应当做出实质性响应。</w:t>
      </w:r>
    </w:p>
    <w:p w14:paraId="2F01769E">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kern w:val="0"/>
          <w:sz w:val="22"/>
          <w:highlight w:val="none"/>
        </w:rPr>
        <w:t>3.</w:t>
      </w:r>
      <w:r>
        <w:rPr>
          <w:rFonts w:hint="eastAsia" w:ascii="宋体" w:hAnsi="宋体" w:cs="宋体"/>
          <w:color w:val="auto"/>
          <w:sz w:val="22"/>
          <w:highlight w:val="none"/>
        </w:rPr>
        <w:t>投标人代表</w:t>
      </w:r>
    </w:p>
    <w:p w14:paraId="66305E1E">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指全权代表投标人参加投标活动并签署投标文件的人。投标人须携带有效身份证件。如投标人代表不是法定代表人，须有法定代表人授权委托书，投标人未参加开标的，视同认可开标结果。</w:t>
      </w:r>
    </w:p>
    <w:p w14:paraId="68979E9E">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4.投标费用</w:t>
      </w:r>
    </w:p>
    <w:p w14:paraId="1BAD0358">
      <w:pPr>
        <w:tabs>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4.1投标人应承担所有与准备和参加投标有关费用，不论投标的结果如何，采购代理机构和采购人均无义务和责任承担这些费用。</w:t>
      </w:r>
    </w:p>
    <w:p w14:paraId="576608AE">
      <w:pPr>
        <w:spacing w:line="360" w:lineRule="exact"/>
        <w:ind w:firstLine="440" w:firstLineChars="200"/>
        <w:jc w:val="left"/>
        <w:rPr>
          <w:rFonts w:ascii="宋体" w:hAnsi="宋体" w:cs="宋体"/>
          <w:color w:val="auto"/>
          <w:spacing w:val="-6"/>
          <w:sz w:val="22"/>
          <w:highlight w:val="none"/>
        </w:rPr>
      </w:pPr>
      <w:r>
        <w:rPr>
          <w:rFonts w:hint="eastAsia" w:ascii="宋体" w:hAnsi="宋体" w:cs="宋体"/>
          <w:color w:val="auto"/>
          <w:sz w:val="22"/>
          <w:highlight w:val="none"/>
        </w:rPr>
        <w:t>4.2中标人</w:t>
      </w:r>
      <w:r>
        <w:rPr>
          <w:rFonts w:hint="eastAsia" w:ascii="宋体" w:hAnsi="宋体" w:cs="宋体"/>
          <w:color w:val="auto"/>
          <w:spacing w:val="-6"/>
          <w:sz w:val="22"/>
          <w:highlight w:val="none"/>
        </w:rPr>
        <w:t>在收到中标通知书时向采购代理机构交纳采购代理服务费，招标代理收费金额4500元：</w:t>
      </w:r>
    </w:p>
    <w:p w14:paraId="0067E085">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请各投标人将采购代理服务费包含在投标总报价中，但不单独列出。</w:t>
      </w:r>
      <w:r>
        <w:rPr>
          <w:rFonts w:hint="eastAsia" w:ascii="宋体" w:hAnsi="宋体" w:cs="宋体"/>
          <w:color w:val="auto"/>
          <w:sz w:val="22"/>
          <w:highlight w:val="none"/>
        </w:rPr>
        <w:t>采购代理服务费可以是现金、支票或汇票。采购代理服务费汇入账户：</w:t>
      </w:r>
    </w:p>
    <w:p w14:paraId="2C1CF19C">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收款户名：浙江乐诚工程咨询有限公司</w:t>
      </w:r>
    </w:p>
    <w:p w14:paraId="6D6DB65A">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收款账号：76060122000323292</w:t>
      </w:r>
    </w:p>
    <w:p w14:paraId="24F98A44">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收款银行：宁波银行温州瓯海支行</w:t>
      </w:r>
    </w:p>
    <w:p w14:paraId="143A1804">
      <w:pPr>
        <w:spacing w:line="360" w:lineRule="exact"/>
        <w:ind w:left="655" w:leftChars="312" w:firstLine="338" w:firstLineChars="154"/>
        <w:rPr>
          <w:rFonts w:ascii="宋体" w:hAnsi="宋体" w:cs="宋体"/>
          <w:color w:val="auto"/>
          <w:sz w:val="22"/>
          <w:highlight w:val="none"/>
        </w:rPr>
      </w:pPr>
      <w:r>
        <w:rPr>
          <w:rFonts w:hint="eastAsia" w:ascii="宋体" w:hAnsi="宋体" w:cs="宋体"/>
          <w:color w:val="auto"/>
          <w:sz w:val="22"/>
          <w:highlight w:val="none"/>
        </w:rPr>
        <w:t>收款行号：313333030036</w:t>
      </w:r>
    </w:p>
    <w:p w14:paraId="13B8059B">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关于采购代理服务费的详细事宜请咨询采购代理机构钱先生（0577-86077700）</w:t>
      </w:r>
    </w:p>
    <w:p w14:paraId="15BBCEF9">
      <w:pPr>
        <w:tabs>
          <w:tab w:val="left" w:pos="360"/>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5.信用记录：</w:t>
      </w:r>
    </w:p>
    <w:p w14:paraId="60FFDAC1">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根据财库[2016]125号《关于在政府采购活动中查询及使用信用记录有关问题的通知》要求，采购代理机构会对投标人信用记录进行查询并甄别。</w:t>
      </w:r>
    </w:p>
    <w:p w14:paraId="52781613">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5.1.</w:t>
      </w:r>
      <w:r>
        <w:rPr>
          <w:rFonts w:hint="eastAsia" w:ascii="宋体" w:hAnsi="宋体" w:cs="宋体"/>
          <w:b/>
          <w:bCs/>
          <w:snapToGrid w:val="0"/>
          <w:color w:val="auto"/>
          <w:sz w:val="22"/>
          <w:highlight w:val="none"/>
        </w:rPr>
        <w:t>信用信息查询的截止时点为从本项目投标截止日往前追溯三年。</w:t>
      </w:r>
    </w:p>
    <w:p w14:paraId="63F3A952">
      <w:pPr>
        <w:tabs>
          <w:tab w:val="left" w:pos="360"/>
        </w:tabs>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5.2.查询渠道：“信用中国（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hint="eastAsia" w:ascii="宋体" w:hAnsi="宋体" w:cs="宋体"/>
          <w:b/>
          <w:bCs/>
          <w:color w:val="auto"/>
          <w:spacing w:val="6"/>
          <w:sz w:val="22"/>
          <w:highlight w:val="none"/>
        </w:rPr>
        <w:t>https://www.creditchina.gov.cn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b/>
          <w:bCs/>
          <w:color w:val="auto"/>
          <w:spacing w:val="6"/>
          <w:sz w:val="22"/>
          <w:highlight w:val="none"/>
        </w:rPr>
        <w:t>http://www.ccgp.gov.cn</w:t>
      </w:r>
      <w:r>
        <w:rPr>
          <w:rFonts w:hint="eastAsia" w:ascii="宋体" w:hAnsi="宋体" w:cs="宋体"/>
          <w:b/>
          <w:bCs/>
          <w:color w:val="auto"/>
          <w:spacing w:val="6"/>
          <w:sz w:val="22"/>
          <w:highlight w:val="none"/>
        </w:rPr>
        <w:fldChar w:fldCharType="end"/>
      </w:r>
      <w:r>
        <w:rPr>
          <w:rFonts w:hint="eastAsia" w:ascii="宋体" w:hAnsi="宋体" w:cs="宋体"/>
          <w:b/>
          <w:bCs/>
          <w:color w:val="auto"/>
          <w:spacing w:val="6"/>
          <w:sz w:val="22"/>
          <w:highlight w:val="none"/>
        </w:rPr>
        <w:t>）”</w:t>
      </w:r>
      <w:r>
        <w:rPr>
          <w:rFonts w:hint="eastAsia" w:ascii="宋体" w:hAnsi="宋体" w:cs="宋体"/>
          <w:color w:val="auto"/>
          <w:sz w:val="22"/>
          <w:highlight w:val="none"/>
        </w:rPr>
        <w:t>。</w:t>
      </w:r>
    </w:p>
    <w:p w14:paraId="15B3A780">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5.3.信用信息查询记录和证据留存具体方式：采购代理机构经办人或监督人员将查询网页打印与其他招标文件一并保存。</w:t>
      </w:r>
    </w:p>
    <w:p w14:paraId="282DA4E1">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5.4.信用信息的使用规则：投标人存在不良信用记录的，其投标将被作为投标无效被拒绝。</w:t>
      </w:r>
    </w:p>
    <w:p w14:paraId="7A1B1B3C">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不良信用记录指：被列入失信被执行人、重大税收违法案件当事人名单、政府采购严重违法失信行为记录名单。</w:t>
      </w:r>
    </w:p>
    <w:p w14:paraId="7CF0C248">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6.特别说明：</w:t>
      </w:r>
    </w:p>
    <w:p w14:paraId="3B5A3D2B">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6.1投标人应仔细阅读招标文件的所有内容，按照招标文件的要求提交投标文件，并对所提供的全部资料的真实性承担法律责任。</w:t>
      </w:r>
    </w:p>
    <w:p w14:paraId="0FE95B96">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小组按照招标文件规定的方式确定一个投标人获得中标人推荐资格，招标文件未规定的采取随机抽取方式确定，其他同品牌投标人不作为中标候选人。</w:t>
      </w:r>
    </w:p>
    <w:p w14:paraId="066B4F7B">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非单一产品采购项目，采购人应当根据采购项目技术构成、产品价格比重等合理确定核心产品，并在招标文件中载明。多家投标人提供的核心产品品牌相同的，按前两款规定处理。</w:t>
      </w:r>
    </w:p>
    <w:p w14:paraId="5DD4C7D2">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702AE96">
      <w:pPr>
        <w:spacing w:line="360" w:lineRule="exact"/>
        <w:ind w:firstLine="466" w:firstLineChars="200"/>
        <w:rPr>
          <w:rFonts w:ascii="宋体" w:hAnsi="宋体" w:cs="宋体"/>
          <w:b/>
          <w:bCs/>
          <w:color w:val="auto"/>
          <w:spacing w:val="6"/>
          <w:sz w:val="22"/>
          <w:highlight w:val="none"/>
        </w:rPr>
      </w:pPr>
      <w:r>
        <w:rPr>
          <w:rFonts w:hint="eastAsia" w:ascii="宋体" w:hAnsi="宋体" w:cs="宋体"/>
          <w:b/>
          <w:bCs/>
          <w:color w:val="auto"/>
          <w:spacing w:val="6"/>
          <w:sz w:val="22"/>
          <w:highlight w:val="none"/>
        </w:rPr>
        <w:t>6.4投标人在投标活动中提供任何虚假材料，其投标无效，并报监管部门查处；中标后发现的，中标人须依照《中华人民共和国消费者权益保护法》第55条之规定双倍赔偿采购人，且民事赔偿并不免除违法投标人的行政与刑事责任。</w:t>
      </w:r>
    </w:p>
    <w:p w14:paraId="4CF08E87">
      <w:pPr>
        <w:spacing w:line="400" w:lineRule="exact"/>
        <w:ind w:firstLine="522" w:firstLineChars="200"/>
        <w:jc w:val="center"/>
        <w:outlineLvl w:val="1"/>
        <w:rPr>
          <w:rFonts w:ascii="宋体" w:hAnsi="宋体" w:cs="宋体"/>
          <w:b/>
          <w:color w:val="auto"/>
          <w:sz w:val="26"/>
          <w:highlight w:val="none"/>
        </w:rPr>
      </w:pPr>
      <w:bookmarkStart w:id="5" w:name="_Toc16379"/>
      <w:r>
        <w:rPr>
          <w:rFonts w:hint="eastAsia" w:ascii="宋体" w:hAnsi="宋体" w:cs="宋体"/>
          <w:b/>
          <w:color w:val="auto"/>
          <w:sz w:val="26"/>
          <w:highlight w:val="none"/>
        </w:rPr>
        <w:t>二、招标文件</w:t>
      </w:r>
      <w:bookmarkEnd w:id="5"/>
    </w:p>
    <w:p w14:paraId="4398A94F">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1.招标文件由招标文件目录所列内容及相关资料组成。</w:t>
      </w:r>
    </w:p>
    <w:p w14:paraId="52A4147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2.质疑</w:t>
      </w:r>
    </w:p>
    <w:p w14:paraId="7BB2E29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2.1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18AC8DC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2.2投标人提出质疑应当提交质疑函和必要的证明材料，质疑函范本请到“浙江政府采购网下载专区”下载，质疑函应当包括下列内容：</w:t>
      </w:r>
    </w:p>
    <w:p w14:paraId="2EC71488">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（一）投标人的姓名或者名称、地址、邮编、联系人及联系方式；</w:t>
      </w:r>
    </w:p>
    <w:p w14:paraId="266B8312">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（二）质疑项目的名称、编号；</w:t>
      </w:r>
    </w:p>
    <w:p w14:paraId="058FFEF8">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（三）具体、明确的质疑事项和与质疑事项相关的请求；</w:t>
      </w:r>
    </w:p>
    <w:p w14:paraId="003510C4">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（四）事实依据；</w:t>
      </w:r>
    </w:p>
    <w:p w14:paraId="0ED0EA2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（五）必要的法律依据；</w:t>
      </w:r>
    </w:p>
    <w:p w14:paraId="7FB471F3">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（六）提出质疑的日期。</w:t>
      </w:r>
    </w:p>
    <w:p w14:paraId="488468ED">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投标人为自然人的，应当由本人签字；投标人为法人或者其他组织的，应当由法定代表人、主要负责人，或者其授权代表签字或者盖章，并加盖电子签章或公章。</w:t>
      </w:r>
    </w:p>
    <w:p w14:paraId="1ABA1C80">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2.3提出质疑的投标人应当是参与本项目招标活动的投标人。</w:t>
      </w:r>
      <w:r>
        <w:rPr>
          <w:rFonts w:hint="eastAsia" w:ascii="宋体" w:hAnsi="宋体" w:cs="宋体"/>
          <w:b/>
          <w:bCs/>
          <w:color w:val="auto"/>
          <w:spacing w:val="6"/>
          <w:sz w:val="22"/>
          <w:highlight w:val="none"/>
        </w:rPr>
        <w:t>投标人在法定质疑期内一次性提出针对同一采购程序环节的质疑。</w:t>
      </w:r>
    </w:p>
    <w:p w14:paraId="70E40A27">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2.4根据《政府采购质疑和投诉办法》第三十七条的规定，投诉人在全国范围12个月内三次以上投诉查无实据的，由财政部门列入不良行为记录名单。</w:t>
      </w:r>
    </w:p>
    <w:p w14:paraId="77666816">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投诉人有下列行为之一的，属于虚假、恶意投诉，由财政部门列入不良行为记录名单，禁止其1至3年内参加政府采购活动：</w:t>
      </w:r>
    </w:p>
    <w:p w14:paraId="2EB3FFD1">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（一）捏造事实；</w:t>
      </w:r>
    </w:p>
    <w:p w14:paraId="4A69B716">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（二）提供虚假材料；</w:t>
      </w:r>
    </w:p>
    <w:p w14:paraId="54A1AFBE">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（三）以非法手段取得证明材料。证据来源的合法性存在明显疑问，投诉人无法证明其取得方式合法的，视为以非法手段取得证明材料。</w:t>
      </w:r>
    </w:p>
    <w:p w14:paraId="59DFE350">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3.投诉</w:t>
      </w:r>
    </w:p>
    <w:p w14:paraId="7D20655A">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14:paraId="5EDD201C">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4.澄清或修改</w:t>
      </w:r>
    </w:p>
    <w:p w14:paraId="6425BA18">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4.1采购人或者采购代理机构可以对已发出的招标文件进行必要的澄清或者修改。澄清或者修改</w:t>
      </w:r>
      <w:r>
        <w:rPr>
          <w:rStyle w:val="36"/>
          <w:rFonts w:hint="eastAsia" w:ascii="宋体" w:hAnsi="宋体" w:cs="宋体"/>
          <w:b w:val="0"/>
          <w:color w:val="auto"/>
          <w:sz w:val="22"/>
          <w:highlight w:val="none"/>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color w:val="auto"/>
          <w:spacing w:val="6"/>
          <w:sz w:val="22"/>
          <w:highlight w:val="none"/>
        </w:rPr>
        <w:t>澄清或者修改的内容为招标文件的组成部分。</w:t>
      </w:r>
    </w:p>
    <w:p w14:paraId="16612874">
      <w:pPr>
        <w:spacing w:line="360" w:lineRule="exact"/>
        <w:ind w:firstLine="464" w:firstLineChars="200"/>
        <w:rPr>
          <w:rFonts w:ascii="宋体" w:hAnsi="宋体" w:cs="宋体"/>
          <w:color w:val="auto"/>
          <w:spacing w:val="6"/>
          <w:sz w:val="22"/>
          <w:highlight w:val="none"/>
        </w:rPr>
      </w:pPr>
      <w:r>
        <w:rPr>
          <w:rFonts w:hint="eastAsia" w:ascii="宋体" w:hAnsi="宋体" w:cs="宋体"/>
          <w:color w:val="auto"/>
          <w:spacing w:val="6"/>
          <w:sz w:val="22"/>
          <w:highlight w:val="none"/>
        </w:rPr>
        <w:t>4.2澄清或者修改的内容可能影响投标文件编制的，采购人或者采购代理机构应当在投标文件提交截止时间至少</w:t>
      </w:r>
      <w:r>
        <w:rPr>
          <w:rFonts w:hint="eastAsia" w:ascii="宋体" w:hAnsi="宋体" w:cs="宋体"/>
          <w:spacing w:val="6"/>
          <w:sz w:val="22"/>
          <w:highlight w:val="yellow"/>
          <w:lang w:val="en-US" w:eastAsia="zh-CN"/>
        </w:rPr>
        <w:t>3个工作</w:t>
      </w:r>
      <w:r>
        <w:rPr>
          <w:rFonts w:hint="eastAsia" w:ascii="宋体" w:hAnsi="宋体" w:cs="宋体"/>
          <w:spacing w:val="6"/>
          <w:sz w:val="22"/>
          <w:highlight w:val="yellow"/>
        </w:rPr>
        <w:t>日</w:t>
      </w:r>
      <w:r>
        <w:rPr>
          <w:rFonts w:hint="eastAsia" w:ascii="宋体" w:hAnsi="宋体" w:cs="宋体"/>
          <w:color w:val="auto"/>
          <w:spacing w:val="6"/>
          <w:sz w:val="22"/>
          <w:highlight w:val="none"/>
        </w:rPr>
        <w:t>前，以书面形式（</w:t>
      </w:r>
      <w:r>
        <w:rPr>
          <w:rStyle w:val="36"/>
          <w:rFonts w:hint="eastAsia" w:ascii="宋体" w:hAnsi="宋体" w:cs="宋体"/>
          <w:b w:val="0"/>
          <w:color w:val="auto"/>
          <w:sz w:val="22"/>
          <w:highlight w:val="none"/>
        </w:rPr>
        <w:t>在浙江政府采购网上发布公告</w:t>
      </w:r>
      <w:r>
        <w:rPr>
          <w:rFonts w:hint="eastAsia" w:ascii="宋体" w:hAnsi="宋体" w:cs="宋体"/>
          <w:color w:val="auto"/>
          <w:spacing w:val="6"/>
          <w:sz w:val="22"/>
          <w:highlight w:val="none"/>
        </w:rPr>
        <w:t>）通知所有获取招标文件的潜在投标人；不足</w:t>
      </w:r>
      <w:r>
        <w:rPr>
          <w:rFonts w:hint="eastAsia" w:ascii="宋体" w:hAnsi="宋体" w:cs="宋体"/>
          <w:spacing w:val="6"/>
          <w:sz w:val="22"/>
          <w:highlight w:val="yellow"/>
          <w:lang w:val="en-US" w:eastAsia="zh-CN"/>
        </w:rPr>
        <w:t>3个工作</w:t>
      </w:r>
      <w:r>
        <w:rPr>
          <w:rFonts w:hint="eastAsia" w:ascii="宋体" w:hAnsi="宋体" w:cs="宋体"/>
          <w:spacing w:val="6"/>
          <w:sz w:val="22"/>
          <w:highlight w:val="yellow"/>
        </w:rPr>
        <w:t>日</w:t>
      </w:r>
      <w:r>
        <w:rPr>
          <w:rFonts w:hint="eastAsia" w:ascii="宋体" w:hAnsi="宋体" w:cs="宋体"/>
          <w:color w:val="auto"/>
          <w:spacing w:val="6"/>
          <w:sz w:val="22"/>
          <w:highlight w:val="none"/>
        </w:rPr>
        <w:t>的，采购人或者采购代理机构应当顺延提交投标文件的截止时间。</w:t>
      </w:r>
    </w:p>
    <w:p w14:paraId="285995AD">
      <w:pPr>
        <w:spacing w:line="400" w:lineRule="exact"/>
        <w:ind w:firstLine="522" w:firstLineChars="200"/>
        <w:jc w:val="center"/>
        <w:rPr>
          <w:rFonts w:ascii="宋体" w:hAnsi="宋体" w:cs="宋体"/>
          <w:b/>
          <w:color w:val="auto"/>
          <w:sz w:val="26"/>
          <w:highlight w:val="none"/>
        </w:rPr>
      </w:pPr>
    </w:p>
    <w:p w14:paraId="0FCFD5C8">
      <w:pPr>
        <w:spacing w:line="400" w:lineRule="exact"/>
        <w:ind w:firstLine="522" w:firstLineChars="200"/>
        <w:jc w:val="center"/>
        <w:outlineLvl w:val="1"/>
        <w:rPr>
          <w:rFonts w:ascii="宋体" w:hAnsi="宋体" w:cs="宋体"/>
          <w:color w:val="auto"/>
          <w:sz w:val="22"/>
          <w:highlight w:val="none"/>
        </w:rPr>
      </w:pPr>
      <w:bookmarkStart w:id="6" w:name="_Toc28675"/>
      <w:r>
        <w:rPr>
          <w:rFonts w:hint="eastAsia" w:ascii="宋体" w:hAnsi="宋体" w:cs="宋体"/>
          <w:b/>
          <w:color w:val="auto"/>
          <w:sz w:val="26"/>
          <w:highlight w:val="none"/>
        </w:rPr>
        <w:t>三、投标文件的编制</w:t>
      </w:r>
      <w:bookmarkEnd w:id="6"/>
    </w:p>
    <w:p w14:paraId="33491B85">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1.投标文件的形式</w:t>
      </w:r>
    </w:p>
    <w:p w14:paraId="16B18A32">
      <w:pPr>
        <w:pStyle w:val="17"/>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投标文件分为电子投标文件以及备份投标文件，备份文件为以介质存储的数据电文形式的备份投标文件。</w:t>
      </w:r>
    </w:p>
    <w:p w14:paraId="340F6194">
      <w:pPr>
        <w:spacing w:line="360" w:lineRule="exact"/>
        <w:ind w:firstLine="442" w:firstLineChars="200"/>
        <w:rPr>
          <w:rFonts w:ascii="宋体" w:hAnsi="宋体" w:cs="宋体"/>
          <w:color w:val="auto"/>
          <w:kern w:val="0"/>
          <w:sz w:val="22"/>
          <w:highlight w:val="none"/>
        </w:rPr>
      </w:pPr>
      <w:r>
        <w:rPr>
          <w:rFonts w:hint="eastAsia" w:ascii="宋体" w:hAnsi="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cs="宋体"/>
          <w:color w:val="auto"/>
          <w:kern w:val="0"/>
          <w:sz w:val="22"/>
          <w:highlight w:val="none"/>
        </w:rPr>
        <w:t>。</w:t>
      </w:r>
    </w:p>
    <w:p w14:paraId="4D1F3432">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1.2以介质存储的数据电文形式的备份投标文件：</w:t>
      </w:r>
      <w:r>
        <w:rPr>
          <w:rStyle w:val="36"/>
          <w:rFonts w:hint="eastAsia" w:ascii="宋体" w:hAnsi="宋体" w:cs="宋体"/>
          <w:bCs/>
          <w:color w:val="auto"/>
          <w:sz w:val="22"/>
          <w:highlight w:val="none"/>
        </w:rPr>
        <w:t>与“电子投标文件”同时生成的数据电文形式的备份投标文件</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文件扩展名为</w:t>
      </w:r>
      <w:r>
        <w:rPr>
          <w:rFonts w:hint="eastAsia" w:ascii="宋体" w:hAnsi="宋体" w:cs="宋体"/>
          <w:b/>
          <w:bCs/>
          <w:color w:val="auto"/>
          <w:sz w:val="22"/>
          <w:highlight w:val="none"/>
        </w:rPr>
        <w:t>.bfbs)，</w:t>
      </w:r>
      <w:r>
        <w:rPr>
          <w:rFonts w:hint="eastAsia" w:ascii="宋体" w:hAnsi="宋体" w:cs="宋体"/>
          <w:b/>
          <w:bCs/>
          <w:color w:val="auto"/>
          <w:sz w:val="22"/>
          <w:highlight w:val="none"/>
          <w:lang w:val="zh-CN"/>
        </w:rPr>
        <w:t>投标文件提交截止时间前以电子邮件方式传送至浙江乐诚工程咨询有限公司电子邮箱</w:t>
      </w:r>
      <w:r>
        <w:rPr>
          <w:rFonts w:hint="eastAsia" w:ascii="宋体" w:hAnsi="宋体" w:cs="宋体"/>
          <w:b/>
          <w:bCs/>
          <w:color w:val="auto"/>
          <w:sz w:val="22"/>
          <w:highlight w:val="none"/>
        </w:rPr>
        <w:t>2812799762@qq.com，</w:t>
      </w:r>
      <w:r>
        <w:rPr>
          <w:rFonts w:hint="eastAsia" w:ascii="宋体" w:hAnsi="宋体" w:cs="宋体"/>
          <w:b/>
          <w:bCs/>
          <w:color w:val="auto"/>
          <w:sz w:val="22"/>
          <w:highlight w:val="none"/>
          <w:lang w:val="zh-CN"/>
        </w:rPr>
        <w:t>递交</w:t>
      </w:r>
      <w:r>
        <w:rPr>
          <w:rFonts w:hint="eastAsia" w:ascii="宋体" w:hAnsi="宋体" w:cs="宋体"/>
          <w:b/>
          <w:bCs/>
          <w:color w:val="auto"/>
          <w:sz w:val="22"/>
          <w:highlight w:val="none"/>
        </w:rPr>
        <w:t>1</w:t>
      </w:r>
      <w:r>
        <w:rPr>
          <w:rFonts w:hint="eastAsia" w:ascii="宋体" w:hAnsi="宋体" w:cs="宋体"/>
          <w:b/>
          <w:bCs/>
          <w:color w:val="auto"/>
          <w:sz w:val="22"/>
          <w:highlight w:val="none"/>
          <w:lang w:val="zh-CN"/>
        </w:rPr>
        <w:t>份</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传送的备份投标文件需打包压缩并加密</w:t>
      </w:r>
      <w:r>
        <w:rPr>
          <w:rFonts w:hint="eastAsia" w:ascii="宋体" w:hAnsi="宋体" w:cs="宋体"/>
          <w:b/>
          <w:bCs/>
          <w:color w:val="auto"/>
          <w:sz w:val="22"/>
          <w:highlight w:val="none"/>
        </w:rPr>
        <w:t>，</w:t>
      </w:r>
      <w:r>
        <w:rPr>
          <w:rFonts w:hint="eastAsia" w:ascii="宋体" w:hAnsi="宋体" w:cs="宋体"/>
          <w:b/>
          <w:bCs/>
          <w:color w:val="auto"/>
          <w:sz w:val="22"/>
          <w:highlight w:val="none"/>
          <w:lang w:val="zh-CN"/>
        </w:rPr>
        <w:t>加密密码由投标人自行保管</w:t>
      </w:r>
      <w:r>
        <w:rPr>
          <w:rFonts w:hint="eastAsia" w:ascii="宋体" w:hAnsi="宋体" w:cs="宋体"/>
          <w:b/>
          <w:bCs/>
          <w:color w:val="auto"/>
          <w:sz w:val="22"/>
          <w:highlight w:val="none"/>
        </w:rPr>
        <w:t>，未加密导致投标信息泄露的风险由投标人自行承担</w:t>
      </w:r>
      <w:r>
        <w:rPr>
          <w:rStyle w:val="36"/>
          <w:rFonts w:hint="eastAsia" w:ascii="宋体" w:hAnsi="宋体" w:cs="宋体"/>
          <w:bCs/>
          <w:color w:val="auto"/>
          <w:sz w:val="22"/>
          <w:highlight w:val="none"/>
        </w:rPr>
        <w:t>。</w:t>
      </w:r>
    </w:p>
    <w:p w14:paraId="41223C4E">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1.3 投标文件的效力</w:t>
      </w:r>
    </w:p>
    <w:p w14:paraId="59704384">
      <w:pPr>
        <w:spacing w:line="360" w:lineRule="exact"/>
        <w:ind w:firstLine="442" w:firstLineChars="200"/>
        <w:rPr>
          <w:rFonts w:ascii="宋体" w:hAnsi="宋体" w:cs="宋体"/>
          <w:b/>
          <w:bCs/>
          <w:color w:val="auto"/>
          <w:sz w:val="22"/>
          <w:highlight w:val="none"/>
          <w:lang w:val="zh-CN"/>
        </w:rPr>
      </w:pPr>
      <w:r>
        <w:rPr>
          <w:rFonts w:hint="eastAsia" w:ascii="宋体" w:hAnsi="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14:paraId="42DB0E39">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2.投标人应认真阅读招标文件中所有事项格式、条款和技术规范等。</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投标人没有对招标文件各个方面做出实质性响应，导致投标被拒绝的风险由投标人自行承担。</w:t>
      </w:r>
    </w:p>
    <w:p w14:paraId="68BD706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3.</w:t>
      </w:r>
      <w:r>
        <w:rPr>
          <w:rFonts w:hint="eastAsia" w:ascii="宋体" w:hAnsi="宋体" w:cs="宋体"/>
          <w:bCs/>
          <w:color w:val="auto"/>
          <w:sz w:val="22"/>
          <w:highlight w:val="none"/>
          <w:u w:val="single"/>
        </w:rPr>
        <w:t>▲</w:t>
      </w:r>
      <w:r>
        <w:rPr>
          <w:rFonts w:hint="eastAsia" w:ascii="宋体" w:hAnsi="宋体" w:cs="宋体"/>
          <w:color w:val="auto"/>
          <w:sz w:val="22"/>
          <w:highlight w:val="none"/>
          <w:u w:val="single"/>
        </w:rPr>
        <w:t>投标人应保证所提供文件资料的真实性，所有文件资料必须是针对本次投标的。如发现投标人提供了虚假文件资料，其投标将被拒绝，并自行承担相应的法律责任。</w:t>
      </w:r>
    </w:p>
    <w:p w14:paraId="468F0FFD">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4.投标文件的构成：</w:t>
      </w:r>
    </w:p>
    <w:p w14:paraId="7965498E">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投标文件由“报价文件”、“资格文件”和“商务和技术文件”三部分组成，以下的“附件”，指的是第四部分 附件中的表格，其中电子投标文件中所须加盖电子签章部分均采用CA签章。</w:t>
      </w:r>
    </w:p>
    <w:p w14:paraId="3DC3B4F6">
      <w:pPr>
        <w:spacing w:line="360" w:lineRule="exact"/>
        <w:ind w:firstLine="442" w:firstLineChars="200"/>
        <w:rPr>
          <w:rFonts w:ascii="宋体" w:hAnsi="宋体" w:cs="宋体"/>
          <w:b/>
          <w:bCs/>
          <w:color w:val="auto"/>
          <w:sz w:val="22"/>
          <w:highlight w:val="none"/>
        </w:rPr>
      </w:pPr>
      <w:bookmarkStart w:id="7" w:name="_Toc19840"/>
      <w:r>
        <w:rPr>
          <w:rFonts w:hint="eastAsia" w:ascii="宋体" w:hAnsi="宋体" w:cs="宋体"/>
          <w:b/>
          <w:bCs/>
          <w:color w:val="auto"/>
          <w:sz w:val="22"/>
          <w:highlight w:val="none"/>
        </w:rPr>
        <w:t>（1）报价文件</w:t>
      </w:r>
      <w:bookmarkEnd w:id="7"/>
    </w:p>
    <w:p w14:paraId="18021C42">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1）开标一览表；（见附件1）</w:t>
      </w:r>
    </w:p>
    <w:p w14:paraId="2402D01E">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2）投标报价明细表；（见附件2）</w:t>
      </w:r>
    </w:p>
    <w:p w14:paraId="1AF6D4F5">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3）投标报价部分其他内容（如有，格式自拟）。</w:t>
      </w:r>
    </w:p>
    <w:p w14:paraId="0A548E7A">
      <w:pPr>
        <w:tabs>
          <w:tab w:val="left" w:pos="535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（2）资格文件：（见附件3）</w:t>
      </w:r>
    </w:p>
    <w:p w14:paraId="68EA9F22">
      <w:pPr>
        <w:autoSpaceDE w:val="0"/>
        <w:autoSpaceDN w:val="0"/>
        <w:adjustRightInd w:val="0"/>
        <w:snapToGrid w:val="0"/>
        <w:spacing w:line="360" w:lineRule="exact"/>
        <w:ind w:firstLine="416" w:firstLineChars="200"/>
        <w:textAlignment w:val="bottom"/>
        <w:rPr>
          <w:rFonts w:ascii="宋体" w:hAnsi="宋体" w:cs="宋体"/>
          <w:b/>
          <w:bCs/>
          <w:snapToGrid w:val="0"/>
          <w:color w:val="auto"/>
          <w:sz w:val="22"/>
          <w:highlight w:val="none"/>
        </w:rPr>
      </w:pPr>
      <w:r>
        <w:rPr>
          <w:rFonts w:hint="eastAsia" w:ascii="宋体" w:hAnsi="宋体" w:cs="宋体"/>
          <w:color w:val="auto"/>
          <w:spacing w:val="-6"/>
          <w:sz w:val="22"/>
          <w:highlight w:val="none"/>
        </w:rPr>
        <w:t>1）</w:t>
      </w:r>
      <w:r>
        <w:rPr>
          <w:rFonts w:hint="eastAsia" w:ascii="宋体" w:hAnsi="宋体" w:cs="宋体"/>
          <w:snapToGrid w:val="0"/>
          <w:color w:val="auto"/>
          <w:sz w:val="22"/>
          <w:highlight w:val="none"/>
        </w:rPr>
        <w:t>有效的法人或者其他组织的营业执照等证明文件，自然人的身份证明（五选一）</w:t>
      </w:r>
      <w:r>
        <w:rPr>
          <w:rFonts w:hint="eastAsia" w:ascii="宋体" w:hAnsi="宋体" w:cs="宋体"/>
          <w:color w:val="auto"/>
          <w:sz w:val="22"/>
          <w:highlight w:val="none"/>
        </w:rPr>
        <w:t>（见附件3-1）</w:t>
      </w:r>
    </w:p>
    <w:p w14:paraId="0BE7B9C4">
      <w:pPr>
        <w:tabs>
          <w:tab w:val="left" w:pos="0"/>
        </w:tabs>
        <w:adjustRightInd w:val="0"/>
        <w:snapToGrid w:val="0"/>
        <w:spacing w:line="360" w:lineRule="exact"/>
        <w:ind w:firstLine="416" w:firstLineChars="200"/>
        <w:rPr>
          <w:rFonts w:ascii="宋体" w:hAnsi="宋体" w:cs="宋体"/>
          <w:color w:val="auto"/>
          <w:highlight w:val="none"/>
        </w:rPr>
      </w:pPr>
      <w:r>
        <w:rPr>
          <w:rFonts w:hint="eastAsia" w:ascii="宋体" w:hAnsi="宋体" w:cs="宋体"/>
          <w:color w:val="auto"/>
          <w:spacing w:val="-6"/>
          <w:sz w:val="22"/>
          <w:highlight w:val="none"/>
        </w:rPr>
        <w:t>2）</w:t>
      </w:r>
      <w:r>
        <w:rPr>
          <w:rFonts w:hint="eastAsia" w:ascii="宋体" w:hAnsi="宋体" w:cs="宋体"/>
          <w:snapToGrid w:val="0"/>
          <w:color w:val="auto"/>
          <w:sz w:val="22"/>
          <w:highlight w:val="none"/>
        </w:rPr>
        <w:t>关于符合《中华人民共和国政府采购法》第二十二条规定的承诺函</w:t>
      </w:r>
      <w:r>
        <w:rPr>
          <w:rFonts w:hint="eastAsia" w:ascii="宋体" w:hAnsi="宋体" w:cs="宋体"/>
          <w:color w:val="auto"/>
          <w:sz w:val="22"/>
          <w:highlight w:val="none"/>
        </w:rPr>
        <w:t>（见附件3-2）</w:t>
      </w:r>
    </w:p>
    <w:p w14:paraId="53CE4295">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（3）商务和技术文件</w:t>
      </w:r>
    </w:p>
    <w:p w14:paraId="2ADD38AE">
      <w:pPr>
        <w:tabs>
          <w:tab w:val="left" w:pos="5355"/>
        </w:tabs>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1）评分索引表（见附件4）</w:t>
      </w:r>
    </w:p>
    <w:p w14:paraId="03D429EE">
      <w:pPr>
        <w:tabs>
          <w:tab w:val="left" w:pos="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2）法定代表人资格证明书/法定代表人授权委托书；（见附5）</w:t>
      </w:r>
    </w:p>
    <w:p w14:paraId="7D594435">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3）投标函（见附件6）</w:t>
      </w:r>
    </w:p>
    <w:p w14:paraId="649AA0A9">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4）投标声明书（见附件7）  </w:t>
      </w:r>
    </w:p>
    <w:p w14:paraId="1B125388">
      <w:pPr>
        <w:tabs>
          <w:tab w:val="left" w:pos="535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5）投标人基本情况表（见附件8）                </w:t>
      </w:r>
    </w:p>
    <w:p w14:paraId="291B3D9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6）投标人同类项目业绩一览表（如有）（见附件9）；</w:t>
      </w:r>
    </w:p>
    <w:p w14:paraId="15173BC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7）采购需求偏离表（见附件10）；</w:t>
      </w:r>
    </w:p>
    <w:p w14:paraId="375DEEC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8）项目组成员一览表（见附件11）；</w:t>
      </w:r>
    </w:p>
    <w:p w14:paraId="299F2BA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9）承诺书（见附件12）；</w:t>
      </w:r>
    </w:p>
    <w:p w14:paraId="5A5B79B1">
      <w:pPr>
        <w:pStyle w:val="17"/>
        <w:snapToGrid w:val="0"/>
        <w:spacing w:line="400" w:lineRule="exact"/>
        <w:ind w:firstLine="440" w:firstLineChars="200"/>
        <w:rPr>
          <w:rFonts w:hAnsi="宋体" w:cs="宋体"/>
          <w:color w:val="auto"/>
          <w:sz w:val="22"/>
          <w:highlight w:val="none"/>
        </w:rPr>
      </w:pPr>
      <w:r>
        <w:rPr>
          <w:rFonts w:hint="eastAsia" w:hAnsi="宋体" w:cs="宋体"/>
          <w:color w:val="auto"/>
          <w:sz w:val="22"/>
          <w:highlight w:val="none"/>
        </w:rPr>
        <w:t>10）技术支持材料（见附件13）</w:t>
      </w:r>
    </w:p>
    <w:p w14:paraId="0258601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11）采购活动现场确认声明书（见附件14）；</w:t>
      </w:r>
    </w:p>
    <w:p w14:paraId="136AC4DF">
      <w:pPr>
        <w:spacing w:line="360" w:lineRule="exact"/>
        <w:ind w:firstLine="440" w:firstLineChars="200"/>
        <w:rPr>
          <w:rFonts w:ascii="宋体" w:hAnsi="宋体" w:cs="宋体"/>
          <w:color w:val="auto"/>
          <w:highlight w:val="none"/>
        </w:rPr>
      </w:pPr>
      <w:r>
        <w:rPr>
          <w:rFonts w:hint="eastAsia" w:ascii="宋体" w:hAnsi="宋体" w:cs="宋体"/>
          <w:color w:val="auto"/>
          <w:sz w:val="22"/>
          <w:highlight w:val="none"/>
        </w:rPr>
        <w:t>12）投标人需要说明的其他文件和说明（格式自拟）。</w:t>
      </w:r>
    </w:p>
    <w:p w14:paraId="020F5E2F">
      <w:pPr>
        <w:spacing w:line="360" w:lineRule="exact"/>
        <w:ind w:firstLine="442" w:firstLineChars="200"/>
        <w:rPr>
          <w:rFonts w:ascii="宋体" w:hAnsi="宋体" w:cs="宋体"/>
          <w:color w:val="auto"/>
          <w:sz w:val="22"/>
          <w:highlight w:val="none"/>
        </w:rPr>
      </w:pPr>
      <w:r>
        <w:rPr>
          <w:rFonts w:hint="eastAsia" w:ascii="宋体" w:hAnsi="宋体" w:cs="宋体"/>
          <w:b/>
          <w:bCs/>
          <w:color w:val="auto"/>
          <w:sz w:val="22"/>
          <w:highlight w:val="none"/>
        </w:rPr>
        <w:t>以上内容按照招标文件第四部分附件所附格式填写，相关证书、报告等</w:t>
      </w:r>
      <w:r>
        <w:rPr>
          <w:rFonts w:hint="eastAsia" w:ascii="宋体" w:hAnsi="宋体" w:cs="宋体"/>
          <w:b/>
          <w:bCs/>
          <w:color w:val="auto"/>
          <w:spacing w:val="-6"/>
          <w:sz w:val="22"/>
          <w:highlight w:val="none"/>
        </w:rPr>
        <w:t>如遇年检或换证等特殊情况须按要求提供相应的证明材料</w:t>
      </w:r>
      <w:r>
        <w:rPr>
          <w:rFonts w:hint="eastAsia" w:ascii="宋体" w:hAnsi="宋体" w:cs="宋体"/>
          <w:b/>
          <w:bCs/>
          <w:color w:val="auto"/>
          <w:sz w:val="22"/>
          <w:highlight w:val="none"/>
        </w:rPr>
        <w:t>。没有提供格式的，投标人根据实际情况自行编制。</w:t>
      </w:r>
    </w:p>
    <w:p w14:paraId="229CD9EA">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投标人可在招标文件中对服务的技术规格和要求选用替代标准，但这些替代标准必须相等于或优于招标文件中提出的相应要求，并使采购人满意。同时在采购需求偏离表中作出详细说明。</w:t>
      </w:r>
    </w:p>
    <w:p w14:paraId="76609942">
      <w:pPr>
        <w:pStyle w:val="17"/>
        <w:spacing w:line="360" w:lineRule="exact"/>
        <w:ind w:firstLine="442" w:firstLineChars="200"/>
        <w:rPr>
          <w:rFonts w:hAnsi="宋体" w:cs="宋体"/>
          <w:b/>
          <w:color w:val="auto"/>
          <w:sz w:val="22"/>
          <w:highlight w:val="none"/>
        </w:rPr>
      </w:pPr>
      <w:r>
        <w:rPr>
          <w:rFonts w:hint="eastAsia" w:hAnsi="宋体" w:cs="宋体"/>
          <w:b/>
          <w:color w:val="auto"/>
          <w:sz w:val="22"/>
          <w:highlight w:val="none"/>
        </w:rPr>
        <w:t>5.投标文件格式</w:t>
      </w:r>
    </w:p>
    <w:p w14:paraId="72E4731B">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5.1投标文件须包括本须知第4条中规定的全部内容，投标人不按招标文件的要求提供的投标文件和资料将视为没有对招标文件作实质性响应，其投标将被拒绝，其风险由投标人自行承担。</w:t>
      </w:r>
    </w:p>
    <w:p w14:paraId="4120D602">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14:paraId="23BEE6AA">
      <w:pPr>
        <w:pStyle w:val="17"/>
        <w:spacing w:line="360" w:lineRule="exact"/>
        <w:ind w:firstLine="442" w:firstLineChars="200"/>
        <w:rPr>
          <w:rFonts w:hAnsi="宋体" w:cs="宋体"/>
          <w:b/>
          <w:color w:val="auto"/>
          <w:sz w:val="22"/>
          <w:highlight w:val="none"/>
        </w:rPr>
      </w:pPr>
      <w:r>
        <w:rPr>
          <w:rFonts w:hint="eastAsia" w:hAnsi="宋体" w:cs="宋体"/>
          <w:b/>
          <w:color w:val="auto"/>
          <w:sz w:val="22"/>
          <w:highlight w:val="none"/>
        </w:rPr>
        <w:t>6.投标文件编制要求</w:t>
      </w:r>
    </w:p>
    <w:p w14:paraId="6DA3DCB9">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w:t>
      </w:r>
      <w:r>
        <w:rPr>
          <w:rFonts w:hint="eastAsia" w:ascii="宋体" w:hAnsi="宋体" w:cs="宋体"/>
          <w:b/>
          <w:bCs/>
          <w:color w:val="auto"/>
          <w:sz w:val="22"/>
          <w:highlight w:val="none"/>
        </w:rPr>
        <w:t>投标人应根据电子投标操作指南按本招标文件规定的格式和顺序编制电子投标文件并进行关联定位</w:t>
      </w:r>
      <w:r>
        <w:rPr>
          <w:rFonts w:hint="eastAsia" w:ascii="宋体" w:hAnsi="宋体" w:cs="宋体"/>
          <w:color w:val="auto"/>
          <w:sz w:val="22"/>
          <w:highlight w:val="none"/>
        </w:rPr>
        <w:t>。</w:t>
      </w:r>
    </w:p>
    <w:p w14:paraId="4257A4A9">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6.2由于未按招标文件的规定要求编制投标文件，导致评审小组作出的对投标人的误判，责任由投标人自己承担。</w:t>
      </w:r>
    </w:p>
    <w:p w14:paraId="3754C02F">
      <w:pPr>
        <w:tabs>
          <w:tab w:val="left" w:pos="-180"/>
          <w:tab w:val="left" w:pos="180"/>
          <w:tab w:val="left" w:pos="360"/>
        </w:tabs>
        <w:spacing w:line="3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7.投标报价</w:t>
      </w:r>
    </w:p>
    <w:p w14:paraId="495DAE47">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 xml:space="preserve">7.1 投标总价包含投标人在承包范围内提供服务所需的人工费（含驻点人员的工资、福利、奖金、补贴、津贴、加班费等费用及“五险一金”等工资待遇）及机械、工具材料费、企业应缴税金和应得利润、突发应急及上级布置的专项任务、物价因素、采购代理服务费等完成合同所需的一切本身和不可或缺的所有工作开支、政策性文件规定及合同包含的所有风险、责任等各项全部费用并承担一切风险责任。即“交钥匙工程”，实行固定总价包干。 </w:t>
      </w:r>
    </w:p>
    <w:p w14:paraId="29F3C684">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7.2投标人须按第四部分附件的开标一览表（统一格式）、投标报价明细表（统一格式）的内容填写，并由法定代表人或授权代表签字或签章。</w:t>
      </w:r>
    </w:p>
    <w:p w14:paraId="08137EF0">
      <w:pPr>
        <w:tabs>
          <w:tab w:val="left" w:pos="-180"/>
          <w:tab w:val="left" w:pos="180"/>
          <w:tab w:val="left" w:pos="360"/>
        </w:tabs>
        <w:spacing w:line="360" w:lineRule="exact"/>
        <w:ind w:firstLine="442" w:firstLineChars="200"/>
        <w:rPr>
          <w:rFonts w:ascii="宋体" w:hAnsi="宋体" w:cs="宋体"/>
          <w:b/>
          <w:color w:val="auto"/>
          <w:sz w:val="22"/>
          <w:highlight w:val="none"/>
        </w:rPr>
      </w:pPr>
      <w:bookmarkStart w:id="8" w:name="_Toc7419"/>
      <w:r>
        <w:rPr>
          <w:rFonts w:hint="eastAsia" w:ascii="宋体" w:hAnsi="宋体" w:cs="宋体"/>
          <w:b/>
          <w:color w:val="auto"/>
          <w:sz w:val="22"/>
          <w:highlight w:val="none"/>
        </w:rPr>
        <w:t>7.3报价货币为人民币。</w:t>
      </w:r>
      <w:bookmarkEnd w:id="8"/>
    </w:p>
    <w:p w14:paraId="6EF96D84">
      <w:pPr>
        <w:tabs>
          <w:tab w:val="left" w:pos="-180"/>
          <w:tab w:val="left" w:pos="180"/>
          <w:tab w:val="left" w:pos="360"/>
        </w:tabs>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▲7.4采购人不接受任何选择报价，本次投标每项货物只允许一个报价。</w:t>
      </w:r>
    </w:p>
    <w:p w14:paraId="71EB40DC">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7.5最低报价不能作为中标的保证。</w:t>
      </w:r>
    </w:p>
    <w:p w14:paraId="692424F1">
      <w:pPr>
        <w:tabs>
          <w:tab w:val="left" w:pos="-180"/>
          <w:tab w:val="left" w:pos="180"/>
          <w:tab w:val="left" w:pos="360"/>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8.投标保证金：</w:t>
      </w:r>
      <w:r>
        <w:rPr>
          <w:rFonts w:hint="eastAsia" w:ascii="宋体" w:hAnsi="宋体" w:cs="宋体"/>
          <w:color w:val="auto"/>
          <w:spacing w:val="-6"/>
          <w:sz w:val="22"/>
          <w:highlight w:val="none"/>
          <w:lang w:val="zh-CN"/>
        </w:rPr>
        <w:t>本项目不收取投标保证金。</w:t>
      </w:r>
    </w:p>
    <w:p w14:paraId="2AAA167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9.投标有效期</w:t>
      </w:r>
    </w:p>
    <w:p w14:paraId="5A2D39DC">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9.1</w:t>
      </w:r>
      <w:r>
        <w:rPr>
          <w:rFonts w:hint="eastAsia" w:ascii="宋体" w:hAnsi="宋体" w:cs="宋体"/>
          <w:b/>
          <w:bCs/>
          <w:color w:val="auto"/>
          <w:sz w:val="22"/>
          <w:highlight w:val="none"/>
        </w:rPr>
        <w:t>自提交投标文件的截止之日起</w:t>
      </w:r>
      <w:r>
        <w:rPr>
          <w:rFonts w:hint="eastAsia" w:ascii="宋体" w:hAnsi="宋体" w:cs="宋体"/>
          <w:b/>
          <w:bCs/>
          <w:color w:val="auto"/>
          <w:sz w:val="22"/>
          <w:highlight w:val="none"/>
          <w:u w:val="single"/>
        </w:rPr>
        <w:t>90</w:t>
      </w:r>
      <w:r>
        <w:rPr>
          <w:rFonts w:hint="eastAsia" w:ascii="宋体" w:hAnsi="宋体" w:cs="宋体"/>
          <w:b/>
          <w:bCs/>
          <w:color w:val="auto"/>
          <w:sz w:val="22"/>
          <w:highlight w:val="none"/>
        </w:rPr>
        <w:t>天内投标应保持有效。有效期不足的投标文件将被拒绝。</w:t>
      </w:r>
    </w:p>
    <w:p w14:paraId="14118A36">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9.2特殊情况下，在原投标有效期截止前，采购人可与投标人协商延长投标有效期，这种要求和答复均以书面形式进行。投标人可拒绝接受延期要求。同意延长投标有效期的投标人不得修改投标文件。</w:t>
      </w:r>
    </w:p>
    <w:p w14:paraId="7FEFF28F">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10.投标文件的签署和规定</w:t>
      </w:r>
    </w:p>
    <w:p w14:paraId="333959F3">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cs="宋体"/>
          <w:b/>
          <w:bCs/>
          <w:color w:val="auto"/>
          <w:spacing w:val="-6"/>
          <w:sz w:val="22"/>
          <w:highlight w:val="none"/>
        </w:rPr>
        <w:t>其中资格文件、商务和技术文件中不得出现投标报价，如因投标人原因提前泄露投标报价，是投标人的责任。</w:t>
      </w:r>
    </w:p>
    <w:p w14:paraId="3A3C9ED0">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10.2投标文件须由投标人在规定位置加盖电子签章或公章并由投标人代表签署，投标人应写全称。</w:t>
      </w:r>
    </w:p>
    <w:p w14:paraId="42A55BBE">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10.3投标文件不得涂改，若有修改错漏处，须由投标人代表签字并加盖电子签章或公章。投标文件因字迹潦草或表达不清所引起的后果由投标人负责。</w:t>
      </w:r>
    </w:p>
    <w:p w14:paraId="5CBD5B1E">
      <w:pPr>
        <w:spacing w:line="360" w:lineRule="exact"/>
        <w:ind w:firstLine="440" w:firstLineChars="200"/>
        <w:rPr>
          <w:rFonts w:ascii="宋体" w:hAnsi="宋体" w:cs="宋体"/>
          <w:b/>
          <w:color w:val="auto"/>
          <w:sz w:val="26"/>
          <w:highlight w:val="none"/>
        </w:rPr>
      </w:pPr>
      <w:r>
        <w:rPr>
          <w:rFonts w:hint="eastAsia" w:ascii="宋体" w:hAnsi="宋体" w:cs="宋体"/>
          <w:color w:val="auto"/>
          <w:sz w:val="22"/>
          <w:highlight w:val="none"/>
        </w:rPr>
        <w:t>10.4</w:t>
      </w:r>
      <w:r>
        <w:rPr>
          <w:rFonts w:hint="eastAsia" w:ascii="宋体" w:hAnsi="宋体" w:cs="宋体"/>
          <w:b/>
          <w:bCs/>
          <w:color w:val="auto"/>
          <w:sz w:val="22"/>
          <w:highlight w:val="none"/>
        </w:rPr>
        <w:t>投标文件字迹模糊或在关键的技术、商务条款上表述不清楚，将可能导致其投标被拒绝。</w:t>
      </w:r>
    </w:p>
    <w:p w14:paraId="675D7898">
      <w:pPr>
        <w:spacing w:line="360" w:lineRule="exact"/>
        <w:ind w:firstLine="522" w:firstLineChars="200"/>
        <w:jc w:val="center"/>
        <w:rPr>
          <w:rFonts w:ascii="宋体" w:hAnsi="宋体" w:cs="宋体"/>
          <w:b/>
          <w:color w:val="auto"/>
          <w:sz w:val="26"/>
          <w:highlight w:val="none"/>
        </w:rPr>
      </w:pPr>
    </w:p>
    <w:p w14:paraId="07E8523D">
      <w:pPr>
        <w:spacing w:line="360" w:lineRule="exact"/>
        <w:ind w:firstLine="522" w:firstLineChars="200"/>
        <w:jc w:val="center"/>
        <w:outlineLvl w:val="1"/>
        <w:rPr>
          <w:rFonts w:ascii="宋体" w:hAnsi="宋体" w:cs="宋体"/>
          <w:color w:val="auto"/>
          <w:sz w:val="22"/>
          <w:highlight w:val="none"/>
        </w:rPr>
      </w:pPr>
      <w:bookmarkStart w:id="9" w:name="_Toc9380"/>
      <w:r>
        <w:rPr>
          <w:rFonts w:hint="eastAsia" w:ascii="宋体" w:hAnsi="宋体" w:cs="宋体"/>
          <w:b/>
          <w:color w:val="auto"/>
          <w:sz w:val="26"/>
          <w:highlight w:val="none"/>
        </w:rPr>
        <w:t>四、投标文件的递交</w:t>
      </w:r>
      <w:bookmarkEnd w:id="9"/>
    </w:p>
    <w:p w14:paraId="76A79AAA">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1.电子投标文件的加密、递交</w:t>
      </w:r>
    </w:p>
    <w:p w14:paraId="16E567EB">
      <w:pPr>
        <w:spacing w:line="360" w:lineRule="exact"/>
        <w:ind w:firstLine="440" w:firstLineChars="200"/>
        <w:rPr>
          <w:rFonts w:ascii="宋体" w:hAnsi="宋体" w:cs="宋体"/>
          <w:b/>
          <w:bCs/>
          <w:color w:val="auto"/>
          <w:sz w:val="22"/>
          <w:highlight w:val="none"/>
        </w:rPr>
      </w:pPr>
      <w:r>
        <w:rPr>
          <w:rFonts w:hint="eastAsia" w:ascii="宋体" w:hAnsi="宋体" w:cs="宋体"/>
          <w:color w:val="auto"/>
          <w:kern w:val="0"/>
          <w:sz w:val="22"/>
          <w:highlight w:val="none"/>
        </w:rPr>
        <w:t>投标人</w:t>
      </w:r>
      <w:r>
        <w:rPr>
          <w:rFonts w:hint="eastAsia" w:ascii="宋体" w:hAnsi="宋体" w:cs="宋体"/>
          <w:color w:val="auto"/>
          <w:spacing w:val="-6"/>
          <w:sz w:val="22"/>
          <w:highlight w:val="none"/>
        </w:rPr>
        <w:t>于投标文件提交截止时间前按照电子投标要求将加密电子投标文件上传到“政采云”平台，逾期或未上传成功的将被政府采购云平台拒收</w:t>
      </w:r>
      <w:r>
        <w:rPr>
          <w:rFonts w:hint="eastAsia" w:ascii="宋体" w:hAnsi="宋体" w:cs="宋体"/>
          <w:color w:val="auto"/>
          <w:kern w:val="0"/>
          <w:sz w:val="22"/>
          <w:highlight w:val="none"/>
        </w:rPr>
        <w:t>。</w:t>
      </w:r>
    </w:p>
    <w:p w14:paraId="79D05518">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2.</w:t>
      </w:r>
      <w:r>
        <w:rPr>
          <w:rFonts w:hint="eastAsia" w:ascii="宋体" w:hAnsi="宋体" w:cs="宋体"/>
          <w:b/>
          <w:color w:val="auto"/>
          <w:sz w:val="22"/>
          <w:highlight w:val="none"/>
        </w:rPr>
        <w:t>备份投标文件的加密、递交（如有）</w:t>
      </w:r>
    </w:p>
    <w:p w14:paraId="485D78CC">
      <w:pPr>
        <w:spacing w:line="360" w:lineRule="exact"/>
        <w:ind w:firstLine="440" w:firstLineChars="200"/>
        <w:rPr>
          <w:rFonts w:ascii="宋体" w:hAnsi="宋体" w:cs="宋体"/>
          <w:color w:val="auto"/>
          <w:kern w:val="0"/>
          <w:sz w:val="22"/>
          <w:highlight w:val="none"/>
        </w:rPr>
      </w:pPr>
      <w:r>
        <w:rPr>
          <w:rFonts w:hint="eastAsia" w:ascii="宋体" w:hAnsi="宋体" w:cs="宋体"/>
          <w:color w:val="auto"/>
          <w:sz w:val="22"/>
          <w:highlight w:val="none"/>
        </w:rPr>
        <w:t>为</w:t>
      </w:r>
      <w:r>
        <w:rPr>
          <w:rFonts w:hint="eastAsia" w:ascii="宋体" w:hAnsi="宋体" w:cs="宋体"/>
          <w:color w:val="auto"/>
          <w:kern w:val="0"/>
          <w:sz w:val="22"/>
          <w:highlight w:val="none"/>
        </w:rPr>
        <w:t>确保采购项目顺利实施，避免因政采云上电子投标文件解密失败导致投标人投标无效，</w:t>
      </w:r>
      <w:r>
        <w:rPr>
          <w:color w:val="auto"/>
          <w:highlight w:val="none"/>
        </w:rPr>
        <w:fldChar w:fldCharType="begin"/>
      </w:r>
      <w:r>
        <w:rPr>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color w:val="auto"/>
          <w:highlight w:val="none"/>
        </w:rPr>
        <w:fldChar w:fldCharType="separate"/>
      </w:r>
      <w:r>
        <w:rPr>
          <w:rFonts w:hint="eastAsia" w:ascii="宋体" w:hAnsi="宋体" w:cs="宋体"/>
          <w:color w:val="auto"/>
          <w:kern w:val="0"/>
          <w:sz w:val="22"/>
          <w:highlight w:val="none"/>
        </w:rPr>
        <w:t>投标人在政府采购云平台完成加密电子投标文件的上传后投标文件提交截止时间前将</w:t>
      </w:r>
      <w:r>
        <w:rPr>
          <w:rFonts w:hint="eastAsia" w:ascii="宋体" w:hAnsi="宋体" w:cs="宋体"/>
          <w:b/>
          <w:bCs/>
          <w:color w:val="auto"/>
          <w:sz w:val="22"/>
          <w:highlight w:val="none"/>
        </w:rPr>
        <w:t>以介质存储的数据电文形式的备份投标文件按“</w:t>
      </w:r>
      <w:r>
        <w:rPr>
          <w:rFonts w:hint="eastAsia" w:ascii="宋体" w:hAnsi="宋体" w:cs="宋体"/>
          <w:b/>
          <w:bCs/>
          <w:color w:val="auto"/>
          <w:sz w:val="22"/>
          <w:highlight w:val="none"/>
          <w:lang w:val="zh-CN"/>
        </w:rPr>
        <w:t>投标人须知前附表</w:t>
      </w:r>
      <w:r>
        <w:rPr>
          <w:rFonts w:hint="eastAsia" w:ascii="宋体" w:hAnsi="宋体" w:cs="宋体"/>
          <w:b/>
          <w:bCs/>
          <w:color w:val="auto"/>
          <w:sz w:val="22"/>
          <w:highlight w:val="none"/>
        </w:rPr>
        <w:t>”要求</w:t>
      </w:r>
      <w:r>
        <w:rPr>
          <w:rFonts w:hint="eastAsia" w:ascii="宋体" w:hAnsi="宋体" w:cs="宋体"/>
          <w:b/>
          <w:bCs/>
          <w:color w:val="auto"/>
          <w:sz w:val="22"/>
          <w:highlight w:val="none"/>
        </w:rPr>
        <w:fldChar w:fldCharType="end"/>
      </w:r>
      <w:r>
        <w:rPr>
          <w:rFonts w:hint="eastAsia" w:ascii="宋体" w:hAnsi="宋体" w:cs="宋体"/>
          <w:color w:val="auto"/>
          <w:kern w:val="0"/>
          <w:sz w:val="22"/>
          <w:highlight w:val="none"/>
        </w:rPr>
        <w:t>加密、递交。</w:t>
      </w:r>
    </w:p>
    <w:p w14:paraId="44F00659">
      <w:pPr>
        <w:pStyle w:val="17"/>
        <w:snapToGrid w:val="0"/>
        <w:spacing w:line="360" w:lineRule="exact"/>
        <w:ind w:firstLine="440" w:firstLineChars="200"/>
        <w:rPr>
          <w:rFonts w:hAnsi="宋体" w:cs="宋体"/>
          <w:color w:val="auto"/>
          <w:kern w:val="0"/>
          <w:sz w:val="22"/>
          <w:highlight w:val="none"/>
        </w:rPr>
      </w:pPr>
      <w:r>
        <w:rPr>
          <w:rFonts w:hint="eastAsia" w:hAnsi="宋体" w:cs="宋体"/>
          <w:color w:val="auto"/>
          <w:kern w:val="0"/>
          <w:sz w:val="22"/>
          <w:highlight w:val="none"/>
        </w:rPr>
        <w:t>本项目由采购代理机构做好“</w:t>
      </w:r>
      <w:r>
        <w:rPr>
          <w:rFonts w:hint="eastAsia" w:hAnsi="宋体" w:cs="宋体"/>
          <w:b/>
          <w:bCs/>
          <w:color w:val="auto"/>
          <w:sz w:val="22"/>
          <w:highlight w:val="none"/>
        </w:rPr>
        <w:t>介质存储的数据电文形式的备份投标文件</w:t>
      </w:r>
      <w:r>
        <w:rPr>
          <w:rFonts w:hint="eastAsia" w:hAnsi="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14:paraId="47304ED0">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▲投标人递交的介质存储的数据电文形式的备份投标文件时，如出现下列情况之一的，视为无效备份投标文件：</w:t>
      </w:r>
    </w:p>
    <w:p w14:paraId="234C4A2C">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（1）超过投标文件提交截止时间送达的；</w:t>
      </w:r>
    </w:p>
    <w:p w14:paraId="40C62DD6">
      <w:pPr>
        <w:snapToGrid w:val="0"/>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（2）未在政采云平台获取招标文件的。</w:t>
      </w:r>
    </w:p>
    <w:p w14:paraId="0DD938E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3.投标文件的修改和撤回和撤销</w:t>
      </w:r>
    </w:p>
    <w:p w14:paraId="61686DF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3.1投标人应当在投标文件提交截止时间前完成电子投标文件的传输递交，并可以补充、修改或者撤回电子投标文件。补充或者修改电子投标文件的，应当先行撤回原文件，补充、修改后重新传输递交。投标文件提交截止时间前未完成传输的，视为撤回投标文件。投标文件提交截止时间后送达的投标文件，将被政采云平台拒收。</w:t>
      </w:r>
    </w:p>
    <w:p w14:paraId="7E4FDFE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3.2在投标文件提交截止时间之后，投标人不得对其投标做任何修改。</w:t>
      </w:r>
    </w:p>
    <w:p w14:paraId="594E1AE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3.3在投标(响应）截止时间起至投标（响应）有效期届满，投标人投标（响应）文件不可撤销。</w:t>
      </w:r>
    </w:p>
    <w:p w14:paraId="246A01C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3.4投标人撤销（撤回）投标不得损害国家利益、社会公共利益、采购人利益、代理机构利益、其他投标人利益，否则，投标人撤销（撤回）投标无效。</w:t>
      </w:r>
    </w:p>
    <w:p w14:paraId="11D3198B">
      <w:pPr>
        <w:tabs>
          <w:tab w:val="left" w:pos="360"/>
          <w:tab w:val="left" w:pos="540"/>
          <w:tab w:val="left" w:pos="1260"/>
        </w:tabs>
        <w:spacing w:line="400" w:lineRule="exact"/>
        <w:ind w:left="933" w:hanging="919" w:hangingChars="352"/>
        <w:jc w:val="center"/>
        <w:rPr>
          <w:rFonts w:ascii="宋体" w:hAnsi="宋体" w:cs="宋体"/>
          <w:b/>
          <w:color w:val="auto"/>
          <w:sz w:val="26"/>
          <w:highlight w:val="none"/>
        </w:rPr>
      </w:pPr>
    </w:p>
    <w:p w14:paraId="6A87B2B3">
      <w:pPr>
        <w:tabs>
          <w:tab w:val="left" w:pos="360"/>
          <w:tab w:val="left" w:pos="540"/>
          <w:tab w:val="left" w:pos="1260"/>
        </w:tabs>
        <w:spacing w:line="400" w:lineRule="exact"/>
        <w:ind w:left="933" w:hanging="919" w:hangingChars="352"/>
        <w:jc w:val="center"/>
        <w:outlineLvl w:val="1"/>
        <w:rPr>
          <w:rFonts w:ascii="宋体" w:hAnsi="宋体" w:cs="宋体"/>
          <w:b/>
          <w:color w:val="auto"/>
          <w:sz w:val="26"/>
          <w:highlight w:val="none"/>
        </w:rPr>
      </w:pPr>
      <w:bookmarkStart w:id="10" w:name="_Toc24977"/>
      <w:r>
        <w:rPr>
          <w:rFonts w:hint="eastAsia" w:ascii="宋体" w:hAnsi="宋体" w:cs="宋体"/>
          <w:b/>
          <w:color w:val="auto"/>
          <w:sz w:val="26"/>
          <w:highlight w:val="none"/>
        </w:rPr>
        <w:t>五、开标和评标</w:t>
      </w:r>
      <w:bookmarkEnd w:id="10"/>
    </w:p>
    <w:p w14:paraId="72DF689F">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1.评审小组</w:t>
      </w:r>
    </w:p>
    <w:p w14:paraId="7FBD95AB">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采购人依法组建评审小组。评审小组的成员在评标过程中必须严格遵守《中华人民共和国政府采购法》等有关法律、法规的规定。</w:t>
      </w:r>
    </w:p>
    <w:p w14:paraId="2723AF5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2.评标过程的保密性</w:t>
      </w:r>
    </w:p>
    <w:p w14:paraId="1F0A7DF1">
      <w:pPr>
        <w:spacing w:line="360" w:lineRule="exact"/>
        <w:ind w:firstLine="442" w:firstLineChars="200"/>
        <w:rPr>
          <w:rFonts w:ascii="宋体" w:hAnsi="宋体" w:cs="宋体"/>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2.1开标后直至向中标人授予合同时止，凡与评审有关的资料均不得向投标人及与评标无关人员透露。如果投标人在评标过程中试图向采购人施加影响，其投标将被拒绝。</w:t>
      </w:r>
    </w:p>
    <w:p w14:paraId="708E3827">
      <w:pPr>
        <w:spacing w:line="360" w:lineRule="exact"/>
        <w:rPr>
          <w:rFonts w:ascii="宋体" w:hAnsi="宋体" w:cs="宋体"/>
          <w:color w:val="auto"/>
          <w:sz w:val="22"/>
          <w:highlight w:val="none"/>
        </w:rPr>
      </w:pPr>
      <w:r>
        <w:rPr>
          <w:rFonts w:hint="eastAsia" w:ascii="宋体" w:hAnsi="宋体" w:cs="宋体"/>
          <w:color w:val="auto"/>
          <w:sz w:val="22"/>
          <w:highlight w:val="none"/>
        </w:rPr>
        <w:t>3.开标</w:t>
      </w:r>
    </w:p>
    <w:p w14:paraId="1B0D1373">
      <w:pPr>
        <w:pStyle w:val="50"/>
        <w:snapToGrid w:val="0"/>
        <w:spacing w:line="360" w:lineRule="exact"/>
        <w:ind w:firstLine="440" w:firstLineChars="200"/>
        <w:rPr>
          <w:color w:val="auto"/>
          <w:sz w:val="22"/>
          <w:highlight w:val="none"/>
        </w:rPr>
      </w:pPr>
      <w:r>
        <w:rPr>
          <w:rFonts w:hint="eastAsia"/>
          <w:color w:val="auto"/>
          <w:sz w:val="22"/>
          <w:highlight w:val="none"/>
        </w:rPr>
        <w:t>本项目实行电子开评标，投标人无需前往开评标现场，只需在规定时间内在“政采云”平台上上传电子投标文件。</w:t>
      </w:r>
    </w:p>
    <w:p w14:paraId="5FAFF02D">
      <w:pPr>
        <w:pStyle w:val="50"/>
        <w:snapToGrid w:val="0"/>
        <w:spacing w:line="360" w:lineRule="exact"/>
        <w:ind w:firstLine="440" w:firstLineChars="200"/>
        <w:rPr>
          <w:color w:val="auto"/>
          <w:sz w:val="22"/>
          <w:highlight w:val="none"/>
        </w:rPr>
      </w:pPr>
      <w:r>
        <w:rPr>
          <w:rFonts w:hint="eastAsia"/>
          <w:color w:val="auto"/>
          <w:sz w:val="22"/>
          <w:highlight w:val="none"/>
        </w:rPr>
        <w:t>3.1开标准备</w:t>
      </w:r>
    </w:p>
    <w:p w14:paraId="7B9DE089">
      <w:pPr>
        <w:pStyle w:val="50"/>
        <w:snapToGrid w:val="0"/>
        <w:spacing w:line="360" w:lineRule="exact"/>
        <w:ind w:firstLine="440" w:firstLineChars="200"/>
        <w:rPr>
          <w:color w:val="auto"/>
          <w:sz w:val="22"/>
          <w:highlight w:val="none"/>
        </w:rPr>
      </w:pPr>
      <w:r>
        <w:rPr>
          <w:rFonts w:hint="eastAsia"/>
          <w:color w:val="auto"/>
          <w:sz w:val="22"/>
          <w:highlight w:val="none"/>
        </w:rPr>
        <w:t>3.1.1制订开标、评审工作的组织方案，落实工作场地、设施，检查录音录像采集设备运行情况。采用电子评审方式的，验证电子评审系统是否正常运行。</w:t>
      </w:r>
    </w:p>
    <w:p w14:paraId="72BBE113">
      <w:pPr>
        <w:pStyle w:val="50"/>
        <w:snapToGrid w:val="0"/>
        <w:spacing w:line="360" w:lineRule="exact"/>
        <w:ind w:firstLine="440" w:firstLineChars="200"/>
        <w:rPr>
          <w:color w:val="auto"/>
          <w:sz w:val="22"/>
          <w:highlight w:val="none"/>
        </w:rPr>
      </w:pPr>
      <w:r>
        <w:rPr>
          <w:rFonts w:hint="eastAsia"/>
          <w:color w:val="auto"/>
          <w:sz w:val="22"/>
          <w:highlight w:val="none"/>
        </w:rPr>
        <w:t>3.1.2通知或邀请相关单位和人员出席开标、评审活动（按规定由相关监管部门或其授权机构随机抽取、通知的政府采购评审专家除外）。</w:t>
      </w:r>
    </w:p>
    <w:p w14:paraId="2CB6991A">
      <w:pPr>
        <w:pStyle w:val="50"/>
        <w:snapToGrid w:val="0"/>
        <w:spacing w:line="360" w:lineRule="exact"/>
        <w:ind w:firstLine="440" w:firstLineChars="200"/>
        <w:rPr>
          <w:color w:val="auto"/>
          <w:sz w:val="22"/>
          <w:highlight w:val="none"/>
        </w:rPr>
      </w:pPr>
      <w:r>
        <w:rPr>
          <w:rFonts w:hint="eastAsia"/>
          <w:color w:val="auto"/>
          <w:sz w:val="22"/>
          <w:highlight w:val="none"/>
        </w:rPr>
        <w:t>3.1.3准备政府采购项目的相关文件资料，如项目政府采购预算确认书（计划）、专家抽取有关凭证、项目书面说明、招标文件、补充文件及质疑答复情况、现场工作所需的相关登记表单、评审工作底稿等。</w:t>
      </w:r>
    </w:p>
    <w:p w14:paraId="741C5661">
      <w:pPr>
        <w:pStyle w:val="50"/>
        <w:snapToGrid w:val="0"/>
        <w:spacing w:line="360" w:lineRule="exact"/>
        <w:ind w:firstLine="440" w:firstLineChars="200"/>
        <w:rPr>
          <w:color w:val="auto"/>
          <w:sz w:val="22"/>
          <w:highlight w:val="none"/>
        </w:rPr>
      </w:pPr>
      <w:r>
        <w:rPr>
          <w:rFonts w:hint="eastAsia"/>
          <w:color w:val="auto"/>
          <w:sz w:val="22"/>
          <w:highlight w:val="none"/>
        </w:rPr>
        <w:t>3.1.4其他应准备的事项。</w:t>
      </w:r>
    </w:p>
    <w:p w14:paraId="7E2AC291">
      <w:pPr>
        <w:pStyle w:val="12"/>
        <w:spacing w:line="360" w:lineRule="exact"/>
        <w:ind w:left="0" w:firstLine="440" w:firstLineChars="200"/>
        <w:rPr>
          <w:rFonts w:ascii="宋体" w:hAnsi="宋体" w:cs="宋体"/>
          <w:color w:val="auto"/>
          <w:sz w:val="22"/>
          <w:highlight w:val="none"/>
        </w:rPr>
      </w:pPr>
      <w:r>
        <w:rPr>
          <w:rFonts w:hint="eastAsia" w:ascii="宋体" w:hAnsi="宋体" w:cs="宋体"/>
          <w:color w:val="auto"/>
          <w:sz w:val="22"/>
          <w:highlight w:val="none"/>
        </w:rPr>
        <w:t>3.2采购代理机构按照招标文件规定的时间、地点和程序组织开标，具体按以下程序进行：</w:t>
      </w:r>
    </w:p>
    <w:p w14:paraId="49773447">
      <w:pPr>
        <w:pStyle w:val="17"/>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3.2.1</w:t>
      </w:r>
      <w:r>
        <w:rPr>
          <w:rFonts w:hint="eastAsia" w:hAnsi="宋体" w:cs="宋体"/>
          <w:color w:val="auto"/>
          <w:spacing w:val="-6"/>
          <w:sz w:val="22"/>
          <w:highlight w:val="none"/>
        </w:rPr>
        <w:t>开启评审场地的录音录像采集设备，并确保其正常运行。</w:t>
      </w:r>
    </w:p>
    <w:p w14:paraId="7D1D6E84">
      <w:pPr>
        <w:pStyle w:val="30"/>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3.2.2解密</w:t>
      </w:r>
    </w:p>
    <w:p w14:paraId="6D25BF47">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投标文件提交截止时间止采购代理机构向各投标人发出电子投标文件开始解密通知，由投标人在</w:t>
      </w:r>
      <w:r>
        <w:rPr>
          <w:rFonts w:hint="eastAsia" w:ascii="宋体" w:hAnsi="宋体" w:cs="宋体"/>
          <w:b/>
          <w:bCs/>
          <w:snapToGrid w:val="0"/>
          <w:color w:val="auto"/>
          <w:sz w:val="22"/>
          <w:highlight w:val="none"/>
        </w:rPr>
        <w:t>政采云平台</w:t>
      </w:r>
      <w:r>
        <w:rPr>
          <w:rFonts w:hint="eastAsia" w:ascii="宋体" w:hAnsi="宋体" w:cs="宋体"/>
          <w:b/>
          <w:bCs/>
          <w:color w:val="auto"/>
          <w:sz w:val="22"/>
          <w:highlight w:val="none"/>
        </w:rPr>
        <w:t>规定时间（不少于30分钟）内自行进行投标文件解密（</w:t>
      </w:r>
      <w:r>
        <w:rPr>
          <w:rFonts w:hint="eastAsia" w:ascii="宋体" w:hAnsi="宋体" w:cs="宋体"/>
          <w:b/>
          <w:bCs/>
          <w:color w:val="auto"/>
          <w:kern w:val="0"/>
          <w:sz w:val="22"/>
          <w:highlight w:val="none"/>
        </w:rPr>
        <w:t>投标人无需在开标当天到达开标现场对电子投标进行解密，可在公司办公场地在</w:t>
      </w:r>
      <w:r>
        <w:rPr>
          <w:rFonts w:hint="eastAsia" w:ascii="宋体" w:hAnsi="宋体" w:cs="宋体"/>
          <w:b/>
          <w:bCs/>
          <w:snapToGrid w:val="0"/>
          <w:color w:val="auto"/>
          <w:sz w:val="22"/>
          <w:highlight w:val="none"/>
        </w:rPr>
        <w:t>政采云平台</w:t>
      </w:r>
      <w:r>
        <w:rPr>
          <w:rFonts w:hint="eastAsia" w:ascii="宋体" w:hAnsi="宋体" w:cs="宋体"/>
          <w:b/>
          <w:bCs/>
          <w:color w:val="auto"/>
          <w:kern w:val="0"/>
          <w:sz w:val="22"/>
          <w:highlight w:val="none"/>
        </w:rPr>
        <w:t>规定时间内</w:t>
      </w:r>
      <w:r>
        <w:rPr>
          <w:rFonts w:hint="eastAsia" w:ascii="宋体" w:hAnsi="宋体" w:cs="宋体"/>
          <w:b/>
          <w:bCs/>
          <w:color w:val="auto"/>
          <w:sz w:val="22"/>
          <w:highlight w:val="none"/>
        </w:rPr>
        <w:t>通过制作电子投标文件的CA锁用“项目采购-开标评标”功能</w:t>
      </w:r>
      <w:r>
        <w:rPr>
          <w:rFonts w:hint="eastAsia" w:ascii="宋体" w:hAnsi="宋体" w:cs="宋体"/>
          <w:b/>
          <w:bCs/>
          <w:color w:val="auto"/>
          <w:kern w:val="0"/>
          <w:sz w:val="22"/>
          <w:highlight w:val="none"/>
        </w:rPr>
        <w:t>对电子投标文件进行解密。</w:t>
      </w:r>
      <w:r>
        <w:rPr>
          <w:rFonts w:hint="eastAsia" w:ascii="宋体" w:hAnsi="宋体" w:cs="宋体"/>
          <w:b/>
          <w:bCs/>
          <w:color w:val="auto"/>
          <w:sz w:val="22"/>
          <w:highlight w:val="none"/>
        </w:rPr>
        <w:t>）。</w:t>
      </w:r>
    </w:p>
    <w:p w14:paraId="5C27F469">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本项目原则上采用政采云电子招投标开标及评审程序，但有以下情形的，按以下情况处理：</w:t>
      </w:r>
    </w:p>
    <w:p w14:paraId="03D85676">
      <w:pPr>
        <w:pStyle w:val="17"/>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投标人在政采云规定时间内无法解密或解密失败的，如已按规定递交以介质存储的数据电文形式的备份投标文件的，采购代理机构将按照投标人自身意愿确认是否同意提供加密密码解密传送至浙江乐诚工程咨询有限公司电子邮箱（2812799762@qq.com）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14:paraId="1D799914">
      <w:pPr>
        <w:pStyle w:val="17"/>
        <w:snapToGrid w:val="0"/>
        <w:spacing w:line="360" w:lineRule="exact"/>
        <w:ind w:firstLine="442" w:firstLineChars="200"/>
        <w:rPr>
          <w:rFonts w:hAnsi="宋体" w:cs="宋体"/>
          <w:b/>
          <w:bCs/>
          <w:color w:val="auto"/>
          <w:sz w:val="22"/>
          <w:highlight w:val="none"/>
        </w:rPr>
      </w:pPr>
      <w:r>
        <w:rPr>
          <w:rFonts w:hint="eastAsia" w:hAnsi="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14:paraId="5CF24E2F">
      <w:pPr>
        <w:pStyle w:val="17"/>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投标人不足3家的，不得开标。</w:t>
      </w:r>
    </w:p>
    <w:p w14:paraId="56AE4A92">
      <w:pPr>
        <w:pStyle w:val="17"/>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3.2.3投标文件解密结束，组织投标人签署《采购活动现场确认声明书》，格式详见附件。</w:t>
      </w:r>
    </w:p>
    <w:p w14:paraId="776FB9A6">
      <w:pPr>
        <w:pStyle w:val="17"/>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3.2.4采购代理机构对资格进行审查。</w:t>
      </w:r>
    </w:p>
    <w:p w14:paraId="143203C1">
      <w:pPr>
        <w:pStyle w:val="17"/>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3.2.5评审小组对商务技术文件进行评审。</w:t>
      </w:r>
    </w:p>
    <w:p w14:paraId="5DC6ACB2">
      <w:pPr>
        <w:pStyle w:val="17"/>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3.2.6评审小组对报价情况进行评审。</w:t>
      </w:r>
    </w:p>
    <w:p w14:paraId="29DC219A">
      <w:pPr>
        <w:pStyle w:val="17"/>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3.2.7在系统上公布评审结果。</w:t>
      </w:r>
    </w:p>
    <w:p w14:paraId="7D01CADD">
      <w:pPr>
        <w:pStyle w:val="17"/>
        <w:widowControl w:val="0"/>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特别说明：政采云公司如对电子化开标及评审程序有调整的，按调整后的程序操作。</w:t>
      </w:r>
    </w:p>
    <w:p w14:paraId="48D069C9">
      <w:pPr>
        <w:spacing w:line="360" w:lineRule="exact"/>
        <w:ind w:firstLine="440" w:firstLineChars="200"/>
        <w:rPr>
          <w:rFonts w:ascii="宋体" w:hAnsi="宋体" w:cs="宋体"/>
          <w:bCs/>
          <w:color w:val="auto"/>
          <w:sz w:val="22"/>
          <w:highlight w:val="none"/>
          <w:lang w:val="zh-CN"/>
        </w:rPr>
      </w:pPr>
      <w:r>
        <w:rPr>
          <w:rFonts w:hint="eastAsia" w:ascii="宋体" w:hAnsi="宋体" w:cs="宋体"/>
          <w:color w:val="auto"/>
          <w:sz w:val="22"/>
          <w:highlight w:val="none"/>
        </w:rPr>
        <w:t>4.评标</w:t>
      </w:r>
    </w:p>
    <w:p w14:paraId="7E771444">
      <w:pPr>
        <w:pStyle w:val="17"/>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采购代理机构按照招标文件规定的时间、地点及程序组织评审。评审活动一般应按以下程序组织开展：</w:t>
      </w:r>
    </w:p>
    <w:p w14:paraId="39516326">
      <w:pPr>
        <w:pStyle w:val="17"/>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4.1</w:t>
      </w:r>
      <w:r>
        <w:rPr>
          <w:rFonts w:hint="eastAsia" w:hAnsi="宋体" w:cs="宋体"/>
          <w:color w:val="auto"/>
          <w:spacing w:val="-6"/>
          <w:sz w:val="22"/>
          <w:highlight w:val="none"/>
        </w:rPr>
        <w:t>开启评审场地的录音录像采集设备，并确保其正常运行。</w:t>
      </w:r>
    </w:p>
    <w:p w14:paraId="025578C2">
      <w:pPr>
        <w:pStyle w:val="17"/>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4.2</w:t>
      </w:r>
      <w:r>
        <w:rPr>
          <w:rFonts w:hint="eastAsia" w:hAnsi="宋体" w:cs="宋体"/>
          <w:color w:val="auto"/>
          <w:spacing w:val="-6"/>
          <w:sz w:val="22"/>
          <w:highlight w:val="none"/>
        </w:rPr>
        <w:t>核验出席评审活动现场的评审小组各成员身份，并要求其分别登记、签到，按规定统一收缴、保存其通讯工具，无关人员一律拒绝其进入评审现场。</w:t>
      </w:r>
    </w:p>
    <w:p w14:paraId="240656B0">
      <w:pPr>
        <w:pStyle w:val="17"/>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4.3介绍评审现场的人员情况，宣布评审工作纪律，告知评审小组应当回避情形；组织推选评审小组组长。</w:t>
      </w:r>
    </w:p>
    <w:p w14:paraId="223857DD">
      <w:pPr>
        <w:pStyle w:val="17"/>
        <w:adjustRightInd/>
        <w:spacing w:line="360" w:lineRule="exact"/>
        <w:ind w:firstLine="440" w:firstLineChars="200"/>
        <w:textAlignment w:val="auto"/>
        <w:rPr>
          <w:rFonts w:hAnsi="宋体" w:cs="宋体"/>
          <w:color w:val="auto"/>
          <w:spacing w:val="-6"/>
          <w:sz w:val="22"/>
          <w:highlight w:val="none"/>
        </w:rPr>
      </w:pPr>
      <w:r>
        <w:rPr>
          <w:rFonts w:hint="eastAsia" w:hAnsi="宋体" w:cs="宋体"/>
          <w:color w:val="auto"/>
          <w:sz w:val="22"/>
          <w:highlight w:val="none"/>
        </w:rPr>
        <w:t>4.4宣布获取</w:t>
      </w:r>
      <w:r>
        <w:rPr>
          <w:rFonts w:hint="eastAsia" w:hAnsi="宋体" w:cs="宋体"/>
          <w:color w:val="auto"/>
          <w:spacing w:val="-6"/>
          <w:sz w:val="22"/>
          <w:highlight w:val="none"/>
        </w:rPr>
        <w:t>本项目采购的投标人名单，宣读最终提交投标文件且通过资格审查的投标人名单，组织评审小组各位成员签订《政府采购评审人员廉洁自律承诺书》。</w:t>
      </w:r>
    </w:p>
    <w:p w14:paraId="668F6D0F">
      <w:pPr>
        <w:pStyle w:val="17"/>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4.5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小组提出的有关招标文件、投标文件的问题进行必要的说明、解释或讨论。</w:t>
      </w:r>
      <w:r>
        <w:rPr>
          <w:rFonts w:hint="eastAsia" w:hAnsi="宋体" w:cs="宋体"/>
          <w:color w:val="auto"/>
          <w:kern w:val="0"/>
          <w:sz w:val="22"/>
          <w:highlight w:val="none"/>
        </w:rPr>
        <w:t>评审小组要求投标人澄清、说明或者补正，须通过政采云平台要求澄清、说明或者补正。</w:t>
      </w:r>
    </w:p>
    <w:p w14:paraId="2757C5FF">
      <w:pPr>
        <w:pStyle w:val="50"/>
        <w:snapToGrid w:val="0"/>
        <w:spacing w:line="360" w:lineRule="exact"/>
        <w:ind w:firstLine="416" w:firstLineChars="200"/>
        <w:rPr>
          <w:color w:val="auto"/>
          <w:spacing w:val="-6"/>
          <w:sz w:val="22"/>
          <w:highlight w:val="none"/>
        </w:rPr>
      </w:pPr>
      <w:r>
        <w:rPr>
          <w:rFonts w:hint="eastAsia"/>
          <w:color w:val="auto"/>
          <w:spacing w:val="-6"/>
          <w:sz w:val="22"/>
          <w:highlight w:val="none"/>
        </w:rPr>
        <w:t>4.6评审小组组长组织评审小组独立评审。评审小组对拟认定为投标文件无效的，应组织相关投标人代表进行陈述、澄清或申辩；评审小组组长对打分结果进行校对、核对并汇总统计；对明显畸高、畸低的评分（其主观评分偏离平均分30%以上的），评审小组组长应提醒相关评审人员进行复核或书面说明理由，评审人员拒绝说明的，由现场监督员据实记录；评审人员的评审、修改记录应保留原件，随项目其他资料一并存档。</w:t>
      </w:r>
    </w:p>
    <w:p w14:paraId="6D53908A">
      <w:pPr>
        <w:pStyle w:val="17"/>
        <w:adjustRightInd/>
        <w:spacing w:line="360" w:lineRule="exact"/>
        <w:ind w:firstLine="416" w:firstLineChars="200"/>
        <w:textAlignment w:val="auto"/>
        <w:rPr>
          <w:rFonts w:hAnsi="宋体" w:cs="宋体"/>
          <w:color w:val="auto"/>
          <w:spacing w:val="-6"/>
          <w:sz w:val="22"/>
          <w:highlight w:val="none"/>
        </w:rPr>
      </w:pPr>
      <w:r>
        <w:rPr>
          <w:rFonts w:hint="eastAsia" w:hAnsi="宋体" w:cs="宋体"/>
          <w:color w:val="auto"/>
          <w:spacing w:val="-6"/>
          <w:sz w:val="22"/>
          <w:highlight w:val="none"/>
        </w:rPr>
        <w:t>做好评审现场相关记录，做好评审报告起草、有关内容电脑文字录入等工作，并要求评审小组各成员签字确认。</w:t>
      </w:r>
    </w:p>
    <w:p w14:paraId="39DCF438">
      <w:pPr>
        <w:pStyle w:val="17"/>
        <w:adjustRightInd/>
        <w:spacing w:line="360" w:lineRule="exact"/>
        <w:ind w:firstLine="416" w:firstLineChars="200"/>
        <w:textAlignment w:val="auto"/>
        <w:rPr>
          <w:rFonts w:hAnsi="宋体" w:cs="宋体"/>
          <w:b/>
          <w:bCs/>
          <w:color w:val="auto"/>
          <w:sz w:val="22"/>
          <w:highlight w:val="none"/>
        </w:rPr>
      </w:pPr>
      <w:r>
        <w:rPr>
          <w:rFonts w:hint="eastAsia" w:hAnsi="宋体" w:cs="宋体"/>
          <w:color w:val="auto"/>
          <w:spacing w:val="-6"/>
          <w:sz w:val="22"/>
          <w:highlight w:val="none"/>
        </w:rPr>
        <w:t>4.7评审结束后，采购代理机构交还评审人员及其他现场相关人员的通讯工具。</w:t>
      </w:r>
    </w:p>
    <w:p w14:paraId="6C91EC5F">
      <w:pPr>
        <w:spacing w:line="360" w:lineRule="exact"/>
        <w:rPr>
          <w:rFonts w:ascii="宋体" w:hAnsi="宋体" w:cs="宋体"/>
          <w:color w:val="auto"/>
          <w:sz w:val="22"/>
          <w:highlight w:val="none"/>
        </w:rPr>
      </w:pPr>
      <w:r>
        <w:rPr>
          <w:rFonts w:hint="eastAsia" w:ascii="宋体" w:hAnsi="宋体" w:cs="宋体"/>
          <w:b/>
          <w:bCs/>
          <w:color w:val="auto"/>
          <w:sz w:val="22"/>
          <w:highlight w:val="none"/>
        </w:rPr>
        <w:t>5.投标无效的情形</w:t>
      </w:r>
    </w:p>
    <w:p w14:paraId="3525E529">
      <w:pPr>
        <w:pStyle w:val="17"/>
        <w:adjustRightInd/>
        <w:spacing w:line="360" w:lineRule="exact"/>
        <w:ind w:firstLine="440" w:firstLineChars="200"/>
        <w:textAlignment w:val="auto"/>
        <w:rPr>
          <w:rFonts w:hAnsi="宋体" w:cs="宋体"/>
          <w:color w:val="auto"/>
          <w:spacing w:val="-6"/>
          <w:sz w:val="22"/>
          <w:highlight w:val="none"/>
          <w:u w:val="single"/>
        </w:rPr>
      </w:pPr>
      <w:r>
        <w:rPr>
          <w:rFonts w:hint="eastAsia" w:hAnsi="宋体" w:cs="宋体"/>
          <w:color w:val="auto"/>
          <w:sz w:val="22"/>
          <w:highlight w:val="none"/>
          <w:u w:val="single"/>
        </w:rPr>
        <w:t>▲</w:t>
      </w:r>
      <w:r>
        <w:rPr>
          <w:rFonts w:hint="eastAsia" w:hAnsi="宋体" w:cs="宋体"/>
          <w:color w:val="auto"/>
          <w:spacing w:val="-6"/>
          <w:sz w:val="22"/>
          <w:highlight w:val="none"/>
          <w:u w:val="single"/>
        </w:rPr>
        <w:t>5.1、有下列情形之一的，将不予受理投标文件：</w:t>
      </w:r>
    </w:p>
    <w:p w14:paraId="09D5180F">
      <w:pPr>
        <w:pStyle w:val="17"/>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（1）逾期上传电子档投标文件至“政采云”平台的；</w:t>
      </w:r>
    </w:p>
    <w:p w14:paraId="4F08B9D6">
      <w:pPr>
        <w:pStyle w:val="17"/>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（2）仅递交备份电子投标文件的；</w:t>
      </w:r>
    </w:p>
    <w:p w14:paraId="1CCE1E09">
      <w:pPr>
        <w:pStyle w:val="17"/>
        <w:adjustRightInd/>
        <w:spacing w:line="360" w:lineRule="exact"/>
        <w:ind w:firstLine="416" w:firstLineChars="200"/>
        <w:textAlignment w:val="auto"/>
        <w:rPr>
          <w:rFonts w:hAnsi="宋体" w:cs="宋体"/>
          <w:color w:val="auto"/>
          <w:spacing w:val="-6"/>
          <w:sz w:val="22"/>
          <w:highlight w:val="none"/>
          <w:u w:val="single"/>
        </w:rPr>
      </w:pPr>
      <w:r>
        <w:rPr>
          <w:rFonts w:hint="eastAsia" w:hAnsi="宋体" w:cs="宋体"/>
          <w:color w:val="auto"/>
          <w:spacing w:val="-6"/>
          <w:sz w:val="22"/>
          <w:highlight w:val="none"/>
          <w:u w:val="single"/>
        </w:rPr>
        <w:t>（3）投标文件只有商务技术文件或者商务技术文件与报价文件部分上传在一份文档中的；</w:t>
      </w:r>
    </w:p>
    <w:p w14:paraId="2A630A33">
      <w:pPr>
        <w:spacing w:line="360" w:lineRule="exact"/>
        <w:ind w:firstLine="416" w:firstLineChars="200"/>
        <w:rPr>
          <w:rFonts w:ascii="宋体" w:hAnsi="宋体" w:cs="宋体"/>
          <w:color w:val="auto"/>
          <w:spacing w:val="-6"/>
          <w:sz w:val="22"/>
          <w:highlight w:val="none"/>
          <w:u w:val="single"/>
        </w:rPr>
      </w:pPr>
      <w:r>
        <w:rPr>
          <w:rFonts w:hint="eastAsia" w:ascii="宋体" w:hAnsi="宋体" w:cs="宋体"/>
          <w:color w:val="auto"/>
          <w:spacing w:val="-6"/>
          <w:sz w:val="22"/>
          <w:highlight w:val="none"/>
          <w:u w:val="single"/>
        </w:rPr>
        <w:t>（4）</w:t>
      </w:r>
      <w:r>
        <w:rPr>
          <w:rFonts w:hint="eastAsia" w:ascii="宋体" w:hAnsi="宋体" w:cs="宋体"/>
          <w:color w:val="auto"/>
          <w:sz w:val="22"/>
          <w:highlight w:val="none"/>
          <w:u w:val="single"/>
        </w:rPr>
        <w:t>电子投标文件解密失败的，且未在规定时间内提交备份投标文件的视为投标无效。</w:t>
      </w:r>
    </w:p>
    <w:p w14:paraId="348B1295">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▲5.2在资格审查时，如发现下列情形之一的，投标无效；</w:t>
      </w:r>
    </w:p>
    <w:p w14:paraId="56549F9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（1）资格审查材料不全的，或者不符合招标文件要求的；</w:t>
      </w:r>
    </w:p>
    <w:p w14:paraId="077C40C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（2）“资格文件”未按招标文件要求签署、盖章的；</w:t>
      </w:r>
    </w:p>
    <w:p w14:paraId="44CEA821">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（3）经查询存在不良信用记录的。</w:t>
      </w:r>
    </w:p>
    <w:p w14:paraId="4714C18B">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▲5.3在符合性审查、商务和技术评审时，如发现下列情形之一的，投标无效：</w:t>
      </w:r>
    </w:p>
    <w:p w14:paraId="0251DD3F">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（1）“资格文件”或“商务和技术文件”未按招标文件要求签署、盖章的；</w:t>
      </w:r>
    </w:p>
    <w:p w14:paraId="19A1750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（2）未提供合法、有效法定代表人授权委托书；法定代表人或委托授权代表与投标文件所附身份证明复印件不符；</w:t>
      </w:r>
    </w:p>
    <w:p w14:paraId="62128D4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（3）采购人拟采购的产品属于政府强制采购的节能产品品目清单范围的，投标人相应的投标产品未获得国家确定的认证机构出具的、处于有效期之内的节能产品认证证书的；</w:t>
      </w:r>
    </w:p>
    <w:p w14:paraId="7CC25BBE">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（4）明显不符合招标文件实质性要求或者与招标文件中标“▲且加下划线”的内容发生实质性偏离的；</w:t>
      </w:r>
    </w:p>
    <w:p w14:paraId="47467365">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（5）未提供或未如实提供采购需求偏离表的；</w:t>
      </w:r>
    </w:p>
    <w:p w14:paraId="74C5CEC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（6）未提供或未如实提供货物的技术参数，或者投标文件标明的响应或偏离与事实不符或虚假投标的；</w:t>
      </w:r>
    </w:p>
    <w:p w14:paraId="639A36A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（7）投标有效期不能满足招标文件要求的；</w:t>
      </w:r>
    </w:p>
    <w:p w14:paraId="2E30864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（8）投标技术方案不明确，存在一个或一个以上备选（替代）投标方案的；</w:t>
      </w:r>
    </w:p>
    <w:p w14:paraId="169B4BA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（9）投标文件含有采购人不能接受的附加条件的；</w:t>
      </w:r>
    </w:p>
    <w:p w14:paraId="5EB2DA14">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（10）在“资格文件”或“商务和技术文件”中出现投标报价的；</w:t>
      </w:r>
    </w:p>
    <w:p w14:paraId="0E650DE1">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（11）法律、法规和招标文件中规定的其他无效情形的。</w:t>
      </w:r>
    </w:p>
    <w:p w14:paraId="55D237B2">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▲5.4在报价评审时，如发现下列情形之一的，投标无效：</w:t>
      </w:r>
    </w:p>
    <w:p w14:paraId="7CAF8206">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（1）报价文件未按招标文件要求签署、盖章的；</w:t>
      </w:r>
    </w:p>
    <w:p w14:paraId="741C22A1">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（2）未按照招标文件标明的币种报价的；</w:t>
      </w:r>
    </w:p>
    <w:p w14:paraId="76695D77">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（3）报价超出招标文件中规定的最高限价的；</w:t>
      </w:r>
    </w:p>
    <w:p w14:paraId="43339C7C">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（4）投标报价具有选择性，或者开标价格与投标文件承诺的价格不一致的；</w:t>
      </w:r>
    </w:p>
    <w:p w14:paraId="2E071D6F">
      <w:pPr>
        <w:pStyle w:val="12"/>
        <w:spacing w:line="360" w:lineRule="exact"/>
        <w:ind w:left="437" w:leftChars="208" w:firstLine="0" w:firstLineChars="0"/>
        <w:rPr>
          <w:rFonts w:ascii="宋体" w:hAnsi="宋体" w:cs="宋体"/>
          <w:color w:val="auto"/>
          <w:highlight w:val="none"/>
        </w:rPr>
      </w:pPr>
      <w:r>
        <w:rPr>
          <w:rFonts w:hint="eastAsia" w:ascii="宋体" w:hAnsi="宋体" w:cs="宋体"/>
          <w:color w:val="auto"/>
          <w:sz w:val="22"/>
          <w:highlight w:val="none"/>
          <w:u w:val="single"/>
        </w:rPr>
        <w:t>（5）</w:t>
      </w:r>
      <w:r>
        <w:rPr>
          <w:rFonts w:hint="eastAsia" w:ascii="宋体" w:hAnsi="宋体" w:cs="宋体"/>
          <w:color w:val="auto"/>
          <w:kern w:val="0"/>
          <w:sz w:val="22"/>
          <w:highlight w:val="none"/>
          <w:u w:val="single"/>
        </w:rPr>
        <w:t>投标人对根据修正原则修正后的报价不确认的；</w:t>
      </w:r>
    </w:p>
    <w:p w14:paraId="620103BD">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6）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小组应当将其作为无效投标处理。</w:t>
      </w:r>
    </w:p>
    <w:p w14:paraId="5BF95063">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▲5.5</w:t>
      </w:r>
      <w:r>
        <w:rPr>
          <w:rFonts w:hint="eastAsia" w:ascii="宋体" w:hAnsi="宋体" w:cs="宋体"/>
          <w:color w:val="auto"/>
          <w:sz w:val="22"/>
          <w:highlight w:val="none"/>
          <w:u w:val="single"/>
          <w:lang w:val="zh-CN"/>
        </w:rPr>
        <w:t>有下列情形之一的，视为投标人串通投标，</w:t>
      </w:r>
      <w:r>
        <w:rPr>
          <w:rFonts w:hint="eastAsia" w:ascii="宋体" w:hAnsi="宋体" w:cs="宋体"/>
          <w:color w:val="auto"/>
          <w:sz w:val="22"/>
          <w:highlight w:val="none"/>
          <w:u w:val="single"/>
        </w:rPr>
        <w:t>投标无效</w:t>
      </w:r>
      <w:r>
        <w:rPr>
          <w:rFonts w:hint="eastAsia" w:ascii="宋体" w:hAnsi="宋体" w:cs="宋体"/>
          <w:color w:val="auto"/>
          <w:sz w:val="22"/>
          <w:highlight w:val="none"/>
          <w:u w:val="single"/>
          <w:lang w:val="zh-CN"/>
        </w:rPr>
        <w:t>，由采购人或采购代理机构上报政府采购监督管理部门，视情列入不良行为记录名单，在一至三年内禁止参加政府采购活动：</w:t>
      </w:r>
    </w:p>
    <w:p w14:paraId="068DC0EE">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）不同投标人的投标文件由同一单位或者个人编制；</w:t>
      </w:r>
    </w:p>
    <w:p w14:paraId="072F3192">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）不同投标人委托同一单位或者个人办理投标事宜；</w:t>
      </w:r>
    </w:p>
    <w:p w14:paraId="388D6FFA">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3</w:t>
      </w:r>
      <w:r>
        <w:rPr>
          <w:rFonts w:hint="eastAsia" w:ascii="宋体" w:hAnsi="宋体" w:cs="宋体"/>
          <w:color w:val="auto"/>
          <w:sz w:val="22"/>
          <w:highlight w:val="none"/>
          <w:u w:val="single"/>
          <w:lang w:val="zh-CN"/>
        </w:rPr>
        <w:t>）不同投标人的投标文件载明的项目管理成员或者联系人员为同一人；</w:t>
      </w:r>
    </w:p>
    <w:p w14:paraId="250D9DAB">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4</w:t>
      </w:r>
      <w:r>
        <w:rPr>
          <w:rFonts w:hint="eastAsia" w:ascii="宋体" w:hAnsi="宋体" w:cs="宋体"/>
          <w:color w:val="auto"/>
          <w:sz w:val="22"/>
          <w:highlight w:val="none"/>
          <w:u w:val="single"/>
          <w:lang w:val="zh-CN"/>
        </w:rPr>
        <w:t>）不同投标人的投标文件异常一致或者投标报价呈规律性差异；</w:t>
      </w:r>
    </w:p>
    <w:p w14:paraId="1666666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5</w:t>
      </w:r>
      <w:r>
        <w:rPr>
          <w:rFonts w:hint="eastAsia" w:ascii="宋体" w:hAnsi="宋体" w:cs="宋体"/>
          <w:color w:val="auto"/>
          <w:sz w:val="22"/>
          <w:highlight w:val="none"/>
          <w:u w:val="single"/>
          <w:lang w:val="zh-CN"/>
        </w:rPr>
        <w:t>）不同投标人的投标文件相互混装。</w:t>
      </w:r>
    </w:p>
    <w:p w14:paraId="7173BA4F">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rPr>
        <w:t>▲5.6</w:t>
      </w:r>
      <w:r>
        <w:rPr>
          <w:rFonts w:hint="eastAsia" w:ascii="宋体" w:hAnsi="宋体" w:cs="宋体"/>
          <w:color w:val="auto"/>
          <w:sz w:val="22"/>
          <w:highlight w:val="none"/>
          <w:u w:val="single"/>
          <w:lang w:val="zh-CN"/>
        </w:rPr>
        <w:t>除法定串通之外，参与同一个采购包（标段）的投标人存在下列情形之一的，其投标（响应）文件无效：</w:t>
      </w:r>
    </w:p>
    <w:p w14:paraId="7FBF65AD">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1</w:t>
      </w:r>
      <w:r>
        <w:rPr>
          <w:rFonts w:hint="eastAsia" w:ascii="宋体" w:hAnsi="宋体" w:cs="宋体"/>
          <w:color w:val="auto"/>
          <w:sz w:val="22"/>
          <w:highlight w:val="none"/>
          <w:u w:val="single"/>
          <w:lang w:val="zh-CN"/>
        </w:rPr>
        <w:t>）不同投标人的电子投标（响应）文件上传计算机的IP地址、MAC地址、硬盘序列号等硬件信息相同的；</w:t>
      </w:r>
    </w:p>
    <w:p w14:paraId="6CAC9D26">
      <w:pPr>
        <w:spacing w:line="360" w:lineRule="exact"/>
        <w:ind w:firstLine="440" w:firstLineChars="200"/>
        <w:rPr>
          <w:rFonts w:ascii="宋体" w:hAnsi="宋体" w:cs="宋体"/>
          <w:color w:val="auto"/>
          <w:sz w:val="22"/>
          <w:highlight w:val="none"/>
          <w:u w:val="single"/>
          <w:lang w:val="zh-CN"/>
        </w:rPr>
      </w:pPr>
      <w:r>
        <w:rPr>
          <w:rFonts w:hint="eastAsia" w:ascii="宋体" w:hAnsi="宋体" w:cs="宋体"/>
          <w:color w:val="auto"/>
          <w:sz w:val="22"/>
          <w:highlight w:val="none"/>
          <w:u w:val="single"/>
          <w:lang w:val="zh-CN"/>
        </w:rPr>
        <w:t>（</w:t>
      </w:r>
      <w:r>
        <w:rPr>
          <w:rFonts w:hint="eastAsia" w:ascii="宋体" w:hAnsi="宋体" w:cs="宋体"/>
          <w:color w:val="auto"/>
          <w:sz w:val="22"/>
          <w:highlight w:val="none"/>
          <w:u w:val="single"/>
        </w:rPr>
        <w:t>2</w:t>
      </w:r>
      <w:r>
        <w:rPr>
          <w:rFonts w:hint="eastAsia" w:ascii="宋体" w:hAnsi="宋体" w:cs="宋体"/>
          <w:color w:val="auto"/>
          <w:sz w:val="22"/>
          <w:highlight w:val="none"/>
          <w:u w:val="single"/>
          <w:lang w:val="zh-CN"/>
        </w:rPr>
        <w:t>）上传的电子投标（响应）文件若出现使用本项目其他投标（响应）人的数字证书加密的，或者加盖本项目其他投标（响应）人的电子印章的。</w:t>
      </w:r>
    </w:p>
    <w:p w14:paraId="3515AC06">
      <w:pPr>
        <w:pStyle w:val="17"/>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6.错误修正</w:t>
      </w:r>
    </w:p>
    <w:p w14:paraId="1B752757">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投标文件报价出现前后不一致的，除招标文件另有规定外，按照下列规定修正：</w:t>
      </w:r>
    </w:p>
    <w:p w14:paraId="7873012E">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6.1投标文件中开标一览表（报价表）内容与投标文件中相应内容不一致的，以开标一览表（报价表）为准；</w:t>
      </w:r>
    </w:p>
    <w:p w14:paraId="6F0133F9">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6.2大写金额和小写金额不一致的，以大写金额为准；</w:t>
      </w:r>
    </w:p>
    <w:p w14:paraId="1C33D7D0">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6.3单价金额小数点或者百分比有明显错位的，以开标一览表的总价为准，并修改单价；</w:t>
      </w:r>
    </w:p>
    <w:p w14:paraId="0BEAFFE3">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6.4总价金额与按单价汇总金额不一致的，以单价金额计算结果为准。</w:t>
      </w:r>
    </w:p>
    <w:p w14:paraId="51675937">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6.5对不同文字文本投标文件的解释发生异义的，以中文文本为准</w:t>
      </w:r>
    </w:p>
    <w:p w14:paraId="04D68433">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6.6客户端填写的报价与以pdf格式上传文件中的报价不一致的，应以Pdf格式上传文件中的报价为准。</w:t>
      </w:r>
    </w:p>
    <w:p w14:paraId="349A5D9D">
      <w:pPr>
        <w:pStyle w:val="17"/>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同时出现两种以上不一致的，按照前款规定的顺序修正。修正后的报价按照本招标文件“7.投标文件的澄清”规定经投标人确认后产生约束力，投标人不确认的，其投标无效。</w:t>
      </w:r>
    </w:p>
    <w:p w14:paraId="210615A5">
      <w:pPr>
        <w:pStyle w:val="17"/>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7.投标文件的澄清</w:t>
      </w:r>
    </w:p>
    <w:p w14:paraId="01792AF8">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7.1为有助于投标文件的审查、评价，评审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公章），但不得超出投标文件的范围或改变投标文件的实质性内容。根据上述第6条规定，凡属于评审小组在评标中发现的计算错误并进行核实的修改不在此列。</w:t>
      </w:r>
    </w:p>
    <w:p w14:paraId="20721F46">
      <w:pPr>
        <w:pStyle w:val="17"/>
        <w:tabs>
          <w:tab w:val="left" w:pos="0"/>
        </w:tabs>
        <w:spacing w:line="360" w:lineRule="exact"/>
        <w:ind w:firstLine="442" w:firstLineChars="200"/>
        <w:rPr>
          <w:rFonts w:hAnsi="宋体" w:cs="宋体"/>
          <w:b/>
          <w:color w:val="auto"/>
          <w:sz w:val="22"/>
          <w:highlight w:val="none"/>
        </w:rPr>
      </w:pPr>
      <w:r>
        <w:rPr>
          <w:rFonts w:hint="eastAsia" w:hAnsi="宋体" w:cs="宋体"/>
          <w:b/>
          <w:bCs/>
          <w:color w:val="auto"/>
          <w:sz w:val="22"/>
          <w:highlight w:val="none"/>
        </w:rPr>
        <w:t>7.2如果投标人代表拒绝按评审小组要求在“政采云”平台作出在线回复且无其他有效回复方式的，评审小组可以对其作出投标无效处理。</w:t>
      </w:r>
    </w:p>
    <w:p w14:paraId="5526763A">
      <w:pPr>
        <w:tabs>
          <w:tab w:val="left" w:pos="1365"/>
        </w:tabs>
        <w:spacing w:line="360" w:lineRule="exact"/>
        <w:ind w:firstLine="442" w:firstLineChars="200"/>
        <w:rPr>
          <w:rFonts w:ascii="宋体" w:hAnsi="宋体" w:cs="宋体"/>
          <w:b/>
          <w:color w:val="auto"/>
          <w:sz w:val="22"/>
          <w:highlight w:val="none"/>
          <w:u w:val="single"/>
        </w:rPr>
      </w:pPr>
      <w:r>
        <w:rPr>
          <w:rFonts w:hint="eastAsia" w:ascii="宋体" w:hAnsi="宋体" w:cs="宋体"/>
          <w:b/>
          <w:color w:val="auto"/>
          <w:sz w:val="22"/>
          <w:highlight w:val="none"/>
          <w:u w:val="single"/>
        </w:rPr>
        <w:t>▲</w:t>
      </w:r>
      <w:r>
        <w:rPr>
          <w:rFonts w:hint="eastAsia" w:ascii="宋体" w:hAnsi="宋体" w:cs="宋体"/>
          <w:color w:val="auto"/>
          <w:sz w:val="22"/>
          <w:highlight w:val="none"/>
          <w:u w:val="single"/>
        </w:rPr>
        <w:t>7.3经澄清后，若偏差仍存在，且不可接受，投标人则被认为是“没有实质性响应招标文件要求”，其投标不进入下一步评审。</w:t>
      </w:r>
    </w:p>
    <w:p w14:paraId="3F928472">
      <w:pPr>
        <w:pStyle w:val="17"/>
        <w:tabs>
          <w:tab w:val="left" w:pos="630"/>
        </w:tabs>
        <w:adjustRightInd/>
        <w:snapToGrid w:val="0"/>
        <w:spacing w:line="360" w:lineRule="exact"/>
        <w:ind w:firstLine="433" w:firstLineChars="196"/>
        <w:textAlignment w:val="auto"/>
        <w:rPr>
          <w:rFonts w:hAnsi="宋体" w:cs="宋体"/>
          <w:b/>
          <w:bCs/>
          <w:color w:val="auto"/>
          <w:sz w:val="22"/>
          <w:highlight w:val="none"/>
        </w:rPr>
      </w:pPr>
      <w:r>
        <w:rPr>
          <w:rFonts w:hint="eastAsia" w:hAnsi="宋体" w:cs="宋体"/>
          <w:b/>
          <w:bCs/>
          <w:color w:val="auto"/>
          <w:sz w:val="22"/>
          <w:highlight w:val="none"/>
        </w:rPr>
        <w:t>8.评标原则和评标办法</w:t>
      </w:r>
    </w:p>
    <w:p w14:paraId="72EFE4D3">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8.1评审小组成员应当按照客观、公正、审慎的原则，根据招标文件规定的评标程序、评标方法和评标标准进行独立评审。招标文件内容违反国家有关强制性规定的，评审小组应当停止评标并向采购人或者采购代理机构说明情况。</w:t>
      </w:r>
    </w:p>
    <w:p w14:paraId="782A6391">
      <w:pPr>
        <w:pStyle w:val="30"/>
        <w:spacing w:before="0" w:beforeAutospacing="0" w:after="0" w:afterAutospacing="0" w:line="360" w:lineRule="exact"/>
        <w:ind w:firstLine="440" w:firstLineChars="200"/>
        <w:jc w:val="both"/>
        <w:rPr>
          <w:color w:val="auto"/>
          <w:sz w:val="22"/>
          <w:highlight w:val="none"/>
        </w:rPr>
      </w:pPr>
      <w:r>
        <w:rPr>
          <w:rFonts w:hint="eastAsia"/>
          <w:color w:val="auto"/>
          <w:sz w:val="22"/>
          <w:highlight w:val="none"/>
        </w:rPr>
        <w:t>8.2评标中因评审小组成员缺席、回避或者健康等特殊原因导致评审小组组成不符合规定的，依法补足后继续评标。被更换的评审小组成员所作出的评标意见无效。</w:t>
      </w:r>
    </w:p>
    <w:p w14:paraId="0D3AA7B1">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8.3评审小组成员对需要共同认定的事项存在争议的，应当按照少数服从多数的原则作出结论。持不同意见的评审小组成员应当在评标报告上签署不同意见及理由，否则视为同意评标报告。</w:t>
      </w:r>
    </w:p>
    <w:p w14:paraId="1E3FE813">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8.4评标办法。本项目评标办法是综合评分法，具体评标内容及评分标准等详见第六部分“评标原则及方法”。</w:t>
      </w:r>
    </w:p>
    <w:p w14:paraId="14B6F247">
      <w:pPr>
        <w:pStyle w:val="17"/>
        <w:adjustRightInd/>
        <w:snapToGrid w:val="0"/>
        <w:spacing w:line="360" w:lineRule="exact"/>
        <w:ind w:firstLine="440" w:firstLineChars="200"/>
        <w:textAlignment w:val="auto"/>
        <w:rPr>
          <w:rFonts w:hAnsi="宋体" w:cs="宋体"/>
          <w:color w:val="auto"/>
          <w:sz w:val="22"/>
          <w:highlight w:val="none"/>
        </w:rPr>
      </w:pPr>
      <w:r>
        <w:rPr>
          <w:rFonts w:hint="eastAsia" w:hAnsi="宋体" w:cs="宋体"/>
          <w:color w:val="auto"/>
          <w:sz w:val="22"/>
          <w:highlight w:val="none"/>
        </w:rPr>
        <w:t>8.5评标过程中遇到特殊情况，由评审小组遵循公开、公正原则，采取投票方式按照少数服从多数原则决定。</w:t>
      </w:r>
    </w:p>
    <w:p w14:paraId="49794B4F">
      <w:pPr>
        <w:pStyle w:val="17"/>
        <w:adjustRightInd/>
        <w:snapToGrid w:val="0"/>
        <w:spacing w:line="360" w:lineRule="exact"/>
        <w:ind w:firstLine="440" w:firstLineChars="200"/>
        <w:textAlignment w:val="auto"/>
        <w:rPr>
          <w:rFonts w:hAnsi="宋体" w:cs="宋体"/>
          <w:b/>
          <w:bCs/>
          <w:color w:val="auto"/>
          <w:sz w:val="22"/>
          <w:highlight w:val="none"/>
        </w:rPr>
      </w:pPr>
      <w:r>
        <w:rPr>
          <w:rFonts w:hint="eastAsia" w:hAnsi="宋体" w:cs="宋体"/>
          <w:color w:val="auto"/>
          <w:sz w:val="22"/>
          <w:highlight w:val="none"/>
        </w:rPr>
        <w:t>8.6</w:t>
      </w:r>
      <w:r>
        <w:rPr>
          <w:rFonts w:hint="eastAsia" w:hAnsi="宋体" w:cs="宋体"/>
          <w:b/>
          <w:bCs/>
          <w:color w:val="auto"/>
          <w:sz w:val="22"/>
          <w:highlight w:val="none"/>
        </w:rPr>
        <w:t>《中华人民共和国政府采购法》第三十六条在招标采购中，出现下列情形之一的，应予废标：</w:t>
      </w:r>
    </w:p>
    <w:p w14:paraId="4D4AF468">
      <w:pPr>
        <w:pStyle w:val="17"/>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（一）符合专业条件的供应商或者对招标文件作实质响应的供应商不足三家的；</w:t>
      </w:r>
    </w:p>
    <w:p w14:paraId="4F8F2A66">
      <w:pPr>
        <w:pStyle w:val="17"/>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（二）出现影响采购公正的违法、违规行为的；</w:t>
      </w:r>
    </w:p>
    <w:p w14:paraId="425A651E">
      <w:pPr>
        <w:pStyle w:val="17"/>
        <w:adjustRightInd/>
        <w:snapToGrid w:val="0"/>
        <w:spacing w:line="360" w:lineRule="exact"/>
        <w:ind w:firstLine="442" w:firstLineChars="200"/>
        <w:textAlignment w:val="auto"/>
        <w:rPr>
          <w:rFonts w:hAnsi="宋体" w:cs="宋体"/>
          <w:b/>
          <w:bCs/>
          <w:color w:val="auto"/>
          <w:sz w:val="22"/>
          <w:highlight w:val="none"/>
        </w:rPr>
      </w:pPr>
      <w:r>
        <w:rPr>
          <w:rFonts w:hint="eastAsia" w:hAnsi="宋体" w:cs="宋体"/>
          <w:b/>
          <w:bCs/>
          <w:color w:val="auto"/>
          <w:sz w:val="22"/>
          <w:highlight w:val="none"/>
        </w:rPr>
        <w:t>（三）投标人的报价均超过了采购预算，采购人不能支付的；</w:t>
      </w:r>
    </w:p>
    <w:p w14:paraId="20E6167A">
      <w:pPr>
        <w:pStyle w:val="17"/>
        <w:adjustRightInd/>
        <w:snapToGrid w:val="0"/>
        <w:spacing w:line="360" w:lineRule="exact"/>
        <w:ind w:firstLine="442" w:firstLineChars="200"/>
        <w:textAlignment w:val="auto"/>
        <w:rPr>
          <w:rFonts w:hAnsi="宋体" w:cs="宋体"/>
          <w:color w:val="auto"/>
          <w:sz w:val="22"/>
          <w:highlight w:val="none"/>
        </w:rPr>
      </w:pPr>
      <w:r>
        <w:rPr>
          <w:rFonts w:hint="eastAsia" w:hAnsi="宋体" w:cs="宋体"/>
          <w:b/>
          <w:bCs/>
          <w:color w:val="auto"/>
          <w:sz w:val="22"/>
          <w:highlight w:val="none"/>
        </w:rPr>
        <w:t>（四）因重大变故，采购任务取消的。</w:t>
      </w:r>
    </w:p>
    <w:p w14:paraId="35F91359">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9.确定中标候选人</w:t>
      </w:r>
    </w:p>
    <w:p w14:paraId="2F680CAF">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9.1本次招标由评审小组确定中标候选人（招标文件另有规定的除外）。</w:t>
      </w:r>
    </w:p>
    <w:p w14:paraId="45BB56C3">
      <w:pPr>
        <w:tabs>
          <w:tab w:val="left" w:pos="1365"/>
        </w:tabs>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14:paraId="3EFC51BA">
      <w:pPr>
        <w:widowControl/>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14:paraId="70D83312">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9.4采购人根据招标文件、中标人的投标文件、合同等材料及时组织验收，并严把质量关。</w:t>
      </w:r>
    </w:p>
    <w:p w14:paraId="312C25F6">
      <w:pPr>
        <w:tabs>
          <w:tab w:val="left" w:pos="1365"/>
        </w:tabs>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9.5采购代理机构对决标结果不做任何解释，也不保证最低价中标。</w:t>
      </w:r>
    </w:p>
    <w:p w14:paraId="05B921EB">
      <w:pPr>
        <w:pStyle w:val="17"/>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10.定标</w:t>
      </w:r>
    </w:p>
    <w:p w14:paraId="2A56D5CA">
      <w:pPr>
        <w:pStyle w:val="17"/>
        <w:snapToGrid w:val="0"/>
        <w:spacing w:line="360" w:lineRule="exact"/>
        <w:ind w:firstLine="433" w:firstLineChars="196"/>
        <w:rPr>
          <w:rFonts w:hAnsi="宋体" w:cs="宋体"/>
          <w:b/>
          <w:bCs/>
          <w:color w:val="auto"/>
          <w:sz w:val="22"/>
          <w:highlight w:val="none"/>
        </w:rPr>
      </w:pPr>
      <w:r>
        <w:rPr>
          <w:rFonts w:hint="eastAsia" w:hAnsi="宋体" w:cs="宋体"/>
          <w:b/>
          <w:bCs/>
          <w:color w:val="auto"/>
          <w:sz w:val="22"/>
          <w:highlight w:val="none"/>
        </w:rPr>
        <w:t>（一）确定中标人。本项目由采购人确定中标人。</w:t>
      </w:r>
    </w:p>
    <w:p w14:paraId="605480AB">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10.1.采购代理机构自评审结束之日起2个工作日内将评审报告送交采购人。采购人收到评审报告之日起5个工作日内在评审报告推荐的中标候选人中按照排序由高到低的原则确定中标人，也可以书面授权评审小组直接确定中标人。采购人逾期未确定中标人且不提出异议的，视为确定评审报告提出的排序第一的投标人为中标人。</w:t>
      </w:r>
      <w:r>
        <w:rPr>
          <w:rFonts w:hint="eastAsia" w:ascii="宋体" w:hAnsi="宋体" w:cs="宋体"/>
          <w:color w:val="auto"/>
          <w:spacing w:val="-20"/>
          <w:kern w:val="0"/>
          <w:sz w:val="22"/>
          <w:highlight w:val="none"/>
        </w:rPr>
        <w:t>在采购结果确认环节，中标（成交）候选人撤销投标（响应）文件不能成为采购人不确认采购结果的正当理由。</w:t>
      </w:r>
    </w:p>
    <w:p w14:paraId="24D91B9B">
      <w:pPr>
        <w:snapToGrid w:val="0"/>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10.2.采购代理机构自中标人确定之日起2个工作日内，在省级以上财政部门指定的政府采购信息发布媒体上公告中标结果，同时向中标人发出中标通知书。</w:t>
      </w:r>
    </w:p>
    <w:p w14:paraId="3804C9F9">
      <w:pPr>
        <w:spacing w:line="400" w:lineRule="exact"/>
        <w:jc w:val="center"/>
        <w:rPr>
          <w:rFonts w:ascii="宋体" w:hAnsi="宋体" w:cs="宋体"/>
          <w:b/>
          <w:color w:val="auto"/>
          <w:sz w:val="26"/>
          <w:highlight w:val="none"/>
        </w:rPr>
      </w:pPr>
    </w:p>
    <w:p w14:paraId="2AC525EE">
      <w:pPr>
        <w:spacing w:line="400" w:lineRule="exact"/>
        <w:jc w:val="center"/>
        <w:outlineLvl w:val="1"/>
        <w:rPr>
          <w:rFonts w:ascii="宋体" w:hAnsi="宋体" w:cs="宋体"/>
          <w:b/>
          <w:color w:val="auto"/>
          <w:sz w:val="26"/>
          <w:highlight w:val="none"/>
        </w:rPr>
      </w:pPr>
      <w:bookmarkStart w:id="11" w:name="_Toc19585"/>
      <w:r>
        <w:rPr>
          <w:rFonts w:hint="eastAsia" w:ascii="宋体" w:hAnsi="宋体" w:cs="宋体"/>
          <w:b/>
          <w:color w:val="auto"/>
          <w:sz w:val="26"/>
          <w:highlight w:val="none"/>
        </w:rPr>
        <w:t>六、授予合同</w:t>
      </w:r>
      <w:bookmarkEnd w:id="11"/>
    </w:p>
    <w:p w14:paraId="684CF872">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BE41736">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14:paraId="285B5EBE">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3.投标人在政府采购活动中违反政府采购相关规定给采购组织机构造成损失的，投标人承担赔偿责任；中标供应商放弃中标资格导致重新采购的，应当承担支付采购代理服务费和专家评审费等费用在内的赔偿责任。</w:t>
      </w:r>
    </w:p>
    <w:p w14:paraId="544E56B2">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4.采购人不得向供应商索要或者接受其给予的赠品、回扣或者与采购无关的其他商品、服务。采购过程（采购文件）中应明确以下要求：</w:t>
      </w:r>
    </w:p>
    <w:p w14:paraId="5C60C2EE">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4.1不得明示或暗示供应商提供赠品、回扣、采购预算中本身不包含的其他商品或服务；</w:t>
      </w:r>
    </w:p>
    <w:p w14:paraId="0722FD41">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4.2供应商承诺提供赠品、回扣、采购预算中本身不包含的其他商品或服务，视作无效承诺；不得因无效承诺对供应商实行差别待遇或者歧视待遇；</w:t>
      </w:r>
    </w:p>
    <w:p w14:paraId="645A6374">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4.3合同总价不为零，报价明细表中部分产品、服务单价为零的，视作已包含在总价中（采购文件中明确）；</w:t>
      </w:r>
    </w:p>
    <w:p w14:paraId="7AA645DC">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4.4不得将供应商提供赠品、回扣、采购预算中本身不包含的其他商品或服务作为中标（成交）条件或者合同签订条件；</w:t>
      </w:r>
    </w:p>
    <w:p w14:paraId="57D2F844">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4.5合同签订后，不得接受供应商无效承诺的赠品、回扣、采购预算中本身不包含的其他商品或服务；</w:t>
      </w:r>
    </w:p>
    <w:p w14:paraId="538B1F8B">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4.6合同签订后，不得向供应商索要赠品、回扣、采购预算中本身不包含的其他商品或服务；</w:t>
      </w:r>
    </w:p>
    <w:p w14:paraId="1B460558">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4.7履约验收环节，不得因供应商提供赠品、回扣、采购预算中本身不包含的其他商品或服务减免供应商违约责任。</w:t>
      </w:r>
    </w:p>
    <w:p w14:paraId="6847BF62">
      <w:pPr>
        <w:spacing w:line="360" w:lineRule="exact"/>
        <w:jc w:val="center"/>
        <w:rPr>
          <w:rFonts w:ascii="宋体" w:hAnsi="宋体" w:cs="宋体"/>
          <w:b/>
          <w:color w:val="auto"/>
          <w:sz w:val="26"/>
          <w:highlight w:val="none"/>
        </w:rPr>
      </w:pPr>
    </w:p>
    <w:p w14:paraId="2385F835">
      <w:pPr>
        <w:spacing w:line="360" w:lineRule="exact"/>
        <w:jc w:val="center"/>
        <w:outlineLvl w:val="1"/>
        <w:rPr>
          <w:rFonts w:ascii="宋体" w:hAnsi="宋体" w:cs="宋体"/>
          <w:b/>
          <w:color w:val="auto"/>
          <w:sz w:val="28"/>
          <w:szCs w:val="28"/>
          <w:highlight w:val="none"/>
        </w:rPr>
      </w:pPr>
      <w:bookmarkStart w:id="12" w:name="_Toc3646"/>
      <w:r>
        <w:rPr>
          <w:rFonts w:hint="eastAsia" w:ascii="宋体" w:hAnsi="宋体" w:cs="宋体"/>
          <w:b/>
          <w:color w:val="auto"/>
          <w:sz w:val="26"/>
          <w:highlight w:val="none"/>
        </w:rPr>
        <w:t>七、</w:t>
      </w:r>
      <w:r>
        <w:rPr>
          <w:rFonts w:hint="eastAsia" w:ascii="宋体" w:hAnsi="宋体" w:cs="宋体"/>
          <w:b/>
          <w:color w:val="auto"/>
          <w:sz w:val="28"/>
          <w:szCs w:val="28"/>
          <w:highlight w:val="none"/>
        </w:rPr>
        <w:t>可中止电子交易活动的情形</w:t>
      </w:r>
      <w:bookmarkEnd w:id="12"/>
    </w:p>
    <w:p w14:paraId="658FC86B">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采购过程中出现以下情形，导致电子交易平台无法正常运行，或者无法保证电子交易的公平、公正和安全时，采购组织机构可中止电子交易活动：</w:t>
      </w:r>
    </w:p>
    <w:p w14:paraId="58088F6E">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1</w:t>
      </w:r>
      <w:r>
        <w:rPr>
          <w:rFonts w:hint="eastAsia" w:ascii="宋体" w:hAnsi="宋体" w:cs="宋体"/>
          <w:color w:val="auto"/>
          <w:sz w:val="22"/>
          <w:highlight w:val="none"/>
          <w:lang w:val="zh-CN"/>
        </w:rPr>
        <w:t>）电子交易平台发生故障而无法登录访问的； </w:t>
      </w:r>
    </w:p>
    <w:p w14:paraId="5B7351A4">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2</w:t>
      </w:r>
      <w:r>
        <w:rPr>
          <w:rFonts w:hint="eastAsia" w:ascii="宋体" w:hAnsi="宋体" w:cs="宋体"/>
          <w:color w:val="auto"/>
          <w:sz w:val="22"/>
          <w:highlight w:val="none"/>
          <w:lang w:val="zh-CN"/>
        </w:rPr>
        <w:t>）电子交易平台应用或数据库出现错误，不能进行正常操作的；</w:t>
      </w:r>
    </w:p>
    <w:p w14:paraId="720FE2E2">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3</w:t>
      </w:r>
      <w:r>
        <w:rPr>
          <w:rFonts w:hint="eastAsia" w:ascii="宋体" w:hAnsi="宋体" w:cs="宋体"/>
          <w:color w:val="auto"/>
          <w:sz w:val="22"/>
          <w:highlight w:val="none"/>
          <w:lang w:val="zh-CN"/>
        </w:rPr>
        <w:t>）电子交易平台发现严重安全漏洞，有潜在泄密危险的；</w:t>
      </w:r>
    </w:p>
    <w:p w14:paraId="667FDDED">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lang w:val="zh-CN"/>
        </w:rPr>
        <w:t>（</w:t>
      </w:r>
      <w:r>
        <w:rPr>
          <w:rFonts w:hint="eastAsia" w:ascii="宋体" w:hAnsi="宋体" w:cs="宋体"/>
          <w:color w:val="auto"/>
          <w:sz w:val="22"/>
          <w:highlight w:val="none"/>
        </w:rPr>
        <w:t>4</w:t>
      </w:r>
      <w:r>
        <w:rPr>
          <w:rFonts w:hint="eastAsia" w:ascii="宋体" w:hAnsi="宋体" w:cs="宋体"/>
          <w:color w:val="auto"/>
          <w:sz w:val="22"/>
          <w:highlight w:val="none"/>
          <w:lang w:val="zh-CN"/>
        </w:rPr>
        <w:t>）病毒发作导致不能进行正常操作的； </w:t>
      </w:r>
    </w:p>
    <w:p w14:paraId="5271C79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（5）其他无法保证电子交易的公平、公正和安全的情况。</w:t>
      </w:r>
    </w:p>
    <w:p w14:paraId="72035E7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064C27A5">
      <w:pPr>
        <w:spacing w:line="360" w:lineRule="exact"/>
        <w:ind w:firstLine="442" w:firstLineChars="200"/>
        <w:jc w:val="center"/>
        <w:outlineLvl w:val="0"/>
        <w:rPr>
          <w:rFonts w:ascii="宋体" w:hAnsi="宋体" w:cs="宋体"/>
          <w:b/>
          <w:bCs/>
          <w:color w:val="auto"/>
          <w:szCs w:val="21"/>
          <w:highlight w:val="none"/>
        </w:rPr>
      </w:pPr>
      <w:r>
        <w:rPr>
          <w:rFonts w:hint="eastAsia" w:ascii="宋体" w:hAnsi="宋体" w:cs="宋体"/>
          <w:b/>
          <w:color w:val="auto"/>
          <w:sz w:val="22"/>
          <w:highlight w:val="none"/>
        </w:rPr>
        <w:br w:type="page"/>
      </w:r>
      <w:bookmarkStart w:id="13" w:name="_Toc19021"/>
      <w:r>
        <w:rPr>
          <w:rFonts w:hint="eastAsia" w:ascii="宋体" w:hAnsi="宋体" w:cs="宋体"/>
          <w:b/>
          <w:color w:val="auto"/>
          <w:sz w:val="32"/>
          <w:highlight w:val="none"/>
        </w:rPr>
        <w:t xml:space="preserve">第三部分 </w:t>
      </w:r>
      <w:r>
        <w:rPr>
          <w:rFonts w:hint="eastAsia" w:ascii="宋体" w:hAnsi="宋体" w:cs="宋体"/>
          <w:b/>
          <w:bCs/>
          <w:color w:val="auto"/>
          <w:sz w:val="32"/>
          <w:szCs w:val="32"/>
          <w:highlight w:val="none"/>
        </w:rPr>
        <w:t>拟签订的合同文本</w:t>
      </w:r>
      <w:bookmarkEnd w:id="13"/>
    </w:p>
    <w:p w14:paraId="329996C5">
      <w:pPr>
        <w:spacing w:line="350" w:lineRule="exact"/>
        <w:jc w:val="center"/>
        <w:rPr>
          <w:rFonts w:ascii="宋体" w:hAnsi="宋体" w:cs="宋体"/>
          <w:b/>
          <w:bCs/>
          <w:color w:val="auto"/>
          <w:sz w:val="22"/>
          <w:highlight w:val="none"/>
        </w:rPr>
      </w:pPr>
      <w:r>
        <w:rPr>
          <w:rFonts w:hint="eastAsia" w:ascii="宋体" w:hAnsi="宋体" w:cs="宋体"/>
          <w:color w:val="auto"/>
          <w:sz w:val="22"/>
          <w:highlight w:val="none"/>
        </w:rPr>
        <w:t>（本合同为样稿，最终稿由甲乙双方协商后确定）</w:t>
      </w:r>
    </w:p>
    <w:p w14:paraId="4939D563">
      <w:pPr>
        <w:jc w:val="center"/>
        <w:rPr>
          <w:rFonts w:ascii="宋体" w:hAnsi="宋体" w:cs="宋体"/>
          <w:color w:val="auto"/>
          <w:sz w:val="22"/>
          <w:highlight w:val="none"/>
        </w:rPr>
      </w:pPr>
    </w:p>
    <w:p w14:paraId="4ABC1E4A">
      <w:pPr>
        <w:jc w:val="center"/>
        <w:rPr>
          <w:rFonts w:ascii="宋体" w:hAnsi="宋体" w:cs="宋体"/>
          <w:b/>
          <w:bCs/>
          <w:color w:val="auto"/>
          <w:sz w:val="22"/>
          <w:highlight w:val="none"/>
        </w:rPr>
      </w:pPr>
      <w:r>
        <w:rPr>
          <w:rFonts w:hint="eastAsia" w:ascii="宋体" w:hAnsi="宋体" w:cs="宋体"/>
          <w:b/>
          <w:bCs/>
          <w:color w:val="auto"/>
          <w:sz w:val="22"/>
          <w:highlight w:val="none"/>
        </w:rPr>
        <w:t>温州肯恩大学</w:t>
      </w:r>
    </w:p>
    <w:p w14:paraId="2DE2E93B">
      <w:pPr>
        <w:jc w:val="center"/>
        <w:rPr>
          <w:rFonts w:ascii="宋体" w:hAnsi="宋体" w:cs="宋体"/>
          <w:b/>
          <w:bCs/>
          <w:color w:val="auto"/>
          <w:sz w:val="22"/>
          <w:highlight w:val="none"/>
        </w:rPr>
      </w:pPr>
      <w:r>
        <w:rPr>
          <w:rFonts w:hint="eastAsia" w:ascii="宋体" w:hAnsi="宋体" w:cs="宋体"/>
          <w:b/>
          <w:bCs/>
          <w:color w:val="auto"/>
          <w:sz w:val="22"/>
          <w:highlight w:val="none"/>
        </w:rPr>
        <w:t>XXXXXX服务合同</w:t>
      </w:r>
    </w:p>
    <w:p w14:paraId="751A48EF">
      <w:pPr>
        <w:ind w:right="1124"/>
        <w:jc w:val="center"/>
        <w:rPr>
          <w:rFonts w:ascii="宋体" w:hAnsi="宋体" w:cs="宋体"/>
          <w:b/>
          <w:bCs/>
          <w:color w:val="auto"/>
          <w:sz w:val="22"/>
          <w:highlight w:val="none"/>
        </w:rPr>
      </w:pPr>
      <w:r>
        <w:rPr>
          <w:rFonts w:hint="eastAsia" w:ascii="宋体" w:hAnsi="宋体" w:cs="宋体"/>
          <w:b/>
          <w:bCs/>
          <w:color w:val="auto"/>
          <w:sz w:val="22"/>
          <w:highlight w:val="none"/>
        </w:rPr>
        <w:t xml:space="preserve">                                                合同编号：</w:t>
      </w:r>
      <w:r>
        <w:rPr>
          <w:rFonts w:hint="eastAsia" w:ascii="宋体" w:hAnsi="宋体" w:cs="宋体"/>
          <w:color w:val="auto"/>
          <w:kern w:val="0"/>
          <w:sz w:val="22"/>
          <w:highlight w:val="none"/>
        </w:rPr>
        <w:t>ZJYC2024011（GK)</w:t>
      </w:r>
    </w:p>
    <w:p w14:paraId="0C6CE420">
      <w:pPr>
        <w:ind w:right="-199" w:rightChars="-95"/>
        <w:rPr>
          <w:rFonts w:ascii="宋体" w:hAnsi="宋体" w:cs="宋体"/>
          <w:color w:val="auto"/>
          <w:sz w:val="22"/>
          <w:highlight w:val="none"/>
          <w:lang w:val="zh-CN"/>
        </w:rPr>
      </w:pPr>
      <w:r>
        <w:rPr>
          <w:rFonts w:hint="eastAsia" w:ascii="宋体" w:hAnsi="宋体" w:cs="宋体"/>
          <w:b/>
          <w:bCs/>
          <w:color w:val="auto"/>
          <w:sz w:val="22"/>
          <w:highlight w:val="none"/>
        </w:rPr>
        <w:t xml:space="preserve">甲方：温州肯恩大学 </w:t>
      </w:r>
      <w:r>
        <w:rPr>
          <w:rFonts w:hint="eastAsia" w:ascii="宋体" w:hAnsi="宋体" w:cs="宋体"/>
          <w:color w:val="auto"/>
          <w:sz w:val="22"/>
          <w:highlight w:val="none"/>
          <w:lang w:val="zh-CN"/>
        </w:rPr>
        <w:t>（以下简称“甲方”）</w:t>
      </w:r>
    </w:p>
    <w:p w14:paraId="4878574C">
      <w:pPr>
        <w:spacing w:line="360" w:lineRule="auto"/>
        <w:rPr>
          <w:rFonts w:ascii="宋体" w:hAnsi="宋体" w:cs="宋体"/>
          <w:bCs/>
          <w:color w:val="auto"/>
          <w:sz w:val="22"/>
          <w:highlight w:val="none"/>
        </w:rPr>
      </w:pPr>
      <w:r>
        <w:rPr>
          <w:rFonts w:hint="eastAsia" w:ascii="宋体" w:hAnsi="宋体" w:cs="宋体"/>
          <w:b/>
          <w:color w:val="auto"/>
          <w:sz w:val="22"/>
          <w:highlight w:val="none"/>
        </w:rPr>
        <w:t>联系人：</w:t>
      </w:r>
      <w:r>
        <w:rPr>
          <w:rFonts w:hint="eastAsia" w:ascii="宋体" w:hAnsi="宋体" w:cs="宋体"/>
          <w:color w:val="auto"/>
          <w:sz w:val="22"/>
          <w:highlight w:val="none"/>
        </w:rPr>
        <w:tab/>
      </w:r>
      <w:r>
        <w:rPr>
          <w:rFonts w:hint="eastAsia" w:ascii="宋体" w:hAnsi="宋体" w:cs="宋体"/>
          <w:color w:val="auto"/>
          <w:sz w:val="22"/>
          <w:highlight w:val="none"/>
        </w:rPr>
        <w:tab/>
      </w:r>
      <w:r>
        <w:rPr>
          <w:rFonts w:hint="eastAsia" w:ascii="宋体" w:hAnsi="宋体" w:cs="宋体"/>
          <w:color w:val="auto"/>
          <w:sz w:val="22"/>
          <w:highlight w:val="none"/>
        </w:rPr>
        <w:tab/>
      </w:r>
      <w:r>
        <w:rPr>
          <w:rFonts w:hint="eastAsia" w:ascii="宋体" w:hAnsi="宋体" w:cs="宋体"/>
          <w:color w:val="auto"/>
          <w:sz w:val="22"/>
          <w:highlight w:val="none"/>
        </w:rPr>
        <w:tab/>
      </w:r>
      <w:r>
        <w:rPr>
          <w:rFonts w:hint="eastAsia" w:ascii="宋体" w:hAnsi="宋体" w:cs="宋体"/>
          <w:color w:val="auto"/>
          <w:sz w:val="22"/>
          <w:highlight w:val="none"/>
        </w:rPr>
        <w:t xml:space="preserve"> </w:t>
      </w:r>
      <w:r>
        <w:rPr>
          <w:rFonts w:hint="eastAsia" w:ascii="宋体" w:hAnsi="宋体" w:cs="宋体"/>
          <w:b/>
          <w:color w:val="auto"/>
          <w:sz w:val="22"/>
          <w:highlight w:val="none"/>
        </w:rPr>
        <w:t xml:space="preserve"> 联系方式：</w:t>
      </w:r>
    </w:p>
    <w:p w14:paraId="4BB9D6E0">
      <w:pPr>
        <w:spacing w:line="360" w:lineRule="auto"/>
        <w:rPr>
          <w:rFonts w:ascii="宋体" w:hAnsi="宋体" w:cs="宋体"/>
          <w:b/>
          <w:bCs/>
          <w:color w:val="auto"/>
          <w:sz w:val="22"/>
          <w:highlight w:val="none"/>
        </w:rPr>
      </w:pPr>
      <w:r>
        <w:rPr>
          <w:rFonts w:hint="eastAsia" w:ascii="宋体" w:hAnsi="宋体" w:cs="宋体"/>
          <w:b/>
          <w:color w:val="auto"/>
          <w:sz w:val="22"/>
          <w:highlight w:val="none"/>
        </w:rPr>
        <w:t>乙</w:t>
      </w:r>
      <w:r>
        <w:rPr>
          <w:rFonts w:hint="eastAsia" w:ascii="宋体" w:hAnsi="宋体" w:cs="宋体"/>
          <w:b/>
          <w:bCs/>
          <w:color w:val="auto"/>
          <w:sz w:val="22"/>
          <w:highlight w:val="none"/>
        </w:rPr>
        <w:t xml:space="preserve">方：XXXXXX公司 </w:t>
      </w:r>
      <w:r>
        <w:rPr>
          <w:rFonts w:hint="eastAsia" w:ascii="宋体" w:hAnsi="宋体" w:cs="宋体"/>
          <w:color w:val="auto"/>
          <w:sz w:val="22"/>
          <w:highlight w:val="none"/>
          <w:lang w:val="zh-CN"/>
        </w:rPr>
        <w:t>（以下简称“乙方”）</w:t>
      </w:r>
    </w:p>
    <w:p w14:paraId="3375282B">
      <w:pPr>
        <w:spacing w:line="360" w:lineRule="auto"/>
        <w:rPr>
          <w:rFonts w:ascii="宋体" w:hAnsi="宋体" w:cs="宋体"/>
          <w:b/>
          <w:color w:val="auto"/>
          <w:sz w:val="22"/>
          <w:highlight w:val="none"/>
        </w:rPr>
      </w:pPr>
      <w:r>
        <w:rPr>
          <w:rFonts w:hint="eastAsia" w:ascii="宋体" w:hAnsi="宋体" w:cs="宋体"/>
          <w:b/>
          <w:color w:val="auto"/>
          <w:sz w:val="22"/>
          <w:highlight w:val="none"/>
        </w:rPr>
        <w:t>联系人：               联系方式：</w:t>
      </w:r>
    </w:p>
    <w:p w14:paraId="3092B677">
      <w:pPr>
        <w:spacing w:line="3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甲方接受乙方对本次服务项目的投标，甲乙双方根据《中华人民共和国民法典》等法规和本合同的招标文件、投标文件及其投标中的承诺，经双方协商，同意签订本合同，共同遵守。</w:t>
      </w:r>
    </w:p>
    <w:p w14:paraId="076EB998">
      <w:pPr>
        <w:spacing w:line="36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rPr>
        <w:t xml:space="preserve">1、服务内容及价格（详细清单可附后）                                 单位： </w:t>
      </w:r>
      <w:r>
        <w:rPr>
          <w:rFonts w:hint="eastAsia" w:ascii="宋体" w:hAnsi="宋体" w:cs="宋体"/>
          <w:color w:val="auto"/>
          <w:sz w:val="22"/>
          <w:highlight w:val="none"/>
          <w:u w:val="single"/>
        </w:rPr>
        <w:t xml:space="preserve"> 元 </w:t>
      </w:r>
    </w:p>
    <w:tbl>
      <w:tblPr>
        <w:tblStyle w:val="3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98"/>
        <w:gridCol w:w="1597"/>
        <w:gridCol w:w="1707"/>
        <w:gridCol w:w="1559"/>
        <w:gridCol w:w="1813"/>
      </w:tblGrid>
      <w:tr w14:paraId="5663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3DD29ED6">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1898" w:type="dxa"/>
            <w:vAlign w:val="center"/>
          </w:tcPr>
          <w:p w14:paraId="54244E6F">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服务名称</w:t>
            </w:r>
          </w:p>
        </w:tc>
        <w:tc>
          <w:tcPr>
            <w:tcW w:w="1597" w:type="dxa"/>
            <w:vAlign w:val="center"/>
          </w:tcPr>
          <w:p w14:paraId="0FE1D83C">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服务内容</w:t>
            </w:r>
          </w:p>
        </w:tc>
        <w:tc>
          <w:tcPr>
            <w:tcW w:w="1707" w:type="dxa"/>
            <w:vAlign w:val="center"/>
          </w:tcPr>
          <w:p w14:paraId="66313C74">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服务期限</w:t>
            </w:r>
          </w:p>
        </w:tc>
        <w:tc>
          <w:tcPr>
            <w:tcW w:w="1559" w:type="dxa"/>
            <w:vAlign w:val="center"/>
          </w:tcPr>
          <w:p w14:paraId="09E912FF">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服务地点</w:t>
            </w:r>
          </w:p>
        </w:tc>
        <w:tc>
          <w:tcPr>
            <w:tcW w:w="1813" w:type="dxa"/>
            <w:vAlign w:val="center"/>
          </w:tcPr>
          <w:p w14:paraId="4D8A86D8">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总价</w:t>
            </w:r>
          </w:p>
        </w:tc>
      </w:tr>
      <w:tr w14:paraId="2FE3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4" w:type="dxa"/>
            <w:vAlign w:val="center"/>
          </w:tcPr>
          <w:p w14:paraId="52A9894F">
            <w:pPr>
              <w:snapToGrid w:val="0"/>
              <w:spacing w:line="36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1898" w:type="dxa"/>
            <w:vAlign w:val="center"/>
          </w:tcPr>
          <w:p w14:paraId="4D057ADC">
            <w:pPr>
              <w:spacing w:line="360" w:lineRule="exact"/>
              <w:jc w:val="center"/>
              <w:rPr>
                <w:rFonts w:ascii="宋体" w:hAnsi="宋体" w:cs="宋体"/>
                <w:color w:val="auto"/>
                <w:sz w:val="22"/>
                <w:highlight w:val="none"/>
              </w:rPr>
            </w:pPr>
          </w:p>
        </w:tc>
        <w:tc>
          <w:tcPr>
            <w:tcW w:w="1597" w:type="dxa"/>
            <w:vAlign w:val="center"/>
          </w:tcPr>
          <w:p w14:paraId="6647179F">
            <w:pPr>
              <w:spacing w:line="360" w:lineRule="exact"/>
              <w:jc w:val="center"/>
              <w:rPr>
                <w:rFonts w:ascii="宋体" w:hAnsi="宋体" w:cs="宋体"/>
                <w:color w:val="auto"/>
                <w:sz w:val="22"/>
                <w:highlight w:val="none"/>
              </w:rPr>
            </w:pPr>
            <w:r>
              <w:rPr>
                <w:rFonts w:hint="eastAsia" w:ascii="宋体" w:hAnsi="宋体" w:cs="宋体"/>
                <w:color w:val="auto"/>
                <w:sz w:val="22"/>
                <w:highlight w:val="none"/>
              </w:rPr>
              <w:t>见合同附件</w:t>
            </w:r>
          </w:p>
        </w:tc>
        <w:tc>
          <w:tcPr>
            <w:tcW w:w="1707" w:type="dxa"/>
            <w:vAlign w:val="center"/>
          </w:tcPr>
          <w:p w14:paraId="50621676">
            <w:pPr>
              <w:spacing w:line="360" w:lineRule="exact"/>
              <w:jc w:val="center"/>
              <w:rPr>
                <w:rFonts w:ascii="宋体" w:hAnsi="宋体" w:cs="宋体"/>
                <w:color w:val="auto"/>
                <w:sz w:val="22"/>
                <w:highlight w:val="none"/>
              </w:rPr>
            </w:pPr>
          </w:p>
        </w:tc>
        <w:tc>
          <w:tcPr>
            <w:tcW w:w="1559" w:type="dxa"/>
            <w:vAlign w:val="center"/>
          </w:tcPr>
          <w:p w14:paraId="5E0495B1">
            <w:pPr>
              <w:spacing w:line="360" w:lineRule="exact"/>
              <w:jc w:val="center"/>
              <w:rPr>
                <w:rFonts w:ascii="宋体" w:hAnsi="宋体" w:cs="宋体"/>
                <w:color w:val="auto"/>
                <w:sz w:val="22"/>
                <w:highlight w:val="none"/>
              </w:rPr>
            </w:pPr>
          </w:p>
        </w:tc>
        <w:tc>
          <w:tcPr>
            <w:tcW w:w="1813" w:type="dxa"/>
            <w:vAlign w:val="center"/>
          </w:tcPr>
          <w:p w14:paraId="70EF858F">
            <w:pPr>
              <w:snapToGrid w:val="0"/>
              <w:spacing w:line="360" w:lineRule="exact"/>
              <w:jc w:val="center"/>
              <w:rPr>
                <w:rFonts w:ascii="宋体" w:hAnsi="宋体" w:cs="宋体"/>
                <w:color w:val="auto"/>
                <w:sz w:val="22"/>
                <w:highlight w:val="none"/>
              </w:rPr>
            </w:pPr>
          </w:p>
        </w:tc>
      </w:tr>
      <w:tr w14:paraId="0B04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tcPr>
          <w:p w14:paraId="4C4EEDC3">
            <w:pPr>
              <w:spacing w:line="360" w:lineRule="exact"/>
              <w:rPr>
                <w:rFonts w:ascii="宋体" w:hAnsi="宋体" w:cs="宋体"/>
                <w:color w:val="auto"/>
                <w:sz w:val="22"/>
                <w:highlight w:val="none"/>
              </w:rPr>
            </w:pPr>
            <w:r>
              <w:rPr>
                <w:rFonts w:hint="eastAsia" w:ascii="宋体" w:hAnsi="宋体" w:cs="宋体"/>
                <w:color w:val="auto"/>
                <w:sz w:val="22"/>
                <w:highlight w:val="none"/>
              </w:rPr>
              <w:t>合计：（大写）                                              小写：￥       元</w:t>
            </w:r>
          </w:p>
        </w:tc>
      </w:tr>
      <w:tr w14:paraId="6B42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tcPr>
          <w:p w14:paraId="3CAA45C0">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备注： </w:t>
            </w:r>
          </w:p>
        </w:tc>
      </w:tr>
    </w:tbl>
    <w:p w14:paraId="7841053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2、本合同总价包含乙方在承包范围内提供服务所需的人工费（含驻点人员的工资、福利、奖金、补贴、津贴、加班费等费用及“五险一金”等工资待遇）及机械、工具材料费、企业应缴税金和应得利润、突发应急及上级布置的专项任务、物价因素、采购代理服务费等完成合同所需的一切本身和不可或缺的所有工作开支、政策性文件规定及合同包含的所有风险、责任等各项全部费用并承担一切风险责任。即“交钥匙工程”，实行固定总价包干。 </w:t>
      </w:r>
    </w:p>
    <w:p w14:paraId="7172FEC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3、服务全程必须符合法律法规、行业行规；在服务期间，乙方对服务造成的任何问题或故障负责，所涉及的安全、人员健康等问题，由乙方承担责任，甲方可提供协助。</w:t>
      </w:r>
    </w:p>
    <w:p w14:paraId="63A5F23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4、甲乙双方须指定联系人，如果服务期间需更改联系人，必须及时书面通知对方，否则造成服务问题，由更改方承担责任。甲方联系人：手机号：；乙方联系人：手机号：。</w:t>
      </w:r>
    </w:p>
    <w:p w14:paraId="704ADA0F">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5、付款方式与结算</w:t>
      </w:r>
    </w:p>
    <w:p w14:paraId="029C71BB">
      <w:pPr>
        <w:spacing w:line="360" w:lineRule="exact"/>
        <w:ind w:firstLine="660" w:firstLineChars="300"/>
        <w:rPr>
          <w:rFonts w:ascii="宋体" w:hAnsi="宋体" w:cs="宋体"/>
          <w:color w:val="auto"/>
          <w:sz w:val="22"/>
          <w:highlight w:val="none"/>
        </w:rPr>
      </w:pPr>
      <w:r>
        <w:rPr>
          <w:rFonts w:hint="eastAsia" w:ascii="宋体" w:hAnsi="宋体" w:cs="宋体"/>
          <w:color w:val="auto"/>
          <w:sz w:val="22"/>
          <w:highlight w:val="none"/>
        </w:rPr>
        <w:t>5.1履约保证金支付：</w:t>
      </w:r>
      <w:r>
        <w:rPr>
          <w:rFonts w:hint="eastAsia" w:ascii="宋体" w:hAnsi="宋体" w:cs="宋体"/>
          <w:color w:val="auto"/>
          <w:sz w:val="22"/>
          <w:highlight w:val="none"/>
          <w:u w:val="single"/>
        </w:rPr>
        <w:t>无</w:t>
      </w:r>
    </w:p>
    <w:p w14:paraId="46C3C536">
      <w:pPr>
        <w:pStyle w:val="11"/>
        <w:widowControl/>
        <w:adjustRightInd w:val="0"/>
        <w:snapToGrid w:val="0"/>
        <w:spacing w:line="360" w:lineRule="exact"/>
        <w:rPr>
          <w:rFonts w:ascii="宋体" w:hAnsi="宋体" w:cs="宋体"/>
          <w:color w:val="auto"/>
          <w:sz w:val="22"/>
          <w:highlight w:val="none"/>
          <w:u w:val="single"/>
        </w:rPr>
      </w:pPr>
      <w:r>
        <w:rPr>
          <w:rFonts w:hint="eastAsia" w:ascii="宋体" w:hAnsi="宋体" w:cs="宋体"/>
          <w:color w:val="auto"/>
          <w:sz w:val="22"/>
          <w:highlight w:val="none"/>
        </w:rPr>
        <w:t xml:space="preserve">      5.2合同金额结算及支付方式：</w:t>
      </w:r>
      <w:r>
        <w:rPr>
          <w:rFonts w:hint="eastAsia" w:ascii="宋体" w:hAnsi="宋体" w:cs="宋体"/>
          <w:color w:val="auto"/>
          <w:sz w:val="22"/>
          <w:highlight w:val="none"/>
          <w:u w:val="single"/>
        </w:rPr>
        <w:t>合同生效以及具备实施条件后7个工作日内采购人先预付合同金额的50%给中标人，合同签订之日起6个月后再支付合同金额的40%给中标人，中标人</w:t>
      </w:r>
      <w:r>
        <w:rPr>
          <w:rFonts w:hint="eastAsia" w:ascii="宋体" w:hAnsi="宋体" w:cs="宋体"/>
          <w:color w:val="auto"/>
          <w:sz w:val="22"/>
          <w:highlight w:val="none"/>
          <w:u w:val="single"/>
          <w:lang w:val="zh-CN"/>
        </w:rPr>
        <w:t>完成全部服务内容并通过</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验收完成后，</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自收到合同全额发票后7个工作日内</w:t>
      </w:r>
      <w:r>
        <w:rPr>
          <w:rFonts w:hint="eastAsia" w:ascii="宋体" w:hAnsi="宋体" w:cs="宋体"/>
          <w:color w:val="auto"/>
          <w:sz w:val="22"/>
          <w:highlight w:val="none"/>
          <w:u w:val="single"/>
        </w:rPr>
        <w:t>支付剩余的合同金额。</w:t>
      </w:r>
    </w:p>
    <w:p w14:paraId="5F717DE3">
      <w:pPr>
        <w:spacing w:line="360" w:lineRule="exact"/>
        <w:ind w:firstLine="660" w:firstLineChars="300"/>
        <w:rPr>
          <w:rFonts w:ascii="宋体" w:hAnsi="宋体" w:cs="宋体"/>
          <w:color w:val="auto"/>
          <w:sz w:val="22"/>
          <w:highlight w:val="none"/>
        </w:rPr>
      </w:pPr>
      <w:r>
        <w:rPr>
          <w:rFonts w:hint="eastAsia" w:ascii="宋体" w:hAnsi="宋体" w:cs="宋体"/>
          <w:color w:val="auto"/>
          <w:sz w:val="22"/>
          <w:highlight w:val="none"/>
        </w:rPr>
        <w:t>注：在签订合同时，供应商明确表示无需预付款或者主动要求降低预付款比例的，按实际比例计。供应商明确表示无需预付款的，采用下述付款方式：中标人</w:t>
      </w:r>
      <w:r>
        <w:rPr>
          <w:rFonts w:hint="eastAsia" w:ascii="宋体" w:hAnsi="宋体" w:cs="宋体"/>
          <w:color w:val="auto"/>
          <w:sz w:val="22"/>
          <w:highlight w:val="none"/>
          <w:lang w:val="zh-CN"/>
        </w:rPr>
        <w:t>完成全部服务内容并通过</w:t>
      </w:r>
      <w:r>
        <w:rPr>
          <w:rFonts w:hint="eastAsia" w:ascii="宋体" w:hAnsi="宋体" w:cs="宋体"/>
          <w:color w:val="auto"/>
          <w:sz w:val="22"/>
          <w:highlight w:val="none"/>
        </w:rPr>
        <w:t>采购人</w:t>
      </w:r>
      <w:r>
        <w:rPr>
          <w:rFonts w:hint="eastAsia" w:ascii="宋体" w:hAnsi="宋体" w:cs="宋体"/>
          <w:color w:val="auto"/>
          <w:sz w:val="22"/>
          <w:highlight w:val="none"/>
          <w:lang w:val="zh-CN"/>
        </w:rPr>
        <w:t>验收后，</w:t>
      </w:r>
      <w:r>
        <w:rPr>
          <w:rFonts w:hint="eastAsia" w:ascii="宋体" w:hAnsi="宋体" w:cs="宋体"/>
          <w:color w:val="auto"/>
          <w:sz w:val="22"/>
          <w:highlight w:val="none"/>
        </w:rPr>
        <w:t>采购人</w:t>
      </w:r>
      <w:r>
        <w:rPr>
          <w:rFonts w:hint="eastAsia" w:ascii="宋体" w:hAnsi="宋体" w:cs="宋体"/>
          <w:color w:val="auto"/>
          <w:sz w:val="22"/>
          <w:highlight w:val="none"/>
          <w:lang w:val="zh-CN"/>
        </w:rPr>
        <w:t>自收到发票后7个工作日内</w:t>
      </w:r>
      <w:r>
        <w:rPr>
          <w:rFonts w:hint="eastAsia" w:ascii="宋体" w:hAnsi="宋体" w:cs="宋体"/>
          <w:color w:val="auto"/>
          <w:sz w:val="22"/>
          <w:highlight w:val="none"/>
        </w:rPr>
        <w:t xml:space="preserve">支付全部的合同金额。中标人需开具全额正规发票。 </w:t>
      </w:r>
    </w:p>
    <w:p w14:paraId="1FF75312">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 xml:space="preserve"> 6、双方</w:t>
      </w:r>
      <w:bookmarkStart w:id="14" w:name="_Toc84779279"/>
      <w:r>
        <w:rPr>
          <w:rFonts w:hint="eastAsia" w:ascii="宋体" w:hAnsi="宋体" w:cs="宋体"/>
          <w:color w:val="auto"/>
          <w:sz w:val="22"/>
          <w:highlight w:val="none"/>
        </w:rPr>
        <w:t>的权利与义务</w:t>
      </w:r>
    </w:p>
    <w:p w14:paraId="6E3A98B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6.1 甲方</w:t>
      </w:r>
      <w:bookmarkEnd w:id="14"/>
    </w:p>
    <w:p w14:paraId="59010FF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1）提供相关的协助服务，配合乙方履行好合同义务；</w:t>
      </w:r>
    </w:p>
    <w:p w14:paraId="18CDC01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2）审核乙方服务的内容，按合同规定向乙方支付服务费用；</w:t>
      </w:r>
    </w:p>
    <w:p w14:paraId="01D575BF">
      <w:pPr>
        <w:pStyle w:val="43"/>
        <w:ind w:firstLine="0" w:firstLineChars="0"/>
        <w:rPr>
          <w:rFonts w:hint="eastAsia" w:ascii="宋体" w:hAnsi="宋体" w:cs="宋体"/>
          <w:color w:val="auto"/>
          <w:kern w:val="0"/>
          <w:sz w:val="22"/>
          <w:highlight w:val="none"/>
        </w:rPr>
      </w:pPr>
      <w:r>
        <w:rPr>
          <w:rFonts w:hint="eastAsia" w:ascii="宋体" w:hAnsi="宋体" w:cs="宋体"/>
          <w:color w:val="auto"/>
          <w:sz w:val="22"/>
          <w:highlight w:val="none"/>
        </w:rPr>
        <w:t>3）对乙方组织、进度、质量、现场管理、服务合同的执行情况进行审核、监督和检查。如乙方派出的服务人员在本合同实施过程中，因素质、技术水平、服务质量、现场管理经验、采用的设备、文明安全等都不符合招标文件的要求或投标文件中的承诺，造成现场管理混乱、服务质量和进度达不到投标文件中所承诺的要求时，甲方有权要求其重新调整充实服务人员，乙方必须接受，否则作违约处理，造成经济损失的，乙方应予赔偿。</w:t>
      </w:r>
      <w:r>
        <w:rPr>
          <w:rFonts w:hint="eastAsia" w:ascii="宋体" w:hAnsi="宋体" w:cs="宋体"/>
          <w:color w:val="auto"/>
          <w:kern w:val="0"/>
          <w:sz w:val="22"/>
          <w:highlight w:val="none"/>
        </w:rPr>
        <w:t>因驻场人员或工程师业务不熟悉，导致设备在维修过程中造成再次不可修复的损坏，应由中标单位承担损失。</w:t>
      </w:r>
    </w:p>
    <w:p w14:paraId="15EE1C50">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6.2乙方</w:t>
      </w:r>
    </w:p>
    <w:p w14:paraId="6AC0D78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1）乙方按合同规定的时间、条件和内容提供服务。合同签订后，乙方应立即组织人员对标的项目进行一次全面巡检、维护。</w:t>
      </w:r>
    </w:p>
    <w:p w14:paraId="0318D47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2）编制服务方案和参与服务人员的安排。</w:t>
      </w:r>
    </w:p>
    <w:p w14:paraId="6A9BE08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3）严格按照合同规定时间和要求进行优质的服务。</w:t>
      </w:r>
    </w:p>
    <w:p w14:paraId="79025CB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4）对服务过程出现的问题，无条件负责处理，直至甲方满意为止。</w:t>
      </w:r>
    </w:p>
    <w:p w14:paraId="6AAB9AA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5）合同期满，乙方必须对所有服务内容进行一次全面巡检，确保服务内容无故障。</w:t>
      </w:r>
    </w:p>
    <w:p w14:paraId="54586E6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6）招标文件中规定的其他责任。</w:t>
      </w:r>
    </w:p>
    <w:p w14:paraId="5F9043A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7、合同履约验收按照采购合同、投标文件、招标文件等约定的质量、数量、技术指标或者服务要求设验收指标及其标准。未约定的，应当符合国家强制性规定、政策要求、安全标准、行业或企业有关标准等。 </w:t>
      </w:r>
    </w:p>
    <w:p w14:paraId="3C81310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8、违约责任</w:t>
      </w:r>
    </w:p>
    <w:p w14:paraId="4342593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8.1服务质量责任</w:t>
      </w:r>
    </w:p>
    <w:p w14:paraId="636683DA">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在服务期内，由于乙方原因，服务过程中发生质量问题，由乙方负责处理，实行整改、包修、包换、包退、直至符合质量要求。乙方承担整改、修理、调换、退货发生的一切费用和甲方的直接经济损失。由于甲方原因，由甲方负责，但乙方保证协助解决。</w:t>
      </w:r>
    </w:p>
    <w:p w14:paraId="6EDD245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2）接到甲方通知后，温州及附近地区4小时内，外地24小时内派人赴现场处理服务质量问题。</w:t>
      </w:r>
    </w:p>
    <w:p w14:paraId="34C86896">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8.2违约赔偿</w:t>
      </w:r>
    </w:p>
    <w:p w14:paraId="07611EE2">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除不可抗力和特殊原因双方约定之外，如乙方发生不能按期提供服务，甲方发生终止服务等情况，应及时以书面形式通知对方。双方应本着友好的态度进行协商，妥善解决。</w:t>
      </w:r>
    </w:p>
    <w:p w14:paraId="33EA762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如协商无效，按下列规定处以罚金。</w:t>
      </w:r>
    </w:p>
    <w:p w14:paraId="44C39CE5">
      <w:pPr>
        <w:numPr>
          <w:ilvl w:val="0"/>
          <w:numId w:val="4"/>
        </w:num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乙方无故未按时提供服务或中途临时暂停服务，每逾一日违约罚款按合同总价的0.2%计收，逾期违约赔偿最高限额为合同总价的</w:t>
      </w:r>
      <w:r>
        <w:rPr>
          <w:rFonts w:hint="eastAsia" w:ascii="宋体" w:hAnsi="宋体" w:cs="宋体"/>
          <w:color w:val="auto"/>
          <w:sz w:val="22"/>
          <w:highlight w:val="none"/>
          <w:lang w:val="en-US" w:eastAsia="zh-CN"/>
        </w:rPr>
        <w:t>10</w:t>
      </w:r>
      <w:r>
        <w:rPr>
          <w:rFonts w:hint="eastAsia" w:ascii="宋体" w:hAnsi="宋体" w:cs="宋体"/>
          <w:color w:val="auto"/>
          <w:sz w:val="22"/>
          <w:highlight w:val="none"/>
        </w:rPr>
        <w:t xml:space="preserve">%，如违约金达到最高限额时乙方仍不提供服务，甲方有权终止合同并按乙方不履行服务的违约条款执行。   </w:t>
      </w:r>
    </w:p>
    <w:p w14:paraId="1F66D82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2）乙方未履行服务或甲方终止服务项目</w:t>
      </w:r>
    </w:p>
    <w:p w14:paraId="477F3DA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乙方无故未履行服务，需向甲方偿付违约金。违约金按合同总价的10%计算。</w:t>
      </w:r>
    </w:p>
    <w:p w14:paraId="776C7E8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甲方无故终止服务项目，需向乙方偿付违约金。违约金的计算方法与乙方违约相同。</w:t>
      </w:r>
    </w:p>
    <w:p w14:paraId="183E61CD">
      <w:pPr>
        <w:spacing w:line="360" w:lineRule="exact"/>
        <w:ind w:firstLine="440" w:firstLineChars="200"/>
        <w:rPr>
          <w:rFonts w:ascii="宋体" w:hAnsi="宋体" w:cs="宋体"/>
          <w:color w:val="auto"/>
          <w:sz w:val="22"/>
          <w:highlight w:val="none"/>
          <w:lang w:val="zh-CN"/>
        </w:rPr>
      </w:pPr>
      <w:r>
        <w:rPr>
          <w:rFonts w:hint="eastAsia" w:ascii="宋体" w:hAnsi="宋体" w:cs="宋体"/>
          <w:color w:val="auto"/>
          <w:sz w:val="22"/>
          <w:highlight w:val="none"/>
        </w:rPr>
        <w:t>3）甲方</w:t>
      </w:r>
      <w:r>
        <w:rPr>
          <w:rFonts w:hint="eastAsia" w:ascii="宋体" w:hAnsi="宋体" w:cs="宋体"/>
          <w:color w:val="auto"/>
          <w:sz w:val="22"/>
          <w:highlight w:val="none"/>
          <w:lang w:val="zh-CN"/>
        </w:rPr>
        <w:t>可随时根据实际情况进行核实，一经发现存在克扣或拖欠员工工资及福利等问题，</w:t>
      </w:r>
      <w:r>
        <w:rPr>
          <w:rFonts w:hint="eastAsia" w:ascii="宋体" w:hAnsi="宋体" w:cs="宋体"/>
          <w:color w:val="auto"/>
          <w:sz w:val="22"/>
          <w:highlight w:val="none"/>
        </w:rPr>
        <w:t>甲方</w:t>
      </w:r>
      <w:r>
        <w:rPr>
          <w:rFonts w:hint="eastAsia" w:ascii="宋体" w:hAnsi="宋体" w:cs="宋体"/>
          <w:color w:val="auto"/>
          <w:sz w:val="22"/>
          <w:highlight w:val="none"/>
          <w:lang w:val="zh-CN"/>
        </w:rPr>
        <w:t>有权单方面解除合同，由</w:t>
      </w:r>
      <w:r>
        <w:rPr>
          <w:rFonts w:hint="eastAsia" w:ascii="宋体" w:hAnsi="宋体" w:cs="宋体"/>
          <w:color w:val="auto"/>
          <w:sz w:val="22"/>
          <w:highlight w:val="none"/>
        </w:rPr>
        <w:t>乙方按</w:t>
      </w:r>
      <w:r>
        <w:rPr>
          <w:rFonts w:hint="eastAsia" w:ascii="宋体" w:hAnsi="宋体" w:cs="宋体"/>
          <w:color w:val="auto"/>
          <w:sz w:val="22"/>
          <w:highlight w:val="none"/>
          <w:lang w:val="zh-CN"/>
        </w:rPr>
        <w:t>无故未履行服务承担违约责任。</w:t>
      </w:r>
    </w:p>
    <w:p w14:paraId="2C3AB2D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4）经双方协商同意延期履约或同意终止且无需罚款者不在此例。</w:t>
      </w:r>
    </w:p>
    <w:p w14:paraId="62EBB2E0">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9、合同解除</w:t>
      </w:r>
    </w:p>
    <w:p w14:paraId="073A343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9.1因不可抗力（战争、地震等）导致合同无法履行，双方可解除合同。</w:t>
      </w:r>
    </w:p>
    <w:p w14:paraId="5EF2BB1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9.2乙方未履行服务，超过二周，视为无能力履约，双方可解除合同或甲方可单方面解除合同。</w:t>
      </w:r>
    </w:p>
    <w:p w14:paraId="21010ECB">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10、转让和分包</w:t>
      </w:r>
    </w:p>
    <w:p w14:paraId="40A1519F">
      <w:pPr>
        <w:spacing w:line="36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未经甲方事先书面同意，乙方不得部分转让或分包或全部转让其应履行的合同义务。</w:t>
      </w:r>
    </w:p>
    <w:p w14:paraId="07C50C5E">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11、争端的解决</w:t>
      </w:r>
    </w:p>
    <w:p w14:paraId="2D783031">
      <w:pPr>
        <w:spacing w:line="36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合同实施或与合同有关的一切争端，甲乙双方首先应通过友好协商解决，如果协商仍得不到解决，任何一方可向温州市瓯海区人民法院申请诉讼。</w:t>
      </w:r>
    </w:p>
    <w:p w14:paraId="76DD8A8F">
      <w:pPr>
        <w:snapToGrid w:val="0"/>
        <w:spacing w:line="380" w:lineRule="exact"/>
        <w:ind w:firstLine="440" w:firstLineChars="200"/>
        <w:rPr>
          <w:rFonts w:ascii="宋体" w:hAnsi="宋体" w:cs="宋体"/>
          <w:bCs/>
          <w:color w:val="auto"/>
          <w:sz w:val="22"/>
          <w:highlight w:val="none"/>
        </w:rPr>
      </w:pPr>
      <w:r>
        <w:rPr>
          <w:rFonts w:hint="eastAsia" w:ascii="宋体" w:hAnsi="宋体" w:cs="宋体"/>
          <w:bCs/>
          <w:color w:val="auto"/>
          <w:kern w:val="1"/>
          <w:sz w:val="22"/>
          <w:highlight w:val="none"/>
        </w:rPr>
        <w:t>12</w:t>
      </w:r>
      <w:r>
        <w:rPr>
          <w:rFonts w:hint="eastAsia" w:ascii="宋体" w:hAnsi="宋体" w:cs="宋体"/>
          <w:color w:val="auto"/>
          <w:sz w:val="22"/>
          <w:highlight w:val="none"/>
        </w:rPr>
        <w:t>、</w:t>
      </w:r>
      <w:r>
        <w:rPr>
          <w:rFonts w:hint="eastAsia" w:ascii="宋体" w:hAnsi="宋体" w:cs="宋体"/>
          <w:bCs/>
          <w:color w:val="auto"/>
          <w:kern w:val="1"/>
          <w:sz w:val="22"/>
          <w:highlight w:val="none"/>
        </w:rPr>
        <w:t>合同生效及其他</w:t>
      </w:r>
      <w:r>
        <w:rPr>
          <w:rFonts w:hint="eastAsia" w:ascii="宋体" w:hAnsi="宋体" w:cs="宋体"/>
          <w:bCs/>
          <w:color w:val="auto"/>
          <w:sz w:val="22"/>
          <w:highlight w:val="none"/>
        </w:rPr>
        <w:t>招标文件以及投标文件、询标记录、承诺书（如有）是本合同不可分割的组成部分，本合同未尽事宜从其规定。若本合同约定与前述文件约定不一致的，按照下列顺序予以解释：</w:t>
      </w:r>
    </w:p>
    <w:p w14:paraId="2C198A15">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（1）本合同履行过程中双方签署的变更或补充协议</w:t>
      </w:r>
      <w:bookmarkStart w:id="15" w:name="OLE_LINK38"/>
      <w:r>
        <w:rPr>
          <w:rFonts w:hint="eastAsia" w:ascii="宋体" w:hAnsi="宋体" w:cs="宋体"/>
          <w:b w:val="0"/>
          <w:bCs/>
          <w:color w:val="auto"/>
          <w:kern w:val="2"/>
          <w:sz w:val="22"/>
          <w:szCs w:val="22"/>
          <w:highlight w:val="none"/>
        </w:rPr>
        <w:t>（如有）</w:t>
      </w:r>
      <w:bookmarkEnd w:id="15"/>
      <w:r>
        <w:rPr>
          <w:rFonts w:hint="eastAsia" w:ascii="宋体" w:hAnsi="宋体" w:cs="宋体"/>
          <w:b w:val="0"/>
          <w:bCs/>
          <w:color w:val="auto"/>
          <w:kern w:val="2"/>
          <w:sz w:val="22"/>
          <w:szCs w:val="22"/>
          <w:highlight w:val="none"/>
        </w:rPr>
        <w:t>；</w:t>
      </w:r>
    </w:p>
    <w:p w14:paraId="6AD32476">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（2）本合同；</w:t>
      </w:r>
    </w:p>
    <w:p w14:paraId="412AC518">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（3）项目承诺书（如有）；</w:t>
      </w:r>
    </w:p>
    <w:p w14:paraId="20D7F7DF">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（4）投标文件；</w:t>
      </w:r>
    </w:p>
    <w:p w14:paraId="184CEACC">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（5）招标文件；</w:t>
      </w:r>
    </w:p>
    <w:p w14:paraId="59D86435">
      <w:pPr>
        <w:pStyle w:val="2"/>
        <w:spacing w:line="380" w:lineRule="exact"/>
        <w:ind w:firstLine="220"/>
        <w:rPr>
          <w:rFonts w:ascii="宋体" w:hAnsi="宋体" w:cs="宋体"/>
          <w:b w:val="0"/>
          <w:bCs/>
          <w:color w:val="auto"/>
          <w:kern w:val="2"/>
          <w:sz w:val="22"/>
          <w:szCs w:val="22"/>
          <w:highlight w:val="none"/>
        </w:rPr>
      </w:pPr>
      <w:r>
        <w:rPr>
          <w:rFonts w:hint="eastAsia" w:ascii="宋体" w:hAnsi="宋体" w:cs="宋体"/>
          <w:b w:val="0"/>
          <w:bCs/>
          <w:color w:val="auto"/>
          <w:kern w:val="2"/>
          <w:sz w:val="22"/>
          <w:szCs w:val="22"/>
          <w:highlight w:val="none"/>
        </w:rPr>
        <w:t>（6）其他合同文件。</w:t>
      </w:r>
    </w:p>
    <w:p w14:paraId="5D8925C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13、约定事项：</w:t>
      </w:r>
    </w:p>
    <w:p w14:paraId="717A81E1">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13.1本合同一式肆份，甲方两份、乙方两份。合同经甲方、乙方双方签字盖章后生效。</w:t>
      </w:r>
    </w:p>
    <w:p w14:paraId="03D57EFE">
      <w:pPr>
        <w:spacing w:line="360" w:lineRule="exact"/>
        <w:ind w:firstLine="440" w:firstLineChars="200"/>
        <w:rPr>
          <w:rFonts w:ascii="宋体" w:hAnsi="宋体" w:cs="宋体"/>
          <w:b/>
          <w:color w:val="auto"/>
          <w:sz w:val="22"/>
          <w:highlight w:val="none"/>
        </w:rPr>
      </w:pPr>
      <w:r>
        <w:rPr>
          <w:rFonts w:hint="eastAsia" w:ascii="宋体" w:hAnsi="宋体" w:cs="宋体"/>
          <w:color w:val="auto"/>
          <w:sz w:val="22"/>
          <w:highlight w:val="none"/>
        </w:rPr>
        <w:t>13.2如需修改或补充合同内容，经协商，双方应签署书面修改或补充协议，该协议将作为本合同的一个组成部分。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14:paraId="1818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14:paraId="30757944">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 xml:space="preserve">甲方（盖章）： </w:t>
            </w:r>
          </w:p>
          <w:p w14:paraId="25B9F8E0">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 xml:space="preserve">法人代表： </w:t>
            </w:r>
          </w:p>
          <w:p w14:paraId="6A8D74AD">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委托代理人（签字）：</w:t>
            </w:r>
          </w:p>
          <w:p w14:paraId="4FC1FFBE">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 xml:space="preserve">联系电话： </w:t>
            </w:r>
          </w:p>
          <w:p w14:paraId="607CEF44">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 xml:space="preserve">地址： </w:t>
            </w:r>
          </w:p>
          <w:p w14:paraId="33F3FC57">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 xml:space="preserve">纳税人名称： </w:t>
            </w:r>
          </w:p>
          <w:p w14:paraId="32245A04">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 xml:space="preserve">纳税人识别号： </w:t>
            </w:r>
          </w:p>
          <w:p w14:paraId="379E1F13">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 xml:space="preserve">开户行： </w:t>
            </w:r>
          </w:p>
          <w:p w14:paraId="481AEAA7">
            <w:pPr>
              <w:pStyle w:val="15"/>
              <w:spacing w:after="0" w:line="360" w:lineRule="exact"/>
              <w:ind w:left="0" w:leftChars="0" w:right="0" w:rightChars="0"/>
              <w:jc w:val="left"/>
              <w:rPr>
                <w:rFonts w:ascii="宋体" w:hAnsi="宋体" w:cs="宋体"/>
                <w:color w:val="auto"/>
                <w:sz w:val="22"/>
                <w:highlight w:val="none"/>
              </w:rPr>
            </w:pPr>
            <w:r>
              <w:rPr>
                <w:rFonts w:hint="eastAsia" w:ascii="宋体" w:hAnsi="宋体" w:cs="宋体"/>
                <w:color w:val="auto"/>
                <w:sz w:val="22"/>
                <w:highlight w:val="none"/>
              </w:rPr>
              <w:t xml:space="preserve">账号： </w:t>
            </w:r>
          </w:p>
        </w:tc>
        <w:tc>
          <w:tcPr>
            <w:tcW w:w="4981" w:type="dxa"/>
          </w:tcPr>
          <w:p w14:paraId="4BA8DED6">
            <w:pPr>
              <w:spacing w:line="360" w:lineRule="exact"/>
              <w:rPr>
                <w:rFonts w:ascii="宋体" w:hAnsi="宋体" w:cs="宋体"/>
                <w:color w:val="auto"/>
                <w:sz w:val="22"/>
                <w:highlight w:val="none"/>
                <w:u w:val="single"/>
                <w:lang w:val="zh-CN"/>
              </w:rPr>
            </w:pPr>
            <w:r>
              <w:rPr>
                <w:rFonts w:hint="eastAsia" w:ascii="宋体" w:hAnsi="宋体" w:cs="宋体"/>
                <w:color w:val="auto"/>
                <w:sz w:val="22"/>
                <w:highlight w:val="none"/>
              </w:rPr>
              <w:t xml:space="preserve">乙方（盖章）： </w:t>
            </w:r>
          </w:p>
          <w:p w14:paraId="28798D3D">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法人代表： </w:t>
            </w:r>
          </w:p>
          <w:p w14:paraId="5A2C1A4D">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委托代理人（签字）： </w:t>
            </w:r>
          </w:p>
          <w:p w14:paraId="68F9DE34">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联系电话： </w:t>
            </w:r>
          </w:p>
          <w:p w14:paraId="54CE4FC0">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地 址： </w:t>
            </w:r>
          </w:p>
          <w:p w14:paraId="09D650F2">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纳税人名称： </w:t>
            </w:r>
          </w:p>
          <w:p w14:paraId="7DEBFF5E">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纳税人识别号： </w:t>
            </w:r>
          </w:p>
          <w:p w14:paraId="61B0C6D6">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开户行（与发票一致)： </w:t>
            </w:r>
          </w:p>
          <w:p w14:paraId="55C8EC2A">
            <w:pPr>
              <w:spacing w:line="360" w:lineRule="exact"/>
              <w:rPr>
                <w:rFonts w:ascii="宋体" w:hAnsi="宋体" w:cs="宋体"/>
                <w:color w:val="auto"/>
                <w:sz w:val="22"/>
                <w:highlight w:val="none"/>
              </w:rPr>
            </w:pPr>
            <w:r>
              <w:rPr>
                <w:rFonts w:hint="eastAsia" w:ascii="宋体" w:hAnsi="宋体" w:cs="宋体"/>
                <w:color w:val="auto"/>
                <w:sz w:val="22"/>
                <w:highlight w:val="none"/>
              </w:rPr>
              <w:t xml:space="preserve">账号（与发票一致)： </w:t>
            </w:r>
          </w:p>
        </w:tc>
      </w:tr>
      <w:tr w14:paraId="70D2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tcPr>
          <w:p w14:paraId="0C8BF8C0">
            <w:pPr>
              <w:pStyle w:val="15"/>
              <w:spacing w:after="0" w:line="360" w:lineRule="exact"/>
              <w:ind w:left="0" w:leftChars="0" w:right="0" w:rightChars="0"/>
              <w:jc w:val="center"/>
              <w:rPr>
                <w:rFonts w:ascii="宋体" w:hAnsi="宋体" w:cs="宋体"/>
                <w:color w:val="auto"/>
                <w:sz w:val="22"/>
                <w:highlight w:val="none"/>
              </w:rPr>
            </w:pPr>
            <w:r>
              <w:rPr>
                <w:rFonts w:hint="eastAsia" w:ascii="宋体" w:hAnsi="宋体" w:cs="宋体"/>
                <w:color w:val="auto"/>
                <w:sz w:val="22"/>
                <w:highlight w:val="none"/>
              </w:rPr>
              <w:t>合同签订日期：      年    月    日</w:t>
            </w:r>
          </w:p>
        </w:tc>
      </w:tr>
    </w:tbl>
    <w:p w14:paraId="59C987DA">
      <w:pPr>
        <w:spacing w:line="360" w:lineRule="auto"/>
        <w:rPr>
          <w:rFonts w:ascii="宋体" w:hAnsi="宋体" w:cs="宋体"/>
          <w:bCs/>
          <w:color w:val="auto"/>
          <w:sz w:val="22"/>
          <w:highlight w:val="none"/>
        </w:rPr>
      </w:pPr>
    </w:p>
    <w:p w14:paraId="236DA0D2">
      <w:pPr>
        <w:tabs>
          <w:tab w:val="left" w:pos="4286"/>
        </w:tabs>
        <w:spacing w:line="400" w:lineRule="exact"/>
        <w:jc w:val="center"/>
        <w:rPr>
          <w:rFonts w:ascii="宋体" w:hAnsi="宋体" w:cs="宋体"/>
          <w:b/>
          <w:color w:val="auto"/>
          <w:sz w:val="32"/>
          <w:highlight w:val="none"/>
        </w:rPr>
      </w:pPr>
      <w:r>
        <w:rPr>
          <w:rFonts w:ascii="仿宋" w:hAnsi="仿宋" w:eastAsia="仿宋" w:cs="仿宋"/>
          <w:bCs/>
          <w:color w:val="auto"/>
          <w:sz w:val="24"/>
          <w:szCs w:val="24"/>
          <w:highlight w:val="none"/>
        </w:rPr>
        <w:br w:type="page"/>
      </w:r>
      <w:r>
        <w:rPr>
          <w:rFonts w:hint="eastAsia" w:ascii="黑体" w:hAnsi="黑体" w:eastAsia="黑体" w:cs="黑体"/>
          <w:bCs/>
          <w:color w:val="auto"/>
          <w:sz w:val="28"/>
          <w:szCs w:val="28"/>
          <w:highlight w:val="none"/>
        </w:rPr>
        <w:t xml:space="preserve"> </w:t>
      </w:r>
    </w:p>
    <w:p w14:paraId="3FBF5DF9">
      <w:pPr>
        <w:tabs>
          <w:tab w:val="left" w:pos="4286"/>
        </w:tabs>
        <w:spacing w:line="400" w:lineRule="exact"/>
        <w:jc w:val="center"/>
        <w:outlineLvl w:val="0"/>
        <w:rPr>
          <w:rFonts w:ascii="宋体" w:hAnsi="宋体" w:cs="宋体"/>
          <w:b/>
          <w:color w:val="auto"/>
          <w:sz w:val="32"/>
          <w:highlight w:val="none"/>
        </w:rPr>
      </w:pPr>
      <w:bookmarkStart w:id="16" w:name="_Toc14203"/>
      <w:r>
        <w:rPr>
          <w:rFonts w:hint="eastAsia" w:ascii="宋体" w:hAnsi="宋体" w:cs="宋体"/>
          <w:b/>
          <w:color w:val="auto"/>
          <w:sz w:val="32"/>
          <w:highlight w:val="none"/>
        </w:rPr>
        <w:t>第四部分 附件</w:t>
      </w:r>
      <w:bookmarkEnd w:id="16"/>
    </w:p>
    <w:p w14:paraId="2B84F073">
      <w:pPr>
        <w:snapToGrid w:val="0"/>
        <w:spacing w:before="120" w:beforeLines="50" w:after="50"/>
        <w:jc w:val="center"/>
        <w:rPr>
          <w:rFonts w:ascii="宋体" w:hAnsi="宋体" w:cs="宋体"/>
          <w:b/>
          <w:color w:val="auto"/>
          <w:sz w:val="28"/>
          <w:szCs w:val="28"/>
          <w:highlight w:val="none"/>
        </w:rPr>
      </w:pPr>
      <w:r>
        <w:rPr>
          <w:rFonts w:hint="eastAsia" w:ascii="宋体" w:hAnsi="宋体" w:cs="宋体"/>
          <w:b/>
          <w:bCs/>
          <w:color w:val="auto"/>
          <w:sz w:val="28"/>
          <w:szCs w:val="28"/>
          <w:highlight w:val="none"/>
        </w:rPr>
        <w:t>一、报价文件部分格式</w:t>
      </w:r>
    </w:p>
    <w:p w14:paraId="26094133">
      <w:pPr>
        <w:snapToGrid w:val="0"/>
        <w:spacing w:before="50" w:after="120" w:afterLines="50"/>
        <w:jc w:val="left"/>
        <w:rPr>
          <w:rFonts w:ascii="宋体" w:hAnsi="宋体" w:cs="宋体"/>
          <w:b/>
          <w:color w:val="auto"/>
          <w:sz w:val="24"/>
          <w:highlight w:val="none"/>
        </w:rPr>
      </w:pPr>
    </w:p>
    <w:p w14:paraId="4C16F7B3">
      <w:pPr>
        <w:snapToGrid w:val="0"/>
        <w:spacing w:before="50" w:after="120" w:afterLines="50"/>
        <w:jc w:val="left"/>
        <w:rPr>
          <w:rFonts w:ascii="宋体" w:hAnsi="宋体" w:cs="宋体"/>
          <w:b/>
          <w:color w:val="auto"/>
          <w:sz w:val="24"/>
          <w:highlight w:val="none"/>
        </w:rPr>
      </w:pPr>
    </w:p>
    <w:p w14:paraId="28297462">
      <w:pPr>
        <w:snapToGrid w:val="0"/>
        <w:spacing w:before="50" w:after="120" w:afterLines="50"/>
        <w:jc w:val="left"/>
        <w:rPr>
          <w:rFonts w:ascii="宋体" w:hAnsi="宋体" w:cs="宋体"/>
          <w:b/>
          <w:color w:val="auto"/>
          <w:sz w:val="24"/>
          <w:szCs w:val="24"/>
          <w:highlight w:val="none"/>
        </w:rPr>
      </w:pPr>
      <w:r>
        <w:rPr>
          <w:rFonts w:hint="eastAsia" w:ascii="宋体" w:hAnsi="宋体" w:cs="宋体"/>
          <w:b/>
          <w:bCs/>
          <w:color w:val="auto"/>
          <w:sz w:val="24"/>
          <w:highlight w:val="none"/>
        </w:rPr>
        <w:t>投标报价文件封面格式：</w:t>
      </w:r>
    </w:p>
    <w:p w14:paraId="59628BB9">
      <w:pPr>
        <w:pStyle w:val="15"/>
        <w:ind w:left="0" w:leftChars="0" w:right="1470"/>
        <w:rPr>
          <w:rFonts w:ascii="宋体" w:hAnsi="宋体" w:cs="宋体"/>
          <w:b/>
          <w:color w:val="auto"/>
          <w:sz w:val="24"/>
          <w:szCs w:val="24"/>
          <w:highlight w:val="none"/>
        </w:rPr>
      </w:pPr>
    </w:p>
    <w:p w14:paraId="349713EC">
      <w:pPr>
        <w:snapToGrid w:val="0"/>
        <w:spacing w:line="400" w:lineRule="exact"/>
        <w:jc w:val="center"/>
        <w:rPr>
          <w:rFonts w:ascii="宋体" w:hAnsi="宋体" w:cs="宋体"/>
          <w:b/>
          <w:bCs/>
          <w:color w:val="auto"/>
          <w:sz w:val="24"/>
          <w:szCs w:val="20"/>
          <w:highlight w:val="none"/>
        </w:rPr>
      </w:pPr>
    </w:p>
    <w:p w14:paraId="22E404CD">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7" name="Quad Arrow 2"/>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9C9FB8">
                            <w:pPr>
                              <w:snapToGrid w:val="0"/>
                              <w:spacing w:before="120" w:beforeLines="50" w:after="50"/>
                              <w:ind w:left="-850" w:leftChars="-405"/>
                              <w:rPr>
                                <w:rFonts w:ascii="宋体" w:hAnsi="宋体"/>
                                <w:sz w:val="24"/>
                                <w:szCs w:val="20"/>
                              </w:rPr>
                            </w:pPr>
                          </w:p>
                          <w:p w14:paraId="24A8389A">
                            <w:pPr>
                              <w:pStyle w:val="32"/>
                              <w:ind w:hanging="480"/>
                            </w:pPr>
                          </w:p>
                          <w:p w14:paraId="64902EDB">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0A626945">
                            <w:pPr>
                              <w:snapToGrid w:val="0"/>
                              <w:spacing w:before="120" w:beforeLines="50" w:after="50"/>
                              <w:rPr>
                                <w:rFonts w:ascii="宋体" w:hAnsi="宋体"/>
                                <w:bCs/>
                                <w:sz w:val="24"/>
                                <w:szCs w:val="20"/>
                              </w:rPr>
                            </w:pPr>
                          </w:p>
                          <w:p w14:paraId="7C6D2A25">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2F6C27C">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4F8FB808">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5793F275">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61C96465">
                            <w:pPr>
                              <w:snapToGrid w:val="0"/>
                              <w:spacing w:before="120" w:beforeLines="50" w:after="50"/>
                              <w:ind w:firstLine="1068" w:firstLineChars="445"/>
                              <w:rPr>
                                <w:rFonts w:ascii="宋体" w:hAnsi="宋体"/>
                                <w:bCs/>
                                <w:sz w:val="24"/>
                              </w:rPr>
                            </w:pPr>
                          </w:p>
                          <w:p w14:paraId="061D5421">
                            <w:pPr>
                              <w:snapToGrid w:val="0"/>
                              <w:spacing w:before="120" w:beforeLines="50" w:after="50"/>
                              <w:ind w:firstLine="4080" w:firstLineChars="1700"/>
                              <w:rPr>
                                <w:rFonts w:ascii="宋体" w:hAnsi="宋体"/>
                                <w:sz w:val="24"/>
                                <w:szCs w:val="20"/>
                              </w:rPr>
                            </w:pPr>
                          </w:p>
                          <w:p w14:paraId="2E313CDF">
                            <w:pPr>
                              <w:jc w:val="center"/>
                            </w:pPr>
                            <w:r>
                              <w:rPr>
                                <w:rFonts w:hint="eastAsia"/>
                                <w:sz w:val="24"/>
                              </w:rPr>
                              <w:t>年     月     日</w:t>
                            </w:r>
                          </w:p>
                        </w:txbxContent>
                      </wps:txbx>
                      <wps:bodyPr upright="1"/>
                    </wps:wsp>
                  </a:graphicData>
                </a:graphic>
              </wp:anchor>
            </w:drawing>
          </mc:Choice>
          <mc:Fallback>
            <w:pict>
              <v:shape id="Quad Arrow 2" o:spid="_x0000_s1026" o:spt="202" type="#_x0000_t202" style="position:absolute;left:0pt;margin-left:30.7pt;margin-top:16pt;height:263.35pt;width:399.75pt;mso-wrap-distance-bottom:0pt;mso-wrap-distance-top:0pt;z-index:251660288;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&#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osQ32QAAAAkBAAAPAAAAAAAAAAEAIAAAACIAAABk&#10;cnMvZG93bnJldi54bWxQSwECFAAUAAAACACHTuJAX+a8+AUCAABGBAAADgAAAAAAAAABACAAAAAo&#10;AQAAZHJzL2Uyb0RvYy54bWxQSwUGAAAAAAYABgBZAQAAnwUAAAAA&#10;">
                <v:fill on="t" focussize="0,0"/>
                <v:stroke color="#000000" joinstyle="miter"/>
                <v:imagedata o:title=""/>
                <o:lock v:ext="edit" aspectratio="f"/>
                <v:textbox>
                  <w:txbxContent>
                    <w:p w14:paraId="459C9FB8">
                      <w:pPr>
                        <w:snapToGrid w:val="0"/>
                        <w:spacing w:before="120" w:beforeLines="50" w:after="50"/>
                        <w:ind w:left="-850" w:leftChars="-405"/>
                        <w:rPr>
                          <w:rFonts w:ascii="宋体" w:hAnsi="宋体"/>
                          <w:sz w:val="24"/>
                          <w:szCs w:val="20"/>
                        </w:rPr>
                      </w:pPr>
                    </w:p>
                    <w:p w14:paraId="24A8389A">
                      <w:pPr>
                        <w:pStyle w:val="32"/>
                        <w:ind w:hanging="480"/>
                      </w:pPr>
                    </w:p>
                    <w:p w14:paraId="64902EDB">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14:paraId="0A626945">
                      <w:pPr>
                        <w:snapToGrid w:val="0"/>
                        <w:spacing w:before="120" w:beforeLines="50" w:after="50"/>
                        <w:rPr>
                          <w:rFonts w:ascii="宋体" w:hAnsi="宋体"/>
                          <w:bCs/>
                          <w:sz w:val="24"/>
                          <w:szCs w:val="20"/>
                        </w:rPr>
                      </w:pPr>
                    </w:p>
                    <w:p w14:paraId="7C6D2A25">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2F6C27C">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4F8FB808">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5793F275">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61C96465">
                      <w:pPr>
                        <w:snapToGrid w:val="0"/>
                        <w:spacing w:before="120" w:beforeLines="50" w:after="50"/>
                        <w:ind w:firstLine="1068" w:firstLineChars="445"/>
                        <w:rPr>
                          <w:rFonts w:ascii="宋体" w:hAnsi="宋体"/>
                          <w:bCs/>
                          <w:sz w:val="24"/>
                        </w:rPr>
                      </w:pPr>
                    </w:p>
                    <w:p w14:paraId="061D5421">
                      <w:pPr>
                        <w:snapToGrid w:val="0"/>
                        <w:spacing w:before="120" w:beforeLines="50" w:after="50"/>
                        <w:ind w:firstLine="4080" w:firstLineChars="1700"/>
                        <w:rPr>
                          <w:rFonts w:ascii="宋体" w:hAnsi="宋体"/>
                          <w:sz w:val="24"/>
                          <w:szCs w:val="20"/>
                        </w:rPr>
                      </w:pPr>
                    </w:p>
                    <w:p w14:paraId="2E313CDF">
                      <w:pPr>
                        <w:jc w:val="center"/>
                      </w:pPr>
                      <w:r>
                        <w:rPr>
                          <w:rFonts w:hint="eastAsia"/>
                          <w:sz w:val="24"/>
                        </w:rPr>
                        <w:t>年     月     日</w:t>
                      </w:r>
                    </w:p>
                  </w:txbxContent>
                </v:textbox>
                <w10:wrap type="topAndBottom"/>
              </v:shape>
            </w:pict>
          </mc:Fallback>
        </mc:AlternateContent>
      </w:r>
    </w:p>
    <w:p w14:paraId="2098EB91">
      <w:pPr>
        <w:snapToGrid w:val="0"/>
        <w:spacing w:line="400" w:lineRule="exact"/>
        <w:jc w:val="center"/>
        <w:rPr>
          <w:rFonts w:ascii="宋体" w:hAnsi="宋体" w:cs="宋体"/>
          <w:color w:val="auto"/>
          <w:highlight w:val="none"/>
        </w:rPr>
      </w:pPr>
    </w:p>
    <w:p w14:paraId="2591CAE8">
      <w:pPr>
        <w:snapToGrid w:val="0"/>
        <w:spacing w:line="400" w:lineRule="exact"/>
        <w:jc w:val="center"/>
        <w:rPr>
          <w:rFonts w:ascii="宋体" w:hAnsi="宋体" w:cs="宋体"/>
          <w:color w:val="auto"/>
          <w:highlight w:val="none"/>
        </w:rPr>
      </w:pPr>
    </w:p>
    <w:p w14:paraId="6521E6B8">
      <w:pPr>
        <w:snapToGrid w:val="0"/>
        <w:spacing w:line="400" w:lineRule="exact"/>
        <w:jc w:val="center"/>
        <w:rPr>
          <w:rFonts w:ascii="宋体" w:hAnsi="宋体" w:cs="宋体"/>
          <w:bCs/>
          <w:color w:val="auto"/>
          <w:sz w:val="24"/>
          <w:szCs w:val="20"/>
          <w:highlight w:val="none"/>
        </w:rPr>
      </w:pPr>
    </w:p>
    <w:p w14:paraId="609D02C6">
      <w:pPr>
        <w:snapToGrid w:val="0"/>
        <w:spacing w:line="400" w:lineRule="exact"/>
        <w:rPr>
          <w:rFonts w:ascii="宋体" w:hAnsi="宋体" w:cs="宋体"/>
          <w:b/>
          <w:color w:val="auto"/>
          <w:sz w:val="24"/>
          <w:highlight w:val="none"/>
        </w:rPr>
      </w:pPr>
    </w:p>
    <w:p w14:paraId="02804F48">
      <w:pPr>
        <w:pStyle w:val="44"/>
        <w:rPr>
          <w:rFonts w:hAnsi="宋体"/>
          <w:b/>
          <w:color w:val="auto"/>
          <w:highlight w:val="none"/>
        </w:rPr>
      </w:pPr>
    </w:p>
    <w:p w14:paraId="0F6E3F79">
      <w:pPr>
        <w:pStyle w:val="44"/>
        <w:rPr>
          <w:rFonts w:hAnsi="宋体"/>
          <w:b/>
          <w:color w:val="auto"/>
          <w:highlight w:val="none"/>
        </w:rPr>
      </w:pPr>
    </w:p>
    <w:p w14:paraId="1385AEEC">
      <w:pPr>
        <w:pStyle w:val="44"/>
        <w:rPr>
          <w:rFonts w:hAnsi="宋体"/>
          <w:b/>
          <w:color w:val="auto"/>
          <w:highlight w:val="none"/>
        </w:rPr>
      </w:pPr>
    </w:p>
    <w:p w14:paraId="0A94536D">
      <w:pPr>
        <w:pStyle w:val="44"/>
        <w:rPr>
          <w:rFonts w:hAnsi="宋体"/>
          <w:b/>
          <w:color w:val="auto"/>
          <w:highlight w:val="none"/>
        </w:rPr>
      </w:pPr>
    </w:p>
    <w:p w14:paraId="77513F35">
      <w:pPr>
        <w:pStyle w:val="44"/>
        <w:rPr>
          <w:rFonts w:hAnsi="宋体"/>
          <w:b/>
          <w:color w:val="auto"/>
          <w:highlight w:val="none"/>
        </w:rPr>
      </w:pPr>
    </w:p>
    <w:p w14:paraId="02F2C074">
      <w:pPr>
        <w:pStyle w:val="44"/>
        <w:rPr>
          <w:rFonts w:hAnsi="宋体"/>
          <w:b/>
          <w:color w:val="auto"/>
          <w:highlight w:val="none"/>
        </w:rPr>
      </w:pPr>
    </w:p>
    <w:p w14:paraId="35CDE0B5">
      <w:pPr>
        <w:pStyle w:val="44"/>
        <w:rPr>
          <w:rFonts w:hAnsi="宋体"/>
          <w:b/>
          <w:color w:val="auto"/>
          <w:highlight w:val="none"/>
        </w:rPr>
      </w:pPr>
    </w:p>
    <w:p w14:paraId="36324CEF">
      <w:pPr>
        <w:pStyle w:val="44"/>
        <w:rPr>
          <w:rFonts w:hAnsi="宋体"/>
          <w:b/>
          <w:color w:val="auto"/>
          <w:highlight w:val="none"/>
        </w:rPr>
      </w:pPr>
    </w:p>
    <w:p w14:paraId="42BE3AC0">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附件1</w:t>
      </w:r>
    </w:p>
    <w:p w14:paraId="16E0ADFF">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开标一览表</w:t>
      </w:r>
    </w:p>
    <w:p w14:paraId="447FC5BC">
      <w:pPr>
        <w:spacing w:line="400" w:lineRule="exact"/>
        <w:rPr>
          <w:rFonts w:ascii="宋体" w:hAnsi="宋体" w:cs="宋体"/>
          <w:color w:val="auto"/>
          <w:sz w:val="22"/>
          <w:highlight w:val="none"/>
        </w:rPr>
      </w:pPr>
      <w:r>
        <w:rPr>
          <w:rFonts w:hint="eastAsia" w:ascii="宋体" w:hAnsi="宋体" w:cs="宋体"/>
          <w:color w:val="auto"/>
          <w:sz w:val="22"/>
          <w:highlight w:val="none"/>
        </w:rPr>
        <w:t>项目名称：                                            项目编号：</w:t>
      </w:r>
    </w:p>
    <w:p w14:paraId="74D19CAD">
      <w:pPr>
        <w:spacing w:line="400" w:lineRule="exact"/>
        <w:jc w:val="right"/>
        <w:rPr>
          <w:rFonts w:ascii="宋体" w:hAnsi="宋体" w:cs="宋体"/>
          <w:color w:val="auto"/>
          <w:sz w:val="22"/>
          <w:highlight w:val="none"/>
        </w:rPr>
      </w:pPr>
      <w:r>
        <w:rPr>
          <w:rFonts w:hint="eastAsia" w:ascii="宋体" w:hAnsi="宋体" w:cs="宋体"/>
          <w:color w:val="auto"/>
          <w:sz w:val="22"/>
          <w:highlight w:val="none"/>
        </w:rPr>
        <w:t xml:space="preserve">单位：人民币（元）               </w:t>
      </w:r>
    </w:p>
    <w:tbl>
      <w:tblPr>
        <w:tblStyle w:val="33"/>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2784"/>
        <w:gridCol w:w="850"/>
        <w:gridCol w:w="881"/>
        <w:gridCol w:w="2046"/>
        <w:gridCol w:w="1564"/>
      </w:tblGrid>
      <w:tr w14:paraId="7BCD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vAlign w:val="center"/>
          </w:tcPr>
          <w:p w14:paraId="2874A1D1">
            <w:pPr>
              <w:pStyle w:val="17"/>
              <w:spacing w:line="400" w:lineRule="exact"/>
              <w:jc w:val="center"/>
              <w:rPr>
                <w:rFonts w:ascii="Times New Roman" w:hAnsi="宋体" w:cs="宋体"/>
                <w:color w:val="auto"/>
                <w:sz w:val="22"/>
                <w:highlight w:val="none"/>
              </w:rPr>
            </w:pPr>
            <w:bookmarkStart w:id="17" w:name="OLE_LINK14"/>
            <w:r>
              <w:rPr>
                <w:rFonts w:hint="eastAsia" w:ascii="Times New Roman" w:hAnsi="宋体" w:cs="宋体"/>
                <w:color w:val="auto"/>
                <w:sz w:val="22"/>
                <w:highlight w:val="none"/>
              </w:rPr>
              <w:t>序号</w:t>
            </w:r>
          </w:p>
        </w:tc>
        <w:tc>
          <w:tcPr>
            <w:tcW w:w="2784" w:type="dxa"/>
            <w:vAlign w:val="center"/>
          </w:tcPr>
          <w:p w14:paraId="1D70AA44">
            <w:pPr>
              <w:pStyle w:val="17"/>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报价内容</w:t>
            </w:r>
          </w:p>
        </w:tc>
        <w:tc>
          <w:tcPr>
            <w:tcW w:w="850" w:type="dxa"/>
            <w:vAlign w:val="center"/>
          </w:tcPr>
          <w:p w14:paraId="0640B64B">
            <w:pPr>
              <w:pStyle w:val="17"/>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单位</w:t>
            </w:r>
          </w:p>
        </w:tc>
        <w:tc>
          <w:tcPr>
            <w:tcW w:w="881" w:type="dxa"/>
            <w:vAlign w:val="center"/>
          </w:tcPr>
          <w:p w14:paraId="7B9E0893">
            <w:pPr>
              <w:pStyle w:val="17"/>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数量</w:t>
            </w:r>
          </w:p>
        </w:tc>
        <w:tc>
          <w:tcPr>
            <w:tcW w:w="2046" w:type="dxa"/>
            <w:vAlign w:val="center"/>
          </w:tcPr>
          <w:p w14:paraId="78BBEB7B">
            <w:pPr>
              <w:pStyle w:val="17"/>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投标总报价（元）</w:t>
            </w:r>
          </w:p>
        </w:tc>
        <w:tc>
          <w:tcPr>
            <w:tcW w:w="1564" w:type="dxa"/>
            <w:vAlign w:val="center"/>
          </w:tcPr>
          <w:p w14:paraId="5C45C618">
            <w:pPr>
              <w:pStyle w:val="17"/>
              <w:spacing w:line="400" w:lineRule="exact"/>
              <w:jc w:val="center"/>
              <w:rPr>
                <w:rFonts w:ascii="Times New Roman" w:hAnsi="宋体" w:cs="宋体"/>
                <w:color w:val="auto"/>
                <w:sz w:val="22"/>
                <w:highlight w:val="none"/>
              </w:rPr>
            </w:pPr>
            <w:r>
              <w:rPr>
                <w:rFonts w:hint="eastAsia" w:ascii="Times New Roman" w:hAnsi="宋体" w:cs="宋体"/>
                <w:color w:val="auto"/>
                <w:sz w:val="22"/>
                <w:highlight w:val="none"/>
              </w:rPr>
              <w:t>备注</w:t>
            </w:r>
          </w:p>
        </w:tc>
      </w:tr>
      <w:tr w14:paraId="79AE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59" w:type="dxa"/>
            <w:vAlign w:val="center"/>
          </w:tcPr>
          <w:p w14:paraId="1068A659">
            <w:pPr>
              <w:spacing w:line="340" w:lineRule="exact"/>
              <w:jc w:val="center"/>
              <w:rPr>
                <w:rFonts w:ascii="宋体" w:hAnsi="宋体" w:cs="宋体"/>
                <w:color w:val="auto"/>
                <w:sz w:val="22"/>
                <w:highlight w:val="none"/>
              </w:rPr>
            </w:pPr>
            <w:r>
              <w:rPr>
                <w:rFonts w:hint="eastAsia" w:ascii="宋体" w:hAnsi="宋体" w:cs="宋体"/>
                <w:color w:val="auto"/>
                <w:sz w:val="22"/>
                <w:highlight w:val="none"/>
              </w:rPr>
              <w:t>1</w:t>
            </w:r>
          </w:p>
        </w:tc>
        <w:tc>
          <w:tcPr>
            <w:tcW w:w="2784" w:type="dxa"/>
            <w:vAlign w:val="center"/>
          </w:tcPr>
          <w:p w14:paraId="19C26DFD">
            <w:pPr>
              <w:spacing w:line="340" w:lineRule="exact"/>
              <w:jc w:val="center"/>
              <w:rPr>
                <w:rFonts w:ascii="宋体" w:hAnsi="宋体" w:cs="宋体"/>
                <w:color w:val="auto"/>
                <w:sz w:val="22"/>
                <w:highlight w:val="none"/>
              </w:rPr>
            </w:pPr>
            <w:r>
              <w:rPr>
                <w:rFonts w:hint="eastAsia" w:ascii="Times New Roman" w:hAnsi="宋体" w:cs="宋体"/>
                <w:color w:val="auto"/>
                <w:sz w:val="22"/>
                <w:highlight w:val="none"/>
              </w:rPr>
              <w:t xml:space="preserve"> </w:t>
            </w:r>
          </w:p>
        </w:tc>
        <w:tc>
          <w:tcPr>
            <w:tcW w:w="850" w:type="dxa"/>
            <w:vAlign w:val="center"/>
          </w:tcPr>
          <w:p w14:paraId="53024B97">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 xml:space="preserve"> </w:t>
            </w:r>
          </w:p>
        </w:tc>
        <w:tc>
          <w:tcPr>
            <w:tcW w:w="881" w:type="dxa"/>
            <w:vAlign w:val="center"/>
          </w:tcPr>
          <w:p w14:paraId="1A1AC10A">
            <w:pPr>
              <w:spacing w:line="400" w:lineRule="exact"/>
              <w:jc w:val="center"/>
              <w:rPr>
                <w:rFonts w:ascii="宋体" w:hAnsi="宋体" w:cs="宋体"/>
                <w:color w:val="auto"/>
                <w:sz w:val="22"/>
                <w:highlight w:val="none"/>
              </w:rPr>
            </w:pPr>
          </w:p>
        </w:tc>
        <w:tc>
          <w:tcPr>
            <w:tcW w:w="2046" w:type="dxa"/>
            <w:vAlign w:val="center"/>
          </w:tcPr>
          <w:p w14:paraId="0F6C66AA">
            <w:pPr>
              <w:pStyle w:val="17"/>
              <w:spacing w:line="400" w:lineRule="exact"/>
              <w:rPr>
                <w:rFonts w:ascii="Times New Roman" w:hAnsi="宋体" w:cs="宋体"/>
                <w:color w:val="auto"/>
                <w:sz w:val="22"/>
                <w:highlight w:val="none"/>
              </w:rPr>
            </w:pPr>
            <w:r>
              <w:rPr>
                <w:rFonts w:hint="eastAsia" w:ascii="Times New Roman" w:hAnsi="宋体" w:cs="宋体"/>
                <w:color w:val="auto"/>
                <w:sz w:val="22"/>
                <w:highlight w:val="none"/>
              </w:rPr>
              <w:t>小写：</w:t>
            </w:r>
          </w:p>
          <w:p w14:paraId="4CAB4CEB">
            <w:pPr>
              <w:pStyle w:val="17"/>
              <w:spacing w:line="400" w:lineRule="exact"/>
              <w:jc w:val="both"/>
              <w:rPr>
                <w:rFonts w:ascii="Times New Roman" w:hAnsi="宋体" w:cs="宋体"/>
                <w:color w:val="auto"/>
                <w:sz w:val="22"/>
                <w:highlight w:val="none"/>
              </w:rPr>
            </w:pPr>
            <w:r>
              <w:rPr>
                <w:rFonts w:hint="eastAsia" w:ascii="Times New Roman" w:hAnsi="宋体" w:cs="宋体"/>
                <w:color w:val="auto"/>
                <w:sz w:val="22"/>
                <w:highlight w:val="none"/>
              </w:rPr>
              <w:t>大写：</w:t>
            </w:r>
          </w:p>
        </w:tc>
        <w:tc>
          <w:tcPr>
            <w:tcW w:w="1564" w:type="dxa"/>
            <w:vAlign w:val="center"/>
          </w:tcPr>
          <w:p w14:paraId="62B29FF2">
            <w:pPr>
              <w:pStyle w:val="17"/>
              <w:spacing w:line="400" w:lineRule="exact"/>
              <w:jc w:val="center"/>
              <w:rPr>
                <w:rFonts w:ascii="Times New Roman" w:hAnsi="宋体" w:cs="宋体"/>
                <w:color w:val="auto"/>
                <w:sz w:val="22"/>
                <w:highlight w:val="none"/>
              </w:rPr>
            </w:pPr>
          </w:p>
        </w:tc>
      </w:tr>
      <w:bookmarkEnd w:id="17"/>
    </w:tbl>
    <w:p w14:paraId="489A33A0">
      <w:pPr>
        <w:spacing w:line="400" w:lineRule="exact"/>
        <w:rPr>
          <w:rFonts w:ascii="宋体" w:hAnsi="宋体" w:cs="宋体"/>
          <w:color w:val="auto"/>
          <w:sz w:val="22"/>
          <w:highlight w:val="none"/>
        </w:rPr>
      </w:pPr>
    </w:p>
    <w:p w14:paraId="5EBB59C3">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1.投标</w:t>
      </w:r>
      <w:bookmarkStart w:id="18" w:name="OLE_LINK3"/>
      <w:r>
        <w:rPr>
          <w:rFonts w:hint="eastAsia" w:ascii="宋体" w:hAnsi="宋体" w:cs="宋体"/>
          <w:color w:val="auto"/>
          <w:sz w:val="22"/>
          <w:highlight w:val="none"/>
        </w:rPr>
        <w:t>总价</w:t>
      </w:r>
      <w:bookmarkEnd w:id="18"/>
      <w:r>
        <w:rPr>
          <w:rFonts w:hint="eastAsia" w:ascii="宋体" w:hAnsi="宋体" w:cs="宋体"/>
          <w:color w:val="auto"/>
          <w:sz w:val="22"/>
          <w:highlight w:val="none"/>
        </w:rPr>
        <w:t xml:space="preserve">包含投标人在承包范围内提供服务所需的人工费（含驻点人员的工资、福利、奖金、补贴、津贴、加班费等费用及“五险一金”等工资待遇）及机械、工具材料费、企业应缴税金和应得利润、突发应急及上级布置的专项任务、物价因素、采购代理服务费等完成合同所需的一切本身和不可或缺的所有工作开支、政策性文件规定及合同包含的所有风险、责任等各项全部费用并承担一切风险责任。即“交钥匙工程”，实行固定总价包干。 </w:t>
      </w:r>
    </w:p>
    <w:p w14:paraId="546F8978">
      <w:pPr>
        <w:pStyle w:val="18"/>
        <w:snapToGrid w:val="0"/>
        <w:spacing w:line="360" w:lineRule="auto"/>
        <w:ind w:left="400" w:leftChars="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55F9B58E">
      <w:pPr>
        <w:pStyle w:val="18"/>
        <w:snapToGrid w:val="0"/>
        <w:spacing w:line="360" w:lineRule="auto"/>
        <w:ind w:left="0" w:leftChars="0" w:firstLine="440" w:firstLineChars="2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2.此栏内投标报价应与“投标报价明细表”中投标总价相一致。</w:t>
      </w:r>
    </w:p>
    <w:p w14:paraId="67B6F72E">
      <w:pPr>
        <w:spacing w:line="400" w:lineRule="exact"/>
        <w:rPr>
          <w:rFonts w:ascii="宋体" w:hAnsi="宋体" w:cs="宋体"/>
          <w:color w:val="auto"/>
          <w:sz w:val="24"/>
          <w:highlight w:val="none"/>
        </w:rPr>
      </w:pPr>
    </w:p>
    <w:p w14:paraId="71357D72">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2C1A612C">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0B0E980C">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49EBCDA4">
      <w:pPr>
        <w:spacing w:line="400" w:lineRule="exact"/>
        <w:rPr>
          <w:rFonts w:ascii="宋体" w:hAnsi="宋体" w:cs="宋体"/>
          <w:b/>
          <w:color w:val="auto"/>
          <w:sz w:val="24"/>
          <w:szCs w:val="24"/>
          <w:highlight w:val="none"/>
        </w:rPr>
      </w:pPr>
    </w:p>
    <w:p w14:paraId="763CD8C7">
      <w:pPr>
        <w:spacing w:line="400" w:lineRule="exact"/>
        <w:rPr>
          <w:rFonts w:ascii="宋体" w:hAnsi="宋体" w:cs="宋体"/>
          <w:b/>
          <w:color w:val="auto"/>
          <w:sz w:val="24"/>
          <w:szCs w:val="24"/>
          <w:highlight w:val="none"/>
        </w:rPr>
      </w:pPr>
    </w:p>
    <w:p w14:paraId="17554015">
      <w:pPr>
        <w:spacing w:line="400" w:lineRule="exact"/>
        <w:rPr>
          <w:rFonts w:ascii="宋体" w:hAnsi="宋体" w:cs="宋体"/>
          <w:b/>
          <w:color w:val="auto"/>
          <w:sz w:val="24"/>
          <w:szCs w:val="24"/>
          <w:highlight w:val="none"/>
        </w:rPr>
      </w:pPr>
    </w:p>
    <w:p w14:paraId="3C882DC9">
      <w:pPr>
        <w:pStyle w:val="2"/>
        <w:ind w:firstLine="326"/>
        <w:rPr>
          <w:rFonts w:ascii="宋体" w:hAnsi="宋体" w:cs="宋体"/>
          <w:color w:val="auto"/>
          <w:highlight w:val="none"/>
        </w:rPr>
      </w:pPr>
    </w:p>
    <w:p w14:paraId="4F514EC9">
      <w:pPr>
        <w:pStyle w:val="32"/>
        <w:ind w:left="0" w:firstLine="0" w:firstLineChars="0"/>
        <w:rPr>
          <w:rFonts w:ascii="宋体" w:hAnsi="宋体" w:cs="宋体"/>
          <w:b/>
          <w:color w:val="auto"/>
          <w:szCs w:val="24"/>
          <w:highlight w:val="none"/>
        </w:rPr>
      </w:pPr>
    </w:p>
    <w:p w14:paraId="7D485BE5">
      <w:pPr>
        <w:spacing w:line="400" w:lineRule="exact"/>
        <w:rPr>
          <w:rFonts w:ascii="宋体" w:hAnsi="宋体" w:cs="宋体"/>
          <w:b/>
          <w:color w:val="auto"/>
          <w:sz w:val="24"/>
          <w:szCs w:val="24"/>
          <w:highlight w:val="none"/>
        </w:rPr>
      </w:pPr>
    </w:p>
    <w:p w14:paraId="5BFA4917">
      <w:pPr>
        <w:spacing w:line="400" w:lineRule="exact"/>
        <w:rPr>
          <w:rFonts w:ascii="宋体" w:hAnsi="宋体" w:cs="宋体"/>
          <w:b/>
          <w:color w:val="auto"/>
          <w:sz w:val="24"/>
          <w:szCs w:val="24"/>
          <w:highlight w:val="none"/>
        </w:rPr>
      </w:pPr>
    </w:p>
    <w:p w14:paraId="2BD2DC96">
      <w:pPr>
        <w:spacing w:line="400" w:lineRule="exact"/>
        <w:rPr>
          <w:rFonts w:ascii="宋体" w:hAnsi="宋体" w:cs="宋体"/>
          <w:b/>
          <w:color w:val="auto"/>
          <w:sz w:val="24"/>
          <w:szCs w:val="24"/>
          <w:highlight w:val="none"/>
        </w:rPr>
      </w:pPr>
    </w:p>
    <w:p w14:paraId="5365292D">
      <w:pPr>
        <w:spacing w:line="400" w:lineRule="exact"/>
        <w:rPr>
          <w:rFonts w:ascii="宋体" w:hAnsi="宋体" w:cs="宋体"/>
          <w:b/>
          <w:color w:val="auto"/>
          <w:sz w:val="24"/>
          <w:szCs w:val="24"/>
          <w:highlight w:val="none"/>
        </w:rPr>
      </w:pPr>
    </w:p>
    <w:p w14:paraId="6AE99683">
      <w:pPr>
        <w:spacing w:line="400" w:lineRule="exact"/>
        <w:rPr>
          <w:rFonts w:ascii="宋体" w:hAnsi="宋体" w:cs="宋体"/>
          <w:b/>
          <w:color w:val="auto"/>
          <w:sz w:val="24"/>
          <w:szCs w:val="24"/>
          <w:highlight w:val="none"/>
        </w:rPr>
      </w:pPr>
    </w:p>
    <w:p w14:paraId="1E400066">
      <w:pPr>
        <w:spacing w:line="400" w:lineRule="exact"/>
        <w:rPr>
          <w:rFonts w:ascii="宋体" w:hAnsi="宋体" w:cs="宋体"/>
          <w:b/>
          <w:color w:val="auto"/>
          <w:sz w:val="24"/>
          <w:szCs w:val="24"/>
          <w:highlight w:val="none"/>
        </w:rPr>
      </w:pPr>
    </w:p>
    <w:p w14:paraId="185C169C">
      <w:pPr>
        <w:spacing w:line="400" w:lineRule="exact"/>
        <w:rPr>
          <w:rFonts w:ascii="宋体" w:hAnsi="宋体" w:cs="宋体"/>
          <w:b/>
          <w:color w:val="auto"/>
          <w:sz w:val="24"/>
          <w:szCs w:val="24"/>
          <w:highlight w:val="none"/>
        </w:rPr>
      </w:pPr>
    </w:p>
    <w:p w14:paraId="1FDC1213">
      <w:pPr>
        <w:spacing w:line="400" w:lineRule="exact"/>
        <w:rPr>
          <w:rFonts w:ascii="宋体" w:hAnsi="宋体" w:cs="宋体"/>
          <w:b/>
          <w:color w:val="auto"/>
          <w:sz w:val="24"/>
          <w:szCs w:val="24"/>
          <w:highlight w:val="none"/>
        </w:rPr>
      </w:pPr>
    </w:p>
    <w:p w14:paraId="58AE2D9B">
      <w:pPr>
        <w:spacing w:line="400" w:lineRule="exact"/>
        <w:rPr>
          <w:rFonts w:ascii="宋体" w:hAnsi="宋体" w:cs="宋体"/>
          <w:b/>
          <w:color w:val="auto"/>
          <w:sz w:val="24"/>
          <w:szCs w:val="24"/>
          <w:highlight w:val="none"/>
        </w:rPr>
      </w:pPr>
    </w:p>
    <w:p w14:paraId="2D1870D2">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附件2</w:t>
      </w:r>
    </w:p>
    <w:p w14:paraId="1DACF624">
      <w:pPr>
        <w:pStyle w:val="17"/>
        <w:snapToGrid w:val="0"/>
        <w:spacing w:line="400" w:lineRule="exact"/>
        <w:jc w:val="center"/>
        <w:rPr>
          <w:rFonts w:hAnsi="宋体" w:cs="宋体"/>
          <w:b/>
          <w:color w:val="auto"/>
          <w:highlight w:val="none"/>
        </w:rPr>
      </w:pPr>
      <w:r>
        <w:rPr>
          <w:rFonts w:hint="eastAsia" w:hAnsi="宋体" w:cs="宋体"/>
          <w:b/>
          <w:color w:val="auto"/>
          <w:sz w:val="28"/>
          <w:szCs w:val="28"/>
          <w:highlight w:val="none"/>
        </w:rPr>
        <w:t>投标报价明细表</w:t>
      </w:r>
    </w:p>
    <w:p w14:paraId="0F6B925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 xml:space="preserve">项目名称：                                               项目编号：  </w:t>
      </w:r>
    </w:p>
    <w:tbl>
      <w:tblPr>
        <w:tblStyle w:val="33"/>
        <w:tblW w:w="98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5"/>
        <w:gridCol w:w="2263"/>
        <w:gridCol w:w="1234"/>
        <w:gridCol w:w="995"/>
        <w:gridCol w:w="1135"/>
        <w:gridCol w:w="897"/>
        <w:gridCol w:w="995"/>
        <w:gridCol w:w="1397"/>
      </w:tblGrid>
      <w:tr w14:paraId="1F6B2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5" w:type="dxa"/>
            <w:tcBorders>
              <w:top w:val="single" w:color="auto" w:sz="4" w:space="0"/>
              <w:left w:val="single" w:color="auto" w:sz="4" w:space="0"/>
              <w:bottom w:val="single" w:color="auto" w:sz="4" w:space="0"/>
              <w:right w:val="single" w:color="auto" w:sz="4" w:space="0"/>
            </w:tcBorders>
            <w:vAlign w:val="center"/>
          </w:tcPr>
          <w:p w14:paraId="2CDA6748">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序号</w:t>
            </w:r>
          </w:p>
        </w:tc>
        <w:tc>
          <w:tcPr>
            <w:tcW w:w="2263" w:type="dxa"/>
            <w:tcBorders>
              <w:top w:val="single" w:color="auto" w:sz="4" w:space="0"/>
              <w:left w:val="single" w:color="auto" w:sz="4" w:space="0"/>
              <w:bottom w:val="single" w:color="auto" w:sz="4" w:space="0"/>
              <w:right w:val="single" w:color="auto" w:sz="4" w:space="0"/>
            </w:tcBorders>
            <w:vAlign w:val="center"/>
          </w:tcPr>
          <w:p w14:paraId="51B8EDCD">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服务名称</w:t>
            </w:r>
          </w:p>
        </w:tc>
        <w:tc>
          <w:tcPr>
            <w:tcW w:w="1234" w:type="dxa"/>
            <w:tcBorders>
              <w:top w:val="single" w:color="auto" w:sz="4" w:space="0"/>
              <w:left w:val="single" w:color="auto" w:sz="4" w:space="0"/>
              <w:bottom w:val="single" w:color="auto" w:sz="4" w:space="0"/>
              <w:right w:val="single" w:color="auto" w:sz="4" w:space="0"/>
            </w:tcBorders>
            <w:vAlign w:val="center"/>
          </w:tcPr>
          <w:p w14:paraId="3E87B79A">
            <w:pPr>
              <w:pStyle w:val="60"/>
              <w:snapToGrid w:val="0"/>
              <w:spacing w:before="50" w:after="50" w:line="288" w:lineRule="auto"/>
              <w:rPr>
                <w:rFonts w:hint="default" w:ascii="宋体" w:hAnsi="宋体" w:eastAsia="宋体" w:cs="宋体"/>
                <w:color w:val="auto"/>
                <w:spacing w:val="-6"/>
                <w:kern w:val="2"/>
                <w:sz w:val="22"/>
                <w:highlight w:val="none"/>
              </w:rPr>
            </w:pPr>
            <w:r>
              <w:rPr>
                <w:rFonts w:ascii="宋体" w:hAnsi="宋体" w:eastAsia="宋体" w:cs="宋体"/>
                <w:color w:val="auto"/>
                <w:spacing w:val="-6"/>
                <w:kern w:val="2"/>
                <w:sz w:val="22"/>
                <w:highlight w:val="none"/>
              </w:rPr>
              <w:t>服务商</w:t>
            </w:r>
          </w:p>
        </w:tc>
        <w:tc>
          <w:tcPr>
            <w:tcW w:w="995" w:type="dxa"/>
            <w:tcBorders>
              <w:top w:val="single" w:color="auto" w:sz="4" w:space="0"/>
              <w:left w:val="single" w:color="auto" w:sz="4" w:space="0"/>
              <w:bottom w:val="single" w:color="auto" w:sz="4" w:space="0"/>
              <w:right w:val="single" w:color="auto" w:sz="4" w:space="0"/>
            </w:tcBorders>
            <w:vAlign w:val="center"/>
          </w:tcPr>
          <w:p w14:paraId="779B5886">
            <w:pPr>
              <w:pStyle w:val="60"/>
              <w:snapToGrid w:val="0"/>
              <w:spacing w:before="50" w:after="50" w:line="288" w:lineRule="auto"/>
              <w:rPr>
                <w:rFonts w:hint="default" w:ascii="宋体" w:hAnsi="宋体" w:eastAsia="宋体" w:cs="宋体"/>
                <w:color w:val="auto"/>
                <w:spacing w:val="-6"/>
                <w:kern w:val="2"/>
                <w:sz w:val="22"/>
                <w:highlight w:val="none"/>
              </w:rPr>
            </w:pPr>
            <w:r>
              <w:rPr>
                <w:rFonts w:ascii="宋体" w:hAnsi="宋体" w:eastAsia="宋体" w:cs="宋体"/>
                <w:color w:val="auto"/>
                <w:spacing w:val="-6"/>
                <w:sz w:val="22"/>
                <w:highlight w:val="none"/>
              </w:rPr>
              <w:t>数量</w:t>
            </w:r>
          </w:p>
        </w:tc>
        <w:tc>
          <w:tcPr>
            <w:tcW w:w="1135" w:type="dxa"/>
            <w:tcBorders>
              <w:top w:val="single" w:color="auto" w:sz="4" w:space="0"/>
              <w:left w:val="single" w:color="auto" w:sz="4" w:space="0"/>
              <w:bottom w:val="single" w:color="auto" w:sz="4" w:space="0"/>
              <w:right w:val="single" w:color="auto" w:sz="4" w:space="0"/>
            </w:tcBorders>
            <w:vAlign w:val="center"/>
          </w:tcPr>
          <w:p w14:paraId="1D9FF4C2">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单位</w:t>
            </w:r>
          </w:p>
        </w:tc>
        <w:tc>
          <w:tcPr>
            <w:tcW w:w="897" w:type="dxa"/>
            <w:tcBorders>
              <w:top w:val="single" w:color="auto" w:sz="4" w:space="0"/>
              <w:left w:val="single" w:color="auto" w:sz="4" w:space="0"/>
              <w:bottom w:val="single" w:color="auto" w:sz="4" w:space="0"/>
              <w:right w:val="single" w:color="auto" w:sz="4" w:space="0"/>
            </w:tcBorders>
            <w:vAlign w:val="center"/>
          </w:tcPr>
          <w:p w14:paraId="1C7D757E">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单价（元）</w:t>
            </w:r>
          </w:p>
        </w:tc>
        <w:tc>
          <w:tcPr>
            <w:tcW w:w="995" w:type="dxa"/>
            <w:tcBorders>
              <w:top w:val="single" w:color="auto" w:sz="4" w:space="0"/>
              <w:left w:val="single" w:color="auto" w:sz="4" w:space="0"/>
              <w:bottom w:val="single" w:color="auto" w:sz="4" w:space="0"/>
              <w:right w:val="single" w:color="auto" w:sz="4" w:space="0"/>
            </w:tcBorders>
            <w:vAlign w:val="center"/>
          </w:tcPr>
          <w:p w14:paraId="14113366">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金额（元）</w:t>
            </w:r>
          </w:p>
        </w:tc>
        <w:tc>
          <w:tcPr>
            <w:tcW w:w="1397" w:type="dxa"/>
            <w:tcBorders>
              <w:top w:val="single" w:color="auto" w:sz="4" w:space="0"/>
              <w:left w:val="single" w:color="auto" w:sz="4" w:space="0"/>
              <w:bottom w:val="single" w:color="auto" w:sz="4" w:space="0"/>
              <w:right w:val="single" w:color="auto" w:sz="4" w:space="0"/>
            </w:tcBorders>
            <w:vAlign w:val="center"/>
          </w:tcPr>
          <w:p w14:paraId="72ED949C">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备注</w:t>
            </w:r>
          </w:p>
        </w:tc>
      </w:tr>
      <w:tr w14:paraId="5546E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6D9A89E0">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1</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14:paraId="5CA83B3A">
            <w:pPr>
              <w:widowControl/>
              <w:jc w:val="left"/>
              <w:textAlignment w:val="center"/>
              <w:rPr>
                <w:rFonts w:ascii="宋体" w:hAnsi="宋体" w:cs="宋体"/>
                <w:color w:val="auto"/>
                <w:kern w:val="0"/>
                <w:sz w:val="22"/>
                <w:highlight w:val="none"/>
              </w:rPr>
            </w:pPr>
          </w:p>
        </w:tc>
        <w:tc>
          <w:tcPr>
            <w:tcW w:w="1234" w:type="dxa"/>
            <w:tcBorders>
              <w:top w:val="single" w:color="auto" w:sz="4" w:space="0"/>
              <w:left w:val="single" w:color="auto" w:sz="4" w:space="0"/>
              <w:bottom w:val="single" w:color="auto" w:sz="4" w:space="0"/>
              <w:right w:val="single" w:color="auto" w:sz="4" w:space="0"/>
            </w:tcBorders>
          </w:tcPr>
          <w:p w14:paraId="3CF50CCB">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1FF890BB">
            <w:pPr>
              <w:tabs>
                <w:tab w:val="left" w:pos="1418"/>
              </w:tabs>
              <w:snapToGrid w:val="0"/>
              <w:spacing w:before="50" w:after="50" w:line="288" w:lineRule="auto"/>
              <w:jc w:val="center"/>
              <w:rPr>
                <w:rFonts w:ascii="宋体" w:hAnsi="宋体" w:cs="宋体"/>
                <w:color w:val="auto"/>
                <w:spacing w:val="-6"/>
                <w:sz w:val="22"/>
                <w:highlight w:val="none"/>
              </w:rPr>
            </w:pPr>
          </w:p>
        </w:tc>
        <w:tc>
          <w:tcPr>
            <w:tcW w:w="1135" w:type="dxa"/>
            <w:tcBorders>
              <w:top w:val="single" w:color="auto" w:sz="4" w:space="0"/>
              <w:left w:val="single" w:color="auto" w:sz="4" w:space="0"/>
              <w:bottom w:val="single" w:color="auto" w:sz="4" w:space="0"/>
              <w:right w:val="single" w:color="auto" w:sz="4" w:space="0"/>
            </w:tcBorders>
          </w:tcPr>
          <w:p w14:paraId="1DD50644">
            <w:pPr>
              <w:tabs>
                <w:tab w:val="left" w:pos="1418"/>
              </w:tabs>
              <w:snapToGrid w:val="0"/>
              <w:spacing w:before="50" w:after="50" w:line="288" w:lineRule="auto"/>
              <w:jc w:val="center"/>
              <w:rPr>
                <w:rFonts w:ascii="宋体" w:hAnsi="宋体" w:cs="宋体"/>
                <w:color w:val="auto"/>
                <w:spacing w:val="-6"/>
                <w:sz w:val="22"/>
                <w:highlight w:val="none"/>
              </w:rPr>
            </w:pPr>
          </w:p>
        </w:tc>
        <w:tc>
          <w:tcPr>
            <w:tcW w:w="897" w:type="dxa"/>
            <w:tcBorders>
              <w:top w:val="single" w:color="auto" w:sz="4" w:space="0"/>
              <w:left w:val="single" w:color="auto" w:sz="4" w:space="0"/>
              <w:bottom w:val="single" w:color="auto" w:sz="4" w:space="0"/>
              <w:right w:val="single" w:color="auto" w:sz="4" w:space="0"/>
            </w:tcBorders>
          </w:tcPr>
          <w:p w14:paraId="105E1840">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04D515E9">
            <w:pPr>
              <w:tabs>
                <w:tab w:val="left" w:pos="1418"/>
              </w:tabs>
              <w:snapToGrid w:val="0"/>
              <w:spacing w:before="50" w:after="50" w:line="288" w:lineRule="auto"/>
              <w:jc w:val="center"/>
              <w:rPr>
                <w:rFonts w:ascii="宋体" w:hAnsi="宋体" w:cs="宋体"/>
                <w:color w:val="auto"/>
                <w:spacing w:val="-6"/>
                <w:sz w:val="22"/>
                <w:highlight w:val="none"/>
              </w:rPr>
            </w:pPr>
          </w:p>
        </w:tc>
        <w:tc>
          <w:tcPr>
            <w:tcW w:w="1397" w:type="dxa"/>
            <w:tcBorders>
              <w:top w:val="single" w:color="auto" w:sz="4" w:space="0"/>
              <w:left w:val="single" w:color="auto" w:sz="4" w:space="0"/>
              <w:bottom w:val="single" w:color="auto" w:sz="4" w:space="0"/>
              <w:right w:val="single" w:color="auto" w:sz="4" w:space="0"/>
            </w:tcBorders>
          </w:tcPr>
          <w:p w14:paraId="7DB64A22">
            <w:pPr>
              <w:tabs>
                <w:tab w:val="left" w:pos="1418"/>
              </w:tabs>
              <w:snapToGrid w:val="0"/>
              <w:spacing w:before="50" w:after="50" w:line="288" w:lineRule="auto"/>
              <w:jc w:val="center"/>
              <w:rPr>
                <w:rFonts w:ascii="宋体" w:hAnsi="宋体" w:cs="宋体"/>
                <w:color w:val="auto"/>
                <w:spacing w:val="-6"/>
                <w:sz w:val="22"/>
                <w:highlight w:val="none"/>
              </w:rPr>
            </w:pPr>
          </w:p>
        </w:tc>
      </w:tr>
      <w:tr w14:paraId="2BDAE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1C15CD38">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2</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14:paraId="0B6E9CE3">
            <w:pPr>
              <w:widowControl/>
              <w:jc w:val="left"/>
              <w:textAlignment w:val="center"/>
              <w:rPr>
                <w:rFonts w:ascii="宋体" w:hAnsi="宋体" w:cs="宋体"/>
                <w:color w:val="auto"/>
                <w:kern w:val="0"/>
                <w:sz w:val="22"/>
                <w:highlight w:val="none"/>
              </w:rPr>
            </w:pPr>
          </w:p>
        </w:tc>
        <w:tc>
          <w:tcPr>
            <w:tcW w:w="1234" w:type="dxa"/>
            <w:tcBorders>
              <w:top w:val="single" w:color="auto" w:sz="4" w:space="0"/>
              <w:left w:val="single" w:color="auto" w:sz="4" w:space="0"/>
              <w:bottom w:val="single" w:color="auto" w:sz="4" w:space="0"/>
              <w:right w:val="single" w:color="auto" w:sz="4" w:space="0"/>
            </w:tcBorders>
          </w:tcPr>
          <w:p w14:paraId="2D856524">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7185E427">
            <w:pPr>
              <w:tabs>
                <w:tab w:val="left" w:pos="1418"/>
              </w:tabs>
              <w:snapToGrid w:val="0"/>
              <w:spacing w:before="50" w:after="50" w:line="288" w:lineRule="auto"/>
              <w:jc w:val="center"/>
              <w:rPr>
                <w:rFonts w:ascii="宋体" w:hAnsi="宋体" w:cs="宋体"/>
                <w:color w:val="auto"/>
                <w:spacing w:val="-6"/>
                <w:sz w:val="22"/>
                <w:highlight w:val="none"/>
              </w:rPr>
            </w:pPr>
          </w:p>
        </w:tc>
        <w:tc>
          <w:tcPr>
            <w:tcW w:w="1135" w:type="dxa"/>
            <w:tcBorders>
              <w:top w:val="single" w:color="auto" w:sz="4" w:space="0"/>
              <w:left w:val="single" w:color="auto" w:sz="4" w:space="0"/>
              <w:bottom w:val="single" w:color="auto" w:sz="4" w:space="0"/>
              <w:right w:val="single" w:color="auto" w:sz="4" w:space="0"/>
            </w:tcBorders>
          </w:tcPr>
          <w:p w14:paraId="388E9059">
            <w:pPr>
              <w:tabs>
                <w:tab w:val="left" w:pos="1418"/>
              </w:tabs>
              <w:snapToGrid w:val="0"/>
              <w:spacing w:before="50" w:after="50" w:line="288" w:lineRule="auto"/>
              <w:jc w:val="center"/>
              <w:rPr>
                <w:rFonts w:ascii="宋体" w:hAnsi="宋体" w:cs="宋体"/>
                <w:color w:val="auto"/>
                <w:spacing w:val="-6"/>
                <w:sz w:val="22"/>
                <w:highlight w:val="none"/>
              </w:rPr>
            </w:pPr>
          </w:p>
        </w:tc>
        <w:tc>
          <w:tcPr>
            <w:tcW w:w="897" w:type="dxa"/>
            <w:tcBorders>
              <w:top w:val="single" w:color="auto" w:sz="4" w:space="0"/>
              <w:left w:val="single" w:color="auto" w:sz="4" w:space="0"/>
              <w:bottom w:val="single" w:color="auto" w:sz="4" w:space="0"/>
              <w:right w:val="single" w:color="auto" w:sz="4" w:space="0"/>
            </w:tcBorders>
          </w:tcPr>
          <w:p w14:paraId="50447AA0">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6E213339">
            <w:pPr>
              <w:tabs>
                <w:tab w:val="left" w:pos="1418"/>
              </w:tabs>
              <w:snapToGrid w:val="0"/>
              <w:spacing w:before="50" w:after="50" w:line="288" w:lineRule="auto"/>
              <w:jc w:val="center"/>
              <w:rPr>
                <w:rFonts w:ascii="宋体" w:hAnsi="宋体" w:cs="宋体"/>
                <w:color w:val="auto"/>
                <w:spacing w:val="-6"/>
                <w:sz w:val="22"/>
                <w:highlight w:val="none"/>
              </w:rPr>
            </w:pPr>
          </w:p>
        </w:tc>
        <w:tc>
          <w:tcPr>
            <w:tcW w:w="1397" w:type="dxa"/>
            <w:tcBorders>
              <w:top w:val="single" w:color="auto" w:sz="4" w:space="0"/>
              <w:left w:val="single" w:color="auto" w:sz="4" w:space="0"/>
              <w:bottom w:val="single" w:color="auto" w:sz="4" w:space="0"/>
              <w:right w:val="single" w:color="auto" w:sz="4" w:space="0"/>
            </w:tcBorders>
          </w:tcPr>
          <w:p w14:paraId="0AB70F84">
            <w:pPr>
              <w:tabs>
                <w:tab w:val="left" w:pos="1418"/>
              </w:tabs>
              <w:snapToGrid w:val="0"/>
              <w:spacing w:before="50" w:after="50" w:line="288" w:lineRule="auto"/>
              <w:jc w:val="center"/>
              <w:rPr>
                <w:rFonts w:ascii="宋体" w:hAnsi="宋体" w:cs="宋体"/>
                <w:color w:val="auto"/>
                <w:spacing w:val="-6"/>
                <w:sz w:val="22"/>
                <w:highlight w:val="none"/>
              </w:rPr>
            </w:pPr>
          </w:p>
        </w:tc>
      </w:tr>
      <w:tr w14:paraId="76827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08D74530">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3</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14:paraId="4586008E">
            <w:pPr>
              <w:widowControl/>
              <w:jc w:val="left"/>
              <w:textAlignment w:val="center"/>
              <w:rPr>
                <w:rFonts w:ascii="宋体" w:hAnsi="宋体" w:cs="宋体"/>
                <w:color w:val="auto"/>
                <w:kern w:val="0"/>
                <w:sz w:val="22"/>
                <w:highlight w:val="none"/>
              </w:rPr>
            </w:pPr>
          </w:p>
        </w:tc>
        <w:tc>
          <w:tcPr>
            <w:tcW w:w="1234" w:type="dxa"/>
            <w:tcBorders>
              <w:top w:val="single" w:color="auto" w:sz="4" w:space="0"/>
              <w:left w:val="single" w:color="auto" w:sz="4" w:space="0"/>
              <w:bottom w:val="single" w:color="auto" w:sz="4" w:space="0"/>
              <w:right w:val="single" w:color="auto" w:sz="4" w:space="0"/>
            </w:tcBorders>
          </w:tcPr>
          <w:p w14:paraId="40D01151">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09352014">
            <w:pPr>
              <w:tabs>
                <w:tab w:val="left" w:pos="1418"/>
              </w:tabs>
              <w:snapToGrid w:val="0"/>
              <w:spacing w:before="50" w:after="50" w:line="288" w:lineRule="auto"/>
              <w:jc w:val="center"/>
              <w:rPr>
                <w:rFonts w:ascii="宋体" w:hAnsi="宋体" w:cs="宋体"/>
                <w:color w:val="auto"/>
                <w:spacing w:val="-6"/>
                <w:sz w:val="22"/>
                <w:highlight w:val="none"/>
              </w:rPr>
            </w:pPr>
          </w:p>
        </w:tc>
        <w:tc>
          <w:tcPr>
            <w:tcW w:w="1135" w:type="dxa"/>
            <w:tcBorders>
              <w:top w:val="single" w:color="auto" w:sz="4" w:space="0"/>
              <w:left w:val="single" w:color="auto" w:sz="4" w:space="0"/>
              <w:bottom w:val="single" w:color="auto" w:sz="4" w:space="0"/>
              <w:right w:val="single" w:color="auto" w:sz="4" w:space="0"/>
            </w:tcBorders>
          </w:tcPr>
          <w:p w14:paraId="561C55F6">
            <w:pPr>
              <w:tabs>
                <w:tab w:val="left" w:pos="1418"/>
              </w:tabs>
              <w:snapToGrid w:val="0"/>
              <w:spacing w:before="50" w:after="50" w:line="288" w:lineRule="auto"/>
              <w:jc w:val="center"/>
              <w:rPr>
                <w:rFonts w:ascii="宋体" w:hAnsi="宋体" w:cs="宋体"/>
                <w:color w:val="auto"/>
                <w:spacing w:val="-6"/>
                <w:sz w:val="22"/>
                <w:highlight w:val="none"/>
              </w:rPr>
            </w:pPr>
          </w:p>
        </w:tc>
        <w:tc>
          <w:tcPr>
            <w:tcW w:w="897" w:type="dxa"/>
            <w:tcBorders>
              <w:top w:val="single" w:color="auto" w:sz="4" w:space="0"/>
              <w:left w:val="single" w:color="auto" w:sz="4" w:space="0"/>
              <w:bottom w:val="single" w:color="auto" w:sz="4" w:space="0"/>
              <w:right w:val="single" w:color="auto" w:sz="4" w:space="0"/>
            </w:tcBorders>
          </w:tcPr>
          <w:p w14:paraId="181AAF23">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52BD935A">
            <w:pPr>
              <w:tabs>
                <w:tab w:val="left" w:pos="1418"/>
              </w:tabs>
              <w:snapToGrid w:val="0"/>
              <w:spacing w:before="50" w:after="50" w:line="288" w:lineRule="auto"/>
              <w:jc w:val="center"/>
              <w:rPr>
                <w:rFonts w:ascii="宋体" w:hAnsi="宋体" w:cs="宋体"/>
                <w:color w:val="auto"/>
                <w:spacing w:val="-6"/>
                <w:sz w:val="22"/>
                <w:highlight w:val="none"/>
              </w:rPr>
            </w:pPr>
          </w:p>
        </w:tc>
        <w:tc>
          <w:tcPr>
            <w:tcW w:w="1397" w:type="dxa"/>
            <w:tcBorders>
              <w:top w:val="single" w:color="auto" w:sz="4" w:space="0"/>
              <w:left w:val="single" w:color="auto" w:sz="4" w:space="0"/>
              <w:bottom w:val="single" w:color="auto" w:sz="4" w:space="0"/>
              <w:right w:val="single" w:color="auto" w:sz="4" w:space="0"/>
            </w:tcBorders>
          </w:tcPr>
          <w:p w14:paraId="4DCAC208">
            <w:pPr>
              <w:tabs>
                <w:tab w:val="left" w:pos="1418"/>
              </w:tabs>
              <w:snapToGrid w:val="0"/>
              <w:spacing w:before="50" w:after="50" w:line="288" w:lineRule="auto"/>
              <w:jc w:val="center"/>
              <w:rPr>
                <w:rFonts w:ascii="宋体" w:hAnsi="宋体" w:cs="宋体"/>
                <w:color w:val="auto"/>
                <w:spacing w:val="-6"/>
                <w:sz w:val="22"/>
                <w:highlight w:val="none"/>
              </w:rPr>
            </w:pPr>
          </w:p>
        </w:tc>
      </w:tr>
      <w:tr w14:paraId="186B0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06A953E2">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4</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14:paraId="2903C385">
            <w:pPr>
              <w:widowControl/>
              <w:jc w:val="left"/>
              <w:textAlignment w:val="center"/>
              <w:rPr>
                <w:rFonts w:ascii="宋体" w:hAnsi="宋体" w:cs="宋体"/>
                <w:color w:val="auto"/>
                <w:kern w:val="0"/>
                <w:sz w:val="22"/>
                <w:highlight w:val="none"/>
              </w:rPr>
            </w:pPr>
          </w:p>
        </w:tc>
        <w:tc>
          <w:tcPr>
            <w:tcW w:w="1234" w:type="dxa"/>
            <w:tcBorders>
              <w:top w:val="single" w:color="auto" w:sz="4" w:space="0"/>
              <w:left w:val="single" w:color="auto" w:sz="4" w:space="0"/>
              <w:bottom w:val="single" w:color="auto" w:sz="4" w:space="0"/>
              <w:right w:val="single" w:color="auto" w:sz="4" w:space="0"/>
            </w:tcBorders>
          </w:tcPr>
          <w:p w14:paraId="1070848F">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479A211D">
            <w:pPr>
              <w:tabs>
                <w:tab w:val="left" w:pos="1418"/>
              </w:tabs>
              <w:snapToGrid w:val="0"/>
              <w:spacing w:before="50" w:after="50" w:line="288" w:lineRule="auto"/>
              <w:jc w:val="center"/>
              <w:rPr>
                <w:rFonts w:ascii="宋体" w:hAnsi="宋体" w:cs="宋体"/>
                <w:color w:val="auto"/>
                <w:spacing w:val="-6"/>
                <w:sz w:val="22"/>
                <w:highlight w:val="none"/>
              </w:rPr>
            </w:pPr>
          </w:p>
        </w:tc>
        <w:tc>
          <w:tcPr>
            <w:tcW w:w="1135" w:type="dxa"/>
            <w:tcBorders>
              <w:top w:val="single" w:color="auto" w:sz="4" w:space="0"/>
              <w:left w:val="single" w:color="auto" w:sz="4" w:space="0"/>
              <w:bottom w:val="single" w:color="auto" w:sz="4" w:space="0"/>
              <w:right w:val="single" w:color="auto" w:sz="4" w:space="0"/>
            </w:tcBorders>
          </w:tcPr>
          <w:p w14:paraId="7EF53417">
            <w:pPr>
              <w:tabs>
                <w:tab w:val="left" w:pos="1418"/>
              </w:tabs>
              <w:snapToGrid w:val="0"/>
              <w:spacing w:before="50" w:after="50" w:line="288" w:lineRule="auto"/>
              <w:jc w:val="center"/>
              <w:rPr>
                <w:rFonts w:ascii="宋体" w:hAnsi="宋体" w:cs="宋体"/>
                <w:color w:val="auto"/>
                <w:spacing w:val="-6"/>
                <w:sz w:val="22"/>
                <w:highlight w:val="none"/>
              </w:rPr>
            </w:pPr>
          </w:p>
        </w:tc>
        <w:tc>
          <w:tcPr>
            <w:tcW w:w="897" w:type="dxa"/>
            <w:tcBorders>
              <w:top w:val="single" w:color="auto" w:sz="4" w:space="0"/>
              <w:left w:val="single" w:color="auto" w:sz="4" w:space="0"/>
              <w:bottom w:val="single" w:color="auto" w:sz="4" w:space="0"/>
              <w:right w:val="single" w:color="auto" w:sz="4" w:space="0"/>
            </w:tcBorders>
          </w:tcPr>
          <w:p w14:paraId="1FDC5F67">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6444AE6F">
            <w:pPr>
              <w:tabs>
                <w:tab w:val="left" w:pos="1418"/>
              </w:tabs>
              <w:snapToGrid w:val="0"/>
              <w:spacing w:before="50" w:after="50" w:line="288" w:lineRule="auto"/>
              <w:jc w:val="center"/>
              <w:rPr>
                <w:rFonts w:ascii="宋体" w:hAnsi="宋体" w:cs="宋体"/>
                <w:color w:val="auto"/>
                <w:spacing w:val="-6"/>
                <w:sz w:val="22"/>
                <w:highlight w:val="none"/>
              </w:rPr>
            </w:pPr>
          </w:p>
        </w:tc>
        <w:tc>
          <w:tcPr>
            <w:tcW w:w="1397" w:type="dxa"/>
            <w:tcBorders>
              <w:top w:val="single" w:color="auto" w:sz="4" w:space="0"/>
              <w:left w:val="single" w:color="auto" w:sz="4" w:space="0"/>
              <w:bottom w:val="single" w:color="auto" w:sz="4" w:space="0"/>
              <w:right w:val="single" w:color="auto" w:sz="4" w:space="0"/>
            </w:tcBorders>
          </w:tcPr>
          <w:p w14:paraId="39E4C51F">
            <w:pPr>
              <w:tabs>
                <w:tab w:val="left" w:pos="1418"/>
              </w:tabs>
              <w:snapToGrid w:val="0"/>
              <w:spacing w:before="50" w:after="50" w:line="288" w:lineRule="auto"/>
              <w:jc w:val="center"/>
              <w:rPr>
                <w:rFonts w:ascii="宋体" w:hAnsi="宋体" w:cs="宋体"/>
                <w:color w:val="auto"/>
                <w:spacing w:val="-6"/>
                <w:sz w:val="22"/>
                <w:highlight w:val="none"/>
              </w:rPr>
            </w:pPr>
          </w:p>
        </w:tc>
      </w:tr>
      <w:tr w14:paraId="3D3D3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14:paraId="5CDA1830">
            <w:pPr>
              <w:tabs>
                <w:tab w:val="left" w:pos="1418"/>
              </w:tabs>
              <w:snapToGrid w:val="0"/>
              <w:spacing w:before="50" w:after="50" w:line="288" w:lineRule="auto"/>
              <w:jc w:val="center"/>
              <w:rPr>
                <w:rFonts w:ascii="宋体" w:hAnsi="宋体" w:cs="宋体"/>
                <w:color w:val="auto"/>
                <w:spacing w:val="-6"/>
                <w:sz w:val="22"/>
                <w:highlight w:val="none"/>
              </w:rPr>
            </w:pPr>
            <w:r>
              <w:rPr>
                <w:rFonts w:hint="eastAsia" w:ascii="宋体" w:hAnsi="宋体" w:cs="宋体"/>
                <w:color w:val="auto"/>
                <w:spacing w:val="-6"/>
                <w:sz w:val="22"/>
                <w:highlight w:val="none"/>
              </w:rPr>
              <w:t>5</w:t>
            </w:r>
          </w:p>
        </w:tc>
        <w:tc>
          <w:tcPr>
            <w:tcW w:w="2263" w:type="dxa"/>
            <w:tcBorders>
              <w:top w:val="single" w:color="auto" w:sz="4" w:space="0"/>
              <w:left w:val="single" w:color="auto" w:sz="4" w:space="0"/>
              <w:bottom w:val="single" w:color="auto" w:sz="4" w:space="0"/>
              <w:right w:val="single" w:color="auto" w:sz="4" w:space="0"/>
            </w:tcBorders>
            <w:shd w:val="clear" w:color="auto" w:fill="FFFFFF"/>
            <w:vAlign w:val="center"/>
          </w:tcPr>
          <w:p w14:paraId="35DEC9B9">
            <w:pPr>
              <w:widowControl/>
              <w:jc w:val="left"/>
              <w:textAlignment w:val="center"/>
              <w:rPr>
                <w:rFonts w:ascii="宋体" w:hAnsi="宋体" w:cs="宋体"/>
                <w:color w:val="auto"/>
                <w:kern w:val="0"/>
                <w:sz w:val="22"/>
                <w:highlight w:val="none"/>
              </w:rPr>
            </w:pPr>
          </w:p>
        </w:tc>
        <w:tc>
          <w:tcPr>
            <w:tcW w:w="1234" w:type="dxa"/>
            <w:tcBorders>
              <w:top w:val="single" w:color="auto" w:sz="4" w:space="0"/>
              <w:left w:val="single" w:color="auto" w:sz="4" w:space="0"/>
              <w:bottom w:val="single" w:color="auto" w:sz="4" w:space="0"/>
              <w:right w:val="single" w:color="auto" w:sz="4" w:space="0"/>
            </w:tcBorders>
          </w:tcPr>
          <w:p w14:paraId="3EED8158">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3887DD38">
            <w:pPr>
              <w:tabs>
                <w:tab w:val="left" w:pos="1418"/>
              </w:tabs>
              <w:snapToGrid w:val="0"/>
              <w:spacing w:before="50" w:after="50" w:line="288" w:lineRule="auto"/>
              <w:jc w:val="center"/>
              <w:rPr>
                <w:rFonts w:ascii="宋体" w:hAnsi="宋体" w:cs="宋体"/>
                <w:color w:val="auto"/>
                <w:spacing w:val="-6"/>
                <w:sz w:val="22"/>
                <w:highlight w:val="none"/>
              </w:rPr>
            </w:pPr>
          </w:p>
        </w:tc>
        <w:tc>
          <w:tcPr>
            <w:tcW w:w="1135" w:type="dxa"/>
            <w:tcBorders>
              <w:top w:val="single" w:color="auto" w:sz="4" w:space="0"/>
              <w:left w:val="single" w:color="auto" w:sz="4" w:space="0"/>
              <w:bottom w:val="single" w:color="auto" w:sz="4" w:space="0"/>
              <w:right w:val="single" w:color="auto" w:sz="4" w:space="0"/>
            </w:tcBorders>
          </w:tcPr>
          <w:p w14:paraId="4F3E756D">
            <w:pPr>
              <w:tabs>
                <w:tab w:val="left" w:pos="1418"/>
              </w:tabs>
              <w:snapToGrid w:val="0"/>
              <w:spacing w:before="50" w:after="50" w:line="288" w:lineRule="auto"/>
              <w:jc w:val="center"/>
              <w:rPr>
                <w:rFonts w:ascii="宋体" w:hAnsi="宋体" w:cs="宋体"/>
                <w:color w:val="auto"/>
                <w:spacing w:val="-6"/>
                <w:sz w:val="22"/>
                <w:highlight w:val="none"/>
              </w:rPr>
            </w:pPr>
          </w:p>
        </w:tc>
        <w:tc>
          <w:tcPr>
            <w:tcW w:w="897" w:type="dxa"/>
            <w:tcBorders>
              <w:top w:val="single" w:color="auto" w:sz="4" w:space="0"/>
              <w:left w:val="single" w:color="auto" w:sz="4" w:space="0"/>
              <w:bottom w:val="single" w:color="auto" w:sz="4" w:space="0"/>
              <w:right w:val="single" w:color="auto" w:sz="4" w:space="0"/>
            </w:tcBorders>
          </w:tcPr>
          <w:p w14:paraId="2A2BA666">
            <w:pPr>
              <w:tabs>
                <w:tab w:val="left" w:pos="1418"/>
              </w:tabs>
              <w:snapToGrid w:val="0"/>
              <w:spacing w:before="50" w:after="50" w:line="288" w:lineRule="auto"/>
              <w:jc w:val="center"/>
              <w:rPr>
                <w:rFonts w:ascii="宋体" w:hAnsi="宋体" w:cs="宋体"/>
                <w:color w:val="auto"/>
                <w:spacing w:val="-6"/>
                <w:sz w:val="22"/>
                <w:highlight w:val="none"/>
              </w:rPr>
            </w:pPr>
          </w:p>
        </w:tc>
        <w:tc>
          <w:tcPr>
            <w:tcW w:w="995" w:type="dxa"/>
            <w:tcBorders>
              <w:top w:val="single" w:color="auto" w:sz="4" w:space="0"/>
              <w:left w:val="single" w:color="auto" w:sz="4" w:space="0"/>
              <w:bottom w:val="single" w:color="auto" w:sz="4" w:space="0"/>
              <w:right w:val="single" w:color="auto" w:sz="4" w:space="0"/>
            </w:tcBorders>
          </w:tcPr>
          <w:p w14:paraId="679B5BB0">
            <w:pPr>
              <w:tabs>
                <w:tab w:val="left" w:pos="1418"/>
              </w:tabs>
              <w:snapToGrid w:val="0"/>
              <w:spacing w:before="50" w:after="50" w:line="288" w:lineRule="auto"/>
              <w:jc w:val="center"/>
              <w:rPr>
                <w:rFonts w:ascii="宋体" w:hAnsi="宋体" w:cs="宋体"/>
                <w:color w:val="auto"/>
                <w:spacing w:val="-6"/>
                <w:sz w:val="22"/>
                <w:highlight w:val="none"/>
              </w:rPr>
            </w:pPr>
          </w:p>
        </w:tc>
        <w:tc>
          <w:tcPr>
            <w:tcW w:w="1397" w:type="dxa"/>
            <w:tcBorders>
              <w:top w:val="single" w:color="auto" w:sz="4" w:space="0"/>
              <w:left w:val="single" w:color="auto" w:sz="4" w:space="0"/>
              <w:bottom w:val="single" w:color="auto" w:sz="4" w:space="0"/>
              <w:right w:val="single" w:color="auto" w:sz="4" w:space="0"/>
            </w:tcBorders>
          </w:tcPr>
          <w:p w14:paraId="4E195776">
            <w:pPr>
              <w:tabs>
                <w:tab w:val="left" w:pos="1418"/>
              </w:tabs>
              <w:snapToGrid w:val="0"/>
              <w:spacing w:before="50" w:after="50" w:line="288" w:lineRule="auto"/>
              <w:jc w:val="center"/>
              <w:rPr>
                <w:rFonts w:ascii="宋体" w:hAnsi="宋体" w:cs="宋体"/>
                <w:color w:val="auto"/>
                <w:spacing w:val="-6"/>
                <w:sz w:val="22"/>
                <w:highlight w:val="none"/>
              </w:rPr>
            </w:pPr>
          </w:p>
        </w:tc>
      </w:tr>
      <w:tr w14:paraId="46C5A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21" w:type="dxa"/>
            <w:gridSpan w:val="8"/>
            <w:tcBorders>
              <w:top w:val="single" w:color="auto" w:sz="4" w:space="0"/>
              <w:left w:val="single" w:color="auto" w:sz="4" w:space="0"/>
              <w:bottom w:val="single" w:color="auto" w:sz="4" w:space="0"/>
              <w:right w:val="single" w:color="auto" w:sz="4" w:space="0"/>
            </w:tcBorders>
          </w:tcPr>
          <w:p w14:paraId="6FCBAEB0">
            <w:pPr>
              <w:tabs>
                <w:tab w:val="left" w:pos="1418"/>
              </w:tabs>
              <w:snapToGrid w:val="0"/>
              <w:spacing w:before="50" w:after="50" w:line="288" w:lineRule="auto"/>
              <w:jc w:val="left"/>
              <w:rPr>
                <w:rFonts w:ascii="宋体" w:hAnsi="宋体" w:cs="宋体"/>
                <w:color w:val="auto"/>
                <w:spacing w:val="-6"/>
                <w:sz w:val="22"/>
                <w:highlight w:val="none"/>
                <w:u w:val="single"/>
              </w:rPr>
            </w:pPr>
            <w:r>
              <w:rPr>
                <w:rFonts w:hint="eastAsia" w:ascii="宋体" w:hAnsi="宋体" w:cs="宋体"/>
                <w:color w:val="auto"/>
                <w:spacing w:val="-6"/>
                <w:sz w:val="22"/>
                <w:highlight w:val="none"/>
              </w:rPr>
              <w:t>投标总价：小写：</w:t>
            </w:r>
          </w:p>
          <w:p w14:paraId="73F9873A">
            <w:pPr>
              <w:tabs>
                <w:tab w:val="left" w:pos="1418"/>
              </w:tabs>
              <w:snapToGrid w:val="0"/>
              <w:spacing w:before="50" w:after="50" w:line="288" w:lineRule="auto"/>
              <w:ind w:firstLine="1040" w:firstLineChars="500"/>
              <w:jc w:val="left"/>
              <w:rPr>
                <w:rFonts w:ascii="宋体" w:hAnsi="宋体" w:cs="宋体"/>
                <w:color w:val="auto"/>
                <w:spacing w:val="-6"/>
                <w:sz w:val="22"/>
                <w:highlight w:val="none"/>
              </w:rPr>
            </w:pPr>
            <w:r>
              <w:rPr>
                <w:rFonts w:hint="eastAsia" w:ascii="宋体" w:hAnsi="宋体" w:cs="宋体"/>
                <w:color w:val="auto"/>
                <w:spacing w:val="-6"/>
                <w:sz w:val="22"/>
                <w:highlight w:val="none"/>
              </w:rPr>
              <w:t>大写：</w:t>
            </w:r>
          </w:p>
        </w:tc>
      </w:tr>
    </w:tbl>
    <w:p w14:paraId="28C3B2F9">
      <w:pPr>
        <w:spacing w:line="360" w:lineRule="exact"/>
        <w:jc w:val="left"/>
        <w:rPr>
          <w:rFonts w:ascii="宋体" w:hAnsi="宋体" w:cs="宋体"/>
          <w:color w:val="auto"/>
          <w:sz w:val="22"/>
          <w:highlight w:val="none"/>
        </w:rPr>
      </w:pPr>
      <w:r>
        <w:rPr>
          <w:rFonts w:hint="eastAsia" w:ascii="宋体" w:hAnsi="宋体" w:cs="宋体"/>
          <w:color w:val="auto"/>
          <w:sz w:val="22"/>
          <w:highlight w:val="none"/>
        </w:rPr>
        <w:t>备注：</w:t>
      </w:r>
    </w:p>
    <w:p w14:paraId="76B5D1D2">
      <w:pPr>
        <w:numPr>
          <w:ilvl w:val="0"/>
          <w:numId w:val="5"/>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“投标报价明细表”内“投标总价”应与附件1“开标一览表”中“投标总报价”相一致。</w:t>
      </w:r>
    </w:p>
    <w:p w14:paraId="383F5D8D">
      <w:pPr>
        <w:numPr>
          <w:ilvl w:val="0"/>
          <w:numId w:val="5"/>
        </w:numPr>
        <w:spacing w:line="360" w:lineRule="exact"/>
        <w:jc w:val="left"/>
        <w:rPr>
          <w:rFonts w:ascii="宋体" w:hAnsi="宋体" w:cs="宋体"/>
          <w:color w:val="auto"/>
          <w:sz w:val="22"/>
          <w:highlight w:val="none"/>
        </w:rPr>
      </w:pPr>
      <w:r>
        <w:rPr>
          <w:rFonts w:hint="eastAsia" w:ascii="宋体" w:hAnsi="宋体" w:cs="宋体"/>
          <w:color w:val="auto"/>
          <w:sz w:val="22"/>
          <w:highlight w:val="none"/>
        </w:rPr>
        <w:t>如果含在服务价格中则填“含”，如无此项内容则填“无”，不留空白。此表投标人可根据实际需求自行编制。每一项目只允许有一个报价，任何有选择的报价将不予接受。</w:t>
      </w:r>
    </w:p>
    <w:p w14:paraId="71F4B23A">
      <w:pPr>
        <w:numPr>
          <w:ilvl w:val="0"/>
          <w:numId w:val="5"/>
        </w:numPr>
        <w:spacing w:line="360" w:lineRule="exact"/>
        <w:jc w:val="left"/>
        <w:rPr>
          <w:rFonts w:ascii="宋体" w:hAnsi="宋体" w:cs="宋体"/>
          <w:color w:val="auto"/>
          <w:spacing w:val="-6"/>
          <w:sz w:val="22"/>
          <w:highlight w:val="none"/>
          <w:u w:val="single"/>
        </w:rPr>
      </w:pPr>
      <w:r>
        <w:rPr>
          <w:rFonts w:hint="eastAsia" w:ascii="宋体" w:hAnsi="宋体" w:cs="宋体"/>
          <w:color w:val="auto"/>
          <w:sz w:val="22"/>
          <w:highlight w:val="none"/>
          <w:u w:val="single"/>
        </w:rPr>
        <w:t>▲</w:t>
      </w:r>
      <w:r>
        <w:rPr>
          <w:rFonts w:hint="eastAsia" w:ascii="宋体" w:hAnsi="宋体" w:cs="宋体"/>
          <w:color w:val="auto"/>
          <w:spacing w:val="-6"/>
          <w:sz w:val="22"/>
          <w:highlight w:val="none"/>
          <w:u w:val="single"/>
        </w:rPr>
        <w:t>不提供投标报价明细表将视为没有明确响应招标文件。</w:t>
      </w:r>
    </w:p>
    <w:p w14:paraId="53664A43">
      <w:pPr>
        <w:pStyle w:val="5"/>
        <w:numPr>
          <w:ilvl w:val="0"/>
          <w:numId w:val="5"/>
        </w:numPr>
        <w:spacing w:line="360" w:lineRule="exact"/>
        <w:jc w:val="left"/>
        <w:rPr>
          <w:rFonts w:ascii="宋体" w:hAnsi="宋体" w:cs="宋体"/>
          <w:b w:val="0"/>
          <w:color w:val="auto"/>
          <w:sz w:val="22"/>
          <w:szCs w:val="22"/>
          <w:highlight w:val="none"/>
        </w:rPr>
      </w:pPr>
      <w:bookmarkStart w:id="19" w:name="_Toc4638"/>
      <w:r>
        <w:rPr>
          <w:rFonts w:hint="eastAsia" w:ascii="宋体" w:hAnsi="宋体" w:cs="宋体"/>
          <w:b w:val="0"/>
          <w:color w:val="auto"/>
          <w:sz w:val="22"/>
          <w:szCs w:val="22"/>
          <w:highlight w:val="none"/>
        </w:rPr>
        <w:t>在中标或者成交公告的内容中增加本表，请各投标人认真填写，确保报价数据的真实性、完整性和合理性。</w:t>
      </w:r>
      <w:bookmarkEnd w:id="19"/>
    </w:p>
    <w:p w14:paraId="163BDB76">
      <w:pPr>
        <w:numPr>
          <w:ilvl w:val="1"/>
          <w:numId w:val="0"/>
        </w:num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5、投标人不得进行影响产品质量或者诚信履约的恶意报价。投标人在项目评审前准备好报价核算、报价明细、报价说明等材料，以备评审专家核查。如投标人报价低于项目预算50%的，必须在报价文件中详细阐述不影响产品质量或者诚信履约的具体原因。</w:t>
      </w:r>
    </w:p>
    <w:p w14:paraId="115EFFA8">
      <w:pPr>
        <w:widowControl/>
        <w:spacing w:line="400" w:lineRule="exact"/>
        <w:ind w:left="400"/>
        <w:rPr>
          <w:rFonts w:ascii="宋体" w:hAnsi="宋体" w:cs="宋体"/>
          <w:color w:val="auto"/>
          <w:kern w:val="0"/>
          <w:sz w:val="22"/>
          <w:highlight w:val="none"/>
        </w:rPr>
      </w:pPr>
    </w:p>
    <w:p w14:paraId="048295F1">
      <w:pPr>
        <w:widowControl/>
        <w:spacing w:line="400" w:lineRule="exact"/>
        <w:ind w:left="400"/>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20BF0416">
      <w:pPr>
        <w:widowControl/>
        <w:spacing w:line="400" w:lineRule="exact"/>
        <w:ind w:left="400"/>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5B0C890C">
      <w:pPr>
        <w:snapToGrid w:val="0"/>
        <w:spacing w:line="400" w:lineRule="exact"/>
        <w:ind w:left="400"/>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0AF26F06">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1199EE9B">
      <w:pPr>
        <w:snapToGrid w:val="0"/>
        <w:spacing w:before="120" w:beforeLines="50" w:after="50"/>
        <w:jc w:val="center"/>
        <w:rPr>
          <w:rFonts w:ascii="宋体" w:hAnsi="宋体" w:cs="宋体"/>
          <w:b/>
          <w:color w:val="auto"/>
          <w:sz w:val="28"/>
          <w:szCs w:val="28"/>
          <w:highlight w:val="none"/>
        </w:rPr>
      </w:pPr>
      <w:r>
        <w:rPr>
          <w:rFonts w:hint="eastAsia" w:ascii="宋体" w:hAnsi="宋体" w:cs="宋体"/>
          <w:b/>
          <w:bCs/>
          <w:color w:val="auto"/>
          <w:sz w:val="28"/>
          <w:szCs w:val="28"/>
          <w:highlight w:val="none"/>
        </w:rPr>
        <w:t>二、资格文件部分封面格式</w:t>
      </w:r>
    </w:p>
    <w:p w14:paraId="59637757">
      <w:pPr>
        <w:snapToGrid w:val="0"/>
        <w:spacing w:before="120" w:beforeLines="50" w:after="50"/>
        <w:jc w:val="center"/>
        <w:rPr>
          <w:rFonts w:ascii="宋体" w:hAnsi="宋体" w:cs="宋体"/>
          <w:b/>
          <w:bCs/>
          <w:color w:val="auto"/>
          <w:sz w:val="24"/>
          <w:highlight w:val="none"/>
        </w:rPr>
      </w:pPr>
    </w:p>
    <w:p w14:paraId="57E625F0">
      <w:pPr>
        <w:snapToGrid w:val="0"/>
        <w:spacing w:line="400" w:lineRule="exact"/>
        <w:rPr>
          <w:rFonts w:ascii="宋体" w:hAnsi="宋体" w:cs="宋体"/>
          <w:b/>
          <w:bCs/>
          <w:color w:val="auto"/>
          <w:sz w:val="24"/>
          <w:szCs w:val="20"/>
          <w:highlight w:val="none"/>
        </w:rPr>
      </w:pPr>
    </w:p>
    <w:p w14:paraId="334A4028">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8" name="Quad Arrow 6"/>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1117FD">
                            <w:pPr>
                              <w:snapToGrid w:val="0"/>
                              <w:spacing w:before="120" w:beforeLines="50" w:after="50"/>
                              <w:jc w:val="right"/>
                              <w:rPr>
                                <w:rFonts w:ascii="宋体" w:hAnsi="宋体"/>
                                <w:b/>
                                <w:bCs/>
                                <w:sz w:val="32"/>
                                <w:szCs w:val="20"/>
                              </w:rPr>
                            </w:pPr>
                          </w:p>
                          <w:p w14:paraId="3CD22771">
                            <w:pPr>
                              <w:snapToGrid w:val="0"/>
                              <w:spacing w:before="120" w:beforeLines="50" w:after="50"/>
                              <w:ind w:left="-850" w:leftChars="-405"/>
                              <w:rPr>
                                <w:rFonts w:ascii="宋体" w:hAnsi="宋体"/>
                                <w:sz w:val="24"/>
                                <w:szCs w:val="20"/>
                              </w:rPr>
                            </w:pPr>
                          </w:p>
                          <w:p w14:paraId="653FEE6B">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60AA6CF0">
                            <w:pPr>
                              <w:snapToGrid w:val="0"/>
                              <w:spacing w:before="120" w:beforeLines="50" w:after="50"/>
                              <w:rPr>
                                <w:rFonts w:ascii="宋体" w:hAnsi="宋体"/>
                                <w:bCs/>
                                <w:sz w:val="24"/>
                                <w:szCs w:val="20"/>
                              </w:rPr>
                            </w:pPr>
                          </w:p>
                          <w:p w14:paraId="05222CE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B20404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6F4DBDE6">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color w:val="000000"/>
                                <w:sz w:val="24"/>
                                <w:szCs w:val="24"/>
                              </w:rPr>
                              <w:t>或公章</w:t>
                            </w:r>
                            <w:r>
                              <w:rPr>
                                <w:rFonts w:hint="eastAsia" w:ascii="宋体" w:hAnsi="宋体" w:cs="宋体"/>
                                <w:sz w:val="24"/>
                                <w:szCs w:val="24"/>
                              </w:rPr>
                              <w:t>）</w:t>
                            </w:r>
                            <w:r>
                              <w:rPr>
                                <w:rFonts w:hint="eastAsia" w:ascii="宋体" w:hAnsi="宋体"/>
                                <w:bCs/>
                                <w:sz w:val="24"/>
                              </w:rPr>
                              <w:t>：</w:t>
                            </w:r>
                          </w:p>
                          <w:p w14:paraId="147B1AEA">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1C44E4F">
                            <w:pPr>
                              <w:snapToGrid w:val="0"/>
                              <w:spacing w:before="120" w:beforeLines="50" w:after="50"/>
                              <w:ind w:firstLine="1068" w:firstLineChars="445"/>
                              <w:rPr>
                                <w:rFonts w:ascii="宋体" w:hAnsi="宋体"/>
                                <w:bCs/>
                                <w:sz w:val="24"/>
                              </w:rPr>
                            </w:pPr>
                          </w:p>
                          <w:p w14:paraId="72FD1B97">
                            <w:pPr>
                              <w:snapToGrid w:val="0"/>
                              <w:spacing w:before="120" w:beforeLines="50" w:after="50"/>
                              <w:ind w:firstLine="4080" w:firstLineChars="1700"/>
                              <w:rPr>
                                <w:rFonts w:ascii="宋体" w:hAnsi="宋体"/>
                                <w:sz w:val="24"/>
                                <w:szCs w:val="20"/>
                              </w:rPr>
                            </w:pPr>
                          </w:p>
                          <w:p w14:paraId="73186976">
                            <w:pPr>
                              <w:jc w:val="center"/>
                            </w:pPr>
                            <w:r>
                              <w:rPr>
                                <w:rFonts w:hint="eastAsia"/>
                                <w:sz w:val="24"/>
                              </w:rPr>
                              <w:t>年  月  日</w:t>
                            </w:r>
                          </w:p>
                        </w:txbxContent>
                      </wps:txbx>
                      <wps:bodyPr upright="1"/>
                    </wps:wsp>
                  </a:graphicData>
                </a:graphic>
              </wp:anchor>
            </w:drawing>
          </mc:Choice>
          <mc:Fallback>
            <w:pict>
              <v:shape id="Quad Arrow 6" o:spid="_x0000_s1026" o:spt="202" type="#_x0000_t202" style="position:absolute;left:0pt;margin-left:30.7pt;margin-top:16pt;height:263.35pt;width:399.75pt;mso-wrap-distance-bottom:0pt;mso-wrap-distance-top:0pt;z-index:251661312;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&#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osQ32QAAAAkBAAAPAAAAAAAAAAEAIAAAACIAAABk&#10;cnMvZG93bnJldi54bWxQSwECFAAUAAAACACHTuJADeMhJQUCAABGBAAADgAAAAAAAAABACAAAAAo&#10;AQAAZHJzL2Uyb0RvYy54bWxQSwUGAAAAAAYABgBZAQAAnwUAAAAA&#10;">
                <v:fill on="t" focussize="0,0"/>
                <v:stroke color="#000000" joinstyle="miter"/>
                <v:imagedata o:title=""/>
                <o:lock v:ext="edit" aspectratio="f"/>
                <v:textbox>
                  <w:txbxContent>
                    <w:p w14:paraId="3A1117FD">
                      <w:pPr>
                        <w:snapToGrid w:val="0"/>
                        <w:spacing w:before="120" w:beforeLines="50" w:after="50"/>
                        <w:jc w:val="right"/>
                        <w:rPr>
                          <w:rFonts w:ascii="宋体" w:hAnsi="宋体"/>
                          <w:b/>
                          <w:bCs/>
                          <w:sz w:val="32"/>
                          <w:szCs w:val="20"/>
                        </w:rPr>
                      </w:pPr>
                    </w:p>
                    <w:p w14:paraId="3CD22771">
                      <w:pPr>
                        <w:snapToGrid w:val="0"/>
                        <w:spacing w:before="120" w:beforeLines="50" w:after="50"/>
                        <w:ind w:left="-850" w:leftChars="-405"/>
                        <w:rPr>
                          <w:rFonts w:ascii="宋体" w:hAnsi="宋体"/>
                          <w:sz w:val="24"/>
                          <w:szCs w:val="20"/>
                        </w:rPr>
                      </w:pPr>
                    </w:p>
                    <w:p w14:paraId="653FEE6B">
                      <w:pPr>
                        <w:snapToGrid w:val="0"/>
                        <w:spacing w:before="120" w:beforeLines="50" w:after="50"/>
                        <w:jc w:val="center"/>
                        <w:rPr>
                          <w:rFonts w:ascii="宋体" w:hAnsi="宋体"/>
                          <w:bCs/>
                          <w:sz w:val="24"/>
                          <w:szCs w:val="20"/>
                        </w:rPr>
                      </w:pPr>
                      <w:r>
                        <w:rPr>
                          <w:rFonts w:hint="eastAsia" w:ascii="宋体" w:hAnsi="宋体"/>
                          <w:bCs/>
                          <w:sz w:val="24"/>
                          <w:szCs w:val="20"/>
                        </w:rPr>
                        <w:t>资格文件</w:t>
                      </w:r>
                    </w:p>
                    <w:p w14:paraId="60AA6CF0">
                      <w:pPr>
                        <w:snapToGrid w:val="0"/>
                        <w:spacing w:before="120" w:beforeLines="50" w:after="50"/>
                        <w:rPr>
                          <w:rFonts w:ascii="宋体" w:hAnsi="宋体"/>
                          <w:bCs/>
                          <w:sz w:val="24"/>
                          <w:szCs w:val="20"/>
                        </w:rPr>
                      </w:pPr>
                    </w:p>
                    <w:p w14:paraId="05222CE0">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0B204041">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6F4DBDE6">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color w:val="000000"/>
                          <w:sz w:val="24"/>
                          <w:szCs w:val="24"/>
                        </w:rPr>
                        <w:t>或公章</w:t>
                      </w:r>
                      <w:r>
                        <w:rPr>
                          <w:rFonts w:hint="eastAsia" w:ascii="宋体" w:hAnsi="宋体" w:cs="宋体"/>
                          <w:sz w:val="24"/>
                          <w:szCs w:val="24"/>
                        </w:rPr>
                        <w:t>）</w:t>
                      </w:r>
                      <w:r>
                        <w:rPr>
                          <w:rFonts w:hint="eastAsia" w:ascii="宋体" w:hAnsi="宋体"/>
                          <w:bCs/>
                          <w:sz w:val="24"/>
                        </w:rPr>
                        <w:t>：</w:t>
                      </w:r>
                    </w:p>
                    <w:p w14:paraId="147B1AEA">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51C44E4F">
                      <w:pPr>
                        <w:snapToGrid w:val="0"/>
                        <w:spacing w:before="120" w:beforeLines="50" w:after="50"/>
                        <w:ind w:firstLine="1068" w:firstLineChars="445"/>
                        <w:rPr>
                          <w:rFonts w:ascii="宋体" w:hAnsi="宋体"/>
                          <w:bCs/>
                          <w:sz w:val="24"/>
                        </w:rPr>
                      </w:pPr>
                    </w:p>
                    <w:p w14:paraId="72FD1B97">
                      <w:pPr>
                        <w:snapToGrid w:val="0"/>
                        <w:spacing w:before="120" w:beforeLines="50" w:after="50"/>
                        <w:ind w:firstLine="4080" w:firstLineChars="1700"/>
                        <w:rPr>
                          <w:rFonts w:ascii="宋体" w:hAnsi="宋体"/>
                          <w:sz w:val="24"/>
                          <w:szCs w:val="20"/>
                        </w:rPr>
                      </w:pPr>
                    </w:p>
                    <w:p w14:paraId="73186976">
                      <w:pPr>
                        <w:jc w:val="center"/>
                      </w:pPr>
                      <w:r>
                        <w:rPr>
                          <w:rFonts w:hint="eastAsia"/>
                          <w:sz w:val="24"/>
                        </w:rPr>
                        <w:t>年  月  日</w:t>
                      </w:r>
                    </w:p>
                  </w:txbxContent>
                </v:textbox>
                <w10:wrap type="topAndBottom"/>
              </v:shape>
            </w:pict>
          </mc:Fallback>
        </mc:AlternateContent>
      </w:r>
    </w:p>
    <w:p w14:paraId="428BFB73">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F3A381B">
      <w:pPr>
        <w:spacing w:line="400" w:lineRule="exact"/>
        <w:rPr>
          <w:rFonts w:ascii="宋体" w:hAnsi="宋体" w:cs="宋体"/>
          <w:b/>
          <w:color w:val="auto"/>
          <w:sz w:val="28"/>
          <w:szCs w:val="28"/>
          <w:highlight w:val="none"/>
        </w:rPr>
      </w:pPr>
      <w:r>
        <w:rPr>
          <w:rFonts w:hint="eastAsia" w:ascii="宋体" w:hAnsi="宋体" w:cs="宋体"/>
          <w:b/>
          <w:color w:val="auto"/>
          <w:sz w:val="24"/>
          <w:szCs w:val="24"/>
          <w:highlight w:val="none"/>
        </w:rPr>
        <w:t xml:space="preserve">附件3     </w:t>
      </w:r>
    </w:p>
    <w:p w14:paraId="478728AB">
      <w:pPr>
        <w:spacing w:line="400" w:lineRule="exact"/>
        <w:jc w:val="center"/>
        <w:rPr>
          <w:rFonts w:ascii="宋体" w:hAnsi="宋体" w:cs="宋体"/>
          <w:b/>
          <w:color w:val="auto"/>
          <w:sz w:val="24"/>
          <w:szCs w:val="24"/>
          <w:highlight w:val="none"/>
        </w:rPr>
      </w:pPr>
      <w:r>
        <w:rPr>
          <w:rFonts w:hint="eastAsia" w:ascii="宋体" w:hAnsi="宋体" w:cs="宋体"/>
          <w:b/>
          <w:color w:val="auto"/>
          <w:sz w:val="28"/>
          <w:szCs w:val="28"/>
          <w:highlight w:val="none"/>
        </w:rPr>
        <w:t>资格文件</w:t>
      </w:r>
    </w:p>
    <w:p w14:paraId="272FFF31">
      <w:pPr>
        <w:pStyle w:val="15"/>
        <w:spacing w:after="0" w:line="400" w:lineRule="exact"/>
        <w:ind w:left="0" w:leftChars="0" w:right="1470"/>
        <w:rPr>
          <w:rFonts w:ascii="宋体" w:hAnsi="宋体" w:cs="宋体"/>
          <w:color w:val="auto"/>
          <w:highlight w:val="none"/>
        </w:rPr>
      </w:pPr>
    </w:p>
    <w:p w14:paraId="775DB0D2">
      <w:pPr>
        <w:snapToGrid w:val="0"/>
        <w:spacing w:line="400" w:lineRule="exact"/>
        <w:rPr>
          <w:rFonts w:ascii="宋体" w:hAnsi="宋体" w:cs="宋体"/>
          <w:b/>
          <w:color w:val="auto"/>
          <w:spacing w:val="-6"/>
          <w:sz w:val="24"/>
          <w:szCs w:val="24"/>
          <w:highlight w:val="none"/>
        </w:rPr>
      </w:pPr>
    </w:p>
    <w:p w14:paraId="60556711">
      <w:pPr>
        <w:spacing w:line="400" w:lineRule="exact"/>
        <w:rPr>
          <w:rFonts w:ascii="宋体" w:hAnsi="宋体" w:cs="宋体"/>
          <w:b/>
          <w:color w:val="auto"/>
          <w:sz w:val="22"/>
          <w:highlight w:val="none"/>
        </w:rPr>
      </w:pPr>
      <w:r>
        <w:rPr>
          <w:rFonts w:hint="eastAsia" w:ascii="宋体" w:hAnsi="宋体" w:cs="宋体"/>
          <w:b/>
          <w:color w:val="auto"/>
          <w:sz w:val="22"/>
          <w:highlight w:val="none"/>
        </w:rPr>
        <w:t>附件3-1</w:t>
      </w:r>
    </w:p>
    <w:p w14:paraId="475FDDE7">
      <w:pPr>
        <w:spacing w:line="360" w:lineRule="auto"/>
        <w:jc w:val="center"/>
        <w:rPr>
          <w:rFonts w:ascii="宋体" w:hAnsi="宋体" w:cs="宋体"/>
          <w:b/>
          <w:color w:val="auto"/>
          <w:sz w:val="22"/>
          <w:highlight w:val="none"/>
        </w:rPr>
      </w:pPr>
    </w:p>
    <w:p w14:paraId="43D0C1E2">
      <w:pPr>
        <w:spacing w:line="360" w:lineRule="auto"/>
        <w:jc w:val="center"/>
        <w:rPr>
          <w:rFonts w:ascii="宋体" w:hAnsi="宋体" w:cs="宋体"/>
          <w:b/>
          <w:color w:val="auto"/>
          <w:sz w:val="22"/>
          <w:highlight w:val="none"/>
        </w:rPr>
      </w:pPr>
      <w:r>
        <w:rPr>
          <w:rFonts w:hint="eastAsia" w:ascii="宋体" w:hAnsi="宋体" w:cs="宋体"/>
          <w:b/>
          <w:color w:val="auto"/>
          <w:sz w:val="22"/>
          <w:highlight w:val="none"/>
        </w:rPr>
        <w:t>有效的法人或者其他组织的营业执照等证明文件，自然人的身份证明（五选一）</w:t>
      </w:r>
    </w:p>
    <w:p w14:paraId="3AAAC236">
      <w:pPr>
        <w:spacing w:line="360" w:lineRule="auto"/>
        <w:rPr>
          <w:rFonts w:ascii="宋体" w:hAnsi="宋体" w:cs="宋体"/>
          <w:b/>
          <w:color w:val="auto"/>
          <w:sz w:val="22"/>
          <w:highlight w:val="none"/>
        </w:rPr>
      </w:pPr>
    </w:p>
    <w:p w14:paraId="43E9538E">
      <w:pPr>
        <w:spacing w:line="360" w:lineRule="auto"/>
        <w:rPr>
          <w:rFonts w:ascii="宋体" w:hAnsi="宋体" w:cs="宋体"/>
          <w:b/>
          <w:color w:val="auto"/>
          <w:spacing w:val="-6"/>
          <w:sz w:val="22"/>
          <w:highlight w:val="none"/>
        </w:rPr>
      </w:pPr>
      <w:r>
        <w:rPr>
          <w:rFonts w:hint="eastAsia" w:ascii="宋体" w:hAnsi="宋体" w:cs="宋体"/>
          <w:b/>
          <w:color w:val="auto"/>
          <w:spacing w:val="-6"/>
          <w:sz w:val="22"/>
          <w:highlight w:val="none"/>
        </w:rPr>
        <w:t>说明：</w:t>
      </w:r>
    </w:p>
    <w:p w14:paraId="6937426E">
      <w:pPr>
        <w:pStyle w:val="26"/>
        <w:spacing w:line="360" w:lineRule="auto"/>
        <w:ind w:left="425" w:hanging="425"/>
        <w:rPr>
          <w:rFonts w:ascii="宋体" w:hAnsi="宋体" w:cs="宋体"/>
          <w:b/>
          <w:color w:val="auto"/>
          <w:spacing w:val="-6"/>
          <w:sz w:val="22"/>
          <w:highlight w:val="none"/>
        </w:rPr>
      </w:pPr>
      <w:r>
        <w:rPr>
          <w:rFonts w:hint="eastAsia" w:ascii="宋体" w:hAnsi="宋体" w:cs="宋体"/>
          <w:b/>
          <w:color w:val="auto"/>
          <w:spacing w:val="-6"/>
          <w:sz w:val="22"/>
          <w:highlight w:val="none"/>
        </w:rPr>
        <w:t>1.如投标人是企业（包括合伙企业），提供有效“企业法人营业执照”或“营业执照”；</w:t>
      </w:r>
    </w:p>
    <w:p w14:paraId="07FC599F">
      <w:pPr>
        <w:pStyle w:val="26"/>
        <w:spacing w:line="360" w:lineRule="auto"/>
        <w:ind w:left="425" w:hanging="425"/>
        <w:rPr>
          <w:rFonts w:ascii="宋体" w:hAnsi="宋体" w:cs="宋体"/>
          <w:b/>
          <w:color w:val="auto"/>
          <w:spacing w:val="-6"/>
          <w:sz w:val="22"/>
          <w:highlight w:val="none"/>
        </w:rPr>
      </w:pPr>
      <w:r>
        <w:rPr>
          <w:rFonts w:hint="eastAsia" w:ascii="宋体" w:hAnsi="宋体" w:cs="宋体"/>
          <w:b/>
          <w:color w:val="auto"/>
          <w:spacing w:val="-6"/>
          <w:sz w:val="22"/>
          <w:highlight w:val="none"/>
        </w:rPr>
        <w:t>2.如投标人是事业单位，提供有效的“事业单位法人证书”；</w:t>
      </w:r>
    </w:p>
    <w:p w14:paraId="7706CC33">
      <w:pPr>
        <w:pStyle w:val="26"/>
        <w:spacing w:line="360" w:lineRule="auto"/>
        <w:ind w:left="425" w:hanging="425"/>
        <w:rPr>
          <w:rFonts w:ascii="宋体" w:hAnsi="宋体" w:cs="宋体"/>
          <w:b/>
          <w:color w:val="auto"/>
          <w:spacing w:val="-6"/>
          <w:sz w:val="22"/>
          <w:highlight w:val="none"/>
        </w:rPr>
      </w:pPr>
      <w:r>
        <w:rPr>
          <w:rFonts w:hint="eastAsia" w:ascii="宋体" w:hAnsi="宋体" w:cs="宋体"/>
          <w:b/>
          <w:color w:val="auto"/>
          <w:spacing w:val="-6"/>
          <w:sz w:val="22"/>
          <w:highlight w:val="none"/>
        </w:rPr>
        <w:t>3.如投标人是非企业专业服务机构的，提供执业许可证等证明文件；</w:t>
      </w:r>
    </w:p>
    <w:p w14:paraId="5AD4BD82">
      <w:pPr>
        <w:pStyle w:val="26"/>
        <w:spacing w:line="360" w:lineRule="auto"/>
        <w:ind w:left="425" w:hanging="425"/>
        <w:rPr>
          <w:rFonts w:ascii="宋体" w:hAnsi="宋体" w:cs="宋体"/>
          <w:b/>
          <w:color w:val="auto"/>
          <w:spacing w:val="-6"/>
          <w:sz w:val="22"/>
          <w:highlight w:val="none"/>
        </w:rPr>
      </w:pPr>
      <w:r>
        <w:rPr>
          <w:rFonts w:hint="eastAsia" w:ascii="宋体" w:hAnsi="宋体" w:cs="宋体"/>
          <w:b/>
          <w:color w:val="auto"/>
          <w:spacing w:val="-6"/>
          <w:sz w:val="22"/>
          <w:highlight w:val="none"/>
        </w:rPr>
        <w:t>4.如投标人是个体工商户，提供有效的“个体工商户营业执照”；</w:t>
      </w:r>
    </w:p>
    <w:p w14:paraId="2E76FD2B">
      <w:pPr>
        <w:pStyle w:val="26"/>
        <w:spacing w:line="360" w:lineRule="auto"/>
        <w:ind w:left="425" w:hanging="425"/>
        <w:rPr>
          <w:rFonts w:ascii="宋体" w:hAnsi="宋体" w:cs="宋体"/>
          <w:color w:val="auto"/>
          <w:sz w:val="22"/>
          <w:highlight w:val="none"/>
        </w:rPr>
      </w:pPr>
      <w:r>
        <w:rPr>
          <w:rFonts w:hint="eastAsia" w:ascii="宋体" w:hAnsi="宋体" w:cs="宋体"/>
          <w:b/>
          <w:color w:val="auto"/>
          <w:spacing w:val="-6"/>
          <w:sz w:val="22"/>
          <w:highlight w:val="none"/>
        </w:rPr>
        <w:t>5.如投标人是自然人，提供有效的自然人身份证明（居民身份证正反面或公安机关出具的临时居民身份证正反面或港澳台胞证或证照）。</w:t>
      </w:r>
    </w:p>
    <w:p w14:paraId="25DB2567">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63369E88">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附件3-2</w:t>
      </w:r>
    </w:p>
    <w:p w14:paraId="416CB780">
      <w:pPr>
        <w:pStyle w:val="2"/>
        <w:ind w:firstLine="326"/>
        <w:rPr>
          <w:rFonts w:ascii="宋体" w:hAnsi="宋体" w:cs="宋体"/>
          <w:color w:val="auto"/>
          <w:highlight w:val="none"/>
        </w:rPr>
      </w:pPr>
    </w:p>
    <w:p w14:paraId="02C87927">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关于符合《中华人民共和国政府采购法》第二十二条规定的承诺函</w:t>
      </w:r>
    </w:p>
    <w:p w14:paraId="5FDC83DD">
      <w:pPr>
        <w:spacing w:line="360" w:lineRule="exact"/>
        <w:jc w:val="left"/>
        <w:rPr>
          <w:rFonts w:ascii="宋体" w:hAnsi="宋体" w:cs="宋体"/>
          <w:color w:val="auto"/>
          <w:spacing w:val="-6"/>
          <w:sz w:val="22"/>
          <w:highlight w:val="none"/>
        </w:rPr>
      </w:pPr>
      <w:r>
        <w:rPr>
          <w:rFonts w:hint="eastAsia" w:ascii="宋体" w:hAnsi="宋体" w:cs="宋体"/>
          <w:color w:val="auto"/>
          <w:spacing w:val="-6"/>
          <w:sz w:val="22"/>
          <w:highlight w:val="none"/>
        </w:rPr>
        <w:t>致：</w:t>
      </w:r>
      <w:r>
        <w:rPr>
          <w:rFonts w:hint="eastAsia" w:ascii="宋体" w:hAnsi="宋体" w:cs="宋体"/>
          <w:color w:val="auto"/>
          <w:sz w:val="22"/>
          <w:highlight w:val="none"/>
        </w:rPr>
        <w:t>温州肯恩大学、浙江乐诚工程咨询有限公司</w:t>
      </w:r>
      <w:r>
        <w:rPr>
          <w:rFonts w:hint="eastAsia" w:ascii="宋体" w:hAnsi="宋体" w:cs="宋体"/>
          <w:color w:val="auto"/>
          <w:spacing w:val="-6"/>
          <w:sz w:val="22"/>
          <w:highlight w:val="none"/>
        </w:rPr>
        <w:t>：</w:t>
      </w:r>
    </w:p>
    <w:p w14:paraId="29BBA60E">
      <w:pPr>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（项目名称）           （项目编号）</w:t>
      </w:r>
      <w:r>
        <w:rPr>
          <w:rFonts w:hint="eastAsia" w:ascii="宋体" w:hAnsi="宋体" w:cs="宋体"/>
          <w:color w:val="auto"/>
          <w:sz w:val="22"/>
          <w:highlight w:val="none"/>
        </w:rPr>
        <w:t>项目承诺具备下列条件：</w:t>
      </w:r>
    </w:p>
    <w:p w14:paraId="1EDE3FBA">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（一）具有独立承担民事责任的能力；</w:t>
      </w:r>
    </w:p>
    <w:p w14:paraId="4F3F97D7">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（二）具有良好的商业信誉和健全的财务会计制度；</w:t>
      </w:r>
    </w:p>
    <w:p w14:paraId="55B0E1B4">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（三）具有履行合同所必需的设备和专业技术能力；</w:t>
      </w:r>
    </w:p>
    <w:p w14:paraId="7DCFA4FB">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（四）有依法缴纳税收和社会保障资金的良好记录；</w:t>
      </w:r>
    </w:p>
    <w:p w14:paraId="21F93549">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707DEDFC">
      <w:pPr>
        <w:pStyle w:val="30"/>
        <w:spacing w:before="0" w:beforeAutospacing="0" w:after="0" w:afterAutospacing="0" w:line="360" w:lineRule="exact"/>
        <w:ind w:firstLine="440" w:firstLineChars="200"/>
        <w:rPr>
          <w:bCs/>
          <w:color w:val="auto"/>
          <w:kern w:val="2"/>
          <w:sz w:val="22"/>
          <w:highlight w:val="none"/>
        </w:rPr>
      </w:pPr>
      <w:r>
        <w:rPr>
          <w:rFonts w:hint="eastAsia"/>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2A1FCCCB">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（七）不存在以下情况：</w:t>
      </w:r>
    </w:p>
    <w:p w14:paraId="21003F1F">
      <w:pPr>
        <w:adjustRightInd w:val="0"/>
        <w:snapToGrid w:val="0"/>
        <w:spacing w:line="3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1、单位负责人为同一人或者存在直接控股、管理关系的不同供应商参加同一合同项下的政府采购活动的；</w:t>
      </w:r>
    </w:p>
    <w:p w14:paraId="218244A8">
      <w:pPr>
        <w:adjustRightInd w:val="0"/>
        <w:snapToGrid w:val="0"/>
        <w:spacing w:line="360" w:lineRule="exact"/>
        <w:ind w:firstLine="440" w:firstLineChars="200"/>
        <w:jc w:val="left"/>
        <w:rPr>
          <w:rFonts w:ascii="宋体" w:hAnsi="宋体" w:cs="宋体"/>
          <w:bCs/>
          <w:color w:val="auto"/>
          <w:sz w:val="22"/>
          <w:highlight w:val="none"/>
        </w:rPr>
      </w:pPr>
      <w:r>
        <w:rPr>
          <w:rFonts w:hint="eastAsia" w:ascii="宋体" w:hAnsi="宋体" w:cs="宋体"/>
          <w:color w:val="auto"/>
          <w:sz w:val="22"/>
          <w:highlight w:val="none"/>
        </w:rPr>
        <w:t>2、为采购项目提供整体设计、规范编制或者项目管理、监理、检测等服务后再参加该采购项目的其他采购活动的。</w:t>
      </w:r>
    </w:p>
    <w:p w14:paraId="1D90A3F2">
      <w:pPr>
        <w:spacing w:line="360" w:lineRule="exact"/>
        <w:ind w:firstLine="442" w:firstLineChars="200"/>
        <w:jc w:val="left"/>
        <w:rPr>
          <w:rFonts w:ascii="宋体" w:hAnsi="宋体" w:cs="宋体"/>
          <w:bCs/>
          <w:color w:val="auto"/>
          <w:sz w:val="22"/>
          <w:highlight w:val="none"/>
        </w:rPr>
      </w:pPr>
      <w:r>
        <w:rPr>
          <w:rStyle w:val="83"/>
          <w:rFonts w:hint="eastAsia" w:ascii="宋体" w:hAnsi="宋体" w:cs="宋体"/>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s="宋体"/>
          <w:bCs/>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相关部门吊销营业执照；构成犯罪的，依法追究刑事责任”规定予以处理。</w:t>
      </w:r>
    </w:p>
    <w:p w14:paraId="50EE3642">
      <w:pPr>
        <w:pStyle w:val="30"/>
        <w:spacing w:before="0" w:beforeAutospacing="0" w:after="0" w:afterAutospacing="0" w:line="360" w:lineRule="exact"/>
        <w:ind w:firstLine="440" w:firstLineChars="200"/>
        <w:rPr>
          <w:rStyle w:val="83"/>
          <w:color w:val="auto"/>
          <w:sz w:val="22"/>
          <w:highlight w:val="none"/>
        </w:rPr>
      </w:pPr>
      <w:r>
        <w:rPr>
          <w:rStyle w:val="83"/>
          <w:rFonts w:hint="eastAsia"/>
          <w:color w:val="auto"/>
          <w:sz w:val="22"/>
          <w:highlight w:val="none"/>
        </w:rPr>
        <w:t>《中华人民共和国政府采购法实施条例》第十九条第一款规定的“</w:t>
      </w:r>
      <w:r>
        <w:rPr>
          <w:rFonts w:hint="eastAsia"/>
          <w:color w:val="auto"/>
          <w:kern w:val="2"/>
          <w:sz w:val="22"/>
          <w:highlight w:val="none"/>
        </w:rPr>
        <w:t>较大数额罚款</w:t>
      </w:r>
      <w:r>
        <w:rPr>
          <w:rStyle w:val="83"/>
          <w:rFonts w:hint="eastAsia"/>
          <w:color w:val="auto"/>
          <w:sz w:val="22"/>
          <w:highlight w:val="none"/>
        </w:rPr>
        <w:t>”认定为200万元以上的罚款，法律、行政法规以及国务院有关部门明确规定相关领域“</w:t>
      </w:r>
      <w:r>
        <w:rPr>
          <w:rFonts w:hint="eastAsia"/>
          <w:color w:val="auto"/>
          <w:kern w:val="2"/>
          <w:sz w:val="22"/>
          <w:highlight w:val="none"/>
        </w:rPr>
        <w:t>较大数额罚款</w:t>
      </w:r>
      <w:r>
        <w:rPr>
          <w:rStyle w:val="83"/>
          <w:rFonts w:hint="eastAsia"/>
          <w:color w:val="auto"/>
          <w:sz w:val="22"/>
          <w:highlight w:val="none"/>
        </w:rPr>
        <w:t>”标准高于200万元的，从其规定。</w:t>
      </w:r>
    </w:p>
    <w:p w14:paraId="5DA4566B">
      <w:pPr>
        <w:adjustRightInd w:val="0"/>
        <w:spacing w:line="360" w:lineRule="exact"/>
        <w:ind w:firstLine="440" w:firstLineChars="200"/>
        <w:jc w:val="left"/>
        <w:rPr>
          <w:rStyle w:val="83"/>
          <w:rFonts w:ascii="宋体" w:hAnsi="宋体" w:cs="宋体"/>
          <w:color w:val="auto"/>
          <w:sz w:val="22"/>
          <w:highlight w:val="none"/>
        </w:rPr>
      </w:pPr>
      <w:r>
        <w:rPr>
          <w:rStyle w:val="83"/>
          <w:rFonts w:hint="eastAsia" w:ascii="宋体" w:hAnsi="宋体" w:cs="宋体"/>
          <w:color w:val="auto"/>
          <w:sz w:val="22"/>
          <w:highlight w:val="none"/>
        </w:rPr>
        <w:t>我单位已知晓前述法律规定，对此无任何异议。</w:t>
      </w:r>
    </w:p>
    <w:p w14:paraId="04943BEA">
      <w:pPr>
        <w:spacing w:line="36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注：</w:t>
      </w:r>
      <w:r>
        <w:rPr>
          <w:rStyle w:val="83"/>
          <w:rFonts w:hint="eastAsia" w:ascii="宋体" w:hAnsi="宋体" w:cs="宋体"/>
          <w:b/>
          <w:color w:val="auto"/>
          <w:sz w:val="22"/>
          <w:highlight w:val="none"/>
          <w:u w:val="single"/>
        </w:rPr>
        <w:t>▲</w:t>
      </w:r>
      <w:r>
        <w:rPr>
          <w:rFonts w:hint="eastAsia" w:ascii="宋体" w:hAnsi="宋体" w:cs="宋体"/>
          <w:b/>
          <w:color w:val="auto"/>
          <w:sz w:val="22"/>
          <w:highlight w:val="none"/>
          <w:u w:val="single"/>
        </w:rPr>
        <w:t>本承诺函必须提供。</w:t>
      </w:r>
    </w:p>
    <w:p w14:paraId="45CB28D8">
      <w:pPr>
        <w:spacing w:line="360" w:lineRule="auto"/>
        <w:ind w:left="4620" w:leftChars="2200"/>
        <w:rPr>
          <w:rFonts w:ascii="宋体" w:hAnsi="宋体" w:cs="宋体"/>
          <w:color w:val="auto"/>
          <w:szCs w:val="21"/>
          <w:highlight w:val="none"/>
        </w:rPr>
      </w:pPr>
    </w:p>
    <w:p w14:paraId="1DEAC016">
      <w:pPr>
        <w:widowControl/>
        <w:spacing w:line="360" w:lineRule="auto"/>
        <w:jc w:val="lef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51D7C8C2">
      <w:pPr>
        <w:widowControl/>
        <w:spacing w:line="360" w:lineRule="auto"/>
        <w:jc w:val="lef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5E3DA03A">
      <w:pPr>
        <w:spacing w:line="400" w:lineRule="exact"/>
        <w:rPr>
          <w:rFonts w:ascii="宋体" w:hAnsi="宋体" w:cs="宋体"/>
          <w:b/>
          <w:color w:val="auto"/>
          <w:sz w:val="24"/>
          <w:szCs w:val="24"/>
          <w:highlight w:val="none"/>
        </w:rPr>
      </w:pPr>
      <w:r>
        <w:rPr>
          <w:rFonts w:hint="eastAsia" w:ascii="宋体" w:hAnsi="宋体" w:cs="宋体"/>
          <w:color w:val="auto"/>
          <w:kern w:val="0"/>
          <w:sz w:val="22"/>
          <w:highlight w:val="none"/>
        </w:rPr>
        <w:t>日期：    年    月    日</w:t>
      </w:r>
    </w:p>
    <w:p w14:paraId="7D38C488">
      <w:pPr>
        <w:snapToGrid w:val="0"/>
        <w:spacing w:before="120" w:beforeLines="50" w:after="50"/>
        <w:jc w:val="center"/>
        <w:rPr>
          <w:rFonts w:ascii="宋体" w:hAnsi="宋体" w:cs="宋体"/>
          <w:b/>
          <w:bCs/>
          <w:color w:val="auto"/>
          <w:sz w:val="28"/>
          <w:szCs w:val="28"/>
          <w:highlight w:val="none"/>
        </w:rPr>
      </w:pPr>
    </w:p>
    <w:p w14:paraId="05D89217">
      <w:pPr>
        <w:snapToGrid w:val="0"/>
        <w:spacing w:before="120" w:beforeLines="50" w:after="50"/>
        <w:jc w:val="center"/>
        <w:rPr>
          <w:rFonts w:ascii="宋体" w:hAnsi="宋体" w:cs="宋体"/>
          <w:b/>
          <w:bCs/>
          <w:color w:val="auto"/>
          <w:sz w:val="28"/>
          <w:szCs w:val="28"/>
          <w:highlight w:val="none"/>
        </w:rPr>
      </w:pPr>
    </w:p>
    <w:p w14:paraId="6069396C">
      <w:pPr>
        <w:snapToGrid w:val="0"/>
        <w:spacing w:before="120" w:beforeLines="50" w:after="50"/>
        <w:jc w:val="center"/>
        <w:rPr>
          <w:rFonts w:ascii="宋体" w:hAnsi="宋体" w:cs="宋体"/>
          <w:b/>
          <w:color w:val="auto"/>
          <w:sz w:val="28"/>
          <w:szCs w:val="28"/>
          <w:highlight w:val="none"/>
        </w:rPr>
      </w:pPr>
      <w:r>
        <w:rPr>
          <w:rFonts w:hint="eastAsia" w:ascii="宋体" w:hAnsi="宋体" w:cs="宋体"/>
          <w:b/>
          <w:bCs/>
          <w:color w:val="auto"/>
          <w:sz w:val="28"/>
          <w:szCs w:val="28"/>
          <w:highlight w:val="none"/>
        </w:rPr>
        <w:t>三、商务和技术文件部分封面格式</w:t>
      </w:r>
    </w:p>
    <w:p w14:paraId="3FCCBF7F">
      <w:pPr>
        <w:snapToGrid w:val="0"/>
        <w:spacing w:before="120" w:beforeLines="50" w:after="50"/>
        <w:rPr>
          <w:rFonts w:ascii="宋体" w:hAnsi="宋体" w:cs="宋体"/>
          <w:b/>
          <w:bCs/>
          <w:color w:val="auto"/>
          <w:sz w:val="24"/>
          <w:highlight w:val="none"/>
        </w:rPr>
      </w:pPr>
    </w:p>
    <w:p w14:paraId="2CDB4E1E">
      <w:pPr>
        <w:pStyle w:val="15"/>
        <w:ind w:left="0" w:leftChars="0" w:right="1470"/>
        <w:rPr>
          <w:rFonts w:ascii="宋体" w:hAnsi="宋体" w:cs="宋体"/>
          <w:b/>
          <w:color w:val="auto"/>
          <w:sz w:val="24"/>
          <w:szCs w:val="24"/>
          <w:highlight w:val="none"/>
        </w:rPr>
      </w:pPr>
    </w:p>
    <w:p w14:paraId="7450ACB6">
      <w:pPr>
        <w:snapToGrid w:val="0"/>
        <w:spacing w:line="400" w:lineRule="exact"/>
        <w:jc w:val="center"/>
        <w:rPr>
          <w:rFonts w:ascii="宋体" w:hAnsi="宋体" w:cs="宋体"/>
          <w:b/>
          <w:bCs/>
          <w:color w:val="auto"/>
          <w:sz w:val="24"/>
          <w:szCs w:val="20"/>
          <w:highlight w:val="none"/>
        </w:rPr>
      </w:pPr>
    </w:p>
    <w:p w14:paraId="55FEBDD3">
      <w:pPr>
        <w:snapToGrid w:val="0"/>
        <w:spacing w:line="400" w:lineRule="exact"/>
        <w:jc w:val="center"/>
        <w:rPr>
          <w:rFonts w:ascii="宋体" w:hAnsi="宋体" w:cs="宋体"/>
          <w:bCs/>
          <w:color w:val="auto"/>
          <w:sz w:val="24"/>
          <w:szCs w:val="20"/>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389890</wp:posOffset>
                </wp:positionH>
                <wp:positionV relativeFrom="paragraph">
                  <wp:posOffset>203200</wp:posOffset>
                </wp:positionV>
                <wp:extent cx="5076825" cy="3344545"/>
                <wp:effectExtent l="4445" t="5080" r="8890" b="18415"/>
                <wp:wrapTopAndBottom/>
                <wp:docPr id="9" name="Quad Arrow 5"/>
                <wp:cNvGraphicFramePr/>
                <a:graphic xmlns:a="http://schemas.openxmlformats.org/drawingml/2006/main">
                  <a:graphicData uri="http://schemas.microsoft.com/office/word/2010/wordprocessingShape">
                    <wps:wsp>
                      <wps:cNvSpPr txBox="1"/>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BF1538">
                            <w:pPr>
                              <w:snapToGrid w:val="0"/>
                              <w:spacing w:before="120" w:beforeLines="50" w:after="50"/>
                              <w:jc w:val="right"/>
                              <w:rPr>
                                <w:rFonts w:ascii="宋体" w:hAnsi="宋体"/>
                                <w:b/>
                                <w:bCs/>
                                <w:sz w:val="32"/>
                                <w:szCs w:val="20"/>
                              </w:rPr>
                            </w:pPr>
                          </w:p>
                          <w:p w14:paraId="099DDBD1">
                            <w:pPr>
                              <w:snapToGrid w:val="0"/>
                              <w:spacing w:before="120" w:beforeLines="50" w:after="50"/>
                              <w:ind w:left="-850" w:leftChars="-405"/>
                              <w:rPr>
                                <w:rFonts w:ascii="宋体" w:hAnsi="宋体"/>
                                <w:sz w:val="24"/>
                                <w:szCs w:val="20"/>
                              </w:rPr>
                            </w:pPr>
                          </w:p>
                          <w:p w14:paraId="08068592">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7D3EDEB1">
                            <w:pPr>
                              <w:snapToGrid w:val="0"/>
                              <w:spacing w:before="120" w:beforeLines="50" w:after="50"/>
                              <w:rPr>
                                <w:rFonts w:ascii="宋体" w:hAnsi="宋体"/>
                                <w:bCs/>
                                <w:sz w:val="24"/>
                                <w:szCs w:val="20"/>
                              </w:rPr>
                            </w:pPr>
                          </w:p>
                          <w:p w14:paraId="6FF23664">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A1D918A">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B6534AD">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14A286A6">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A1451D1">
                            <w:pPr>
                              <w:snapToGrid w:val="0"/>
                              <w:spacing w:before="120" w:beforeLines="50" w:after="50"/>
                              <w:ind w:firstLine="1068" w:firstLineChars="445"/>
                              <w:rPr>
                                <w:rFonts w:ascii="宋体" w:hAnsi="宋体"/>
                                <w:bCs/>
                                <w:sz w:val="24"/>
                              </w:rPr>
                            </w:pPr>
                          </w:p>
                          <w:p w14:paraId="38938BA7">
                            <w:pPr>
                              <w:snapToGrid w:val="0"/>
                              <w:spacing w:before="120" w:beforeLines="50" w:after="50"/>
                              <w:ind w:firstLine="4080" w:firstLineChars="1700"/>
                              <w:rPr>
                                <w:rFonts w:ascii="宋体" w:hAnsi="宋体"/>
                                <w:sz w:val="24"/>
                                <w:szCs w:val="20"/>
                              </w:rPr>
                            </w:pPr>
                          </w:p>
                          <w:p w14:paraId="0F615F83">
                            <w:pPr>
                              <w:jc w:val="center"/>
                            </w:pPr>
                            <w:r>
                              <w:rPr>
                                <w:rFonts w:hint="eastAsia"/>
                                <w:sz w:val="24"/>
                              </w:rPr>
                              <w:t>年  月  日</w:t>
                            </w:r>
                          </w:p>
                        </w:txbxContent>
                      </wps:txbx>
                      <wps:bodyPr upright="1"/>
                    </wps:wsp>
                  </a:graphicData>
                </a:graphic>
              </wp:anchor>
            </w:drawing>
          </mc:Choice>
          <mc:Fallback>
            <w:pict>
              <v:shape id="Quad Arrow 5" o:spid="_x0000_s1026" o:spt="202" type="#_x0000_t202" style="position:absolute;left:0pt;margin-left:30.7pt;margin-top:16pt;height:263.35pt;width:399.75pt;mso-wrap-distance-bottom:0pt;mso-wrap-distance-top:0pt;z-index:251662336;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OixDfZAAAACQEAAA8AAAAAAAAAAQAgAAAAIgAA&#10;AGRycy9kb3ducmV2LnhtbFBLAQIUABQAAAAIAIdO4kAcCiaIBwIAAEYEAAAOAAAAAAAAAAEAIAAA&#10;ACgBAABkcnMvZTJvRG9jLnhtbFBLBQYAAAAABgAGAFkBAAChBQAAAAA=&#10;">
                <v:fill on="t" focussize="0,0"/>
                <v:stroke color="#000000" joinstyle="miter"/>
                <v:imagedata o:title=""/>
                <o:lock v:ext="edit" aspectratio="f"/>
                <v:textbox>
                  <w:txbxContent>
                    <w:p w14:paraId="3CBF1538">
                      <w:pPr>
                        <w:snapToGrid w:val="0"/>
                        <w:spacing w:before="120" w:beforeLines="50" w:after="50"/>
                        <w:jc w:val="right"/>
                        <w:rPr>
                          <w:rFonts w:ascii="宋体" w:hAnsi="宋体"/>
                          <w:b/>
                          <w:bCs/>
                          <w:sz w:val="32"/>
                          <w:szCs w:val="20"/>
                        </w:rPr>
                      </w:pPr>
                    </w:p>
                    <w:p w14:paraId="099DDBD1">
                      <w:pPr>
                        <w:snapToGrid w:val="0"/>
                        <w:spacing w:before="120" w:beforeLines="50" w:after="50"/>
                        <w:ind w:left="-850" w:leftChars="-405"/>
                        <w:rPr>
                          <w:rFonts w:ascii="宋体" w:hAnsi="宋体"/>
                          <w:sz w:val="24"/>
                          <w:szCs w:val="20"/>
                        </w:rPr>
                      </w:pPr>
                    </w:p>
                    <w:p w14:paraId="08068592">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14:paraId="7D3EDEB1">
                      <w:pPr>
                        <w:snapToGrid w:val="0"/>
                        <w:spacing w:before="120" w:beforeLines="50" w:after="50"/>
                        <w:rPr>
                          <w:rFonts w:ascii="宋体" w:hAnsi="宋体"/>
                          <w:bCs/>
                          <w:sz w:val="24"/>
                          <w:szCs w:val="20"/>
                        </w:rPr>
                      </w:pPr>
                    </w:p>
                    <w:p w14:paraId="6FF23664">
                      <w:pPr>
                        <w:snapToGrid w:val="0"/>
                        <w:spacing w:before="120" w:beforeLines="50" w:after="50"/>
                        <w:ind w:firstLine="1068" w:firstLineChars="445"/>
                        <w:rPr>
                          <w:rFonts w:ascii="宋体" w:hAnsi="宋体"/>
                          <w:bCs/>
                          <w:sz w:val="24"/>
                        </w:rPr>
                      </w:pPr>
                      <w:r>
                        <w:rPr>
                          <w:rFonts w:hint="eastAsia" w:ascii="宋体" w:hAnsi="宋体"/>
                          <w:bCs/>
                          <w:sz w:val="24"/>
                        </w:rPr>
                        <w:t>项目名称：</w:t>
                      </w:r>
                    </w:p>
                    <w:p w14:paraId="3A1D918A">
                      <w:pPr>
                        <w:snapToGrid w:val="0"/>
                        <w:spacing w:before="120" w:beforeLines="50" w:after="50"/>
                        <w:ind w:firstLine="1068" w:firstLineChars="445"/>
                        <w:rPr>
                          <w:rFonts w:ascii="宋体" w:hAnsi="宋体"/>
                          <w:bCs/>
                          <w:sz w:val="24"/>
                        </w:rPr>
                      </w:pPr>
                      <w:r>
                        <w:rPr>
                          <w:rFonts w:hint="eastAsia" w:ascii="宋体" w:hAnsi="宋体"/>
                          <w:bCs/>
                          <w:sz w:val="24"/>
                        </w:rPr>
                        <w:t>项目编号：</w:t>
                      </w:r>
                    </w:p>
                    <w:p w14:paraId="1B6534AD">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（电子签章或公章）</w:t>
                      </w:r>
                      <w:r>
                        <w:rPr>
                          <w:rFonts w:hint="eastAsia" w:ascii="宋体" w:hAnsi="宋体"/>
                          <w:bCs/>
                          <w:sz w:val="24"/>
                        </w:rPr>
                        <w:t>：</w:t>
                      </w:r>
                    </w:p>
                    <w:p w14:paraId="14A286A6">
                      <w:pPr>
                        <w:snapToGrid w:val="0"/>
                        <w:spacing w:before="120" w:beforeLines="50" w:after="50"/>
                        <w:ind w:firstLine="1068" w:firstLineChars="445"/>
                        <w:rPr>
                          <w:rFonts w:ascii="宋体" w:hAnsi="宋体"/>
                          <w:bCs/>
                          <w:sz w:val="24"/>
                        </w:rPr>
                      </w:pPr>
                      <w:r>
                        <w:rPr>
                          <w:rFonts w:hint="eastAsia" w:ascii="宋体" w:hAnsi="宋体"/>
                          <w:bCs/>
                          <w:sz w:val="24"/>
                        </w:rPr>
                        <w:t>投标人地址：</w:t>
                      </w:r>
                    </w:p>
                    <w:p w14:paraId="3A1451D1">
                      <w:pPr>
                        <w:snapToGrid w:val="0"/>
                        <w:spacing w:before="120" w:beforeLines="50" w:after="50"/>
                        <w:ind w:firstLine="1068" w:firstLineChars="445"/>
                        <w:rPr>
                          <w:rFonts w:ascii="宋体" w:hAnsi="宋体"/>
                          <w:bCs/>
                          <w:sz w:val="24"/>
                        </w:rPr>
                      </w:pPr>
                    </w:p>
                    <w:p w14:paraId="38938BA7">
                      <w:pPr>
                        <w:snapToGrid w:val="0"/>
                        <w:spacing w:before="120" w:beforeLines="50" w:after="50"/>
                        <w:ind w:firstLine="4080" w:firstLineChars="1700"/>
                        <w:rPr>
                          <w:rFonts w:ascii="宋体" w:hAnsi="宋体"/>
                          <w:sz w:val="24"/>
                          <w:szCs w:val="20"/>
                        </w:rPr>
                      </w:pPr>
                    </w:p>
                    <w:p w14:paraId="0F615F83">
                      <w:pPr>
                        <w:jc w:val="center"/>
                      </w:pPr>
                      <w:r>
                        <w:rPr>
                          <w:rFonts w:hint="eastAsia"/>
                          <w:sz w:val="24"/>
                        </w:rPr>
                        <w:t>年  月  日</w:t>
                      </w:r>
                    </w:p>
                  </w:txbxContent>
                </v:textbox>
                <w10:wrap type="topAndBottom"/>
              </v:shape>
            </w:pict>
          </mc:Fallback>
        </mc:AlternateContent>
      </w:r>
    </w:p>
    <w:p w14:paraId="28C51D4C">
      <w:pPr>
        <w:rPr>
          <w:rFonts w:ascii="宋体" w:hAnsi="宋体" w:cs="宋体"/>
          <w:b/>
          <w:color w:val="auto"/>
          <w:sz w:val="28"/>
          <w:highlight w:val="none"/>
        </w:rPr>
      </w:pPr>
      <w:r>
        <w:rPr>
          <w:rFonts w:hint="eastAsia" w:ascii="宋体" w:hAnsi="宋体" w:cs="宋体"/>
          <w:b/>
          <w:color w:val="auto"/>
          <w:sz w:val="28"/>
          <w:highlight w:val="none"/>
        </w:rPr>
        <w:br w:type="page"/>
      </w:r>
    </w:p>
    <w:p w14:paraId="2D01B7B0">
      <w:pPr>
        <w:spacing w:line="400" w:lineRule="exact"/>
        <w:jc w:val="center"/>
        <w:rPr>
          <w:rFonts w:ascii="宋体" w:hAnsi="宋体" w:cs="宋体"/>
          <w:b/>
          <w:color w:val="auto"/>
          <w:sz w:val="24"/>
          <w:szCs w:val="24"/>
          <w:highlight w:val="none"/>
        </w:rPr>
      </w:pPr>
      <w:r>
        <w:rPr>
          <w:rFonts w:hint="eastAsia" w:ascii="宋体" w:hAnsi="宋体" w:cs="宋体"/>
          <w:b/>
          <w:color w:val="auto"/>
          <w:sz w:val="28"/>
          <w:highlight w:val="none"/>
        </w:rPr>
        <w:t>商务和技术文件</w:t>
      </w:r>
    </w:p>
    <w:p w14:paraId="35F0B4ED">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附件4</w:t>
      </w:r>
    </w:p>
    <w:p w14:paraId="6E59C7B4">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商务和技术文件投标文件</w:t>
      </w:r>
    </w:p>
    <w:p w14:paraId="054F3BE8">
      <w:pPr>
        <w:spacing w:line="400" w:lineRule="exact"/>
        <w:jc w:val="center"/>
        <w:rPr>
          <w:rFonts w:ascii="宋体" w:hAnsi="宋体" w:cs="宋体"/>
          <w:b/>
          <w:color w:val="auto"/>
          <w:sz w:val="28"/>
          <w:highlight w:val="none"/>
        </w:rPr>
      </w:pPr>
      <w:r>
        <w:rPr>
          <w:rFonts w:hint="eastAsia" w:ascii="宋体" w:hAnsi="宋体" w:cs="宋体"/>
          <w:b/>
          <w:color w:val="auto"/>
          <w:sz w:val="28"/>
          <w:highlight w:val="none"/>
        </w:rPr>
        <w:t>评分索引表</w:t>
      </w:r>
    </w:p>
    <w:p w14:paraId="4BB9DBF8">
      <w:pPr>
        <w:spacing w:line="40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为了方便专家评审投标文件，针对招标文件评分细则要求，投标人应制作标书索引，置于投标文件首页，格式如下：</w:t>
      </w:r>
    </w:p>
    <w:tbl>
      <w:tblPr>
        <w:tblStyle w:val="3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14:paraId="6DB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343884C6">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序号</w:t>
            </w:r>
          </w:p>
        </w:tc>
        <w:tc>
          <w:tcPr>
            <w:tcW w:w="6956" w:type="dxa"/>
            <w:vAlign w:val="center"/>
          </w:tcPr>
          <w:p w14:paraId="774A64F0">
            <w:pPr>
              <w:spacing w:line="400" w:lineRule="exact"/>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评分内容</w:t>
            </w:r>
          </w:p>
        </w:tc>
        <w:tc>
          <w:tcPr>
            <w:tcW w:w="1313" w:type="dxa"/>
            <w:vAlign w:val="center"/>
          </w:tcPr>
          <w:p w14:paraId="7C0F3030">
            <w:pPr>
              <w:pStyle w:val="60"/>
              <w:spacing w:line="400" w:lineRule="exact"/>
              <w:rPr>
                <w:rFonts w:hint="default" w:ascii="宋体" w:hAnsi="宋体" w:eastAsia="宋体" w:cs="宋体"/>
                <w:b/>
                <w:color w:val="auto"/>
                <w:spacing w:val="-6"/>
                <w:szCs w:val="24"/>
                <w:highlight w:val="none"/>
              </w:rPr>
            </w:pPr>
            <w:r>
              <w:rPr>
                <w:rFonts w:ascii="宋体" w:hAnsi="宋体" w:eastAsia="宋体" w:cs="宋体"/>
                <w:b/>
                <w:color w:val="auto"/>
                <w:spacing w:val="-6"/>
                <w:szCs w:val="24"/>
                <w:highlight w:val="none"/>
              </w:rPr>
              <w:t>页码</w:t>
            </w:r>
          </w:p>
        </w:tc>
      </w:tr>
      <w:tr w14:paraId="1507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E436C27">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1</w:t>
            </w:r>
          </w:p>
        </w:tc>
        <w:tc>
          <w:tcPr>
            <w:tcW w:w="6956" w:type="dxa"/>
            <w:vAlign w:val="center"/>
          </w:tcPr>
          <w:p w14:paraId="5B98FAE5">
            <w:pPr>
              <w:spacing w:line="400" w:lineRule="exact"/>
              <w:jc w:val="left"/>
              <w:rPr>
                <w:rFonts w:ascii="宋体" w:hAnsi="宋体" w:cs="宋体"/>
                <w:color w:val="auto"/>
                <w:kern w:val="0"/>
                <w:sz w:val="24"/>
                <w:szCs w:val="24"/>
                <w:highlight w:val="none"/>
              </w:rPr>
            </w:pPr>
          </w:p>
          <w:p w14:paraId="16DDFE28">
            <w:pPr>
              <w:spacing w:line="400" w:lineRule="exact"/>
              <w:jc w:val="left"/>
              <w:rPr>
                <w:rFonts w:ascii="宋体" w:hAnsi="宋体" w:cs="宋体"/>
                <w:color w:val="auto"/>
                <w:kern w:val="0"/>
                <w:sz w:val="24"/>
                <w:szCs w:val="24"/>
                <w:highlight w:val="none"/>
              </w:rPr>
            </w:pPr>
          </w:p>
        </w:tc>
        <w:tc>
          <w:tcPr>
            <w:tcW w:w="1313" w:type="dxa"/>
            <w:vAlign w:val="center"/>
          </w:tcPr>
          <w:p w14:paraId="5D6C0BA3">
            <w:pPr>
              <w:pStyle w:val="12"/>
              <w:spacing w:line="400" w:lineRule="exact"/>
              <w:ind w:left="456" w:hanging="456"/>
              <w:rPr>
                <w:rFonts w:ascii="宋体" w:hAnsi="宋体" w:cs="宋体"/>
                <w:color w:val="auto"/>
                <w:spacing w:val="-6"/>
                <w:szCs w:val="24"/>
                <w:highlight w:val="none"/>
              </w:rPr>
            </w:pPr>
          </w:p>
        </w:tc>
      </w:tr>
      <w:tr w14:paraId="5076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5421FCC">
            <w:pPr>
              <w:spacing w:line="400" w:lineRule="exact"/>
              <w:jc w:val="center"/>
              <w:rPr>
                <w:rFonts w:ascii="宋体" w:hAnsi="宋体" w:cs="宋体"/>
                <w:bCs/>
                <w:color w:val="auto"/>
                <w:kern w:val="0"/>
                <w:sz w:val="24"/>
                <w:szCs w:val="24"/>
                <w:highlight w:val="none"/>
              </w:rPr>
            </w:pPr>
            <w:r>
              <w:rPr>
                <w:rFonts w:hint="eastAsia" w:ascii="宋体" w:hAnsi="宋体" w:cs="宋体"/>
                <w:bCs/>
                <w:color w:val="auto"/>
                <w:sz w:val="24"/>
                <w:szCs w:val="24"/>
                <w:highlight w:val="none"/>
              </w:rPr>
              <w:t>2</w:t>
            </w:r>
          </w:p>
        </w:tc>
        <w:tc>
          <w:tcPr>
            <w:tcW w:w="6956" w:type="dxa"/>
            <w:vAlign w:val="center"/>
          </w:tcPr>
          <w:p w14:paraId="64CAB8C3">
            <w:pPr>
              <w:spacing w:line="400" w:lineRule="exact"/>
              <w:jc w:val="left"/>
              <w:rPr>
                <w:rFonts w:ascii="宋体" w:hAnsi="宋体" w:cs="宋体"/>
                <w:color w:val="auto"/>
                <w:kern w:val="0"/>
                <w:sz w:val="24"/>
                <w:szCs w:val="24"/>
                <w:highlight w:val="none"/>
              </w:rPr>
            </w:pPr>
          </w:p>
        </w:tc>
        <w:tc>
          <w:tcPr>
            <w:tcW w:w="1313" w:type="dxa"/>
            <w:vAlign w:val="center"/>
          </w:tcPr>
          <w:p w14:paraId="501F0102">
            <w:pPr>
              <w:pStyle w:val="12"/>
              <w:spacing w:line="400" w:lineRule="exact"/>
              <w:rPr>
                <w:rFonts w:ascii="宋体" w:hAnsi="宋体" w:cs="宋体"/>
                <w:color w:val="auto"/>
                <w:szCs w:val="24"/>
                <w:highlight w:val="none"/>
              </w:rPr>
            </w:pPr>
          </w:p>
        </w:tc>
      </w:tr>
      <w:tr w14:paraId="35A6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6D2688E8">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w:t>
            </w:r>
          </w:p>
        </w:tc>
        <w:tc>
          <w:tcPr>
            <w:tcW w:w="6956" w:type="dxa"/>
            <w:vAlign w:val="center"/>
          </w:tcPr>
          <w:p w14:paraId="7A5F1D6B">
            <w:pPr>
              <w:spacing w:line="400" w:lineRule="exact"/>
              <w:rPr>
                <w:rFonts w:ascii="宋体" w:hAnsi="宋体" w:cs="宋体"/>
                <w:color w:val="auto"/>
                <w:sz w:val="24"/>
                <w:szCs w:val="24"/>
                <w:highlight w:val="none"/>
              </w:rPr>
            </w:pPr>
          </w:p>
        </w:tc>
        <w:tc>
          <w:tcPr>
            <w:tcW w:w="1313" w:type="dxa"/>
          </w:tcPr>
          <w:p w14:paraId="2DF89CDD">
            <w:pPr>
              <w:spacing w:line="400" w:lineRule="exact"/>
              <w:rPr>
                <w:rFonts w:ascii="宋体" w:hAnsi="宋体" w:cs="宋体"/>
                <w:bCs/>
                <w:color w:val="auto"/>
                <w:sz w:val="24"/>
                <w:szCs w:val="24"/>
                <w:highlight w:val="none"/>
              </w:rPr>
            </w:pPr>
          </w:p>
        </w:tc>
      </w:tr>
      <w:tr w14:paraId="53D1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54A2B4EB">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w:t>
            </w:r>
          </w:p>
        </w:tc>
        <w:tc>
          <w:tcPr>
            <w:tcW w:w="6956" w:type="dxa"/>
            <w:vAlign w:val="center"/>
          </w:tcPr>
          <w:p w14:paraId="01037510">
            <w:pPr>
              <w:spacing w:line="400" w:lineRule="exact"/>
              <w:rPr>
                <w:rFonts w:ascii="宋体" w:hAnsi="宋体" w:cs="宋体"/>
                <w:color w:val="auto"/>
                <w:sz w:val="24"/>
                <w:szCs w:val="24"/>
                <w:highlight w:val="none"/>
              </w:rPr>
            </w:pPr>
          </w:p>
        </w:tc>
        <w:tc>
          <w:tcPr>
            <w:tcW w:w="1313" w:type="dxa"/>
          </w:tcPr>
          <w:p w14:paraId="7CAEAA8B">
            <w:pPr>
              <w:spacing w:line="400" w:lineRule="exact"/>
              <w:rPr>
                <w:rFonts w:ascii="宋体" w:hAnsi="宋体" w:cs="宋体"/>
                <w:bCs/>
                <w:color w:val="auto"/>
                <w:sz w:val="24"/>
                <w:szCs w:val="24"/>
                <w:highlight w:val="none"/>
              </w:rPr>
            </w:pPr>
          </w:p>
        </w:tc>
      </w:tr>
      <w:tr w14:paraId="0A7E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BBA20DD">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5</w:t>
            </w:r>
          </w:p>
        </w:tc>
        <w:tc>
          <w:tcPr>
            <w:tcW w:w="6956" w:type="dxa"/>
            <w:vAlign w:val="center"/>
          </w:tcPr>
          <w:p w14:paraId="1E8B9701">
            <w:pPr>
              <w:spacing w:line="400" w:lineRule="exact"/>
              <w:jc w:val="left"/>
              <w:rPr>
                <w:rFonts w:ascii="宋体" w:hAnsi="宋体" w:cs="宋体"/>
                <w:color w:val="auto"/>
                <w:sz w:val="24"/>
                <w:szCs w:val="24"/>
                <w:highlight w:val="none"/>
              </w:rPr>
            </w:pPr>
          </w:p>
        </w:tc>
        <w:tc>
          <w:tcPr>
            <w:tcW w:w="1313" w:type="dxa"/>
          </w:tcPr>
          <w:p w14:paraId="6C2CB73C">
            <w:pPr>
              <w:spacing w:line="400" w:lineRule="exact"/>
              <w:rPr>
                <w:rFonts w:ascii="宋体" w:hAnsi="宋体" w:cs="宋体"/>
                <w:bCs/>
                <w:color w:val="auto"/>
                <w:sz w:val="24"/>
                <w:szCs w:val="24"/>
                <w:highlight w:val="none"/>
              </w:rPr>
            </w:pPr>
          </w:p>
        </w:tc>
      </w:tr>
      <w:tr w14:paraId="6C10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2EA78156">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6</w:t>
            </w:r>
          </w:p>
        </w:tc>
        <w:tc>
          <w:tcPr>
            <w:tcW w:w="6956" w:type="dxa"/>
            <w:vAlign w:val="center"/>
          </w:tcPr>
          <w:p w14:paraId="6B198207">
            <w:pPr>
              <w:spacing w:line="400" w:lineRule="exact"/>
              <w:jc w:val="left"/>
              <w:rPr>
                <w:rFonts w:ascii="宋体" w:hAnsi="宋体" w:cs="宋体"/>
                <w:color w:val="auto"/>
                <w:sz w:val="24"/>
                <w:szCs w:val="24"/>
                <w:highlight w:val="none"/>
              </w:rPr>
            </w:pPr>
          </w:p>
        </w:tc>
        <w:tc>
          <w:tcPr>
            <w:tcW w:w="1313" w:type="dxa"/>
          </w:tcPr>
          <w:p w14:paraId="4C9E32D0">
            <w:pPr>
              <w:spacing w:line="400" w:lineRule="exact"/>
              <w:rPr>
                <w:rFonts w:ascii="宋体" w:hAnsi="宋体" w:cs="宋体"/>
                <w:bCs/>
                <w:color w:val="auto"/>
                <w:sz w:val="24"/>
                <w:szCs w:val="24"/>
                <w:highlight w:val="none"/>
              </w:rPr>
            </w:pPr>
          </w:p>
        </w:tc>
      </w:tr>
      <w:tr w14:paraId="6909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46AEF4CB">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7</w:t>
            </w:r>
          </w:p>
        </w:tc>
        <w:tc>
          <w:tcPr>
            <w:tcW w:w="6956" w:type="dxa"/>
            <w:vAlign w:val="center"/>
          </w:tcPr>
          <w:p w14:paraId="40F1E949">
            <w:pPr>
              <w:spacing w:line="400" w:lineRule="exact"/>
              <w:jc w:val="left"/>
              <w:rPr>
                <w:rFonts w:ascii="宋体" w:hAnsi="宋体" w:cs="宋体"/>
                <w:color w:val="auto"/>
                <w:sz w:val="24"/>
                <w:szCs w:val="24"/>
                <w:highlight w:val="none"/>
              </w:rPr>
            </w:pPr>
          </w:p>
        </w:tc>
        <w:tc>
          <w:tcPr>
            <w:tcW w:w="1313" w:type="dxa"/>
          </w:tcPr>
          <w:p w14:paraId="1B8F71AF">
            <w:pPr>
              <w:spacing w:line="400" w:lineRule="exact"/>
              <w:rPr>
                <w:rFonts w:ascii="宋体" w:hAnsi="宋体" w:cs="宋体"/>
                <w:bCs/>
                <w:color w:val="auto"/>
                <w:sz w:val="24"/>
                <w:szCs w:val="24"/>
                <w:highlight w:val="none"/>
              </w:rPr>
            </w:pPr>
          </w:p>
        </w:tc>
      </w:tr>
      <w:tr w14:paraId="07D7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1AD4BAB9">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8</w:t>
            </w:r>
          </w:p>
        </w:tc>
        <w:tc>
          <w:tcPr>
            <w:tcW w:w="6956" w:type="dxa"/>
            <w:vAlign w:val="center"/>
          </w:tcPr>
          <w:p w14:paraId="6E0BFEAE">
            <w:pPr>
              <w:spacing w:line="400" w:lineRule="exact"/>
              <w:rPr>
                <w:rFonts w:ascii="宋体" w:hAnsi="宋体" w:cs="宋体"/>
                <w:color w:val="auto"/>
                <w:sz w:val="24"/>
                <w:szCs w:val="24"/>
                <w:highlight w:val="none"/>
              </w:rPr>
            </w:pPr>
          </w:p>
        </w:tc>
        <w:tc>
          <w:tcPr>
            <w:tcW w:w="1313" w:type="dxa"/>
          </w:tcPr>
          <w:p w14:paraId="5D36513F">
            <w:pPr>
              <w:spacing w:line="400" w:lineRule="exact"/>
              <w:rPr>
                <w:rFonts w:ascii="宋体" w:hAnsi="宋体" w:cs="宋体"/>
                <w:bCs/>
                <w:color w:val="auto"/>
                <w:sz w:val="24"/>
                <w:szCs w:val="24"/>
                <w:highlight w:val="none"/>
              </w:rPr>
            </w:pPr>
          </w:p>
        </w:tc>
      </w:tr>
      <w:tr w14:paraId="7C1C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14:paraId="79A4ACC2">
            <w:pPr>
              <w:spacing w:line="400" w:lineRule="exact"/>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w:t>
            </w:r>
          </w:p>
        </w:tc>
        <w:tc>
          <w:tcPr>
            <w:tcW w:w="6956" w:type="dxa"/>
            <w:vAlign w:val="center"/>
          </w:tcPr>
          <w:p w14:paraId="3D84785A">
            <w:pPr>
              <w:spacing w:line="400" w:lineRule="exact"/>
              <w:jc w:val="left"/>
              <w:rPr>
                <w:rFonts w:ascii="宋体" w:hAnsi="宋体" w:cs="宋体"/>
                <w:color w:val="auto"/>
                <w:sz w:val="24"/>
                <w:szCs w:val="24"/>
                <w:highlight w:val="none"/>
              </w:rPr>
            </w:pPr>
          </w:p>
        </w:tc>
        <w:tc>
          <w:tcPr>
            <w:tcW w:w="1313" w:type="dxa"/>
          </w:tcPr>
          <w:p w14:paraId="1E09E180">
            <w:pPr>
              <w:spacing w:line="400" w:lineRule="exact"/>
              <w:rPr>
                <w:rFonts w:ascii="宋体" w:hAnsi="宋体" w:cs="宋体"/>
                <w:bCs/>
                <w:color w:val="auto"/>
                <w:sz w:val="24"/>
                <w:szCs w:val="24"/>
                <w:highlight w:val="none"/>
              </w:rPr>
            </w:pPr>
          </w:p>
        </w:tc>
      </w:tr>
    </w:tbl>
    <w:p w14:paraId="72170276">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备注：一.“评分内容”对应“第六部分”评标原则及方法。</w:t>
      </w:r>
    </w:p>
    <w:p w14:paraId="77C66911">
      <w:pPr>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二.评标内容自行添加。本表可扩展。</w:t>
      </w:r>
    </w:p>
    <w:p w14:paraId="11B9A94A">
      <w:pPr>
        <w:spacing w:line="400" w:lineRule="exact"/>
        <w:ind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三.各投标人在投标文件最前页根据本评标细则制作评分索引表，清楚标注响应内容及证明材料的所在页码。</w:t>
      </w:r>
    </w:p>
    <w:p w14:paraId="1AA035F4">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0F42A2B7">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附件5</w:t>
      </w:r>
    </w:p>
    <w:p w14:paraId="0A690E7D">
      <w:pPr>
        <w:pStyle w:val="12"/>
        <w:ind w:left="0" w:firstLine="0" w:firstLineChars="0"/>
        <w:rPr>
          <w:rFonts w:ascii="宋体" w:hAnsi="宋体" w:cs="宋体"/>
          <w:color w:val="auto"/>
          <w:szCs w:val="24"/>
          <w:highlight w:val="none"/>
        </w:rPr>
      </w:pPr>
    </w:p>
    <w:p w14:paraId="7B5D9A3D">
      <w:pPr>
        <w:spacing w:line="360" w:lineRule="auto"/>
        <w:ind w:right="-11"/>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法定代表人资格证明书</w:t>
      </w:r>
    </w:p>
    <w:p w14:paraId="50F30547">
      <w:pPr>
        <w:spacing w:line="360" w:lineRule="auto"/>
        <w:ind w:right="-11"/>
        <w:jc w:val="center"/>
        <w:rPr>
          <w:rFonts w:ascii="宋体" w:hAnsi="宋体" w:cs="宋体"/>
          <w:b/>
          <w:bCs/>
          <w:color w:val="auto"/>
          <w:sz w:val="28"/>
          <w:szCs w:val="28"/>
          <w:highlight w:val="none"/>
        </w:rPr>
      </w:pPr>
      <w:r>
        <w:rPr>
          <w:rFonts w:hint="eastAsia" w:ascii="宋体" w:hAnsi="宋体" w:cs="宋体"/>
          <w:b/>
          <w:bCs/>
          <w:color w:val="auto"/>
          <w:sz w:val="24"/>
          <w:szCs w:val="24"/>
          <w:highlight w:val="none"/>
        </w:rPr>
        <w:t>（适用于法定代表人、单位负责人或者自然人本人代表投标人参加投标）</w:t>
      </w:r>
    </w:p>
    <w:p w14:paraId="161E5D05">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致：温州肯恩大学、浙江乐诚工程咨询有限公司：</w:t>
      </w:r>
    </w:p>
    <w:p w14:paraId="25E355B2">
      <w:pPr>
        <w:spacing w:line="480" w:lineRule="auto"/>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（姓名、性别、年龄）</w:t>
      </w:r>
      <w:r>
        <w:rPr>
          <w:rFonts w:hint="eastAsia" w:ascii="宋体" w:hAnsi="宋体" w:cs="宋体"/>
          <w:color w:val="auto"/>
          <w:sz w:val="24"/>
          <w:szCs w:val="24"/>
          <w:highlight w:val="none"/>
        </w:rPr>
        <w:t>在我单位任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（职务名称）职务，是我单位的法定代表人。</w:t>
      </w:r>
    </w:p>
    <w:p w14:paraId="1D5B4F14">
      <w:pPr>
        <w:spacing w:line="480" w:lineRule="auto"/>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52F57BB2">
      <w:pPr>
        <w:spacing w:line="400" w:lineRule="exact"/>
        <w:jc w:val="left"/>
        <w:rPr>
          <w:rFonts w:ascii="宋体" w:hAnsi="宋体" w:cs="宋体"/>
          <w:b/>
          <w:bCs/>
          <w:color w:val="auto"/>
          <w:sz w:val="24"/>
          <w:szCs w:val="24"/>
          <w:highlight w:val="none"/>
        </w:rPr>
      </w:pPr>
    </w:p>
    <w:p w14:paraId="2E9735CE">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法定代表人身份证号：（身份证复印附后）</w:t>
      </w:r>
    </w:p>
    <w:p w14:paraId="79F7E704">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法定代表人电话：</w:t>
      </w:r>
    </w:p>
    <w:p w14:paraId="366673B9">
      <w:pPr>
        <w:spacing w:line="400" w:lineRule="exact"/>
        <w:jc w:val="left"/>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投标人全称（电子签章或公章）</w:t>
      </w:r>
    </w:p>
    <w:p w14:paraId="13725002">
      <w:pPr>
        <w:spacing w:line="40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日 期：   年  月  日</w:t>
      </w:r>
    </w:p>
    <w:p w14:paraId="2374215D">
      <w:pPr>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598170</wp:posOffset>
                </wp:positionH>
                <wp:positionV relativeFrom="paragraph">
                  <wp:posOffset>158115</wp:posOffset>
                </wp:positionV>
                <wp:extent cx="4173220" cy="2377440"/>
                <wp:effectExtent l="4445" t="5080" r="13335" b="17780"/>
                <wp:wrapNone/>
                <wp:docPr id="10" name="Quad Arrow 4"/>
                <wp:cNvGraphicFramePr/>
                <a:graphic xmlns:a="http://schemas.openxmlformats.org/drawingml/2006/main">
                  <a:graphicData uri="http://schemas.microsoft.com/office/word/2010/wordprocessingShape">
                    <wps:wsp>
                      <wps:cNvSpPr txBox="1"/>
                      <wps:spPr>
                        <a:xfrm>
                          <a:off x="0" y="0"/>
                          <a:ext cx="4173220" cy="2377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C983F2">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Quad Arrow 4" o:spid="_x0000_s1026" o:spt="202" type="#_x0000_t202" style="position:absolute;left:0pt;margin-left:47.1pt;margin-top:12.45pt;height:187.2pt;width:328.6pt;z-index:251664384;mso-width-relative:page;mso-height-relative:page;" fillcolor="#FFFFFF" filled="t" stroked="t" coordsize="21600,21600" o:gfxdata="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tzhGdgAAAAJAQAADwAAAAAAAAABACAAAAAiAAAAZHJzL2Rv&#10;d25yZXYueG1sUEsBAhQAFAAAAAgAh07iQG+L4/UBAgAAOQQAAA4AAAAAAAAAAQAgAAAAJwEAAGRy&#10;cy9lMm9Eb2MueG1sUEsFBgAAAAAGAAYAWQEAAJoFAAAAAA==&#10;">
                <v:fill on="t" focussize="0,0"/>
                <v:stroke color="#000000" joinstyle="miter"/>
                <v:imagedata o:title=""/>
                <o:lock v:ext="edit" aspectratio="f"/>
                <v:textbox>
                  <w:txbxContent>
                    <w:p w14:paraId="18C983F2">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14:paraId="3930AEF3">
      <w:pPr>
        <w:spacing w:line="400" w:lineRule="exact"/>
        <w:rPr>
          <w:rFonts w:ascii="宋体" w:hAnsi="宋体" w:cs="宋体"/>
          <w:b/>
          <w:bCs/>
          <w:color w:val="auto"/>
          <w:sz w:val="24"/>
          <w:szCs w:val="24"/>
          <w:highlight w:val="none"/>
        </w:rPr>
      </w:pPr>
    </w:p>
    <w:p w14:paraId="1BB462AB">
      <w:pPr>
        <w:spacing w:line="400" w:lineRule="exact"/>
        <w:rPr>
          <w:rFonts w:ascii="宋体" w:hAnsi="宋体" w:cs="宋体"/>
          <w:b/>
          <w:bCs/>
          <w:color w:val="auto"/>
          <w:sz w:val="24"/>
          <w:szCs w:val="24"/>
          <w:highlight w:val="none"/>
        </w:rPr>
      </w:pPr>
    </w:p>
    <w:p w14:paraId="7239EB0C">
      <w:pPr>
        <w:spacing w:line="400" w:lineRule="exact"/>
        <w:rPr>
          <w:rFonts w:ascii="宋体" w:hAnsi="宋体" w:cs="宋体"/>
          <w:b/>
          <w:bCs/>
          <w:color w:val="auto"/>
          <w:sz w:val="24"/>
          <w:szCs w:val="24"/>
          <w:highlight w:val="none"/>
        </w:rPr>
      </w:pPr>
    </w:p>
    <w:p w14:paraId="32FB1CA7">
      <w:pPr>
        <w:spacing w:line="400" w:lineRule="exact"/>
        <w:rPr>
          <w:rFonts w:ascii="宋体" w:hAnsi="宋体" w:cs="宋体"/>
          <w:b/>
          <w:bCs/>
          <w:color w:val="auto"/>
          <w:sz w:val="24"/>
          <w:szCs w:val="24"/>
          <w:highlight w:val="none"/>
        </w:rPr>
      </w:pPr>
    </w:p>
    <w:p w14:paraId="6686FEB8">
      <w:pPr>
        <w:spacing w:line="400" w:lineRule="exact"/>
        <w:rPr>
          <w:rFonts w:ascii="宋体" w:hAnsi="宋体" w:cs="宋体"/>
          <w:b/>
          <w:bCs/>
          <w:color w:val="auto"/>
          <w:sz w:val="24"/>
          <w:szCs w:val="24"/>
          <w:highlight w:val="none"/>
        </w:rPr>
      </w:pPr>
    </w:p>
    <w:p w14:paraId="63E6C0B1">
      <w:pPr>
        <w:spacing w:line="400" w:lineRule="exact"/>
        <w:rPr>
          <w:rFonts w:ascii="宋体" w:hAnsi="宋体" w:cs="宋体"/>
          <w:b/>
          <w:bCs/>
          <w:color w:val="auto"/>
          <w:sz w:val="24"/>
          <w:szCs w:val="24"/>
          <w:highlight w:val="none"/>
        </w:rPr>
      </w:pPr>
    </w:p>
    <w:p w14:paraId="267B3D10">
      <w:pPr>
        <w:spacing w:line="400" w:lineRule="exact"/>
        <w:rPr>
          <w:rFonts w:ascii="宋体" w:hAnsi="宋体" w:cs="宋体"/>
          <w:b/>
          <w:bCs/>
          <w:color w:val="auto"/>
          <w:sz w:val="24"/>
          <w:szCs w:val="24"/>
          <w:highlight w:val="none"/>
        </w:rPr>
      </w:pPr>
    </w:p>
    <w:p w14:paraId="60E264D4">
      <w:pPr>
        <w:spacing w:line="400" w:lineRule="exact"/>
        <w:rPr>
          <w:rFonts w:ascii="宋体" w:hAnsi="宋体" w:cs="宋体"/>
          <w:b/>
          <w:bCs/>
          <w:color w:val="auto"/>
          <w:sz w:val="24"/>
          <w:szCs w:val="24"/>
          <w:highlight w:val="none"/>
        </w:rPr>
      </w:pPr>
    </w:p>
    <w:p w14:paraId="684306EF">
      <w:pPr>
        <w:spacing w:line="400" w:lineRule="exact"/>
        <w:rPr>
          <w:rFonts w:ascii="宋体" w:hAnsi="宋体" w:cs="宋体"/>
          <w:b/>
          <w:bCs/>
          <w:color w:val="auto"/>
          <w:sz w:val="24"/>
          <w:szCs w:val="24"/>
          <w:highlight w:val="none"/>
        </w:rPr>
      </w:pPr>
    </w:p>
    <w:p w14:paraId="6E6DEA92">
      <w:pPr>
        <w:spacing w:line="400" w:lineRule="exact"/>
        <w:rPr>
          <w:rFonts w:ascii="宋体" w:hAnsi="宋体" w:cs="宋体"/>
          <w:b/>
          <w:bCs/>
          <w:color w:val="auto"/>
          <w:sz w:val="24"/>
          <w:szCs w:val="24"/>
          <w:highlight w:val="none"/>
        </w:rPr>
      </w:pPr>
    </w:p>
    <w:p w14:paraId="09CCC486">
      <w:pPr>
        <w:snapToGrid w:val="0"/>
        <w:spacing w:line="400" w:lineRule="exact"/>
        <w:rPr>
          <w:rFonts w:ascii="宋体" w:hAnsi="宋体" w:cs="宋体"/>
          <w:color w:val="auto"/>
          <w:sz w:val="24"/>
          <w:szCs w:val="24"/>
          <w:highlight w:val="none"/>
        </w:rPr>
      </w:pPr>
    </w:p>
    <w:p w14:paraId="0F9C084C">
      <w:pPr>
        <w:spacing w:line="400" w:lineRule="exact"/>
        <w:rPr>
          <w:rFonts w:ascii="宋体" w:hAnsi="宋体" w:cs="宋体"/>
          <w:b/>
          <w:bCs/>
          <w:color w:val="auto"/>
          <w:spacing w:val="-6"/>
          <w:sz w:val="24"/>
          <w:highlight w:val="none"/>
        </w:rPr>
      </w:pPr>
      <w:r>
        <w:rPr>
          <w:rFonts w:hint="eastAsia" w:ascii="宋体" w:hAnsi="宋体" w:cs="宋体"/>
          <w:b/>
          <w:bCs/>
          <w:color w:val="auto"/>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14:paraId="6FF70740">
      <w:pPr>
        <w:pStyle w:val="12"/>
        <w:rPr>
          <w:rFonts w:ascii="宋体" w:hAnsi="宋体" w:cs="宋体"/>
          <w:color w:val="auto"/>
          <w:highlight w:val="none"/>
        </w:rPr>
      </w:pPr>
    </w:p>
    <w:p w14:paraId="72DE1291">
      <w:pP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br w:type="page"/>
      </w:r>
    </w:p>
    <w:p w14:paraId="4C7B294E">
      <w:pPr>
        <w:snapToGrid w:val="0"/>
        <w:spacing w:line="360" w:lineRule="auto"/>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法定代表人授权委托书</w:t>
      </w:r>
    </w:p>
    <w:p w14:paraId="2BEC6D14">
      <w:pPr>
        <w:snapToGrid w:val="0"/>
        <w:spacing w:line="360" w:lineRule="auto"/>
        <w:rPr>
          <w:rFonts w:ascii="宋体" w:hAnsi="宋体" w:cs="宋体"/>
          <w:b/>
          <w:bCs/>
          <w:color w:val="auto"/>
          <w:spacing w:val="-6"/>
          <w:sz w:val="24"/>
          <w:szCs w:val="24"/>
          <w:highlight w:val="none"/>
        </w:rPr>
      </w:pPr>
      <w:r>
        <w:rPr>
          <w:rFonts w:hint="eastAsia" w:ascii="宋体" w:hAnsi="宋体" w:cs="宋体"/>
          <w:bCs/>
          <w:color w:val="auto"/>
          <w:spacing w:val="-6"/>
          <w:sz w:val="24"/>
          <w:szCs w:val="24"/>
          <w:highlight w:val="none"/>
        </w:rPr>
        <w:t>致：</w:t>
      </w:r>
      <w:r>
        <w:rPr>
          <w:rFonts w:hint="eastAsia" w:ascii="宋体" w:hAnsi="宋体" w:cs="宋体"/>
          <w:color w:val="auto"/>
          <w:sz w:val="24"/>
          <w:szCs w:val="24"/>
          <w:highlight w:val="none"/>
        </w:rPr>
        <w:t>温州肯恩大学、浙江乐诚工程咨询有限公司</w:t>
      </w:r>
      <w:r>
        <w:rPr>
          <w:rFonts w:hint="eastAsia" w:ascii="宋体" w:hAnsi="宋体" w:cs="宋体"/>
          <w:color w:val="auto"/>
          <w:spacing w:val="-6"/>
          <w:sz w:val="24"/>
          <w:szCs w:val="24"/>
          <w:highlight w:val="none"/>
        </w:rPr>
        <w:t>：</w:t>
      </w:r>
    </w:p>
    <w:p w14:paraId="282166A4">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我 </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（姓名）系</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（投标人名称）的法定代表人，现授权委托本单位在职职工</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 xml:space="preserve"> （姓名）（身份证号：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）以我方的名义参加温州肯恩大学（采购项目</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）项目（项目编号：</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）的投标活动，并代表我方全权办理针对上述项目的投标、开标、评标、签约等具体事务和签署相关文件。</w:t>
      </w:r>
    </w:p>
    <w:p w14:paraId="246B7B45">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我方对被授权人的签名负全部责任。</w:t>
      </w:r>
    </w:p>
    <w:p w14:paraId="4A64C9CD">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在撤销授权的书面通知以前，本授权书一直有效。被授权人在授权书有效期内签署的所有文件不因授权的撤销而失效。</w:t>
      </w:r>
    </w:p>
    <w:p w14:paraId="179E9F1B">
      <w:pPr>
        <w:snapToGrid w:val="0"/>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被授权人无转委托权，特此委托。</w:t>
      </w:r>
    </w:p>
    <w:p w14:paraId="3B4A9C49">
      <w:pPr>
        <w:snapToGrid w:val="0"/>
        <w:spacing w:line="400" w:lineRule="exact"/>
        <w:rPr>
          <w:rFonts w:ascii="宋体" w:hAnsi="宋体" w:cs="宋体"/>
          <w:color w:val="auto"/>
          <w:spacing w:val="-6"/>
          <w:sz w:val="24"/>
          <w:szCs w:val="24"/>
          <w:highlight w:val="none"/>
        </w:rPr>
      </w:pPr>
      <w:r>
        <w:rPr>
          <w:rFonts w:hint="eastAsia" w:ascii="宋体" w:hAnsi="宋体" w:cs="宋体"/>
          <w:b/>
          <w:bCs/>
          <w:color w:val="auto"/>
          <w:sz w:val="22"/>
          <w:highlight w:val="none"/>
          <w:u w:val="single"/>
        </w:rPr>
        <w:t>投标人代表不是法定代表人（单位负责人、自然人本人）的，</w:t>
      </w:r>
      <w:r>
        <w:rPr>
          <w:rFonts w:hint="eastAsia" w:ascii="宋体" w:hAnsi="宋体" w:cs="宋体"/>
          <w:b/>
          <w:bCs/>
          <w:color w:val="auto"/>
          <w:kern w:val="0"/>
          <w:sz w:val="22"/>
          <w:highlight w:val="none"/>
          <w:u w:val="single"/>
        </w:rPr>
        <w:t>投标人授权代表必须为投标人本单位在职职工，</w:t>
      </w:r>
      <w:r>
        <w:rPr>
          <w:rFonts w:hint="eastAsia" w:ascii="宋体" w:hAnsi="宋体" w:cs="宋体"/>
          <w:b/>
          <w:bCs/>
          <w:color w:val="auto"/>
          <w:sz w:val="22"/>
          <w:highlight w:val="none"/>
          <w:u w:val="single"/>
        </w:rPr>
        <w:t>提供本授权委托书和授权代表社保缴纳证明（2024年10月01日（含）至本项目投标文件提交截止时间止任意一月）</w:t>
      </w:r>
      <w:r>
        <w:rPr>
          <w:rFonts w:hint="eastAsia" w:ascii="宋体" w:hAnsi="宋体" w:cs="宋体"/>
          <w:b/>
          <w:bCs/>
          <w:color w:val="auto"/>
          <w:kern w:val="0"/>
          <w:sz w:val="22"/>
          <w:highlight w:val="none"/>
          <w:u w:val="single"/>
        </w:rPr>
        <w:t>或有效的劳务合同复印件。</w:t>
      </w:r>
    </w:p>
    <w:p w14:paraId="385A6F51">
      <w:pPr>
        <w:snapToGrid w:val="0"/>
        <w:spacing w:line="288" w:lineRule="auto"/>
        <w:rPr>
          <w:rFonts w:ascii="宋体" w:hAnsi="宋体" w:cs="宋体"/>
          <w:color w:val="auto"/>
          <w:spacing w:val="-6"/>
          <w:sz w:val="24"/>
          <w:szCs w:val="24"/>
          <w:highlight w:val="none"/>
        </w:rPr>
      </w:pPr>
    </w:p>
    <w:p w14:paraId="006D4541">
      <w:pPr>
        <w:snapToGrid w:val="0"/>
        <w:spacing w:line="288" w:lineRule="auto"/>
        <w:rPr>
          <w:rFonts w:ascii="宋体" w:hAnsi="宋体" w:cs="宋体"/>
          <w:color w:val="auto"/>
          <w:spacing w:val="-6"/>
          <w:sz w:val="24"/>
          <w:szCs w:val="24"/>
          <w:highlight w:val="none"/>
        </w:rPr>
      </w:pPr>
    </w:p>
    <w:p w14:paraId="7B068562">
      <w:pPr>
        <w:snapToGrid w:val="0"/>
        <w:spacing w:line="288" w:lineRule="auto"/>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rPr>
        <w:t>被授权人签字：                              法定代表人签字或签章：</w:t>
      </w:r>
    </w:p>
    <w:p w14:paraId="4437F857">
      <w:pPr>
        <w:snapToGrid w:val="0"/>
        <w:spacing w:line="288" w:lineRule="auto"/>
        <w:ind w:firstLine="912" w:firstLineChars="4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职务：                               职务：</w:t>
      </w:r>
    </w:p>
    <w:p w14:paraId="323EEAA9">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被授权人身份证号码：</w:t>
      </w:r>
    </w:p>
    <w:p w14:paraId="32BD330E">
      <w:pPr>
        <w:pStyle w:val="32"/>
        <w:ind w:left="456" w:hanging="456"/>
        <w:rPr>
          <w:rFonts w:ascii="宋体" w:hAnsi="宋体" w:cs="宋体"/>
          <w:color w:val="auto"/>
          <w:highlight w:val="none"/>
          <w:u w:val="single"/>
        </w:rPr>
      </w:pPr>
      <w:r>
        <w:rPr>
          <w:rFonts w:hint="eastAsia" w:ascii="宋体" w:hAnsi="宋体" w:cs="宋体"/>
          <w:color w:val="auto"/>
          <w:spacing w:val="-6"/>
          <w:szCs w:val="24"/>
          <w:highlight w:val="none"/>
        </w:rPr>
        <w:t>被授权人手机号码：</w:t>
      </w:r>
    </w:p>
    <w:p w14:paraId="1F5C7BE0">
      <w:pPr>
        <w:snapToGrid w:val="0"/>
        <w:spacing w:line="288"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供应商名称（公章或电子公章）：</w:t>
      </w:r>
    </w:p>
    <w:p w14:paraId="3A090768">
      <w:pPr>
        <w:snapToGrid w:val="0"/>
        <w:spacing w:line="288" w:lineRule="auto"/>
        <w:jc w:val="center"/>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 xml:space="preserve">                                        年    月    日</w:t>
      </w:r>
    </w:p>
    <w:p w14:paraId="076E021E">
      <w:pPr>
        <w:spacing w:line="288" w:lineRule="auto"/>
        <w:rPr>
          <w:rFonts w:ascii="宋体" w:hAnsi="宋体" w:cs="宋体"/>
          <w:color w:val="auto"/>
          <w:spacing w:val="-6"/>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512445</wp:posOffset>
                </wp:positionH>
                <wp:positionV relativeFrom="paragraph">
                  <wp:posOffset>148590</wp:posOffset>
                </wp:positionV>
                <wp:extent cx="5191125" cy="2360295"/>
                <wp:effectExtent l="4445" t="4445" r="5080" b="16510"/>
                <wp:wrapNone/>
                <wp:docPr id="11" name="文本框 9"/>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8095D5">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0900D85C">
                            <w:pPr>
                              <w:rPr>
                                <w:rFonts w:ascii="宋体"/>
                                <w:sz w:val="24"/>
                              </w:rPr>
                            </w:pPr>
                          </w:p>
                          <w:p w14:paraId="0078FBF2">
                            <w:pPr>
                              <w:rPr>
                                <w:rFonts w:ascii="宋体"/>
                                <w:sz w:val="24"/>
                              </w:rPr>
                            </w:pPr>
                          </w:p>
                          <w:p w14:paraId="3C662112">
                            <w:pPr>
                              <w:rPr>
                                <w:rFonts w:ascii="宋体"/>
                                <w:sz w:val="24"/>
                              </w:rPr>
                            </w:pPr>
                          </w:p>
                          <w:p w14:paraId="350F852F">
                            <w:pPr>
                              <w:rPr>
                                <w:rFonts w:ascii="宋体"/>
                                <w:sz w:val="24"/>
                              </w:rPr>
                            </w:pPr>
                            <w:r>
                              <w:rPr>
                                <w:rFonts w:ascii="宋体" w:hAnsi="宋体"/>
                                <w:sz w:val="24"/>
                              </w:rPr>
                              <w:t xml:space="preserve">       </w:t>
                            </w:r>
                            <w:r>
                              <w:rPr>
                                <w:rFonts w:hint="eastAsia" w:ascii="宋体" w:hAnsi="宋体"/>
                                <w:sz w:val="24"/>
                              </w:rPr>
                              <w:t>复印件粘贴处</w:t>
                            </w:r>
                          </w:p>
                        </w:txbxContent>
                      </wps:txbx>
                      <wps:bodyPr upright="1"/>
                    </wps:wsp>
                  </a:graphicData>
                </a:graphic>
              </wp:anchor>
            </w:drawing>
          </mc:Choice>
          <mc:Fallback>
            <w:pict>
              <v:shape id="文本框 9" o:spid="_x0000_s1026" o:spt="202" type="#_x0000_t202" style="position:absolute;left:0pt;margin-left:40.35pt;margin-top:11.7pt;height:185.85pt;width:408.75pt;z-index:251665408;mso-width-relative:page;mso-height-relative:page;" fillcolor="#FFFFFF" filled="t" stroked="t" coordsize="21600,21600" o:gfxdata="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SlfJ2QAAAAkBAAAPAAAAAAAAAAEAIAAA&#10;ACIAAABkcnMvZG93bnJldi54bWxQSwECFAAUAAAACACHTuJAM/pPpwsCAAA4BAAADgAAAAAAAAAB&#10;ACAAAAAoAQAAZHJzL2Uyb0RvYy54bWxQSwUGAAAAAAYABgBZAQAApQUAAAAA&#10;">
                <v:fill on="t" focussize="0,0"/>
                <v:stroke color="#000000" joinstyle="miter"/>
                <v:imagedata o:title=""/>
                <o:lock v:ext="edit" aspectratio="f"/>
                <v:textbox>
                  <w:txbxContent>
                    <w:p w14:paraId="3D8095D5">
                      <w:pPr>
                        <w:rPr>
                          <w:rFonts w:ascii="宋体"/>
                          <w:sz w:val="24"/>
                        </w:rPr>
                      </w:pPr>
                      <w:r>
                        <w:rPr>
                          <w:rFonts w:ascii="新宋体" w:hAnsi="新宋体" w:eastAsia="新宋体"/>
                          <w:sz w:val="22"/>
                        </w:rPr>
                        <w:t xml:space="preserve">  </w:t>
                      </w:r>
                      <w:r>
                        <w:rPr>
                          <w:rFonts w:hint="eastAsia" w:ascii="新宋体" w:hAnsi="新宋体" w:eastAsia="新宋体"/>
                          <w:sz w:val="22"/>
                        </w:rPr>
                        <w:t>被授权人</w:t>
                      </w:r>
                      <w:r>
                        <w:rPr>
                          <w:rFonts w:hint="eastAsia" w:ascii="宋体" w:hAnsi="宋体"/>
                          <w:sz w:val="24"/>
                        </w:rPr>
                        <w:t>身份证：</w:t>
                      </w:r>
                    </w:p>
                    <w:p w14:paraId="0900D85C">
                      <w:pPr>
                        <w:rPr>
                          <w:rFonts w:ascii="宋体"/>
                          <w:sz w:val="24"/>
                        </w:rPr>
                      </w:pPr>
                    </w:p>
                    <w:p w14:paraId="0078FBF2">
                      <w:pPr>
                        <w:rPr>
                          <w:rFonts w:ascii="宋体"/>
                          <w:sz w:val="24"/>
                        </w:rPr>
                      </w:pPr>
                    </w:p>
                    <w:p w14:paraId="3C662112">
                      <w:pPr>
                        <w:rPr>
                          <w:rFonts w:ascii="宋体"/>
                          <w:sz w:val="24"/>
                        </w:rPr>
                      </w:pPr>
                    </w:p>
                    <w:p w14:paraId="350F852F">
                      <w:pPr>
                        <w:rPr>
                          <w:rFonts w:ascii="宋体"/>
                          <w:sz w:val="24"/>
                        </w:rPr>
                      </w:pPr>
                      <w:r>
                        <w:rPr>
                          <w:rFonts w:ascii="宋体" w:hAnsi="宋体"/>
                          <w:sz w:val="24"/>
                        </w:rPr>
                        <w:t xml:space="preserve">       </w:t>
                      </w:r>
                      <w:r>
                        <w:rPr>
                          <w:rFonts w:hint="eastAsia" w:ascii="宋体" w:hAnsi="宋体"/>
                          <w:sz w:val="24"/>
                        </w:rPr>
                        <w:t>复印件粘贴处</w:t>
                      </w:r>
                    </w:p>
                  </w:txbxContent>
                </v:textbox>
              </v:shape>
            </w:pict>
          </mc:Fallback>
        </mc:AlternateContent>
      </w:r>
    </w:p>
    <w:p w14:paraId="2253EA81">
      <w:pPr>
        <w:spacing w:line="288" w:lineRule="auto"/>
        <w:rPr>
          <w:rFonts w:ascii="宋体" w:hAnsi="宋体" w:cs="宋体"/>
          <w:color w:val="auto"/>
          <w:spacing w:val="-6"/>
          <w:sz w:val="24"/>
          <w:szCs w:val="24"/>
          <w:highlight w:val="none"/>
        </w:rPr>
      </w:pPr>
    </w:p>
    <w:p w14:paraId="085813C9">
      <w:pPr>
        <w:spacing w:line="288" w:lineRule="auto"/>
        <w:rPr>
          <w:rFonts w:ascii="宋体" w:hAnsi="宋体" w:cs="宋体"/>
          <w:color w:val="auto"/>
          <w:spacing w:val="-6"/>
          <w:sz w:val="24"/>
          <w:szCs w:val="24"/>
          <w:highlight w:val="none"/>
        </w:rPr>
      </w:pPr>
    </w:p>
    <w:p w14:paraId="35FBACFC">
      <w:pPr>
        <w:spacing w:line="288" w:lineRule="auto"/>
        <w:rPr>
          <w:rFonts w:ascii="宋体" w:hAnsi="宋体" w:cs="宋体"/>
          <w:color w:val="auto"/>
          <w:spacing w:val="-6"/>
          <w:sz w:val="24"/>
          <w:szCs w:val="24"/>
          <w:highlight w:val="none"/>
        </w:rPr>
      </w:pPr>
    </w:p>
    <w:p w14:paraId="13280469">
      <w:pPr>
        <w:spacing w:line="288" w:lineRule="auto"/>
        <w:rPr>
          <w:rFonts w:ascii="宋体" w:hAnsi="宋体" w:cs="宋体"/>
          <w:color w:val="auto"/>
          <w:spacing w:val="-6"/>
          <w:sz w:val="24"/>
          <w:szCs w:val="24"/>
          <w:highlight w:val="none"/>
        </w:rPr>
      </w:pPr>
    </w:p>
    <w:p w14:paraId="013DE0DA">
      <w:pPr>
        <w:spacing w:line="288" w:lineRule="auto"/>
        <w:rPr>
          <w:rFonts w:ascii="宋体" w:hAnsi="宋体" w:cs="宋体"/>
          <w:color w:val="auto"/>
          <w:spacing w:val="-6"/>
          <w:sz w:val="24"/>
          <w:szCs w:val="24"/>
          <w:highlight w:val="none"/>
        </w:rPr>
      </w:pPr>
    </w:p>
    <w:p w14:paraId="3DE7C138">
      <w:pPr>
        <w:spacing w:line="288" w:lineRule="auto"/>
        <w:rPr>
          <w:rFonts w:ascii="宋体" w:hAnsi="宋体" w:cs="宋体"/>
          <w:color w:val="auto"/>
          <w:spacing w:val="-6"/>
          <w:sz w:val="24"/>
          <w:szCs w:val="24"/>
          <w:highlight w:val="none"/>
        </w:rPr>
      </w:pPr>
    </w:p>
    <w:p w14:paraId="7EEC59C2">
      <w:pPr>
        <w:spacing w:line="288" w:lineRule="auto"/>
        <w:rPr>
          <w:rFonts w:ascii="宋体" w:hAnsi="宋体" w:cs="宋体"/>
          <w:color w:val="auto"/>
          <w:spacing w:val="-6"/>
          <w:sz w:val="24"/>
          <w:szCs w:val="24"/>
          <w:highlight w:val="none"/>
        </w:rPr>
      </w:pPr>
    </w:p>
    <w:p w14:paraId="4C3C59AB">
      <w:pPr>
        <w:spacing w:line="288" w:lineRule="auto"/>
        <w:rPr>
          <w:rFonts w:ascii="宋体" w:hAnsi="宋体" w:cs="宋体"/>
          <w:color w:val="auto"/>
          <w:spacing w:val="-6"/>
          <w:sz w:val="24"/>
          <w:szCs w:val="24"/>
          <w:highlight w:val="none"/>
        </w:rPr>
      </w:pPr>
    </w:p>
    <w:p w14:paraId="4248C811">
      <w:pPr>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法定代表人授权书</w:t>
      </w:r>
    </w:p>
    <w:p w14:paraId="7D3010EF">
      <w:pPr>
        <w:jc w:val="left"/>
        <w:rPr>
          <w:rFonts w:ascii="宋体" w:hAnsi="宋体" w:cs="宋体"/>
          <w:b/>
          <w:bCs/>
          <w:color w:val="auto"/>
          <w:sz w:val="22"/>
          <w:highlight w:val="none"/>
          <w:u w:val="single"/>
        </w:rPr>
      </w:pPr>
    </w:p>
    <w:p w14:paraId="38069C15">
      <w:pPr>
        <w:jc w:val="left"/>
        <w:rPr>
          <w:rFonts w:ascii="宋体" w:hAnsi="宋体" w:cs="宋体"/>
          <w:b/>
          <w:bCs/>
          <w:color w:val="auto"/>
          <w:sz w:val="22"/>
          <w:highlight w:val="none"/>
          <w:u w:val="single"/>
        </w:rPr>
      </w:pPr>
      <w:r>
        <w:rPr>
          <w:rFonts w:hint="eastAsia" w:ascii="宋体" w:hAnsi="宋体" w:cs="宋体"/>
          <w:b/>
          <w:bCs/>
          <w:color w:val="auto"/>
          <w:sz w:val="22"/>
          <w:highlight w:val="none"/>
          <w:u w:val="single"/>
        </w:rPr>
        <w:t>授权代表社保缴纳证明（2024年10月01日（含）至本项目投标文件提交截止时间止任意一月）</w:t>
      </w:r>
      <w:r>
        <w:rPr>
          <w:rFonts w:hint="eastAsia" w:ascii="宋体" w:hAnsi="宋体" w:cs="宋体"/>
          <w:b/>
          <w:bCs/>
          <w:color w:val="auto"/>
          <w:kern w:val="0"/>
          <w:sz w:val="22"/>
          <w:highlight w:val="none"/>
          <w:u w:val="single"/>
        </w:rPr>
        <w:t>或有效的劳务合同复印件。</w:t>
      </w:r>
    </w:p>
    <w:p w14:paraId="709EA3D3">
      <w:pPr>
        <w:adjustRightInd w:val="0"/>
        <w:snapToGrid w:val="0"/>
        <w:spacing w:line="288" w:lineRule="auto"/>
        <w:jc w:val="center"/>
        <w:rPr>
          <w:rFonts w:ascii="宋体" w:hAnsi="宋体" w:cs="宋体"/>
          <w:b/>
          <w:color w:val="auto"/>
          <w:spacing w:val="-6"/>
          <w:szCs w:val="21"/>
          <w:highlight w:val="none"/>
        </w:rPr>
      </w:pPr>
    </w:p>
    <w:p w14:paraId="10FFB976">
      <w:pPr>
        <w:rPr>
          <w:rFonts w:ascii="宋体" w:hAnsi="宋体" w:cs="宋体"/>
          <w:b/>
          <w:color w:val="auto"/>
          <w:sz w:val="24"/>
          <w:szCs w:val="24"/>
          <w:highlight w:val="none"/>
        </w:rPr>
      </w:pPr>
      <w:r>
        <w:rPr>
          <w:rFonts w:hint="eastAsia" w:ascii="宋体" w:hAnsi="宋体" w:cs="宋体"/>
          <w:b/>
          <w:color w:val="auto"/>
          <w:spacing w:val="-6"/>
          <w:sz w:val="28"/>
          <w:szCs w:val="28"/>
          <w:highlight w:val="none"/>
        </w:rPr>
        <w:br w:type="page"/>
      </w:r>
      <w:r>
        <w:rPr>
          <w:rFonts w:hint="eastAsia" w:ascii="宋体" w:hAnsi="宋体" w:cs="宋体"/>
          <w:b/>
          <w:color w:val="auto"/>
          <w:sz w:val="24"/>
          <w:szCs w:val="24"/>
          <w:highlight w:val="none"/>
        </w:rPr>
        <w:t>附件6</w:t>
      </w:r>
    </w:p>
    <w:p w14:paraId="3D7A953F">
      <w:pPr>
        <w:spacing w:line="40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投 标 函</w:t>
      </w:r>
    </w:p>
    <w:p w14:paraId="22BC6044">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温州肯恩大学、浙江乐诚工程咨询有限公司</w:t>
      </w:r>
    </w:p>
    <w:p w14:paraId="2FC5C408">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根据贵方为温州肯恩大学项目（项目编号：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）的投标邀请，我方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（投标人名称）作为投标人正式授权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（授权代表全名，职务）代表我方处理本次项目中的一切投标相关事宜。</w:t>
      </w:r>
    </w:p>
    <w:p w14:paraId="50FE2AA4">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我方己完全明白招标文件的所有条款要求，并重申以下几点：</w:t>
      </w:r>
    </w:p>
    <w:p w14:paraId="41B6B73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（一）本投标文件的有效期自提交投标文件的截止之日起 </w:t>
      </w: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天内有效，如中标，有效期将延至合同终止日为止；</w:t>
      </w:r>
    </w:p>
    <w:p w14:paraId="199F6019">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（二）我方已详细研究了招标文件的所有内容包括修改书（如有）和所有已提供的参考资料以及有关附件，我方完全理解并同意放弃在此方面提出含糊意见或误解的一切权力；</w:t>
      </w:r>
    </w:p>
    <w:p w14:paraId="12364B8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（三）我方明白并愿意在规定的开标时间之后，投标人在投标有效期内不撤回投标；</w:t>
      </w:r>
    </w:p>
    <w:p w14:paraId="47FBD5C7">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（四）我方同意提供按照贵方可能要求的与投标有关的一切数据或资料；</w:t>
      </w:r>
    </w:p>
    <w:p w14:paraId="2345106E">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（五）我方理解贵方不一定接受最低报价。</w:t>
      </w:r>
    </w:p>
    <w:p w14:paraId="2B941D56">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（六）如中标，我方承诺按照招标文件规定向你方递交履约保证金（如有），本投标文件至本项目合同履行完毕止均保持有效，本投标人将按“招标文件”及政府采购法律、法规的规定履行合同责任和义务。</w:t>
      </w:r>
    </w:p>
    <w:p w14:paraId="6C3629C2">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（七）所有与本投标有关的函件请发往下列地址：</w:t>
      </w:r>
    </w:p>
    <w:p w14:paraId="74ECD62F">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地址</w:t>
      </w:r>
      <w:r>
        <w:rPr>
          <w:rFonts w:hint="eastAsia" w:ascii="宋体" w:hAnsi="宋体" w:cs="宋体"/>
          <w:color w:val="auto"/>
          <w:sz w:val="24"/>
          <w:szCs w:val="24"/>
          <w:highlight w:val="none"/>
          <w:u w:val="single"/>
        </w:rPr>
        <w:t xml:space="preserve">                　　  　　</w:t>
      </w:r>
    </w:p>
    <w:p w14:paraId="3CE1B9B1">
      <w:pPr>
        <w:spacing w:line="400" w:lineRule="exact"/>
        <w:ind w:firstLine="435"/>
        <w:rPr>
          <w:rFonts w:ascii="宋体" w:hAnsi="宋体" w:cs="宋体"/>
          <w:color w:val="auto"/>
          <w:sz w:val="24"/>
          <w:szCs w:val="24"/>
          <w:highlight w:val="none"/>
        </w:rPr>
      </w:pP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14:paraId="3A9D9571">
      <w:pPr>
        <w:spacing w:line="400" w:lineRule="exact"/>
        <w:ind w:firstLine="435"/>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14:paraId="4A7AD73B">
      <w:pPr>
        <w:spacing w:line="400" w:lineRule="exact"/>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rPr>
        <w:t>电子邮件</w:t>
      </w:r>
      <w:r>
        <w:rPr>
          <w:rFonts w:hint="eastAsia" w:ascii="宋体" w:hAnsi="宋体" w:cs="宋体"/>
          <w:color w:val="auto"/>
          <w:sz w:val="24"/>
          <w:szCs w:val="24"/>
          <w:highlight w:val="none"/>
          <w:u w:val="single"/>
        </w:rPr>
        <w:t xml:space="preserve">         　　         </w:t>
      </w:r>
    </w:p>
    <w:p w14:paraId="659FE1B3">
      <w:pPr>
        <w:spacing w:line="400" w:lineRule="exact"/>
        <w:rPr>
          <w:rFonts w:ascii="宋体" w:hAnsi="宋体" w:cs="宋体"/>
          <w:color w:val="auto"/>
          <w:sz w:val="24"/>
          <w:szCs w:val="24"/>
          <w:highlight w:val="none"/>
        </w:rPr>
      </w:pPr>
    </w:p>
    <w:p w14:paraId="41A2861D">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12FFEA91">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法定代表人或授权代表(签字或签章)：</w:t>
      </w:r>
    </w:p>
    <w:p w14:paraId="7ED682F4">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066AD962">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4C223920">
      <w:pPr>
        <w:spacing w:line="400" w:lineRule="exact"/>
        <w:rPr>
          <w:rFonts w:ascii="宋体" w:hAnsi="宋体" w:cs="宋体"/>
          <w:b/>
          <w:bCs/>
          <w:color w:val="auto"/>
          <w:sz w:val="28"/>
          <w:szCs w:val="28"/>
          <w:highlight w:val="none"/>
        </w:rPr>
      </w:pPr>
      <w:r>
        <w:rPr>
          <w:rFonts w:hint="eastAsia" w:ascii="宋体" w:hAnsi="宋体" w:cs="宋体"/>
          <w:b/>
          <w:color w:val="auto"/>
          <w:sz w:val="24"/>
          <w:szCs w:val="24"/>
          <w:highlight w:val="none"/>
        </w:rPr>
        <w:t>附件7</w:t>
      </w:r>
    </w:p>
    <w:p w14:paraId="57F66720">
      <w:pPr>
        <w:snapToGrid w:val="0"/>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投标声明书</w:t>
      </w:r>
    </w:p>
    <w:p w14:paraId="22DF230C">
      <w:pPr>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温州肯恩大学、浙江乐诚工程咨询有限公司</w:t>
      </w:r>
      <w:r>
        <w:rPr>
          <w:rFonts w:hint="eastAsia" w:ascii="宋体" w:hAnsi="宋体" w:cs="宋体"/>
          <w:color w:val="auto"/>
          <w:sz w:val="24"/>
          <w:szCs w:val="24"/>
          <w:highlight w:val="none"/>
        </w:rPr>
        <w:t>：</w:t>
      </w:r>
    </w:p>
    <w:p w14:paraId="655056D4">
      <w:pPr>
        <w:snapToGrid w:val="0"/>
        <w:spacing w:line="40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系中华人民共和国合法企业，经营地址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61FEA31">
      <w:pPr>
        <w:snapToGrid w:val="0"/>
        <w:spacing w:line="400" w:lineRule="exact"/>
        <w:ind w:firstLine="645"/>
        <w:rPr>
          <w:rFonts w:ascii="宋体" w:hAnsi="宋体" w:cs="宋体"/>
          <w:color w:val="auto"/>
          <w:sz w:val="24"/>
          <w:szCs w:val="24"/>
          <w:highlight w:val="none"/>
        </w:rPr>
      </w:pPr>
      <w:r>
        <w:rPr>
          <w:rFonts w:hint="eastAsia" w:ascii="宋体" w:hAnsi="宋体" w:cs="宋体"/>
          <w:color w:val="auto"/>
          <w:sz w:val="24"/>
          <w:szCs w:val="24"/>
          <w:highlight w:val="none"/>
        </w:rPr>
        <w:t>我（姓名）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的法定代表人，我方愿意参加贵方组织的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）的投标，为便于贵方公正、择优地确定中标人及其服务，我方就本次投标有关事项郑重声明如下：</w:t>
      </w:r>
    </w:p>
    <w:p w14:paraId="21683836">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1.我方向贵方提交的所有投标文件、资料都是准确的和真实的；</w:t>
      </w:r>
    </w:p>
    <w:p w14:paraId="3641445D">
      <w:pPr>
        <w:spacing w:line="400" w:lineRule="exact"/>
        <w:ind w:firstLine="456" w:firstLineChars="200"/>
        <w:rPr>
          <w:rFonts w:ascii="宋体" w:hAnsi="宋体" w:cs="宋体"/>
          <w:color w:val="auto"/>
          <w:spacing w:val="-6"/>
          <w:sz w:val="24"/>
          <w:highlight w:val="none"/>
        </w:rPr>
      </w:pPr>
      <w:r>
        <w:rPr>
          <w:rFonts w:hint="eastAsia" w:ascii="宋体" w:hAnsi="宋体" w:cs="宋体"/>
          <w:color w:val="auto"/>
          <w:spacing w:val="-6"/>
          <w:sz w:val="24"/>
          <w:highlight w:val="none"/>
        </w:rPr>
        <w:t>2.我方不是采购人的附属机构；在获知本项目采购信息后，与采购人聘请的为此项目提供咨询服务的公司及其附属机构没有任何联系；</w:t>
      </w:r>
    </w:p>
    <w:p w14:paraId="00E867F9">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3.我方在参加政府采购活动前3年内：</w:t>
      </w:r>
      <w:r>
        <w:rPr>
          <w:rFonts w:hint="eastAsia" w:ascii="宋体" w:hAnsi="宋体" w:cs="宋体"/>
          <w:color w:val="auto"/>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（填写“有”或“没有”，如实填写，如不填写视同未按要求填写）</w:t>
      </w:r>
      <w:r>
        <w:rPr>
          <w:rFonts w:hint="eastAsia" w:ascii="宋体" w:hAnsi="宋体" w:cs="宋体"/>
          <w:color w:val="auto"/>
          <w:spacing w:val="-6"/>
          <w:sz w:val="24"/>
          <w:szCs w:val="24"/>
          <w:highlight w:val="none"/>
        </w:rPr>
        <w:t>因违法经营被禁止在一定期限内参加政府采购活动，且期限未满的情形；</w:t>
      </w:r>
    </w:p>
    <w:p w14:paraId="6EE97A2B">
      <w:pPr>
        <w:spacing w:line="400" w:lineRule="exact"/>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4.以上事项如有虚假或隐瞒，我方愿意承担一切后果和责任。</w:t>
      </w:r>
    </w:p>
    <w:p w14:paraId="0E00C51A">
      <w:pPr>
        <w:pStyle w:val="14"/>
        <w:tabs>
          <w:tab w:val="left" w:pos="939"/>
        </w:tabs>
        <w:snapToGrid w:val="0"/>
        <w:spacing w:line="400" w:lineRule="exact"/>
        <w:ind w:left="458" w:leftChars="0" w:hanging="458" w:hangingChars="191"/>
        <w:rPr>
          <w:rFonts w:ascii="宋体" w:hAnsi="宋体" w:cs="宋体"/>
          <w:color w:val="auto"/>
          <w:sz w:val="24"/>
          <w:szCs w:val="24"/>
          <w:highlight w:val="none"/>
        </w:rPr>
      </w:pPr>
    </w:p>
    <w:p w14:paraId="4E9630AA">
      <w:pPr>
        <w:pStyle w:val="61"/>
        <w:snapToGrid w:val="0"/>
        <w:spacing w:line="400" w:lineRule="exact"/>
        <w:ind w:firstLine="200"/>
        <w:rPr>
          <w:rFonts w:ascii="宋体" w:hAnsi="宋体" w:cs="宋体"/>
          <w:color w:val="auto"/>
          <w:highlight w:val="none"/>
        </w:rPr>
      </w:pPr>
    </w:p>
    <w:p w14:paraId="72D5C8C4">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0E83ED55">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法定代表人或授权代表(签字或签章)：</w:t>
      </w:r>
    </w:p>
    <w:p w14:paraId="76349F88">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5BD91373">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1CC041C">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附件8</w:t>
      </w:r>
    </w:p>
    <w:p w14:paraId="7AC67E22">
      <w:pPr>
        <w:spacing w:line="400" w:lineRule="exact"/>
        <w:ind w:firstLine="435"/>
        <w:jc w:val="center"/>
        <w:rPr>
          <w:rFonts w:ascii="宋体" w:hAnsi="宋体" w:cs="宋体"/>
          <w:b/>
          <w:color w:val="auto"/>
          <w:spacing w:val="-6"/>
          <w:sz w:val="30"/>
          <w:szCs w:val="30"/>
          <w:highlight w:val="none"/>
        </w:rPr>
      </w:pPr>
      <w:r>
        <w:rPr>
          <w:rFonts w:hint="eastAsia" w:ascii="宋体" w:hAnsi="宋体" w:cs="宋体"/>
          <w:b/>
          <w:color w:val="auto"/>
          <w:spacing w:val="-6"/>
          <w:sz w:val="30"/>
          <w:szCs w:val="30"/>
          <w:highlight w:val="none"/>
        </w:rPr>
        <w:t>投标人基本情况表</w:t>
      </w:r>
    </w:p>
    <w:tbl>
      <w:tblPr>
        <w:tblStyle w:val="33"/>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2418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BE1E7FF">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w:t>
            </w:r>
          </w:p>
        </w:tc>
        <w:tc>
          <w:tcPr>
            <w:tcW w:w="8490" w:type="dxa"/>
            <w:gridSpan w:val="3"/>
            <w:vAlign w:val="center"/>
          </w:tcPr>
          <w:p w14:paraId="148DEF0A">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企业名称：</w:t>
            </w:r>
          </w:p>
        </w:tc>
      </w:tr>
      <w:tr w14:paraId="5861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C5567D0">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2</w:t>
            </w:r>
          </w:p>
        </w:tc>
        <w:tc>
          <w:tcPr>
            <w:tcW w:w="8490" w:type="dxa"/>
            <w:gridSpan w:val="3"/>
            <w:vAlign w:val="center"/>
          </w:tcPr>
          <w:p w14:paraId="037C7354">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总部地址：</w:t>
            </w:r>
          </w:p>
        </w:tc>
      </w:tr>
      <w:tr w14:paraId="7506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E17FA7C">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3</w:t>
            </w:r>
          </w:p>
        </w:tc>
        <w:tc>
          <w:tcPr>
            <w:tcW w:w="8490" w:type="dxa"/>
            <w:gridSpan w:val="3"/>
            <w:vAlign w:val="center"/>
          </w:tcPr>
          <w:p w14:paraId="18F11D86">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当地代表处地址：</w:t>
            </w:r>
          </w:p>
        </w:tc>
      </w:tr>
      <w:tr w14:paraId="4F60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EB1D9B7">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4</w:t>
            </w:r>
          </w:p>
        </w:tc>
        <w:tc>
          <w:tcPr>
            <w:tcW w:w="4305" w:type="dxa"/>
            <w:gridSpan w:val="2"/>
            <w:vAlign w:val="center"/>
          </w:tcPr>
          <w:p w14:paraId="57F9F867">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电话：</w:t>
            </w:r>
          </w:p>
        </w:tc>
        <w:tc>
          <w:tcPr>
            <w:tcW w:w="4185" w:type="dxa"/>
            <w:vAlign w:val="center"/>
          </w:tcPr>
          <w:p w14:paraId="2BBB66BA">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联系人：</w:t>
            </w:r>
          </w:p>
        </w:tc>
      </w:tr>
      <w:tr w14:paraId="7746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F13D5B6">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5</w:t>
            </w:r>
          </w:p>
        </w:tc>
        <w:tc>
          <w:tcPr>
            <w:tcW w:w="4305" w:type="dxa"/>
            <w:gridSpan w:val="2"/>
            <w:vAlign w:val="center"/>
          </w:tcPr>
          <w:p w14:paraId="46FA90B1">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传真：</w:t>
            </w:r>
          </w:p>
        </w:tc>
        <w:tc>
          <w:tcPr>
            <w:tcW w:w="4185" w:type="dxa"/>
            <w:vAlign w:val="center"/>
          </w:tcPr>
          <w:p w14:paraId="158DAD85">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电子信箱：</w:t>
            </w:r>
          </w:p>
        </w:tc>
      </w:tr>
      <w:tr w14:paraId="31EC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859F2F7">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6</w:t>
            </w:r>
          </w:p>
        </w:tc>
        <w:tc>
          <w:tcPr>
            <w:tcW w:w="4305" w:type="dxa"/>
            <w:gridSpan w:val="2"/>
            <w:vAlign w:val="center"/>
          </w:tcPr>
          <w:p w14:paraId="5DCAD55B">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注册地：</w:t>
            </w:r>
          </w:p>
        </w:tc>
        <w:tc>
          <w:tcPr>
            <w:tcW w:w="4185" w:type="dxa"/>
            <w:vAlign w:val="center"/>
          </w:tcPr>
          <w:p w14:paraId="4967E5EA">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注册年份：</w:t>
            </w:r>
          </w:p>
        </w:tc>
      </w:tr>
      <w:tr w14:paraId="5D62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4B3CD6C3">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7</w:t>
            </w:r>
          </w:p>
        </w:tc>
        <w:tc>
          <w:tcPr>
            <w:tcW w:w="8490" w:type="dxa"/>
            <w:gridSpan w:val="3"/>
            <w:vAlign w:val="center"/>
          </w:tcPr>
          <w:p w14:paraId="7807C6C9">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公司的资质等级（请附上有关证书）</w:t>
            </w:r>
          </w:p>
        </w:tc>
      </w:tr>
      <w:tr w14:paraId="7209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48B4214">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8</w:t>
            </w:r>
          </w:p>
        </w:tc>
        <w:tc>
          <w:tcPr>
            <w:tcW w:w="8490" w:type="dxa"/>
            <w:gridSpan w:val="3"/>
            <w:vAlign w:val="center"/>
          </w:tcPr>
          <w:p w14:paraId="3D72A3FA">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公司（是否通过，何种）质量保证体系认证（如通过请附相关证书，提供认证机构年审监督报告）</w:t>
            </w:r>
          </w:p>
        </w:tc>
      </w:tr>
      <w:tr w14:paraId="07CB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FFA0ED8">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9</w:t>
            </w:r>
          </w:p>
        </w:tc>
        <w:tc>
          <w:tcPr>
            <w:tcW w:w="2520" w:type="dxa"/>
            <w:vAlign w:val="center"/>
          </w:tcPr>
          <w:p w14:paraId="67186396">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970" w:type="dxa"/>
            <w:gridSpan w:val="2"/>
            <w:vAlign w:val="center"/>
          </w:tcPr>
          <w:p w14:paraId="2DB159B8">
            <w:pPr>
              <w:spacing w:line="400" w:lineRule="exact"/>
              <w:rPr>
                <w:rFonts w:ascii="宋体" w:hAnsi="宋体" w:cs="宋体"/>
                <w:color w:val="auto"/>
                <w:spacing w:val="-6"/>
                <w:sz w:val="24"/>
                <w:highlight w:val="none"/>
              </w:rPr>
            </w:pPr>
          </w:p>
        </w:tc>
      </w:tr>
      <w:tr w14:paraId="7349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CE0DE9F">
            <w:pPr>
              <w:spacing w:line="400" w:lineRule="exact"/>
              <w:jc w:val="center"/>
              <w:rPr>
                <w:rFonts w:ascii="宋体" w:hAnsi="宋体" w:cs="宋体"/>
                <w:color w:val="auto"/>
                <w:spacing w:val="-6"/>
                <w:sz w:val="24"/>
                <w:highlight w:val="none"/>
              </w:rPr>
            </w:pPr>
            <w:r>
              <w:rPr>
                <w:rFonts w:hint="eastAsia" w:ascii="宋体" w:hAnsi="宋体" w:cs="宋体"/>
                <w:color w:val="auto"/>
                <w:spacing w:val="-6"/>
                <w:sz w:val="24"/>
                <w:highlight w:val="none"/>
              </w:rPr>
              <w:t>10</w:t>
            </w:r>
          </w:p>
        </w:tc>
        <w:tc>
          <w:tcPr>
            <w:tcW w:w="2520" w:type="dxa"/>
            <w:vAlign w:val="center"/>
          </w:tcPr>
          <w:p w14:paraId="49C94331">
            <w:pPr>
              <w:spacing w:line="400" w:lineRule="exact"/>
              <w:rPr>
                <w:rFonts w:ascii="宋体" w:hAns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970" w:type="dxa"/>
            <w:gridSpan w:val="2"/>
            <w:vAlign w:val="center"/>
          </w:tcPr>
          <w:p w14:paraId="492388F0">
            <w:pPr>
              <w:spacing w:line="400" w:lineRule="exact"/>
              <w:rPr>
                <w:rFonts w:ascii="宋体" w:hAnsi="宋体" w:cs="宋体"/>
                <w:color w:val="auto"/>
                <w:spacing w:val="-6"/>
                <w:sz w:val="24"/>
                <w:highlight w:val="none"/>
              </w:rPr>
            </w:pPr>
          </w:p>
        </w:tc>
      </w:tr>
    </w:tbl>
    <w:p w14:paraId="5E119133">
      <w:pPr>
        <w:spacing w:line="400" w:lineRule="exact"/>
        <w:rPr>
          <w:rFonts w:ascii="宋体" w:hAnsi="宋体" w:cs="宋体"/>
          <w:color w:val="auto"/>
          <w:spacing w:val="-6"/>
          <w:sz w:val="24"/>
          <w:highlight w:val="none"/>
        </w:rPr>
      </w:pPr>
    </w:p>
    <w:p w14:paraId="62FC47B0">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说明：所有投标人都须填写此表。</w:t>
      </w:r>
    </w:p>
    <w:p w14:paraId="035715F0">
      <w:pPr>
        <w:spacing w:line="400" w:lineRule="exact"/>
        <w:rPr>
          <w:rFonts w:ascii="宋体" w:hAnsi="宋体" w:cs="宋体"/>
          <w:color w:val="auto"/>
          <w:spacing w:val="-6"/>
          <w:sz w:val="24"/>
          <w:highlight w:val="none"/>
        </w:rPr>
      </w:pPr>
    </w:p>
    <w:p w14:paraId="3EF15A59">
      <w:pPr>
        <w:spacing w:line="400" w:lineRule="exact"/>
        <w:rPr>
          <w:rFonts w:ascii="宋体" w:hAnsi="宋体" w:cs="宋体"/>
          <w:color w:val="auto"/>
          <w:spacing w:val="-6"/>
          <w:sz w:val="24"/>
          <w:highlight w:val="none"/>
        </w:rPr>
      </w:pPr>
    </w:p>
    <w:p w14:paraId="4C23F115">
      <w:pPr>
        <w:widowControl/>
        <w:spacing w:line="40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投标人全称(电子签章或公章)：</w:t>
      </w:r>
    </w:p>
    <w:p w14:paraId="19E489EC">
      <w:pPr>
        <w:widowControl/>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法定代表人或授权代表(签字或签章)：</w:t>
      </w:r>
    </w:p>
    <w:p w14:paraId="6F8BEDA9">
      <w:pPr>
        <w:snapToGrid w:val="0"/>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    年    月    日</w:t>
      </w:r>
    </w:p>
    <w:p w14:paraId="66295ECF">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C271320">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附件9</w:t>
      </w:r>
    </w:p>
    <w:p w14:paraId="621589FD">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投标人同类项目业绩一览表（如有）</w:t>
      </w:r>
    </w:p>
    <w:p w14:paraId="6F5BA72B">
      <w:pPr>
        <w:spacing w:line="400" w:lineRule="exact"/>
        <w:rPr>
          <w:rFonts w:ascii="宋体" w:hAnsi="宋体" w:cs="宋体"/>
          <w:b/>
          <w:bCs/>
          <w:color w:val="auto"/>
          <w:sz w:val="24"/>
          <w:szCs w:val="24"/>
          <w:highlight w:val="none"/>
        </w:rPr>
      </w:pPr>
    </w:p>
    <w:p w14:paraId="2A290AEB">
      <w:pPr>
        <w:pStyle w:val="15"/>
        <w:spacing w:after="0" w:line="400" w:lineRule="exact"/>
        <w:ind w:left="0" w:leftChars="0" w:right="1470"/>
        <w:rPr>
          <w:rFonts w:ascii="宋体" w:hAnsi="宋体" w:cs="宋体"/>
          <w:bCs/>
          <w:color w:val="auto"/>
          <w:sz w:val="24"/>
          <w:szCs w:val="24"/>
          <w:highlight w:val="none"/>
        </w:rPr>
      </w:pPr>
      <w:r>
        <w:rPr>
          <w:rFonts w:hint="eastAsia" w:ascii="宋体" w:hAnsi="宋体" w:cs="宋体"/>
          <w:b/>
          <w:color w:val="auto"/>
          <w:sz w:val="22"/>
          <w:highlight w:val="none"/>
        </w:rPr>
        <w:t>项</w:t>
      </w:r>
      <w:r>
        <w:rPr>
          <w:rFonts w:hint="eastAsia" w:ascii="宋体" w:hAnsi="宋体" w:cs="宋体"/>
          <w:b/>
          <w:color w:val="auto"/>
          <w:sz w:val="24"/>
          <w:szCs w:val="24"/>
          <w:highlight w:val="none"/>
        </w:rPr>
        <w:t xml:space="preserve">目名称：                              项目编号：                  </w:t>
      </w:r>
    </w:p>
    <w:tbl>
      <w:tblPr>
        <w:tblStyle w:val="33"/>
        <w:tblW w:w="92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5"/>
        <w:gridCol w:w="1833"/>
        <w:gridCol w:w="1614"/>
        <w:gridCol w:w="1464"/>
        <w:gridCol w:w="1584"/>
        <w:gridCol w:w="2024"/>
      </w:tblGrid>
      <w:tr w14:paraId="7C793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03949B3D">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1833" w:type="dxa"/>
            <w:vAlign w:val="center"/>
          </w:tcPr>
          <w:p w14:paraId="771419AC">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采购单位名称</w:t>
            </w:r>
          </w:p>
        </w:tc>
        <w:tc>
          <w:tcPr>
            <w:tcW w:w="1614" w:type="dxa"/>
            <w:vAlign w:val="center"/>
          </w:tcPr>
          <w:p w14:paraId="5929C342">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1464" w:type="dxa"/>
            <w:vAlign w:val="center"/>
          </w:tcPr>
          <w:p w14:paraId="3234AAD8">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1584" w:type="dxa"/>
            <w:vAlign w:val="center"/>
          </w:tcPr>
          <w:p w14:paraId="298B0194">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合同签订时间</w:t>
            </w:r>
          </w:p>
        </w:tc>
        <w:tc>
          <w:tcPr>
            <w:tcW w:w="2024" w:type="dxa"/>
            <w:vAlign w:val="center"/>
          </w:tcPr>
          <w:p w14:paraId="54C84DD3">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采购单位联系人及</w:t>
            </w:r>
          </w:p>
          <w:p w14:paraId="235E874C">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联系电话</w:t>
            </w:r>
          </w:p>
        </w:tc>
      </w:tr>
      <w:tr w14:paraId="030AA8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51D20CFC">
            <w:pPr>
              <w:spacing w:line="400" w:lineRule="exact"/>
              <w:jc w:val="center"/>
              <w:rPr>
                <w:rFonts w:ascii="宋体" w:hAnsi="宋体" w:cs="宋体"/>
                <w:b/>
                <w:bCs/>
                <w:color w:val="auto"/>
                <w:sz w:val="24"/>
                <w:szCs w:val="24"/>
                <w:highlight w:val="none"/>
              </w:rPr>
            </w:pPr>
          </w:p>
        </w:tc>
        <w:tc>
          <w:tcPr>
            <w:tcW w:w="1833" w:type="dxa"/>
            <w:vAlign w:val="center"/>
          </w:tcPr>
          <w:p w14:paraId="02490E12">
            <w:pPr>
              <w:spacing w:line="400" w:lineRule="exact"/>
              <w:jc w:val="center"/>
              <w:rPr>
                <w:rFonts w:ascii="宋体" w:hAnsi="宋体" w:cs="宋体"/>
                <w:b/>
                <w:bCs/>
                <w:color w:val="auto"/>
                <w:sz w:val="24"/>
                <w:szCs w:val="24"/>
                <w:highlight w:val="none"/>
              </w:rPr>
            </w:pPr>
          </w:p>
        </w:tc>
        <w:tc>
          <w:tcPr>
            <w:tcW w:w="1614" w:type="dxa"/>
            <w:vAlign w:val="center"/>
          </w:tcPr>
          <w:p w14:paraId="47AD78F1">
            <w:pPr>
              <w:spacing w:line="400" w:lineRule="exact"/>
              <w:jc w:val="center"/>
              <w:rPr>
                <w:rFonts w:ascii="宋体" w:hAnsi="宋体" w:cs="宋体"/>
                <w:b/>
                <w:bCs/>
                <w:color w:val="auto"/>
                <w:sz w:val="24"/>
                <w:szCs w:val="24"/>
                <w:highlight w:val="none"/>
              </w:rPr>
            </w:pPr>
          </w:p>
        </w:tc>
        <w:tc>
          <w:tcPr>
            <w:tcW w:w="1464" w:type="dxa"/>
            <w:vAlign w:val="center"/>
          </w:tcPr>
          <w:p w14:paraId="65059C6D">
            <w:pPr>
              <w:spacing w:line="400" w:lineRule="exact"/>
              <w:jc w:val="center"/>
              <w:rPr>
                <w:rFonts w:ascii="宋体" w:hAnsi="宋体" w:cs="宋体"/>
                <w:b/>
                <w:bCs/>
                <w:color w:val="auto"/>
                <w:sz w:val="24"/>
                <w:szCs w:val="24"/>
                <w:highlight w:val="none"/>
              </w:rPr>
            </w:pPr>
          </w:p>
        </w:tc>
        <w:tc>
          <w:tcPr>
            <w:tcW w:w="1584" w:type="dxa"/>
          </w:tcPr>
          <w:p w14:paraId="234F0181">
            <w:pPr>
              <w:spacing w:line="400" w:lineRule="exact"/>
              <w:jc w:val="center"/>
              <w:rPr>
                <w:rFonts w:ascii="宋体" w:hAnsi="宋体" w:cs="宋体"/>
                <w:b/>
                <w:bCs/>
                <w:color w:val="auto"/>
                <w:sz w:val="24"/>
                <w:szCs w:val="24"/>
                <w:highlight w:val="none"/>
              </w:rPr>
            </w:pPr>
          </w:p>
        </w:tc>
        <w:tc>
          <w:tcPr>
            <w:tcW w:w="2024" w:type="dxa"/>
          </w:tcPr>
          <w:p w14:paraId="28F967AA">
            <w:pPr>
              <w:spacing w:line="400" w:lineRule="exact"/>
              <w:jc w:val="center"/>
              <w:rPr>
                <w:rFonts w:ascii="宋体" w:hAnsi="宋体" w:cs="宋体"/>
                <w:b/>
                <w:bCs/>
                <w:color w:val="auto"/>
                <w:sz w:val="24"/>
                <w:szCs w:val="24"/>
                <w:highlight w:val="none"/>
              </w:rPr>
            </w:pPr>
          </w:p>
        </w:tc>
      </w:tr>
      <w:tr w14:paraId="4E1252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4AE62BCB">
            <w:pPr>
              <w:spacing w:line="400" w:lineRule="exact"/>
              <w:jc w:val="center"/>
              <w:rPr>
                <w:rFonts w:ascii="宋体" w:hAnsi="宋体" w:cs="宋体"/>
                <w:b/>
                <w:bCs/>
                <w:color w:val="auto"/>
                <w:sz w:val="24"/>
                <w:szCs w:val="24"/>
                <w:highlight w:val="none"/>
              </w:rPr>
            </w:pPr>
          </w:p>
        </w:tc>
        <w:tc>
          <w:tcPr>
            <w:tcW w:w="1833" w:type="dxa"/>
            <w:vAlign w:val="center"/>
          </w:tcPr>
          <w:p w14:paraId="7B2AE496">
            <w:pPr>
              <w:spacing w:line="400" w:lineRule="exact"/>
              <w:jc w:val="center"/>
              <w:rPr>
                <w:rFonts w:ascii="宋体" w:hAnsi="宋体" w:cs="宋体"/>
                <w:b/>
                <w:bCs/>
                <w:color w:val="auto"/>
                <w:sz w:val="24"/>
                <w:szCs w:val="24"/>
                <w:highlight w:val="none"/>
              </w:rPr>
            </w:pPr>
          </w:p>
        </w:tc>
        <w:tc>
          <w:tcPr>
            <w:tcW w:w="1614" w:type="dxa"/>
            <w:vAlign w:val="center"/>
          </w:tcPr>
          <w:p w14:paraId="3790372B">
            <w:pPr>
              <w:spacing w:line="400" w:lineRule="exact"/>
              <w:jc w:val="center"/>
              <w:rPr>
                <w:rFonts w:ascii="宋体" w:hAnsi="宋体" w:cs="宋体"/>
                <w:b/>
                <w:bCs/>
                <w:color w:val="auto"/>
                <w:sz w:val="24"/>
                <w:szCs w:val="24"/>
                <w:highlight w:val="none"/>
              </w:rPr>
            </w:pPr>
          </w:p>
        </w:tc>
        <w:tc>
          <w:tcPr>
            <w:tcW w:w="1464" w:type="dxa"/>
            <w:vAlign w:val="center"/>
          </w:tcPr>
          <w:p w14:paraId="32A13D05">
            <w:pPr>
              <w:spacing w:line="400" w:lineRule="exact"/>
              <w:jc w:val="center"/>
              <w:rPr>
                <w:rFonts w:ascii="宋体" w:hAnsi="宋体" w:cs="宋体"/>
                <w:b/>
                <w:bCs/>
                <w:color w:val="auto"/>
                <w:sz w:val="24"/>
                <w:szCs w:val="24"/>
                <w:highlight w:val="none"/>
              </w:rPr>
            </w:pPr>
          </w:p>
        </w:tc>
        <w:tc>
          <w:tcPr>
            <w:tcW w:w="1584" w:type="dxa"/>
          </w:tcPr>
          <w:p w14:paraId="6EAEBED5">
            <w:pPr>
              <w:spacing w:line="400" w:lineRule="exact"/>
              <w:jc w:val="center"/>
              <w:rPr>
                <w:rFonts w:ascii="宋体" w:hAnsi="宋体" w:cs="宋体"/>
                <w:b/>
                <w:bCs/>
                <w:color w:val="auto"/>
                <w:sz w:val="24"/>
                <w:szCs w:val="24"/>
                <w:highlight w:val="none"/>
              </w:rPr>
            </w:pPr>
          </w:p>
        </w:tc>
        <w:tc>
          <w:tcPr>
            <w:tcW w:w="2024" w:type="dxa"/>
          </w:tcPr>
          <w:p w14:paraId="40DBDF4D">
            <w:pPr>
              <w:spacing w:line="400" w:lineRule="exact"/>
              <w:jc w:val="center"/>
              <w:rPr>
                <w:rFonts w:ascii="宋体" w:hAnsi="宋体" w:cs="宋体"/>
                <w:b/>
                <w:bCs/>
                <w:color w:val="auto"/>
                <w:sz w:val="24"/>
                <w:szCs w:val="24"/>
                <w:highlight w:val="none"/>
              </w:rPr>
            </w:pPr>
          </w:p>
        </w:tc>
      </w:tr>
      <w:tr w14:paraId="668AD1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2FF12E6A">
            <w:pPr>
              <w:spacing w:line="400" w:lineRule="exact"/>
              <w:jc w:val="center"/>
              <w:rPr>
                <w:rFonts w:ascii="宋体" w:hAnsi="宋体" w:cs="宋体"/>
                <w:b/>
                <w:bCs/>
                <w:color w:val="auto"/>
                <w:sz w:val="24"/>
                <w:szCs w:val="24"/>
                <w:highlight w:val="none"/>
              </w:rPr>
            </w:pPr>
          </w:p>
        </w:tc>
        <w:tc>
          <w:tcPr>
            <w:tcW w:w="1833" w:type="dxa"/>
            <w:vAlign w:val="center"/>
          </w:tcPr>
          <w:p w14:paraId="528E53ED">
            <w:pPr>
              <w:spacing w:line="400" w:lineRule="exact"/>
              <w:jc w:val="center"/>
              <w:rPr>
                <w:rFonts w:ascii="宋体" w:hAnsi="宋体" w:cs="宋体"/>
                <w:b/>
                <w:bCs/>
                <w:color w:val="auto"/>
                <w:sz w:val="24"/>
                <w:szCs w:val="24"/>
                <w:highlight w:val="none"/>
              </w:rPr>
            </w:pPr>
          </w:p>
        </w:tc>
        <w:tc>
          <w:tcPr>
            <w:tcW w:w="1614" w:type="dxa"/>
            <w:vAlign w:val="center"/>
          </w:tcPr>
          <w:p w14:paraId="39368683">
            <w:pPr>
              <w:spacing w:line="400" w:lineRule="exact"/>
              <w:jc w:val="center"/>
              <w:rPr>
                <w:rFonts w:ascii="宋体" w:hAnsi="宋体" w:cs="宋体"/>
                <w:b/>
                <w:bCs/>
                <w:color w:val="auto"/>
                <w:sz w:val="24"/>
                <w:szCs w:val="24"/>
                <w:highlight w:val="none"/>
              </w:rPr>
            </w:pPr>
          </w:p>
        </w:tc>
        <w:tc>
          <w:tcPr>
            <w:tcW w:w="1464" w:type="dxa"/>
            <w:vAlign w:val="center"/>
          </w:tcPr>
          <w:p w14:paraId="7BD31A24">
            <w:pPr>
              <w:spacing w:line="400" w:lineRule="exact"/>
              <w:jc w:val="center"/>
              <w:rPr>
                <w:rFonts w:ascii="宋体" w:hAnsi="宋体" w:cs="宋体"/>
                <w:b/>
                <w:bCs/>
                <w:color w:val="auto"/>
                <w:sz w:val="24"/>
                <w:szCs w:val="24"/>
                <w:highlight w:val="none"/>
              </w:rPr>
            </w:pPr>
          </w:p>
        </w:tc>
        <w:tc>
          <w:tcPr>
            <w:tcW w:w="1584" w:type="dxa"/>
          </w:tcPr>
          <w:p w14:paraId="6C9ECD03">
            <w:pPr>
              <w:spacing w:line="400" w:lineRule="exact"/>
              <w:jc w:val="center"/>
              <w:rPr>
                <w:rFonts w:ascii="宋体" w:hAnsi="宋体" w:cs="宋体"/>
                <w:b/>
                <w:bCs/>
                <w:color w:val="auto"/>
                <w:sz w:val="24"/>
                <w:szCs w:val="24"/>
                <w:highlight w:val="none"/>
              </w:rPr>
            </w:pPr>
          </w:p>
        </w:tc>
        <w:tc>
          <w:tcPr>
            <w:tcW w:w="2024" w:type="dxa"/>
          </w:tcPr>
          <w:p w14:paraId="232BE8B3">
            <w:pPr>
              <w:spacing w:line="400" w:lineRule="exact"/>
              <w:jc w:val="center"/>
              <w:rPr>
                <w:rFonts w:ascii="宋体" w:hAnsi="宋体" w:cs="宋体"/>
                <w:b/>
                <w:bCs/>
                <w:color w:val="auto"/>
                <w:sz w:val="24"/>
                <w:szCs w:val="24"/>
                <w:highlight w:val="none"/>
              </w:rPr>
            </w:pPr>
          </w:p>
        </w:tc>
      </w:tr>
      <w:tr w14:paraId="08F4C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768877E0">
            <w:pPr>
              <w:spacing w:line="400" w:lineRule="exact"/>
              <w:jc w:val="center"/>
              <w:rPr>
                <w:rFonts w:ascii="宋体" w:hAnsi="宋体" w:cs="宋体"/>
                <w:b/>
                <w:bCs/>
                <w:color w:val="auto"/>
                <w:sz w:val="24"/>
                <w:szCs w:val="24"/>
                <w:highlight w:val="none"/>
              </w:rPr>
            </w:pPr>
          </w:p>
        </w:tc>
        <w:tc>
          <w:tcPr>
            <w:tcW w:w="1833" w:type="dxa"/>
            <w:vAlign w:val="center"/>
          </w:tcPr>
          <w:p w14:paraId="6C6BD138">
            <w:pPr>
              <w:spacing w:line="400" w:lineRule="exact"/>
              <w:jc w:val="center"/>
              <w:rPr>
                <w:rFonts w:ascii="宋体" w:hAnsi="宋体" w:cs="宋体"/>
                <w:b/>
                <w:bCs/>
                <w:color w:val="auto"/>
                <w:sz w:val="24"/>
                <w:szCs w:val="24"/>
                <w:highlight w:val="none"/>
              </w:rPr>
            </w:pPr>
          </w:p>
        </w:tc>
        <w:tc>
          <w:tcPr>
            <w:tcW w:w="1614" w:type="dxa"/>
            <w:vAlign w:val="center"/>
          </w:tcPr>
          <w:p w14:paraId="7F46537E">
            <w:pPr>
              <w:spacing w:line="400" w:lineRule="exact"/>
              <w:jc w:val="center"/>
              <w:rPr>
                <w:rFonts w:ascii="宋体" w:hAnsi="宋体" w:cs="宋体"/>
                <w:b/>
                <w:bCs/>
                <w:color w:val="auto"/>
                <w:sz w:val="24"/>
                <w:szCs w:val="24"/>
                <w:highlight w:val="none"/>
              </w:rPr>
            </w:pPr>
          </w:p>
        </w:tc>
        <w:tc>
          <w:tcPr>
            <w:tcW w:w="1464" w:type="dxa"/>
            <w:vAlign w:val="center"/>
          </w:tcPr>
          <w:p w14:paraId="47FDF63E">
            <w:pPr>
              <w:spacing w:line="400" w:lineRule="exact"/>
              <w:jc w:val="center"/>
              <w:rPr>
                <w:rFonts w:ascii="宋体" w:hAnsi="宋体" w:cs="宋体"/>
                <w:b/>
                <w:bCs/>
                <w:color w:val="auto"/>
                <w:sz w:val="24"/>
                <w:szCs w:val="24"/>
                <w:highlight w:val="none"/>
              </w:rPr>
            </w:pPr>
          </w:p>
        </w:tc>
        <w:tc>
          <w:tcPr>
            <w:tcW w:w="1584" w:type="dxa"/>
          </w:tcPr>
          <w:p w14:paraId="74DC90E5">
            <w:pPr>
              <w:spacing w:line="400" w:lineRule="exact"/>
              <w:jc w:val="center"/>
              <w:rPr>
                <w:rFonts w:ascii="宋体" w:hAnsi="宋体" w:cs="宋体"/>
                <w:b/>
                <w:bCs/>
                <w:color w:val="auto"/>
                <w:sz w:val="24"/>
                <w:szCs w:val="24"/>
                <w:highlight w:val="none"/>
              </w:rPr>
            </w:pPr>
          </w:p>
        </w:tc>
        <w:tc>
          <w:tcPr>
            <w:tcW w:w="2024" w:type="dxa"/>
          </w:tcPr>
          <w:p w14:paraId="4CAFA25E">
            <w:pPr>
              <w:spacing w:line="400" w:lineRule="exact"/>
              <w:jc w:val="center"/>
              <w:rPr>
                <w:rFonts w:ascii="宋体" w:hAnsi="宋体" w:cs="宋体"/>
                <w:b/>
                <w:bCs/>
                <w:color w:val="auto"/>
                <w:sz w:val="24"/>
                <w:szCs w:val="24"/>
                <w:highlight w:val="none"/>
              </w:rPr>
            </w:pPr>
          </w:p>
        </w:tc>
      </w:tr>
      <w:tr w14:paraId="6C8128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32D036C1">
            <w:pPr>
              <w:spacing w:line="400" w:lineRule="exact"/>
              <w:jc w:val="center"/>
              <w:rPr>
                <w:rFonts w:ascii="宋体" w:hAnsi="宋体" w:cs="宋体"/>
                <w:b/>
                <w:bCs/>
                <w:color w:val="auto"/>
                <w:sz w:val="24"/>
                <w:szCs w:val="24"/>
                <w:highlight w:val="none"/>
              </w:rPr>
            </w:pPr>
          </w:p>
        </w:tc>
        <w:tc>
          <w:tcPr>
            <w:tcW w:w="1833" w:type="dxa"/>
            <w:vAlign w:val="center"/>
          </w:tcPr>
          <w:p w14:paraId="78D15D35">
            <w:pPr>
              <w:spacing w:line="400" w:lineRule="exact"/>
              <w:jc w:val="center"/>
              <w:rPr>
                <w:rFonts w:ascii="宋体" w:hAnsi="宋体" w:cs="宋体"/>
                <w:b/>
                <w:bCs/>
                <w:color w:val="auto"/>
                <w:sz w:val="24"/>
                <w:szCs w:val="24"/>
                <w:highlight w:val="none"/>
              </w:rPr>
            </w:pPr>
          </w:p>
        </w:tc>
        <w:tc>
          <w:tcPr>
            <w:tcW w:w="1614" w:type="dxa"/>
            <w:vAlign w:val="center"/>
          </w:tcPr>
          <w:p w14:paraId="12F1A4F4">
            <w:pPr>
              <w:spacing w:line="400" w:lineRule="exact"/>
              <w:jc w:val="center"/>
              <w:rPr>
                <w:rFonts w:ascii="宋体" w:hAnsi="宋体" w:cs="宋体"/>
                <w:b/>
                <w:bCs/>
                <w:color w:val="auto"/>
                <w:sz w:val="24"/>
                <w:szCs w:val="24"/>
                <w:highlight w:val="none"/>
              </w:rPr>
            </w:pPr>
          </w:p>
        </w:tc>
        <w:tc>
          <w:tcPr>
            <w:tcW w:w="1464" w:type="dxa"/>
            <w:vAlign w:val="center"/>
          </w:tcPr>
          <w:p w14:paraId="5B51F14A">
            <w:pPr>
              <w:spacing w:line="400" w:lineRule="exact"/>
              <w:jc w:val="center"/>
              <w:rPr>
                <w:rFonts w:ascii="宋体" w:hAnsi="宋体" w:cs="宋体"/>
                <w:b/>
                <w:bCs/>
                <w:color w:val="auto"/>
                <w:sz w:val="24"/>
                <w:szCs w:val="24"/>
                <w:highlight w:val="none"/>
              </w:rPr>
            </w:pPr>
          </w:p>
        </w:tc>
        <w:tc>
          <w:tcPr>
            <w:tcW w:w="1584" w:type="dxa"/>
          </w:tcPr>
          <w:p w14:paraId="71A29D1D">
            <w:pPr>
              <w:spacing w:line="400" w:lineRule="exact"/>
              <w:jc w:val="center"/>
              <w:rPr>
                <w:rFonts w:ascii="宋体" w:hAnsi="宋体" w:cs="宋体"/>
                <w:b/>
                <w:bCs/>
                <w:color w:val="auto"/>
                <w:sz w:val="24"/>
                <w:szCs w:val="24"/>
                <w:highlight w:val="none"/>
              </w:rPr>
            </w:pPr>
          </w:p>
        </w:tc>
        <w:tc>
          <w:tcPr>
            <w:tcW w:w="2024" w:type="dxa"/>
          </w:tcPr>
          <w:p w14:paraId="06725DB2">
            <w:pPr>
              <w:spacing w:line="400" w:lineRule="exact"/>
              <w:jc w:val="center"/>
              <w:rPr>
                <w:rFonts w:ascii="宋体" w:hAnsi="宋体" w:cs="宋体"/>
                <w:b/>
                <w:bCs/>
                <w:color w:val="auto"/>
                <w:sz w:val="24"/>
                <w:szCs w:val="24"/>
                <w:highlight w:val="none"/>
              </w:rPr>
            </w:pPr>
          </w:p>
        </w:tc>
      </w:tr>
      <w:tr w14:paraId="0A3694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31F75D0B">
            <w:pPr>
              <w:spacing w:line="400" w:lineRule="exact"/>
              <w:jc w:val="center"/>
              <w:rPr>
                <w:rFonts w:ascii="宋体" w:hAnsi="宋体" w:cs="宋体"/>
                <w:b/>
                <w:bCs/>
                <w:color w:val="auto"/>
                <w:sz w:val="24"/>
                <w:szCs w:val="24"/>
                <w:highlight w:val="none"/>
              </w:rPr>
            </w:pPr>
          </w:p>
        </w:tc>
        <w:tc>
          <w:tcPr>
            <w:tcW w:w="1833" w:type="dxa"/>
            <w:vAlign w:val="center"/>
          </w:tcPr>
          <w:p w14:paraId="79B94B3B">
            <w:pPr>
              <w:spacing w:line="400" w:lineRule="exact"/>
              <w:jc w:val="center"/>
              <w:rPr>
                <w:rFonts w:ascii="宋体" w:hAnsi="宋体" w:cs="宋体"/>
                <w:b/>
                <w:bCs/>
                <w:color w:val="auto"/>
                <w:sz w:val="24"/>
                <w:szCs w:val="24"/>
                <w:highlight w:val="none"/>
              </w:rPr>
            </w:pPr>
          </w:p>
        </w:tc>
        <w:tc>
          <w:tcPr>
            <w:tcW w:w="1614" w:type="dxa"/>
            <w:vAlign w:val="center"/>
          </w:tcPr>
          <w:p w14:paraId="54880746">
            <w:pPr>
              <w:spacing w:line="400" w:lineRule="exact"/>
              <w:jc w:val="center"/>
              <w:rPr>
                <w:rFonts w:ascii="宋体" w:hAnsi="宋体" w:cs="宋体"/>
                <w:b/>
                <w:bCs/>
                <w:color w:val="auto"/>
                <w:sz w:val="24"/>
                <w:szCs w:val="24"/>
                <w:highlight w:val="none"/>
              </w:rPr>
            </w:pPr>
          </w:p>
        </w:tc>
        <w:tc>
          <w:tcPr>
            <w:tcW w:w="1464" w:type="dxa"/>
            <w:vAlign w:val="center"/>
          </w:tcPr>
          <w:p w14:paraId="018BF78D">
            <w:pPr>
              <w:spacing w:line="400" w:lineRule="exact"/>
              <w:jc w:val="center"/>
              <w:rPr>
                <w:rFonts w:ascii="宋体" w:hAnsi="宋体" w:cs="宋体"/>
                <w:b/>
                <w:bCs/>
                <w:color w:val="auto"/>
                <w:sz w:val="24"/>
                <w:szCs w:val="24"/>
                <w:highlight w:val="none"/>
              </w:rPr>
            </w:pPr>
          </w:p>
        </w:tc>
        <w:tc>
          <w:tcPr>
            <w:tcW w:w="1584" w:type="dxa"/>
          </w:tcPr>
          <w:p w14:paraId="71A49E02">
            <w:pPr>
              <w:spacing w:line="400" w:lineRule="exact"/>
              <w:jc w:val="center"/>
              <w:rPr>
                <w:rFonts w:ascii="宋体" w:hAnsi="宋体" w:cs="宋体"/>
                <w:b/>
                <w:bCs/>
                <w:color w:val="auto"/>
                <w:sz w:val="24"/>
                <w:szCs w:val="24"/>
                <w:highlight w:val="none"/>
              </w:rPr>
            </w:pPr>
          </w:p>
        </w:tc>
        <w:tc>
          <w:tcPr>
            <w:tcW w:w="2024" w:type="dxa"/>
          </w:tcPr>
          <w:p w14:paraId="534E9F00">
            <w:pPr>
              <w:spacing w:line="400" w:lineRule="exact"/>
              <w:jc w:val="center"/>
              <w:rPr>
                <w:rFonts w:ascii="宋体" w:hAnsi="宋体" w:cs="宋体"/>
                <w:b/>
                <w:bCs/>
                <w:color w:val="auto"/>
                <w:sz w:val="24"/>
                <w:szCs w:val="24"/>
                <w:highlight w:val="none"/>
              </w:rPr>
            </w:pPr>
          </w:p>
        </w:tc>
      </w:tr>
      <w:tr w14:paraId="6C2430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6ADE44C7">
            <w:pPr>
              <w:spacing w:line="400" w:lineRule="exact"/>
              <w:jc w:val="center"/>
              <w:rPr>
                <w:rFonts w:ascii="宋体" w:hAnsi="宋体" w:cs="宋体"/>
                <w:b/>
                <w:bCs/>
                <w:color w:val="auto"/>
                <w:sz w:val="24"/>
                <w:szCs w:val="24"/>
                <w:highlight w:val="none"/>
              </w:rPr>
            </w:pPr>
          </w:p>
        </w:tc>
        <w:tc>
          <w:tcPr>
            <w:tcW w:w="1833" w:type="dxa"/>
            <w:vAlign w:val="center"/>
          </w:tcPr>
          <w:p w14:paraId="6C01715D">
            <w:pPr>
              <w:spacing w:line="400" w:lineRule="exact"/>
              <w:jc w:val="center"/>
              <w:rPr>
                <w:rFonts w:ascii="宋体" w:hAnsi="宋体" w:cs="宋体"/>
                <w:b/>
                <w:bCs/>
                <w:color w:val="auto"/>
                <w:sz w:val="24"/>
                <w:szCs w:val="24"/>
                <w:highlight w:val="none"/>
              </w:rPr>
            </w:pPr>
          </w:p>
        </w:tc>
        <w:tc>
          <w:tcPr>
            <w:tcW w:w="1614" w:type="dxa"/>
            <w:vAlign w:val="center"/>
          </w:tcPr>
          <w:p w14:paraId="0E66EC5B">
            <w:pPr>
              <w:spacing w:line="400" w:lineRule="exact"/>
              <w:jc w:val="center"/>
              <w:rPr>
                <w:rFonts w:ascii="宋体" w:hAnsi="宋体" w:cs="宋体"/>
                <w:b/>
                <w:bCs/>
                <w:color w:val="auto"/>
                <w:sz w:val="24"/>
                <w:szCs w:val="24"/>
                <w:highlight w:val="none"/>
              </w:rPr>
            </w:pPr>
          </w:p>
        </w:tc>
        <w:tc>
          <w:tcPr>
            <w:tcW w:w="1464" w:type="dxa"/>
            <w:vAlign w:val="center"/>
          </w:tcPr>
          <w:p w14:paraId="1D86245F">
            <w:pPr>
              <w:spacing w:line="400" w:lineRule="exact"/>
              <w:jc w:val="center"/>
              <w:rPr>
                <w:rFonts w:ascii="宋体" w:hAnsi="宋体" w:cs="宋体"/>
                <w:b/>
                <w:bCs/>
                <w:color w:val="auto"/>
                <w:sz w:val="24"/>
                <w:szCs w:val="24"/>
                <w:highlight w:val="none"/>
              </w:rPr>
            </w:pPr>
          </w:p>
        </w:tc>
        <w:tc>
          <w:tcPr>
            <w:tcW w:w="1584" w:type="dxa"/>
          </w:tcPr>
          <w:p w14:paraId="3E2E04AA">
            <w:pPr>
              <w:spacing w:line="400" w:lineRule="exact"/>
              <w:jc w:val="center"/>
              <w:rPr>
                <w:rFonts w:ascii="宋体" w:hAnsi="宋体" w:cs="宋体"/>
                <w:b/>
                <w:bCs/>
                <w:color w:val="auto"/>
                <w:sz w:val="24"/>
                <w:szCs w:val="24"/>
                <w:highlight w:val="none"/>
              </w:rPr>
            </w:pPr>
          </w:p>
        </w:tc>
        <w:tc>
          <w:tcPr>
            <w:tcW w:w="2024" w:type="dxa"/>
          </w:tcPr>
          <w:p w14:paraId="0675B16C">
            <w:pPr>
              <w:spacing w:line="400" w:lineRule="exact"/>
              <w:jc w:val="center"/>
              <w:rPr>
                <w:rFonts w:ascii="宋体" w:hAnsi="宋体" w:cs="宋体"/>
                <w:b/>
                <w:bCs/>
                <w:color w:val="auto"/>
                <w:sz w:val="24"/>
                <w:szCs w:val="24"/>
                <w:highlight w:val="none"/>
              </w:rPr>
            </w:pPr>
          </w:p>
        </w:tc>
      </w:tr>
      <w:tr w14:paraId="66B3F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4366C95E">
            <w:pPr>
              <w:spacing w:line="400" w:lineRule="exact"/>
              <w:jc w:val="center"/>
              <w:rPr>
                <w:rFonts w:ascii="宋体" w:hAnsi="宋体" w:cs="宋体"/>
                <w:b/>
                <w:bCs/>
                <w:color w:val="auto"/>
                <w:sz w:val="24"/>
                <w:szCs w:val="24"/>
                <w:highlight w:val="none"/>
              </w:rPr>
            </w:pPr>
          </w:p>
        </w:tc>
        <w:tc>
          <w:tcPr>
            <w:tcW w:w="1833" w:type="dxa"/>
            <w:vAlign w:val="center"/>
          </w:tcPr>
          <w:p w14:paraId="5947EDA5">
            <w:pPr>
              <w:spacing w:line="400" w:lineRule="exact"/>
              <w:jc w:val="center"/>
              <w:rPr>
                <w:rFonts w:ascii="宋体" w:hAnsi="宋体" w:cs="宋体"/>
                <w:b/>
                <w:bCs/>
                <w:color w:val="auto"/>
                <w:sz w:val="24"/>
                <w:szCs w:val="24"/>
                <w:highlight w:val="none"/>
              </w:rPr>
            </w:pPr>
          </w:p>
        </w:tc>
        <w:tc>
          <w:tcPr>
            <w:tcW w:w="1614" w:type="dxa"/>
            <w:vAlign w:val="center"/>
          </w:tcPr>
          <w:p w14:paraId="3774AC42">
            <w:pPr>
              <w:spacing w:line="400" w:lineRule="exact"/>
              <w:jc w:val="center"/>
              <w:rPr>
                <w:rFonts w:ascii="宋体" w:hAnsi="宋体" w:cs="宋体"/>
                <w:b/>
                <w:bCs/>
                <w:color w:val="auto"/>
                <w:sz w:val="24"/>
                <w:szCs w:val="24"/>
                <w:highlight w:val="none"/>
              </w:rPr>
            </w:pPr>
          </w:p>
        </w:tc>
        <w:tc>
          <w:tcPr>
            <w:tcW w:w="1464" w:type="dxa"/>
            <w:vAlign w:val="center"/>
          </w:tcPr>
          <w:p w14:paraId="1201273D">
            <w:pPr>
              <w:spacing w:line="400" w:lineRule="exact"/>
              <w:jc w:val="center"/>
              <w:rPr>
                <w:rFonts w:ascii="宋体" w:hAnsi="宋体" w:cs="宋体"/>
                <w:b/>
                <w:bCs/>
                <w:color w:val="auto"/>
                <w:sz w:val="24"/>
                <w:szCs w:val="24"/>
                <w:highlight w:val="none"/>
              </w:rPr>
            </w:pPr>
          </w:p>
        </w:tc>
        <w:tc>
          <w:tcPr>
            <w:tcW w:w="1584" w:type="dxa"/>
          </w:tcPr>
          <w:p w14:paraId="514AF8AB">
            <w:pPr>
              <w:spacing w:line="400" w:lineRule="exact"/>
              <w:jc w:val="center"/>
              <w:rPr>
                <w:rFonts w:ascii="宋体" w:hAnsi="宋体" w:cs="宋体"/>
                <w:b/>
                <w:bCs/>
                <w:color w:val="auto"/>
                <w:sz w:val="24"/>
                <w:szCs w:val="24"/>
                <w:highlight w:val="none"/>
              </w:rPr>
            </w:pPr>
          </w:p>
        </w:tc>
        <w:tc>
          <w:tcPr>
            <w:tcW w:w="2024" w:type="dxa"/>
          </w:tcPr>
          <w:p w14:paraId="4432AA16">
            <w:pPr>
              <w:spacing w:line="400" w:lineRule="exact"/>
              <w:jc w:val="center"/>
              <w:rPr>
                <w:rFonts w:ascii="宋体" w:hAnsi="宋体" w:cs="宋体"/>
                <w:b/>
                <w:bCs/>
                <w:color w:val="auto"/>
                <w:sz w:val="24"/>
                <w:szCs w:val="24"/>
                <w:highlight w:val="none"/>
              </w:rPr>
            </w:pPr>
          </w:p>
        </w:tc>
      </w:tr>
      <w:tr w14:paraId="2A5F2B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2066F5D1">
            <w:pPr>
              <w:spacing w:line="400" w:lineRule="exact"/>
              <w:jc w:val="center"/>
              <w:rPr>
                <w:rFonts w:ascii="宋体" w:hAnsi="宋体" w:cs="宋体"/>
                <w:b/>
                <w:bCs/>
                <w:color w:val="auto"/>
                <w:sz w:val="24"/>
                <w:szCs w:val="24"/>
                <w:highlight w:val="none"/>
              </w:rPr>
            </w:pPr>
          </w:p>
        </w:tc>
        <w:tc>
          <w:tcPr>
            <w:tcW w:w="1833" w:type="dxa"/>
            <w:vAlign w:val="center"/>
          </w:tcPr>
          <w:p w14:paraId="28F126B3">
            <w:pPr>
              <w:spacing w:line="400" w:lineRule="exact"/>
              <w:jc w:val="center"/>
              <w:rPr>
                <w:rFonts w:ascii="宋体" w:hAnsi="宋体" w:cs="宋体"/>
                <w:b/>
                <w:bCs/>
                <w:color w:val="auto"/>
                <w:sz w:val="24"/>
                <w:szCs w:val="24"/>
                <w:highlight w:val="none"/>
              </w:rPr>
            </w:pPr>
          </w:p>
        </w:tc>
        <w:tc>
          <w:tcPr>
            <w:tcW w:w="1614" w:type="dxa"/>
            <w:vAlign w:val="center"/>
          </w:tcPr>
          <w:p w14:paraId="4666575A">
            <w:pPr>
              <w:spacing w:line="400" w:lineRule="exact"/>
              <w:jc w:val="center"/>
              <w:rPr>
                <w:rFonts w:ascii="宋体" w:hAnsi="宋体" w:cs="宋体"/>
                <w:b/>
                <w:bCs/>
                <w:color w:val="auto"/>
                <w:sz w:val="24"/>
                <w:szCs w:val="24"/>
                <w:highlight w:val="none"/>
              </w:rPr>
            </w:pPr>
          </w:p>
        </w:tc>
        <w:tc>
          <w:tcPr>
            <w:tcW w:w="1464" w:type="dxa"/>
            <w:vAlign w:val="center"/>
          </w:tcPr>
          <w:p w14:paraId="5F31E59F">
            <w:pPr>
              <w:spacing w:line="400" w:lineRule="exact"/>
              <w:jc w:val="center"/>
              <w:rPr>
                <w:rFonts w:ascii="宋体" w:hAnsi="宋体" w:cs="宋体"/>
                <w:b/>
                <w:bCs/>
                <w:color w:val="auto"/>
                <w:sz w:val="24"/>
                <w:szCs w:val="24"/>
                <w:highlight w:val="none"/>
              </w:rPr>
            </w:pPr>
          </w:p>
        </w:tc>
        <w:tc>
          <w:tcPr>
            <w:tcW w:w="1584" w:type="dxa"/>
          </w:tcPr>
          <w:p w14:paraId="1842DB02">
            <w:pPr>
              <w:spacing w:line="400" w:lineRule="exact"/>
              <w:jc w:val="center"/>
              <w:rPr>
                <w:rFonts w:ascii="宋体" w:hAnsi="宋体" w:cs="宋体"/>
                <w:b/>
                <w:bCs/>
                <w:color w:val="auto"/>
                <w:sz w:val="24"/>
                <w:szCs w:val="24"/>
                <w:highlight w:val="none"/>
              </w:rPr>
            </w:pPr>
          </w:p>
        </w:tc>
        <w:tc>
          <w:tcPr>
            <w:tcW w:w="2024" w:type="dxa"/>
          </w:tcPr>
          <w:p w14:paraId="57D891D3">
            <w:pPr>
              <w:spacing w:line="400" w:lineRule="exact"/>
              <w:jc w:val="center"/>
              <w:rPr>
                <w:rFonts w:ascii="宋体" w:hAnsi="宋体" w:cs="宋体"/>
                <w:b/>
                <w:bCs/>
                <w:color w:val="auto"/>
                <w:sz w:val="24"/>
                <w:szCs w:val="24"/>
                <w:highlight w:val="none"/>
              </w:rPr>
            </w:pPr>
          </w:p>
        </w:tc>
      </w:tr>
      <w:tr w14:paraId="4FD81F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2002DAE1">
            <w:pPr>
              <w:spacing w:line="400" w:lineRule="exact"/>
              <w:jc w:val="center"/>
              <w:rPr>
                <w:rFonts w:ascii="宋体" w:hAnsi="宋体" w:cs="宋体"/>
                <w:b/>
                <w:bCs/>
                <w:color w:val="auto"/>
                <w:sz w:val="24"/>
                <w:szCs w:val="24"/>
                <w:highlight w:val="none"/>
              </w:rPr>
            </w:pPr>
          </w:p>
        </w:tc>
        <w:tc>
          <w:tcPr>
            <w:tcW w:w="1833" w:type="dxa"/>
            <w:vAlign w:val="center"/>
          </w:tcPr>
          <w:p w14:paraId="28939EB7">
            <w:pPr>
              <w:spacing w:line="400" w:lineRule="exact"/>
              <w:jc w:val="center"/>
              <w:rPr>
                <w:rFonts w:ascii="宋体" w:hAnsi="宋体" w:cs="宋体"/>
                <w:b/>
                <w:bCs/>
                <w:color w:val="auto"/>
                <w:sz w:val="24"/>
                <w:szCs w:val="24"/>
                <w:highlight w:val="none"/>
              </w:rPr>
            </w:pPr>
          </w:p>
        </w:tc>
        <w:tc>
          <w:tcPr>
            <w:tcW w:w="1614" w:type="dxa"/>
            <w:vAlign w:val="center"/>
          </w:tcPr>
          <w:p w14:paraId="423C9611">
            <w:pPr>
              <w:spacing w:line="400" w:lineRule="exact"/>
              <w:jc w:val="center"/>
              <w:rPr>
                <w:rFonts w:ascii="宋体" w:hAnsi="宋体" w:cs="宋体"/>
                <w:b/>
                <w:bCs/>
                <w:color w:val="auto"/>
                <w:sz w:val="24"/>
                <w:szCs w:val="24"/>
                <w:highlight w:val="none"/>
              </w:rPr>
            </w:pPr>
          </w:p>
        </w:tc>
        <w:tc>
          <w:tcPr>
            <w:tcW w:w="1464" w:type="dxa"/>
            <w:vAlign w:val="center"/>
          </w:tcPr>
          <w:p w14:paraId="2955DDDF">
            <w:pPr>
              <w:spacing w:line="400" w:lineRule="exact"/>
              <w:jc w:val="center"/>
              <w:rPr>
                <w:rFonts w:ascii="宋体" w:hAnsi="宋体" w:cs="宋体"/>
                <w:b/>
                <w:bCs/>
                <w:color w:val="auto"/>
                <w:sz w:val="24"/>
                <w:szCs w:val="24"/>
                <w:highlight w:val="none"/>
              </w:rPr>
            </w:pPr>
          </w:p>
        </w:tc>
        <w:tc>
          <w:tcPr>
            <w:tcW w:w="1584" w:type="dxa"/>
          </w:tcPr>
          <w:p w14:paraId="5E2D89BA">
            <w:pPr>
              <w:spacing w:line="400" w:lineRule="exact"/>
              <w:jc w:val="center"/>
              <w:rPr>
                <w:rFonts w:ascii="宋体" w:hAnsi="宋体" w:cs="宋体"/>
                <w:b/>
                <w:bCs/>
                <w:color w:val="auto"/>
                <w:sz w:val="24"/>
                <w:szCs w:val="24"/>
                <w:highlight w:val="none"/>
              </w:rPr>
            </w:pPr>
          </w:p>
        </w:tc>
        <w:tc>
          <w:tcPr>
            <w:tcW w:w="2024" w:type="dxa"/>
          </w:tcPr>
          <w:p w14:paraId="14099CFC">
            <w:pPr>
              <w:spacing w:line="400" w:lineRule="exact"/>
              <w:jc w:val="center"/>
              <w:rPr>
                <w:rFonts w:ascii="宋体" w:hAnsi="宋体" w:cs="宋体"/>
                <w:b/>
                <w:bCs/>
                <w:color w:val="auto"/>
                <w:sz w:val="24"/>
                <w:szCs w:val="24"/>
                <w:highlight w:val="none"/>
              </w:rPr>
            </w:pPr>
          </w:p>
        </w:tc>
      </w:tr>
      <w:tr w14:paraId="46AC1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55" w:type="dxa"/>
            <w:vAlign w:val="center"/>
          </w:tcPr>
          <w:p w14:paraId="312C15B5">
            <w:pPr>
              <w:spacing w:line="400" w:lineRule="exact"/>
              <w:jc w:val="center"/>
              <w:rPr>
                <w:rFonts w:ascii="宋体" w:hAnsi="宋体" w:cs="宋体"/>
                <w:b/>
                <w:bCs/>
                <w:color w:val="auto"/>
                <w:sz w:val="24"/>
                <w:szCs w:val="24"/>
                <w:highlight w:val="none"/>
              </w:rPr>
            </w:pPr>
          </w:p>
        </w:tc>
        <w:tc>
          <w:tcPr>
            <w:tcW w:w="1833" w:type="dxa"/>
            <w:vAlign w:val="center"/>
          </w:tcPr>
          <w:p w14:paraId="03498E62">
            <w:pPr>
              <w:spacing w:line="400" w:lineRule="exact"/>
              <w:jc w:val="center"/>
              <w:rPr>
                <w:rFonts w:ascii="宋体" w:hAnsi="宋体" w:cs="宋体"/>
                <w:b/>
                <w:bCs/>
                <w:color w:val="auto"/>
                <w:sz w:val="24"/>
                <w:szCs w:val="24"/>
                <w:highlight w:val="none"/>
              </w:rPr>
            </w:pPr>
          </w:p>
        </w:tc>
        <w:tc>
          <w:tcPr>
            <w:tcW w:w="1614" w:type="dxa"/>
            <w:vAlign w:val="center"/>
          </w:tcPr>
          <w:p w14:paraId="37E7FFF9">
            <w:pPr>
              <w:spacing w:line="400" w:lineRule="exact"/>
              <w:jc w:val="center"/>
              <w:rPr>
                <w:rFonts w:ascii="宋体" w:hAnsi="宋体" w:cs="宋体"/>
                <w:b/>
                <w:bCs/>
                <w:color w:val="auto"/>
                <w:sz w:val="24"/>
                <w:szCs w:val="24"/>
                <w:highlight w:val="none"/>
              </w:rPr>
            </w:pPr>
          </w:p>
        </w:tc>
        <w:tc>
          <w:tcPr>
            <w:tcW w:w="1464" w:type="dxa"/>
            <w:vAlign w:val="center"/>
          </w:tcPr>
          <w:p w14:paraId="5A53BA0A">
            <w:pPr>
              <w:spacing w:line="400" w:lineRule="exact"/>
              <w:jc w:val="center"/>
              <w:rPr>
                <w:rFonts w:ascii="宋体" w:hAnsi="宋体" w:cs="宋体"/>
                <w:b/>
                <w:bCs/>
                <w:color w:val="auto"/>
                <w:sz w:val="24"/>
                <w:szCs w:val="24"/>
                <w:highlight w:val="none"/>
              </w:rPr>
            </w:pPr>
          </w:p>
        </w:tc>
        <w:tc>
          <w:tcPr>
            <w:tcW w:w="1584" w:type="dxa"/>
          </w:tcPr>
          <w:p w14:paraId="59150685">
            <w:pPr>
              <w:spacing w:line="400" w:lineRule="exact"/>
              <w:jc w:val="center"/>
              <w:rPr>
                <w:rFonts w:ascii="宋体" w:hAnsi="宋体" w:cs="宋体"/>
                <w:b/>
                <w:bCs/>
                <w:color w:val="auto"/>
                <w:sz w:val="24"/>
                <w:szCs w:val="24"/>
                <w:highlight w:val="none"/>
              </w:rPr>
            </w:pPr>
          </w:p>
        </w:tc>
        <w:tc>
          <w:tcPr>
            <w:tcW w:w="2024" w:type="dxa"/>
          </w:tcPr>
          <w:p w14:paraId="16A803F2">
            <w:pPr>
              <w:spacing w:line="400" w:lineRule="exact"/>
              <w:jc w:val="center"/>
              <w:rPr>
                <w:rFonts w:ascii="宋体" w:hAnsi="宋体" w:cs="宋体"/>
                <w:b/>
                <w:bCs/>
                <w:color w:val="auto"/>
                <w:sz w:val="24"/>
                <w:szCs w:val="24"/>
                <w:highlight w:val="none"/>
              </w:rPr>
            </w:pPr>
          </w:p>
        </w:tc>
      </w:tr>
    </w:tbl>
    <w:p w14:paraId="52E47629">
      <w:pPr>
        <w:spacing w:line="400" w:lineRule="exact"/>
        <w:ind w:left="647" w:hanging="646" w:hangingChars="294"/>
        <w:rPr>
          <w:rFonts w:ascii="宋体" w:hAnsi="宋体" w:cs="宋体"/>
          <w:color w:val="auto"/>
          <w:sz w:val="22"/>
          <w:highlight w:val="none"/>
        </w:rPr>
      </w:pPr>
      <w:r>
        <w:rPr>
          <w:rFonts w:hint="eastAsia" w:ascii="宋体" w:hAnsi="宋体" w:cs="宋体"/>
          <w:color w:val="auto"/>
          <w:sz w:val="22"/>
          <w:highlight w:val="none"/>
        </w:rPr>
        <w:t>备注：证明材料附后</w:t>
      </w:r>
    </w:p>
    <w:p w14:paraId="2195EFB1">
      <w:pPr>
        <w:widowControl/>
        <w:spacing w:line="400" w:lineRule="exact"/>
        <w:rPr>
          <w:rFonts w:ascii="宋体" w:hAnsi="宋体" w:cs="宋体"/>
          <w:color w:val="auto"/>
          <w:kern w:val="0"/>
          <w:sz w:val="22"/>
          <w:highlight w:val="none"/>
        </w:rPr>
      </w:pPr>
    </w:p>
    <w:p w14:paraId="10192941">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30504ED2">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13ECAE93">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79F20089">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540B7E61">
      <w:pPr>
        <w:spacing w:line="400" w:lineRule="exact"/>
        <w:rPr>
          <w:rFonts w:ascii="宋体" w:hAnsi="宋体" w:cs="宋体"/>
          <w:b/>
          <w:color w:val="auto"/>
          <w:szCs w:val="24"/>
          <w:highlight w:val="none"/>
        </w:rPr>
      </w:pPr>
      <w:r>
        <w:rPr>
          <w:rFonts w:hint="eastAsia" w:ascii="宋体" w:hAnsi="宋体" w:cs="宋体"/>
          <w:b/>
          <w:color w:val="auto"/>
          <w:sz w:val="24"/>
          <w:szCs w:val="24"/>
          <w:highlight w:val="none"/>
        </w:rPr>
        <w:t>附件10</w:t>
      </w:r>
    </w:p>
    <w:p w14:paraId="57FC3DC2">
      <w:pPr>
        <w:spacing w:line="400" w:lineRule="exact"/>
        <w:jc w:val="center"/>
        <w:rPr>
          <w:rFonts w:ascii="宋体" w:hAnsi="宋体" w:cs="宋体"/>
          <w:b/>
          <w:color w:val="auto"/>
          <w:sz w:val="24"/>
          <w:szCs w:val="24"/>
          <w:highlight w:val="none"/>
        </w:rPr>
      </w:pPr>
      <w:r>
        <w:rPr>
          <w:rFonts w:hint="eastAsia" w:ascii="宋体" w:hAnsi="宋体" w:cs="宋体"/>
          <w:b/>
          <w:color w:val="auto"/>
          <w:sz w:val="28"/>
          <w:szCs w:val="28"/>
          <w:highlight w:val="none"/>
        </w:rPr>
        <w:t>采购需求偏离表</w:t>
      </w:r>
    </w:p>
    <w:p w14:paraId="02DA123F">
      <w:pPr>
        <w:pStyle w:val="15"/>
        <w:spacing w:after="0" w:line="400" w:lineRule="exact"/>
        <w:ind w:left="0" w:leftChars="0" w:right="1470"/>
        <w:rPr>
          <w:rFonts w:ascii="宋体" w:hAnsi="宋体" w:cs="宋体"/>
          <w:color w:val="auto"/>
          <w:sz w:val="22"/>
          <w:highlight w:val="none"/>
        </w:rPr>
      </w:pPr>
      <w:r>
        <w:rPr>
          <w:rFonts w:hint="eastAsia" w:ascii="宋体" w:hAnsi="宋体" w:cs="宋体"/>
          <w:b/>
          <w:color w:val="auto"/>
          <w:sz w:val="22"/>
          <w:highlight w:val="none"/>
        </w:rPr>
        <w:t xml:space="preserve">项目名称：                                                项目编号：                  </w:t>
      </w:r>
    </w:p>
    <w:tbl>
      <w:tblPr>
        <w:tblStyle w:val="33"/>
        <w:tblW w:w="9285"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56"/>
        <w:gridCol w:w="3219"/>
        <w:gridCol w:w="1822"/>
        <w:gridCol w:w="1898"/>
      </w:tblGrid>
      <w:tr w14:paraId="083F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2FABB67">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序号</w:t>
            </w:r>
          </w:p>
        </w:tc>
        <w:tc>
          <w:tcPr>
            <w:tcW w:w="1656" w:type="dxa"/>
            <w:vAlign w:val="center"/>
          </w:tcPr>
          <w:p w14:paraId="67F420F4">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招标文件要求</w:t>
            </w:r>
          </w:p>
        </w:tc>
        <w:tc>
          <w:tcPr>
            <w:tcW w:w="3219" w:type="dxa"/>
            <w:vAlign w:val="center"/>
          </w:tcPr>
          <w:p w14:paraId="1BA12CDF">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投标文件对应规范</w:t>
            </w:r>
          </w:p>
        </w:tc>
        <w:tc>
          <w:tcPr>
            <w:tcW w:w="1822" w:type="dxa"/>
            <w:vAlign w:val="center"/>
          </w:tcPr>
          <w:p w14:paraId="114318FE">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是否偏离</w:t>
            </w:r>
          </w:p>
          <w:p w14:paraId="562281AB">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（提供说明）</w:t>
            </w:r>
          </w:p>
        </w:tc>
        <w:tc>
          <w:tcPr>
            <w:tcW w:w="1898" w:type="dxa"/>
            <w:vAlign w:val="center"/>
          </w:tcPr>
          <w:p w14:paraId="04D55C36">
            <w:pPr>
              <w:snapToGrid w:val="0"/>
              <w:spacing w:line="400" w:lineRule="exact"/>
              <w:jc w:val="center"/>
              <w:rPr>
                <w:rFonts w:ascii="宋体" w:hAnsi="宋体" w:cs="宋体"/>
                <w:b/>
                <w:color w:val="auto"/>
                <w:spacing w:val="-6"/>
                <w:sz w:val="22"/>
                <w:highlight w:val="none"/>
              </w:rPr>
            </w:pPr>
            <w:r>
              <w:rPr>
                <w:rFonts w:hint="eastAsia" w:ascii="宋体" w:hAnsi="宋体" w:cs="宋体"/>
                <w:b/>
                <w:color w:val="auto"/>
                <w:spacing w:val="-6"/>
                <w:sz w:val="22"/>
                <w:highlight w:val="none"/>
              </w:rPr>
              <w:t>要求提供的证明材料页码</w:t>
            </w:r>
          </w:p>
        </w:tc>
      </w:tr>
      <w:tr w14:paraId="35E8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7954665E">
            <w:pPr>
              <w:snapToGrid w:val="0"/>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商务要求</w:t>
            </w:r>
          </w:p>
        </w:tc>
      </w:tr>
      <w:tr w14:paraId="4FE4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382B84">
            <w:pPr>
              <w:snapToGrid w:val="0"/>
              <w:spacing w:line="400" w:lineRule="exact"/>
              <w:jc w:val="center"/>
              <w:rPr>
                <w:rFonts w:ascii="宋体" w:hAnsi="宋体" w:cs="宋体"/>
                <w:color w:val="auto"/>
                <w:spacing w:val="-6"/>
                <w:sz w:val="24"/>
                <w:highlight w:val="none"/>
              </w:rPr>
            </w:pPr>
          </w:p>
        </w:tc>
        <w:tc>
          <w:tcPr>
            <w:tcW w:w="1656" w:type="dxa"/>
            <w:vAlign w:val="center"/>
          </w:tcPr>
          <w:p w14:paraId="5FEA29F0">
            <w:pPr>
              <w:snapToGrid w:val="0"/>
              <w:spacing w:line="400" w:lineRule="exact"/>
              <w:jc w:val="center"/>
              <w:rPr>
                <w:rFonts w:ascii="宋体" w:hAnsi="宋体" w:cs="宋体"/>
                <w:color w:val="auto"/>
                <w:spacing w:val="-6"/>
                <w:sz w:val="24"/>
                <w:highlight w:val="none"/>
              </w:rPr>
            </w:pPr>
          </w:p>
        </w:tc>
        <w:tc>
          <w:tcPr>
            <w:tcW w:w="3219" w:type="dxa"/>
            <w:vAlign w:val="center"/>
          </w:tcPr>
          <w:p w14:paraId="3557C4DD">
            <w:pPr>
              <w:snapToGrid w:val="0"/>
              <w:spacing w:line="400" w:lineRule="exact"/>
              <w:jc w:val="center"/>
              <w:rPr>
                <w:rFonts w:ascii="宋体" w:hAnsi="宋体" w:cs="宋体"/>
                <w:color w:val="auto"/>
                <w:spacing w:val="-6"/>
                <w:sz w:val="24"/>
                <w:highlight w:val="none"/>
              </w:rPr>
            </w:pPr>
          </w:p>
        </w:tc>
        <w:tc>
          <w:tcPr>
            <w:tcW w:w="1822" w:type="dxa"/>
            <w:vAlign w:val="center"/>
          </w:tcPr>
          <w:p w14:paraId="0328229D">
            <w:pPr>
              <w:snapToGrid w:val="0"/>
              <w:spacing w:line="400" w:lineRule="exact"/>
              <w:jc w:val="center"/>
              <w:rPr>
                <w:rFonts w:ascii="宋体" w:hAnsi="宋体" w:cs="宋体"/>
                <w:color w:val="auto"/>
                <w:spacing w:val="-6"/>
                <w:sz w:val="24"/>
                <w:highlight w:val="none"/>
              </w:rPr>
            </w:pPr>
          </w:p>
        </w:tc>
        <w:tc>
          <w:tcPr>
            <w:tcW w:w="1898" w:type="dxa"/>
            <w:vAlign w:val="center"/>
          </w:tcPr>
          <w:p w14:paraId="35C489B9">
            <w:pPr>
              <w:snapToGrid w:val="0"/>
              <w:spacing w:line="400" w:lineRule="exact"/>
              <w:jc w:val="center"/>
              <w:rPr>
                <w:rFonts w:ascii="宋体" w:hAnsi="宋体" w:cs="宋体"/>
                <w:color w:val="auto"/>
                <w:spacing w:val="-6"/>
                <w:sz w:val="24"/>
                <w:highlight w:val="none"/>
              </w:rPr>
            </w:pPr>
          </w:p>
        </w:tc>
      </w:tr>
      <w:tr w14:paraId="4335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3F3657B">
            <w:pPr>
              <w:snapToGrid w:val="0"/>
              <w:spacing w:line="400" w:lineRule="exact"/>
              <w:jc w:val="center"/>
              <w:rPr>
                <w:rFonts w:ascii="宋体" w:hAnsi="宋体" w:cs="宋体"/>
                <w:color w:val="auto"/>
                <w:spacing w:val="-6"/>
                <w:sz w:val="24"/>
                <w:highlight w:val="none"/>
              </w:rPr>
            </w:pPr>
          </w:p>
        </w:tc>
        <w:tc>
          <w:tcPr>
            <w:tcW w:w="1656" w:type="dxa"/>
            <w:vAlign w:val="center"/>
          </w:tcPr>
          <w:p w14:paraId="2B88D542">
            <w:pPr>
              <w:snapToGrid w:val="0"/>
              <w:spacing w:line="400" w:lineRule="exact"/>
              <w:jc w:val="center"/>
              <w:rPr>
                <w:rFonts w:ascii="宋体" w:hAnsi="宋体" w:cs="宋体"/>
                <w:color w:val="auto"/>
                <w:spacing w:val="-6"/>
                <w:sz w:val="24"/>
                <w:highlight w:val="none"/>
              </w:rPr>
            </w:pPr>
          </w:p>
        </w:tc>
        <w:tc>
          <w:tcPr>
            <w:tcW w:w="3219" w:type="dxa"/>
            <w:vAlign w:val="center"/>
          </w:tcPr>
          <w:p w14:paraId="3B6A19F2">
            <w:pPr>
              <w:snapToGrid w:val="0"/>
              <w:spacing w:line="400" w:lineRule="exact"/>
              <w:jc w:val="center"/>
              <w:rPr>
                <w:rFonts w:ascii="宋体" w:hAnsi="宋体" w:cs="宋体"/>
                <w:color w:val="auto"/>
                <w:spacing w:val="-6"/>
                <w:sz w:val="24"/>
                <w:highlight w:val="none"/>
              </w:rPr>
            </w:pPr>
          </w:p>
        </w:tc>
        <w:tc>
          <w:tcPr>
            <w:tcW w:w="1822" w:type="dxa"/>
            <w:vAlign w:val="center"/>
          </w:tcPr>
          <w:p w14:paraId="70723200">
            <w:pPr>
              <w:snapToGrid w:val="0"/>
              <w:spacing w:line="400" w:lineRule="exact"/>
              <w:jc w:val="center"/>
              <w:rPr>
                <w:rFonts w:ascii="宋体" w:hAnsi="宋体" w:cs="宋体"/>
                <w:color w:val="auto"/>
                <w:spacing w:val="-6"/>
                <w:sz w:val="24"/>
                <w:highlight w:val="none"/>
              </w:rPr>
            </w:pPr>
          </w:p>
        </w:tc>
        <w:tc>
          <w:tcPr>
            <w:tcW w:w="1898" w:type="dxa"/>
            <w:vAlign w:val="center"/>
          </w:tcPr>
          <w:p w14:paraId="67F52914">
            <w:pPr>
              <w:snapToGrid w:val="0"/>
              <w:spacing w:line="400" w:lineRule="exact"/>
              <w:jc w:val="center"/>
              <w:rPr>
                <w:rFonts w:ascii="宋体" w:hAnsi="宋体" w:cs="宋体"/>
                <w:color w:val="auto"/>
                <w:spacing w:val="-6"/>
                <w:sz w:val="24"/>
                <w:highlight w:val="none"/>
              </w:rPr>
            </w:pPr>
          </w:p>
        </w:tc>
      </w:tr>
      <w:tr w14:paraId="45F7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26DF59">
            <w:pPr>
              <w:snapToGrid w:val="0"/>
              <w:spacing w:line="400" w:lineRule="exact"/>
              <w:jc w:val="center"/>
              <w:rPr>
                <w:rFonts w:ascii="宋体" w:hAnsi="宋体" w:cs="宋体"/>
                <w:color w:val="auto"/>
                <w:spacing w:val="-6"/>
                <w:sz w:val="24"/>
                <w:highlight w:val="none"/>
              </w:rPr>
            </w:pPr>
          </w:p>
        </w:tc>
        <w:tc>
          <w:tcPr>
            <w:tcW w:w="1656" w:type="dxa"/>
            <w:vAlign w:val="center"/>
          </w:tcPr>
          <w:p w14:paraId="6E52FB92">
            <w:pPr>
              <w:snapToGrid w:val="0"/>
              <w:spacing w:line="400" w:lineRule="exact"/>
              <w:jc w:val="center"/>
              <w:rPr>
                <w:rFonts w:ascii="宋体" w:hAnsi="宋体" w:cs="宋体"/>
                <w:color w:val="auto"/>
                <w:spacing w:val="-6"/>
                <w:sz w:val="24"/>
                <w:highlight w:val="none"/>
              </w:rPr>
            </w:pPr>
          </w:p>
        </w:tc>
        <w:tc>
          <w:tcPr>
            <w:tcW w:w="3219" w:type="dxa"/>
            <w:vAlign w:val="center"/>
          </w:tcPr>
          <w:p w14:paraId="008A109F">
            <w:pPr>
              <w:snapToGrid w:val="0"/>
              <w:spacing w:line="400" w:lineRule="exact"/>
              <w:jc w:val="center"/>
              <w:rPr>
                <w:rFonts w:ascii="宋体" w:hAnsi="宋体" w:cs="宋体"/>
                <w:color w:val="auto"/>
                <w:spacing w:val="-6"/>
                <w:sz w:val="24"/>
                <w:highlight w:val="none"/>
              </w:rPr>
            </w:pPr>
          </w:p>
        </w:tc>
        <w:tc>
          <w:tcPr>
            <w:tcW w:w="1822" w:type="dxa"/>
            <w:vAlign w:val="center"/>
          </w:tcPr>
          <w:p w14:paraId="4BAC59EF">
            <w:pPr>
              <w:snapToGrid w:val="0"/>
              <w:spacing w:line="400" w:lineRule="exact"/>
              <w:jc w:val="center"/>
              <w:rPr>
                <w:rFonts w:ascii="宋体" w:hAnsi="宋体" w:cs="宋体"/>
                <w:color w:val="auto"/>
                <w:spacing w:val="-6"/>
                <w:sz w:val="24"/>
                <w:highlight w:val="none"/>
              </w:rPr>
            </w:pPr>
          </w:p>
        </w:tc>
        <w:tc>
          <w:tcPr>
            <w:tcW w:w="1898" w:type="dxa"/>
            <w:vAlign w:val="center"/>
          </w:tcPr>
          <w:p w14:paraId="2E030C2E">
            <w:pPr>
              <w:snapToGrid w:val="0"/>
              <w:spacing w:line="400" w:lineRule="exact"/>
              <w:jc w:val="center"/>
              <w:rPr>
                <w:rFonts w:ascii="宋体" w:hAnsi="宋体" w:cs="宋体"/>
                <w:color w:val="auto"/>
                <w:spacing w:val="-6"/>
                <w:sz w:val="24"/>
                <w:highlight w:val="none"/>
              </w:rPr>
            </w:pPr>
          </w:p>
        </w:tc>
      </w:tr>
      <w:tr w14:paraId="22BB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06CAB4E">
            <w:pPr>
              <w:snapToGrid w:val="0"/>
              <w:spacing w:line="400" w:lineRule="exact"/>
              <w:jc w:val="center"/>
              <w:rPr>
                <w:rFonts w:ascii="宋体" w:hAnsi="宋体" w:cs="宋体"/>
                <w:color w:val="auto"/>
                <w:spacing w:val="-6"/>
                <w:sz w:val="24"/>
                <w:highlight w:val="none"/>
              </w:rPr>
            </w:pPr>
          </w:p>
        </w:tc>
        <w:tc>
          <w:tcPr>
            <w:tcW w:w="1656" w:type="dxa"/>
            <w:vAlign w:val="center"/>
          </w:tcPr>
          <w:p w14:paraId="53F4A50E">
            <w:pPr>
              <w:snapToGrid w:val="0"/>
              <w:spacing w:line="400" w:lineRule="exact"/>
              <w:jc w:val="center"/>
              <w:rPr>
                <w:rFonts w:ascii="宋体" w:hAnsi="宋体" w:cs="宋体"/>
                <w:color w:val="auto"/>
                <w:spacing w:val="-6"/>
                <w:sz w:val="24"/>
                <w:highlight w:val="none"/>
              </w:rPr>
            </w:pPr>
          </w:p>
        </w:tc>
        <w:tc>
          <w:tcPr>
            <w:tcW w:w="3219" w:type="dxa"/>
            <w:vAlign w:val="center"/>
          </w:tcPr>
          <w:p w14:paraId="6B6CDC21">
            <w:pPr>
              <w:snapToGrid w:val="0"/>
              <w:spacing w:line="400" w:lineRule="exact"/>
              <w:jc w:val="center"/>
              <w:rPr>
                <w:rFonts w:ascii="宋体" w:hAnsi="宋体" w:cs="宋体"/>
                <w:color w:val="auto"/>
                <w:spacing w:val="-6"/>
                <w:sz w:val="24"/>
                <w:highlight w:val="none"/>
              </w:rPr>
            </w:pPr>
          </w:p>
        </w:tc>
        <w:tc>
          <w:tcPr>
            <w:tcW w:w="1822" w:type="dxa"/>
            <w:vAlign w:val="center"/>
          </w:tcPr>
          <w:p w14:paraId="4A45DA38">
            <w:pPr>
              <w:snapToGrid w:val="0"/>
              <w:spacing w:line="400" w:lineRule="exact"/>
              <w:jc w:val="center"/>
              <w:rPr>
                <w:rFonts w:ascii="宋体" w:hAnsi="宋体" w:cs="宋体"/>
                <w:color w:val="auto"/>
                <w:spacing w:val="-6"/>
                <w:sz w:val="24"/>
                <w:highlight w:val="none"/>
              </w:rPr>
            </w:pPr>
          </w:p>
        </w:tc>
        <w:tc>
          <w:tcPr>
            <w:tcW w:w="1898" w:type="dxa"/>
            <w:vAlign w:val="center"/>
          </w:tcPr>
          <w:p w14:paraId="74D17679">
            <w:pPr>
              <w:snapToGrid w:val="0"/>
              <w:spacing w:line="400" w:lineRule="exact"/>
              <w:jc w:val="center"/>
              <w:rPr>
                <w:rFonts w:ascii="宋体" w:hAnsi="宋体" w:cs="宋体"/>
                <w:color w:val="auto"/>
                <w:spacing w:val="-6"/>
                <w:sz w:val="24"/>
                <w:highlight w:val="none"/>
              </w:rPr>
            </w:pPr>
          </w:p>
        </w:tc>
      </w:tr>
      <w:tr w14:paraId="7DB6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5" w:type="dxa"/>
            <w:gridSpan w:val="5"/>
            <w:vAlign w:val="center"/>
          </w:tcPr>
          <w:p w14:paraId="7B4413BD">
            <w:pPr>
              <w:snapToGrid w:val="0"/>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技术要求</w:t>
            </w:r>
          </w:p>
        </w:tc>
      </w:tr>
      <w:tr w14:paraId="70EE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2274CFF">
            <w:pPr>
              <w:snapToGrid w:val="0"/>
              <w:spacing w:line="400" w:lineRule="exact"/>
              <w:rPr>
                <w:rFonts w:ascii="宋体" w:hAnsi="宋体" w:cs="宋体"/>
                <w:color w:val="auto"/>
                <w:spacing w:val="-6"/>
                <w:sz w:val="24"/>
                <w:highlight w:val="none"/>
              </w:rPr>
            </w:pPr>
          </w:p>
        </w:tc>
        <w:tc>
          <w:tcPr>
            <w:tcW w:w="1656" w:type="dxa"/>
            <w:vAlign w:val="center"/>
          </w:tcPr>
          <w:p w14:paraId="48C1A8E1">
            <w:pPr>
              <w:snapToGrid w:val="0"/>
              <w:spacing w:line="400" w:lineRule="exact"/>
              <w:rPr>
                <w:rFonts w:ascii="宋体" w:hAnsi="宋体" w:cs="宋体"/>
                <w:color w:val="auto"/>
                <w:spacing w:val="-6"/>
                <w:sz w:val="24"/>
                <w:highlight w:val="none"/>
              </w:rPr>
            </w:pPr>
          </w:p>
        </w:tc>
        <w:tc>
          <w:tcPr>
            <w:tcW w:w="3219" w:type="dxa"/>
            <w:vAlign w:val="center"/>
          </w:tcPr>
          <w:p w14:paraId="48789C33">
            <w:pPr>
              <w:snapToGrid w:val="0"/>
              <w:spacing w:line="400" w:lineRule="exact"/>
              <w:jc w:val="center"/>
              <w:rPr>
                <w:rFonts w:ascii="宋体" w:hAnsi="宋体" w:cs="宋体"/>
                <w:color w:val="auto"/>
                <w:spacing w:val="-6"/>
                <w:sz w:val="24"/>
                <w:highlight w:val="none"/>
              </w:rPr>
            </w:pPr>
          </w:p>
        </w:tc>
        <w:tc>
          <w:tcPr>
            <w:tcW w:w="1822" w:type="dxa"/>
            <w:vAlign w:val="center"/>
          </w:tcPr>
          <w:p w14:paraId="560D2FE9">
            <w:pPr>
              <w:snapToGrid w:val="0"/>
              <w:spacing w:line="400" w:lineRule="exact"/>
              <w:jc w:val="center"/>
              <w:rPr>
                <w:rFonts w:ascii="宋体" w:hAnsi="宋体" w:cs="宋体"/>
                <w:color w:val="auto"/>
                <w:spacing w:val="-6"/>
                <w:sz w:val="24"/>
                <w:highlight w:val="none"/>
              </w:rPr>
            </w:pPr>
          </w:p>
        </w:tc>
        <w:tc>
          <w:tcPr>
            <w:tcW w:w="1898" w:type="dxa"/>
            <w:vAlign w:val="center"/>
          </w:tcPr>
          <w:p w14:paraId="52F3E040">
            <w:pPr>
              <w:snapToGrid w:val="0"/>
              <w:spacing w:line="400" w:lineRule="exact"/>
              <w:jc w:val="center"/>
              <w:rPr>
                <w:rFonts w:ascii="宋体" w:hAnsi="宋体" w:cs="宋体"/>
                <w:color w:val="auto"/>
                <w:spacing w:val="-6"/>
                <w:sz w:val="24"/>
                <w:highlight w:val="none"/>
              </w:rPr>
            </w:pPr>
          </w:p>
        </w:tc>
      </w:tr>
      <w:tr w14:paraId="5CDB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511AE72">
            <w:pPr>
              <w:snapToGrid w:val="0"/>
              <w:spacing w:line="400" w:lineRule="exact"/>
              <w:jc w:val="center"/>
              <w:rPr>
                <w:rFonts w:ascii="宋体" w:hAnsi="宋体" w:cs="宋体"/>
                <w:color w:val="auto"/>
                <w:spacing w:val="-6"/>
                <w:sz w:val="24"/>
                <w:highlight w:val="none"/>
              </w:rPr>
            </w:pPr>
          </w:p>
        </w:tc>
        <w:tc>
          <w:tcPr>
            <w:tcW w:w="1656" w:type="dxa"/>
            <w:vAlign w:val="center"/>
          </w:tcPr>
          <w:p w14:paraId="625DF8E5">
            <w:pPr>
              <w:snapToGrid w:val="0"/>
              <w:spacing w:line="400" w:lineRule="exact"/>
              <w:jc w:val="center"/>
              <w:rPr>
                <w:rFonts w:ascii="宋体" w:hAnsi="宋体" w:cs="宋体"/>
                <w:color w:val="auto"/>
                <w:spacing w:val="-6"/>
                <w:sz w:val="24"/>
                <w:highlight w:val="none"/>
              </w:rPr>
            </w:pPr>
          </w:p>
        </w:tc>
        <w:tc>
          <w:tcPr>
            <w:tcW w:w="3219" w:type="dxa"/>
            <w:vAlign w:val="center"/>
          </w:tcPr>
          <w:p w14:paraId="4A224CD9">
            <w:pPr>
              <w:snapToGrid w:val="0"/>
              <w:spacing w:line="400" w:lineRule="exact"/>
              <w:jc w:val="center"/>
              <w:rPr>
                <w:rFonts w:ascii="宋体" w:hAnsi="宋体" w:cs="宋体"/>
                <w:color w:val="auto"/>
                <w:spacing w:val="-6"/>
                <w:sz w:val="24"/>
                <w:highlight w:val="none"/>
              </w:rPr>
            </w:pPr>
          </w:p>
        </w:tc>
        <w:tc>
          <w:tcPr>
            <w:tcW w:w="1822" w:type="dxa"/>
            <w:vAlign w:val="center"/>
          </w:tcPr>
          <w:p w14:paraId="20EAEAA3">
            <w:pPr>
              <w:snapToGrid w:val="0"/>
              <w:spacing w:line="400" w:lineRule="exact"/>
              <w:jc w:val="center"/>
              <w:rPr>
                <w:rFonts w:ascii="宋体" w:hAnsi="宋体" w:cs="宋体"/>
                <w:color w:val="auto"/>
                <w:spacing w:val="-6"/>
                <w:sz w:val="24"/>
                <w:highlight w:val="none"/>
              </w:rPr>
            </w:pPr>
          </w:p>
        </w:tc>
        <w:tc>
          <w:tcPr>
            <w:tcW w:w="1898" w:type="dxa"/>
            <w:vAlign w:val="center"/>
          </w:tcPr>
          <w:p w14:paraId="6F3845D4">
            <w:pPr>
              <w:snapToGrid w:val="0"/>
              <w:spacing w:line="400" w:lineRule="exact"/>
              <w:jc w:val="center"/>
              <w:rPr>
                <w:rFonts w:ascii="宋体" w:hAnsi="宋体" w:cs="宋体"/>
                <w:color w:val="auto"/>
                <w:spacing w:val="-6"/>
                <w:sz w:val="24"/>
                <w:highlight w:val="none"/>
              </w:rPr>
            </w:pPr>
          </w:p>
        </w:tc>
      </w:tr>
      <w:tr w14:paraId="5076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89375A4">
            <w:pPr>
              <w:snapToGrid w:val="0"/>
              <w:spacing w:line="400" w:lineRule="exact"/>
              <w:jc w:val="center"/>
              <w:rPr>
                <w:rFonts w:ascii="宋体" w:hAnsi="宋体" w:cs="宋体"/>
                <w:color w:val="auto"/>
                <w:spacing w:val="-6"/>
                <w:sz w:val="24"/>
                <w:highlight w:val="none"/>
              </w:rPr>
            </w:pPr>
          </w:p>
        </w:tc>
        <w:tc>
          <w:tcPr>
            <w:tcW w:w="1656" w:type="dxa"/>
            <w:vAlign w:val="center"/>
          </w:tcPr>
          <w:p w14:paraId="4C150006">
            <w:pPr>
              <w:snapToGrid w:val="0"/>
              <w:spacing w:line="400" w:lineRule="exact"/>
              <w:jc w:val="center"/>
              <w:rPr>
                <w:rFonts w:ascii="宋体" w:hAnsi="宋体" w:cs="宋体"/>
                <w:color w:val="auto"/>
                <w:spacing w:val="-6"/>
                <w:sz w:val="24"/>
                <w:highlight w:val="none"/>
              </w:rPr>
            </w:pPr>
          </w:p>
        </w:tc>
        <w:tc>
          <w:tcPr>
            <w:tcW w:w="3219" w:type="dxa"/>
            <w:vAlign w:val="center"/>
          </w:tcPr>
          <w:p w14:paraId="5CAED24D">
            <w:pPr>
              <w:snapToGrid w:val="0"/>
              <w:spacing w:line="400" w:lineRule="exact"/>
              <w:jc w:val="center"/>
              <w:rPr>
                <w:rFonts w:ascii="宋体" w:hAnsi="宋体" w:cs="宋体"/>
                <w:color w:val="auto"/>
                <w:spacing w:val="-6"/>
                <w:sz w:val="24"/>
                <w:highlight w:val="none"/>
              </w:rPr>
            </w:pPr>
          </w:p>
        </w:tc>
        <w:tc>
          <w:tcPr>
            <w:tcW w:w="1822" w:type="dxa"/>
            <w:vAlign w:val="center"/>
          </w:tcPr>
          <w:p w14:paraId="39C6B1EF">
            <w:pPr>
              <w:snapToGrid w:val="0"/>
              <w:spacing w:line="400" w:lineRule="exact"/>
              <w:jc w:val="center"/>
              <w:rPr>
                <w:rFonts w:ascii="宋体" w:hAnsi="宋体" w:cs="宋体"/>
                <w:color w:val="auto"/>
                <w:spacing w:val="-6"/>
                <w:sz w:val="24"/>
                <w:highlight w:val="none"/>
              </w:rPr>
            </w:pPr>
          </w:p>
        </w:tc>
        <w:tc>
          <w:tcPr>
            <w:tcW w:w="1898" w:type="dxa"/>
            <w:vAlign w:val="center"/>
          </w:tcPr>
          <w:p w14:paraId="16A4EF20">
            <w:pPr>
              <w:snapToGrid w:val="0"/>
              <w:spacing w:line="400" w:lineRule="exact"/>
              <w:jc w:val="center"/>
              <w:rPr>
                <w:rFonts w:ascii="宋体" w:hAnsi="宋体" w:cs="宋体"/>
                <w:color w:val="auto"/>
                <w:spacing w:val="-6"/>
                <w:sz w:val="24"/>
                <w:highlight w:val="none"/>
              </w:rPr>
            </w:pPr>
          </w:p>
        </w:tc>
      </w:tr>
      <w:tr w14:paraId="3FEA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6AE5BD0">
            <w:pPr>
              <w:snapToGrid w:val="0"/>
              <w:spacing w:line="400" w:lineRule="exact"/>
              <w:jc w:val="center"/>
              <w:rPr>
                <w:rFonts w:ascii="宋体" w:hAnsi="宋体" w:cs="宋体"/>
                <w:color w:val="auto"/>
                <w:spacing w:val="-6"/>
                <w:sz w:val="24"/>
                <w:highlight w:val="none"/>
              </w:rPr>
            </w:pPr>
          </w:p>
        </w:tc>
        <w:tc>
          <w:tcPr>
            <w:tcW w:w="1656" w:type="dxa"/>
            <w:vAlign w:val="center"/>
          </w:tcPr>
          <w:p w14:paraId="4A052ACE">
            <w:pPr>
              <w:snapToGrid w:val="0"/>
              <w:spacing w:line="400" w:lineRule="exact"/>
              <w:jc w:val="center"/>
              <w:rPr>
                <w:rFonts w:ascii="宋体" w:hAnsi="宋体" w:cs="宋体"/>
                <w:color w:val="auto"/>
                <w:spacing w:val="-6"/>
                <w:sz w:val="24"/>
                <w:highlight w:val="none"/>
              </w:rPr>
            </w:pPr>
          </w:p>
        </w:tc>
        <w:tc>
          <w:tcPr>
            <w:tcW w:w="3219" w:type="dxa"/>
            <w:vAlign w:val="center"/>
          </w:tcPr>
          <w:p w14:paraId="4347FE6C">
            <w:pPr>
              <w:snapToGrid w:val="0"/>
              <w:spacing w:line="400" w:lineRule="exact"/>
              <w:jc w:val="center"/>
              <w:rPr>
                <w:rFonts w:ascii="宋体" w:hAnsi="宋体" w:cs="宋体"/>
                <w:color w:val="auto"/>
                <w:spacing w:val="-6"/>
                <w:sz w:val="24"/>
                <w:highlight w:val="none"/>
              </w:rPr>
            </w:pPr>
          </w:p>
        </w:tc>
        <w:tc>
          <w:tcPr>
            <w:tcW w:w="1822" w:type="dxa"/>
            <w:vAlign w:val="center"/>
          </w:tcPr>
          <w:p w14:paraId="3BF84A0E">
            <w:pPr>
              <w:snapToGrid w:val="0"/>
              <w:spacing w:line="400" w:lineRule="exact"/>
              <w:jc w:val="center"/>
              <w:rPr>
                <w:rFonts w:ascii="宋体" w:hAnsi="宋体" w:cs="宋体"/>
                <w:color w:val="auto"/>
                <w:spacing w:val="-6"/>
                <w:sz w:val="24"/>
                <w:highlight w:val="none"/>
              </w:rPr>
            </w:pPr>
          </w:p>
        </w:tc>
        <w:tc>
          <w:tcPr>
            <w:tcW w:w="1898" w:type="dxa"/>
            <w:vAlign w:val="center"/>
          </w:tcPr>
          <w:p w14:paraId="3F3DC63D">
            <w:pPr>
              <w:snapToGrid w:val="0"/>
              <w:spacing w:line="400" w:lineRule="exact"/>
              <w:jc w:val="center"/>
              <w:rPr>
                <w:rFonts w:ascii="宋体" w:hAnsi="宋体" w:cs="宋体"/>
                <w:color w:val="auto"/>
                <w:spacing w:val="-6"/>
                <w:sz w:val="24"/>
                <w:highlight w:val="none"/>
              </w:rPr>
            </w:pPr>
          </w:p>
        </w:tc>
      </w:tr>
    </w:tbl>
    <w:p w14:paraId="337DA163">
      <w:pPr>
        <w:snapToGrid w:val="0"/>
        <w:spacing w:line="40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注意：</w:t>
      </w:r>
    </w:p>
    <w:p w14:paraId="75A5247C">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1.逐项按照采购文件要求填写响应规格；如不填写或留空，则视为完全响应采购文件的要求，自行承担投标响应风险。</w:t>
      </w:r>
    </w:p>
    <w:p w14:paraId="5B759ADD">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2.偏离说明是指对采购文件要求存在不同之处的解释说明。偏离系指：正偏离（高于采购需求）、负偏离（低于采购需求或未按采购需求提供相应证明材料的）、无偏离（满足采购需求）；</w:t>
      </w:r>
    </w:p>
    <w:p w14:paraId="49C2E6D4">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3.投标人保证：除采购需求偏离表列出的偏离外，投标人响应采购文件的全部要求。</w:t>
      </w:r>
    </w:p>
    <w:p w14:paraId="551E24FC">
      <w:pPr>
        <w:snapToGrid w:val="0"/>
        <w:spacing w:line="400" w:lineRule="exact"/>
        <w:ind w:firstLine="458" w:firstLineChars="200"/>
        <w:jc w:val="left"/>
        <w:rPr>
          <w:rFonts w:ascii="宋体" w:hAnsi="宋体" w:cs="宋体"/>
          <w:b/>
          <w:bCs/>
          <w:color w:val="auto"/>
          <w:spacing w:val="-6"/>
          <w:sz w:val="24"/>
          <w:highlight w:val="none"/>
        </w:rPr>
      </w:pPr>
      <w:r>
        <w:rPr>
          <w:rFonts w:hint="eastAsia" w:ascii="宋体" w:hAnsi="宋体" w:cs="宋体"/>
          <w:b/>
          <w:bCs/>
          <w:color w:val="auto"/>
          <w:spacing w:val="-6"/>
          <w:sz w:val="24"/>
          <w:highlight w:val="none"/>
        </w:rPr>
        <w:t>4.建议投标人准备采购需求中要求的证明材料（如证书、检测报告等）条目索引，要求清晰提供的证明材料（如证书、检测报告等），由不清晰或者模糊造成无法判断证明材料是否符合要求的风险由投标人自行承担。</w:t>
      </w:r>
    </w:p>
    <w:p w14:paraId="007DCCD0">
      <w:pPr>
        <w:adjustRightInd w:val="0"/>
        <w:snapToGrid w:val="0"/>
        <w:spacing w:line="400" w:lineRule="exact"/>
        <w:ind w:firstLine="418" w:firstLineChars="200"/>
        <w:jc w:val="left"/>
        <w:rPr>
          <w:rFonts w:ascii="宋体" w:hAnsi="宋体" w:cs="宋体"/>
          <w:b/>
          <w:bCs/>
          <w:color w:val="auto"/>
          <w:spacing w:val="-6"/>
          <w:sz w:val="22"/>
          <w:highlight w:val="none"/>
        </w:rPr>
      </w:pPr>
    </w:p>
    <w:p w14:paraId="7527054D">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75034E96">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1AEAC05D">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3AE26A9B">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1B208657">
      <w:pPr>
        <w:snapToGrid w:val="0"/>
        <w:spacing w:line="400" w:lineRule="exact"/>
        <w:jc w:val="left"/>
        <w:rPr>
          <w:rFonts w:ascii="宋体" w:hAnsi="宋体" w:cs="宋体"/>
          <w:color w:val="auto"/>
          <w:kern w:val="0"/>
          <w:sz w:val="22"/>
          <w:highlight w:val="none"/>
        </w:rPr>
      </w:pPr>
      <w:r>
        <w:rPr>
          <w:rFonts w:hint="eastAsia" w:ascii="宋体" w:hAnsi="宋体" w:cs="宋体"/>
          <w:b/>
          <w:color w:val="auto"/>
          <w:sz w:val="24"/>
          <w:szCs w:val="24"/>
          <w:highlight w:val="none"/>
        </w:rPr>
        <w:t>附件11</w:t>
      </w:r>
    </w:p>
    <w:p w14:paraId="49CE7CC4">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项目组成员一览表</w:t>
      </w:r>
    </w:p>
    <w:p w14:paraId="119537C8">
      <w:pPr>
        <w:pStyle w:val="17"/>
        <w:spacing w:line="400" w:lineRule="atLeast"/>
        <w:jc w:val="center"/>
        <w:rPr>
          <w:rFonts w:hAnsi="宋体" w:cs="宋体"/>
          <w:b/>
          <w:bCs/>
          <w:color w:val="auto"/>
          <w:sz w:val="22"/>
          <w:highlight w:val="none"/>
        </w:rPr>
      </w:pPr>
      <w:r>
        <w:rPr>
          <w:rFonts w:hint="eastAsia" w:hAnsi="宋体" w:cs="宋体"/>
          <w:b/>
          <w:bCs/>
          <w:color w:val="auto"/>
          <w:sz w:val="22"/>
          <w:highlight w:val="none"/>
        </w:rPr>
        <w:t>（1）项目经理（总负责人）简历表</w:t>
      </w:r>
    </w:p>
    <w:p w14:paraId="2489BF90">
      <w:pPr>
        <w:pStyle w:val="17"/>
        <w:spacing w:line="400" w:lineRule="atLeast"/>
        <w:ind w:left="660" w:hanging="660" w:hangingChars="300"/>
        <w:rPr>
          <w:rFonts w:hAnsi="宋体" w:cs="宋体"/>
          <w:bCs/>
          <w:color w:val="auto"/>
          <w:sz w:val="22"/>
          <w:highlight w:val="none"/>
        </w:rPr>
      </w:pPr>
      <w:r>
        <w:rPr>
          <w:rFonts w:hint="eastAsia" w:hAnsi="宋体" w:cs="宋体"/>
          <w:bCs/>
          <w:color w:val="auto"/>
          <w:sz w:val="22"/>
          <w:highlight w:val="none"/>
        </w:rPr>
        <w:t>标项名称：                                            项目编号：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843"/>
        <w:gridCol w:w="961"/>
        <w:gridCol w:w="1782"/>
        <w:gridCol w:w="1096"/>
        <w:gridCol w:w="1646"/>
      </w:tblGrid>
      <w:tr w14:paraId="7362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1552" w:type="dxa"/>
            <w:tcBorders>
              <w:top w:val="single" w:color="auto" w:sz="12" w:space="0"/>
              <w:left w:val="single" w:color="auto" w:sz="12" w:space="0"/>
              <w:bottom w:val="single" w:color="auto" w:sz="6" w:space="0"/>
              <w:right w:val="single" w:color="auto" w:sz="6" w:space="0"/>
            </w:tcBorders>
            <w:noWrap/>
            <w:vAlign w:val="center"/>
          </w:tcPr>
          <w:p w14:paraId="5386AADD">
            <w:pPr>
              <w:pStyle w:val="17"/>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姓 名</w:t>
            </w:r>
          </w:p>
        </w:tc>
        <w:tc>
          <w:tcPr>
            <w:tcW w:w="1843" w:type="dxa"/>
            <w:tcBorders>
              <w:top w:val="single" w:color="auto" w:sz="12" w:space="0"/>
              <w:left w:val="single" w:color="auto" w:sz="6" w:space="0"/>
              <w:bottom w:val="single" w:color="auto" w:sz="6" w:space="0"/>
              <w:right w:val="single" w:color="auto" w:sz="6" w:space="0"/>
            </w:tcBorders>
            <w:noWrap/>
            <w:vAlign w:val="center"/>
          </w:tcPr>
          <w:p w14:paraId="7055B8EC">
            <w:pPr>
              <w:pStyle w:val="17"/>
              <w:spacing w:line="400" w:lineRule="atLeast"/>
              <w:ind w:left="660" w:hanging="660" w:hangingChars="300"/>
              <w:jc w:val="center"/>
              <w:rPr>
                <w:rFonts w:hAnsi="宋体" w:cs="宋体"/>
                <w:bCs/>
                <w:color w:val="auto"/>
                <w:kern w:val="0"/>
                <w:sz w:val="22"/>
                <w:highlight w:val="none"/>
              </w:rPr>
            </w:pPr>
          </w:p>
        </w:tc>
        <w:tc>
          <w:tcPr>
            <w:tcW w:w="961" w:type="dxa"/>
            <w:tcBorders>
              <w:top w:val="single" w:color="auto" w:sz="12" w:space="0"/>
              <w:left w:val="single" w:color="auto" w:sz="6" w:space="0"/>
              <w:bottom w:val="single" w:color="auto" w:sz="6" w:space="0"/>
              <w:right w:val="single" w:color="auto" w:sz="6" w:space="0"/>
            </w:tcBorders>
            <w:noWrap/>
            <w:vAlign w:val="center"/>
          </w:tcPr>
          <w:p w14:paraId="23A4315E">
            <w:pPr>
              <w:pStyle w:val="17"/>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性 别</w:t>
            </w:r>
          </w:p>
        </w:tc>
        <w:tc>
          <w:tcPr>
            <w:tcW w:w="1782" w:type="dxa"/>
            <w:tcBorders>
              <w:top w:val="single" w:color="auto" w:sz="12" w:space="0"/>
              <w:left w:val="single" w:color="auto" w:sz="6" w:space="0"/>
              <w:bottom w:val="single" w:color="auto" w:sz="6" w:space="0"/>
              <w:right w:val="single" w:color="auto" w:sz="6" w:space="0"/>
            </w:tcBorders>
            <w:noWrap/>
            <w:vAlign w:val="center"/>
          </w:tcPr>
          <w:p w14:paraId="6D06B1E5">
            <w:pPr>
              <w:pStyle w:val="17"/>
              <w:spacing w:line="400" w:lineRule="atLeast"/>
              <w:ind w:left="660" w:hanging="660" w:hangingChars="300"/>
              <w:jc w:val="center"/>
              <w:rPr>
                <w:rFonts w:hAnsi="宋体" w:cs="宋体"/>
                <w:bCs/>
                <w:color w:val="auto"/>
                <w:kern w:val="0"/>
                <w:sz w:val="22"/>
                <w:highlight w:val="none"/>
              </w:rPr>
            </w:pPr>
          </w:p>
        </w:tc>
        <w:tc>
          <w:tcPr>
            <w:tcW w:w="1096" w:type="dxa"/>
            <w:tcBorders>
              <w:top w:val="single" w:color="auto" w:sz="12" w:space="0"/>
              <w:left w:val="single" w:color="auto" w:sz="6" w:space="0"/>
              <w:bottom w:val="single" w:color="auto" w:sz="6" w:space="0"/>
              <w:right w:val="single" w:color="auto" w:sz="6" w:space="0"/>
            </w:tcBorders>
            <w:noWrap/>
            <w:vAlign w:val="center"/>
          </w:tcPr>
          <w:p w14:paraId="34E39AB9">
            <w:pPr>
              <w:pStyle w:val="17"/>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年 龄</w:t>
            </w:r>
          </w:p>
        </w:tc>
        <w:tc>
          <w:tcPr>
            <w:tcW w:w="1646" w:type="dxa"/>
            <w:tcBorders>
              <w:top w:val="single" w:color="auto" w:sz="12" w:space="0"/>
              <w:left w:val="single" w:color="auto" w:sz="6" w:space="0"/>
              <w:bottom w:val="single" w:color="auto" w:sz="6" w:space="0"/>
              <w:right w:val="single" w:color="auto" w:sz="12" w:space="0"/>
            </w:tcBorders>
            <w:noWrap/>
            <w:vAlign w:val="center"/>
          </w:tcPr>
          <w:p w14:paraId="1AB380DA">
            <w:pPr>
              <w:pStyle w:val="17"/>
              <w:spacing w:line="400" w:lineRule="atLeast"/>
              <w:ind w:left="660" w:hanging="660" w:hangingChars="300"/>
              <w:jc w:val="center"/>
              <w:rPr>
                <w:rFonts w:hAnsi="宋体" w:cs="宋体"/>
                <w:bCs/>
                <w:color w:val="auto"/>
                <w:kern w:val="0"/>
                <w:sz w:val="22"/>
                <w:highlight w:val="none"/>
              </w:rPr>
            </w:pPr>
          </w:p>
        </w:tc>
      </w:tr>
      <w:tr w14:paraId="48BC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552" w:type="dxa"/>
            <w:tcBorders>
              <w:top w:val="single" w:color="auto" w:sz="6" w:space="0"/>
              <w:left w:val="single" w:color="auto" w:sz="12" w:space="0"/>
              <w:bottom w:val="single" w:color="auto" w:sz="6" w:space="0"/>
              <w:right w:val="single" w:color="auto" w:sz="6" w:space="0"/>
            </w:tcBorders>
            <w:noWrap/>
            <w:vAlign w:val="center"/>
          </w:tcPr>
          <w:p w14:paraId="368EB56B">
            <w:pPr>
              <w:pStyle w:val="17"/>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学 历</w:t>
            </w:r>
          </w:p>
        </w:tc>
        <w:tc>
          <w:tcPr>
            <w:tcW w:w="1843" w:type="dxa"/>
            <w:tcBorders>
              <w:top w:val="single" w:color="auto" w:sz="6" w:space="0"/>
              <w:left w:val="single" w:color="auto" w:sz="6" w:space="0"/>
              <w:bottom w:val="single" w:color="auto" w:sz="6" w:space="0"/>
              <w:right w:val="single" w:color="auto" w:sz="6" w:space="0"/>
            </w:tcBorders>
            <w:noWrap/>
            <w:vAlign w:val="center"/>
          </w:tcPr>
          <w:p w14:paraId="1BD2A98F">
            <w:pPr>
              <w:pStyle w:val="17"/>
              <w:spacing w:line="400" w:lineRule="atLeast"/>
              <w:ind w:left="660" w:hanging="660" w:hangingChars="300"/>
              <w:jc w:val="center"/>
              <w:rPr>
                <w:rFonts w:hAnsi="宋体" w:cs="宋体"/>
                <w:bCs/>
                <w:color w:val="auto"/>
                <w:kern w:val="0"/>
                <w:sz w:val="22"/>
                <w:highlight w:val="none"/>
              </w:rPr>
            </w:pPr>
          </w:p>
        </w:tc>
        <w:tc>
          <w:tcPr>
            <w:tcW w:w="961" w:type="dxa"/>
            <w:tcBorders>
              <w:top w:val="single" w:color="auto" w:sz="6" w:space="0"/>
              <w:left w:val="single" w:color="auto" w:sz="6" w:space="0"/>
              <w:bottom w:val="single" w:color="auto" w:sz="6" w:space="0"/>
              <w:right w:val="single" w:color="auto" w:sz="6" w:space="0"/>
            </w:tcBorders>
            <w:noWrap/>
            <w:vAlign w:val="center"/>
          </w:tcPr>
          <w:p w14:paraId="7BBF84B3">
            <w:pPr>
              <w:pStyle w:val="17"/>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职 称</w:t>
            </w:r>
          </w:p>
        </w:tc>
        <w:tc>
          <w:tcPr>
            <w:tcW w:w="1782" w:type="dxa"/>
            <w:tcBorders>
              <w:top w:val="single" w:color="auto" w:sz="6" w:space="0"/>
              <w:left w:val="single" w:color="auto" w:sz="6" w:space="0"/>
              <w:bottom w:val="single" w:color="auto" w:sz="6" w:space="0"/>
              <w:right w:val="single" w:color="auto" w:sz="6" w:space="0"/>
            </w:tcBorders>
            <w:noWrap/>
            <w:vAlign w:val="center"/>
          </w:tcPr>
          <w:p w14:paraId="7D52B83E">
            <w:pPr>
              <w:pStyle w:val="17"/>
              <w:spacing w:line="400" w:lineRule="atLeast"/>
              <w:ind w:left="660" w:hanging="660" w:hangingChars="300"/>
              <w:jc w:val="center"/>
              <w:rPr>
                <w:rFonts w:hAnsi="宋体" w:cs="宋体"/>
                <w:bCs/>
                <w:color w:val="auto"/>
                <w:kern w:val="0"/>
                <w:sz w:val="22"/>
                <w:highlight w:val="none"/>
              </w:rPr>
            </w:pPr>
          </w:p>
        </w:tc>
        <w:tc>
          <w:tcPr>
            <w:tcW w:w="1096" w:type="dxa"/>
            <w:tcBorders>
              <w:top w:val="single" w:color="auto" w:sz="6" w:space="0"/>
              <w:left w:val="single" w:color="auto" w:sz="6" w:space="0"/>
              <w:bottom w:val="single" w:color="auto" w:sz="6" w:space="0"/>
              <w:right w:val="single" w:color="auto" w:sz="6" w:space="0"/>
            </w:tcBorders>
            <w:noWrap/>
            <w:vAlign w:val="center"/>
          </w:tcPr>
          <w:p w14:paraId="69730E0B">
            <w:pPr>
              <w:pStyle w:val="17"/>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职 务</w:t>
            </w:r>
          </w:p>
        </w:tc>
        <w:tc>
          <w:tcPr>
            <w:tcW w:w="1646" w:type="dxa"/>
            <w:tcBorders>
              <w:top w:val="single" w:color="auto" w:sz="6" w:space="0"/>
              <w:left w:val="single" w:color="auto" w:sz="6" w:space="0"/>
              <w:bottom w:val="single" w:color="auto" w:sz="6" w:space="0"/>
              <w:right w:val="single" w:color="auto" w:sz="12" w:space="0"/>
            </w:tcBorders>
            <w:noWrap/>
            <w:vAlign w:val="center"/>
          </w:tcPr>
          <w:p w14:paraId="7DEEAF02">
            <w:pPr>
              <w:pStyle w:val="17"/>
              <w:spacing w:line="400" w:lineRule="atLeast"/>
              <w:ind w:left="660" w:hanging="660" w:hangingChars="300"/>
              <w:jc w:val="center"/>
              <w:rPr>
                <w:rFonts w:hAnsi="宋体" w:cs="宋体"/>
                <w:bCs/>
                <w:color w:val="auto"/>
                <w:kern w:val="0"/>
                <w:sz w:val="22"/>
                <w:highlight w:val="none"/>
              </w:rPr>
            </w:pPr>
          </w:p>
        </w:tc>
      </w:tr>
      <w:tr w14:paraId="4A89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552" w:type="dxa"/>
            <w:tcBorders>
              <w:top w:val="single" w:color="auto" w:sz="6" w:space="0"/>
              <w:left w:val="single" w:color="auto" w:sz="12" w:space="0"/>
              <w:bottom w:val="single" w:color="auto" w:sz="6" w:space="0"/>
              <w:right w:val="single" w:color="auto" w:sz="6" w:space="0"/>
            </w:tcBorders>
            <w:noWrap/>
            <w:vAlign w:val="center"/>
          </w:tcPr>
          <w:p w14:paraId="0FDC2B50">
            <w:pPr>
              <w:pStyle w:val="17"/>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联系电话</w:t>
            </w:r>
          </w:p>
        </w:tc>
        <w:tc>
          <w:tcPr>
            <w:tcW w:w="2804" w:type="dxa"/>
            <w:gridSpan w:val="2"/>
            <w:tcBorders>
              <w:top w:val="single" w:color="auto" w:sz="6" w:space="0"/>
              <w:left w:val="single" w:color="auto" w:sz="6" w:space="0"/>
              <w:bottom w:val="single" w:color="auto" w:sz="6" w:space="0"/>
              <w:right w:val="single" w:color="auto" w:sz="6" w:space="0"/>
            </w:tcBorders>
            <w:noWrap/>
            <w:vAlign w:val="center"/>
          </w:tcPr>
          <w:p w14:paraId="0C765CA7">
            <w:pPr>
              <w:pStyle w:val="17"/>
              <w:spacing w:line="400" w:lineRule="atLeast"/>
              <w:ind w:left="660" w:hanging="660" w:hangingChars="300"/>
              <w:jc w:val="center"/>
              <w:rPr>
                <w:rFonts w:hAnsi="宋体" w:cs="宋体"/>
                <w:bCs/>
                <w:color w:val="auto"/>
                <w:kern w:val="0"/>
                <w:sz w:val="22"/>
                <w:highlight w:val="none"/>
              </w:rPr>
            </w:pPr>
          </w:p>
        </w:tc>
        <w:tc>
          <w:tcPr>
            <w:tcW w:w="1782" w:type="dxa"/>
            <w:tcBorders>
              <w:top w:val="single" w:color="auto" w:sz="6" w:space="0"/>
              <w:left w:val="single" w:color="auto" w:sz="6" w:space="0"/>
              <w:bottom w:val="single" w:color="auto" w:sz="6" w:space="0"/>
              <w:right w:val="single" w:color="auto" w:sz="6" w:space="0"/>
            </w:tcBorders>
            <w:noWrap/>
            <w:vAlign w:val="center"/>
          </w:tcPr>
          <w:p w14:paraId="33CD3C2C">
            <w:pPr>
              <w:pStyle w:val="17"/>
              <w:spacing w:line="400" w:lineRule="atLeast"/>
              <w:ind w:left="660" w:hanging="660" w:hangingChars="300"/>
              <w:jc w:val="center"/>
              <w:rPr>
                <w:rFonts w:hAnsi="宋体" w:cs="宋体"/>
                <w:bCs/>
                <w:color w:val="auto"/>
                <w:kern w:val="0"/>
                <w:sz w:val="22"/>
                <w:highlight w:val="none"/>
              </w:rPr>
            </w:pPr>
            <w:r>
              <w:rPr>
                <w:rFonts w:hint="eastAsia" w:hAnsi="宋体" w:cs="宋体"/>
                <w:bCs/>
                <w:color w:val="auto"/>
                <w:kern w:val="0"/>
                <w:sz w:val="22"/>
                <w:highlight w:val="none"/>
              </w:rPr>
              <w:t>手 机</w:t>
            </w:r>
          </w:p>
        </w:tc>
        <w:tc>
          <w:tcPr>
            <w:tcW w:w="2742" w:type="dxa"/>
            <w:gridSpan w:val="2"/>
            <w:tcBorders>
              <w:top w:val="single" w:color="auto" w:sz="6" w:space="0"/>
              <w:left w:val="single" w:color="auto" w:sz="6" w:space="0"/>
              <w:bottom w:val="single" w:color="auto" w:sz="6" w:space="0"/>
              <w:right w:val="single" w:color="auto" w:sz="12" w:space="0"/>
            </w:tcBorders>
            <w:noWrap/>
            <w:vAlign w:val="center"/>
          </w:tcPr>
          <w:p w14:paraId="638A4517">
            <w:pPr>
              <w:pStyle w:val="17"/>
              <w:spacing w:line="400" w:lineRule="atLeast"/>
              <w:ind w:left="660" w:hanging="660" w:hangingChars="300"/>
              <w:jc w:val="center"/>
              <w:rPr>
                <w:rFonts w:hAnsi="宋体" w:cs="宋体"/>
                <w:bCs/>
                <w:color w:val="auto"/>
                <w:kern w:val="0"/>
                <w:sz w:val="22"/>
                <w:highlight w:val="none"/>
              </w:rPr>
            </w:pPr>
          </w:p>
        </w:tc>
      </w:tr>
      <w:tr w14:paraId="6100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4" w:hRule="atLeast"/>
          <w:jc w:val="center"/>
        </w:trPr>
        <w:tc>
          <w:tcPr>
            <w:tcW w:w="8880" w:type="dxa"/>
            <w:gridSpan w:val="6"/>
            <w:tcBorders>
              <w:top w:val="single" w:color="auto" w:sz="6" w:space="0"/>
              <w:left w:val="single" w:color="auto" w:sz="12" w:space="0"/>
              <w:bottom w:val="single" w:color="auto" w:sz="12" w:space="0"/>
              <w:right w:val="single" w:color="auto" w:sz="12" w:space="0"/>
            </w:tcBorders>
            <w:noWrap/>
          </w:tcPr>
          <w:p w14:paraId="151EFDF0">
            <w:pPr>
              <w:pStyle w:val="17"/>
              <w:spacing w:line="400" w:lineRule="atLeast"/>
              <w:ind w:left="660" w:hanging="660" w:hangingChars="300"/>
              <w:rPr>
                <w:rFonts w:hAnsi="宋体" w:cs="宋体"/>
                <w:bCs/>
                <w:color w:val="auto"/>
                <w:kern w:val="0"/>
                <w:sz w:val="22"/>
                <w:highlight w:val="none"/>
              </w:rPr>
            </w:pPr>
            <w:r>
              <w:rPr>
                <w:rFonts w:hint="eastAsia" w:hAnsi="宋体" w:cs="宋体"/>
                <w:bCs/>
                <w:color w:val="auto"/>
                <w:kern w:val="0"/>
                <w:sz w:val="22"/>
                <w:highlight w:val="none"/>
              </w:rPr>
              <w:t>近五年从事相关工作经历及业绩：</w:t>
            </w:r>
          </w:p>
        </w:tc>
      </w:tr>
    </w:tbl>
    <w:p w14:paraId="71E247C0">
      <w:pPr>
        <w:spacing w:line="360" w:lineRule="exact"/>
        <w:rPr>
          <w:rFonts w:ascii="宋体" w:hAnsi="宋体" w:cs="宋体"/>
          <w:color w:val="auto"/>
          <w:sz w:val="22"/>
          <w:highlight w:val="none"/>
        </w:rPr>
      </w:pPr>
      <w:bookmarkStart w:id="20" w:name="_Toc505324108"/>
      <w:bookmarkStart w:id="21" w:name="_Toc433019962"/>
      <w:bookmarkStart w:id="22" w:name="_Toc384303168"/>
      <w:bookmarkStart w:id="23" w:name="_Toc402258846"/>
      <w:r>
        <w:rPr>
          <w:rFonts w:hint="eastAsia" w:ascii="宋体" w:hAnsi="宋体" w:cs="宋体"/>
          <w:color w:val="auto"/>
          <w:sz w:val="22"/>
          <w:highlight w:val="none"/>
        </w:rPr>
        <w:t>注：1、本表应附项目经理（总负责人）相关证明材料。</w:t>
      </w:r>
    </w:p>
    <w:p w14:paraId="10E77F46">
      <w:pPr>
        <w:spacing w:line="360" w:lineRule="exact"/>
        <w:rPr>
          <w:rFonts w:ascii="宋体" w:hAnsi="宋体" w:cs="宋体"/>
          <w:b/>
          <w:color w:val="auto"/>
          <w:sz w:val="22"/>
          <w:highlight w:val="none"/>
        </w:rPr>
      </w:pPr>
      <w:r>
        <w:rPr>
          <w:rFonts w:hint="eastAsia" w:ascii="宋体" w:hAnsi="宋体" w:cs="宋体"/>
          <w:color w:val="auto"/>
          <w:sz w:val="22"/>
          <w:highlight w:val="none"/>
        </w:rPr>
        <w:t>2、项目经理（总负责人）在服务期内不得更换，因特殊情况更换项目经理（总负责人）的需经采购人同意。</w:t>
      </w:r>
    </w:p>
    <w:p w14:paraId="1C0A50E9">
      <w:pPr>
        <w:widowControl/>
        <w:spacing w:line="400" w:lineRule="exact"/>
        <w:rPr>
          <w:rFonts w:ascii="宋体" w:hAnsi="宋体" w:cs="宋体"/>
          <w:color w:val="auto"/>
          <w:kern w:val="0"/>
          <w:sz w:val="22"/>
          <w:highlight w:val="none"/>
        </w:rPr>
      </w:pPr>
    </w:p>
    <w:p w14:paraId="52CEC220">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60FA2A67">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78399705">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4638058">
      <w:pPr>
        <w:rPr>
          <w:rFonts w:ascii="宋体" w:hAnsi="宋体" w:cs="宋体"/>
          <w:b/>
          <w:bCs/>
          <w:color w:val="auto"/>
          <w:sz w:val="22"/>
          <w:highlight w:val="none"/>
        </w:rPr>
      </w:pPr>
      <w:r>
        <w:rPr>
          <w:rFonts w:hint="eastAsia" w:ascii="宋体" w:hAnsi="宋体" w:cs="宋体"/>
          <w:b/>
          <w:bCs/>
          <w:color w:val="auto"/>
          <w:sz w:val="22"/>
          <w:highlight w:val="none"/>
        </w:rPr>
        <w:br w:type="page"/>
      </w:r>
    </w:p>
    <w:p w14:paraId="083F8E9B">
      <w:pPr>
        <w:jc w:val="center"/>
        <w:rPr>
          <w:rFonts w:ascii="宋体" w:hAnsi="宋体" w:cs="宋体"/>
          <w:b/>
          <w:bCs/>
          <w:color w:val="auto"/>
          <w:sz w:val="22"/>
          <w:highlight w:val="none"/>
        </w:rPr>
      </w:pPr>
      <w:r>
        <w:rPr>
          <w:rFonts w:hint="eastAsia" w:ascii="宋体" w:hAnsi="宋体" w:cs="宋体"/>
          <w:b/>
          <w:bCs/>
          <w:color w:val="auto"/>
          <w:sz w:val="22"/>
          <w:highlight w:val="none"/>
        </w:rPr>
        <w:t>（2）</w:t>
      </w:r>
      <w:bookmarkEnd w:id="20"/>
      <w:bookmarkEnd w:id="21"/>
      <w:bookmarkEnd w:id="22"/>
      <w:bookmarkEnd w:id="23"/>
      <w:r>
        <w:rPr>
          <w:rFonts w:hint="eastAsia" w:ascii="宋体" w:hAnsi="宋体" w:cs="宋体"/>
          <w:b/>
          <w:bCs/>
          <w:color w:val="auto"/>
          <w:sz w:val="22"/>
          <w:highlight w:val="none"/>
        </w:rPr>
        <w:t>拟投入的项目实施人员名单</w:t>
      </w:r>
    </w:p>
    <w:p w14:paraId="094E9399">
      <w:pPr>
        <w:spacing w:line="400" w:lineRule="atLeast"/>
        <w:rPr>
          <w:rFonts w:ascii="宋体" w:hAnsi="宋体" w:cs="宋体"/>
          <w:color w:val="auto"/>
          <w:sz w:val="22"/>
          <w:highlight w:val="none"/>
        </w:rPr>
      </w:pPr>
      <w:r>
        <w:rPr>
          <w:rFonts w:hint="eastAsia" w:ascii="宋体" w:hAnsi="宋体" w:cs="宋体"/>
          <w:b/>
          <w:color w:val="auto"/>
          <w:sz w:val="22"/>
          <w:highlight w:val="none"/>
        </w:rPr>
        <w:t>标项名称：                                     项目编号：</w:t>
      </w:r>
    </w:p>
    <w:tbl>
      <w:tblPr>
        <w:tblStyle w:val="33"/>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899"/>
      </w:tblGrid>
      <w:tr w14:paraId="6ACD1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66" w:type="dxa"/>
            <w:noWrap/>
            <w:vAlign w:val="center"/>
          </w:tcPr>
          <w:p w14:paraId="26810C68">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序号</w:t>
            </w:r>
          </w:p>
        </w:tc>
        <w:tc>
          <w:tcPr>
            <w:tcW w:w="958" w:type="dxa"/>
            <w:noWrap/>
            <w:vAlign w:val="center"/>
          </w:tcPr>
          <w:p w14:paraId="3FC5B19F">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姓名</w:t>
            </w:r>
          </w:p>
        </w:tc>
        <w:tc>
          <w:tcPr>
            <w:tcW w:w="958" w:type="dxa"/>
            <w:noWrap/>
            <w:vAlign w:val="center"/>
          </w:tcPr>
          <w:p w14:paraId="1E3BF150">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性别</w:t>
            </w:r>
          </w:p>
        </w:tc>
        <w:tc>
          <w:tcPr>
            <w:tcW w:w="767" w:type="dxa"/>
            <w:noWrap/>
            <w:vAlign w:val="center"/>
          </w:tcPr>
          <w:p w14:paraId="7CA547A6">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年龄</w:t>
            </w:r>
          </w:p>
        </w:tc>
        <w:tc>
          <w:tcPr>
            <w:tcW w:w="767" w:type="dxa"/>
            <w:noWrap/>
            <w:vAlign w:val="center"/>
          </w:tcPr>
          <w:p w14:paraId="6BBAB758">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学历</w:t>
            </w:r>
          </w:p>
        </w:tc>
        <w:tc>
          <w:tcPr>
            <w:tcW w:w="1340" w:type="dxa"/>
            <w:noWrap/>
            <w:vAlign w:val="center"/>
          </w:tcPr>
          <w:p w14:paraId="75189789">
            <w:pPr>
              <w:spacing w:line="360" w:lineRule="auto"/>
              <w:jc w:val="center"/>
              <w:rPr>
                <w:rFonts w:ascii="宋体" w:hAnsi="宋体" w:cs="宋体"/>
                <w:color w:val="auto"/>
                <w:sz w:val="22"/>
                <w:highlight w:val="none"/>
              </w:rPr>
            </w:pPr>
            <w:r>
              <w:rPr>
                <w:rFonts w:hint="eastAsia" w:ascii="宋体" w:hAnsi="宋体" w:cs="宋体"/>
                <w:color w:val="auto"/>
                <w:sz w:val="22"/>
                <w:highlight w:val="none"/>
              </w:rPr>
              <w:t>职称/职务</w:t>
            </w:r>
          </w:p>
        </w:tc>
        <w:tc>
          <w:tcPr>
            <w:tcW w:w="1326" w:type="dxa"/>
            <w:noWrap/>
            <w:vAlign w:val="center"/>
          </w:tcPr>
          <w:p w14:paraId="4B7A6A9D">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本工程中的岗位</w:t>
            </w:r>
          </w:p>
        </w:tc>
        <w:tc>
          <w:tcPr>
            <w:tcW w:w="1825" w:type="dxa"/>
            <w:noWrap/>
            <w:vAlign w:val="center"/>
          </w:tcPr>
          <w:p w14:paraId="3258EF04">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从事专业年限</w:t>
            </w:r>
          </w:p>
        </w:tc>
        <w:tc>
          <w:tcPr>
            <w:tcW w:w="899" w:type="dxa"/>
            <w:noWrap/>
            <w:vAlign w:val="center"/>
          </w:tcPr>
          <w:p w14:paraId="18D62819">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备注</w:t>
            </w:r>
          </w:p>
        </w:tc>
      </w:tr>
      <w:tr w14:paraId="3B51E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58136AD2">
            <w:pPr>
              <w:spacing w:line="360" w:lineRule="auto"/>
              <w:jc w:val="center"/>
              <w:rPr>
                <w:rFonts w:ascii="宋体" w:hAnsi="宋体" w:cs="宋体"/>
                <w:color w:val="auto"/>
                <w:sz w:val="22"/>
                <w:highlight w:val="none"/>
              </w:rPr>
            </w:pPr>
          </w:p>
        </w:tc>
        <w:tc>
          <w:tcPr>
            <w:tcW w:w="958" w:type="dxa"/>
            <w:noWrap/>
            <w:vAlign w:val="center"/>
          </w:tcPr>
          <w:p w14:paraId="7BF5F17F">
            <w:pPr>
              <w:spacing w:line="360" w:lineRule="auto"/>
              <w:jc w:val="center"/>
              <w:rPr>
                <w:rFonts w:ascii="宋体" w:hAnsi="宋体" w:cs="宋体"/>
                <w:color w:val="auto"/>
                <w:sz w:val="22"/>
                <w:highlight w:val="none"/>
              </w:rPr>
            </w:pPr>
          </w:p>
        </w:tc>
        <w:tc>
          <w:tcPr>
            <w:tcW w:w="958" w:type="dxa"/>
            <w:noWrap/>
            <w:vAlign w:val="center"/>
          </w:tcPr>
          <w:p w14:paraId="253E94F7">
            <w:pPr>
              <w:spacing w:line="360" w:lineRule="auto"/>
              <w:jc w:val="center"/>
              <w:rPr>
                <w:rFonts w:ascii="宋体" w:hAnsi="宋体" w:cs="宋体"/>
                <w:color w:val="auto"/>
                <w:sz w:val="22"/>
                <w:highlight w:val="none"/>
              </w:rPr>
            </w:pPr>
          </w:p>
        </w:tc>
        <w:tc>
          <w:tcPr>
            <w:tcW w:w="767" w:type="dxa"/>
            <w:noWrap/>
            <w:vAlign w:val="center"/>
          </w:tcPr>
          <w:p w14:paraId="6CE59D12">
            <w:pPr>
              <w:spacing w:line="360" w:lineRule="auto"/>
              <w:jc w:val="center"/>
              <w:rPr>
                <w:rFonts w:ascii="宋体" w:hAnsi="宋体" w:cs="宋体"/>
                <w:color w:val="auto"/>
                <w:sz w:val="22"/>
                <w:highlight w:val="none"/>
              </w:rPr>
            </w:pPr>
          </w:p>
        </w:tc>
        <w:tc>
          <w:tcPr>
            <w:tcW w:w="767" w:type="dxa"/>
            <w:noWrap/>
            <w:vAlign w:val="center"/>
          </w:tcPr>
          <w:p w14:paraId="3FC7B779">
            <w:pPr>
              <w:spacing w:line="360" w:lineRule="auto"/>
              <w:jc w:val="center"/>
              <w:rPr>
                <w:rFonts w:ascii="宋体" w:hAnsi="宋体" w:cs="宋体"/>
                <w:color w:val="auto"/>
                <w:sz w:val="22"/>
                <w:highlight w:val="none"/>
              </w:rPr>
            </w:pPr>
          </w:p>
        </w:tc>
        <w:tc>
          <w:tcPr>
            <w:tcW w:w="1340" w:type="dxa"/>
            <w:noWrap/>
            <w:vAlign w:val="center"/>
          </w:tcPr>
          <w:p w14:paraId="6BD66137">
            <w:pPr>
              <w:spacing w:line="360" w:lineRule="auto"/>
              <w:jc w:val="center"/>
              <w:rPr>
                <w:rFonts w:ascii="宋体" w:hAnsi="宋体" w:cs="宋体"/>
                <w:color w:val="auto"/>
                <w:sz w:val="22"/>
                <w:highlight w:val="none"/>
              </w:rPr>
            </w:pPr>
          </w:p>
        </w:tc>
        <w:tc>
          <w:tcPr>
            <w:tcW w:w="1326" w:type="dxa"/>
            <w:noWrap/>
            <w:vAlign w:val="center"/>
          </w:tcPr>
          <w:p w14:paraId="1A5C6708">
            <w:pPr>
              <w:spacing w:line="360" w:lineRule="auto"/>
              <w:jc w:val="center"/>
              <w:rPr>
                <w:rFonts w:ascii="宋体" w:hAnsi="宋体" w:cs="宋体"/>
                <w:color w:val="auto"/>
                <w:sz w:val="22"/>
                <w:highlight w:val="none"/>
              </w:rPr>
            </w:pPr>
          </w:p>
        </w:tc>
        <w:tc>
          <w:tcPr>
            <w:tcW w:w="1825" w:type="dxa"/>
            <w:noWrap/>
          </w:tcPr>
          <w:p w14:paraId="65E94EAF">
            <w:pPr>
              <w:spacing w:line="360" w:lineRule="auto"/>
              <w:jc w:val="center"/>
              <w:rPr>
                <w:rFonts w:ascii="宋体" w:hAnsi="宋体" w:cs="宋体"/>
                <w:color w:val="auto"/>
                <w:sz w:val="22"/>
                <w:highlight w:val="none"/>
              </w:rPr>
            </w:pPr>
          </w:p>
        </w:tc>
        <w:tc>
          <w:tcPr>
            <w:tcW w:w="899" w:type="dxa"/>
            <w:noWrap/>
            <w:vAlign w:val="center"/>
          </w:tcPr>
          <w:p w14:paraId="427C72EE">
            <w:pPr>
              <w:spacing w:line="360" w:lineRule="auto"/>
              <w:jc w:val="center"/>
              <w:rPr>
                <w:rFonts w:ascii="宋体" w:hAnsi="宋体" w:cs="宋体"/>
                <w:color w:val="auto"/>
                <w:sz w:val="22"/>
                <w:highlight w:val="none"/>
              </w:rPr>
            </w:pPr>
          </w:p>
        </w:tc>
      </w:tr>
      <w:tr w14:paraId="2A516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505B1B37">
            <w:pPr>
              <w:spacing w:line="360" w:lineRule="auto"/>
              <w:jc w:val="center"/>
              <w:rPr>
                <w:rFonts w:ascii="宋体" w:hAnsi="宋体" w:cs="宋体"/>
                <w:color w:val="auto"/>
                <w:sz w:val="22"/>
                <w:highlight w:val="none"/>
              </w:rPr>
            </w:pPr>
          </w:p>
        </w:tc>
        <w:tc>
          <w:tcPr>
            <w:tcW w:w="958" w:type="dxa"/>
            <w:noWrap/>
            <w:vAlign w:val="center"/>
          </w:tcPr>
          <w:p w14:paraId="522FE46C">
            <w:pPr>
              <w:spacing w:line="360" w:lineRule="auto"/>
              <w:jc w:val="center"/>
              <w:rPr>
                <w:rFonts w:ascii="宋体" w:hAnsi="宋体" w:cs="宋体"/>
                <w:color w:val="auto"/>
                <w:sz w:val="22"/>
                <w:highlight w:val="none"/>
              </w:rPr>
            </w:pPr>
          </w:p>
        </w:tc>
        <w:tc>
          <w:tcPr>
            <w:tcW w:w="958" w:type="dxa"/>
            <w:noWrap/>
            <w:vAlign w:val="center"/>
          </w:tcPr>
          <w:p w14:paraId="125ADC1A">
            <w:pPr>
              <w:spacing w:line="360" w:lineRule="auto"/>
              <w:jc w:val="center"/>
              <w:rPr>
                <w:rFonts w:ascii="宋体" w:hAnsi="宋体" w:cs="宋体"/>
                <w:color w:val="auto"/>
                <w:sz w:val="22"/>
                <w:highlight w:val="none"/>
              </w:rPr>
            </w:pPr>
          </w:p>
        </w:tc>
        <w:tc>
          <w:tcPr>
            <w:tcW w:w="767" w:type="dxa"/>
            <w:noWrap/>
            <w:vAlign w:val="center"/>
          </w:tcPr>
          <w:p w14:paraId="42BA9541">
            <w:pPr>
              <w:spacing w:line="360" w:lineRule="auto"/>
              <w:jc w:val="center"/>
              <w:rPr>
                <w:rFonts w:ascii="宋体" w:hAnsi="宋体" w:cs="宋体"/>
                <w:color w:val="auto"/>
                <w:sz w:val="22"/>
                <w:highlight w:val="none"/>
              </w:rPr>
            </w:pPr>
          </w:p>
        </w:tc>
        <w:tc>
          <w:tcPr>
            <w:tcW w:w="767" w:type="dxa"/>
            <w:noWrap/>
            <w:vAlign w:val="center"/>
          </w:tcPr>
          <w:p w14:paraId="0AFCC737">
            <w:pPr>
              <w:spacing w:line="360" w:lineRule="auto"/>
              <w:jc w:val="center"/>
              <w:rPr>
                <w:rFonts w:ascii="宋体" w:hAnsi="宋体" w:cs="宋体"/>
                <w:color w:val="auto"/>
                <w:sz w:val="22"/>
                <w:highlight w:val="none"/>
              </w:rPr>
            </w:pPr>
          </w:p>
        </w:tc>
        <w:tc>
          <w:tcPr>
            <w:tcW w:w="1340" w:type="dxa"/>
            <w:noWrap/>
            <w:vAlign w:val="center"/>
          </w:tcPr>
          <w:p w14:paraId="1E735256">
            <w:pPr>
              <w:spacing w:line="360" w:lineRule="auto"/>
              <w:jc w:val="center"/>
              <w:rPr>
                <w:rFonts w:ascii="宋体" w:hAnsi="宋体" w:cs="宋体"/>
                <w:color w:val="auto"/>
                <w:sz w:val="22"/>
                <w:highlight w:val="none"/>
              </w:rPr>
            </w:pPr>
          </w:p>
        </w:tc>
        <w:tc>
          <w:tcPr>
            <w:tcW w:w="1326" w:type="dxa"/>
            <w:noWrap/>
            <w:vAlign w:val="center"/>
          </w:tcPr>
          <w:p w14:paraId="492A806A">
            <w:pPr>
              <w:spacing w:line="360" w:lineRule="auto"/>
              <w:jc w:val="center"/>
              <w:rPr>
                <w:rFonts w:ascii="宋体" w:hAnsi="宋体" w:cs="宋体"/>
                <w:color w:val="auto"/>
                <w:sz w:val="22"/>
                <w:highlight w:val="none"/>
              </w:rPr>
            </w:pPr>
          </w:p>
        </w:tc>
        <w:tc>
          <w:tcPr>
            <w:tcW w:w="1825" w:type="dxa"/>
            <w:noWrap/>
          </w:tcPr>
          <w:p w14:paraId="7E8D2DCF">
            <w:pPr>
              <w:spacing w:line="360" w:lineRule="auto"/>
              <w:jc w:val="center"/>
              <w:rPr>
                <w:rFonts w:ascii="宋体" w:hAnsi="宋体" w:cs="宋体"/>
                <w:color w:val="auto"/>
                <w:sz w:val="22"/>
                <w:highlight w:val="none"/>
              </w:rPr>
            </w:pPr>
          </w:p>
        </w:tc>
        <w:tc>
          <w:tcPr>
            <w:tcW w:w="899" w:type="dxa"/>
            <w:noWrap/>
            <w:vAlign w:val="center"/>
          </w:tcPr>
          <w:p w14:paraId="09234D19">
            <w:pPr>
              <w:spacing w:line="360" w:lineRule="auto"/>
              <w:jc w:val="center"/>
              <w:rPr>
                <w:rFonts w:ascii="宋体" w:hAnsi="宋体" w:cs="宋体"/>
                <w:color w:val="auto"/>
                <w:sz w:val="22"/>
                <w:highlight w:val="none"/>
              </w:rPr>
            </w:pPr>
          </w:p>
        </w:tc>
      </w:tr>
      <w:tr w14:paraId="540F3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0F9B2A01">
            <w:pPr>
              <w:spacing w:line="360" w:lineRule="auto"/>
              <w:jc w:val="center"/>
              <w:rPr>
                <w:rFonts w:ascii="宋体" w:hAnsi="宋体" w:cs="宋体"/>
                <w:color w:val="auto"/>
                <w:sz w:val="22"/>
                <w:highlight w:val="none"/>
              </w:rPr>
            </w:pPr>
          </w:p>
        </w:tc>
        <w:tc>
          <w:tcPr>
            <w:tcW w:w="958" w:type="dxa"/>
            <w:noWrap/>
            <w:vAlign w:val="center"/>
          </w:tcPr>
          <w:p w14:paraId="4EA72CC6">
            <w:pPr>
              <w:spacing w:line="360" w:lineRule="auto"/>
              <w:jc w:val="center"/>
              <w:rPr>
                <w:rFonts w:ascii="宋体" w:hAnsi="宋体" w:cs="宋体"/>
                <w:color w:val="auto"/>
                <w:sz w:val="22"/>
                <w:highlight w:val="none"/>
              </w:rPr>
            </w:pPr>
          </w:p>
        </w:tc>
        <w:tc>
          <w:tcPr>
            <w:tcW w:w="958" w:type="dxa"/>
            <w:noWrap/>
            <w:vAlign w:val="center"/>
          </w:tcPr>
          <w:p w14:paraId="7E6D7B8C">
            <w:pPr>
              <w:spacing w:line="360" w:lineRule="auto"/>
              <w:jc w:val="center"/>
              <w:rPr>
                <w:rFonts w:ascii="宋体" w:hAnsi="宋体" w:cs="宋体"/>
                <w:color w:val="auto"/>
                <w:sz w:val="22"/>
                <w:highlight w:val="none"/>
              </w:rPr>
            </w:pPr>
          </w:p>
        </w:tc>
        <w:tc>
          <w:tcPr>
            <w:tcW w:w="767" w:type="dxa"/>
            <w:noWrap/>
            <w:vAlign w:val="center"/>
          </w:tcPr>
          <w:p w14:paraId="49299EF9">
            <w:pPr>
              <w:spacing w:line="360" w:lineRule="auto"/>
              <w:jc w:val="center"/>
              <w:rPr>
                <w:rFonts w:ascii="宋体" w:hAnsi="宋体" w:cs="宋体"/>
                <w:color w:val="auto"/>
                <w:sz w:val="22"/>
                <w:highlight w:val="none"/>
              </w:rPr>
            </w:pPr>
          </w:p>
        </w:tc>
        <w:tc>
          <w:tcPr>
            <w:tcW w:w="767" w:type="dxa"/>
            <w:noWrap/>
            <w:vAlign w:val="center"/>
          </w:tcPr>
          <w:p w14:paraId="5CC48CB3">
            <w:pPr>
              <w:spacing w:line="360" w:lineRule="auto"/>
              <w:jc w:val="center"/>
              <w:rPr>
                <w:rFonts w:ascii="宋体" w:hAnsi="宋体" w:cs="宋体"/>
                <w:color w:val="auto"/>
                <w:sz w:val="22"/>
                <w:highlight w:val="none"/>
              </w:rPr>
            </w:pPr>
          </w:p>
        </w:tc>
        <w:tc>
          <w:tcPr>
            <w:tcW w:w="1340" w:type="dxa"/>
            <w:noWrap/>
            <w:vAlign w:val="center"/>
          </w:tcPr>
          <w:p w14:paraId="7B568B7C">
            <w:pPr>
              <w:spacing w:line="360" w:lineRule="auto"/>
              <w:jc w:val="center"/>
              <w:rPr>
                <w:rFonts w:ascii="宋体" w:hAnsi="宋体" w:cs="宋体"/>
                <w:color w:val="auto"/>
                <w:sz w:val="22"/>
                <w:highlight w:val="none"/>
              </w:rPr>
            </w:pPr>
          </w:p>
        </w:tc>
        <w:tc>
          <w:tcPr>
            <w:tcW w:w="1326" w:type="dxa"/>
            <w:noWrap/>
            <w:vAlign w:val="center"/>
          </w:tcPr>
          <w:p w14:paraId="423219CB">
            <w:pPr>
              <w:spacing w:line="360" w:lineRule="auto"/>
              <w:jc w:val="center"/>
              <w:rPr>
                <w:rFonts w:ascii="宋体" w:hAnsi="宋体" w:cs="宋体"/>
                <w:color w:val="auto"/>
                <w:sz w:val="22"/>
                <w:highlight w:val="none"/>
              </w:rPr>
            </w:pPr>
          </w:p>
        </w:tc>
        <w:tc>
          <w:tcPr>
            <w:tcW w:w="1825" w:type="dxa"/>
            <w:noWrap/>
          </w:tcPr>
          <w:p w14:paraId="1714636E">
            <w:pPr>
              <w:spacing w:line="360" w:lineRule="auto"/>
              <w:jc w:val="center"/>
              <w:rPr>
                <w:rFonts w:ascii="宋体" w:hAnsi="宋体" w:cs="宋体"/>
                <w:color w:val="auto"/>
                <w:sz w:val="22"/>
                <w:highlight w:val="none"/>
              </w:rPr>
            </w:pPr>
          </w:p>
        </w:tc>
        <w:tc>
          <w:tcPr>
            <w:tcW w:w="899" w:type="dxa"/>
            <w:noWrap/>
            <w:vAlign w:val="center"/>
          </w:tcPr>
          <w:p w14:paraId="04372EE8">
            <w:pPr>
              <w:spacing w:line="360" w:lineRule="auto"/>
              <w:jc w:val="center"/>
              <w:rPr>
                <w:rFonts w:ascii="宋体" w:hAnsi="宋体" w:cs="宋体"/>
                <w:color w:val="auto"/>
                <w:sz w:val="22"/>
                <w:highlight w:val="none"/>
              </w:rPr>
            </w:pPr>
          </w:p>
        </w:tc>
      </w:tr>
      <w:tr w14:paraId="1D97F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67272874">
            <w:pPr>
              <w:spacing w:line="360" w:lineRule="auto"/>
              <w:jc w:val="center"/>
              <w:rPr>
                <w:rFonts w:ascii="宋体" w:hAnsi="宋体" w:cs="宋体"/>
                <w:color w:val="auto"/>
                <w:sz w:val="22"/>
                <w:highlight w:val="none"/>
              </w:rPr>
            </w:pPr>
          </w:p>
        </w:tc>
        <w:tc>
          <w:tcPr>
            <w:tcW w:w="958" w:type="dxa"/>
            <w:noWrap/>
            <w:vAlign w:val="center"/>
          </w:tcPr>
          <w:p w14:paraId="6447E2B3">
            <w:pPr>
              <w:spacing w:line="360" w:lineRule="auto"/>
              <w:jc w:val="center"/>
              <w:rPr>
                <w:rFonts w:ascii="宋体" w:hAnsi="宋体" w:cs="宋体"/>
                <w:color w:val="auto"/>
                <w:sz w:val="22"/>
                <w:highlight w:val="none"/>
              </w:rPr>
            </w:pPr>
          </w:p>
        </w:tc>
        <w:tc>
          <w:tcPr>
            <w:tcW w:w="958" w:type="dxa"/>
            <w:noWrap/>
            <w:vAlign w:val="center"/>
          </w:tcPr>
          <w:p w14:paraId="34D0D0D5">
            <w:pPr>
              <w:spacing w:line="360" w:lineRule="auto"/>
              <w:jc w:val="center"/>
              <w:rPr>
                <w:rFonts w:ascii="宋体" w:hAnsi="宋体" w:cs="宋体"/>
                <w:color w:val="auto"/>
                <w:sz w:val="22"/>
                <w:highlight w:val="none"/>
              </w:rPr>
            </w:pPr>
          </w:p>
        </w:tc>
        <w:tc>
          <w:tcPr>
            <w:tcW w:w="767" w:type="dxa"/>
            <w:noWrap/>
            <w:vAlign w:val="center"/>
          </w:tcPr>
          <w:p w14:paraId="49E8531F">
            <w:pPr>
              <w:spacing w:line="360" w:lineRule="auto"/>
              <w:jc w:val="center"/>
              <w:rPr>
                <w:rFonts w:ascii="宋体" w:hAnsi="宋体" w:cs="宋体"/>
                <w:color w:val="auto"/>
                <w:sz w:val="22"/>
                <w:highlight w:val="none"/>
              </w:rPr>
            </w:pPr>
          </w:p>
        </w:tc>
        <w:tc>
          <w:tcPr>
            <w:tcW w:w="767" w:type="dxa"/>
            <w:noWrap/>
            <w:vAlign w:val="center"/>
          </w:tcPr>
          <w:p w14:paraId="70C99AA2">
            <w:pPr>
              <w:spacing w:line="360" w:lineRule="auto"/>
              <w:jc w:val="center"/>
              <w:rPr>
                <w:rFonts w:ascii="宋体" w:hAnsi="宋体" w:cs="宋体"/>
                <w:color w:val="auto"/>
                <w:sz w:val="22"/>
                <w:highlight w:val="none"/>
              </w:rPr>
            </w:pPr>
          </w:p>
        </w:tc>
        <w:tc>
          <w:tcPr>
            <w:tcW w:w="1340" w:type="dxa"/>
            <w:noWrap/>
            <w:vAlign w:val="center"/>
          </w:tcPr>
          <w:p w14:paraId="013E38E8">
            <w:pPr>
              <w:spacing w:line="360" w:lineRule="auto"/>
              <w:jc w:val="center"/>
              <w:rPr>
                <w:rFonts w:ascii="宋体" w:hAnsi="宋体" w:cs="宋体"/>
                <w:color w:val="auto"/>
                <w:sz w:val="22"/>
                <w:highlight w:val="none"/>
              </w:rPr>
            </w:pPr>
          </w:p>
        </w:tc>
        <w:tc>
          <w:tcPr>
            <w:tcW w:w="1326" w:type="dxa"/>
            <w:noWrap/>
            <w:vAlign w:val="center"/>
          </w:tcPr>
          <w:p w14:paraId="4B19E017">
            <w:pPr>
              <w:spacing w:line="360" w:lineRule="auto"/>
              <w:jc w:val="center"/>
              <w:rPr>
                <w:rFonts w:ascii="宋体" w:hAnsi="宋体" w:cs="宋体"/>
                <w:color w:val="auto"/>
                <w:sz w:val="22"/>
                <w:highlight w:val="none"/>
              </w:rPr>
            </w:pPr>
          </w:p>
        </w:tc>
        <w:tc>
          <w:tcPr>
            <w:tcW w:w="1825" w:type="dxa"/>
            <w:noWrap/>
          </w:tcPr>
          <w:p w14:paraId="3AB6BAF5">
            <w:pPr>
              <w:spacing w:line="360" w:lineRule="auto"/>
              <w:jc w:val="center"/>
              <w:rPr>
                <w:rFonts w:ascii="宋体" w:hAnsi="宋体" w:cs="宋体"/>
                <w:color w:val="auto"/>
                <w:sz w:val="22"/>
                <w:highlight w:val="none"/>
              </w:rPr>
            </w:pPr>
          </w:p>
        </w:tc>
        <w:tc>
          <w:tcPr>
            <w:tcW w:w="899" w:type="dxa"/>
            <w:noWrap/>
            <w:vAlign w:val="center"/>
          </w:tcPr>
          <w:p w14:paraId="0F2F1DD3">
            <w:pPr>
              <w:spacing w:line="360" w:lineRule="auto"/>
              <w:jc w:val="center"/>
              <w:rPr>
                <w:rFonts w:ascii="宋体" w:hAnsi="宋体" w:cs="宋体"/>
                <w:color w:val="auto"/>
                <w:sz w:val="22"/>
                <w:highlight w:val="none"/>
              </w:rPr>
            </w:pPr>
          </w:p>
        </w:tc>
      </w:tr>
      <w:tr w14:paraId="3E32A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694AA9CA">
            <w:pPr>
              <w:spacing w:line="360" w:lineRule="auto"/>
              <w:jc w:val="center"/>
              <w:rPr>
                <w:rFonts w:ascii="宋体" w:hAnsi="宋体" w:cs="宋体"/>
                <w:color w:val="auto"/>
                <w:sz w:val="22"/>
                <w:highlight w:val="none"/>
              </w:rPr>
            </w:pPr>
          </w:p>
        </w:tc>
        <w:tc>
          <w:tcPr>
            <w:tcW w:w="958" w:type="dxa"/>
            <w:noWrap/>
            <w:vAlign w:val="center"/>
          </w:tcPr>
          <w:p w14:paraId="7060AC3B">
            <w:pPr>
              <w:spacing w:line="360" w:lineRule="auto"/>
              <w:jc w:val="center"/>
              <w:rPr>
                <w:rFonts w:ascii="宋体" w:hAnsi="宋体" w:cs="宋体"/>
                <w:color w:val="auto"/>
                <w:sz w:val="22"/>
                <w:highlight w:val="none"/>
              </w:rPr>
            </w:pPr>
          </w:p>
        </w:tc>
        <w:tc>
          <w:tcPr>
            <w:tcW w:w="958" w:type="dxa"/>
            <w:noWrap/>
            <w:vAlign w:val="center"/>
          </w:tcPr>
          <w:p w14:paraId="47BC4B52">
            <w:pPr>
              <w:spacing w:line="360" w:lineRule="auto"/>
              <w:jc w:val="center"/>
              <w:rPr>
                <w:rFonts w:ascii="宋体" w:hAnsi="宋体" w:cs="宋体"/>
                <w:color w:val="auto"/>
                <w:sz w:val="22"/>
                <w:highlight w:val="none"/>
              </w:rPr>
            </w:pPr>
          </w:p>
        </w:tc>
        <w:tc>
          <w:tcPr>
            <w:tcW w:w="767" w:type="dxa"/>
            <w:noWrap/>
            <w:vAlign w:val="center"/>
          </w:tcPr>
          <w:p w14:paraId="1DA2543F">
            <w:pPr>
              <w:spacing w:line="360" w:lineRule="auto"/>
              <w:jc w:val="center"/>
              <w:rPr>
                <w:rFonts w:ascii="宋体" w:hAnsi="宋体" w:cs="宋体"/>
                <w:color w:val="auto"/>
                <w:sz w:val="22"/>
                <w:highlight w:val="none"/>
              </w:rPr>
            </w:pPr>
          </w:p>
        </w:tc>
        <w:tc>
          <w:tcPr>
            <w:tcW w:w="767" w:type="dxa"/>
            <w:noWrap/>
            <w:vAlign w:val="center"/>
          </w:tcPr>
          <w:p w14:paraId="7786A4FD">
            <w:pPr>
              <w:spacing w:line="360" w:lineRule="auto"/>
              <w:jc w:val="center"/>
              <w:rPr>
                <w:rFonts w:ascii="宋体" w:hAnsi="宋体" w:cs="宋体"/>
                <w:color w:val="auto"/>
                <w:sz w:val="22"/>
                <w:highlight w:val="none"/>
              </w:rPr>
            </w:pPr>
          </w:p>
        </w:tc>
        <w:tc>
          <w:tcPr>
            <w:tcW w:w="1340" w:type="dxa"/>
            <w:noWrap/>
            <w:vAlign w:val="center"/>
          </w:tcPr>
          <w:p w14:paraId="03746F48">
            <w:pPr>
              <w:spacing w:line="360" w:lineRule="auto"/>
              <w:jc w:val="center"/>
              <w:rPr>
                <w:rFonts w:ascii="宋体" w:hAnsi="宋体" w:cs="宋体"/>
                <w:color w:val="auto"/>
                <w:sz w:val="22"/>
                <w:highlight w:val="none"/>
              </w:rPr>
            </w:pPr>
          </w:p>
        </w:tc>
        <w:tc>
          <w:tcPr>
            <w:tcW w:w="1326" w:type="dxa"/>
            <w:noWrap/>
            <w:vAlign w:val="center"/>
          </w:tcPr>
          <w:p w14:paraId="24DDC9E4">
            <w:pPr>
              <w:spacing w:line="360" w:lineRule="auto"/>
              <w:jc w:val="center"/>
              <w:rPr>
                <w:rFonts w:ascii="宋体" w:hAnsi="宋体" w:cs="宋体"/>
                <w:color w:val="auto"/>
                <w:sz w:val="22"/>
                <w:highlight w:val="none"/>
              </w:rPr>
            </w:pPr>
          </w:p>
        </w:tc>
        <w:tc>
          <w:tcPr>
            <w:tcW w:w="1825" w:type="dxa"/>
            <w:noWrap/>
          </w:tcPr>
          <w:p w14:paraId="6B96F429">
            <w:pPr>
              <w:spacing w:line="360" w:lineRule="auto"/>
              <w:jc w:val="center"/>
              <w:rPr>
                <w:rFonts w:ascii="宋体" w:hAnsi="宋体" w:cs="宋体"/>
                <w:color w:val="auto"/>
                <w:sz w:val="22"/>
                <w:highlight w:val="none"/>
              </w:rPr>
            </w:pPr>
          </w:p>
        </w:tc>
        <w:tc>
          <w:tcPr>
            <w:tcW w:w="899" w:type="dxa"/>
            <w:noWrap/>
            <w:vAlign w:val="center"/>
          </w:tcPr>
          <w:p w14:paraId="1921BBEA">
            <w:pPr>
              <w:spacing w:line="360" w:lineRule="auto"/>
              <w:jc w:val="center"/>
              <w:rPr>
                <w:rFonts w:ascii="宋体" w:hAnsi="宋体" w:cs="宋体"/>
                <w:color w:val="auto"/>
                <w:sz w:val="22"/>
                <w:highlight w:val="none"/>
              </w:rPr>
            </w:pPr>
          </w:p>
        </w:tc>
      </w:tr>
      <w:tr w14:paraId="1EF9A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3913F99E">
            <w:pPr>
              <w:spacing w:line="360" w:lineRule="auto"/>
              <w:jc w:val="center"/>
              <w:rPr>
                <w:rFonts w:ascii="宋体" w:hAnsi="宋体" w:cs="宋体"/>
                <w:color w:val="auto"/>
                <w:sz w:val="22"/>
                <w:highlight w:val="none"/>
              </w:rPr>
            </w:pPr>
          </w:p>
        </w:tc>
        <w:tc>
          <w:tcPr>
            <w:tcW w:w="958" w:type="dxa"/>
            <w:noWrap/>
            <w:vAlign w:val="center"/>
          </w:tcPr>
          <w:p w14:paraId="4E5BF74B">
            <w:pPr>
              <w:spacing w:line="360" w:lineRule="auto"/>
              <w:jc w:val="center"/>
              <w:rPr>
                <w:rFonts w:ascii="宋体" w:hAnsi="宋体" w:cs="宋体"/>
                <w:color w:val="auto"/>
                <w:sz w:val="22"/>
                <w:highlight w:val="none"/>
              </w:rPr>
            </w:pPr>
          </w:p>
        </w:tc>
        <w:tc>
          <w:tcPr>
            <w:tcW w:w="958" w:type="dxa"/>
            <w:noWrap/>
            <w:vAlign w:val="center"/>
          </w:tcPr>
          <w:p w14:paraId="392ACA5E">
            <w:pPr>
              <w:spacing w:line="360" w:lineRule="auto"/>
              <w:jc w:val="center"/>
              <w:rPr>
                <w:rFonts w:ascii="宋体" w:hAnsi="宋体" w:cs="宋体"/>
                <w:color w:val="auto"/>
                <w:sz w:val="22"/>
                <w:highlight w:val="none"/>
              </w:rPr>
            </w:pPr>
          </w:p>
        </w:tc>
        <w:tc>
          <w:tcPr>
            <w:tcW w:w="767" w:type="dxa"/>
            <w:noWrap/>
            <w:vAlign w:val="center"/>
          </w:tcPr>
          <w:p w14:paraId="39A254FC">
            <w:pPr>
              <w:spacing w:line="360" w:lineRule="auto"/>
              <w:jc w:val="center"/>
              <w:rPr>
                <w:rFonts w:ascii="宋体" w:hAnsi="宋体" w:cs="宋体"/>
                <w:color w:val="auto"/>
                <w:sz w:val="22"/>
                <w:highlight w:val="none"/>
              </w:rPr>
            </w:pPr>
          </w:p>
        </w:tc>
        <w:tc>
          <w:tcPr>
            <w:tcW w:w="767" w:type="dxa"/>
            <w:noWrap/>
            <w:vAlign w:val="center"/>
          </w:tcPr>
          <w:p w14:paraId="23A32369">
            <w:pPr>
              <w:spacing w:line="360" w:lineRule="auto"/>
              <w:jc w:val="center"/>
              <w:rPr>
                <w:rFonts w:ascii="宋体" w:hAnsi="宋体" w:cs="宋体"/>
                <w:color w:val="auto"/>
                <w:sz w:val="22"/>
                <w:highlight w:val="none"/>
              </w:rPr>
            </w:pPr>
          </w:p>
        </w:tc>
        <w:tc>
          <w:tcPr>
            <w:tcW w:w="1340" w:type="dxa"/>
            <w:noWrap/>
            <w:vAlign w:val="center"/>
          </w:tcPr>
          <w:p w14:paraId="44924125">
            <w:pPr>
              <w:spacing w:line="360" w:lineRule="auto"/>
              <w:jc w:val="center"/>
              <w:rPr>
                <w:rFonts w:ascii="宋体" w:hAnsi="宋体" w:cs="宋体"/>
                <w:color w:val="auto"/>
                <w:sz w:val="22"/>
                <w:highlight w:val="none"/>
              </w:rPr>
            </w:pPr>
          </w:p>
        </w:tc>
        <w:tc>
          <w:tcPr>
            <w:tcW w:w="1326" w:type="dxa"/>
            <w:noWrap/>
            <w:vAlign w:val="center"/>
          </w:tcPr>
          <w:p w14:paraId="39DA05A7">
            <w:pPr>
              <w:spacing w:line="360" w:lineRule="auto"/>
              <w:jc w:val="center"/>
              <w:rPr>
                <w:rFonts w:ascii="宋体" w:hAnsi="宋体" w:cs="宋体"/>
                <w:color w:val="auto"/>
                <w:sz w:val="22"/>
                <w:highlight w:val="none"/>
              </w:rPr>
            </w:pPr>
          </w:p>
        </w:tc>
        <w:tc>
          <w:tcPr>
            <w:tcW w:w="1825" w:type="dxa"/>
            <w:noWrap/>
          </w:tcPr>
          <w:p w14:paraId="7C17B001">
            <w:pPr>
              <w:spacing w:line="360" w:lineRule="auto"/>
              <w:jc w:val="center"/>
              <w:rPr>
                <w:rFonts w:ascii="宋体" w:hAnsi="宋体" w:cs="宋体"/>
                <w:color w:val="auto"/>
                <w:sz w:val="22"/>
                <w:highlight w:val="none"/>
              </w:rPr>
            </w:pPr>
          </w:p>
        </w:tc>
        <w:tc>
          <w:tcPr>
            <w:tcW w:w="899" w:type="dxa"/>
            <w:noWrap/>
            <w:vAlign w:val="center"/>
          </w:tcPr>
          <w:p w14:paraId="33C81C7C">
            <w:pPr>
              <w:spacing w:line="360" w:lineRule="auto"/>
              <w:jc w:val="center"/>
              <w:rPr>
                <w:rFonts w:ascii="宋体" w:hAnsi="宋体" w:cs="宋体"/>
                <w:color w:val="auto"/>
                <w:sz w:val="22"/>
                <w:highlight w:val="none"/>
              </w:rPr>
            </w:pPr>
          </w:p>
        </w:tc>
      </w:tr>
      <w:tr w14:paraId="41425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6986BED3">
            <w:pPr>
              <w:spacing w:line="360" w:lineRule="auto"/>
              <w:jc w:val="center"/>
              <w:rPr>
                <w:rFonts w:ascii="宋体" w:hAnsi="宋体" w:cs="宋体"/>
                <w:color w:val="auto"/>
                <w:sz w:val="22"/>
                <w:highlight w:val="none"/>
              </w:rPr>
            </w:pPr>
          </w:p>
        </w:tc>
        <w:tc>
          <w:tcPr>
            <w:tcW w:w="958" w:type="dxa"/>
            <w:noWrap/>
            <w:vAlign w:val="center"/>
          </w:tcPr>
          <w:p w14:paraId="7153883B">
            <w:pPr>
              <w:spacing w:line="360" w:lineRule="auto"/>
              <w:jc w:val="center"/>
              <w:rPr>
                <w:rFonts w:ascii="宋体" w:hAnsi="宋体" w:cs="宋体"/>
                <w:color w:val="auto"/>
                <w:sz w:val="22"/>
                <w:highlight w:val="none"/>
              </w:rPr>
            </w:pPr>
          </w:p>
        </w:tc>
        <w:tc>
          <w:tcPr>
            <w:tcW w:w="958" w:type="dxa"/>
            <w:noWrap/>
            <w:vAlign w:val="center"/>
          </w:tcPr>
          <w:p w14:paraId="2C9E28A2">
            <w:pPr>
              <w:spacing w:line="360" w:lineRule="auto"/>
              <w:jc w:val="center"/>
              <w:rPr>
                <w:rFonts w:ascii="宋体" w:hAnsi="宋体" w:cs="宋体"/>
                <w:color w:val="auto"/>
                <w:sz w:val="22"/>
                <w:highlight w:val="none"/>
              </w:rPr>
            </w:pPr>
          </w:p>
        </w:tc>
        <w:tc>
          <w:tcPr>
            <w:tcW w:w="767" w:type="dxa"/>
            <w:noWrap/>
            <w:vAlign w:val="center"/>
          </w:tcPr>
          <w:p w14:paraId="4A89A997">
            <w:pPr>
              <w:spacing w:line="360" w:lineRule="auto"/>
              <w:jc w:val="center"/>
              <w:rPr>
                <w:rFonts w:ascii="宋体" w:hAnsi="宋体" w:cs="宋体"/>
                <w:color w:val="auto"/>
                <w:sz w:val="22"/>
                <w:highlight w:val="none"/>
              </w:rPr>
            </w:pPr>
          </w:p>
        </w:tc>
        <w:tc>
          <w:tcPr>
            <w:tcW w:w="767" w:type="dxa"/>
            <w:noWrap/>
            <w:vAlign w:val="center"/>
          </w:tcPr>
          <w:p w14:paraId="1E3BDE6C">
            <w:pPr>
              <w:spacing w:line="360" w:lineRule="auto"/>
              <w:jc w:val="center"/>
              <w:rPr>
                <w:rFonts w:ascii="宋体" w:hAnsi="宋体" w:cs="宋体"/>
                <w:color w:val="auto"/>
                <w:sz w:val="22"/>
                <w:highlight w:val="none"/>
              </w:rPr>
            </w:pPr>
          </w:p>
        </w:tc>
        <w:tc>
          <w:tcPr>
            <w:tcW w:w="1340" w:type="dxa"/>
            <w:noWrap/>
            <w:vAlign w:val="center"/>
          </w:tcPr>
          <w:p w14:paraId="79D0A388">
            <w:pPr>
              <w:spacing w:line="360" w:lineRule="auto"/>
              <w:jc w:val="center"/>
              <w:rPr>
                <w:rFonts w:ascii="宋体" w:hAnsi="宋体" w:cs="宋体"/>
                <w:color w:val="auto"/>
                <w:sz w:val="22"/>
                <w:highlight w:val="none"/>
              </w:rPr>
            </w:pPr>
          </w:p>
        </w:tc>
        <w:tc>
          <w:tcPr>
            <w:tcW w:w="1326" w:type="dxa"/>
            <w:noWrap/>
            <w:vAlign w:val="center"/>
          </w:tcPr>
          <w:p w14:paraId="541E917D">
            <w:pPr>
              <w:spacing w:line="360" w:lineRule="auto"/>
              <w:jc w:val="center"/>
              <w:rPr>
                <w:rFonts w:ascii="宋体" w:hAnsi="宋体" w:cs="宋体"/>
                <w:color w:val="auto"/>
                <w:sz w:val="22"/>
                <w:highlight w:val="none"/>
              </w:rPr>
            </w:pPr>
          </w:p>
        </w:tc>
        <w:tc>
          <w:tcPr>
            <w:tcW w:w="1825" w:type="dxa"/>
            <w:noWrap/>
          </w:tcPr>
          <w:p w14:paraId="33C056A1">
            <w:pPr>
              <w:spacing w:line="360" w:lineRule="auto"/>
              <w:jc w:val="center"/>
              <w:rPr>
                <w:rFonts w:ascii="宋体" w:hAnsi="宋体" w:cs="宋体"/>
                <w:color w:val="auto"/>
                <w:sz w:val="22"/>
                <w:highlight w:val="none"/>
              </w:rPr>
            </w:pPr>
          </w:p>
        </w:tc>
        <w:tc>
          <w:tcPr>
            <w:tcW w:w="899" w:type="dxa"/>
            <w:noWrap/>
            <w:vAlign w:val="center"/>
          </w:tcPr>
          <w:p w14:paraId="74C83FBE">
            <w:pPr>
              <w:spacing w:line="360" w:lineRule="auto"/>
              <w:jc w:val="center"/>
              <w:rPr>
                <w:rFonts w:ascii="宋体" w:hAnsi="宋体" w:cs="宋体"/>
                <w:color w:val="auto"/>
                <w:sz w:val="22"/>
                <w:highlight w:val="none"/>
              </w:rPr>
            </w:pPr>
          </w:p>
        </w:tc>
      </w:tr>
      <w:tr w14:paraId="690CB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2885BE14">
            <w:pPr>
              <w:spacing w:line="360" w:lineRule="auto"/>
              <w:jc w:val="center"/>
              <w:rPr>
                <w:rFonts w:ascii="宋体" w:hAnsi="宋体" w:cs="宋体"/>
                <w:color w:val="auto"/>
                <w:sz w:val="22"/>
                <w:highlight w:val="none"/>
              </w:rPr>
            </w:pPr>
          </w:p>
        </w:tc>
        <w:tc>
          <w:tcPr>
            <w:tcW w:w="958" w:type="dxa"/>
            <w:noWrap/>
            <w:vAlign w:val="center"/>
          </w:tcPr>
          <w:p w14:paraId="2DD9D930">
            <w:pPr>
              <w:spacing w:line="360" w:lineRule="auto"/>
              <w:jc w:val="center"/>
              <w:rPr>
                <w:rFonts w:ascii="宋体" w:hAnsi="宋体" w:cs="宋体"/>
                <w:color w:val="auto"/>
                <w:sz w:val="22"/>
                <w:highlight w:val="none"/>
              </w:rPr>
            </w:pPr>
          </w:p>
        </w:tc>
        <w:tc>
          <w:tcPr>
            <w:tcW w:w="958" w:type="dxa"/>
            <w:noWrap/>
            <w:vAlign w:val="center"/>
          </w:tcPr>
          <w:p w14:paraId="196DCAB3">
            <w:pPr>
              <w:spacing w:line="360" w:lineRule="auto"/>
              <w:jc w:val="center"/>
              <w:rPr>
                <w:rFonts w:ascii="宋体" w:hAnsi="宋体" w:cs="宋体"/>
                <w:color w:val="auto"/>
                <w:sz w:val="22"/>
                <w:highlight w:val="none"/>
              </w:rPr>
            </w:pPr>
          </w:p>
        </w:tc>
        <w:tc>
          <w:tcPr>
            <w:tcW w:w="767" w:type="dxa"/>
            <w:noWrap/>
            <w:vAlign w:val="center"/>
          </w:tcPr>
          <w:p w14:paraId="2405FAB6">
            <w:pPr>
              <w:spacing w:line="360" w:lineRule="auto"/>
              <w:jc w:val="center"/>
              <w:rPr>
                <w:rFonts w:ascii="宋体" w:hAnsi="宋体" w:cs="宋体"/>
                <w:color w:val="auto"/>
                <w:sz w:val="22"/>
                <w:highlight w:val="none"/>
              </w:rPr>
            </w:pPr>
          </w:p>
        </w:tc>
        <w:tc>
          <w:tcPr>
            <w:tcW w:w="767" w:type="dxa"/>
            <w:noWrap/>
            <w:vAlign w:val="center"/>
          </w:tcPr>
          <w:p w14:paraId="146FEF1D">
            <w:pPr>
              <w:spacing w:line="360" w:lineRule="auto"/>
              <w:jc w:val="center"/>
              <w:rPr>
                <w:rFonts w:ascii="宋体" w:hAnsi="宋体" w:cs="宋体"/>
                <w:color w:val="auto"/>
                <w:sz w:val="22"/>
                <w:highlight w:val="none"/>
              </w:rPr>
            </w:pPr>
          </w:p>
        </w:tc>
        <w:tc>
          <w:tcPr>
            <w:tcW w:w="1340" w:type="dxa"/>
            <w:noWrap/>
            <w:vAlign w:val="center"/>
          </w:tcPr>
          <w:p w14:paraId="2534DA98">
            <w:pPr>
              <w:spacing w:line="360" w:lineRule="auto"/>
              <w:jc w:val="center"/>
              <w:rPr>
                <w:rFonts w:ascii="宋体" w:hAnsi="宋体" w:cs="宋体"/>
                <w:color w:val="auto"/>
                <w:sz w:val="22"/>
                <w:highlight w:val="none"/>
              </w:rPr>
            </w:pPr>
          </w:p>
        </w:tc>
        <w:tc>
          <w:tcPr>
            <w:tcW w:w="1326" w:type="dxa"/>
            <w:noWrap/>
            <w:vAlign w:val="center"/>
          </w:tcPr>
          <w:p w14:paraId="77B2AF64">
            <w:pPr>
              <w:spacing w:line="360" w:lineRule="auto"/>
              <w:jc w:val="center"/>
              <w:rPr>
                <w:rFonts w:ascii="宋体" w:hAnsi="宋体" w:cs="宋体"/>
                <w:color w:val="auto"/>
                <w:sz w:val="22"/>
                <w:highlight w:val="none"/>
              </w:rPr>
            </w:pPr>
          </w:p>
        </w:tc>
        <w:tc>
          <w:tcPr>
            <w:tcW w:w="1825" w:type="dxa"/>
            <w:noWrap/>
          </w:tcPr>
          <w:p w14:paraId="1CFF75AF">
            <w:pPr>
              <w:spacing w:line="360" w:lineRule="auto"/>
              <w:jc w:val="center"/>
              <w:rPr>
                <w:rFonts w:ascii="宋体" w:hAnsi="宋体" w:cs="宋体"/>
                <w:color w:val="auto"/>
                <w:sz w:val="22"/>
                <w:highlight w:val="none"/>
              </w:rPr>
            </w:pPr>
          </w:p>
        </w:tc>
        <w:tc>
          <w:tcPr>
            <w:tcW w:w="899" w:type="dxa"/>
            <w:noWrap/>
            <w:vAlign w:val="center"/>
          </w:tcPr>
          <w:p w14:paraId="0F5272D9">
            <w:pPr>
              <w:spacing w:line="360" w:lineRule="auto"/>
              <w:jc w:val="center"/>
              <w:rPr>
                <w:rFonts w:ascii="宋体" w:hAnsi="宋体" w:cs="宋体"/>
                <w:color w:val="auto"/>
                <w:sz w:val="22"/>
                <w:highlight w:val="none"/>
              </w:rPr>
            </w:pPr>
          </w:p>
        </w:tc>
      </w:tr>
      <w:tr w14:paraId="1DC8C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271A0716">
            <w:pPr>
              <w:spacing w:line="360" w:lineRule="auto"/>
              <w:jc w:val="center"/>
              <w:rPr>
                <w:rFonts w:ascii="宋体" w:hAnsi="宋体" w:cs="宋体"/>
                <w:color w:val="auto"/>
                <w:sz w:val="22"/>
                <w:highlight w:val="none"/>
              </w:rPr>
            </w:pPr>
          </w:p>
        </w:tc>
        <w:tc>
          <w:tcPr>
            <w:tcW w:w="958" w:type="dxa"/>
            <w:noWrap/>
            <w:vAlign w:val="center"/>
          </w:tcPr>
          <w:p w14:paraId="2C8E96D5">
            <w:pPr>
              <w:spacing w:line="360" w:lineRule="auto"/>
              <w:jc w:val="center"/>
              <w:rPr>
                <w:rFonts w:ascii="宋体" w:hAnsi="宋体" w:cs="宋体"/>
                <w:color w:val="auto"/>
                <w:sz w:val="22"/>
                <w:highlight w:val="none"/>
              </w:rPr>
            </w:pPr>
          </w:p>
        </w:tc>
        <w:tc>
          <w:tcPr>
            <w:tcW w:w="958" w:type="dxa"/>
            <w:noWrap/>
            <w:vAlign w:val="center"/>
          </w:tcPr>
          <w:p w14:paraId="753D39ED">
            <w:pPr>
              <w:spacing w:line="360" w:lineRule="auto"/>
              <w:jc w:val="center"/>
              <w:rPr>
                <w:rFonts w:ascii="宋体" w:hAnsi="宋体" w:cs="宋体"/>
                <w:color w:val="auto"/>
                <w:sz w:val="22"/>
                <w:highlight w:val="none"/>
              </w:rPr>
            </w:pPr>
          </w:p>
        </w:tc>
        <w:tc>
          <w:tcPr>
            <w:tcW w:w="767" w:type="dxa"/>
            <w:noWrap/>
            <w:vAlign w:val="center"/>
          </w:tcPr>
          <w:p w14:paraId="48E41D0D">
            <w:pPr>
              <w:spacing w:line="360" w:lineRule="auto"/>
              <w:jc w:val="center"/>
              <w:rPr>
                <w:rFonts w:ascii="宋体" w:hAnsi="宋体" w:cs="宋体"/>
                <w:color w:val="auto"/>
                <w:sz w:val="22"/>
                <w:highlight w:val="none"/>
              </w:rPr>
            </w:pPr>
          </w:p>
        </w:tc>
        <w:tc>
          <w:tcPr>
            <w:tcW w:w="767" w:type="dxa"/>
            <w:noWrap/>
            <w:vAlign w:val="center"/>
          </w:tcPr>
          <w:p w14:paraId="723B618C">
            <w:pPr>
              <w:spacing w:line="360" w:lineRule="auto"/>
              <w:jc w:val="center"/>
              <w:rPr>
                <w:rFonts w:ascii="宋体" w:hAnsi="宋体" w:cs="宋体"/>
                <w:color w:val="auto"/>
                <w:sz w:val="22"/>
                <w:highlight w:val="none"/>
              </w:rPr>
            </w:pPr>
          </w:p>
        </w:tc>
        <w:tc>
          <w:tcPr>
            <w:tcW w:w="1340" w:type="dxa"/>
            <w:noWrap/>
            <w:vAlign w:val="center"/>
          </w:tcPr>
          <w:p w14:paraId="6B1A324A">
            <w:pPr>
              <w:spacing w:line="360" w:lineRule="auto"/>
              <w:jc w:val="center"/>
              <w:rPr>
                <w:rFonts w:ascii="宋体" w:hAnsi="宋体" w:cs="宋体"/>
                <w:color w:val="auto"/>
                <w:sz w:val="22"/>
                <w:highlight w:val="none"/>
              </w:rPr>
            </w:pPr>
          </w:p>
        </w:tc>
        <w:tc>
          <w:tcPr>
            <w:tcW w:w="1326" w:type="dxa"/>
            <w:noWrap/>
            <w:vAlign w:val="center"/>
          </w:tcPr>
          <w:p w14:paraId="67083997">
            <w:pPr>
              <w:spacing w:line="360" w:lineRule="auto"/>
              <w:jc w:val="center"/>
              <w:rPr>
                <w:rFonts w:ascii="宋体" w:hAnsi="宋体" w:cs="宋体"/>
                <w:color w:val="auto"/>
                <w:sz w:val="22"/>
                <w:highlight w:val="none"/>
              </w:rPr>
            </w:pPr>
          </w:p>
        </w:tc>
        <w:tc>
          <w:tcPr>
            <w:tcW w:w="1825" w:type="dxa"/>
            <w:noWrap/>
          </w:tcPr>
          <w:p w14:paraId="419647AC">
            <w:pPr>
              <w:spacing w:line="360" w:lineRule="auto"/>
              <w:jc w:val="center"/>
              <w:rPr>
                <w:rFonts w:ascii="宋体" w:hAnsi="宋体" w:cs="宋体"/>
                <w:color w:val="auto"/>
                <w:sz w:val="22"/>
                <w:highlight w:val="none"/>
              </w:rPr>
            </w:pPr>
          </w:p>
        </w:tc>
        <w:tc>
          <w:tcPr>
            <w:tcW w:w="899" w:type="dxa"/>
            <w:noWrap/>
            <w:vAlign w:val="center"/>
          </w:tcPr>
          <w:p w14:paraId="3D4867F4">
            <w:pPr>
              <w:spacing w:line="360" w:lineRule="auto"/>
              <w:jc w:val="center"/>
              <w:rPr>
                <w:rFonts w:ascii="宋体" w:hAnsi="宋体" w:cs="宋体"/>
                <w:color w:val="auto"/>
                <w:sz w:val="22"/>
                <w:highlight w:val="none"/>
              </w:rPr>
            </w:pPr>
          </w:p>
        </w:tc>
      </w:tr>
      <w:tr w14:paraId="49A47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766" w:type="dxa"/>
            <w:noWrap/>
            <w:vAlign w:val="center"/>
          </w:tcPr>
          <w:p w14:paraId="3A797AF6">
            <w:pPr>
              <w:spacing w:line="360" w:lineRule="auto"/>
              <w:jc w:val="center"/>
              <w:rPr>
                <w:rFonts w:ascii="宋体" w:hAnsi="宋体" w:cs="宋体"/>
                <w:color w:val="auto"/>
                <w:sz w:val="22"/>
                <w:highlight w:val="none"/>
              </w:rPr>
            </w:pPr>
          </w:p>
        </w:tc>
        <w:tc>
          <w:tcPr>
            <w:tcW w:w="958" w:type="dxa"/>
            <w:noWrap/>
            <w:vAlign w:val="center"/>
          </w:tcPr>
          <w:p w14:paraId="616F1318">
            <w:pPr>
              <w:spacing w:line="360" w:lineRule="auto"/>
              <w:jc w:val="center"/>
              <w:rPr>
                <w:rFonts w:ascii="宋体" w:hAnsi="宋体" w:cs="宋体"/>
                <w:color w:val="auto"/>
                <w:sz w:val="22"/>
                <w:highlight w:val="none"/>
              </w:rPr>
            </w:pPr>
          </w:p>
        </w:tc>
        <w:tc>
          <w:tcPr>
            <w:tcW w:w="958" w:type="dxa"/>
            <w:noWrap/>
            <w:vAlign w:val="center"/>
          </w:tcPr>
          <w:p w14:paraId="7D3C76DA">
            <w:pPr>
              <w:spacing w:line="360" w:lineRule="auto"/>
              <w:jc w:val="center"/>
              <w:rPr>
                <w:rFonts w:ascii="宋体" w:hAnsi="宋体" w:cs="宋体"/>
                <w:color w:val="auto"/>
                <w:sz w:val="22"/>
                <w:highlight w:val="none"/>
              </w:rPr>
            </w:pPr>
          </w:p>
        </w:tc>
        <w:tc>
          <w:tcPr>
            <w:tcW w:w="767" w:type="dxa"/>
            <w:noWrap/>
            <w:vAlign w:val="center"/>
          </w:tcPr>
          <w:p w14:paraId="13A8820F">
            <w:pPr>
              <w:spacing w:line="360" w:lineRule="auto"/>
              <w:jc w:val="center"/>
              <w:rPr>
                <w:rFonts w:ascii="宋体" w:hAnsi="宋体" w:cs="宋体"/>
                <w:color w:val="auto"/>
                <w:sz w:val="22"/>
                <w:highlight w:val="none"/>
              </w:rPr>
            </w:pPr>
          </w:p>
        </w:tc>
        <w:tc>
          <w:tcPr>
            <w:tcW w:w="767" w:type="dxa"/>
            <w:noWrap/>
            <w:vAlign w:val="center"/>
          </w:tcPr>
          <w:p w14:paraId="42922C7A">
            <w:pPr>
              <w:spacing w:line="360" w:lineRule="auto"/>
              <w:jc w:val="center"/>
              <w:rPr>
                <w:rFonts w:ascii="宋体" w:hAnsi="宋体" w:cs="宋体"/>
                <w:color w:val="auto"/>
                <w:sz w:val="22"/>
                <w:highlight w:val="none"/>
              </w:rPr>
            </w:pPr>
          </w:p>
        </w:tc>
        <w:tc>
          <w:tcPr>
            <w:tcW w:w="1340" w:type="dxa"/>
            <w:noWrap/>
            <w:vAlign w:val="center"/>
          </w:tcPr>
          <w:p w14:paraId="7CC1128B">
            <w:pPr>
              <w:spacing w:line="360" w:lineRule="auto"/>
              <w:jc w:val="center"/>
              <w:rPr>
                <w:rFonts w:ascii="宋体" w:hAnsi="宋体" w:cs="宋体"/>
                <w:color w:val="auto"/>
                <w:sz w:val="22"/>
                <w:highlight w:val="none"/>
              </w:rPr>
            </w:pPr>
          </w:p>
        </w:tc>
        <w:tc>
          <w:tcPr>
            <w:tcW w:w="1326" w:type="dxa"/>
            <w:noWrap/>
            <w:vAlign w:val="center"/>
          </w:tcPr>
          <w:p w14:paraId="15F1509D">
            <w:pPr>
              <w:spacing w:line="360" w:lineRule="auto"/>
              <w:jc w:val="center"/>
              <w:rPr>
                <w:rFonts w:ascii="宋体" w:hAnsi="宋体" w:cs="宋体"/>
                <w:color w:val="auto"/>
                <w:sz w:val="22"/>
                <w:highlight w:val="none"/>
              </w:rPr>
            </w:pPr>
          </w:p>
        </w:tc>
        <w:tc>
          <w:tcPr>
            <w:tcW w:w="1825" w:type="dxa"/>
            <w:noWrap/>
          </w:tcPr>
          <w:p w14:paraId="65AE6316">
            <w:pPr>
              <w:spacing w:line="360" w:lineRule="auto"/>
              <w:jc w:val="center"/>
              <w:rPr>
                <w:rFonts w:ascii="宋体" w:hAnsi="宋体" w:cs="宋体"/>
                <w:color w:val="auto"/>
                <w:sz w:val="22"/>
                <w:highlight w:val="none"/>
              </w:rPr>
            </w:pPr>
          </w:p>
        </w:tc>
        <w:tc>
          <w:tcPr>
            <w:tcW w:w="899" w:type="dxa"/>
            <w:noWrap/>
            <w:vAlign w:val="center"/>
          </w:tcPr>
          <w:p w14:paraId="6E1C2AD7">
            <w:pPr>
              <w:spacing w:line="360" w:lineRule="auto"/>
              <w:jc w:val="center"/>
              <w:rPr>
                <w:rFonts w:ascii="宋体" w:hAnsi="宋体" w:cs="宋体"/>
                <w:color w:val="auto"/>
                <w:sz w:val="22"/>
                <w:highlight w:val="none"/>
              </w:rPr>
            </w:pPr>
          </w:p>
        </w:tc>
      </w:tr>
    </w:tbl>
    <w:p w14:paraId="448ACABE">
      <w:pPr>
        <w:spacing w:line="360" w:lineRule="exact"/>
        <w:rPr>
          <w:rFonts w:ascii="宋体" w:hAnsi="宋体" w:cs="宋体"/>
          <w:color w:val="auto"/>
          <w:sz w:val="22"/>
          <w:highlight w:val="none"/>
        </w:rPr>
      </w:pPr>
      <w:r>
        <w:rPr>
          <w:rFonts w:hint="eastAsia" w:ascii="宋体" w:hAnsi="宋体" w:cs="宋体"/>
          <w:color w:val="auto"/>
          <w:sz w:val="22"/>
          <w:highlight w:val="none"/>
        </w:rPr>
        <w:t>注：</w:t>
      </w:r>
    </w:p>
    <w:p w14:paraId="1B90A98D">
      <w:pPr>
        <w:spacing w:line="360" w:lineRule="exact"/>
        <w:rPr>
          <w:rFonts w:ascii="宋体" w:hAnsi="宋体" w:cs="宋体"/>
          <w:color w:val="auto"/>
          <w:sz w:val="22"/>
          <w:highlight w:val="none"/>
        </w:rPr>
      </w:pPr>
      <w:r>
        <w:rPr>
          <w:rFonts w:hint="eastAsia" w:ascii="宋体" w:hAnsi="宋体" w:cs="宋体"/>
          <w:color w:val="auto"/>
          <w:sz w:val="22"/>
          <w:highlight w:val="none"/>
        </w:rPr>
        <w:t>1、本表应附项目人员相关证明材料。</w:t>
      </w:r>
    </w:p>
    <w:p w14:paraId="17C5477D">
      <w:pPr>
        <w:spacing w:line="400" w:lineRule="exact"/>
        <w:rPr>
          <w:rFonts w:ascii="宋体" w:hAnsi="宋体" w:cs="宋体"/>
          <w:b/>
          <w:color w:val="auto"/>
          <w:sz w:val="22"/>
          <w:highlight w:val="none"/>
        </w:rPr>
      </w:pPr>
      <w:r>
        <w:rPr>
          <w:rFonts w:hint="eastAsia" w:ascii="宋体" w:hAnsi="宋体" w:cs="宋体"/>
          <w:color w:val="auto"/>
          <w:sz w:val="22"/>
          <w:highlight w:val="none"/>
        </w:rPr>
        <w:t>2、项目人员在服务期内不得更换，因特殊情况更换项目实施人员的需经采购人同意。</w:t>
      </w:r>
    </w:p>
    <w:p w14:paraId="065441E8">
      <w:pPr>
        <w:spacing w:after="120" w:afterLines="50" w:line="400" w:lineRule="atLeast"/>
        <w:rPr>
          <w:rFonts w:ascii="宋体" w:hAnsi="宋体" w:cs="宋体"/>
          <w:color w:val="auto"/>
          <w:sz w:val="22"/>
          <w:highlight w:val="none"/>
        </w:rPr>
      </w:pPr>
      <w:r>
        <w:rPr>
          <w:rFonts w:hint="eastAsia" w:ascii="宋体" w:hAnsi="宋体" w:cs="宋体"/>
          <w:color w:val="auto"/>
          <w:sz w:val="22"/>
          <w:highlight w:val="none"/>
        </w:rPr>
        <w:t>3、此表仅提供了表格形式，投标人可按此表格复制。</w:t>
      </w:r>
    </w:p>
    <w:p w14:paraId="69711D4C">
      <w:pPr>
        <w:widowControl/>
        <w:spacing w:line="400" w:lineRule="exact"/>
        <w:rPr>
          <w:rFonts w:ascii="宋体" w:hAnsi="宋体" w:cs="宋体"/>
          <w:color w:val="auto"/>
          <w:kern w:val="0"/>
          <w:sz w:val="22"/>
          <w:highlight w:val="none"/>
        </w:rPr>
      </w:pPr>
    </w:p>
    <w:p w14:paraId="337DD968">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7E0A3ABA">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法定代表人或授权代表(签字或盖章)：</w:t>
      </w:r>
    </w:p>
    <w:p w14:paraId="697BEA81">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1E0374C">
      <w:pPr>
        <w:rPr>
          <w:rFonts w:ascii="宋体" w:hAnsi="宋体" w:cs="宋体"/>
          <w:b/>
          <w:color w:val="auto"/>
          <w:sz w:val="22"/>
          <w:highlight w:val="none"/>
        </w:rPr>
      </w:pPr>
      <w:r>
        <w:rPr>
          <w:rFonts w:hint="eastAsia" w:ascii="宋体" w:hAnsi="宋体" w:cs="宋体"/>
          <w:b/>
          <w:color w:val="auto"/>
          <w:sz w:val="22"/>
          <w:highlight w:val="none"/>
        </w:rPr>
        <w:br w:type="page"/>
      </w:r>
    </w:p>
    <w:p w14:paraId="21B62FAF">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附件12</w:t>
      </w:r>
    </w:p>
    <w:p w14:paraId="65501494">
      <w:pPr>
        <w:pStyle w:val="17"/>
        <w:snapToGrid w:val="0"/>
        <w:spacing w:line="400" w:lineRule="exact"/>
        <w:jc w:val="center"/>
        <w:rPr>
          <w:rFonts w:hAnsi="宋体" w:cs="宋体"/>
          <w:b/>
          <w:color w:val="auto"/>
          <w:sz w:val="30"/>
          <w:szCs w:val="30"/>
          <w:highlight w:val="none"/>
        </w:rPr>
      </w:pPr>
      <w:r>
        <w:rPr>
          <w:rFonts w:hint="eastAsia" w:hAnsi="宋体" w:cs="宋体"/>
          <w:b/>
          <w:color w:val="auto"/>
          <w:sz w:val="30"/>
          <w:szCs w:val="30"/>
          <w:highlight w:val="none"/>
        </w:rPr>
        <w:t>承诺书</w:t>
      </w:r>
    </w:p>
    <w:p w14:paraId="4C3260F5">
      <w:pPr>
        <w:pStyle w:val="17"/>
        <w:snapToGrid w:val="0"/>
        <w:spacing w:line="400" w:lineRule="exact"/>
        <w:jc w:val="center"/>
        <w:rPr>
          <w:rFonts w:hAnsi="宋体" w:cs="宋体"/>
          <w:b/>
          <w:color w:val="auto"/>
          <w:szCs w:val="24"/>
          <w:highlight w:val="none"/>
        </w:rPr>
      </w:pPr>
    </w:p>
    <w:p w14:paraId="43BE861F">
      <w:pPr>
        <w:spacing w:line="500" w:lineRule="exact"/>
        <w:rPr>
          <w:rFonts w:ascii="宋体" w:hAnsi="宋体" w:cs="宋体"/>
          <w:color w:val="auto"/>
          <w:sz w:val="22"/>
          <w:highlight w:val="none"/>
        </w:rPr>
      </w:pPr>
      <w:r>
        <w:rPr>
          <w:rFonts w:hint="eastAsia" w:ascii="宋体" w:hAnsi="宋体" w:cs="宋体"/>
          <w:color w:val="auto"/>
          <w:kern w:val="0"/>
          <w:sz w:val="22"/>
          <w:highlight w:val="none"/>
          <w:u w:val="single"/>
        </w:rPr>
        <w:t>温州肯恩大学</w:t>
      </w:r>
      <w:r>
        <w:rPr>
          <w:rFonts w:hint="eastAsia" w:ascii="宋体" w:hAnsi="宋体" w:cs="宋体"/>
          <w:color w:val="auto"/>
          <w:sz w:val="22"/>
          <w:highlight w:val="none"/>
        </w:rPr>
        <w:t>：</w:t>
      </w:r>
    </w:p>
    <w:p w14:paraId="7F2C3B69">
      <w:pPr>
        <w:spacing w:line="5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我单位就</w:t>
      </w:r>
      <w:r>
        <w:rPr>
          <w:rFonts w:hint="eastAsia" w:ascii="宋体" w:hAnsi="宋体" w:cs="宋体"/>
          <w:color w:val="auto"/>
          <w:sz w:val="22"/>
          <w:highlight w:val="none"/>
          <w:u w:val="single"/>
        </w:rPr>
        <w:t xml:space="preserve">                   （项目编号：           ）</w:t>
      </w:r>
      <w:r>
        <w:rPr>
          <w:rFonts w:hint="eastAsia" w:ascii="宋体" w:hAnsi="宋体" w:cs="宋体"/>
          <w:color w:val="auto"/>
          <w:sz w:val="22"/>
          <w:highlight w:val="none"/>
        </w:rPr>
        <w:t>项目承诺如下：</w:t>
      </w:r>
    </w:p>
    <w:p w14:paraId="5EF0176A">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3BBF297B">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2FA723B5">
      <w:pPr>
        <w:spacing w:line="500" w:lineRule="exact"/>
        <w:ind w:firstLine="440" w:firstLineChars="200"/>
        <w:rPr>
          <w:rFonts w:ascii="宋体" w:hAnsi="宋体" w:cs="宋体"/>
          <w:color w:val="auto"/>
          <w:sz w:val="22"/>
          <w:highlight w:val="none"/>
          <w:u w:val="single"/>
        </w:rPr>
      </w:pPr>
      <w:r>
        <w:rPr>
          <w:rFonts w:hint="eastAsia" w:ascii="宋体" w:hAnsi="宋体" w:cs="宋体"/>
          <w:color w:val="auto"/>
          <w:sz w:val="22"/>
          <w:highlight w:val="none"/>
          <w:u w:val="single"/>
        </w:rPr>
        <w:t xml:space="preserve">                   </w:t>
      </w:r>
    </w:p>
    <w:p w14:paraId="3A11B04B">
      <w:pPr>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若不能落实到位，我方无条件接受采购人的任何处理决定，我单位对此无任何异议。</w:t>
      </w:r>
    </w:p>
    <w:p w14:paraId="53A50968">
      <w:pPr>
        <w:spacing w:line="46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特此承诺！</w:t>
      </w:r>
    </w:p>
    <w:p w14:paraId="7D66C4A7">
      <w:pPr>
        <w:rPr>
          <w:color w:val="auto"/>
          <w:highlight w:val="none"/>
        </w:rPr>
      </w:pPr>
    </w:p>
    <w:p w14:paraId="6A932DC1">
      <w:pPr>
        <w:rPr>
          <w:rFonts w:ascii="宋体" w:hAnsi="宋体" w:cs="宋体"/>
          <w:color w:val="auto"/>
          <w:sz w:val="22"/>
          <w:highlight w:val="none"/>
        </w:rPr>
      </w:pPr>
    </w:p>
    <w:p w14:paraId="2B4F4551">
      <w:pPr>
        <w:widowControl/>
        <w:spacing w:line="400" w:lineRule="exact"/>
        <w:rPr>
          <w:rFonts w:ascii="宋体" w:hAnsi="宋体" w:cs="宋体"/>
          <w:color w:val="auto"/>
          <w:kern w:val="0"/>
          <w:sz w:val="22"/>
          <w:highlight w:val="none"/>
        </w:rPr>
      </w:pPr>
    </w:p>
    <w:p w14:paraId="1B23061A">
      <w:pPr>
        <w:widowControl/>
        <w:spacing w:line="400" w:lineRule="exact"/>
        <w:rPr>
          <w:rFonts w:ascii="宋体" w:hAnsi="宋体" w:cs="宋体"/>
          <w:color w:val="auto"/>
          <w:kern w:val="0"/>
          <w:sz w:val="22"/>
          <w:highlight w:val="none"/>
        </w:rPr>
      </w:pPr>
    </w:p>
    <w:p w14:paraId="29ADC679">
      <w:pPr>
        <w:widowControl/>
        <w:spacing w:line="400" w:lineRule="exact"/>
        <w:rPr>
          <w:rFonts w:ascii="宋体" w:hAnsi="宋体" w:cs="宋体"/>
          <w:color w:val="auto"/>
          <w:kern w:val="0"/>
          <w:sz w:val="22"/>
          <w:highlight w:val="none"/>
          <w:u w:val="single"/>
        </w:rPr>
      </w:pPr>
      <w:r>
        <w:rPr>
          <w:rFonts w:hint="eastAsia" w:ascii="宋体" w:hAnsi="宋体" w:cs="宋体"/>
          <w:color w:val="auto"/>
          <w:kern w:val="0"/>
          <w:sz w:val="22"/>
          <w:highlight w:val="none"/>
        </w:rPr>
        <w:t>投标人全称(电子签章或公章)：</w:t>
      </w:r>
    </w:p>
    <w:p w14:paraId="0AA3DE30">
      <w:pPr>
        <w:widowControl/>
        <w:spacing w:line="400" w:lineRule="exact"/>
        <w:rPr>
          <w:rFonts w:ascii="宋体" w:hAnsi="宋体" w:cs="宋体"/>
          <w:color w:val="auto"/>
          <w:kern w:val="0"/>
          <w:sz w:val="22"/>
          <w:highlight w:val="none"/>
        </w:rPr>
      </w:pPr>
      <w:r>
        <w:rPr>
          <w:rFonts w:hint="eastAsia" w:ascii="宋体" w:hAnsi="宋体" w:cs="宋体"/>
          <w:color w:val="auto"/>
          <w:kern w:val="0"/>
          <w:sz w:val="22"/>
          <w:highlight w:val="none"/>
        </w:rPr>
        <w:t>法定代表人或授权代表(签字或签章)：</w:t>
      </w:r>
    </w:p>
    <w:p w14:paraId="4B8F7CD4">
      <w:pPr>
        <w:snapToGrid w:val="0"/>
        <w:spacing w:line="400" w:lineRule="exact"/>
        <w:jc w:val="left"/>
        <w:rPr>
          <w:rFonts w:ascii="宋体" w:hAnsi="宋体" w:cs="宋体"/>
          <w:color w:val="auto"/>
          <w:kern w:val="0"/>
          <w:sz w:val="22"/>
          <w:highlight w:val="none"/>
        </w:rPr>
      </w:pPr>
      <w:r>
        <w:rPr>
          <w:rFonts w:hint="eastAsia" w:ascii="宋体" w:hAnsi="宋体" w:cs="宋体"/>
          <w:color w:val="auto"/>
          <w:kern w:val="0"/>
          <w:sz w:val="22"/>
          <w:highlight w:val="none"/>
        </w:rPr>
        <w:t>日期：    年  月  日</w:t>
      </w:r>
    </w:p>
    <w:p w14:paraId="5AB49CFE">
      <w:pPr>
        <w:spacing w:line="400" w:lineRule="exact"/>
        <w:rPr>
          <w:rFonts w:ascii="宋体" w:hAnsi="宋体" w:cs="宋体"/>
          <w:b/>
          <w:color w:val="auto"/>
          <w:sz w:val="24"/>
          <w:szCs w:val="24"/>
          <w:highlight w:val="none"/>
        </w:rPr>
      </w:pPr>
    </w:p>
    <w:p w14:paraId="5DF79D27">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F54DC0C">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附件13</w:t>
      </w:r>
    </w:p>
    <w:p w14:paraId="758AB45D">
      <w:pPr>
        <w:spacing w:line="400" w:lineRule="exact"/>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技术支持材料</w:t>
      </w:r>
    </w:p>
    <w:p w14:paraId="6536454D">
      <w:pPr>
        <w:spacing w:line="400" w:lineRule="exact"/>
        <w:rPr>
          <w:rFonts w:ascii="宋体" w:hAnsi="宋体" w:cs="宋体"/>
          <w:b/>
          <w:color w:val="auto"/>
          <w:spacing w:val="-6"/>
          <w:sz w:val="24"/>
          <w:highlight w:val="none"/>
        </w:rPr>
      </w:pPr>
    </w:p>
    <w:p w14:paraId="6E0D7C01">
      <w:pPr>
        <w:spacing w:line="400" w:lineRule="exact"/>
        <w:rPr>
          <w:rFonts w:ascii="宋体" w:hAnsi="宋体" w:cs="宋体"/>
          <w:b/>
          <w:color w:val="auto"/>
          <w:spacing w:val="-6"/>
          <w:sz w:val="24"/>
          <w:highlight w:val="none"/>
        </w:rPr>
      </w:pPr>
    </w:p>
    <w:p w14:paraId="165B14D2">
      <w:pPr>
        <w:spacing w:line="400" w:lineRule="exact"/>
        <w:rPr>
          <w:rFonts w:ascii="宋体" w:hAnsi="宋体" w:cs="宋体"/>
          <w:b/>
          <w:color w:val="auto"/>
          <w:spacing w:val="-6"/>
          <w:sz w:val="24"/>
          <w:highlight w:val="none"/>
        </w:rPr>
      </w:pPr>
      <w:r>
        <w:rPr>
          <w:rFonts w:hint="eastAsia" w:ascii="宋体" w:hAnsi="宋体" w:cs="宋体"/>
          <w:b/>
          <w:color w:val="auto"/>
          <w:spacing w:val="-6"/>
          <w:sz w:val="24"/>
          <w:highlight w:val="none"/>
        </w:rPr>
        <w:t>说明：</w:t>
      </w:r>
    </w:p>
    <w:p w14:paraId="3F3A89D7">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1.投标人提供技术支持资料以证明其对技术指标的应答；</w:t>
      </w:r>
    </w:p>
    <w:p w14:paraId="43C6D6DF">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2.技术支持资料应是制造商公开发布的印刷资料（彩页、Datasheet）或由有关政府部门或检测机构合法出具的文件或报告；</w:t>
      </w:r>
    </w:p>
    <w:p w14:paraId="3E2DF3B7">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3.不符合上述要求的资料，可被视为是无效的技术支持资料；</w:t>
      </w:r>
    </w:p>
    <w:p w14:paraId="03EB90FF">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4.如上述资料之间存在不一致的，以有关政府部门或检测机构合法出具的文件或报告为准；</w:t>
      </w:r>
    </w:p>
    <w:p w14:paraId="7F262E1F">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5.若对技术指标的应答无技术支持资料证明，评审小组可不予承认，并可认为该应答不符合招标文件要求，</w:t>
      </w:r>
      <w:r>
        <w:rPr>
          <w:rFonts w:hint="eastAsia" w:ascii="宋体" w:hAnsi="宋体" w:cs="宋体"/>
          <w:b/>
          <w:bCs/>
          <w:color w:val="auto"/>
          <w:spacing w:val="-6"/>
          <w:sz w:val="24"/>
          <w:highlight w:val="none"/>
        </w:rPr>
        <w:t>将作出不利于供应商的技术评审，其后果将由供应商自行承担</w:t>
      </w:r>
      <w:r>
        <w:rPr>
          <w:rFonts w:hint="eastAsia" w:ascii="宋体" w:hAnsi="宋体" w:cs="宋体"/>
          <w:b/>
          <w:color w:val="auto"/>
          <w:spacing w:val="-6"/>
          <w:sz w:val="24"/>
          <w:highlight w:val="none"/>
        </w:rPr>
        <w:t>；</w:t>
      </w:r>
    </w:p>
    <w:p w14:paraId="76C450E5">
      <w:pPr>
        <w:spacing w:line="400" w:lineRule="exact"/>
        <w:ind w:firstLine="458" w:firstLineChars="200"/>
        <w:rPr>
          <w:rFonts w:ascii="宋体" w:hAnsi="宋体" w:cs="宋体"/>
          <w:b/>
          <w:color w:val="auto"/>
          <w:spacing w:val="-6"/>
          <w:sz w:val="24"/>
          <w:highlight w:val="none"/>
        </w:rPr>
      </w:pPr>
      <w:r>
        <w:rPr>
          <w:rFonts w:hint="eastAsia" w:ascii="宋体" w:hAnsi="宋体" w:cs="宋体"/>
          <w:b/>
          <w:color w:val="auto"/>
          <w:spacing w:val="-6"/>
          <w:sz w:val="24"/>
          <w:highlight w:val="none"/>
        </w:rPr>
        <w:t>6.投标人可提供同等于或优于招标文件要求的产品和服务。</w:t>
      </w:r>
    </w:p>
    <w:p w14:paraId="64606849">
      <w:pPr>
        <w:spacing w:line="400" w:lineRule="exact"/>
        <w:ind w:firstLine="482" w:firstLineChars="200"/>
        <w:rPr>
          <w:rFonts w:ascii="宋体" w:hAnsi="宋体" w:cs="宋体"/>
          <w:b/>
          <w:color w:val="auto"/>
          <w:spacing w:val="-6"/>
          <w:sz w:val="24"/>
          <w:highlight w:val="none"/>
        </w:rPr>
      </w:pPr>
      <w:r>
        <w:rPr>
          <w:rFonts w:hint="eastAsia" w:ascii="宋体" w:hAnsi="宋体" w:cs="宋体"/>
          <w:b/>
          <w:color w:val="auto"/>
          <w:sz w:val="24"/>
          <w:szCs w:val="24"/>
          <w:highlight w:val="none"/>
        </w:rPr>
        <w:t>7.</w:t>
      </w:r>
      <w:r>
        <w:rPr>
          <w:rFonts w:hint="eastAsia" w:ascii="宋体" w:hAnsi="宋体" w:cs="宋体"/>
          <w:b/>
          <w:color w:val="auto"/>
          <w:spacing w:val="-6"/>
          <w:sz w:val="24"/>
          <w:highlight w:val="none"/>
        </w:rPr>
        <w:t>投标人不得提供虚假材料（包括伪造、变造证书、合同等）谋取中标、成交。供应商投标（响应）产品规格型号与官网公布的产品规格型号一致，但技术参数不一致的，应当在投标（响应）文件中阐述技术参数不一致的原因，以及通过何种技术路线来实现投标（响应）产品技术参数。</w:t>
      </w:r>
    </w:p>
    <w:p w14:paraId="618DA58A">
      <w:pPr>
        <w:pStyle w:val="15"/>
        <w:spacing w:after="0"/>
        <w:ind w:left="1470" w:right="0" w:rightChars="0"/>
        <w:rPr>
          <w:rFonts w:ascii="宋体" w:hAnsi="宋体" w:cs="宋体"/>
          <w:color w:val="auto"/>
          <w:sz w:val="22"/>
          <w:highlight w:val="none"/>
        </w:rPr>
      </w:pPr>
    </w:p>
    <w:p w14:paraId="121483FD">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3818471E">
      <w:pPr>
        <w:spacing w:line="400" w:lineRule="exact"/>
        <w:rPr>
          <w:rFonts w:ascii="宋体" w:hAnsi="宋体" w:cs="宋体"/>
          <w:b/>
          <w:color w:val="auto"/>
          <w:spacing w:val="-6"/>
          <w:sz w:val="24"/>
          <w:highlight w:val="none"/>
        </w:rPr>
      </w:pPr>
      <w:r>
        <w:rPr>
          <w:rFonts w:hint="eastAsia" w:ascii="宋体" w:hAnsi="宋体" w:cs="宋体"/>
          <w:b/>
          <w:color w:val="auto"/>
          <w:sz w:val="24"/>
          <w:szCs w:val="24"/>
          <w:highlight w:val="none"/>
        </w:rPr>
        <w:t>附件14</w:t>
      </w:r>
    </w:p>
    <w:p w14:paraId="166D2B4F">
      <w:pPr>
        <w:pStyle w:val="67"/>
        <w:snapToGrid w:val="0"/>
        <w:spacing w:line="600" w:lineRule="exact"/>
        <w:jc w:val="center"/>
        <w:rPr>
          <w:rFonts w:hint="default" w:hAnsi="宋体" w:eastAsia="宋体" w:cs="宋体"/>
          <w:color w:val="auto"/>
          <w:sz w:val="32"/>
          <w:szCs w:val="32"/>
          <w:highlight w:val="none"/>
        </w:rPr>
      </w:pPr>
      <w:r>
        <w:rPr>
          <w:rFonts w:hAnsi="宋体" w:eastAsia="宋体" w:cs="宋体"/>
          <w:b/>
          <w:bCs/>
          <w:color w:val="auto"/>
          <w:sz w:val="32"/>
          <w:szCs w:val="32"/>
          <w:highlight w:val="none"/>
        </w:rPr>
        <w:t>采购活动现场确认声明书</w:t>
      </w:r>
    </w:p>
    <w:p w14:paraId="75232E44">
      <w:pPr>
        <w:pStyle w:val="67"/>
        <w:snapToGrid w:val="0"/>
        <w:spacing w:line="400" w:lineRule="exact"/>
        <w:rPr>
          <w:rFonts w:hint="default" w:hAnsi="宋体" w:eastAsia="宋体" w:cs="宋体"/>
          <w:b/>
          <w:color w:val="auto"/>
          <w:sz w:val="24"/>
          <w:szCs w:val="24"/>
          <w:highlight w:val="none"/>
        </w:rPr>
      </w:pPr>
      <w:r>
        <w:rPr>
          <w:rFonts w:hAnsi="宋体" w:eastAsia="宋体" w:cs="宋体"/>
          <w:color w:val="auto"/>
          <w:kern w:val="0"/>
          <w:sz w:val="24"/>
          <w:szCs w:val="24"/>
          <w:highlight w:val="none"/>
          <w:u w:val="single"/>
        </w:rPr>
        <w:t>浙江乐诚工程咨询有限公司</w:t>
      </w:r>
      <w:r>
        <w:rPr>
          <w:rFonts w:hAnsi="宋体" w:eastAsia="宋体" w:cs="宋体"/>
          <w:color w:val="auto"/>
          <w:kern w:val="0"/>
          <w:sz w:val="24"/>
          <w:szCs w:val="24"/>
          <w:highlight w:val="none"/>
        </w:rPr>
        <w:t>：</w:t>
      </w:r>
    </w:p>
    <w:p w14:paraId="61B2EC39">
      <w:pPr>
        <w:pStyle w:val="67"/>
        <w:snapToGrid w:val="0"/>
        <w:spacing w:line="400" w:lineRule="exact"/>
        <w:ind w:firstLine="504" w:firstLineChars="200"/>
        <w:rPr>
          <w:rFonts w:hint="default" w:hAnsi="宋体" w:eastAsia="宋体" w:cs="宋体"/>
          <w:color w:val="auto"/>
          <w:spacing w:val="6"/>
          <w:sz w:val="24"/>
          <w:szCs w:val="24"/>
          <w:highlight w:val="none"/>
        </w:rPr>
      </w:pPr>
      <w:r>
        <w:rPr>
          <w:rFonts w:hAnsi="宋体" w:eastAsia="宋体" w:cs="宋体"/>
          <w:color w:val="auto"/>
          <w:spacing w:val="6"/>
          <w:sz w:val="24"/>
          <w:szCs w:val="24"/>
          <w:highlight w:val="none"/>
        </w:rPr>
        <w:t>本人经由</w:t>
      </w:r>
      <w:r>
        <w:rPr>
          <w:rFonts w:hAnsi="宋体" w:eastAsia="宋体" w:cs="宋体"/>
          <w:color w:val="auto"/>
          <w:kern w:val="0"/>
          <w:sz w:val="24"/>
          <w:szCs w:val="24"/>
          <w:highlight w:val="none"/>
          <w:u w:val="single"/>
        </w:rPr>
        <w:t>（</w:t>
      </w:r>
      <w:r>
        <w:rPr>
          <w:rFonts w:hAnsi="宋体" w:eastAsia="宋体" w:cs="宋体"/>
          <w:color w:val="auto"/>
          <w:spacing w:val="6"/>
          <w:sz w:val="24"/>
          <w:szCs w:val="24"/>
          <w:highlight w:val="none"/>
          <w:u w:val="single"/>
        </w:rPr>
        <w:t xml:space="preserve">单位）           </w:t>
      </w:r>
      <w:r>
        <w:rPr>
          <w:rFonts w:hAnsi="宋体" w:eastAsia="宋体" w:cs="宋体"/>
          <w:color w:val="auto"/>
          <w:spacing w:val="6"/>
          <w:sz w:val="24"/>
          <w:szCs w:val="24"/>
          <w:highlight w:val="none"/>
        </w:rPr>
        <w:t>法人代表（负责人）</w:t>
      </w:r>
      <w:r>
        <w:rPr>
          <w:rFonts w:hAnsi="宋体" w:eastAsia="宋体" w:cs="宋体"/>
          <w:color w:val="auto"/>
          <w:spacing w:val="6"/>
          <w:sz w:val="24"/>
          <w:szCs w:val="24"/>
          <w:highlight w:val="none"/>
          <w:u w:val="single"/>
        </w:rPr>
        <w:t xml:space="preserve">         （姓名）</w:t>
      </w:r>
      <w:r>
        <w:rPr>
          <w:rFonts w:hAnsi="宋体" w:eastAsia="宋体" w:cs="宋体"/>
          <w:color w:val="auto"/>
          <w:spacing w:val="6"/>
          <w:sz w:val="24"/>
          <w:szCs w:val="24"/>
          <w:highlight w:val="none"/>
        </w:rPr>
        <w:t>合法授权参加项目（项目编号</w:t>
      </w:r>
      <w:r>
        <w:rPr>
          <w:rFonts w:hAnsi="宋体" w:eastAsia="宋体" w:cs="宋体"/>
          <w:color w:val="auto"/>
          <w:spacing w:val="6"/>
          <w:sz w:val="24"/>
          <w:szCs w:val="24"/>
          <w:highlight w:val="none"/>
          <w:u w:val="single"/>
        </w:rPr>
        <w:t xml:space="preserve">：             </w:t>
      </w:r>
      <w:r>
        <w:rPr>
          <w:rFonts w:hAnsi="宋体" w:eastAsia="宋体" w:cs="宋体"/>
          <w:color w:val="auto"/>
          <w:spacing w:val="6"/>
          <w:sz w:val="24"/>
          <w:szCs w:val="24"/>
          <w:highlight w:val="none"/>
        </w:rPr>
        <w:t xml:space="preserve">）标项政府采购活动，经与本单位法人代表（负责人）联系确认，现就有关公平竞争事项郑重声明如下： </w:t>
      </w:r>
    </w:p>
    <w:p w14:paraId="281D3AEC">
      <w:pPr>
        <w:pStyle w:val="67"/>
        <w:numPr>
          <w:ilvl w:val="0"/>
          <w:numId w:val="6"/>
        </w:numPr>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本单位与采购人之间□不存在利害关系 □存在下列利害关系</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046A3F03">
      <w:pPr>
        <w:pStyle w:val="67"/>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A.投资关系    B.行政隶属关系    C.业务指导关系</w:t>
      </w:r>
    </w:p>
    <w:p w14:paraId="7B00104E">
      <w:pPr>
        <w:pStyle w:val="67"/>
        <w:snapToGrid w:val="0"/>
        <w:spacing w:line="400" w:lineRule="exact"/>
        <w:ind w:firstLine="240" w:firstLineChars="1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D.其他可能</w:t>
      </w:r>
      <w:r>
        <w:rPr>
          <w:rFonts w:hAnsi="宋体" w:eastAsia="宋体" w:cs="宋体"/>
          <w:color w:val="auto"/>
          <w:sz w:val="24"/>
          <w:szCs w:val="24"/>
          <w:highlight w:val="none"/>
        </w:rPr>
        <w:t>影响采购公正的</w:t>
      </w:r>
      <w:r>
        <w:rPr>
          <w:rFonts w:hAnsi="宋体" w:eastAsia="宋体" w:cs="宋体"/>
          <w:color w:val="auto"/>
          <w:kern w:val="0"/>
          <w:sz w:val="24"/>
          <w:szCs w:val="24"/>
          <w:highlight w:val="none"/>
        </w:rPr>
        <w:t>利害关系</w:t>
      </w:r>
      <w:r>
        <w:rPr>
          <w:rFonts w:hAnsi="宋体" w:eastAsia="宋体" w:cs="宋体"/>
          <w:color w:val="auto"/>
          <w:kern w:val="0"/>
          <w:sz w:val="24"/>
          <w:szCs w:val="24"/>
          <w:highlight w:val="none"/>
          <w:u w:val="single"/>
        </w:rPr>
        <w:t xml:space="preserve">（如有，请如实说明）                 </w:t>
      </w:r>
      <w:r>
        <w:rPr>
          <w:rFonts w:hAnsi="宋体" w:eastAsia="宋体" w:cs="宋体"/>
          <w:color w:val="auto"/>
          <w:kern w:val="0"/>
          <w:sz w:val="24"/>
          <w:szCs w:val="24"/>
          <w:highlight w:val="none"/>
        </w:rPr>
        <w:t>。</w:t>
      </w:r>
    </w:p>
    <w:p w14:paraId="4C7E85B5">
      <w:pPr>
        <w:pStyle w:val="68"/>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w:t>
      </w:r>
    </w:p>
    <w:p w14:paraId="2CDC56E2">
      <w:pPr>
        <w:pStyle w:val="67"/>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A.法定代表人或负责人或实际控制人是同一人</w:t>
      </w:r>
    </w:p>
    <w:p w14:paraId="1BFDE5AF">
      <w:pPr>
        <w:pStyle w:val="67"/>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B.法定代表人或负责人或实际控制人是夫妻关系</w:t>
      </w:r>
    </w:p>
    <w:p w14:paraId="76612C49">
      <w:pPr>
        <w:pStyle w:val="67"/>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C.法定代表人或负责人或实际控制人是直系血亲关系</w:t>
      </w:r>
    </w:p>
    <w:p w14:paraId="08ECD1D4">
      <w:pPr>
        <w:pStyle w:val="67"/>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kern w:val="0"/>
          <w:sz w:val="24"/>
          <w:szCs w:val="24"/>
          <w:highlight w:val="none"/>
        </w:rPr>
        <w:t xml:space="preserve">  D.法定代表人或负责人或实际控制人存在三代以内旁系血亲关系</w:t>
      </w:r>
    </w:p>
    <w:p w14:paraId="003A5550">
      <w:pPr>
        <w:pStyle w:val="67"/>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E.法定代表人或负责人或实际控制人存在近姻亲关系</w:t>
      </w:r>
    </w:p>
    <w:p w14:paraId="58E78061">
      <w:pPr>
        <w:pStyle w:val="67"/>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F.法定代表人或负责人或实际控制人存在股份控制或实际控制关系</w:t>
      </w:r>
    </w:p>
    <w:p w14:paraId="4434EA6C">
      <w:pPr>
        <w:pStyle w:val="67"/>
        <w:snapToGrid w:val="0"/>
        <w:spacing w:line="400" w:lineRule="exact"/>
        <w:ind w:firstLine="480" w:firstLineChars="200"/>
        <w:rPr>
          <w:rFonts w:hint="default" w:hAnsi="宋体" w:eastAsia="宋体" w:cs="宋体"/>
          <w:color w:val="auto"/>
          <w:kern w:val="0"/>
          <w:sz w:val="24"/>
          <w:szCs w:val="24"/>
          <w:highlight w:val="none"/>
        </w:rPr>
      </w:pPr>
      <w:r>
        <w:rPr>
          <w:rFonts w:hAnsi="宋体" w:eastAsia="宋体" w:cs="宋体"/>
          <w:color w:val="auto"/>
          <w:kern w:val="0"/>
          <w:sz w:val="24"/>
          <w:szCs w:val="24"/>
          <w:highlight w:val="none"/>
        </w:rPr>
        <w:t xml:space="preserve">  G.存在共同直接或间接投资设立子公司、联营企业和合营企业情况</w:t>
      </w:r>
    </w:p>
    <w:p w14:paraId="3D1209A6">
      <w:pPr>
        <w:pStyle w:val="67"/>
        <w:snapToGrid w:val="0"/>
        <w:spacing w:line="400" w:lineRule="exact"/>
        <w:ind w:firstLine="480" w:firstLineChars="200"/>
        <w:rPr>
          <w:rFonts w:hint="default" w:hAnsi="宋体" w:eastAsia="宋体" w:cs="宋体"/>
          <w:color w:val="auto"/>
          <w:sz w:val="24"/>
          <w:szCs w:val="24"/>
          <w:highlight w:val="none"/>
        </w:rPr>
      </w:pPr>
      <w:r>
        <w:rPr>
          <w:rFonts w:hAnsi="宋体" w:eastAsia="宋体" w:cs="宋体"/>
          <w:color w:val="auto"/>
          <w:kern w:val="0"/>
          <w:sz w:val="24"/>
          <w:szCs w:val="24"/>
          <w:highlight w:val="none"/>
        </w:rPr>
        <w:t xml:space="preserve">  H.存在分级代理或代销关系、同一生产制造商关系、</w:t>
      </w:r>
      <w:r>
        <w:rPr>
          <w:rFonts w:hAnsi="宋体" w:eastAsia="宋体" w:cs="宋体"/>
          <w:color w:val="auto"/>
          <w:sz w:val="24"/>
          <w:szCs w:val="24"/>
          <w:highlight w:val="none"/>
        </w:rPr>
        <w:t>管理关系、重要业务（占主营业务收入50%以上）或重要财务往来关系（如融资）等其他实质性控制关系</w:t>
      </w:r>
    </w:p>
    <w:p w14:paraId="78090C07">
      <w:pPr>
        <w:pStyle w:val="67"/>
        <w:snapToGrid w:val="0"/>
        <w:spacing w:line="400" w:lineRule="exact"/>
        <w:ind w:firstLine="480" w:firstLineChars="200"/>
        <w:rPr>
          <w:rFonts w:hint="default" w:hAnsi="宋体" w:eastAsia="宋体" w:cs="宋体"/>
          <w:color w:val="auto"/>
          <w:spacing w:val="6"/>
          <w:sz w:val="24"/>
          <w:szCs w:val="24"/>
          <w:highlight w:val="none"/>
        </w:rPr>
      </w:pPr>
      <w:r>
        <w:rPr>
          <w:rFonts w:hAnsi="宋体" w:eastAsia="宋体" w:cs="宋体"/>
          <w:color w:val="auto"/>
          <w:sz w:val="24"/>
          <w:szCs w:val="24"/>
          <w:highlight w:val="none"/>
        </w:rPr>
        <w:t xml:space="preserve">  I</w:t>
      </w:r>
      <w:r>
        <w:rPr>
          <w:rFonts w:hAnsi="宋体" w:eastAsia="宋体" w:cs="宋体"/>
          <w:color w:val="auto"/>
          <w:kern w:val="0"/>
          <w:sz w:val="24"/>
          <w:szCs w:val="24"/>
          <w:highlight w:val="none"/>
        </w:rPr>
        <w:t>.</w:t>
      </w:r>
      <w:r>
        <w:rPr>
          <w:rFonts w:hAnsi="宋体" w:eastAsia="宋体" w:cs="宋体"/>
          <w:color w:val="auto"/>
          <w:sz w:val="24"/>
          <w:szCs w:val="24"/>
          <w:highlight w:val="none"/>
        </w:rPr>
        <w:t>其他利害关系情况</w:t>
      </w:r>
      <w:r>
        <w:rPr>
          <w:rFonts w:hAnsi="宋体" w:eastAsia="宋体" w:cs="宋体"/>
          <w:color w:val="auto"/>
          <w:spacing w:val="6"/>
          <w:sz w:val="24"/>
          <w:szCs w:val="24"/>
          <w:highlight w:val="none"/>
          <w:u w:val="single"/>
        </w:rPr>
        <w:t xml:space="preserve">         </w:t>
      </w:r>
      <w:r>
        <w:rPr>
          <w:rFonts w:hAnsi="宋体" w:eastAsia="宋体" w:cs="宋体"/>
          <w:color w:val="auto"/>
          <w:kern w:val="0"/>
          <w:sz w:val="24"/>
          <w:szCs w:val="24"/>
          <w:highlight w:val="none"/>
        </w:rPr>
        <w:t>。</w:t>
      </w:r>
    </w:p>
    <w:p w14:paraId="0E1F69DF">
      <w:pPr>
        <w:pStyle w:val="68"/>
        <w:widowControl/>
        <w:numPr>
          <w:ilvl w:val="0"/>
          <w:numId w:val="7"/>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662D5744">
      <w:pPr>
        <w:pStyle w:val="68"/>
        <w:widowControl/>
        <w:numPr>
          <w:ilvl w:val="0"/>
          <w:numId w:val="7"/>
        </w:numPr>
        <w:snapToGrid w:val="0"/>
        <w:spacing w:line="4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7479C1F0">
      <w:pPr>
        <w:pStyle w:val="67"/>
        <w:snapToGrid w:val="0"/>
        <w:spacing w:line="400" w:lineRule="exact"/>
        <w:ind w:firstLine="480" w:firstLineChars="200"/>
        <w:rPr>
          <w:rFonts w:hint="default" w:hAnsi="宋体" w:eastAsia="宋体" w:cs="宋体"/>
          <w:color w:val="auto"/>
          <w:sz w:val="24"/>
          <w:szCs w:val="24"/>
          <w:highlight w:val="none"/>
        </w:rPr>
      </w:pPr>
    </w:p>
    <w:p w14:paraId="7E120626">
      <w:pPr>
        <w:pStyle w:val="67"/>
        <w:snapToGrid w:val="0"/>
        <w:spacing w:line="600" w:lineRule="exact"/>
        <w:ind w:firstLine="480" w:firstLineChars="200"/>
        <w:rPr>
          <w:rFonts w:hint="default" w:hAnsi="宋体" w:eastAsia="宋体" w:cs="宋体"/>
          <w:color w:val="auto"/>
          <w:sz w:val="24"/>
          <w:szCs w:val="24"/>
          <w:highlight w:val="none"/>
        </w:rPr>
      </w:pPr>
      <w:r>
        <w:rPr>
          <w:rFonts w:hAnsi="宋体" w:eastAsia="宋体" w:cs="宋体"/>
          <w:color w:val="auto"/>
          <w:sz w:val="24"/>
          <w:szCs w:val="24"/>
          <w:highlight w:val="none"/>
        </w:rPr>
        <w:t xml:space="preserve">                                      供应商授权代表签名：</w:t>
      </w:r>
    </w:p>
    <w:p w14:paraId="1482EAA6">
      <w:pPr>
        <w:pStyle w:val="67"/>
        <w:snapToGrid w:val="0"/>
        <w:spacing w:line="600" w:lineRule="exact"/>
        <w:ind w:right="240"/>
        <w:jc w:val="right"/>
        <w:rPr>
          <w:rFonts w:hint="default" w:hAnsi="宋体" w:eastAsia="宋体" w:cs="宋体"/>
          <w:color w:val="auto"/>
          <w:sz w:val="24"/>
          <w:szCs w:val="24"/>
          <w:highlight w:val="none"/>
        </w:rPr>
      </w:pPr>
      <w:r>
        <w:rPr>
          <w:rFonts w:hAnsi="宋体" w:eastAsia="宋体" w:cs="宋体"/>
          <w:color w:val="auto"/>
          <w:sz w:val="24"/>
          <w:szCs w:val="24"/>
          <w:highlight w:val="none"/>
        </w:rPr>
        <w:t xml:space="preserve">2025年  月   日  </w:t>
      </w:r>
    </w:p>
    <w:p w14:paraId="7D70AC1B">
      <w:pPr>
        <w:spacing w:line="400" w:lineRule="exact"/>
        <w:rPr>
          <w:rFonts w:ascii="宋体" w:hAnsi="宋体" w:cs="宋体"/>
          <w:b/>
          <w:color w:val="auto"/>
          <w:sz w:val="24"/>
          <w:szCs w:val="24"/>
          <w:highlight w:val="none"/>
        </w:rPr>
      </w:pPr>
    </w:p>
    <w:p w14:paraId="668784C9">
      <w:pPr>
        <w:spacing w:line="400" w:lineRule="exact"/>
        <w:rPr>
          <w:rFonts w:ascii="宋体" w:hAnsi="宋体" w:cs="宋体"/>
          <w:b/>
          <w:color w:val="auto"/>
          <w:sz w:val="24"/>
          <w:szCs w:val="24"/>
          <w:highlight w:val="none"/>
        </w:rPr>
      </w:pPr>
      <w:r>
        <w:rPr>
          <w:rFonts w:hint="eastAsia" w:ascii="宋体" w:hAnsi="宋体" w:cs="宋体"/>
          <w:b/>
          <w:bCs/>
          <w:color w:val="auto"/>
          <w:sz w:val="24"/>
          <w:highlight w:val="none"/>
        </w:rPr>
        <w:t>备注：</w:t>
      </w:r>
      <w:r>
        <w:rPr>
          <w:color w:val="auto"/>
          <w:highlight w:val="none"/>
        </w:rPr>
        <w:fldChar w:fldCharType="begin"/>
      </w:r>
      <w:r>
        <w:rPr>
          <w:color w:val="auto"/>
          <w:highlight w:val="none"/>
        </w:rPr>
        <w:instrText xml:space="preserve"> HYPERLINK "mailto:投标人在投标文件解密后，通过电子邮件形式，向邮箱地址（1783329431@qq.com）发送《政府采购活动现场确认声明书》（上表）。" </w:instrText>
      </w:r>
      <w:r>
        <w:rPr>
          <w:color w:val="auto"/>
          <w:highlight w:val="none"/>
        </w:rPr>
        <w:fldChar w:fldCharType="separate"/>
      </w:r>
      <w:r>
        <w:rPr>
          <w:rStyle w:val="39"/>
          <w:rFonts w:hint="eastAsia" w:ascii="宋体" w:hAnsi="宋体" w:cs="宋体"/>
          <w:b/>
          <w:bCs/>
          <w:color w:val="auto"/>
          <w:sz w:val="24"/>
          <w:highlight w:val="none"/>
        </w:rPr>
        <w:t>投标人在投标文件解密后，通过电子邮件形式，向邮箱地址（2812799762@qq.com）发送《采购活动现场确认声明书》（上表）。</w:t>
      </w:r>
      <w:r>
        <w:rPr>
          <w:rStyle w:val="39"/>
          <w:rFonts w:hint="eastAsia" w:ascii="宋体" w:hAnsi="宋体" w:cs="宋体"/>
          <w:b/>
          <w:bCs/>
          <w:color w:val="auto"/>
          <w:sz w:val="24"/>
          <w:highlight w:val="none"/>
        </w:rPr>
        <w:fldChar w:fldCharType="end"/>
      </w:r>
    </w:p>
    <w:p w14:paraId="77FE1252">
      <w:pPr>
        <w:rPr>
          <w:rFonts w:ascii="宋体" w:hAnsi="宋体" w:cs="宋体"/>
          <w:color w:val="auto"/>
          <w:highlight w:val="none"/>
        </w:rPr>
      </w:pPr>
      <w:r>
        <w:rPr>
          <w:rFonts w:hint="eastAsia" w:ascii="宋体" w:hAnsi="宋体" w:cs="宋体"/>
          <w:color w:val="auto"/>
          <w:highlight w:val="none"/>
        </w:rPr>
        <w:br w:type="page"/>
      </w:r>
    </w:p>
    <w:p w14:paraId="6911C4EE">
      <w:pPr>
        <w:spacing w:line="400" w:lineRule="exact"/>
        <w:jc w:val="center"/>
        <w:outlineLvl w:val="0"/>
        <w:rPr>
          <w:rFonts w:ascii="宋体" w:hAnsi="宋体" w:cs="宋体"/>
          <w:b/>
          <w:color w:val="auto"/>
          <w:sz w:val="32"/>
          <w:highlight w:val="none"/>
        </w:rPr>
      </w:pPr>
      <w:bookmarkStart w:id="24" w:name="_Toc23636"/>
      <w:r>
        <w:rPr>
          <w:rFonts w:hint="eastAsia" w:ascii="宋体" w:hAnsi="宋体" w:cs="宋体"/>
          <w:b/>
          <w:color w:val="auto"/>
          <w:sz w:val="32"/>
          <w:highlight w:val="none"/>
        </w:rPr>
        <w:t>第五部分 采购需求</w:t>
      </w:r>
      <w:bookmarkEnd w:id="24"/>
    </w:p>
    <w:p w14:paraId="69BCC316">
      <w:pPr>
        <w:pStyle w:val="17"/>
        <w:adjustRightInd/>
        <w:snapToGrid w:val="0"/>
        <w:spacing w:line="360" w:lineRule="exact"/>
        <w:textAlignment w:val="auto"/>
        <w:rPr>
          <w:rFonts w:hAnsi="宋体" w:cs="宋体"/>
          <w:b/>
          <w:bCs/>
          <w:color w:val="auto"/>
          <w:sz w:val="22"/>
          <w:highlight w:val="none"/>
        </w:rPr>
      </w:pPr>
      <w:r>
        <w:rPr>
          <w:rFonts w:hint="eastAsia" w:hAnsi="宋体" w:cs="宋体"/>
          <w:b/>
          <w:bCs/>
          <w:color w:val="auto"/>
          <w:sz w:val="22"/>
          <w:highlight w:val="none"/>
        </w:rPr>
        <w:t>一、采购内容及数量</w:t>
      </w:r>
    </w:p>
    <w:tbl>
      <w:tblPr>
        <w:tblStyle w:val="33"/>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876"/>
        <w:gridCol w:w="3652"/>
        <w:gridCol w:w="1502"/>
      </w:tblGrid>
      <w:tr w14:paraId="6346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vAlign w:val="center"/>
          </w:tcPr>
          <w:p w14:paraId="09952106">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序号</w:t>
            </w:r>
          </w:p>
        </w:tc>
        <w:tc>
          <w:tcPr>
            <w:tcW w:w="2876" w:type="dxa"/>
            <w:vAlign w:val="center"/>
          </w:tcPr>
          <w:p w14:paraId="3920AA96">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标的名称</w:t>
            </w:r>
          </w:p>
        </w:tc>
        <w:tc>
          <w:tcPr>
            <w:tcW w:w="3652" w:type="dxa"/>
            <w:vAlign w:val="center"/>
          </w:tcPr>
          <w:p w14:paraId="353D1A4E">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数量</w:t>
            </w:r>
          </w:p>
        </w:tc>
        <w:tc>
          <w:tcPr>
            <w:tcW w:w="1502" w:type="dxa"/>
            <w:vAlign w:val="center"/>
          </w:tcPr>
          <w:p w14:paraId="0426E5B3">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备注</w:t>
            </w:r>
          </w:p>
        </w:tc>
      </w:tr>
      <w:tr w14:paraId="6398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 w:type="dxa"/>
            <w:shd w:val="clear" w:color="auto" w:fill="auto"/>
            <w:vAlign w:val="center"/>
          </w:tcPr>
          <w:p w14:paraId="2CACAE02">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1</w:t>
            </w:r>
          </w:p>
        </w:tc>
        <w:tc>
          <w:tcPr>
            <w:tcW w:w="2876" w:type="dxa"/>
            <w:vAlign w:val="center"/>
          </w:tcPr>
          <w:p w14:paraId="779C53A5">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理工楼设备维保服务 </w:t>
            </w:r>
          </w:p>
        </w:tc>
        <w:tc>
          <w:tcPr>
            <w:tcW w:w="3652" w:type="dxa"/>
            <w:vAlign w:val="center"/>
          </w:tcPr>
          <w:p w14:paraId="4341E7BD">
            <w:pPr>
              <w:spacing w:line="36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1批</w:t>
            </w:r>
          </w:p>
        </w:tc>
        <w:tc>
          <w:tcPr>
            <w:tcW w:w="1502" w:type="dxa"/>
            <w:shd w:val="clear" w:color="auto" w:fill="auto"/>
            <w:vAlign w:val="center"/>
          </w:tcPr>
          <w:p w14:paraId="52640ECF">
            <w:pPr>
              <w:spacing w:line="360" w:lineRule="exact"/>
              <w:jc w:val="center"/>
              <w:rPr>
                <w:rFonts w:ascii="宋体" w:hAnsi="宋体" w:cs="宋体"/>
                <w:bCs/>
                <w:color w:val="auto"/>
                <w:spacing w:val="-6"/>
                <w:sz w:val="22"/>
                <w:highlight w:val="none"/>
              </w:rPr>
            </w:pPr>
          </w:p>
        </w:tc>
      </w:tr>
    </w:tbl>
    <w:p w14:paraId="7C5C850E">
      <w:pPr>
        <w:snapToGrid w:val="0"/>
        <w:spacing w:line="360" w:lineRule="exact"/>
        <w:rPr>
          <w:rFonts w:ascii="宋体" w:hAnsi="宋体" w:cs="宋体"/>
          <w:b/>
          <w:bCs/>
          <w:color w:val="auto"/>
          <w:spacing w:val="-6"/>
          <w:sz w:val="22"/>
          <w:highlight w:val="none"/>
        </w:rPr>
      </w:pPr>
      <w:r>
        <w:rPr>
          <w:rFonts w:hint="eastAsia" w:ascii="宋体" w:hAnsi="宋体" w:cs="宋体"/>
          <w:b/>
          <w:bCs/>
          <w:color w:val="auto"/>
          <w:kern w:val="0"/>
          <w:sz w:val="22"/>
          <w:highlight w:val="none"/>
        </w:rPr>
        <w:t>三、</w:t>
      </w:r>
      <w:r>
        <w:rPr>
          <w:rFonts w:hint="eastAsia" w:ascii="宋体" w:hAnsi="宋体" w:cs="宋体"/>
          <w:b/>
          <w:bCs/>
          <w:color w:val="auto"/>
          <w:spacing w:val="-6"/>
          <w:sz w:val="22"/>
          <w:highlight w:val="none"/>
        </w:rPr>
        <w:t>商务要求（技术要求里另有注明的以技术要求为准）</w:t>
      </w:r>
    </w:p>
    <w:tbl>
      <w:tblPr>
        <w:tblStyle w:val="33"/>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696"/>
      </w:tblGrid>
      <w:tr w14:paraId="7ACA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vAlign w:val="center"/>
          </w:tcPr>
          <w:p w14:paraId="04695995">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7696" w:type="dxa"/>
            <w:vAlign w:val="center"/>
          </w:tcPr>
          <w:p w14:paraId="589E6765">
            <w:pPr>
              <w:pStyle w:val="11"/>
              <w:widowControl/>
              <w:adjustRightInd w:val="0"/>
              <w:snapToGrid w:val="0"/>
              <w:spacing w:line="360" w:lineRule="exact"/>
              <w:rPr>
                <w:rFonts w:ascii="宋体" w:hAnsi="宋体" w:cs="宋体"/>
                <w:color w:val="auto"/>
                <w:sz w:val="22"/>
                <w:highlight w:val="none"/>
                <w:u w:val="single"/>
              </w:rPr>
            </w:pPr>
            <w:r>
              <w:rPr>
                <w:rFonts w:hint="eastAsia" w:ascii="宋体" w:hAnsi="宋体" w:cs="宋体"/>
                <w:color w:val="auto"/>
                <w:sz w:val="22"/>
                <w:highlight w:val="none"/>
                <w:u w:val="single"/>
              </w:rPr>
              <w:t>▲</w:t>
            </w:r>
            <w:bookmarkStart w:id="25" w:name="OLE_LINK27"/>
            <w:r>
              <w:rPr>
                <w:rFonts w:hint="eastAsia" w:ascii="宋体" w:hAnsi="宋体" w:cs="宋体"/>
                <w:color w:val="auto"/>
                <w:sz w:val="22"/>
                <w:highlight w:val="none"/>
                <w:u w:val="single"/>
              </w:rPr>
              <w:t>合同生效以及具备实施条件后7个工作日内采购人先预付合同金额的50%给中标人，合同签订之日起6个月后再支付合同金额的40%给中标人，中标人</w:t>
            </w:r>
            <w:r>
              <w:rPr>
                <w:rFonts w:hint="eastAsia" w:ascii="宋体" w:hAnsi="宋体" w:cs="宋体"/>
                <w:color w:val="auto"/>
                <w:sz w:val="22"/>
                <w:highlight w:val="none"/>
                <w:u w:val="single"/>
                <w:lang w:val="zh-CN"/>
              </w:rPr>
              <w:t>完成全部服务内容并通过</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验收完成后，</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自收到合同全额发票后7个工作日内</w:t>
            </w:r>
            <w:r>
              <w:rPr>
                <w:rFonts w:hint="eastAsia" w:ascii="宋体" w:hAnsi="宋体" w:cs="宋体"/>
                <w:color w:val="auto"/>
                <w:sz w:val="22"/>
                <w:highlight w:val="none"/>
                <w:u w:val="single"/>
              </w:rPr>
              <w:t>支付剩余的合同金额。</w:t>
            </w:r>
          </w:p>
          <w:p w14:paraId="4FF1655B">
            <w:pPr>
              <w:spacing w:line="400" w:lineRule="exact"/>
              <w:rPr>
                <w:rFonts w:ascii="宋体" w:hAnsi="宋体" w:cs="宋体"/>
                <w:color w:val="auto"/>
                <w:sz w:val="22"/>
                <w:highlight w:val="none"/>
                <w:u w:val="single"/>
              </w:rPr>
            </w:pPr>
            <w:r>
              <w:rPr>
                <w:rFonts w:hint="eastAsia" w:ascii="宋体" w:hAnsi="宋体" w:cs="宋体"/>
                <w:color w:val="auto"/>
                <w:sz w:val="22"/>
                <w:highlight w:val="none"/>
              </w:rPr>
              <w:t>注：在签订合同时，供应商明确表示无需预付款或者主动要求降低预付款比例的，按实际比例计。供应商明确表示无需预付款的，采用下述付款方式：中标人</w:t>
            </w:r>
            <w:r>
              <w:rPr>
                <w:rFonts w:hint="eastAsia" w:ascii="宋体" w:hAnsi="宋体" w:cs="宋体"/>
                <w:color w:val="auto"/>
                <w:sz w:val="22"/>
                <w:highlight w:val="none"/>
                <w:lang w:val="zh-CN"/>
              </w:rPr>
              <w:t>完成全部服务内容并通过</w:t>
            </w:r>
            <w:r>
              <w:rPr>
                <w:rFonts w:hint="eastAsia" w:ascii="宋体" w:hAnsi="宋体" w:cs="宋体"/>
                <w:color w:val="auto"/>
                <w:sz w:val="22"/>
                <w:highlight w:val="none"/>
              </w:rPr>
              <w:t>采购人</w:t>
            </w:r>
            <w:r>
              <w:rPr>
                <w:rFonts w:hint="eastAsia" w:ascii="宋体" w:hAnsi="宋体" w:cs="宋体"/>
                <w:color w:val="auto"/>
                <w:sz w:val="22"/>
                <w:highlight w:val="none"/>
                <w:lang w:val="zh-CN"/>
              </w:rPr>
              <w:t>验收后，</w:t>
            </w:r>
            <w:r>
              <w:rPr>
                <w:rFonts w:hint="eastAsia" w:ascii="宋体" w:hAnsi="宋体" w:cs="宋体"/>
                <w:color w:val="auto"/>
                <w:sz w:val="22"/>
                <w:highlight w:val="none"/>
              </w:rPr>
              <w:t>采购人</w:t>
            </w:r>
            <w:r>
              <w:rPr>
                <w:rFonts w:hint="eastAsia" w:ascii="宋体" w:hAnsi="宋体" w:cs="宋体"/>
                <w:color w:val="auto"/>
                <w:sz w:val="22"/>
                <w:highlight w:val="none"/>
                <w:lang w:val="zh-CN"/>
              </w:rPr>
              <w:t>自收到发票后7个工作日内</w:t>
            </w:r>
            <w:r>
              <w:rPr>
                <w:rFonts w:hint="eastAsia" w:ascii="宋体" w:hAnsi="宋体" w:cs="宋体"/>
                <w:color w:val="auto"/>
                <w:sz w:val="22"/>
                <w:highlight w:val="none"/>
              </w:rPr>
              <w:t>支付全部的合同金额。中标人需开具全额正规发票。</w:t>
            </w:r>
            <w:bookmarkEnd w:id="25"/>
          </w:p>
        </w:tc>
      </w:tr>
      <w:tr w14:paraId="39D9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vAlign w:val="center"/>
          </w:tcPr>
          <w:p w14:paraId="3C4C3FD4">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7696" w:type="dxa"/>
            <w:vAlign w:val="center"/>
          </w:tcPr>
          <w:p w14:paraId="54396B60">
            <w:p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无</w:t>
            </w:r>
          </w:p>
        </w:tc>
      </w:tr>
      <w:tr w14:paraId="72EA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vAlign w:val="center"/>
          </w:tcPr>
          <w:p w14:paraId="5ABB199F">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服务时间</w:t>
            </w:r>
          </w:p>
        </w:tc>
        <w:tc>
          <w:tcPr>
            <w:tcW w:w="7696" w:type="dxa"/>
            <w:vAlign w:val="center"/>
          </w:tcPr>
          <w:p w14:paraId="56D2E00C">
            <w:pPr>
              <w:pStyle w:val="11"/>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1年，合同签订之日起1年。</w:t>
            </w:r>
          </w:p>
        </w:tc>
      </w:tr>
      <w:tr w14:paraId="0BE1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vAlign w:val="center"/>
          </w:tcPr>
          <w:p w14:paraId="17F998D2">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7696" w:type="dxa"/>
            <w:vAlign w:val="center"/>
          </w:tcPr>
          <w:p w14:paraId="5D687872">
            <w:pPr>
              <w:pStyle w:val="11"/>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lang w:val="zh-CN"/>
              </w:rPr>
              <w:t>采购人指定地点</w:t>
            </w:r>
          </w:p>
        </w:tc>
      </w:tr>
      <w:tr w14:paraId="4299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vAlign w:val="center"/>
          </w:tcPr>
          <w:p w14:paraId="6598BF96">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耗材或其他费用</w:t>
            </w:r>
          </w:p>
        </w:tc>
        <w:tc>
          <w:tcPr>
            <w:tcW w:w="7696" w:type="dxa"/>
            <w:vAlign w:val="center"/>
          </w:tcPr>
          <w:p w14:paraId="2FFAC665">
            <w:pPr>
              <w:pStyle w:val="43"/>
              <w:ind w:firstLine="0" w:firstLineChars="0"/>
              <w:rPr>
                <w:rFonts w:hint="eastAsia" w:ascii="宋体" w:hAnsi="宋体" w:cs="宋体"/>
                <w:color w:val="auto"/>
                <w:kern w:val="0"/>
                <w:sz w:val="22"/>
                <w:highlight w:val="none"/>
              </w:rPr>
            </w:pPr>
            <w:r>
              <w:rPr>
                <w:rFonts w:hint="eastAsia" w:ascii="宋体" w:hAnsi="宋体" w:cs="宋体"/>
                <w:color w:val="auto"/>
                <w:sz w:val="22"/>
                <w:highlight w:val="none"/>
                <w:u w:val="single"/>
              </w:rPr>
              <w:t>▲本项目服务范围内涉及单次500元内的所有维修材料需中标单位承担（包含在本次报价范围内）。</w:t>
            </w:r>
            <w:r>
              <w:rPr>
                <w:rFonts w:hint="eastAsia" w:ascii="宋体" w:hAnsi="宋体" w:cs="宋体"/>
                <w:color w:val="auto"/>
                <w:kern w:val="0"/>
                <w:sz w:val="22"/>
                <w:highlight w:val="none"/>
                <w:u w:val="single"/>
              </w:rPr>
              <w:t>因驻场人员或工程师业务不熟悉，导致设备在维修过程中造成再次不可修复的损坏，应由中标单位承担损失。</w:t>
            </w:r>
          </w:p>
        </w:tc>
      </w:tr>
    </w:tbl>
    <w:p w14:paraId="21BC63A3">
      <w:pPr>
        <w:snapToGrid w:val="0"/>
        <w:spacing w:line="360" w:lineRule="exact"/>
        <w:rPr>
          <w:rFonts w:ascii="宋体" w:hAnsi="宋体" w:cs="宋体"/>
          <w:b/>
          <w:bCs/>
          <w:color w:val="auto"/>
          <w:spacing w:val="-6"/>
          <w:sz w:val="22"/>
          <w:highlight w:val="none"/>
        </w:rPr>
      </w:pPr>
    </w:p>
    <w:p w14:paraId="53473104">
      <w:pPr>
        <w:snapToGrid w:val="0"/>
        <w:spacing w:line="360" w:lineRule="exact"/>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四、服务要求</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8426"/>
      </w:tblGrid>
      <w:tr w14:paraId="1158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tcPr>
          <w:p w14:paraId="6D304742">
            <w:pPr>
              <w:pStyle w:val="4"/>
              <w:jc w:val="center"/>
              <w:rPr>
                <w:rFonts w:ascii="宋体" w:hAnsi="宋体" w:cs="宋体"/>
                <w:color w:val="auto"/>
                <w:sz w:val="22"/>
                <w:szCs w:val="22"/>
                <w:highlight w:val="none"/>
              </w:rPr>
            </w:pPr>
            <w:r>
              <w:rPr>
                <w:rFonts w:hint="eastAsia" w:ascii="宋体" w:hAnsi="宋体" w:cs="宋体"/>
                <w:color w:val="auto"/>
                <w:sz w:val="22"/>
                <w:szCs w:val="22"/>
                <w:highlight w:val="none"/>
              </w:rPr>
              <w:t>温州肯恩大学理工学院实验中心</w:t>
            </w:r>
          </w:p>
          <w:p w14:paraId="702AA2E3">
            <w:pPr>
              <w:pStyle w:val="4"/>
              <w:jc w:val="center"/>
              <w:rPr>
                <w:rFonts w:ascii="宋体" w:hAnsi="宋体" w:cs="宋体"/>
                <w:color w:val="auto"/>
                <w:sz w:val="22"/>
                <w:szCs w:val="22"/>
                <w:highlight w:val="none"/>
              </w:rPr>
            </w:pPr>
            <w:r>
              <w:rPr>
                <w:rFonts w:hint="eastAsia" w:ascii="宋体" w:hAnsi="宋体" w:cs="宋体"/>
                <w:color w:val="auto"/>
                <w:sz w:val="22"/>
                <w:szCs w:val="22"/>
                <w:highlight w:val="none"/>
              </w:rPr>
              <w:t>维保服务要求</w:t>
            </w:r>
          </w:p>
          <w:p w14:paraId="2EB7DEAB">
            <w:pPr>
              <w:pStyle w:val="30"/>
              <w:numPr>
                <w:ilvl w:val="0"/>
                <w:numId w:val="8"/>
              </w:numPr>
              <w:rPr>
                <w:rFonts w:ascii="宋体" w:hAnsi="宋体" w:cs="宋体"/>
                <w:color w:val="auto"/>
                <w:sz w:val="22"/>
                <w:szCs w:val="22"/>
                <w:highlight w:val="none"/>
              </w:rPr>
            </w:pPr>
            <w:r>
              <w:rPr>
                <w:rStyle w:val="36"/>
                <w:color w:val="auto"/>
                <w:sz w:val="22"/>
                <w:highlight w:val="none"/>
              </w:rPr>
              <w:t>实验中心概况</w:t>
            </w:r>
          </w:p>
          <w:p w14:paraId="5EE617DE">
            <w:pPr>
              <w:pStyle w:val="30"/>
              <w:rPr>
                <w:rFonts w:ascii="宋体" w:hAnsi="宋体" w:cs="宋体"/>
                <w:color w:val="auto"/>
                <w:sz w:val="22"/>
                <w:szCs w:val="22"/>
                <w:highlight w:val="none"/>
              </w:rPr>
            </w:pPr>
            <w:r>
              <w:rPr>
                <w:rFonts w:hint="eastAsia" w:ascii="宋体" w:hAnsi="宋体" w:cs="宋体"/>
                <w:color w:val="auto"/>
                <w:sz w:val="22"/>
                <w:highlight w:val="none"/>
              </w:rPr>
              <w:t>温州肯恩大学理工学院实验中心拥有</w:t>
            </w:r>
            <w:r>
              <w:rPr>
                <w:rFonts w:ascii="宋体" w:hAnsi="宋体" w:cs="宋体"/>
                <w:color w:val="auto"/>
                <w:sz w:val="22"/>
                <w:highlight w:val="none"/>
              </w:rPr>
              <w:t>7032</w:t>
            </w:r>
            <w:r>
              <w:rPr>
                <w:rFonts w:hint="eastAsia" w:ascii="宋体" w:hAnsi="宋体" w:cs="宋体"/>
                <w:color w:val="auto"/>
                <w:sz w:val="22"/>
                <w:highlight w:val="none"/>
              </w:rPr>
              <w:t>平方米的实验空间，配备超过</w:t>
            </w:r>
            <w:r>
              <w:rPr>
                <w:rFonts w:ascii="宋体" w:hAnsi="宋体" w:cs="宋体"/>
                <w:color w:val="auto"/>
                <w:sz w:val="22"/>
                <w:highlight w:val="none"/>
              </w:rPr>
              <w:t>800</w:t>
            </w:r>
            <w:r>
              <w:rPr>
                <w:rFonts w:hint="eastAsia" w:ascii="宋体" w:hAnsi="宋体" w:cs="宋体"/>
                <w:color w:val="auto"/>
                <w:sz w:val="22"/>
                <w:highlight w:val="none"/>
              </w:rPr>
              <w:t>台教学科研仪器设备，总价值超过</w:t>
            </w:r>
            <w:r>
              <w:rPr>
                <w:rFonts w:ascii="宋体" w:hAnsi="宋体" w:cs="宋体"/>
                <w:color w:val="auto"/>
                <w:sz w:val="22"/>
                <w:highlight w:val="none"/>
              </w:rPr>
              <w:t>2500</w:t>
            </w:r>
            <w:r>
              <w:rPr>
                <w:rFonts w:hint="eastAsia" w:ascii="宋体" w:hAnsi="宋体" w:cs="宋体"/>
                <w:color w:val="auto"/>
                <w:sz w:val="22"/>
                <w:highlight w:val="none"/>
              </w:rPr>
              <w:t>万元。实验中心分布于理工楼、综合实验楼及教学楼</w:t>
            </w:r>
            <w:r>
              <w:rPr>
                <w:rFonts w:ascii="宋体" w:hAnsi="宋体" w:cs="宋体"/>
                <w:color w:val="auto"/>
                <w:sz w:val="22"/>
                <w:highlight w:val="none"/>
              </w:rPr>
              <w:t>D</w:t>
            </w:r>
            <w:r>
              <w:rPr>
                <w:rFonts w:hint="eastAsia" w:ascii="宋体" w:hAnsi="宋体" w:cs="宋体"/>
                <w:color w:val="auto"/>
                <w:sz w:val="22"/>
                <w:highlight w:val="none"/>
              </w:rPr>
              <w:t>幢，涵盖生物、化学、物理和环境科学等多个学科实验室。为保障实验教学和科研的顺利进行，确保实验室设备与设施安全稳定运行，特制定本维保服务要求。</w:t>
            </w:r>
          </w:p>
          <w:p w14:paraId="3C2E8002">
            <w:pPr>
              <w:pStyle w:val="30"/>
              <w:numPr>
                <w:ilvl w:val="0"/>
                <w:numId w:val="8"/>
              </w:numPr>
              <w:rPr>
                <w:rFonts w:ascii="宋体" w:hAnsi="宋体" w:cs="宋体"/>
                <w:color w:val="auto"/>
                <w:sz w:val="22"/>
                <w:szCs w:val="22"/>
                <w:highlight w:val="none"/>
              </w:rPr>
            </w:pPr>
            <w:r>
              <w:rPr>
                <w:rStyle w:val="36"/>
                <w:color w:val="auto"/>
                <w:sz w:val="22"/>
                <w:highlight w:val="none"/>
              </w:rPr>
              <w:t>维保需求</w:t>
            </w:r>
          </w:p>
          <w:p w14:paraId="5EF196D4">
            <w:pPr>
              <w:pStyle w:val="30"/>
              <w:numPr>
                <w:ilvl w:val="0"/>
                <w:numId w:val="9"/>
              </w:numPr>
              <w:rPr>
                <w:rFonts w:ascii="宋体" w:hAnsi="宋体" w:cs="宋体"/>
                <w:color w:val="auto"/>
                <w:sz w:val="22"/>
                <w:szCs w:val="22"/>
                <w:highlight w:val="none"/>
              </w:rPr>
            </w:pPr>
            <w:r>
              <w:rPr>
                <w:rStyle w:val="36"/>
                <w:color w:val="auto"/>
                <w:sz w:val="22"/>
                <w:highlight w:val="none"/>
              </w:rPr>
              <w:t>实验室类型</w:t>
            </w:r>
          </w:p>
          <w:p w14:paraId="75343581">
            <w:pPr>
              <w:pStyle w:val="82"/>
              <w:widowControl/>
              <w:spacing w:before="100" w:beforeAutospacing="1" w:after="100" w:afterAutospacing="1"/>
              <w:ind w:left="720" w:firstLine="0" w:firstLineChars="0"/>
              <w:jc w:val="left"/>
              <w:rPr>
                <w:rFonts w:ascii="宋体" w:hAnsi="宋体" w:cs="宋体"/>
                <w:color w:val="auto"/>
                <w:kern w:val="0"/>
                <w:sz w:val="22"/>
                <w:szCs w:val="22"/>
                <w:highlight w:val="none"/>
              </w:rPr>
            </w:pPr>
            <w:r>
              <w:rPr>
                <w:rFonts w:hint="eastAsia" w:ascii="宋体" w:hAnsi="宋体" w:cs="宋体"/>
                <w:color w:val="auto"/>
                <w:kern w:val="0"/>
                <w:sz w:val="22"/>
                <w:highlight w:val="none"/>
              </w:rPr>
              <w:t>实验中心包含不同学科实验室，设备功能各异，具体房间号、房间名称、主要仪器、功能、使用频率及特殊要求详见附件</w:t>
            </w:r>
            <w:r>
              <w:rPr>
                <w:rFonts w:ascii="宋体" w:hAnsi="宋体" w:cs="宋体"/>
                <w:color w:val="auto"/>
                <w:kern w:val="0"/>
                <w:sz w:val="22"/>
                <w:highlight w:val="none"/>
              </w:rPr>
              <w:t>1</w:t>
            </w:r>
            <w:r>
              <w:rPr>
                <w:rFonts w:hint="eastAsia" w:ascii="宋体" w:hAnsi="宋体" w:cs="宋体"/>
                <w:color w:val="auto"/>
                <w:kern w:val="0"/>
                <w:sz w:val="22"/>
                <w:highlight w:val="none"/>
              </w:rPr>
              <w:t>。</w:t>
            </w:r>
          </w:p>
          <w:p w14:paraId="6EF584AE">
            <w:pPr>
              <w:pStyle w:val="30"/>
              <w:numPr>
                <w:ilvl w:val="0"/>
                <w:numId w:val="9"/>
              </w:numPr>
              <w:rPr>
                <w:rStyle w:val="36"/>
                <w:rFonts w:ascii="宋体" w:hAnsi="宋体" w:cs="宋体"/>
                <w:b w:val="0"/>
                <w:color w:val="auto"/>
                <w:kern w:val="0"/>
                <w:sz w:val="22"/>
                <w:szCs w:val="22"/>
                <w:highlight w:val="none"/>
              </w:rPr>
            </w:pPr>
            <w:r>
              <w:rPr>
                <w:rStyle w:val="36"/>
                <w:color w:val="auto"/>
                <w:sz w:val="22"/>
                <w:highlight w:val="none"/>
              </w:rPr>
              <w:t>维保内容</w:t>
            </w:r>
          </w:p>
          <w:tbl>
            <w:tblPr>
              <w:tblStyle w:val="34"/>
              <w:tblpPr w:leftFromText="180" w:rightFromText="180" w:vertAnchor="text" w:horzAnchor="margin" w:tblpY="417"/>
              <w:tblW w:w="48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7798"/>
            </w:tblGrid>
            <w:tr w14:paraId="2053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5BEFF9ED">
                  <w:pPr>
                    <w:pStyle w:val="25"/>
                    <w:rPr>
                      <w:rFonts w:ascii="宋体" w:hAnsi="宋体" w:cs="宋体"/>
                      <w:color w:val="auto"/>
                      <w:sz w:val="22"/>
                      <w:szCs w:val="22"/>
                      <w:highlight w:val="none"/>
                    </w:rPr>
                  </w:pPr>
                  <w:r>
                    <w:rPr>
                      <w:rFonts w:hint="eastAsia" w:ascii="宋体" w:hAnsi="宋体" w:cs="宋体"/>
                      <w:color w:val="auto"/>
                      <w:sz w:val="22"/>
                      <w:szCs w:val="22"/>
                      <w:highlight w:val="none"/>
                    </w:rPr>
                    <w:t>驻场维保专员日常维护</w:t>
                  </w:r>
                </w:p>
              </w:tc>
            </w:tr>
            <w:tr w14:paraId="5B82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pct"/>
                </w:tcPr>
                <w:p w14:paraId="4B5A0CA7">
                  <w:pPr>
                    <w:pStyle w:val="25"/>
                    <w:tabs>
                      <w:tab w:val="left" w:pos="1215"/>
                    </w:tabs>
                    <w:jc w:val="both"/>
                    <w:rPr>
                      <w:rFonts w:ascii="宋体" w:hAnsi="宋体" w:cs="宋体"/>
                      <w:b w:val="0"/>
                      <w:bCs w:val="0"/>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b w:val="0"/>
                      <w:bCs w:val="0"/>
                      <w:color w:val="auto"/>
                      <w:kern w:val="0"/>
                      <w:sz w:val="22"/>
                      <w:szCs w:val="22"/>
                      <w:highlight w:val="none"/>
                    </w:rPr>
                    <w:t>前期准备</w:t>
                  </w:r>
                  <w:r>
                    <w:rPr>
                      <w:rFonts w:ascii="宋体" w:hAnsi="宋体" w:cs="宋体"/>
                      <w:b w:val="0"/>
                      <w:bCs w:val="0"/>
                      <w:color w:val="auto"/>
                      <w:kern w:val="0"/>
                      <w:sz w:val="22"/>
                      <w:szCs w:val="22"/>
                      <w:highlight w:val="none"/>
                    </w:rPr>
                    <w:tab/>
                  </w:r>
                </w:p>
              </w:tc>
              <w:tc>
                <w:tcPr>
                  <w:tcW w:w="4114" w:type="pct"/>
                </w:tcPr>
                <w:p w14:paraId="58A43610">
                  <w:pPr>
                    <w:rPr>
                      <w:rFonts w:ascii="宋体" w:hAnsi="宋体" w:cs="宋体"/>
                      <w:color w:val="auto"/>
                      <w:kern w:val="0"/>
                      <w:sz w:val="22"/>
                      <w:szCs w:val="22"/>
                      <w:highlight w:val="none"/>
                    </w:rPr>
                  </w:pPr>
                  <w:r>
                    <w:rPr>
                      <w:rFonts w:ascii="宋体" w:hAnsi="宋体" w:cs="宋体"/>
                      <w:color w:val="auto"/>
                      <w:kern w:val="0"/>
                      <w:sz w:val="22"/>
                      <w:highlight w:val="none"/>
                    </w:rPr>
                    <w:t>1</w:t>
                  </w:r>
                  <w:r>
                    <w:rPr>
                      <w:rFonts w:hint="eastAsia" w:ascii="宋体" w:hAnsi="宋体" w:cs="宋体"/>
                      <w:color w:val="auto"/>
                      <w:kern w:val="0"/>
                      <w:sz w:val="22"/>
                      <w:highlight w:val="none"/>
                    </w:rPr>
                    <w:t>、根据现有仪器清单，确认放置房间位置并设计仪器布局图</w:t>
                  </w:r>
                </w:p>
                <w:p w14:paraId="2EBAE406">
                  <w:pPr>
                    <w:rPr>
                      <w:rFonts w:ascii="宋体" w:hAnsi="宋体" w:cs="宋体"/>
                      <w:color w:val="auto"/>
                      <w:kern w:val="0"/>
                      <w:sz w:val="22"/>
                      <w:szCs w:val="22"/>
                      <w:highlight w:val="none"/>
                    </w:rPr>
                  </w:pPr>
                  <w:r>
                    <w:rPr>
                      <w:rFonts w:hint="eastAsia" w:ascii="宋体" w:hAnsi="宋体" w:cs="宋体"/>
                      <w:color w:val="auto"/>
                      <w:kern w:val="0"/>
                      <w:sz w:val="22"/>
                      <w:highlight w:val="none"/>
                    </w:rPr>
                    <w:t>纸，图纸内容须包含仪器品牌、型号、尺寸、水电、暖通、气</w:t>
                  </w:r>
                </w:p>
                <w:p w14:paraId="52CA7659">
                  <w:pPr>
                    <w:rPr>
                      <w:rFonts w:ascii="宋体" w:hAnsi="宋体" w:cs="宋体"/>
                      <w:color w:val="auto"/>
                      <w:kern w:val="0"/>
                      <w:sz w:val="22"/>
                      <w:szCs w:val="22"/>
                      <w:highlight w:val="none"/>
                    </w:rPr>
                  </w:pPr>
                  <w:r>
                    <w:rPr>
                      <w:rFonts w:hint="eastAsia" w:ascii="宋体" w:hAnsi="宋体" w:cs="宋体"/>
                      <w:color w:val="auto"/>
                      <w:kern w:val="0"/>
                      <w:sz w:val="22"/>
                      <w:highlight w:val="none"/>
                    </w:rPr>
                    <w:t>体、负责人等基本需求参数并随时更新。</w:t>
                  </w:r>
                </w:p>
                <w:p w14:paraId="3C2B08B4">
                  <w:pPr>
                    <w:rPr>
                      <w:rFonts w:ascii="宋体" w:hAnsi="宋体" w:cs="宋体"/>
                      <w:color w:val="auto"/>
                      <w:kern w:val="0"/>
                      <w:sz w:val="22"/>
                      <w:szCs w:val="22"/>
                      <w:highlight w:val="none"/>
                    </w:rPr>
                  </w:pPr>
                  <w:r>
                    <w:rPr>
                      <w:rFonts w:ascii="宋体" w:hAnsi="宋体" w:cs="宋体"/>
                      <w:color w:val="auto"/>
                      <w:kern w:val="0"/>
                      <w:sz w:val="22"/>
                      <w:highlight w:val="none"/>
                    </w:rPr>
                    <w:t>2</w:t>
                  </w:r>
                  <w:r>
                    <w:rPr>
                      <w:rFonts w:hint="eastAsia" w:ascii="宋体" w:hAnsi="宋体" w:cs="宋体"/>
                      <w:color w:val="auto"/>
                      <w:kern w:val="0"/>
                      <w:sz w:val="22"/>
                      <w:highlight w:val="none"/>
                    </w:rPr>
                    <w:t>、重新复核竣工图纸，修正更新图纸内容包括基本设备布局</w:t>
                  </w:r>
                </w:p>
                <w:p w14:paraId="59F9A919">
                  <w:pPr>
                    <w:rPr>
                      <w:rFonts w:ascii="宋体" w:hAnsi="宋体" w:cs="宋体"/>
                      <w:color w:val="auto"/>
                      <w:kern w:val="0"/>
                      <w:sz w:val="22"/>
                      <w:szCs w:val="22"/>
                      <w:highlight w:val="none"/>
                    </w:rPr>
                  </w:pPr>
                  <w:r>
                    <w:rPr>
                      <w:rFonts w:hint="eastAsia" w:ascii="宋体" w:hAnsi="宋体" w:cs="宋体"/>
                      <w:color w:val="auto"/>
                      <w:kern w:val="0"/>
                      <w:sz w:val="22"/>
                      <w:highlight w:val="none"/>
                    </w:rPr>
                    <w:t>图，送排风图纸，暖通图纸，集中供气气路系统，智能控制图</w:t>
                  </w:r>
                </w:p>
                <w:p w14:paraId="59D8F767">
                  <w:pPr>
                    <w:rPr>
                      <w:rFonts w:ascii="宋体" w:hAnsi="宋体" w:cs="宋体"/>
                      <w:color w:val="auto"/>
                      <w:kern w:val="0"/>
                      <w:sz w:val="22"/>
                      <w:szCs w:val="22"/>
                      <w:highlight w:val="none"/>
                    </w:rPr>
                  </w:pPr>
                  <w:r>
                    <w:rPr>
                      <w:rFonts w:hint="eastAsia" w:ascii="宋体" w:hAnsi="宋体" w:cs="宋体"/>
                      <w:color w:val="auto"/>
                      <w:kern w:val="0"/>
                      <w:sz w:val="22"/>
                      <w:highlight w:val="none"/>
                    </w:rPr>
                    <w:t>纸，水电图纸，废气废水图纸。</w:t>
                  </w:r>
                </w:p>
                <w:p w14:paraId="739803A8">
                  <w:pPr>
                    <w:rPr>
                      <w:rFonts w:ascii="宋体" w:hAnsi="宋体" w:cs="宋体"/>
                      <w:color w:val="auto"/>
                      <w:kern w:val="0"/>
                      <w:sz w:val="22"/>
                      <w:szCs w:val="22"/>
                      <w:highlight w:val="none"/>
                    </w:rPr>
                  </w:pPr>
                  <w:r>
                    <w:rPr>
                      <w:rFonts w:ascii="宋体" w:hAnsi="宋体" w:cs="宋体"/>
                      <w:color w:val="auto"/>
                      <w:kern w:val="0"/>
                      <w:sz w:val="22"/>
                      <w:highlight w:val="none"/>
                    </w:rPr>
                    <w:t>3</w:t>
                  </w:r>
                  <w:r>
                    <w:rPr>
                      <w:rFonts w:hint="eastAsia" w:ascii="宋体" w:hAnsi="宋体" w:cs="宋体"/>
                      <w:color w:val="auto"/>
                      <w:kern w:val="0"/>
                      <w:sz w:val="22"/>
                      <w:highlight w:val="none"/>
                    </w:rPr>
                    <w:t>、根据最新图纸监控大楼所有资源总量的控制及更新。内容包</w:t>
                  </w:r>
                </w:p>
                <w:p w14:paraId="29D12AAF">
                  <w:pPr>
                    <w:rPr>
                      <w:rFonts w:ascii="宋体" w:hAnsi="宋体" w:cs="宋体"/>
                      <w:color w:val="auto"/>
                      <w:kern w:val="0"/>
                      <w:sz w:val="22"/>
                      <w:szCs w:val="22"/>
                      <w:highlight w:val="none"/>
                    </w:rPr>
                  </w:pPr>
                  <w:r>
                    <w:rPr>
                      <w:rFonts w:hint="eastAsia" w:ascii="宋体" w:hAnsi="宋体" w:cs="宋体"/>
                      <w:color w:val="auto"/>
                      <w:kern w:val="0"/>
                      <w:sz w:val="22"/>
                      <w:highlight w:val="none"/>
                    </w:rPr>
                    <w:t>括水电的总功率进行统计，通风系统总风量的统计，集中供气</w:t>
                  </w:r>
                </w:p>
                <w:p w14:paraId="585F4FB8">
                  <w:pPr>
                    <w:rPr>
                      <w:rFonts w:ascii="宋体" w:hAnsi="宋体" w:cs="宋体"/>
                      <w:b/>
                      <w:bCs/>
                      <w:color w:val="auto"/>
                      <w:kern w:val="0"/>
                      <w:sz w:val="22"/>
                      <w:szCs w:val="22"/>
                      <w:highlight w:val="none"/>
                    </w:rPr>
                  </w:pPr>
                  <w:r>
                    <w:rPr>
                      <w:rFonts w:hint="eastAsia" w:ascii="宋体" w:hAnsi="宋体" w:cs="宋体"/>
                      <w:color w:val="auto"/>
                      <w:kern w:val="0"/>
                      <w:sz w:val="22"/>
                      <w:highlight w:val="none"/>
                    </w:rPr>
                    <w:t>系统流量的统计，废气废水的耗材总量的统计并随时更新。</w:t>
                  </w:r>
                </w:p>
              </w:tc>
            </w:tr>
            <w:tr w14:paraId="2A08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86" w:type="pct"/>
                </w:tcPr>
                <w:p w14:paraId="29EC6F69">
                  <w:pPr>
                    <w:rPr>
                      <w:rFonts w:ascii="宋体" w:hAnsi="宋体" w:cs="宋体"/>
                      <w:color w:val="auto"/>
                      <w:kern w:val="0"/>
                      <w:sz w:val="22"/>
                      <w:szCs w:val="22"/>
                      <w:highlight w:val="none"/>
                    </w:rPr>
                  </w:pPr>
                  <w:r>
                    <w:rPr>
                      <w:rFonts w:hint="eastAsia" w:ascii="宋体" w:hAnsi="宋体" w:cs="宋体"/>
                      <w:color w:val="auto"/>
                      <w:kern w:val="0"/>
                      <w:sz w:val="22"/>
                      <w:highlight w:val="none"/>
                    </w:rPr>
                    <w:t>★每日巡检</w:t>
                  </w:r>
                </w:p>
              </w:tc>
              <w:tc>
                <w:tcPr>
                  <w:tcW w:w="4114" w:type="pct"/>
                </w:tcPr>
                <w:p w14:paraId="7C06C031">
                  <w:pPr>
                    <w:rPr>
                      <w:rFonts w:ascii="宋体" w:hAnsi="宋体" w:cs="宋体"/>
                      <w:color w:val="auto"/>
                      <w:kern w:val="0"/>
                      <w:sz w:val="22"/>
                      <w:szCs w:val="22"/>
                      <w:highlight w:val="none"/>
                    </w:rPr>
                  </w:pPr>
                  <w:r>
                    <w:rPr>
                      <w:rFonts w:hint="eastAsia" w:ascii="宋体" w:hAnsi="宋体" w:cs="宋体"/>
                      <w:color w:val="auto"/>
                      <w:kern w:val="0"/>
                      <w:sz w:val="22"/>
                      <w:highlight w:val="none"/>
                    </w:rPr>
                    <w:t>检查并维护供水、供电、通风系统；检查气瓶供应是否充足。</w:t>
                  </w:r>
                </w:p>
              </w:tc>
            </w:tr>
            <w:tr w14:paraId="2FE9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86" w:type="pct"/>
                </w:tcPr>
                <w:p w14:paraId="107453CF">
                  <w:pPr>
                    <w:rPr>
                      <w:rFonts w:ascii="宋体" w:hAnsi="宋体" w:cs="宋体"/>
                      <w:color w:val="auto"/>
                      <w:kern w:val="0"/>
                      <w:sz w:val="22"/>
                      <w:szCs w:val="22"/>
                      <w:highlight w:val="none"/>
                    </w:rPr>
                  </w:pPr>
                  <w:r>
                    <w:rPr>
                      <w:rFonts w:hint="eastAsia" w:ascii="宋体" w:hAnsi="宋体" w:cs="宋体"/>
                      <w:color w:val="auto"/>
                      <w:kern w:val="0"/>
                      <w:sz w:val="22"/>
                      <w:highlight w:val="none"/>
                    </w:rPr>
                    <w:t>★每周巡检</w:t>
                  </w:r>
                </w:p>
              </w:tc>
              <w:tc>
                <w:tcPr>
                  <w:tcW w:w="4114" w:type="pct"/>
                </w:tcPr>
                <w:p w14:paraId="59BFD8B5">
                  <w:pPr>
                    <w:rPr>
                      <w:rFonts w:ascii="宋体" w:hAnsi="宋体" w:cs="宋体"/>
                      <w:color w:val="auto"/>
                      <w:kern w:val="0"/>
                      <w:sz w:val="22"/>
                      <w:szCs w:val="22"/>
                      <w:highlight w:val="none"/>
                    </w:rPr>
                  </w:pPr>
                  <w:r>
                    <w:rPr>
                      <w:rFonts w:hint="eastAsia" w:ascii="宋体" w:hAnsi="宋体" w:cs="宋体"/>
                      <w:color w:val="auto"/>
                      <w:kern w:val="0"/>
                      <w:sz w:val="22"/>
                      <w:highlight w:val="none"/>
                    </w:rPr>
                    <w:t>检查并维护消防设备（灭火器、灭火毯等）、应急喷淋装置、洗眼器、紧急医疗箱等安全设施；检查并及时补充气瓶、液氮罐；检查真空泵并加泵油。划分保养重点及耗材更换频率，按时提醒。</w:t>
                  </w:r>
                </w:p>
              </w:tc>
            </w:tr>
            <w:tr w14:paraId="34AA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86" w:type="pct"/>
                </w:tcPr>
                <w:p w14:paraId="291C6CE0">
                  <w:pPr>
                    <w:rPr>
                      <w:rFonts w:ascii="宋体" w:hAnsi="宋体" w:cs="宋体"/>
                      <w:color w:val="auto"/>
                      <w:kern w:val="0"/>
                      <w:sz w:val="22"/>
                      <w:szCs w:val="22"/>
                      <w:highlight w:val="none"/>
                    </w:rPr>
                  </w:pPr>
                  <w:r>
                    <w:rPr>
                      <w:rFonts w:hint="eastAsia" w:ascii="宋体" w:hAnsi="宋体" w:cs="宋体"/>
                      <w:color w:val="auto"/>
                      <w:kern w:val="0"/>
                      <w:sz w:val="22"/>
                      <w:highlight w:val="none"/>
                    </w:rPr>
                    <w:t>★每月巡检</w:t>
                  </w:r>
                </w:p>
              </w:tc>
              <w:tc>
                <w:tcPr>
                  <w:tcW w:w="4114" w:type="pct"/>
                </w:tcPr>
                <w:p w14:paraId="42899F1F">
                  <w:pPr>
                    <w:rPr>
                      <w:rFonts w:ascii="宋体" w:hAnsi="宋体" w:cs="宋体"/>
                      <w:color w:val="auto"/>
                      <w:kern w:val="0"/>
                      <w:sz w:val="22"/>
                      <w:szCs w:val="22"/>
                      <w:highlight w:val="none"/>
                    </w:rPr>
                  </w:pPr>
                  <w:r>
                    <w:rPr>
                      <w:rFonts w:hint="eastAsia" w:ascii="宋体" w:hAnsi="宋体" w:cs="宋体"/>
                      <w:color w:val="auto"/>
                      <w:kern w:val="0"/>
                      <w:sz w:val="22"/>
                      <w:highlight w:val="none"/>
                    </w:rPr>
                    <w:t>检查通风系统、废气废水处理、气体供应安全，并进行维护；纯水仪加消毒片。</w:t>
                  </w:r>
                  <w:r>
                    <w:rPr>
                      <w:rFonts w:ascii="宋体" w:hAnsi="宋体" w:cs="宋体"/>
                      <w:color w:val="auto"/>
                      <w:kern w:val="0"/>
                      <w:sz w:val="22"/>
                      <w:highlight w:val="none"/>
                    </w:rPr>
                    <w:t xml:space="preserve"> </w:t>
                  </w:r>
                </w:p>
              </w:tc>
            </w:tr>
            <w:tr w14:paraId="3382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6" w:type="pct"/>
                </w:tcPr>
                <w:p w14:paraId="03B0C5DF">
                  <w:pPr>
                    <w:rPr>
                      <w:rFonts w:ascii="宋体" w:hAnsi="宋体" w:cs="宋体"/>
                      <w:color w:val="auto"/>
                      <w:kern w:val="0"/>
                      <w:sz w:val="22"/>
                      <w:szCs w:val="22"/>
                      <w:highlight w:val="none"/>
                    </w:rPr>
                  </w:pPr>
                  <w:r>
                    <w:rPr>
                      <w:rFonts w:hint="eastAsia" w:ascii="宋体" w:hAnsi="宋体" w:cs="宋体"/>
                      <w:color w:val="auto"/>
                      <w:kern w:val="0"/>
                      <w:sz w:val="22"/>
                      <w:highlight w:val="none"/>
                    </w:rPr>
                    <w:t>★每季度巡检</w:t>
                  </w:r>
                </w:p>
              </w:tc>
              <w:tc>
                <w:tcPr>
                  <w:tcW w:w="4114" w:type="pct"/>
                </w:tcPr>
                <w:p w14:paraId="2FA3A1C7">
                  <w:pPr>
                    <w:rPr>
                      <w:rFonts w:ascii="宋体" w:hAnsi="宋体" w:cs="宋体"/>
                      <w:color w:val="auto"/>
                      <w:kern w:val="0"/>
                      <w:sz w:val="22"/>
                      <w:szCs w:val="22"/>
                      <w:highlight w:val="none"/>
                    </w:rPr>
                  </w:pPr>
                  <w:r>
                    <w:rPr>
                      <w:rFonts w:hint="eastAsia" w:ascii="宋体" w:hAnsi="宋体" w:cs="宋体"/>
                      <w:color w:val="auto"/>
                      <w:kern w:val="0"/>
                      <w:sz w:val="22"/>
                      <w:highlight w:val="none"/>
                    </w:rPr>
                    <w:t>自查安全，并配合进行全校安全检查。</w:t>
                  </w:r>
                </w:p>
              </w:tc>
            </w:tr>
            <w:tr w14:paraId="09B7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6" w:type="pct"/>
                </w:tcPr>
                <w:p w14:paraId="20D5ED07">
                  <w:pPr>
                    <w:rPr>
                      <w:rFonts w:ascii="宋体" w:hAnsi="宋体" w:cs="宋体"/>
                      <w:color w:val="auto"/>
                      <w:kern w:val="0"/>
                      <w:sz w:val="22"/>
                      <w:szCs w:val="22"/>
                      <w:highlight w:val="none"/>
                    </w:rPr>
                  </w:pPr>
                  <w:r>
                    <w:rPr>
                      <w:rFonts w:hint="eastAsia" w:ascii="宋体" w:hAnsi="宋体" w:cs="宋体"/>
                      <w:color w:val="auto"/>
                      <w:kern w:val="0"/>
                      <w:sz w:val="22"/>
                      <w:highlight w:val="none"/>
                    </w:rPr>
                    <w:t>★每年巡检</w:t>
                  </w:r>
                </w:p>
              </w:tc>
              <w:tc>
                <w:tcPr>
                  <w:tcW w:w="4114" w:type="pct"/>
                </w:tcPr>
                <w:p w14:paraId="49F2FBEF">
                  <w:pPr>
                    <w:rPr>
                      <w:rFonts w:ascii="宋体" w:hAnsi="宋体" w:cs="宋体"/>
                      <w:color w:val="auto"/>
                      <w:kern w:val="0"/>
                      <w:sz w:val="22"/>
                      <w:szCs w:val="22"/>
                      <w:highlight w:val="none"/>
                    </w:rPr>
                  </w:pPr>
                  <w:r>
                    <w:rPr>
                      <w:rFonts w:hint="eastAsia" w:ascii="宋体" w:hAnsi="宋体" w:cs="宋体"/>
                      <w:color w:val="auto"/>
                      <w:kern w:val="0"/>
                      <w:sz w:val="22"/>
                      <w:highlight w:val="none"/>
                    </w:rPr>
                    <w:t>协助相关老师进行资产清查。</w:t>
                  </w:r>
                </w:p>
              </w:tc>
            </w:tr>
            <w:tr w14:paraId="3B20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6" w:type="pct"/>
                </w:tcPr>
                <w:p w14:paraId="6FA163D9">
                  <w:pPr>
                    <w:rPr>
                      <w:rFonts w:ascii="宋体" w:hAnsi="宋体" w:cs="宋体"/>
                      <w:color w:val="auto"/>
                      <w:kern w:val="0"/>
                      <w:sz w:val="22"/>
                      <w:szCs w:val="22"/>
                      <w:highlight w:val="none"/>
                    </w:rPr>
                  </w:pPr>
                  <w:r>
                    <w:rPr>
                      <w:rFonts w:hint="eastAsia" w:ascii="宋体" w:hAnsi="宋体" w:cs="宋体"/>
                      <w:color w:val="auto"/>
                      <w:kern w:val="0"/>
                      <w:sz w:val="22"/>
                      <w:highlight w:val="none"/>
                    </w:rPr>
                    <w:t>★特殊情况紧急响应：</w:t>
                  </w:r>
                </w:p>
              </w:tc>
              <w:tc>
                <w:tcPr>
                  <w:tcW w:w="4114" w:type="pct"/>
                </w:tcPr>
                <w:p w14:paraId="1D805F30">
                  <w:pPr>
                    <w:numPr>
                      <w:ilvl w:val="0"/>
                      <w:numId w:val="10"/>
                    </w:numPr>
                    <w:rPr>
                      <w:rFonts w:ascii="宋体" w:hAnsi="宋体" w:cs="宋体"/>
                      <w:color w:val="auto"/>
                      <w:kern w:val="0"/>
                      <w:sz w:val="22"/>
                      <w:szCs w:val="22"/>
                      <w:highlight w:val="none"/>
                    </w:rPr>
                  </w:pPr>
                  <w:r>
                    <w:rPr>
                      <w:rFonts w:hint="eastAsia" w:ascii="宋体" w:hAnsi="宋体" w:cs="宋体"/>
                      <w:color w:val="auto"/>
                      <w:kern w:val="0"/>
                      <w:sz w:val="22"/>
                      <w:highlight w:val="none"/>
                    </w:rPr>
                    <w:t>实验室报警：能第一时间内了解所发生的报警情况，及时对接相关人员如安保、水电工、清洁员等进行解决；</w:t>
                  </w:r>
                </w:p>
                <w:p w14:paraId="60D088E1">
                  <w:pPr>
                    <w:numPr>
                      <w:ilvl w:val="0"/>
                      <w:numId w:val="10"/>
                    </w:numPr>
                    <w:rPr>
                      <w:rFonts w:ascii="宋体" w:hAnsi="宋体" w:cs="宋体"/>
                      <w:color w:val="auto"/>
                      <w:kern w:val="0"/>
                      <w:sz w:val="22"/>
                      <w:szCs w:val="22"/>
                      <w:highlight w:val="none"/>
                    </w:rPr>
                  </w:pPr>
                  <w:r>
                    <w:rPr>
                      <w:rFonts w:hint="eastAsia" w:ascii="宋体" w:hAnsi="宋体" w:cs="宋体"/>
                      <w:color w:val="auto"/>
                      <w:kern w:val="0"/>
                      <w:sz w:val="22"/>
                      <w:highlight w:val="none"/>
                    </w:rPr>
                    <w:t>实验仪器故障：及时响应设备维修故障情况并拍照等进行记录，及时联系相应工程师对该故障情况进行应急处理（如关闭电源、张贴相应的警示标语、简单维修处理等），后续及时进行上报并安排相应工程师上门维修，持续跟进维修状况，尽快完成故障修复。</w:t>
                  </w:r>
                </w:p>
              </w:tc>
            </w:tr>
            <w:tr w14:paraId="4AFA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6" w:type="pct"/>
                </w:tcPr>
                <w:p w14:paraId="58C9E57E">
                  <w:pPr>
                    <w:rPr>
                      <w:rFonts w:ascii="宋体" w:hAnsi="宋体" w:cs="宋体"/>
                      <w:color w:val="auto"/>
                      <w:kern w:val="0"/>
                      <w:sz w:val="22"/>
                      <w:szCs w:val="22"/>
                      <w:highlight w:val="none"/>
                    </w:rPr>
                  </w:pPr>
                  <w:r>
                    <w:rPr>
                      <w:rFonts w:hint="eastAsia" w:ascii="宋体" w:hAnsi="宋体" w:cs="宋体"/>
                      <w:color w:val="auto"/>
                      <w:kern w:val="0"/>
                      <w:sz w:val="22"/>
                      <w:highlight w:val="none"/>
                    </w:rPr>
                    <w:t>★记录</w:t>
                  </w:r>
                </w:p>
              </w:tc>
              <w:tc>
                <w:tcPr>
                  <w:tcW w:w="4114" w:type="pct"/>
                </w:tcPr>
                <w:p w14:paraId="5475EC63">
                  <w:pPr>
                    <w:rPr>
                      <w:rFonts w:ascii="宋体" w:hAnsi="宋体" w:cs="宋体"/>
                      <w:color w:val="auto"/>
                      <w:kern w:val="0"/>
                      <w:sz w:val="22"/>
                      <w:szCs w:val="22"/>
                      <w:highlight w:val="none"/>
                    </w:rPr>
                  </w:pPr>
                  <w:r>
                    <w:rPr>
                      <w:rFonts w:hint="eastAsia" w:ascii="宋体" w:hAnsi="宋体" w:cs="宋体"/>
                      <w:color w:val="auto"/>
                      <w:kern w:val="0"/>
                      <w:sz w:val="22"/>
                      <w:highlight w:val="none"/>
                    </w:rPr>
                    <w:t>对实验室及设备的各类巡检、保养、耗材更换、维修进行书面记录。</w:t>
                  </w:r>
                </w:p>
              </w:tc>
            </w:tr>
            <w:tr w14:paraId="76A8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6" w:type="pct"/>
                </w:tcPr>
                <w:p w14:paraId="056AFF7A">
                  <w:pPr>
                    <w:rPr>
                      <w:rFonts w:ascii="宋体" w:hAnsi="宋体" w:cs="宋体"/>
                      <w:color w:val="auto"/>
                      <w:kern w:val="0"/>
                      <w:sz w:val="22"/>
                      <w:szCs w:val="22"/>
                      <w:highlight w:val="none"/>
                    </w:rPr>
                  </w:pPr>
                  <w:r>
                    <w:rPr>
                      <w:rFonts w:hint="eastAsia" w:ascii="宋体" w:hAnsi="宋体" w:cs="宋体"/>
                      <w:color w:val="auto"/>
                      <w:kern w:val="0"/>
                      <w:sz w:val="22"/>
                      <w:highlight w:val="none"/>
                    </w:rPr>
                    <w:t>其他</w:t>
                  </w:r>
                </w:p>
              </w:tc>
              <w:tc>
                <w:tcPr>
                  <w:tcW w:w="4114" w:type="pct"/>
                </w:tcPr>
                <w:p w14:paraId="74D7920E">
                  <w:pPr>
                    <w:rPr>
                      <w:rFonts w:ascii="宋体" w:hAnsi="宋体" w:cs="宋体"/>
                      <w:b/>
                      <w:bCs/>
                      <w:color w:val="auto"/>
                      <w:kern w:val="0"/>
                      <w:sz w:val="22"/>
                      <w:szCs w:val="22"/>
                      <w:highlight w:val="none"/>
                    </w:rPr>
                  </w:pPr>
                  <w:r>
                    <w:rPr>
                      <w:rFonts w:hint="eastAsia" w:ascii="宋体" w:hAnsi="宋体" w:cs="宋体"/>
                      <w:color w:val="auto"/>
                      <w:kern w:val="0"/>
                      <w:sz w:val="22"/>
                      <w:highlight w:val="none"/>
                      <w:u w:val="single"/>
                    </w:rPr>
                    <w:t>▲驻场人员至少</w:t>
                  </w:r>
                  <w:r>
                    <w:rPr>
                      <w:rFonts w:ascii="宋体" w:hAnsi="宋体" w:cs="宋体"/>
                      <w:color w:val="auto"/>
                      <w:kern w:val="0"/>
                      <w:sz w:val="22"/>
                      <w:highlight w:val="none"/>
                      <w:u w:val="single"/>
                    </w:rPr>
                    <w:t>1</w:t>
                  </w:r>
                  <w:r>
                    <w:rPr>
                      <w:rFonts w:hint="eastAsia" w:ascii="宋体" w:hAnsi="宋体" w:cs="宋体"/>
                      <w:color w:val="auto"/>
                      <w:kern w:val="0"/>
                      <w:sz w:val="22"/>
                      <w:highlight w:val="none"/>
                      <w:u w:val="single"/>
                    </w:rPr>
                    <w:t>人，工作时间：周一到周五</w:t>
                  </w:r>
                  <w:r>
                    <w:rPr>
                      <w:rFonts w:ascii="宋体" w:hAnsi="宋体" w:cs="宋体"/>
                      <w:b/>
                      <w:bCs/>
                      <w:color w:val="auto"/>
                      <w:kern w:val="0"/>
                      <w:sz w:val="22"/>
                      <w:highlight w:val="none"/>
                      <w:u w:val="single"/>
                    </w:rPr>
                    <w:t>8</w:t>
                  </w:r>
                  <w:r>
                    <w:rPr>
                      <w:rFonts w:hint="eastAsia" w:ascii="宋体" w:hAnsi="宋体" w:cs="宋体"/>
                      <w:b/>
                      <w:bCs/>
                      <w:color w:val="auto"/>
                      <w:kern w:val="0"/>
                      <w:sz w:val="22"/>
                      <w:highlight w:val="none"/>
                      <w:u w:val="single"/>
                    </w:rPr>
                    <w:t>：</w:t>
                  </w:r>
                  <w:r>
                    <w:rPr>
                      <w:rFonts w:ascii="宋体" w:hAnsi="宋体" w:cs="宋体"/>
                      <w:b/>
                      <w:bCs/>
                      <w:color w:val="auto"/>
                      <w:kern w:val="0"/>
                      <w:sz w:val="22"/>
                      <w:highlight w:val="none"/>
                      <w:u w:val="single"/>
                    </w:rPr>
                    <w:t>30-18</w:t>
                  </w:r>
                  <w:r>
                    <w:rPr>
                      <w:rFonts w:hint="eastAsia" w:ascii="宋体" w:hAnsi="宋体" w:cs="宋体"/>
                      <w:b/>
                      <w:bCs/>
                      <w:color w:val="auto"/>
                      <w:kern w:val="0"/>
                      <w:sz w:val="22"/>
                      <w:highlight w:val="none"/>
                      <w:u w:val="single"/>
                    </w:rPr>
                    <w:t>：</w:t>
                  </w:r>
                  <w:r>
                    <w:rPr>
                      <w:rFonts w:ascii="宋体" w:hAnsi="宋体" w:cs="宋体"/>
                      <w:b/>
                      <w:bCs/>
                      <w:color w:val="auto"/>
                      <w:kern w:val="0"/>
                      <w:sz w:val="22"/>
                      <w:highlight w:val="none"/>
                      <w:u w:val="single"/>
                    </w:rPr>
                    <w:t>45</w:t>
                  </w:r>
                  <w:r>
                    <w:rPr>
                      <w:rFonts w:hint="eastAsia" w:ascii="宋体" w:hAnsi="宋体" w:cs="宋体"/>
                      <w:color w:val="auto"/>
                      <w:kern w:val="0"/>
                      <w:sz w:val="22"/>
                      <w:szCs w:val="22"/>
                      <w:highlight w:val="none"/>
                      <w:u w:val="single"/>
                    </w:rPr>
                    <w:t>（具体时间按校方通知为准）</w:t>
                  </w:r>
                </w:p>
                <w:p w14:paraId="0D0B1FC5">
                  <w:pPr>
                    <w:rPr>
                      <w:rFonts w:ascii="宋体" w:hAnsi="宋体" w:cs="宋体"/>
                      <w:color w:val="auto"/>
                      <w:kern w:val="0"/>
                      <w:sz w:val="22"/>
                      <w:szCs w:val="22"/>
                      <w:highlight w:val="none"/>
                    </w:rPr>
                  </w:pPr>
                  <w:r>
                    <w:rPr>
                      <w:rFonts w:hint="eastAsia" w:ascii="宋体" w:hAnsi="宋体" w:cs="宋体"/>
                      <w:color w:val="auto"/>
                      <w:kern w:val="0"/>
                      <w:sz w:val="22"/>
                      <w:highlight w:val="none"/>
                    </w:rPr>
                    <w:t>周末线上沟通紧急</w:t>
                  </w:r>
                  <w:r>
                    <w:rPr>
                      <w:rFonts w:ascii="宋体" w:hAnsi="宋体" w:cs="宋体"/>
                      <w:color w:val="auto"/>
                      <w:kern w:val="0"/>
                      <w:sz w:val="22"/>
                      <w:highlight w:val="none"/>
                    </w:rPr>
                    <w:t>/</w:t>
                  </w:r>
                  <w:r>
                    <w:rPr>
                      <w:rFonts w:hint="eastAsia" w:ascii="宋体" w:hAnsi="宋体" w:cs="宋体"/>
                      <w:color w:val="auto"/>
                      <w:kern w:val="0"/>
                      <w:sz w:val="22"/>
                      <w:highlight w:val="none"/>
                    </w:rPr>
                    <w:t>特殊情况</w:t>
                  </w:r>
                  <w:r>
                    <w:rPr>
                      <w:rFonts w:ascii="宋体" w:hAnsi="宋体" w:cs="宋体"/>
                      <w:color w:val="auto"/>
                      <w:kern w:val="0"/>
                      <w:sz w:val="22"/>
                      <w:highlight w:val="none"/>
                    </w:rPr>
                    <w:t>1</w:t>
                  </w:r>
                  <w:r>
                    <w:rPr>
                      <w:rFonts w:hint="eastAsia" w:ascii="宋体" w:hAnsi="宋体" w:cs="宋体"/>
                      <w:color w:val="auto"/>
                      <w:kern w:val="0"/>
                      <w:sz w:val="22"/>
                      <w:highlight w:val="none"/>
                    </w:rPr>
                    <w:t>小时内响应</w:t>
                  </w:r>
                </w:p>
                <w:p w14:paraId="7ECE85A1">
                  <w:pPr>
                    <w:rPr>
                      <w:rFonts w:ascii="宋体" w:hAnsi="宋体" w:cs="宋体"/>
                      <w:color w:val="auto"/>
                      <w:kern w:val="0"/>
                      <w:sz w:val="22"/>
                      <w:szCs w:val="22"/>
                      <w:highlight w:val="none"/>
                    </w:rPr>
                  </w:pPr>
                  <w:r>
                    <w:rPr>
                      <w:rFonts w:hint="eastAsia" w:ascii="宋体" w:hAnsi="宋体" w:cs="宋体"/>
                      <w:color w:val="auto"/>
                      <w:kern w:val="0"/>
                      <w:sz w:val="22"/>
                      <w:highlight w:val="none"/>
                    </w:rPr>
                    <w:t>法定节假日放假线上沟通</w:t>
                  </w:r>
                </w:p>
                <w:p w14:paraId="53E9731D">
                  <w:pPr>
                    <w:pStyle w:val="43"/>
                    <w:ind w:firstLine="0" w:firstLineChars="0"/>
                    <w:rPr>
                      <w:rFonts w:ascii="宋体" w:hAnsi="宋体" w:cs="宋体"/>
                      <w:color w:val="auto"/>
                      <w:kern w:val="0"/>
                      <w:sz w:val="22"/>
                      <w:szCs w:val="22"/>
                      <w:highlight w:val="none"/>
                    </w:rPr>
                  </w:pPr>
                  <w:r>
                    <w:rPr>
                      <w:rFonts w:hint="eastAsia" w:ascii="宋体" w:hAnsi="宋体" w:cs="宋体"/>
                      <w:color w:val="auto"/>
                      <w:kern w:val="0"/>
                      <w:sz w:val="22"/>
                      <w:highlight w:val="none"/>
                    </w:rPr>
                    <w:t>驻场人员必须及时解决业主方日常问题故障，杜绝出现推诿现象。</w:t>
                  </w:r>
                </w:p>
                <w:p w14:paraId="3DF202AA">
                  <w:pPr>
                    <w:pStyle w:val="43"/>
                    <w:ind w:firstLine="0" w:firstLineChars="0"/>
                    <w:rPr>
                      <w:rFonts w:ascii="宋体" w:hAnsi="宋体" w:cs="宋体"/>
                      <w:color w:val="auto"/>
                      <w:kern w:val="0"/>
                      <w:sz w:val="22"/>
                      <w:highlight w:val="none"/>
                    </w:rPr>
                  </w:pPr>
                  <w:r>
                    <w:rPr>
                      <w:rFonts w:hint="eastAsia" w:ascii="宋体" w:hAnsi="宋体" w:cs="宋体"/>
                      <w:color w:val="auto"/>
                      <w:kern w:val="0"/>
                      <w:sz w:val="22"/>
                      <w:highlight w:val="none"/>
                    </w:rPr>
                    <w:t>当驻场人员无法满足业主需求，业主方有权要求</w:t>
                  </w:r>
                  <w:r>
                    <w:rPr>
                      <w:rFonts w:ascii="宋体" w:hAnsi="宋体" w:cs="宋体"/>
                      <w:color w:val="auto"/>
                      <w:kern w:val="0"/>
                      <w:sz w:val="22"/>
                      <w:highlight w:val="none"/>
                    </w:rPr>
                    <w:t>3</w:t>
                  </w:r>
                  <w:r>
                    <w:rPr>
                      <w:rFonts w:hint="eastAsia" w:ascii="宋体" w:hAnsi="宋体" w:cs="宋体"/>
                      <w:color w:val="auto"/>
                      <w:kern w:val="0"/>
                      <w:sz w:val="22"/>
                      <w:highlight w:val="none"/>
                    </w:rPr>
                    <w:t>个工作日内更换驻场人员，如</w:t>
                  </w:r>
                  <w:r>
                    <w:rPr>
                      <w:rFonts w:ascii="宋体" w:hAnsi="宋体" w:cs="宋体"/>
                      <w:color w:val="auto"/>
                      <w:kern w:val="0"/>
                      <w:sz w:val="22"/>
                      <w:highlight w:val="none"/>
                    </w:rPr>
                    <w:t>2</w:t>
                  </w:r>
                  <w:r>
                    <w:rPr>
                      <w:rFonts w:hint="eastAsia" w:ascii="宋体" w:hAnsi="宋体" w:cs="宋体"/>
                      <w:color w:val="auto"/>
                      <w:kern w:val="0"/>
                      <w:sz w:val="22"/>
                      <w:highlight w:val="none"/>
                    </w:rPr>
                    <w:t>周无法到位，业主方有权提前解除合同</w:t>
                  </w:r>
                </w:p>
                <w:p w14:paraId="795734A5">
                  <w:pPr>
                    <w:pStyle w:val="43"/>
                    <w:ind w:firstLine="0" w:firstLineChars="0"/>
                    <w:rPr>
                      <w:rFonts w:hint="eastAsia" w:ascii="宋体" w:hAnsi="宋体" w:cs="宋体"/>
                      <w:color w:val="auto"/>
                      <w:kern w:val="0"/>
                      <w:sz w:val="22"/>
                      <w:highlight w:val="none"/>
                    </w:rPr>
                  </w:pPr>
                  <w:r>
                    <w:rPr>
                      <w:rFonts w:hint="eastAsia" w:ascii="宋体" w:hAnsi="宋体" w:cs="宋体"/>
                      <w:color w:val="auto"/>
                      <w:kern w:val="0"/>
                      <w:sz w:val="22"/>
                      <w:highlight w:val="none"/>
                    </w:rPr>
                    <w:t>因驻场人员或工程师业务不熟悉，导致设备在维修过程中造成再次不可修复的损坏，应由中标单位承担损失。</w:t>
                  </w:r>
                </w:p>
                <w:p w14:paraId="085D1984">
                  <w:pPr>
                    <w:pStyle w:val="43"/>
                    <w:ind w:firstLine="0" w:firstLineChars="0"/>
                    <w:rPr>
                      <w:rFonts w:ascii="宋体" w:hAnsi="宋体" w:cs="宋体"/>
                      <w:color w:val="auto"/>
                      <w:kern w:val="0"/>
                      <w:sz w:val="22"/>
                      <w:szCs w:val="22"/>
                      <w:highlight w:val="none"/>
                    </w:rPr>
                  </w:pPr>
                </w:p>
              </w:tc>
            </w:tr>
          </w:tbl>
          <w:tbl>
            <w:tblPr>
              <w:tblStyle w:val="107"/>
              <w:tblpPr w:leftFromText="180" w:rightFromText="180" w:vertAnchor="text" w:horzAnchor="margin" w:tblpX="1" w:tblpY="5798"/>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7394"/>
            </w:tblGrid>
            <w:tr w14:paraId="201E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2"/>
                </w:tcPr>
                <w:p w14:paraId="39D0F39E">
                  <w:pPr>
                    <w:pStyle w:val="25"/>
                    <w:rPr>
                      <w:rFonts w:ascii="宋体" w:hAnsi="宋体" w:cs="宋体"/>
                      <w:b w:val="0"/>
                      <w:bCs w:val="0"/>
                      <w:color w:val="auto"/>
                      <w:kern w:val="0"/>
                      <w:sz w:val="22"/>
                      <w:szCs w:val="22"/>
                      <w:highlight w:val="none"/>
                    </w:rPr>
                  </w:pPr>
                  <w:r>
                    <w:rPr>
                      <w:rFonts w:hint="eastAsia" w:ascii="宋体" w:hAnsi="宋体" w:cs="宋体"/>
                      <w:color w:val="auto"/>
                      <w:sz w:val="22"/>
                      <w:szCs w:val="22"/>
                      <w:highlight w:val="none"/>
                    </w:rPr>
                    <w:t>定期工程师服务</w:t>
                  </w:r>
                </w:p>
              </w:tc>
            </w:tr>
            <w:tr w14:paraId="0656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146" w:type="dxa"/>
                </w:tcPr>
                <w:p w14:paraId="5A4ABB47">
                  <w:pPr>
                    <w:rPr>
                      <w:rFonts w:ascii="宋体" w:hAnsi="宋体" w:cs="宋体"/>
                      <w:color w:val="auto"/>
                      <w:kern w:val="0"/>
                      <w:sz w:val="22"/>
                      <w:szCs w:val="22"/>
                      <w:highlight w:val="none"/>
                    </w:rPr>
                  </w:pPr>
                  <w:r>
                    <w:rPr>
                      <w:rFonts w:hint="eastAsia" w:ascii="宋体" w:hAnsi="宋体" w:cs="宋体"/>
                      <w:color w:val="auto"/>
                      <w:kern w:val="0"/>
                      <w:sz w:val="22"/>
                      <w:highlight w:val="none"/>
                    </w:rPr>
                    <w:t>★前期准备</w:t>
                  </w:r>
                </w:p>
              </w:tc>
              <w:tc>
                <w:tcPr>
                  <w:tcW w:w="7394" w:type="dxa"/>
                </w:tcPr>
                <w:p w14:paraId="7FFF75C5">
                  <w:pPr>
                    <w:rPr>
                      <w:rFonts w:ascii="宋体" w:hAnsi="宋体" w:cs="宋体"/>
                      <w:color w:val="auto"/>
                      <w:kern w:val="0"/>
                      <w:sz w:val="22"/>
                      <w:szCs w:val="22"/>
                      <w:highlight w:val="none"/>
                    </w:rPr>
                  </w:pPr>
                  <w:r>
                    <w:rPr>
                      <w:rFonts w:hint="eastAsia" w:ascii="宋体" w:hAnsi="宋体" w:cs="宋体"/>
                      <w:color w:val="auto"/>
                      <w:kern w:val="0"/>
                      <w:sz w:val="22"/>
                      <w:highlight w:val="none"/>
                    </w:rPr>
                    <w:t>整理对实验室重要仪器设备的维修维保服务方案</w:t>
                  </w:r>
                </w:p>
              </w:tc>
            </w:tr>
            <w:tr w14:paraId="34E2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tcPr>
                <w:p w14:paraId="2D00E8BB">
                  <w:pPr>
                    <w:rPr>
                      <w:rFonts w:ascii="宋体" w:hAnsi="宋体" w:cs="宋体"/>
                      <w:color w:val="auto"/>
                      <w:kern w:val="0"/>
                      <w:sz w:val="22"/>
                      <w:szCs w:val="22"/>
                      <w:highlight w:val="none"/>
                    </w:rPr>
                  </w:pPr>
                  <w:r>
                    <w:rPr>
                      <w:rFonts w:hint="eastAsia" w:ascii="宋体" w:hAnsi="宋体" w:cs="宋体"/>
                      <w:color w:val="auto"/>
                      <w:kern w:val="0"/>
                      <w:sz w:val="22"/>
                      <w:highlight w:val="none"/>
                    </w:rPr>
                    <w:t>★每月上门</w:t>
                  </w:r>
                </w:p>
              </w:tc>
              <w:tc>
                <w:tcPr>
                  <w:tcW w:w="7394" w:type="dxa"/>
                </w:tcPr>
                <w:p w14:paraId="16ED2381">
                  <w:pPr>
                    <w:rPr>
                      <w:rFonts w:ascii="宋体" w:hAnsi="宋体" w:cs="宋体"/>
                      <w:color w:val="auto"/>
                      <w:kern w:val="0"/>
                      <w:sz w:val="22"/>
                      <w:szCs w:val="22"/>
                      <w:highlight w:val="none"/>
                    </w:rPr>
                  </w:pPr>
                  <w:r>
                    <w:rPr>
                      <w:rFonts w:ascii="宋体" w:hAnsi="宋体" w:cs="宋体"/>
                      <w:color w:val="auto"/>
                      <w:kern w:val="0"/>
                      <w:sz w:val="22"/>
                      <w:highlight w:val="none"/>
                    </w:rPr>
                    <w:t>(1)</w:t>
                  </w:r>
                  <w:r>
                    <w:rPr>
                      <w:rFonts w:hint="eastAsia" w:ascii="宋体" w:hAnsi="宋体" w:cs="宋体"/>
                      <w:color w:val="auto"/>
                      <w:kern w:val="0"/>
                      <w:sz w:val="22"/>
                      <w:highlight w:val="none"/>
                    </w:rPr>
                    <w:t>及时更换仪器常规耗材，包括流式细胞仪过滤器、纯水仪滤柱等，或公司团队人员更换，或及时联系并持续跟进相应的外部工程师来更换；</w:t>
                  </w:r>
                </w:p>
                <w:p w14:paraId="2277CFFA">
                  <w:pPr>
                    <w:rPr>
                      <w:rFonts w:ascii="宋体" w:hAnsi="宋体" w:cs="宋体"/>
                      <w:color w:val="auto"/>
                      <w:kern w:val="0"/>
                      <w:sz w:val="22"/>
                      <w:szCs w:val="22"/>
                      <w:highlight w:val="none"/>
                    </w:rPr>
                  </w:pPr>
                  <w:r>
                    <w:rPr>
                      <w:rFonts w:hint="eastAsia" w:ascii="宋体" w:hAnsi="宋体" w:cs="宋体"/>
                      <w:color w:val="auto"/>
                      <w:kern w:val="0"/>
                      <w:sz w:val="22"/>
                      <w:highlight w:val="none"/>
                    </w:rPr>
                    <w:t>（</w:t>
                  </w:r>
                  <w:r>
                    <w:rPr>
                      <w:rFonts w:ascii="宋体" w:hAnsi="宋体" w:cs="宋体"/>
                      <w:color w:val="auto"/>
                      <w:kern w:val="0"/>
                      <w:sz w:val="22"/>
                      <w:highlight w:val="none"/>
                    </w:rPr>
                    <w:t>2</w:t>
                  </w:r>
                  <w:r>
                    <w:rPr>
                      <w:rFonts w:hint="eastAsia" w:ascii="宋体" w:hAnsi="宋体" w:cs="宋体"/>
                      <w:color w:val="auto"/>
                      <w:kern w:val="0"/>
                      <w:sz w:val="22"/>
                      <w:highlight w:val="none"/>
                    </w:rPr>
                    <w:t>）派不同擅长领域的工程师团队进行巡检，检查（包括但不限于）显微镜类</w:t>
                  </w:r>
                  <w:r>
                    <w:rPr>
                      <w:rFonts w:ascii="宋体" w:hAnsi="宋体" w:cs="宋体"/>
                      <w:color w:val="auto"/>
                      <w:kern w:val="0"/>
                      <w:sz w:val="22"/>
                      <w:highlight w:val="none"/>
                    </w:rPr>
                    <w:t>/</w:t>
                  </w:r>
                  <w:r>
                    <w:rPr>
                      <w:rFonts w:hint="eastAsia" w:ascii="宋体" w:hAnsi="宋体" w:cs="宋体"/>
                      <w:color w:val="auto"/>
                      <w:kern w:val="0"/>
                      <w:sz w:val="22"/>
                      <w:highlight w:val="none"/>
                    </w:rPr>
                    <w:t>光谱类设备</w:t>
                  </w:r>
                  <w:r>
                    <w:rPr>
                      <w:rFonts w:ascii="宋体" w:hAnsi="宋体" w:cs="宋体"/>
                      <w:color w:val="auto"/>
                      <w:kern w:val="0"/>
                      <w:sz w:val="22"/>
                      <w:highlight w:val="none"/>
                    </w:rPr>
                    <w:t>/</w:t>
                  </w:r>
                  <w:r>
                    <w:rPr>
                      <w:rFonts w:hint="eastAsia" w:ascii="宋体" w:hAnsi="宋体" w:cs="宋体"/>
                      <w:color w:val="auto"/>
                      <w:kern w:val="0"/>
                      <w:sz w:val="22"/>
                      <w:highlight w:val="none"/>
                    </w:rPr>
                    <w:t>箱体设备</w:t>
                  </w:r>
                  <w:r>
                    <w:rPr>
                      <w:rFonts w:ascii="宋体" w:hAnsi="宋体" w:cs="宋体"/>
                      <w:color w:val="auto"/>
                      <w:kern w:val="0"/>
                      <w:sz w:val="22"/>
                      <w:highlight w:val="none"/>
                    </w:rPr>
                    <w:t>/</w:t>
                  </w:r>
                  <w:r>
                    <w:rPr>
                      <w:rFonts w:hint="eastAsia" w:ascii="宋体" w:hAnsi="宋体" w:cs="宋体"/>
                      <w:color w:val="auto"/>
                      <w:kern w:val="0"/>
                      <w:sz w:val="22"/>
                      <w:highlight w:val="none"/>
                    </w:rPr>
                    <w:t>色谱</w:t>
                  </w:r>
                  <w:r>
                    <w:rPr>
                      <w:rFonts w:ascii="宋体" w:hAnsi="宋体" w:cs="宋体"/>
                      <w:color w:val="auto"/>
                      <w:kern w:val="0"/>
                      <w:sz w:val="22"/>
                      <w:highlight w:val="none"/>
                    </w:rPr>
                    <w:t>/</w:t>
                  </w:r>
                  <w:r>
                    <w:rPr>
                      <w:rFonts w:hint="eastAsia" w:ascii="宋体" w:hAnsi="宋体" w:cs="宋体"/>
                      <w:color w:val="auto"/>
                      <w:kern w:val="0"/>
                      <w:sz w:val="22"/>
                      <w:highlight w:val="none"/>
                    </w:rPr>
                    <w:t>质谱</w:t>
                  </w:r>
                  <w:r>
                    <w:rPr>
                      <w:rFonts w:ascii="宋体" w:hAnsi="宋体" w:cs="宋体"/>
                      <w:color w:val="auto"/>
                      <w:kern w:val="0"/>
                      <w:sz w:val="22"/>
                      <w:highlight w:val="none"/>
                    </w:rPr>
                    <w:t>/</w:t>
                  </w:r>
                  <w:r>
                    <w:rPr>
                      <w:rFonts w:hint="eastAsia" w:ascii="宋体" w:hAnsi="宋体" w:cs="宋体"/>
                      <w:color w:val="auto"/>
                      <w:kern w:val="0"/>
                      <w:sz w:val="22"/>
                      <w:highlight w:val="none"/>
                    </w:rPr>
                    <w:t>生化分析仪器</w:t>
                  </w:r>
                  <w:r>
                    <w:rPr>
                      <w:rFonts w:ascii="宋体" w:hAnsi="宋体" w:cs="宋体"/>
                      <w:color w:val="auto"/>
                      <w:kern w:val="0"/>
                      <w:sz w:val="22"/>
                      <w:highlight w:val="none"/>
                    </w:rPr>
                    <w:t>/</w:t>
                  </w:r>
                  <w:r>
                    <w:rPr>
                      <w:rFonts w:hint="eastAsia" w:ascii="宋体" w:hAnsi="宋体" w:cs="宋体"/>
                      <w:color w:val="auto"/>
                      <w:kern w:val="0"/>
                      <w:sz w:val="22"/>
                      <w:highlight w:val="none"/>
                    </w:rPr>
                    <w:t>电化学仪器</w:t>
                  </w:r>
                  <w:r>
                    <w:rPr>
                      <w:rFonts w:ascii="宋体" w:hAnsi="宋体" w:cs="宋体"/>
                      <w:color w:val="auto"/>
                      <w:kern w:val="0"/>
                      <w:sz w:val="22"/>
                      <w:highlight w:val="none"/>
                    </w:rPr>
                    <w:t>/</w:t>
                  </w:r>
                  <w:r>
                    <w:rPr>
                      <w:rFonts w:hint="eastAsia" w:ascii="宋体" w:hAnsi="宋体" w:cs="宋体"/>
                      <w:color w:val="auto"/>
                      <w:kern w:val="0"/>
                      <w:sz w:val="22"/>
                      <w:highlight w:val="none"/>
                    </w:rPr>
                    <w:t>样品前处理及制备仪器</w:t>
                  </w:r>
                  <w:r>
                    <w:rPr>
                      <w:rFonts w:ascii="宋体" w:hAnsi="宋体" w:cs="宋体"/>
                      <w:color w:val="auto"/>
                      <w:kern w:val="0"/>
                      <w:sz w:val="22"/>
                      <w:highlight w:val="none"/>
                    </w:rPr>
                    <w:t>/</w:t>
                  </w:r>
                  <w:r>
                    <w:rPr>
                      <w:rFonts w:hint="eastAsia" w:ascii="宋体" w:hAnsi="宋体" w:cs="宋体"/>
                      <w:color w:val="auto"/>
                      <w:kern w:val="0"/>
                      <w:sz w:val="22"/>
                      <w:highlight w:val="none"/>
                    </w:rPr>
                    <w:t>冰箱类</w:t>
                  </w:r>
                  <w:r>
                    <w:rPr>
                      <w:rFonts w:ascii="宋体" w:hAnsi="宋体" w:cs="宋体"/>
                      <w:color w:val="auto"/>
                      <w:kern w:val="0"/>
                      <w:sz w:val="22"/>
                      <w:highlight w:val="none"/>
                    </w:rPr>
                    <w:t>/</w:t>
                  </w:r>
                  <w:r>
                    <w:rPr>
                      <w:rFonts w:hint="eastAsia" w:ascii="宋体" w:hAnsi="宋体" w:cs="宋体"/>
                      <w:color w:val="auto"/>
                      <w:kern w:val="0"/>
                      <w:sz w:val="22"/>
                      <w:highlight w:val="none"/>
                    </w:rPr>
                    <w:t>超净台及安全柜等各类设备的使用情况并进行维护，对可能发生的故障情况进行预警，根据不同设备特性进行相应的清理、校准等。</w:t>
                  </w:r>
                </w:p>
                <w:p w14:paraId="6415D6E8">
                  <w:pPr>
                    <w:rPr>
                      <w:rFonts w:ascii="宋体" w:hAnsi="宋体" w:cs="宋体"/>
                      <w:color w:val="auto"/>
                      <w:kern w:val="0"/>
                      <w:sz w:val="22"/>
                      <w:szCs w:val="22"/>
                      <w:highlight w:val="none"/>
                    </w:rPr>
                  </w:pPr>
                  <w:r>
                    <w:rPr>
                      <w:rFonts w:hint="eastAsia" w:ascii="宋体" w:hAnsi="宋体" w:cs="宋体"/>
                      <w:color w:val="auto"/>
                      <w:kern w:val="0"/>
                      <w:sz w:val="22"/>
                      <w:highlight w:val="none"/>
                    </w:rPr>
                    <w:t>（</w:t>
                  </w:r>
                  <w:r>
                    <w:rPr>
                      <w:rFonts w:ascii="宋体" w:hAnsi="宋体" w:cs="宋体"/>
                      <w:color w:val="auto"/>
                      <w:kern w:val="0"/>
                      <w:sz w:val="22"/>
                      <w:highlight w:val="none"/>
                    </w:rPr>
                    <w:t>3</w:t>
                  </w:r>
                  <w:r>
                    <w:rPr>
                      <w:rFonts w:hint="eastAsia" w:ascii="宋体" w:hAnsi="宋体" w:cs="宋体"/>
                      <w:color w:val="auto"/>
                      <w:kern w:val="0"/>
                      <w:sz w:val="22"/>
                      <w:highlight w:val="none"/>
                    </w:rPr>
                    <w:t>）工程师每次巡查后开展至少</w:t>
                  </w:r>
                  <w:r>
                    <w:rPr>
                      <w:rFonts w:ascii="宋体" w:hAnsi="宋体" w:cs="宋体"/>
                      <w:color w:val="auto"/>
                      <w:kern w:val="0"/>
                      <w:sz w:val="22"/>
                      <w:highlight w:val="none"/>
                    </w:rPr>
                    <w:t>2</w:t>
                  </w:r>
                  <w:r>
                    <w:rPr>
                      <w:rFonts w:hint="eastAsia" w:ascii="宋体" w:hAnsi="宋体" w:cs="宋体"/>
                      <w:color w:val="auto"/>
                      <w:kern w:val="0"/>
                      <w:sz w:val="22"/>
                      <w:highlight w:val="none"/>
                    </w:rPr>
                    <w:t>场培训（每场培训针对不同仪器，每场约</w:t>
                  </w:r>
                  <w:r>
                    <w:rPr>
                      <w:rFonts w:ascii="宋体" w:hAnsi="宋体" w:cs="宋体"/>
                      <w:color w:val="auto"/>
                      <w:kern w:val="0"/>
                      <w:sz w:val="22"/>
                      <w:highlight w:val="none"/>
                    </w:rPr>
                    <w:t>30min</w:t>
                  </w:r>
                  <w:r>
                    <w:rPr>
                      <w:rFonts w:hint="eastAsia" w:ascii="宋体" w:hAnsi="宋体" w:cs="宋体"/>
                      <w:color w:val="auto"/>
                      <w:kern w:val="0"/>
                      <w:sz w:val="22"/>
                      <w:highlight w:val="none"/>
                    </w:rPr>
                    <w:t>）</w:t>
                  </w:r>
                </w:p>
              </w:tc>
            </w:tr>
            <w:tr w14:paraId="4D2D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46" w:type="dxa"/>
                </w:tcPr>
                <w:p w14:paraId="6FEE49A4">
                  <w:pPr>
                    <w:rPr>
                      <w:rFonts w:ascii="宋体" w:hAnsi="宋体" w:cs="宋体"/>
                      <w:color w:val="auto"/>
                      <w:kern w:val="0"/>
                      <w:sz w:val="22"/>
                      <w:szCs w:val="22"/>
                      <w:highlight w:val="none"/>
                    </w:rPr>
                  </w:pPr>
                  <w:r>
                    <w:rPr>
                      <w:rFonts w:hint="eastAsia" w:ascii="宋体" w:hAnsi="宋体" w:cs="宋体"/>
                      <w:color w:val="auto"/>
                      <w:kern w:val="0"/>
                      <w:sz w:val="22"/>
                      <w:highlight w:val="none"/>
                    </w:rPr>
                    <w:t>★每季度上门</w:t>
                  </w:r>
                </w:p>
              </w:tc>
              <w:tc>
                <w:tcPr>
                  <w:tcW w:w="7394" w:type="dxa"/>
                </w:tcPr>
                <w:p w14:paraId="238C01C8">
                  <w:pPr>
                    <w:rPr>
                      <w:rFonts w:ascii="宋体" w:hAnsi="宋体" w:cs="宋体"/>
                      <w:color w:val="auto"/>
                      <w:kern w:val="0"/>
                      <w:sz w:val="22"/>
                      <w:szCs w:val="22"/>
                      <w:highlight w:val="none"/>
                    </w:rPr>
                  </w:pPr>
                  <w:r>
                    <w:rPr>
                      <w:rFonts w:hint="eastAsia" w:ascii="宋体" w:hAnsi="宋体" w:cs="宋体"/>
                      <w:color w:val="auto"/>
                      <w:kern w:val="0"/>
                      <w:sz w:val="22"/>
                      <w:highlight w:val="none"/>
                    </w:rPr>
                    <w:t>对每季度内</w:t>
                  </w:r>
                  <w:r>
                    <w:rPr>
                      <w:rFonts w:ascii="宋体" w:hAnsi="宋体" w:cs="宋体"/>
                      <w:color w:val="auto"/>
                      <w:kern w:val="0"/>
                      <w:sz w:val="22"/>
                      <w:highlight w:val="none"/>
                    </w:rPr>
                    <w:t>3</w:t>
                  </w:r>
                  <w:r>
                    <w:rPr>
                      <w:rFonts w:hint="eastAsia" w:ascii="宋体" w:hAnsi="宋体" w:cs="宋体"/>
                      <w:color w:val="auto"/>
                      <w:kern w:val="0"/>
                      <w:sz w:val="22"/>
                      <w:highlight w:val="none"/>
                    </w:rPr>
                    <w:t>个月的巡检及时总结并进行反馈</w:t>
                  </w:r>
                </w:p>
              </w:tc>
            </w:tr>
            <w:tr w14:paraId="4DCA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46" w:type="dxa"/>
                </w:tcPr>
                <w:p w14:paraId="53E6AD78">
                  <w:pPr>
                    <w:rPr>
                      <w:rFonts w:ascii="宋体" w:hAnsi="宋体" w:cs="宋体"/>
                      <w:color w:val="auto"/>
                      <w:kern w:val="0"/>
                      <w:sz w:val="22"/>
                      <w:szCs w:val="22"/>
                      <w:highlight w:val="none"/>
                    </w:rPr>
                  </w:pPr>
                  <w:r>
                    <w:rPr>
                      <w:rFonts w:hint="eastAsia" w:ascii="宋体" w:hAnsi="宋体" w:cs="宋体"/>
                      <w:color w:val="auto"/>
                      <w:kern w:val="0"/>
                      <w:sz w:val="22"/>
                      <w:highlight w:val="none"/>
                    </w:rPr>
                    <w:t>★记录</w:t>
                  </w:r>
                </w:p>
              </w:tc>
              <w:tc>
                <w:tcPr>
                  <w:tcW w:w="7394" w:type="dxa"/>
                </w:tcPr>
                <w:p w14:paraId="5399C942">
                  <w:pPr>
                    <w:rPr>
                      <w:rFonts w:ascii="宋体" w:hAnsi="宋体" w:cs="宋体"/>
                      <w:color w:val="auto"/>
                      <w:kern w:val="0"/>
                      <w:sz w:val="22"/>
                      <w:szCs w:val="22"/>
                      <w:highlight w:val="none"/>
                    </w:rPr>
                  </w:pPr>
                  <w:r>
                    <w:rPr>
                      <w:rFonts w:hint="eastAsia" w:ascii="宋体" w:hAnsi="宋体" w:cs="宋体"/>
                      <w:color w:val="auto"/>
                      <w:kern w:val="0"/>
                      <w:sz w:val="22"/>
                      <w:highlight w:val="none"/>
                    </w:rPr>
                    <w:t>报修安装服务请求、服务工单、报价信息</w:t>
                  </w:r>
                  <w:r>
                    <w:rPr>
                      <w:rFonts w:ascii="宋体" w:hAnsi="宋体" w:cs="宋体"/>
                      <w:color w:val="auto"/>
                      <w:kern w:val="0"/>
                      <w:sz w:val="22"/>
                      <w:highlight w:val="none"/>
                    </w:rPr>
                    <w:t>/</w:t>
                  </w:r>
                  <w:r>
                    <w:rPr>
                      <w:rFonts w:hint="eastAsia" w:ascii="宋体" w:hAnsi="宋体" w:cs="宋体"/>
                      <w:color w:val="auto"/>
                      <w:kern w:val="0"/>
                      <w:sz w:val="22"/>
                      <w:highlight w:val="none"/>
                    </w:rPr>
                    <w:t>报价单、安装报告书（体现效工时确认记录）、维修报告书（体现效工时确认记录）、维修结算单、内部结算信息及确认记录、应收单等</w:t>
                  </w:r>
                </w:p>
              </w:tc>
            </w:tr>
            <w:tr w14:paraId="42CB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6" w:type="dxa"/>
                </w:tcPr>
                <w:p w14:paraId="758F89E1">
                  <w:pPr>
                    <w:rPr>
                      <w:rFonts w:ascii="宋体" w:hAnsi="宋体" w:cs="宋体"/>
                      <w:color w:val="auto"/>
                      <w:kern w:val="0"/>
                      <w:sz w:val="22"/>
                      <w:szCs w:val="22"/>
                      <w:highlight w:val="none"/>
                    </w:rPr>
                  </w:pPr>
                  <w:r>
                    <w:rPr>
                      <w:rFonts w:hint="eastAsia" w:ascii="宋体" w:hAnsi="宋体" w:cs="宋体"/>
                      <w:color w:val="auto"/>
                      <w:kern w:val="0"/>
                      <w:sz w:val="22"/>
                      <w:highlight w:val="none"/>
                    </w:rPr>
                    <w:t>★顾客满意度测量</w:t>
                  </w:r>
                </w:p>
                <w:p w14:paraId="1EA9845C">
                  <w:pPr>
                    <w:rPr>
                      <w:rFonts w:ascii="宋体" w:hAnsi="宋体" w:cs="宋体"/>
                      <w:color w:val="auto"/>
                      <w:kern w:val="0"/>
                      <w:sz w:val="22"/>
                      <w:szCs w:val="22"/>
                      <w:highlight w:val="none"/>
                    </w:rPr>
                  </w:pPr>
                  <w:r>
                    <w:rPr>
                      <w:rFonts w:hint="eastAsia" w:ascii="宋体" w:hAnsi="宋体" w:cs="宋体"/>
                      <w:color w:val="auto"/>
                      <w:kern w:val="0"/>
                      <w:sz w:val="22"/>
                      <w:highlight w:val="none"/>
                    </w:rPr>
                    <w:t>程序</w:t>
                  </w:r>
                </w:p>
              </w:tc>
              <w:tc>
                <w:tcPr>
                  <w:tcW w:w="7394" w:type="dxa"/>
                </w:tcPr>
                <w:p w14:paraId="1C354604">
                  <w:pPr>
                    <w:rPr>
                      <w:rFonts w:ascii="宋体" w:hAnsi="宋体" w:cs="宋体"/>
                      <w:color w:val="auto"/>
                      <w:kern w:val="0"/>
                      <w:sz w:val="22"/>
                      <w:szCs w:val="22"/>
                      <w:highlight w:val="none"/>
                    </w:rPr>
                  </w:pPr>
                  <w:r>
                    <w:rPr>
                      <w:rFonts w:hint="eastAsia" w:ascii="宋体" w:hAnsi="宋体" w:cs="宋体"/>
                      <w:color w:val="auto"/>
                      <w:kern w:val="0"/>
                      <w:sz w:val="22"/>
                      <w:highlight w:val="none"/>
                    </w:rPr>
                    <w:t>办公室负责组织对顾客满意程度进行测量，确定顾客的需求和潜在需求，负责分析顾客反馈信息，确定责任部门并监督实施</w:t>
                  </w:r>
                </w:p>
              </w:tc>
            </w:tr>
            <w:tr w14:paraId="7EEB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tcPr>
                <w:p w14:paraId="1F643064">
                  <w:pPr>
                    <w:rPr>
                      <w:rFonts w:ascii="宋体" w:hAnsi="宋体" w:cs="宋体"/>
                      <w:color w:val="auto"/>
                      <w:kern w:val="0"/>
                      <w:sz w:val="22"/>
                      <w:szCs w:val="22"/>
                      <w:highlight w:val="none"/>
                    </w:rPr>
                  </w:pPr>
                  <w:r>
                    <w:rPr>
                      <w:rFonts w:hint="eastAsia" w:ascii="宋体" w:hAnsi="宋体" w:cs="宋体"/>
                      <w:color w:val="auto"/>
                      <w:kern w:val="0"/>
                      <w:sz w:val="22"/>
                      <w:highlight w:val="none"/>
                    </w:rPr>
                    <w:t>★特殊情况紧急响应</w:t>
                  </w:r>
                </w:p>
              </w:tc>
              <w:tc>
                <w:tcPr>
                  <w:tcW w:w="7394" w:type="dxa"/>
                </w:tcPr>
                <w:p w14:paraId="61A12A98">
                  <w:pPr>
                    <w:widowControl/>
                    <w:jc w:val="left"/>
                    <w:rPr>
                      <w:rFonts w:ascii="宋体" w:hAnsi="宋体" w:cs="宋体"/>
                      <w:color w:val="auto"/>
                      <w:kern w:val="0"/>
                      <w:sz w:val="22"/>
                      <w:szCs w:val="22"/>
                      <w:highlight w:val="none"/>
                    </w:rPr>
                  </w:pPr>
                  <w:r>
                    <w:rPr>
                      <w:rFonts w:hint="eastAsia" w:ascii="宋体" w:hAnsi="宋体" w:cs="宋体"/>
                      <w:color w:val="auto"/>
                      <w:kern w:val="0"/>
                      <w:sz w:val="22"/>
                      <w:highlight w:val="none"/>
                    </w:rPr>
                    <w:t>在设备故障发生后，及时与驻场人员的需求对接，指导其对设备故障的应急处理方式，后续及时上门维修，若不在自身领域范围内应联系其他相应工程师（如联系原厂工程师进行维护维修或提供维修联系方式等），尽快解决故障。</w:t>
                  </w:r>
                </w:p>
              </w:tc>
            </w:tr>
            <w:tr w14:paraId="26B1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shd w:val="clear" w:color="auto" w:fill="auto"/>
                </w:tcPr>
                <w:p w14:paraId="3A1F2BDF">
                  <w:pPr>
                    <w:rPr>
                      <w:rFonts w:ascii="宋体" w:hAnsi="宋体" w:cs="宋体"/>
                      <w:color w:val="auto"/>
                      <w:kern w:val="0"/>
                      <w:sz w:val="22"/>
                      <w:highlight w:val="none"/>
                    </w:rPr>
                  </w:pPr>
                  <w:r>
                    <w:rPr>
                      <w:rFonts w:hint="eastAsia" w:ascii="宋体" w:hAnsi="宋体" w:cs="宋体"/>
                      <w:color w:val="auto"/>
                      <w:kern w:val="0"/>
                      <w:sz w:val="22"/>
                      <w:highlight w:val="none"/>
                    </w:rPr>
                    <w:t>★总结文件</w:t>
                  </w:r>
                </w:p>
              </w:tc>
              <w:tc>
                <w:tcPr>
                  <w:tcW w:w="7394" w:type="dxa"/>
                  <w:shd w:val="clear" w:color="auto" w:fill="auto"/>
                </w:tcPr>
                <w:p w14:paraId="58E2E7E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在服务期限届满前，需系统梳理仪器维修保养工作，形成全面详实的分析报告。内容涵盖：维修数据统计分析，呈现仪器整体维修状况；对比单次维修成本与整体维保投入，评估维护策略的经济性；挖掘增值服务价值，展现服务创新亮点；深入剖析各仪器厂家的维修保养表现，提炼优势与不足，为后续设备维护管理提供科学依据。</w:t>
                  </w:r>
                </w:p>
                <w:p w14:paraId="13E72CE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通过对这些方面的细致梳理与分析，全面总结服务期间仪器维修保养工作的成效与问题。</w:t>
                  </w:r>
                </w:p>
              </w:tc>
            </w:tr>
          </w:tbl>
          <w:p w14:paraId="0B64E9D0">
            <w:pPr>
              <w:pStyle w:val="30"/>
              <w:rPr>
                <w:rStyle w:val="36"/>
                <w:rFonts w:ascii="宋体" w:hAnsi="宋体" w:cs="宋体"/>
                <w:b w:val="0"/>
                <w:color w:val="auto"/>
                <w:kern w:val="0"/>
                <w:sz w:val="22"/>
                <w:szCs w:val="22"/>
                <w:highlight w:val="none"/>
              </w:rPr>
            </w:pPr>
          </w:p>
          <w:p w14:paraId="396A779A">
            <w:pPr>
              <w:pStyle w:val="30"/>
              <w:numPr>
                <w:ilvl w:val="0"/>
                <w:numId w:val="8"/>
              </w:numPr>
              <w:rPr>
                <w:rFonts w:ascii="宋体" w:hAnsi="宋体" w:cs="宋体"/>
                <w:color w:val="auto"/>
                <w:sz w:val="22"/>
                <w:szCs w:val="22"/>
                <w:highlight w:val="none"/>
              </w:rPr>
            </w:pPr>
            <w:r>
              <w:rPr>
                <w:rStyle w:val="36"/>
                <w:color w:val="auto"/>
                <w:sz w:val="22"/>
                <w:highlight w:val="none"/>
              </w:rPr>
              <w:t>维保人员配置与响应机制</w:t>
            </w:r>
          </w:p>
          <w:p w14:paraId="447B1AC6">
            <w:pPr>
              <w:pStyle w:val="30"/>
              <w:numPr>
                <w:ilvl w:val="0"/>
                <w:numId w:val="11"/>
              </w:numPr>
              <w:rPr>
                <w:rStyle w:val="36"/>
                <w:b w:val="0"/>
                <w:color w:val="auto"/>
                <w:sz w:val="22"/>
                <w:highlight w:val="none"/>
              </w:rPr>
            </w:pPr>
            <w:r>
              <w:rPr>
                <w:rStyle w:val="36"/>
                <w:color w:val="auto"/>
                <w:sz w:val="22"/>
                <w:highlight w:val="none"/>
              </w:rPr>
              <w:t>驻场维保专员：专属、常驻的实验室物业人员，需满足以下要求：</w:t>
            </w:r>
          </w:p>
          <w:p w14:paraId="41BEF0E0">
            <w:pPr>
              <w:pStyle w:val="30"/>
              <w:numPr>
                <w:ilvl w:val="0"/>
                <w:numId w:val="12"/>
              </w:numPr>
              <w:rPr>
                <w:rStyle w:val="36"/>
                <w:b w:val="0"/>
                <w:color w:val="auto"/>
                <w:sz w:val="22"/>
                <w:highlight w:val="none"/>
              </w:rPr>
            </w:pPr>
            <w:r>
              <w:rPr>
                <w:rStyle w:val="36"/>
                <w:color w:val="auto"/>
                <w:sz w:val="22"/>
                <w:highlight w:val="none"/>
              </w:rPr>
              <w:t>资质要求：</w:t>
            </w:r>
            <w:r>
              <w:rPr>
                <w:rStyle w:val="36"/>
                <w:rFonts w:hint="eastAsia"/>
                <w:color w:val="auto"/>
                <w:sz w:val="22"/>
                <w:highlight w:val="none"/>
              </w:rPr>
              <w:t>具备三年以上大学类实验室项目维修经验及项目建设经验。精通</w:t>
            </w:r>
            <w:r>
              <w:rPr>
                <w:rStyle w:val="36"/>
                <w:color w:val="auto"/>
                <w:sz w:val="22"/>
                <w:highlight w:val="none"/>
              </w:rPr>
              <w:t>CAD等工程软件，能够完全理解并修改项目建筑图纸，暖通图纸，环保设备图纸，实验室基础设备图纸，水电图纸，并在现场可以初步判断复杂问题</w:t>
            </w:r>
            <w:r>
              <w:rPr>
                <w:rStyle w:val="36"/>
                <w:rFonts w:hint="eastAsia"/>
                <w:color w:val="auto"/>
                <w:sz w:val="22"/>
                <w:highlight w:val="none"/>
              </w:rPr>
              <w:t>，制定解决方案</w:t>
            </w:r>
            <w:r>
              <w:rPr>
                <w:rStyle w:val="36"/>
                <w:color w:val="auto"/>
                <w:sz w:val="22"/>
                <w:highlight w:val="none"/>
              </w:rPr>
              <w:t>。</w:t>
            </w:r>
          </w:p>
          <w:p w14:paraId="552B9E23">
            <w:pPr>
              <w:pStyle w:val="30"/>
              <w:numPr>
                <w:ilvl w:val="0"/>
                <w:numId w:val="12"/>
              </w:numPr>
              <w:rPr>
                <w:rStyle w:val="36"/>
                <w:b w:val="0"/>
                <w:color w:val="auto"/>
                <w:sz w:val="22"/>
                <w:highlight w:val="none"/>
              </w:rPr>
            </w:pPr>
            <w:r>
              <w:rPr>
                <w:rStyle w:val="36"/>
                <w:color w:val="auto"/>
                <w:sz w:val="22"/>
                <w:highlight w:val="none"/>
              </w:rPr>
              <w:t>工作职责：执行每日/每周/每月/每年巡检任务，记录维护与报修情况，并协同工程师处理重大故障。</w:t>
            </w:r>
          </w:p>
          <w:p w14:paraId="055E799D">
            <w:pPr>
              <w:pStyle w:val="30"/>
              <w:numPr>
                <w:ilvl w:val="0"/>
                <w:numId w:val="12"/>
              </w:numPr>
              <w:rPr>
                <w:rStyle w:val="36"/>
                <w:b w:val="0"/>
                <w:color w:val="auto"/>
                <w:sz w:val="22"/>
                <w:highlight w:val="none"/>
              </w:rPr>
            </w:pPr>
            <w:r>
              <w:rPr>
                <w:rStyle w:val="36"/>
                <w:color w:val="auto"/>
                <w:sz w:val="22"/>
                <w:highlight w:val="none"/>
              </w:rPr>
              <w:t>快速响应：建立紧急处理流程，保障安全。</w:t>
            </w:r>
          </w:p>
          <w:p w14:paraId="146C27CC">
            <w:pPr>
              <w:pStyle w:val="30"/>
              <w:numPr>
                <w:ilvl w:val="0"/>
                <w:numId w:val="11"/>
              </w:numPr>
              <w:rPr>
                <w:rStyle w:val="36"/>
                <w:b w:val="0"/>
                <w:color w:val="auto"/>
                <w:sz w:val="22"/>
                <w:highlight w:val="none"/>
              </w:rPr>
            </w:pPr>
            <w:r>
              <w:rPr>
                <w:rStyle w:val="36"/>
                <w:color w:val="auto"/>
                <w:sz w:val="22"/>
                <w:highlight w:val="none"/>
              </w:rPr>
              <w:t>定期专业工程师服务：通过公司专业团队补充定期维保和复杂维修服务。</w:t>
            </w:r>
          </w:p>
          <w:p w14:paraId="143F7396">
            <w:pPr>
              <w:pStyle w:val="30"/>
              <w:numPr>
                <w:ilvl w:val="0"/>
                <w:numId w:val="12"/>
              </w:numPr>
              <w:rPr>
                <w:rStyle w:val="36"/>
                <w:b w:val="0"/>
                <w:color w:val="auto"/>
                <w:sz w:val="22"/>
                <w:highlight w:val="none"/>
              </w:rPr>
            </w:pPr>
            <w:r>
              <w:rPr>
                <w:rStyle w:val="36"/>
                <w:color w:val="auto"/>
                <w:sz w:val="22"/>
                <w:highlight w:val="none"/>
              </w:rPr>
              <w:t>每季度派出专业工程师团队（</w:t>
            </w:r>
            <w:r>
              <w:rPr>
                <w:rStyle w:val="36"/>
                <w:rFonts w:hint="eastAsia"/>
                <w:color w:val="auto"/>
                <w:sz w:val="22"/>
                <w:highlight w:val="none"/>
              </w:rPr>
              <w:t>显微镜类</w:t>
            </w:r>
            <w:r>
              <w:rPr>
                <w:rStyle w:val="36"/>
                <w:color w:val="auto"/>
                <w:sz w:val="22"/>
                <w:highlight w:val="none"/>
              </w:rPr>
              <w:t>/光谱类设备/箱体设备/色谱/质谱/生化分析仪器/电化学仪器/样品前处理及制备仪器/冰箱类/超净台及安全柜等），复核驻场人员记录并提交巡检报告。</w:t>
            </w:r>
          </w:p>
          <w:p w14:paraId="6141F6FD">
            <w:pPr>
              <w:pStyle w:val="30"/>
              <w:numPr>
                <w:ilvl w:val="0"/>
                <w:numId w:val="12"/>
              </w:numPr>
              <w:rPr>
                <w:rStyle w:val="36"/>
                <w:b w:val="0"/>
                <w:color w:val="auto"/>
                <w:sz w:val="22"/>
                <w:highlight w:val="none"/>
              </w:rPr>
            </w:pPr>
            <w:r>
              <w:rPr>
                <w:rStyle w:val="36"/>
                <w:color w:val="auto"/>
                <w:sz w:val="22"/>
                <w:highlight w:val="none"/>
              </w:rPr>
              <w:t>每次巡检后开展至少2场仪器维护使用培训（每场30分钟）。</w:t>
            </w:r>
          </w:p>
          <w:p w14:paraId="3AAD3C46">
            <w:pPr>
              <w:pStyle w:val="30"/>
              <w:numPr>
                <w:ilvl w:val="0"/>
                <w:numId w:val="12"/>
              </w:numPr>
              <w:rPr>
                <w:rStyle w:val="36"/>
                <w:b w:val="0"/>
                <w:color w:val="auto"/>
                <w:sz w:val="22"/>
                <w:highlight w:val="none"/>
              </w:rPr>
            </w:pPr>
            <w:r>
              <w:rPr>
                <w:rStyle w:val="36"/>
                <w:color w:val="auto"/>
                <w:sz w:val="22"/>
                <w:highlight w:val="none"/>
              </w:rPr>
              <w:t>工程师每月上门更换常规耗材并维护主要仪器。</w:t>
            </w:r>
          </w:p>
          <w:p w14:paraId="22EE26A5">
            <w:pPr>
              <w:ind w:left="420" w:right="-340" w:rightChars="-162"/>
              <w:jc w:val="center"/>
              <w:rPr>
                <w:rFonts w:ascii="宋体" w:hAnsi="宋体" w:cs="宋体"/>
                <w:b/>
                <w:bCs/>
                <w:color w:val="auto"/>
                <w:kern w:val="0"/>
                <w:sz w:val="22"/>
                <w:highlight w:val="none"/>
              </w:rPr>
            </w:pPr>
            <w:r>
              <w:rPr>
                <w:rFonts w:hint="eastAsia" w:ascii="宋体" w:hAnsi="宋体" w:cs="宋体"/>
                <w:b/>
                <w:bCs/>
                <w:color w:val="auto"/>
                <w:kern w:val="0"/>
                <w:sz w:val="22"/>
                <w:highlight w:val="none"/>
              </w:rPr>
              <w:t>仪器设备巡检记录表（范例）</w:t>
            </w:r>
          </w:p>
          <w:p w14:paraId="254D39EC">
            <w:pPr>
              <w:ind w:right="-624" w:rightChars="-297"/>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检查时间：</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年</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月</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日</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检查人：</w:t>
            </w:r>
            <w:r>
              <w:rPr>
                <w:rStyle w:val="36"/>
                <w:rFonts w:ascii="宋体" w:hAnsi="宋体" w:cs="宋体"/>
                <w:color w:val="auto"/>
                <w:kern w:val="0"/>
                <w:sz w:val="22"/>
                <w:highlight w:val="none"/>
              </w:rPr>
              <w:t xml:space="preserve">              </w:t>
            </w:r>
          </w:p>
          <w:p w14:paraId="1EB3CC22">
            <w:pPr>
              <w:ind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一、周边环境</w:t>
            </w:r>
          </w:p>
          <w:tbl>
            <w:tblPr>
              <w:tblStyle w:val="34"/>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1276"/>
              <w:gridCol w:w="992"/>
              <w:gridCol w:w="2285"/>
              <w:gridCol w:w="1684"/>
            </w:tblGrid>
            <w:tr w14:paraId="43B0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2AAED12">
                  <w:pPr>
                    <w:ind w:right="-340" w:rightChars="-162"/>
                    <w:jc w:val="center"/>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检查项</w:t>
                  </w:r>
                </w:p>
              </w:tc>
              <w:tc>
                <w:tcPr>
                  <w:tcW w:w="2410" w:type="dxa"/>
                  <w:vAlign w:val="center"/>
                </w:tcPr>
                <w:p w14:paraId="2255B8A3">
                  <w:pPr>
                    <w:ind w:left="840"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结</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论</w:t>
                  </w:r>
                </w:p>
              </w:tc>
              <w:tc>
                <w:tcPr>
                  <w:tcW w:w="1276" w:type="dxa"/>
                  <w:vAlign w:val="center"/>
                </w:tcPr>
                <w:p w14:paraId="4D990AAC">
                  <w:pPr>
                    <w:ind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情况摘要</w:t>
                  </w:r>
                </w:p>
              </w:tc>
              <w:tc>
                <w:tcPr>
                  <w:tcW w:w="992" w:type="dxa"/>
                  <w:vAlign w:val="center"/>
                </w:tcPr>
                <w:p w14:paraId="033B50F0">
                  <w:pPr>
                    <w:ind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检查项</w:t>
                  </w:r>
                </w:p>
              </w:tc>
              <w:tc>
                <w:tcPr>
                  <w:tcW w:w="2285" w:type="dxa"/>
                  <w:vAlign w:val="center"/>
                </w:tcPr>
                <w:p w14:paraId="159CC29C">
                  <w:pPr>
                    <w:ind w:left="840"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结</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论</w:t>
                  </w:r>
                </w:p>
              </w:tc>
              <w:tc>
                <w:tcPr>
                  <w:tcW w:w="1684" w:type="dxa"/>
                  <w:vAlign w:val="center"/>
                </w:tcPr>
                <w:p w14:paraId="39E28FB9">
                  <w:pPr>
                    <w:ind w:left="420"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情况摘要</w:t>
                  </w:r>
                </w:p>
              </w:tc>
            </w:tr>
            <w:tr w14:paraId="77AD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73B5EB5">
                  <w:pPr>
                    <w:ind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温度</w:t>
                  </w:r>
                </w:p>
              </w:tc>
              <w:tc>
                <w:tcPr>
                  <w:tcW w:w="2410" w:type="dxa"/>
                  <w:vAlign w:val="center"/>
                </w:tcPr>
                <w:p w14:paraId="6BAD4308">
                  <w:pPr>
                    <w:ind w:right="-340" w:rightChars="-162"/>
                    <w:rPr>
                      <w:rStyle w:val="36"/>
                      <w:rFonts w:ascii="宋体" w:hAnsi="宋体" w:cs="宋体"/>
                      <w:b w:val="0"/>
                      <w:color w:val="auto"/>
                      <w:kern w:val="0"/>
                      <w:sz w:val="22"/>
                      <w:szCs w:val="22"/>
                      <w:highlight w:val="none"/>
                    </w:rPr>
                  </w:pP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4624" behindDoc="0" locked="0" layoutInCell="1" allowOverlap="1">
                            <wp:simplePos x="0" y="0"/>
                            <wp:positionH relativeFrom="column">
                              <wp:posOffset>3589020</wp:posOffset>
                            </wp:positionH>
                            <wp:positionV relativeFrom="paragraph">
                              <wp:posOffset>225425</wp:posOffset>
                            </wp:positionV>
                            <wp:extent cx="167005" cy="140970"/>
                            <wp:effectExtent l="4445" t="4445" r="19050" b="6985"/>
                            <wp:wrapNone/>
                            <wp:docPr id="2" name="矩形 10"/>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0" o:spid="_x0000_s1026" o:spt="1" style="position:absolute;left:0pt;margin-left:282.6pt;margin-top:17.75pt;height:11.1pt;width:13.15pt;z-index:251674624;mso-width-relative:page;mso-height-relative:page;" fillcolor="#FFFFFF" filled="t" stroked="t" coordsize="21600,21600" o:gfxdata="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WxzgNgAAAAJAQAADwAAAAAAAAABACAAAAAiAAAAZHJzL2Rvd25yZXYu&#10;eG1sUEsBAhQAFAAAAAgAh07iQOEt5En7AQAAHgQAAA4AAAAAAAAAAQAgAAAAJwEAAGRycy9lMm9E&#10;b2MueG1sUEsFBgAAAAAGAAYAWQEAAJQFA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3600" behindDoc="0" locked="0" layoutInCell="1" allowOverlap="1">
                            <wp:simplePos x="0" y="0"/>
                            <wp:positionH relativeFrom="column">
                              <wp:posOffset>3017520</wp:posOffset>
                            </wp:positionH>
                            <wp:positionV relativeFrom="paragraph">
                              <wp:posOffset>225425</wp:posOffset>
                            </wp:positionV>
                            <wp:extent cx="167005" cy="140970"/>
                            <wp:effectExtent l="4445" t="4445" r="19050" b="6985"/>
                            <wp:wrapNone/>
                            <wp:docPr id="3" name="矩形 9"/>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9" o:spid="_x0000_s1026" o:spt="1" style="position:absolute;left:0pt;margin-left:237.6pt;margin-top:17.75pt;height:11.1pt;width:13.15pt;z-index:251673600;mso-width-relative:page;mso-height-relative:page;" fillcolor="#FFFFFF" filled="t" stroked="t" coordsize="21600,21600" o:gfxdata="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gGFvXAAAACQEAAA8AAAAAAAAAAQAgAAAAIgAAAGRycy9kb3ducmV2&#10;LnhtbFBLAQIUABQAAAAIAIdO4kBO2pE//QEAAB0EAAAOAAAAAAAAAAEAIAAAACYBAABkcnMvZTJv&#10;RG9jLnhtbFBLBQYAAAAABgAGAFkBAACVBQ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2576" behindDoc="0" locked="0" layoutInCell="1" allowOverlap="1">
                            <wp:simplePos x="0" y="0"/>
                            <wp:positionH relativeFrom="column">
                              <wp:posOffset>3589020</wp:posOffset>
                            </wp:positionH>
                            <wp:positionV relativeFrom="paragraph">
                              <wp:posOffset>31750</wp:posOffset>
                            </wp:positionV>
                            <wp:extent cx="167005" cy="140970"/>
                            <wp:effectExtent l="4445" t="4445" r="19050" b="6985"/>
                            <wp:wrapNone/>
                            <wp:docPr id="6" name="矩形 8"/>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282.6pt;margin-top:2.5pt;height:11.1pt;width:13.15pt;z-index:251672576;mso-width-relative:page;mso-height-relative:page;" fillcolor="#FFFFFF" filled="t" stroked="t" coordsize="21600,21600" o:gfxdata="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vLADNcAAAAIAQAADwAAAAAAAAABACAAAAAiAAAAZHJzL2Rvd25yZXYu&#10;eG1sUEsBAhQAFAAAAAgAh07iQKA6fRv8AQAAHQQAAA4AAAAAAAAAAQAgAAAAJgEAAGRycy9lMm9E&#10;b2MueG1sUEsFBgAAAAAGAAYAWQEAAJQFA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1552" behindDoc="0" locked="0" layoutInCell="1" allowOverlap="1">
                            <wp:simplePos x="0" y="0"/>
                            <wp:positionH relativeFrom="column">
                              <wp:posOffset>3017520</wp:posOffset>
                            </wp:positionH>
                            <wp:positionV relativeFrom="paragraph">
                              <wp:posOffset>31750</wp:posOffset>
                            </wp:positionV>
                            <wp:extent cx="167005" cy="140970"/>
                            <wp:effectExtent l="4445" t="4445" r="19050" b="6985"/>
                            <wp:wrapNone/>
                            <wp:docPr id="5" name="矩形 7"/>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 o:spid="_x0000_s1026" o:spt="1" style="position:absolute;left:0pt;margin-left:237.6pt;margin-top:2.5pt;height:11.1pt;width:13.15pt;z-index:251671552;mso-width-relative:page;mso-height-relative:page;" fillcolor="#FFFFFF" filled="t" stroked="t" coordsize="21600,21600" o:gfxdata="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dRB3WAAAACAEAAA8AAAAAAAAAAQAgAAAAIgAAAGRycy9kb3ducmV2Lnht&#10;bFBLAQIUABQAAAAIAIdO4kBCast8+wEAAB0EAAAOAAAAAAAAAAEAIAAAACUBAABkcnMvZTJvRG9j&#10;LnhtbFBLBQYAAAAABgAGAFkBAACSBQ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69504" behindDoc="0" locked="0" layoutInCell="1" allowOverlap="1">
                            <wp:simplePos x="0" y="0"/>
                            <wp:positionH relativeFrom="column">
                              <wp:posOffset>729615</wp:posOffset>
                            </wp:positionH>
                            <wp:positionV relativeFrom="paragraph">
                              <wp:posOffset>225425</wp:posOffset>
                            </wp:positionV>
                            <wp:extent cx="167005" cy="140970"/>
                            <wp:effectExtent l="4445" t="4445" r="19050" b="6985"/>
                            <wp:wrapNone/>
                            <wp:docPr id="4" name="矩形 5"/>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57.45pt;margin-top:17.75pt;height:11.1pt;width:13.15pt;z-index:251669504;mso-width-relative:page;mso-height-relative:page;" fillcolor="#FFFFFF" filled="t" stroked="t" coordsize="21600,21600" o:gfxdata="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qS1rTXAAAACQEAAA8AAAAAAAAAAQAgAAAAIgAAAGRycy9kb3ducmV2&#10;LnhtbFBLAQIUABQAAAAIAIdO4kBr/qmJ/QEAAB0EAAAOAAAAAAAAAAEAIAAAACYBAABkcnMvZTJv&#10;RG9jLnhtbFBLBQYAAAAABgAGAFkBAACVBQ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68480" behindDoc="0" locked="0" layoutInCell="1" allowOverlap="1">
                            <wp:simplePos x="0" y="0"/>
                            <wp:positionH relativeFrom="column">
                              <wp:posOffset>729615</wp:posOffset>
                            </wp:positionH>
                            <wp:positionV relativeFrom="paragraph">
                              <wp:posOffset>31750</wp:posOffset>
                            </wp:positionV>
                            <wp:extent cx="167005" cy="140970"/>
                            <wp:effectExtent l="4445" t="4445" r="19050" b="6985"/>
                            <wp:wrapNone/>
                            <wp:docPr id="13" name="矩形 4"/>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57.45pt;margin-top:2.5pt;height:11.1pt;width:13.15pt;z-index:251668480;mso-width-relative:page;mso-height-relative:page;" fillcolor="#FFFFFF" filled="t" stroked="t" coordsize="21600,21600" o:gfxdata="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GVk+9YAAAAIAQAADwAAAAAAAAABACAAAAAiAAAAZHJzL2Rvd25yZXYu&#10;eG1sUEsBAhQAFAAAAAgAh07iQM0xr7X9AQAAHgQAAA4AAAAAAAAAAQAgAAAAJQEAAGRycy9lMm9E&#10;b2MueG1sUEsFBgAAAAAGAAYAWQEAAJQFA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67456" behindDoc="0" locked="0" layoutInCell="1" allowOverlap="1">
                            <wp:simplePos x="0" y="0"/>
                            <wp:positionH relativeFrom="column">
                              <wp:posOffset>160020</wp:posOffset>
                            </wp:positionH>
                            <wp:positionV relativeFrom="paragraph">
                              <wp:posOffset>31750</wp:posOffset>
                            </wp:positionV>
                            <wp:extent cx="167005" cy="140970"/>
                            <wp:effectExtent l="4445" t="4445" r="19050" b="6985"/>
                            <wp:wrapNone/>
                            <wp:docPr id="1" name="矩形 3"/>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12.6pt;margin-top:2.5pt;height:11.1pt;width:13.15pt;z-index:251667456;mso-width-relative:page;mso-height-relative:page;" fillcolor="#FFFFFF" filled="t" stroked="t" coordsize="21600,21600" o:gfxdata="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EaJvVAAAABgEAAA8AAAAAAAAAAQAgAAAAIgAAAGRycy9kb3ducmV2Lnht&#10;bFBLAQIUABQAAAAIAIdO4kDyurV6/AEAAB0EAAAOAAAAAAAAAAEAIAAAACQBAABkcnMvZTJvRG9j&#10;LnhtbFBLBQYAAAAABgAGAFkBAACSBQAAAAA=&#10;">
                            <v:fill on="t" focussize="0,0"/>
                            <v:stroke color="#000000" joinstyle="miter"/>
                            <v:imagedata o:title=""/>
                            <o:lock v:ext="edit" aspectratio="f"/>
                          </v:rect>
                        </w:pict>
                      </mc:Fallback>
                    </mc:AlternateConten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正常</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不正常</w:t>
                  </w:r>
                </w:p>
              </w:tc>
              <w:tc>
                <w:tcPr>
                  <w:tcW w:w="1276" w:type="dxa"/>
                  <w:vAlign w:val="center"/>
                </w:tcPr>
                <w:p w14:paraId="70F17EB8">
                  <w:pPr>
                    <w:ind w:right="-340" w:rightChars="-162"/>
                    <w:jc w:val="center"/>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w:t>
                  </w:r>
                </w:p>
              </w:tc>
              <w:tc>
                <w:tcPr>
                  <w:tcW w:w="992" w:type="dxa"/>
                  <w:vAlign w:val="center"/>
                </w:tcPr>
                <w:p w14:paraId="7B973993">
                  <w:pPr>
                    <w:ind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湿度</w:t>
                  </w:r>
                </w:p>
              </w:tc>
              <w:tc>
                <w:tcPr>
                  <w:tcW w:w="2285" w:type="dxa"/>
                  <w:vAlign w:val="center"/>
                </w:tcPr>
                <w:p w14:paraId="7388A96C">
                  <w:pPr>
                    <w:ind w:left="420"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正常</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不正常</w:t>
                  </w:r>
                </w:p>
              </w:tc>
              <w:tc>
                <w:tcPr>
                  <w:tcW w:w="1684" w:type="dxa"/>
                  <w:vAlign w:val="center"/>
                </w:tcPr>
                <w:p w14:paraId="5CD87929">
                  <w:pPr>
                    <w:ind w:right="-340" w:rightChars="-162"/>
                    <w:jc w:val="center"/>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w:t>
                  </w:r>
                </w:p>
              </w:tc>
            </w:tr>
            <w:tr w14:paraId="607A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4EC187B">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UPS</w:t>
                  </w:r>
                </w:p>
              </w:tc>
              <w:tc>
                <w:tcPr>
                  <w:tcW w:w="2410" w:type="dxa"/>
                  <w:vAlign w:val="center"/>
                </w:tcPr>
                <w:p w14:paraId="30740206">
                  <w:pPr>
                    <w:ind w:right="-340" w:rightChars="-162"/>
                    <w:rPr>
                      <w:rStyle w:val="36"/>
                      <w:rFonts w:ascii="宋体" w:hAnsi="宋体" w:cs="宋体"/>
                      <w:b w:val="0"/>
                      <w:color w:val="auto"/>
                      <w:kern w:val="0"/>
                      <w:sz w:val="22"/>
                      <w:szCs w:val="22"/>
                      <w:highlight w:val="none"/>
                    </w:rPr>
                  </w:pP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0528" behindDoc="0" locked="0" layoutInCell="1" allowOverlap="1">
                            <wp:simplePos x="0" y="0"/>
                            <wp:positionH relativeFrom="column">
                              <wp:posOffset>165735</wp:posOffset>
                            </wp:positionH>
                            <wp:positionV relativeFrom="paragraph">
                              <wp:posOffset>20320</wp:posOffset>
                            </wp:positionV>
                            <wp:extent cx="167005" cy="140970"/>
                            <wp:effectExtent l="4445" t="4445" r="19050" b="6985"/>
                            <wp:wrapNone/>
                            <wp:docPr id="14" name="矩形 6"/>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13.05pt;margin-top:1.6pt;height:11.1pt;width:13.15pt;z-index:251670528;mso-width-relative:page;mso-height-relative:page;" fillcolor="#FFFFFF" filled="t" stroked="t" coordsize="21600,21600" o:gfxdata="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qrqtzUAAAABgEAAA8AAAAAAAAAAQAgAAAAIgAAAGRycy9kb3ducmV2Lnht&#10;bFBLAQIUABQAAAAIAIdO4kBHWwd3/QEAAB4EAAAOAAAAAAAAAAEAIAAAACMBAABkcnMvZTJvRG9j&#10;LnhtbFBLBQYAAAAABgAGAFkBAACSBQAAAAA=&#10;">
                            <v:fill on="t" focussize="0,0"/>
                            <v:stroke color="#000000" joinstyle="miter"/>
                            <v:imagedata o:title=""/>
                            <o:lock v:ext="edit" aspectratio="f"/>
                          </v:rect>
                        </w:pict>
                      </mc:Fallback>
                    </mc:AlternateConten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正常</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不正常</w:t>
                  </w:r>
                </w:p>
              </w:tc>
              <w:tc>
                <w:tcPr>
                  <w:tcW w:w="1276" w:type="dxa"/>
                  <w:vAlign w:val="center"/>
                </w:tcPr>
                <w:p w14:paraId="6D7E63C3">
                  <w:pPr>
                    <w:ind w:right="-340" w:rightChars="-162"/>
                    <w:jc w:val="center"/>
                    <w:rPr>
                      <w:rStyle w:val="36"/>
                      <w:rFonts w:ascii="宋体" w:hAnsi="宋体" w:cs="宋体"/>
                      <w:b w:val="0"/>
                      <w:color w:val="auto"/>
                      <w:kern w:val="0"/>
                      <w:sz w:val="22"/>
                      <w:szCs w:val="22"/>
                      <w:highlight w:val="none"/>
                    </w:rPr>
                  </w:pPr>
                </w:p>
              </w:tc>
              <w:tc>
                <w:tcPr>
                  <w:tcW w:w="992" w:type="dxa"/>
                  <w:vAlign w:val="center"/>
                </w:tcPr>
                <w:p w14:paraId="24C629E6">
                  <w:pPr>
                    <w:ind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空调</w:t>
                  </w:r>
                </w:p>
              </w:tc>
              <w:tc>
                <w:tcPr>
                  <w:tcW w:w="2285" w:type="dxa"/>
                  <w:vAlign w:val="center"/>
                </w:tcPr>
                <w:p w14:paraId="61423259">
                  <w:pPr>
                    <w:ind w:left="420" w:right="-340" w:rightChars="-162"/>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正常</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不正常</w:t>
                  </w:r>
                </w:p>
              </w:tc>
              <w:tc>
                <w:tcPr>
                  <w:tcW w:w="1684" w:type="dxa"/>
                  <w:vAlign w:val="center"/>
                </w:tcPr>
                <w:p w14:paraId="43925959">
                  <w:pPr>
                    <w:ind w:right="-340" w:rightChars="-162"/>
                    <w:jc w:val="center"/>
                    <w:rPr>
                      <w:rStyle w:val="36"/>
                      <w:rFonts w:ascii="宋体" w:hAnsi="宋体" w:cs="宋体"/>
                      <w:b w:val="0"/>
                      <w:color w:val="auto"/>
                      <w:kern w:val="0"/>
                      <w:sz w:val="22"/>
                      <w:szCs w:val="22"/>
                      <w:highlight w:val="none"/>
                    </w:rPr>
                  </w:pPr>
                </w:p>
              </w:tc>
            </w:tr>
          </w:tbl>
          <w:p w14:paraId="561D489F">
            <w:pPr>
              <w:ind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二、仪器及巡检项目</w:t>
            </w:r>
          </w:p>
          <w:tbl>
            <w:tblPr>
              <w:tblStyle w:val="34"/>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3992"/>
              <w:gridCol w:w="1843"/>
              <w:gridCol w:w="1701"/>
            </w:tblGrid>
            <w:tr w14:paraId="7718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tcPr>
                <w:p w14:paraId="3C77EC3B">
                  <w:pPr>
                    <w:ind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设备名称</w:t>
                  </w:r>
                </w:p>
              </w:tc>
              <w:tc>
                <w:tcPr>
                  <w:tcW w:w="3992" w:type="dxa"/>
                </w:tcPr>
                <w:p w14:paraId="5FAE5F8F">
                  <w:pPr>
                    <w:ind w:left="2100"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检查内容</w:t>
                  </w:r>
                </w:p>
              </w:tc>
              <w:tc>
                <w:tcPr>
                  <w:tcW w:w="1843" w:type="dxa"/>
                </w:tcPr>
                <w:p w14:paraId="3F94DFC5">
                  <w:pPr>
                    <w:ind w:left="420"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结</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论</w:t>
                  </w:r>
                </w:p>
              </w:tc>
              <w:tc>
                <w:tcPr>
                  <w:tcW w:w="1701" w:type="dxa"/>
                </w:tcPr>
                <w:p w14:paraId="4D5954D8">
                  <w:pPr>
                    <w:ind w:left="420"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备</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注</w:t>
                  </w:r>
                </w:p>
              </w:tc>
            </w:tr>
            <w:tr w14:paraId="5B41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Merge w:val="restart"/>
                </w:tcPr>
                <w:p w14:paraId="0A78BA53">
                  <w:pPr>
                    <w:pStyle w:val="3"/>
                    <w:rPr>
                      <w:rStyle w:val="36"/>
                      <w:rFonts w:ascii="宋体" w:hAnsi="宋体" w:cs="宋体"/>
                      <w:b w:val="0"/>
                      <w:color w:val="auto"/>
                      <w:kern w:val="0"/>
                      <w:sz w:val="22"/>
                      <w:szCs w:val="22"/>
                      <w:highlight w:val="none"/>
                    </w:rPr>
                  </w:pPr>
                </w:p>
              </w:tc>
              <w:tc>
                <w:tcPr>
                  <w:tcW w:w="3992" w:type="dxa"/>
                </w:tcPr>
                <w:p w14:paraId="5490B2EE">
                  <w:pPr>
                    <w:ind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例如：</w:t>
                  </w:r>
                </w:p>
                <w:p w14:paraId="4E2D37D1">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1.</w:t>
                  </w:r>
                  <w:r>
                    <w:rPr>
                      <w:rStyle w:val="36"/>
                      <w:rFonts w:hint="eastAsia" w:ascii="宋体" w:hAnsi="宋体" w:cs="宋体"/>
                      <w:color w:val="auto"/>
                      <w:kern w:val="0"/>
                      <w:sz w:val="22"/>
                      <w:highlight w:val="none"/>
                    </w:rPr>
                    <w:t>传感器检查</w:t>
                  </w:r>
                </w:p>
                <w:p w14:paraId="37C32139">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2.</w:t>
                  </w:r>
                  <w:r>
                    <w:rPr>
                      <w:rStyle w:val="36"/>
                      <w:rFonts w:hint="eastAsia" w:ascii="宋体" w:hAnsi="宋体" w:cs="宋体"/>
                      <w:color w:val="auto"/>
                      <w:kern w:val="0"/>
                      <w:sz w:val="22"/>
                      <w:highlight w:val="none"/>
                    </w:rPr>
                    <w:t>管路检查（是否有堵塞漏液等）</w:t>
                  </w:r>
                  <w:r>
                    <w:rPr>
                      <w:rStyle w:val="36"/>
                      <w:rFonts w:ascii="宋体" w:hAnsi="宋体" w:cs="宋体"/>
                      <w:color w:val="auto"/>
                      <w:kern w:val="0"/>
                      <w:sz w:val="22"/>
                      <w:highlight w:val="none"/>
                    </w:rPr>
                    <w:tab/>
                  </w:r>
                </w:p>
                <w:p w14:paraId="53DE4872">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w:t>
                  </w:r>
                  <w:r>
                    <w:rPr>
                      <w:rStyle w:val="36"/>
                      <w:rFonts w:ascii="宋体" w:hAnsi="宋体" w:cs="宋体"/>
                      <w:color w:val="auto"/>
                      <w:kern w:val="0"/>
                      <w:sz w:val="22"/>
                      <w:highlight w:val="none"/>
                    </w:rPr>
                    <w:tab/>
                  </w:r>
                </w:p>
              </w:tc>
              <w:tc>
                <w:tcPr>
                  <w:tcW w:w="1843" w:type="dxa"/>
                </w:tcPr>
                <w:p w14:paraId="118E14DC">
                  <w:pPr>
                    <w:ind w:left="420" w:right="-340" w:rightChars="-162"/>
                    <w:jc w:val="left"/>
                    <w:rPr>
                      <w:rStyle w:val="36"/>
                      <w:rFonts w:ascii="宋体" w:hAnsi="宋体" w:cs="宋体"/>
                      <w:b w:val="0"/>
                      <w:color w:val="auto"/>
                      <w:kern w:val="0"/>
                      <w:sz w:val="22"/>
                      <w:szCs w:val="22"/>
                      <w:highlight w:val="none"/>
                    </w:rPr>
                  </w:pP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81792" behindDoc="0" locked="0" layoutInCell="1" allowOverlap="1">
                            <wp:simplePos x="0" y="0"/>
                            <wp:positionH relativeFrom="column">
                              <wp:posOffset>485775</wp:posOffset>
                            </wp:positionH>
                            <wp:positionV relativeFrom="paragraph">
                              <wp:posOffset>31115</wp:posOffset>
                            </wp:positionV>
                            <wp:extent cx="167005" cy="140970"/>
                            <wp:effectExtent l="4445" t="4445" r="19050" b="6985"/>
                            <wp:wrapNone/>
                            <wp:docPr id="15" name="矩形 72"/>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2" o:spid="_x0000_s1026" o:spt="1" style="position:absolute;left:0pt;margin-left:38.25pt;margin-top:2.45pt;height:11.1pt;width:13.15pt;z-index:251681792;mso-width-relative:page;mso-height-relative:page;" fillcolor="#FFFFFF" filled="t" stroked="t" coordsize="21600,21600" o:gfxdata="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sMWx1QAAAAcBAAAPAAAAAAAAAAEAIAAAACIAAABkcnMvZG93bnJldi54&#10;bWxQSwECFAAUAAAACACHTuJA8ftdqf0BAAAfBAAADgAAAAAAAAABACAAAAAkAQAAZHJzL2Uyb0Rv&#10;Yy54bWxQSwUGAAAAAAYABgBZAQAAkwU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50165</wp:posOffset>
                            </wp:positionV>
                            <wp:extent cx="167005" cy="140970"/>
                            <wp:effectExtent l="4445" t="4445" r="19050" b="6985"/>
                            <wp:wrapNone/>
                            <wp:docPr id="2249" name="矩形 72"/>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2" o:spid="_x0000_s1026" o:spt="1" style="position:absolute;left:0pt;margin-left:1.95pt;margin-top:3.95pt;height:11.1pt;width:13.15pt;z-index:251666432;mso-width-relative:page;mso-height-relative:page;" fillcolor="#FFFFFF" filled="t" stroked="t" coordsize="21600,21600" o:gfxdata="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Bxu00gAAAAUBAAAPAAAAAAAAAAEAIAAAACIAAABkcnMvZG93bnJldi54&#10;bWxQSwECFAAUAAAACACHTuJAqcZl/QACAAAhBAAADgAAAAAAAAABACAAAAAhAQAAZHJzL2Uyb0Rv&#10;Yy54bWxQSwUGAAAAAAYABgBZAQAAkwUAAAAA&#10;">
                            <v:fill on="t" focussize="0,0"/>
                            <v:stroke color="#000000" joinstyle="miter"/>
                            <v:imagedata o:title=""/>
                            <o:lock v:ext="edit" aspectratio="f"/>
                          </v:rect>
                        </w:pict>
                      </mc:Fallback>
                    </mc:AlternateContent>
                  </w:r>
                  <w:r>
                    <w:rPr>
                      <w:rStyle w:val="36"/>
                      <w:rFonts w:hint="eastAsia" w:ascii="宋体" w:hAnsi="宋体" w:cs="宋体"/>
                      <w:color w:val="auto"/>
                      <w:kern w:val="0"/>
                      <w:sz w:val="22"/>
                      <w:highlight w:val="none"/>
                    </w:rPr>
                    <w:t>正常</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不正常</w:t>
                  </w:r>
                </w:p>
              </w:tc>
              <w:tc>
                <w:tcPr>
                  <w:tcW w:w="1701" w:type="dxa"/>
                </w:tcPr>
                <w:p w14:paraId="12C2EE6D">
                  <w:pPr>
                    <w:ind w:right="-340" w:rightChars="-162"/>
                    <w:jc w:val="left"/>
                    <w:rPr>
                      <w:rStyle w:val="36"/>
                      <w:rFonts w:ascii="宋体" w:hAnsi="宋体" w:cs="宋体"/>
                      <w:b w:val="0"/>
                      <w:color w:val="auto"/>
                      <w:kern w:val="0"/>
                      <w:sz w:val="22"/>
                      <w:szCs w:val="22"/>
                      <w:highlight w:val="none"/>
                    </w:rPr>
                  </w:pPr>
                </w:p>
              </w:tc>
            </w:tr>
            <w:tr w14:paraId="1E31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Merge w:val="continue"/>
                </w:tcPr>
                <w:p w14:paraId="7D277161">
                  <w:pPr>
                    <w:ind w:right="-340" w:rightChars="-162"/>
                    <w:jc w:val="left"/>
                    <w:rPr>
                      <w:rStyle w:val="36"/>
                      <w:rFonts w:ascii="宋体" w:hAnsi="宋体" w:cs="宋体"/>
                      <w:b w:val="0"/>
                      <w:color w:val="auto"/>
                      <w:kern w:val="0"/>
                      <w:sz w:val="22"/>
                      <w:szCs w:val="22"/>
                      <w:highlight w:val="none"/>
                    </w:rPr>
                  </w:pPr>
                </w:p>
              </w:tc>
              <w:tc>
                <w:tcPr>
                  <w:tcW w:w="3992" w:type="dxa"/>
                </w:tcPr>
                <w:p w14:paraId="6D3585F4">
                  <w:pPr>
                    <w:ind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例如：</w:t>
                  </w:r>
                </w:p>
                <w:p w14:paraId="3960DB40">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3.</w:t>
                  </w:r>
                  <w:r>
                    <w:rPr>
                      <w:rStyle w:val="36"/>
                      <w:rFonts w:hint="eastAsia" w:ascii="宋体" w:hAnsi="宋体" w:cs="宋体"/>
                      <w:color w:val="auto"/>
                      <w:kern w:val="0"/>
                      <w:sz w:val="22"/>
                      <w:highlight w:val="none"/>
                    </w:rPr>
                    <w:t>泵头清洗，阀清洗</w:t>
                  </w:r>
                </w:p>
                <w:p w14:paraId="53C7F898">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4.</w:t>
                  </w:r>
                  <w:r>
                    <w:rPr>
                      <w:rStyle w:val="36"/>
                      <w:rFonts w:hint="eastAsia" w:ascii="宋体" w:hAnsi="宋体" w:cs="宋体"/>
                      <w:color w:val="auto"/>
                      <w:kern w:val="0"/>
                      <w:sz w:val="22"/>
                      <w:highlight w:val="none"/>
                    </w:rPr>
                    <w:t>所有密封圈检查</w:t>
                  </w:r>
                </w:p>
                <w:p w14:paraId="3998D0F6">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w:t>
                  </w:r>
                </w:p>
              </w:tc>
              <w:tc>
                <w:tcPr>
                  <w:tcW w:w="1843" w:type="dxa"/>
                </w:tcPr>
                <w:p w14:paraId="36953CDE">
                  <w:pPr>
                    <w:ind w:right="-340" w:rightChars="-162"/>
                    <w:jc w:val="left"/>
                    <w:rPr>
                      <w:rStyle w:val="36"/>
                      <w:rFonts w:ascii="宋体" w:hAnsi="宋体" w:cs="宋体"/>
                      <w:b w:val="0"/>
                      <w:color w:val="auto"/>
                      <w:kern w:val="0"/>
                      <w:sz w:val="22"/>
                      <w:szCs w:val="22"/>
                      <w:highlight w:val="none"/>
                    </w:rPr>
                  </w:pP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83840" behindDoc="0" locked="0" layoutInCell="1" allowOverlap="1">
                            <wp:simplePos x="0" y="0"/>
                            <wp:positionH relativeFrom="column">
                              <wp:posOffset>467360</wp:posOffset>
                            </wp:positionH>
                            <wp:positionV relativeFrom="paragraph">
                              <wp:posOffset>34290</wp:posOffset>
                            </wp:positionV>
                            <wp:extent cx="167005" cy="140970"/>
                            <wp:effectExtent l="4445" t="4445" r="19050" b="6985"/>
                            <wp:wrapNone/>
                            <wp:docPr id="16" name="矩形 72"/>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2" o:spid="_x0000_s1026" o:spt="1" style="position:absolute;left:0pt;margin-left:36.8pt;margin-top:2.7pt;height:11.1pt;width:13.15pt;z-index:251683840;mso-width-relative:page;mso-height-relative:page;" fillcolor="#FFFFFF" filled="t" stroked="t" coordsize="21600,21600" o:gfxdata="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tigj9UAAAAGAQAADwAAAAAAAAABACAAAAAiAAAAZHJzL2Rvd25yZXYu&#10;eG1sUEsBAhQAFAAAAAgAh07iQKfnqY7+AQAAHwQAAA4AAAAAAAAAAQAgAAAAJAEAAGRycy9lMm9E&#10;b2MueG1sUEsFBgAAAAAGAAYAWQEAAJQFA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82816" behindDoc="0" locked="0" layoutInCell="1" allowOverlap="1">
                            <wp:simplePos x="0" y="0"/>
                            <wp:positionH relativeFrom="column">
                              <wp:posOffset>13970</wp:posOffset>
                            </wp:positionH>
                            <wp:positionV relativeFrom="paragraph">
                              <wp:posOffset>43180</wp:posOffset>
                            </wp:positionV>
                            <wp:extent cx="167005" cy="140970"/>
                            <wp:effectExtent l="4445" t="4445" r="19050" b="6985"/>
                            <wp:wrapNone/>
                            <wp:docPr id="17" name="矩形 72"/>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2" o:spid="_x0000_s1026" o:spt="1" style="position:absolute;left:0pt;margin-left:1.1pt;margin-top:3.4pt;height:11.1pt;width:13.15pt;z-index:251682816;mso-width-relative:page;mso-height-relative:page;" fillcolor="#FFFFFF" filled="t" stroked="t" coordsize="21600,21600" o:gfxdata="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hS/lNMAAAAFAQAADwAAAAAAAAABACAAAAAiAAAAZHJzL2Rvd25yZXYueG1s&#10;UEsBAhQAFAAAAAgAh07iQJUT+pP9AQAAHwQAAA4AAAAAAAAAAQAgAAAAIgEAAGRycy9lMm9Eb2Mu&#10;eG1sUEsFBgAAAAAGAAYAWQEAAJEFAAAAAA==&#10;">
                            <v:fill on="t" focussize="0,0"/>
                            <v:stroke color="#000000" joinstyle="miter"/>
                            <v:imagedata o:title=""/>
                            <o:lock v:ext="edit" aspectratio="f"/>
                          </v:rect>
                        </w:pict>
                      </mc:Fallback>
                    </mc:AlternateConten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正常</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不正常</w:t>
                  </w:r>
                </w:p>
              </w:tc>
              <w:tc>
                <w:tcPr>
                  <w:tcW w:w="1701" w:type="dxa"/>
                </w:tcPr>
                <w:p w14:paraId="164CDFC7">
                  <w:pPr>
                    <w:ind w:right="-340" w:rightChars="-162"/>
                    <w:jc w:val="left"/>
                    <w:rPr>
                      <w:rStyle w:val="36"/>
                      <w:rFonts w:ascii="宋体" w:hAnsi="宋体" w:cs="宋体"/>
                      <w:b w:val="0"/>
                      <w:color w:val="auto"/>
                      <w:kern w:val="0"/>
                      <w:sz w:val="22"/>
                      <w:szCs w:val="22"/>
                      <w:highlight w:val="none"/>
                    </w:rPr>
                  </w:pPr>
                </w:p>
              </w:tc>
            </w:tr>
            <w:tr w14:paraId="747B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04" w:type="dxa"/>
                  <w:vMerge w:val="continue"/>
                </w:tcPr>
                <w:p w14:paraId="6C44CBA7">
                  <w:pPr>
                    <w:ind w:right="-340" w:rightChars="-162"/>
                    <w:jc w:val="left"/>
                    <w:rPr>
                      <w:rStyle w:val="36"/>
                      <w:rFonts w:ascii="宋体" w:hAnsi="宋体" w:cs="宋体"/>
                      <w:b w:val="0"/>
                      <w:color w:val="auto"/>
                      <w:kern w:val="0"/>
                      <w:sz w:val="22"/>
                      <w:szCs w:val="22"/>
                      <w:highlight w:val="none"/>
                    </w:rPr>
                  </w:pPr>
                </w:p>
              </w:tc>
              <w:tc>
                <w:tcPr>
                  <w:tcW w:w="3992" w:type="dxa"/>
                </w:tcPr>
                <w:p w14:paraId="2645AB0C">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w:t>
                  </w:r>
                  <w:r>
                    <w:rPr>
                      <w:rStyle w:val="36"/>
                      <w:rFonts w:ascii="宋体" w:hAnsi="宋体" w:cs="宋体"/>
                      <w:color w:val="auto"/>
                      <w:kern w:val="0"/>
                      <w:sz w:val="22"/>
                      <w:highlight w:val="none"/>
                    </w:rPr>
                    <w:tab/>
                  </w:r>
                </w:p>
              </w:tc>
              <w:tc>
                <w:tcPr>
                  <w:tcW w:w="1843" w:type="dxa"/>
                </w:tcPr>
                <w:p w14:paraId="59BFBC0E">
                  <w:pPr>
                    <w:ind w:left="420" w:right="-340" w:rightChars="-162"/>
                    <w:jc w:val="left"/>
                    <w:rPr>
                      <w:rStyle w:val="36"/>
                      <w:rFonts w:ascii="宋体" w:hAnsi="宋体" w:cs="宋体"/>
                      <w:b w:val="0"/>
                      <w:color w:val="auto"/>
                      <w:kern w:val="0"/>
                      <w:sz w:val="22"/>
                      <w:szCs w:val="22"/>
                      <w:highlight w:val="none"/>
                    </w:rPr>
                  </w:pP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5648" behindDoc="0" locked="0" layoutInCell="1" allowOverlap="1">
                            <wp:simplePos x="0" y="0"/>
                            <wp:positionH relativeFrom="column">
                              <wp:posOffset>20955</wp:posOffset>
                            </wp:positionH>
                            <wp:positionV relativeFrom="paragraph">
                              <wp:posOffset>53975</wp:posOffset>
                            </wp:positionV>
                            <wp:extent cx="167005" cy="140970"/>
                            <wp:effectExtent l="4445" t="4445" r="19050" b="6985"/>
                            <wp:wrapNone/>
                            <wp:docPr id="25" name="矩形 69"/>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69" o:spid="_x0000_s1026" o:spt="1" style="position:absolute;left:0pt;margin-left:1.65pt;margin-top:4.25pt;height:11.1pt;width:13.15pt;z-index:251675648;mso-width-relative:page;mso-height-relative:page;" fillcolor="#FFFFFF" filled="t" stroked="t" coordsize="21600,21600" o:gfxdata="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fDN2dMAAAAFAQAADwAAAAAAAAABACAAAAAiAAAAZHJzL2Rvd25yZXYueG1s&#10;UEsBAhQAFAAAAAgAh07iQKjUHrb9AQAAHwQAAA4AAAAAAAAAAQAgAAAAIgEAAGRycy9lMm9Eb2Mu&#10;eG1sUEsFBgAAAAAGAAYAWQEAAJEFA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6672" behindDoc="0" locked="0" layoutInCell="1" allowOverlap="1">
                            <wp:simplePos x="0" y="0"/>
                            <wp:positionH relativeFrom="column">
                              <wp:posOffset>469265</wp:posOffset>
                            </wp:positionH>
                            <wp:positionV relativeFrom="paragraph">
                              <wp:posOffset>53975</wp:posOffset>
                            </wp:positionV>
                            <wp:extent cx="167005" cy="140970"/>
                            <wp:effectExtent l="4445" t="4445" r="19050" b="6985"/>
                            <wp:wrapNone/>
                            <wp:docPr id="26" name="矩形 70"/>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0" o:spid="_x0000_s1026" o:spt="1" style="position:absolute;left:0pt;margin-left:36.95pt;margin-top:4.25pt;height:11.1pt;width:13.15pt;z-index:251676672;mso-width-relative:page;mso-height-relative:page;" fillcolor="#FFFFFF" filled="t" stroked="t" coordsize="21600,21600" o:gfxdata="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QvyaTVAAAABwEAAA8AAAAAAAAAAQAgAAAAIgAAAGRycy9kb3ducmV2Lnht&#10;bFBLAQIUABQAAAAIAIdO4kBDJQAd/AEAAB8EAAAOAAAAAAAAAAEAIAAAACQBAABkcnMvZTJvRG9j&#10;LnhtbFBLBQYAAAAABgAGAFkBAACSBQAAAAA=&#10;">
                            <v:fill on="t" focussize="0,0"/>
                            <v:stroke color="#000000" joinstyle="miter"/>
                            <v:imagedata o:title=""/>
                            <o:lock v:ext="edit" aspectratio="f"/>
                          </v:rect>
                        </w:pict>
                      </mc:Fallback>
                    </mc:AlternateContent>
                  </w:r>
                  <w:r>
                    <w:rPr>
                      <w:rStyle w:val="36"/>
                      <w:rFonts w:hint="eastAsia" w:ascii="宋体" w:hAnsi="宋体" w:cs="宋体"/>
                      <w:color w:val="auto"/>
                      <w:kern w:val="0"/>
                      <w:sz w:val="22"/>
                      <w:highlight w:val="none"/>
                    </w:rPr>
                    <w:t>正常</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不正常</w:t>
                  </w:r>
                </w:p>
              </w:tc>
              <w:tc>
                <w:tcPr>
                  <w:tcW w:w="1701" w:type="dxa"/>
                </w:tcPr>
                <w:p w14:paraId="2B9E56FA">
                  <w:pPr>
                    <w:ind w:right="-340" w:rightChars="-162"/>
                    <w:jc w:val="left"/>
                    <w:rPr>
                      <w:rStyle w:val="36"/>
                      <w:rFonts w:ascii="宋体" w:hAnsi="宋体" w:cs="宋体"/>
                      <w:b w:val="0"/>
                      <w:color w:val="auto"/>
                      <w:kern w:val="0"/>
                      <w:sz w:val="22"/>
                      <w:szCs w:val="22"/>
                      <w:highlight w:val="none"/>
                    </w:rPr>
                  </w:pPr>
                </w:p>
              </w:tc>
            </w:tr>
            <w:tr w14:paraId="6A2C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Merge w:val="continue"/>
                </w:tcPr>
                <w:p w14:paraId="43A6B4DC">
                  <w:pPr>
                    <w:ind w:right="-340" w:rightChars="-162"/>
                    <w:jc w:val="left"/>
                    <w:rPr>
                      <w:rStyle w:val="36"/>
                      <w:rFonts w:ascii="宋体" w:hAnsi="宋体" w:cs="宋体"/>
                      <w:b w:val="0"/>
                      <w:color w:val="auto"/>
                      <w:kern w:val="0"/>
                      <w:sz w:val="22"/>
                      <w:szCs w:val="22"/>
                      <w:highlight w:val="none"/>
                    </w:rPr>
                  </w:pPr>
                </w:p>
              </w:tc>
              <w:tc>
                <w:tcPr>
                  <w:tcW w:w="3992" w:type="dxa"/>
                </w:tcPr>
                <w:p w14:paraId="6D752F77">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w:t>
                  </w:r>
                  <w:r>
                    <w:rPr>
                      <w:rStyle w:val="36"/>
                      <w:rFonts w:ascii="宋体" w:hAnsi="宋体" w:cs="宋体"/>
                      <w:color w:val="auto"/>
                      <w:kern w:val="0"/>
                      <w:sz w:val="22"/>
                      <w:highlight w:val="none"/>
                    </w:rPr>
                    <w:tab/>
                  </w:r>
                </w:p>
              </w:tc>
              <w:tc>
                <w:tcPr>
                  <w:tcW w:w="1843" w:type="dxa"/>
                </w:tcPr>
                <w:p w14:paraId="43AAD660">
                  <w:pPr>
                    <w:ind w:left="420" w:right="-340" w:rightChars="-162"/>
                    <w:jc w:val="left"/>
                    <w:rPr>
                      <w:rStyle w:val="36"/>
                      <w:rFonts w:ascii="宋体" w:hAnsi="宋体" w:cs="宋体"/>
                      <w:b w:val="0"/>
                      <w:color w:val="auto"/>
                      <w:kern w:val="0"/>
                      <w:sz w:val="22"/>
                      <w:szCs w:val="22"/>
                      <w:highlight w:val="none"/>
                    </w:rPr>
                  </w:pP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7696" behindDoc="0" locked="0" layoutInCell="1" allowOverlap="1">
                            <wp:simplePos x="0" y="0"/>
                            <wp:positionH relativeFrom="column">
                              <wp:posOffset>20955</wp:posOffset>
                            </wp:positionH>
                            <wp:positionV relativeFrom="paragraph">
                              <wp:posOffset>34290</wp:posOffset>
                            </wp:positionV>
                            <wp:extent cx="167005" cy="140970"/>
                            <wp:effectExtent l="4445" t="4445" r="19050" b="6985"/>
                            <wp:wrapNone/>
                            <wp:docPr id="27" name="矩形 71"/>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1" o:spid="_x0000_s1026" o:spt="1" style="position:absolute;left:0pt;margin-left:1.65pt;margin-top:2.7pt;height:11.1pt;width:13.15pt;z-index:251677696;mso-width-relative:page;mso-height-relative:page;" fillcolor="#FFFFFF" filled="t" stroked="t" coordsize="21600,21600" o:gfxdata="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h/r2LUAAAABQEAAA8AAAAAAAAAAQAgAAAAIgAAAGRycy9kb3ducmV2Lnht&#10;bFBLAQIUABQAAAAIAIdO4kBNMyjl/QEAAB8EAAAOAAAAAAAAAAEAIAAAACMBAABkcnMvZTJvRG9j&#10;LnhtbFBLBQYAAAAABgAGAFkBAACSBQ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8720" behindDoc="0" locked="0" layoutInCell="1" allowOverlap="1">
                            <wp:simplePos x="0" y="0"/>
                            <wp:positionH relativeFrom="column">
                              <wp:posOffset>469265</wp:posOffset>
                            </wp:positionH>
                            <wp:positionV relativeFrom="paragraph">
                              <wp:posOffset>34290</wp:posOffset>
                            </wp:positionV>
                            <wp:extent cx="167005" cy="140970"/>
                            <wp:effectExtent l="4445" t="4445" r="19050" b="6985"/>
                            <wp:wrapNone/>
                            <wp:docPr id="28" name="矩形 72"/>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2" o:spid="_x0000_s1026" o:spt="1" style="position:absolute;left:0pt;margin-left:36.95pt;margin-top:2.7pt;height:11.1pt;width:13.15pt;z-index:251678720;mso-width-relative:page;mso-height-relative:page;" fillcolor="#FFFFFF" filled="t" stroked="t" coordsize="21600,21600" o:gfxdata="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ssCq1QAAAAcBAAAPAAAAAAAAAAEAIAAAACIAAABkcnMvZG93bnJldi54&#10;bWxQSwECFAAUAAAACACHTuJARn7xqf0BAAAfBAAADgAAAAAAAAABACAAAAAkAQAAZHJzL2Uyb0Rv&#10;Yy54bWxQSwUGAAAAAAYABgBZAQAAkwUAAAAA&#10;">
                            <v:fill on="t" focussize="0,0"/>
                            <v:stroke color="#000000" joinstyle="miter"/>
                            <v:imagedata o:title=""/>
                            <o:lock v:ext="edit" aspectratio="f"/>
                          </v:rect>
                        </w:pict>
                      </mc:Fallback>
                    </mc:AlternateContent>
                  </w:r>
                  <w:r>
                    <w:rPr>
                      <w:rStyle w:val="36"/>
                      <w:rFonts w:hint="eastAsia" w:ascii="宋体" w:hAnsi="宋体" w:cs="宋体"/>
                      <w:color w:val="auto"/>
                      <w:kern w:val="0"/>
                      <w:sz w:val="22"/>
                      <w:highlight w:val="none"/>
                    </w:rPr>
                    <w:t>正常</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不正常</w:t>
                  </w:r>
                </w:p>
              </w:tc>
              <w:tc>
                <w:tcPr>
                  <w:tcW w:w="1701" w:type="dxa"/>
                </w:tcPr>
                <w:p w14:paraId="0BEEFB51">
                  <w:pPr>
                    <w:ind w:right="-340" w:rightChars="-162"/>
                    <w:jc w:val="left"/>
                    <w:rPr>
                      <w:rStyle w:val="36"/>
                      <w:rFonts w:ascii="宋体" w:hAnsi="宋体" w:cs="宋体"/>
                      <w:b w:val="0"/>
                      <w:color w:val="auto"/>
                      <w:kern w:val="0"/>
                      <w:sz w:val="22"/>
                      <w:szCs w:val="22"/>
                      <w:highlight w:val="none"/>
                    </w:rPr>
                  </w:pPr>
                </w:p>
              </w:tc>
            </w:tr>
            <w:tr w14:paraId="6F97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Merge w:val="continue"/>
                </w:tcPr>
                <w:p w14:paraId="374CD0AF">
                  <w:pPr>
                    <w:ind w:right="-340" w:rightChars="-162"/>
                    <w:jc w:val="left"/>
                    <w:rPr>
                      <w:rStyle w:val="36"/>
                      <w:rFonts w:ascii="宋体" w:hAnsi="宋体" w:cs="宋体"/>
                      <w:b w:val="0"/>
                      <w:color w:val="auto"/>
                      <w:kern w:val="0"/>
                      <w:sz w:val="22"/>
                      <w:szCs w:val="22"/>
                      <w:highlight w:val="none"/>
                    </w:rPr>
                  </w:pPr>
                </w:p>
              </w:tc>
              <w:tc>
                <w:tcPr>
                  <w:tcW w:w="3992" w:type="dxa"/>
                </w:tcPr>
                <w:p w14:paraId="18EE9ACD">
                  <w:pPr>
                    <w:ind w:right="-340" w:rightChars="-162"/>
                    <w:jc w:val="left"/>
                    <w:rPr>
                      <w:rStyle w:val="36"/>
                      <w:rFonts w:ascii="宋体" w:hAnsi="宋体" w:cs="宋体"/>
                      <w:b w:val="0"/>
                      <w:color w:val="auto"/>
                      <w:kern w:val="0"/>
                      <w:sz w:val="22"/>
                      <w:szCs w:val="22"/>
                      <w:highlight w:val="none"/>
                    </w:rPr>
                  </w:pPr>
                  <w:r>
                    <w:rPr>
                      <w:rStyle w:val="36"/>
                      <w:rFonts w:ascii="宋体" w:hAnsi="宋体" w:cs="宋体"/>
                      <w:color w:val="auto"/>
                      <w:kern w:val="0"/>
                      <w:sz w:val="22"/>
                      <w:highlight w:val="none"/>
                    </w:rPr>
                    <w:t>……</w:t>
                  </w:r>
                  <w:r>
                    <w:rPr>
                      <w:rStyle w:val="36"/>
                      <w:rFonts w:ascii="宋体" w:hAnsi="宋体" w:cs="宋体"/>
                      <w:color w:val="auto"/>
                      <w:kern w:val="0"/>
                      <w:sz w:val="22"/>
                      <w:highlight w:val="none"/>
                    </w:rPr>
                    <w:tab/>
                  </w:r>
                </w:p>
              </w:tc>
              <w:tc>
                <w:tcPr>
                  <w:tcW w:w="1843" w:type="dxa"/>
                </w:tcPr>
                <w:p w14:paraId="14B55A0E">
                  <w:pPr>
                    <w:ind w:left="420" w:right="-340" w:rightChars="-162"/>
                    <w:jc w:val="left"/>
                    <w:rPr>
                      <w:rStyle w:val="36"/>
                      <w:rFonts w:ascii="宋体" w:hAnsi="宋体" w:cs="宋体"/>
                      <w:b w:val="0"/>
                      <w:color w:val="auto"/>
                      <w:kern w:val="0"/>
                      <w:sz w:val="22"/>
                      <w:szCs w:val="22"/>
                      <w:highlight w:val="none"/>
                    </w:rPr>
                  </w:pP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80768" behindDoc="0" locked="0" layoutInCell="1" allowOverlap="1">
                            <wp:simplePos x="0" y="0"/>
                            <wp:positionH relativeFrom="column">
                              <wp:posOffset>14605</wp:posOffset>
                            </wp:positionH>
                            <wp:positionV relativeFrom="paragraph">
                              <wp:posOffset>43180</wp:posOffset>
                            </wp:positionV>
                            <wp:extent cx="167005" cy="140970"/>
                            <wp:effectExtent l="4445" t="4445" r="19050" b="6985"/>
                            <wp:wrapNone/>
                            <wp:docPr id="30" name="矩形 74"/>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4" o:spid="_x0000_s1026" o:spt="1" style="position:absolute;left:0pt;margin-left:1.15pt;margin-top:3.4pt;height:11.1pt;width:13.15pt;z-index:251680768;mso-width-relative:page;mso-height-relative:page;" fillcolor="#FFFFFF" filled="t" stroked="t" coordsize="21600,21600" o:gfxdata="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O9EobTAAAABQEAAA8AAAAAAAAAAQAgAAAAIgAAAGRycy9kb3ducmV2Lnht&#10;bFBLAQIUABQAAAAIAIdO4kDpmy+5/gEAAB8EAAAOAAAAAAAAAAEAIAAAACIBAABkcnMvZTJvRG9j&#10;LnhtbFBLBQYAAAAABgAGAFkBAACSBQAAAAA=&#10;">
                            <v:fill on="t" focussize="0,0"/>
                            <v:stroke color="#000000" joinstyle="miter"/>
                            <v:imagedata o:title=""/>
                            <o:lock v:ext="edit" aspectratio="f"/>
                          </v:rect>
                        </w:pict>
                      </mc:Fallback>
                    </mc:AlternateContent>
                  </w:r>
                  <w:r>
                    <w:rPr>
                      <w:rStyle w:val="36"/>
                      <w:rFonts w:ascii="宋体" w:hAnsi="宋体" w:cs="宋体"/>
                      <w:b w:val="0"/>
                      <w:color w:val="auto"/>
                      <w:kern w:val="0"/>
                      <w:sz w:val="22"/>
                      <w:szCs w:val="22"/>
                      <w:highlight w:val="none"/>
                    </w:rPr>
                    <mc:AlternateContent>
                      <mc:Choice Requires="wps">
                        <w:drawing>
                          <wp:anchor distT="0" distB="0" distL="114300" distR="114300" simplePos="0" relativeHeight="251679744" behindDoc="0" locked="0" layoutInCell="1" allowOverlap="1">
                            <wp:simplePos x="0" y="0"/>
                            <wp:positionH relativeFrom="column">
                              <wp:posOffset>469265</wp:posOffset>
                            </wp:positionH>
                            <wp:positionV relativeFrom="paragraph">
                              <wp:posOffset>22860</wp:posOffset>
                            </wp:positionV>
                            <wp:extent cx="167005" cy="140970"/>
                            <wp:effectExtent l="4445" t="4445" r="19050" b="6985"/>
                            <wp:wrapNone/>
                            <wp:docPr id="29" name="矩形 73"/>
                            <wp:cNvGraphicFramePr/>
                            <a:graphic xmlns:a="http://schemas.openxmlformats.org/drawingml/2006/main">
                              <a:graphicData uri="http://schemas.microsoft.com/office/word/2010/wordprocessingShape">
                                <wps:wsp>
                                  <wps:cNvSpPr/>
                                  <wps:spPr>
                                    <a:xfrm>
                                      <a:off x="0" y="0"/>
                                      <a:ext cx="167005" cy="1409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73" o:spid="_x0000_s1026" o:spt="1" style="position:absolute;left:0pt;margin-left:36.95pt;margin-top:1.8pt;height:11.1pt;width:13.15pt;z-index:251679744;mso-width-relative:page;mso-height-relative:page;" fillcolor="#FFFFFF" filled="t" stroked="t" coordsize="21600,21600" o:gfxdata="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wMhsdUAAAAHAQAADwAAAAAAAAABACAAAAAiAAAAZHJzL2Rvd25yZXYu&#10;eG1sUEsBAhQAFAAAAAgAh07iQEho2VH+AQAAHwQAAA4AAAAAAAAAAQAgAAAAJAEAAGRycy9lMm9E&#10;b2MueG1sUEsFBgAAAAAGAAYAWQEAAJQFAAAAAA==&#10;">
                            <v:fill on="t" focussize="0,0"/>
                            <v:stroke color="#000000" joinstyle="miter"/>
                            <v:imagedata o:title=""/>
                            <o:lock v:ext="edit" aspectratio="f"/>
                          </v:rect>
                        </w:pict>
                      </mc:Fallback>
                    </mc:AlternateContent>
                  </w:r>
                  <w:r>
                    <w:rPr>
                      <w:rStyle w:val="36"/>
                      <w:rFonts w:hint="eastAsia" w:ascii="宋体" w:hAnsi="宋体" w:cs="宋体"/>
                      <w:color w:val="auto"/>
                      <w:kern w:val="0"/>
                      <w:sz w:val="22"/>
                      <w:highlight w:val="none"/>
                    </w:rPr>
                    <w:t>正常</w:t>
                  </w:r>
                  <w:r>
                    <w:rPr>
                      <w:rStyle w:val="36"/>
                      <w:rFonts w:ascii="宋体" w:hAnsi="宋体" w:cs="宋体"/>
                      <w:color w:val="auto"/>
                      <w:kern w:val="0"/>
                      <w:sz w:val="22"/>
                      <w:highlight w:val="none"/>
                    </w:rPr>
                    <w:t xml:space="preserve">    </w:t>
                  </w:r>
                  <w:r>
                    <w:rPr>
                      <w:rStyle w:val="36"/>
                      <w:rFonts w:hint="eastAsia" w:ascii="宋体" w:hAnsi="宋体" w:cs="宋体"/>
                      <w:color w:val="auto"/>
                      <w:kern w:val="0"/>
                      <w:sz w:val="22"/>
                      <w:highlight w:val="none"/>
                    </w:rPr>
                    <w:t>不正常</w:t>
                  </w:r>
                </w:p>
              </w:tc>
              <w:tc>
                <w:tcPr>
                  <w:tcW w:w="1701" w:type="dxa"/>
                </w:tcPr>
                <w:p w14:paraId="0C4C8BAD">
                  <w:pPr>
                    <w:ind w:right="-340" w:rightChars="-162"/>
                    <w:jc w:val="left"/>
                    <w:rPr>
                      <w:rStyle w:val="36"/>
                      <w:rFonts w:ascii="宋体" w:hAnsi="宋体" w:cs="宋体"/>
                      <w:b w:val="0"/>
                      <w:color w:val="auto"/>
                      <w:kern w:val="0"/>
                      <w:sz w:val="22"/>
                      <w:szCs w:val="22"/>
                      <w:highlight w:val="none"/>
                    </w:rPr>
                  </w:pPr>
                </w:p>
              </w:tc>
            </w:tr>
          </w:tbl>
          <w:p w14:paraId="16E69ECE">
            <w:pPr>
              <w:ind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如有异常及操作，请在下面记录问题处理情况：</w:t>
            </w:r>
          </w:p>
          <w:tbl>
            <w:tblPr>
              <w:tblStyle w:val="34"/>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7546"/>
            </w:tblGrid>
            <w:tr w14:paraId="00E6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14:paraId="286707E6">
                  <w:pPr>
                    <w:ind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问题记录</w:t>
                  </w:r>
                </w:p>
              </w:tc>
              <w:tc>
                <w:tcPr>
                  <w:tcW w:w="7546" w:type="dxa"/>
                </w:tcPr>
                <w:p w14:paraId="13A6CBD6">
                  <w:pPr>
                    <w:ind w:left="2940" w:right="-340" w:rightChars="-162"/>
                    <w:jc w:val="left"/>
                    <w:rPr>
                      <w:rStyle w:val="36"/>
                      <w:rFonts w:ascii="宋体" w:hAnsi="宋体" w:cs="宋体"/>
                      <w:b w:val="0"/>
                      <w:color w:val="auto"/>
                      <w:kern w:val="0"/>
                      <w:sz w:val="22"/>
                      <w:szCs w:val="22"/>
                      <w:highlight w:val="none"/>
                    </w:rPr>
                  </w:pPr>
                  <w:r>
                    <w:rPr>
                      <w:rStyle w:val="36"/>
                      <w:rFonts w:hint="eastAsia" w:ascii="宋体" w:hAnsi="宋体" w:cs="宋体"/>
                      <w:color w:val="auto"/>
                      <w:kern w:val="0"/>
                      <w:sz w:val="22"/>
                      <w:highlight w:val="none"/>
                    </w:rPr>
                    <w:t>处理情况或操作记录</w:t>
                  </w:r>
                </w:p>
              </w:tc>
            </w:tr>
            <w:tr w14:paraId="4C80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2094" w:type="dxa"/>
                </w:tcPr>
                <w:p w14:paraId="2A1FBF57">
                  <w:pPr>
                    <w:pStyle w:val="3"/>
                    <w:rPr>
                      <w:rStyle w:val="36"/>
                      <w:rFonts w:ascii="宋体" w:hAnsi="宋体" w:cs="宋体"/>
                      <w:b w:val="0"/>
                      <w:color w:val="auto"/>
                      <w:kern w:val="0"/>
                      <w:sz w:val="22"/>
                      <w:szCs w:val="22"/>
                      <w:highlight w:val="none"/>
                    </w:rPr>
                  </w:pPr>
                </w:p>
              </w:tc>
              <w:tc>
                <w:tcPr>
                  <w:tcW w:w="7546" w:type="dxa"/>
                </w:tcPr>
                <w:p w14:paraId="1EFC34C4">
                  <w:pPr>
                    <w:tabs>
                      <w:tab w:val="left" w:pos="1352"/>
                    </w:tabs>
                    <w:jc w:val="left"/>
                    <w:rPr>
                      <w:rStyle w:val="36"/>
                      <w:rFonts w:ascii="宋体" w:hAnsi="宋体" w:cs="宋体"/>
                      <w:b w:val="0"/>
                      <w:color w:val="auto"/>
                      <w:kern w:val="0"/>
                      <w:sz w:val="22"/>
                      <w:szCs w:val="22"/>
                      <w:highlight w:val="none"/>
                    </w:rPr>
                  </w:pPr>
                </w:p>
              </w:tc>
            </w:tr>
          </w:tbl>
          <w:p w14:paraId="0BC7A456">
            <w:pPr>
              <w:pStyle w:val="30"/>
              <w:numPr>
                <w:ilvl w:val="0"/>
                <w:numId w:val="11"/>
              </w:numPr>
              <w:rPr>
                <w:rStyle w:val="36"/>
                <w:rFonts w:ascii="宋体" w:hAnsi="宋体" w:cs="宋体"/>
                <w:color w:val="auto"/>
                <w:kern w:val="0"/>
                <w:sz w:val="22"/>
                <w:szCs w:val="22"/>
                <w:highlight w:val="none"/>
              </w:rPr>
            </w:pPr>
            <w:r>
              <w:rPr>
                <w:rStyle w:val="36"/>
                <w:color w:val="auto"/>
                <w:sz w:val="22"/>
                <w:highlight w:val="none"/>
              </w:rPr>
              <w:t>应急机制：</w:t>
            </w:r>
          </w:p>
          <w:p w14:paraId="04F83A3B">
            <w:pPr>
              <w:pStyle w:val="30"/>
              <w:numPr>
                <w:ilvl w:val="0"/>
                <w:numId w:val="12"/>
              </w:numPr>
              <w:rPr>
                <w:rStyle w:val="36"/>
                <w:b w:val="0"/>
                <w:color w:val="auto"/>
                <w:sz w:val="22"/>
                <w:highlight w:val="none"/>
              </w:rPr>
            </w:pPr>
            <w:r>
              <w:rPr>
                <w:rStyle w:val="36"/>
                <w:color w:val="auto"/>
                <w:sz w:val="22"/>
                <w:highlight w:val="none"/>
              </w:rPr>
              <w:t>建立报修热线，确保尽快响应。对于无法立即处理的问题，驻场人员应先进行初步排查和应急处理，优先保障实验室安全运行</w:t>
            </w:r>
          </w:p>
          <w:p w14:paraId="41DEABBF">
            <w:pPr>
              <w:pStyle w:val="30"/>
              <w:numPr>
                <w:ilvl w:val="0"/>
                <w:numId w:val="12"/>
              </w:numPr>
              <w:rPr>
                <w:rStyle w:val="36"/>
                <w:b w:val="0"/>
                <w:color w:val="auto"/>
                <w:sz w:val="22"/>
                <w:highlight w:val="none"/>
              </w:rPr>
            </w:pPr>
            <w:r>
              <w:rPr>
                <w:rStyle w:val="36"/>
                <w:color w:val="auto"/>
                <w:sz w:val="22"/>
                <w:highlight w:val="none"/>
              </w:rPr>
              <w:t>驻场人员第一时间响应并协调相关部门处置</w:t>
            </w:r>
          </w:p>
          <w:p w14:paraId="166F8EB6">
            <w:pPr>
              <w:pStyle w:val="30"/>
              <w:numPr>
                <w:ilvl w:val="0"/>
                <w:numId w:val="12"/>
              </w:numPr>
              <w:rPr>
                <w:rFonts w:ascii="宋体" w:hAnsi="宋体" w:cs="宋体"/>
                <w:color w:val="auto"/>
                <w:sz w:val="22"/>
                <w:szCs w:val="22"/>
                <w:highlight w:val="none"/>
              </w:rPr>
            </w:pPr>
            <w:r>
              <w:rPr>
                <w:rStyle w:val="36"/>
                <w:color w:val="auto"/>
                <w:sz w:val="22"/>
                <w:highlight w:val="none"/>
              </w:rPr>
              <w:t>工</w:t>
            </w:r>
            <w:r>
              <w:rPr>
                <w:rFonts w:hint="eastAsia" w:ascii="宋体" w:hAnsi="宋体" w:cs="宋体"/>
                <w:b/>
                <w:bCs/>
                <w:color w:val="auto"/>
                <w:sz w:val="22"/>
                <w:highlight w:val="none"/>
              </w:rPr>
              <w:t>程师团队及时支持并联络原厂商或更专业维修方</w:t>
            </w:r>
          </w:p>
          <w:p w14:paraId="50C2AB2A">
            <w:pPr>
              <w:pStyle w:val="30"/>
              <w:numPr>
                <w:ilvl w:val="0"/>
                <w:numId w:val="8"/>
              </w:numPr>
              <w:rPr>
                <w:rFonts w:ascii="宋体" w:hAnsi="宋体" w:cs="宋体"/>
                <w:color w:val="auto"/>
                <w:sz w:val="22"/>
                <w:szCs w:val="22"/>
                <w:highlight w:val="none"/>
              </w:rPr>
            </w:pPr>
            <w:r>
              <w:rPr>
                <w:rStyle w:val="36"/>
                <w:color w:val="auto"/>
                <w:sz w:val="22"/>
                <w:highlight w:val="none"/>
              </w:rPr>
              <w:t>服务标准与监督流程</w:t>
            </w:r>
          </w:p>
          <w:p w14:paraId="572D5C4C">
            <w:pPr>
              <w:pStyle w:val="30"/>
              <w:numPr>
                <w:ilvl w:val="0"/>
                <w:numId w:val="13"/>
              </w:numPr>
              <w:rPr>
                <w:rStyle w:val="36"/>
                <w:color w:val="auto"/>
                <w:sz w:val="22"/>
                <w:highlight w:val="none"/>
              </w:rPr>
            </w:pPr>
            <w:r>
              <w:rPr>
                <w:rStyle w:val="36"/>
                <w:color w:val="auto"/>
                <w:sz w:val="22"/>
                <w:highlight w:val="none"/>
              </w:rPr>
              <w:t>维保标准</w:t>
            </w:r>
          </w:p>
          <w:p w14:paraId="023ABAFC">
            <w:pPr>
              <w:pStyle w:val="30"/>
              <w:ind w:left="720"/>
              <w:rPr>
                <w:rFonts w:ascii="宋体" w:hAnsi="宋体" w:cs="宋体"/>
                <w:b/>
                <w:bCs/>
                <w:color w:val="auto"/>
                <w:sz w:val="22"/>
                <w:szCs w:val="22"/>
                <w:highlight w:val="none"/>
              </w:rPr>
            </w:pPr>
            <w:r>
              <w:rPr>
                <w:rFonts w:hint="eastAsia" w:ascii="宋体" w:hAnsi="宋体" w:cs="宋体"/>
                <w:color w:val="auto"/>
                <w:sz w:val="22"/>
                <w:highlight w:val="none"/>
              </w:rPr>
              <w:t>符合国家和地方的实验室维护和安全标准，尤其是高校实验室安全管理的相关规范</w:t>
            </w:r>
          </w:p>
          <w:p w14:paraId="22241430">
            <w:pPr>
              <w:pStyle w:val="30"/>
              <w:numPr>
                <w:ilvl w:val="0"/>
                <w:numId w:val="13"/>
              </w:numPr>
              <w:rPr>
                <w:rStyle w:val="36"/>
                <w:color w:val="auto"/>
                <w:sz w:val="22"/>
                <w:highlight w:val="none"/>
              </w:rPr>
            </w:pPr>
            <w:r>
              <w:rPr>
                <w:rStyle w:val="36"/>
                <w:color w:val="auto"/>
                <w:sz w:val="22"/>
                <w:highlight w:val="none"/>
              </w:rPr>
              <w:t>记录与反馈</w:t>
            </w:r>
          </w:p>
          <w:p w14:paraId="5D274995">
            <w:pPr>
              <w:widowControl/>
              <w:numPr>
                <w:ilvl w:val="0"/>
                <w:numId w:val="14"/>
              </w:numPr>
              <w:spacing w:before="100" w:beforeAutospacing="1" w:after="100" w:afterAutospacing="1"/>
              <w:jc w:val="left"/>
              <w:rPr>
                <w:rFonts w:ascii="宋体" w:hAnsi="宋体" w:cs="宋体"/>
                <w:color w:val="auto"/>
                <w:kern w:val="0"/>
                <w:sz w:val="22"/>
                <w:szCs w:val="22"/>
                <w:highlight w:val="none"/>
              </w:rPr>
            </w:pPr>
            <w:r>
              <w:rPr>
                <w:rFonts w:hint="eastAsia" w:ascii="宋体" w:hAnsi="宋体" w:cs="宋体"/>
                <w:color w:val="auto"/>
                <w:kern w:val="0"/>
                <w:sz w:val="22"/>
                <w:highlight w:val="none"/>
              </w:rPr>
              <w:t>所有检查、保养、维修、耗材更换均需书面记录并存档</w:t>
            </w:r>
          </w:p>
          <w:p w14:paraId="473EC94C">
            <w:pPr>
              <w:widowControl/>
              <w:numPr>
                <w:ilvl w:val="0"/>
                <w:numId w:val="14"/>
              </w:numPr>
              <w:spacing w:before="100" w:beforeAutospacing="1" w:after="100" w:afterAutospacing="1"/>
              <w:jc w:val="left"/>
              <w:rPr>
                <w:rFonts w:ascii="宋体" w:hAnsi="宋体" w:cs="宋体"/>
                <w:color w:val="auto"/>
                <w:kern w:val="0"/>
                <w:sz w:val="22"/>
                <w:szCs w:val="22"/>
                <w:highlight w:val="none"/>
              </w:rPr>
            </w:pPr>
            <w:r>
              <w:rPr>
                <w:rFonts w:hint="eastAsia" w:ascii="宋体" w:hAnsi="宋体" w:cs="宋体"/>
                <w:color w:val="auto"/>
                <w:kern w:val="0"/>
                <w:sz w:val="22"/>
                <w:highlight w:val="none"/>
              </w:rPr>
              <w:t>提供完整的服务报告与优化建议，保障服务可追溯性</w:t>
            </w:r>
          </w:p>
          <w:p w14:paraId="4EBD3F3A">
            <w:pPr>
              <w:widowControl/>
              <w:numPr>
                <w:ilvl w:val="0"/>
                <w:numId w:val="14"/>
              </w:numPr>
              <w:spacing w:before="100" w:beforeAutospacing="1" w:after="100" w:afterAutospacing="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提供完整的服务报告与优化建议，保障服务可追溯性</w:t>
            </w:r>
          </w:p>
          <w:p w14:paraId="4D2F6D02">
            <w:pPr>
              <w:widowControl/>
              <w:spacing w:before="100" w:beforeAutospacing="1" w:after="100" w:afterAutospacing="1"/>
              <w:ind w:left="3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（三）维保流程图</w:t>
            </w:r>
          </w:p>
          <w:p w14:paraId="2F75D6DF">
            <w:pPr>
              <w:widowControl/>
              <w:numPr>
                <w:ilvl w:val="0"/>
                <w:numId w:val="14"/>
              </w:numPr>
              <w:spacing w:before="100" w:beforeAutospacing="1" w:after="100" w:afterAutospacing="1"/>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关于仪器设备故障检修的准备、检修操作、修复质检的服务流程图如下：</w:t>
            </w:r>
          </w:p>
          <w:p w14:paraId="56C0E720">
            <w:pPr>
              <w:widowControl/>
              <w:numPr>
                <w:ilvl w:val="255"/>
                <w:numId w:val="0"/>
              </w:numPr>
              <w:spacing w:before="100" w:beforeAutospacing="1" w:after="100" w:afterAutospacing="1"/>
              <w:ind w:left="0" w:firstLine="0"/>
              <w:jc w:val="left"/>
              <w:rPr>
                <w:rFonts w:ascii="宋体" w:hAnsi="宋体" w:cs="宋体"/>
                <w:color w:val="auto"/>
                <w:kern w:val="0"/>
                <w:sz w:val="22"/>
                <w:szCs w:val="22"/>
                <w:highlight w:val="none"/>
              </w:rPr>
            </w:pPr>
            <w:r>
              <w:rPr>
                <w:rFonts w:ascii="宋体" w:hAnsi="宋体" w:cs="宋体"/>
                <w:color w:val="auto"/>
                <w:kern w:val="0"/>
                <w:sz w:val="22"/>
                <w:szCs w:val="22"/>
                <w:highlight w:val="none"/>
              </w:rPr>
              <mc:AlternateContent>
                <mc:Choice Requires="wpc">
                  <w:drawing>
                    <wp:inline distT="0" distB="0" distL="0" distR="0">
                      <wp:extent cx="6167120" cy="2738755"/>
                      <wp:effectExtent l="0" t="5080" r="5080" b="18415"/>
                      <wp:docPr id="47"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0000"/>
                              </a:solidFill>
                            </wpc:bg>
                            <wpc:whole>
                              <a:ln>
                                <a:noFill/>
                              </a:ln>
                            </wpc:whole>
                            <wps:wsp>
                              <wps:cNvPr id="18" name="AutoShape 4"/>
                              <wps:cNvSpPr>
                                <a:spLocks noChangeArrowheads="1"/>
                              </wps:cNvSpPr>
                              <wps:spPr bwMode="auto">
                                <a:xfrm>
                                  <a:off x="1600200" y="0"/>
                                  <a:ext cx="866775" cy="1288415"/>
                                </a:xfrm>
                                <a:prstGeom prst="flowChartProcess">
                                  <a:avLst/>
                                </a:prstGeom>
                                <a:solidFill>
                                  <a:srgbClr val="FFFFFF"/>
                                </a:solidFill>
                                <a:ln w="9525">
                                  <a:solidFill>
                                    <a:srgbClr val="000000"/>
                                  </a:solidFill>
                                  <a:miter lim="800000"/>
                                </a:ln>
                              </wps:spPr>
                              <wps:txbx>
                                <w:txbxContent>
                                  <w:p w14:paraId="3E23A95F">
                                    <w:pPr>
                                      <w:rPr>
                                        <w:rFonts w:ascii="仿宋" w:hAnsi="仿宋" w:eastAsia="仿宋"/>
                                      </w:rPr>
                                    </w:pPr>
                                    <w:r>
                                      <w:rPr>
                                        <w:rFonts w:hint="eastAsia" w:ascii="仿宋" w:hAnsi="仿宋" w:eastAsia="仿宋"/>
                                      </w:rPr>
                                      <w:t>仪器负责人统一信息后通知维修</w:t>
                                    </w:r>
                                  </w:p>
                                  <w:p w14:paraId="79257068">
                                    <w:r>
                                      <w:rPr>
                                        <w:rFonts w:hint="eastAsia"/>
                                      </w:rPr>
                                      <w:t xml:space="preserve"> </w:t>
                                    </w:r>
                                  </w:p>
                                </w:txbxContent>
                              </wps:txbx>
                              <wps:bodyPr rot="0" vert="horz" wrap="square" lIns="91440" tIns="45720" rIns="91440" bIns="45720" anchor="t" anchorCtr="0" upright="1">
                                <a:noAutofit/>
                              </wps:bodyPr>
                            </wps:wsp>
                            <wps:wsp>
                              <wps:cNvPr id="33" name="AutoShape 5"/>
                              <wps:cNvSpPr>
                                <a:spLocks noChangeArrowheads="1"/>
                              </wps:cNvSpPr>
                              <wps:spPr bwMode="auto">
                                <a:xfrm>
                                  <a:off x="2533650" y="395605"/>
                                  <a:ext cx="332105" cy="100330"/>
                                </a:xfrm>
                                <a:prstGeom prst="rightArrow">
                                  <a:avLst>
                                    <a:gd name="adj1" fmla="val 50000"/>
                                    <a:gd name="adj2" fmla="val 81772"/>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4" name="AutoShape 6"/>
                              <wps:cNvSpPr>
                                <a:spLocks noChangeArrowheads="1"/>
                              </wps:cNvSpPr>
                              <wps:spPr bwMode="auto">
                                <a:xfrm>
                                  <a:off x="1266825" y="396875"/>
                                  <a:ext cx="332105" cy="100330"/>
                                </a:xfrm>
                                <a:prstGeom prst="rightArrow">
                                  <a:avLst>
                                    <a:gd name="adj1" fmla="val 50000"/>
                                    <a:gd name="adj2" fmla="val 81772"/>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5" name="AutoShape 7"/>
                              <wps:cNvSpPr>
                                <a:spLocks noChangeArrowheads="1"/>
                              </wps:cNvSpPr>
                              <wps:spPr bwMode="auto">
                                <a:xfrm>
                                  <a:off x="3933825" y="395605"/>
                                  <a:ext cx="332740" cy="100965"/>
                                </a:xfrm>
                                <a:prstGeom prst="rightArrow">
                                  <a:avLst>
                                    <a:gd name="adj1" fmla="val 50000"/>
                                    <a:gd name="adj2" fmla="val 81413"/>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6" name="AutoShape 9"/>
                              <wps:cNvSpPr>
                                <a:spLocks noChangeArrowheads="1"/>
                              </wps:cNvSpPr>
                              <wps:spPr bwMode="auto">
                                <a:xfrm>
                                  <a:off x="4923790" y="1003935"/>
                                  <a:ext cx="295910" cy="396240"/>
                                </a:xfrm>
                                <a:prstGeom prst="downArrow">
                                  <a:avLst>
                                    <a:gd name="adj1" fmla="val 50000"/>
                                    <a:gd name="adj2" fmla="val 7506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37" name="AutoShape 11"/>
                              <wps:cNvSpPr>
                                <a:spLocks noChangeArrowheads="1"/>
                              </wps:cNvSpPr>
                              <wps:spPr bwMode="auto">
                                <a:xfrm>
                                  <a:off x="3933825" y="1783080"/>
                                  <a:ext cx="400050" cy="99060"/>
                                </a:xfrm>
                                <a:prstGeom prst="leftArrow">
                                  <a:avLst>
                                    <a:gd name="adj1" fmla="val 50000"/>
                                    <a:gd name="adj2" fmla="val 99765"/>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8" name="Rectangle 12"/>
                              <wps:cNvSpPr>
                                <a:spLocks noChangeArrowheads="1"/>
                              </wps:cNvSpPr>
                              <wps:spPr bwMode="auto">
                                <a:xfrm>
                                  <a:off x="2866390" y="1485265"/>
                                  <a:ext cx="1066800" cy="1247775"/>
                                </a:xfrm>
                                <a:prstGeom prst="rect">
                                  <a:avLst/>
                                </a:prstGeom>
                                <a:solidFill>
                                  <a:srgbClr val="FFFFFF"/>
                                </a:solidFill>
                                <a:ln w="9525">
                                  <a:solidFill>
                                    <a:srgbClr val="000000"/>
                                  </a:solidFill>
                                  <a:miter lim="800000"/>
                                </a:ln>
                              </wps:spPr>
                              <wps:txbx>
                                <w:txbxContent>
                                  <w:p w14:paraId="06517481">
                                    <w:pPr>
                                      <w:rPr>
                                        <w:rFonts w:ascii="仿宋" w:hAnsi="仿宋" w:eastAsia="仿宋"/>
                                      </w:rPr>
                                    </w:pPr>
                                    <w:r>
                                      <w:rPr>
                                        <w:rFonts w:hint="eastAsia" w:ascii="仿宋" w:hAnsi="仿宋" w:eastAsia="仿宋"/>
                                      </w:rPr>
                                      <w:t>如维修后需质检，则安排三方质检</w:t>
                                    </w:r>
                                  </w:p>
                                </w:txbxContent>
                              </wps:txbx>
                              <wps:bodyPr rot="0" vert="horz" wrap="square" lIns="91440" tIns="45720" rIns="91440" bIns="45720" anchor="t" anchorCtr="0" upright="1">
                                <a:noAutofit/>
                              </wps:bodyPr>
                            </wps:wsp>
                            <wps:wsp>
                              <wps:cNvPr id="39" name="AutoShape 13"/>
                              <wps:cNvSpPr>
                                <a:spLocks noChangeArrowheads="1"/>
                              </wps:cNvSpPr>
                              <wps:spPr bwMode="auto">
                                <a:xfrm>
                                  <a:off x="2466975" y="1783080"/>
                                  <a:ext cx="400050" cy="99060"/>
                                </a:xfrm>
                                <a:prstGeom prst="leftArrow">
                                  <a:avLst>
                                    <a:gd name="adj1" fmla="val 50000"/>
                                    <a:gd name="adj2" fmla="val 99765"/>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0" name="Rectangle 14"/>
                              <wps:cNvSpPr>
                                <a:spLocks noChangeArrowheads="1"/>
                              </wps:cNvSpPr>
                              <wps:spPr bwMode="auto">
                                <a:xfrm>
                                  <a:off x="1533525" y="1485899"/>
                                  <a:ext cx="933450" cy="1245235"/>
                                </a:xfrm>
                                <a:prstGeom prst="rect">
                                  <a:avLst/>
                                </a:prstGeom>
                                <a:solidFill>
                                  <a:srgbClr val="FFFFFF"/>
                                </a:solidFill>
                                <a:ln w="9525">
                                  <a:solidFill>
                                    <a:srgbClr val="000000"/>
                                  </a:solidFill>
                                  <a:miter lim="800000"/>
                                </a:ln>
                              </wps:spPr>
                              <wps:txbx>
                                <w:txbxContent>
                                  <w:p w14:paraId="5D14654D">
                                    <w:pPr>
                                      <w:rPr>
                                        <w:rFonts w:ascii="仿宋" w:hAnsi="仿宋" w:eastAsia="仿宋"/>
                                      </w:rPr>
                                    </w:pPr>
                                    <w:r>
                                      <w:rPr>
                                        <w:rFonts w:hint="eastAsia" w:ascii="仿宋" w:hAnsi="仿宋" w:eastAsia="仿宋"/>
                                      </w:rPr>
                                      <w:t>完成后金额统计</w:t>
                                    </w:r>
                                  </w:p>
                                  <w:p w14:paraId="727F170F">
                                    <w:pPr>
                                      <w:rPr>
                                        <w:rFonts w:ascii="仿宋" w:hAnsi="仿宋" w:eastAsia="仿宋"/>
                                      </w:rPr>
                                    </w:pPr>
                                  </w:p>
                                </w:txbxContent>
                              </wps:txbx>
                              <wps:bodyPr rot="0" vert="horz" wrap="square" lIns="91440" tIns="45720" rIns="91440" bIns="45720" anchor="t" anchorCtr="0" upright="1">
                                <a:noAutofit/>
                              </wps:bodyPr>
                            </wps:wsp>
                            <wps:wsp>
                              <wps:cNvPr id="41" name="AutoShape 15"/>
                              <wps:cNvSpPr>
                                <a:spLocks noChangeArrowheads="1"/>
                              </wps:cNvSpPr>
                              <wps:spPr bwMode="auto">
                                <a:xfrm>
                                  <a:off x="1132840" y="1783080"/>
                                  <a:ext cx="400685" cy="99060"/>
                                </a:xfrm>
                                <a:prstGeom prst="leftArrow">
                                  <a:avLst>
                                    <a:gd name="adj1" fmla="val 50000"/>
                                    <a:gd name="adj2" fmla="val 99923"/>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2" name="Rectangle 16"/>
                              <wps:cNvSpPr>
                                <a:spLocks noChangeArrowheads="1"/>
                              </wps:cNvSpPr>
                              <wps:spPr bwMode="auto">
                                <a:xfrm>
                                  <a:off x="66675" y="1485265"/>
                                  <a:ext cx="1066165" cy="1245870"/>
                                </a:xfrm>
                                <a:prstGeom prst="rect">
                                  <a:avLst/>
                                </a:prstGeom>
                                <a:solidFill>
                                  <a:srgbClr val="FFFFFF"/>
                                </a:solidFill>
                                <a:ln w="9525">
                                  <a:solidFill>
                                    <a:srgbClr val="000000"/>
                                  </a:solidFill>
                                  <a:miter lim="800000"/>
                                </a:ln>
                              </wps:spPr>
                              <wps:txbx>
                                <w:txbxContent>
                                  <w:p w14:paraId="1169DCE9">
                                    <w:pPr>
                                      <w:rPr>
                                        <w:rFonts w:ascii="仿宋" w:hAnsi="仿宋" w:eastAsia="仿宋"/>
                                      </w:rPr>
                                    </w:pPr>
                                    <w:r>
                                      <w:rPr>
                                        <w:rFonts w:hint="eastAsia" w:ascii="仿宋" w:hAnsi="仿宋" w:eastAsia="仿宋"/>
                                      </w:rPr>
                                      <w:t>年度末列出季度维修金额表 签字确认</w:t>
                                    </w:r>
                                  </w:p>
                                </w:txbxContent>
                              </wps:txbx>
                              <wps:bodyPr rot="0" vert="horz" wrap="square" lIns="91440" tIns="45720" rIns="91440" bIns="45720" anchor="t" anchorCtr="0" upright="1">
                                <a:noAutofit/>
                              </wps:bodyPr>
                            </wps:wsp>
                            <wps:wsp>
                              <wps:cNvPr id="43" name="AutoShape 17"/>
                              <wps:cNvSpPr>
                                <a:spLocks noChangeArrowheads="1"/>
                              </wps:cNvSpPr>
                              <wps:spPr bwMode="auto">
                                <a:xfrm>
                                  <a:off x="2867025" y="0"/>
                                  <a:ext cx="1048385" cy="1288415"/>
                                </a:xfrm>
                                <a:prstGeom prst="flowChartProcess">
                                  <a:avLst/>
                                </a:prstGeom>
                                <a:solidFill>
                                  <a:srgbClr val="FFFFFF"/>
                                </a:solidFill>
                                <a:ln w="9525">
                                  <a:solidFill>
                                    <a:srgbClr val="000000"/>
                                  </a:solidFill>
                                  <a:miter lim="800000"/>
                                </a:ln>
                              </wps:spPr>
                              <wps:txbx>
                                <w:txbxContent>
                                  <w:p w14:paraId="044D3996">
                                    <w:pPr>
                                      <w:rPr>
                                        <w:rFonts w:ascii="仿宋" w:hAnsi="仿宋" w:eastAsia="仿宋"/>
                                        <w:szCs w:val="21"/>
                                      </w:rPr>
                                    </w:pPr>
                                    <w:r>
                                      <w:rPr>
                                        <w:rFonts w:hint="eastAsia" w:ascii="仿宋" w:hAnsi="仿宋" w:eastAsia="仿宋"/>
                                        <w:szCs w:val="21"/>
                                      </w:rPr>
                                      <w:t>预先判断配件，配件到货后确认时间上门进行维修</w:t>
                                    </w:r>
                                  </w:p>
                                </w:txbxContent>
                              </wps:txbx>
                              <wps:bodyPr rot="0" vert="horz" wrap="square" lIns="91440" tIns="45720" rIns="91440" bIns="45720" anchor="t" anchorCtr="0" upright="1">
                                <a:noAutofit/>
                              </wps:bodyPr>
                            </wps:wsp>
                            <wps:wsp>
                              <wps:cNvPr id="44" name="矩形 56"/>
                              <wps:cNvSpPr>
                                <a:spLocks noChangeArrowheads="1"/>
                              </wps:cNvSpPr>
                              <wps:spPr bwMode="auto">
                                <a:xfrm>
                                  <a:off x="53975" y="8255"/>
                                  <a:ext cx="1133475" cy="1287145"/>
                                </a:xfrm>
                                <a:prstGeom prst="rect">
                                  <a:avLst/>
                                </a:prstGeom>
                                <a:solidFill>
                                  <a:srgbClr val="FFFFFF"/>
                                </a:solidFill>
                                <a:ln w="9525">
                                  <a:solidFill>
                                    <a:srgbClr val="000000"/>
                                  </a:solidFill>
                                  <a:miter lim="800000"/>
                                </a:ln>
                              </wps:spPr>
                              <wps:txbx>
                                <w:txbxContent>
                                  <w:p w14:paraId="17A39532">
                                    <w:pPr>
                                      <w:rPr>
                                        <w:rFonts w:ascii="仿宋" w:hAnsi="仿宋" w:eastAsia="仿宋"/>
                                      </w:rPr>
                                    </w:pPr>
                                    <w:r>
                                      <w:rPr>
                                        <w:rFonts w:hint="eastAsia" w:ascii="仿宋" w:hAnsi="仿宋" w:eastAsia="仿宋"/>
                                      </w:rPr>
                                      <w:t>使用人员故障申报至仪器负责人</w:t>
                                    </w:r>
                                  </w:p>
                                </w:txbxContent>
                              </wps:txbx>
                              <wps:bodyPr rot="0" vert="horz" wrap="square" lIns="91440" tIns="45720" rIns="91440" bIns="45720" anchor="t" anchorCtr="0" upright="1">
                                <a:noAutofit/>
                              </wps:bodyPr>
                            </wps:wsp>
                            <wps:wsp>
                              <wps:cNvPr id="45" name="Rectangle 8"/>
                              <wps:cNvSpPr>
                                <a:spLocks noChangeArrowheads="1"/>
                              </wps:cNvSpPr>
                              <wps:spPr bwMode="auto">
                                <a:xfrm>
                                  <a:off x="4333240" y="12700"/>
                                  <a:ext cx="1372235" cy="944880"/>
                                </a:xfrm>
                                <a:prstGeom prst="rect">
                                  <a:avLst/>
                                </a:prstGeom>
                                <a:solidFill>
                                  <a:srgbClr val="FFFFFF"/>
                                </a:solidFill>
                                <a:ln w="9525">
                                  <a:solidFill>
                                    <a:srgbClr val="000000"/>
                                  </a:solidFill>
                                  <a:miter lim="800000"/>
                                </a:ln>
                              </wps:spPr>
                              <wps:txbx>
                                <w:txbxContent>
                                  <w:p w14:paraId="70B9492B">
                                    <w:pPr>
                                      <w:rPr>
                                        <w:rFonts w:ascii="仿宋" w:hAnsi="仿宋" w:eastAsia="仿宋"/>
                                        <w:szCs w:val="21"/>
                                      </w:rPr>
                                    </w:pPr>
                                    <w:r>
                                      <w:rPr>
                                        <w:rFonts w:hint="eastAsia" w:ascii="仿宋" w:hAnsi="仿宋" w:eastAsia="仿宋"/>
                                      </w:rPr>
                                      <w:t>维修后填写&lt;维修报告单&gt;并签字确认</w:t>
                                    </w:r>
                                  </w:p>
                                  <w:p w14:paraId="0F38F494">
                                    <w:pPr>
                                      <w:rPr>
                                        <w:rFonts w:ascii="仿宋" w:hAnsi="仿宋" w:eastAsia="仿宋"/>
                                      </w:rPr>
                                    </w:pPr>
                                    <w:r>
                                      <w:rPr>
                                        <w:rFonts w:hint="eastAsia" w:ascii="仿宋" w:hAnsi="仿宋" w:eastAsia="仿宋"/>
                                      </w:rPr>
                                      <w:t>确认金额及维修情况</w:t>
                                    </w:r>
                                  </w:p>
                                </w:txbxContent>
                              </wps:txbx>
                              <wps:bodyPr rot="0" vert="horz" wrap="square" lIns="91440" tIns="45720" rIns="91440" bIns="45720" anchor="t" anchorCtr="0" upright="1">
                                <a:noAutofit/>
                              </wps:bodyPr>
                            </wps:wsp>
                            <wps:wsp>
                              <wps:cNvPr id="46" name="Rectangle 10"/>
                              <wps:cNvSpPr>
                                <a:spLocks noChangeArrowheads="1"/>
                              </wps:cNvSpPr>
                              <wps:spPr bwMode="auto">
                                <a:xfrm>
                                  <a:off x="4333240" y="1466215"/>
                                  <a:ext cx="1486535" cy="1246505"/>
                                </a:xfrm>
                                <a:prstGeom prst="rect">
                                  <a:avLst/>
                                </a:prstGeom>
                                <a:solidFill>
                                  <a:srgbClr val="FFFFFF"/>
                                </a:solidFill>
                                <a:ln w="9525">
                                  <a:solidFill>
                                    <a:srgbClr val="000000"/>
                                  </a:solidFill>
                                  <a:miter lim="800000"/>
                                </a:ln>
                              </wps:spPr>
                              <wps:txbx>
                                <w:txbxContent>
                                  <w:p w14:paraId="31F796B2">
                                    <w:pPr>
                                      <w:rPr>
                                        <w:rFonts w:ascii="仿宋" w:hAnsi="仿宋" w:eastAsia="仿宋"/>
                                      </w:rPr>
                                    </w:pPr>
                                    <w:r>
                                      <w:rPr>
                                        <w:rFonts w:hint="eastAsia" w:ascii="仿宋" w:hAnsi="仿宋" w:eastAsia="仿宋"/>
                                      </w:rPr>
                                      <w:t>报告单一式三份，一份留用户，一份留维修人，一份统一归档</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215.65pt;width:485.6pt;" coordsize="6167120,2738755" editas="canvas" o:gfxdata="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">
                      <o:lock v:ext="edit" aspectratio="f"/>
                      <v:shape id="_x0000_s1026" o:spid="_x0000_s1026" style="position:absolute;left:0;top:0;height:2738755;width:6167120;" fillcolor="#FF0000" filled="t" stroked="f" coordsize="21600,21600" o:gfxdata="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pW3oF9QAAAAFAQAADwAAAAAAAAABACAAAAAiAAAA&#10;ZHJzL2Rvd25yZXYueG1sUEsBAhQAFAAAAAgAh07iQKa2Eo4pBQAA3CwAAA4AAAAAAAAAAQAgAAAA&#10;IwEAAGRycy9lMm9Eb2MueG1sUEsFBgAAAAAGAAYAWQEAAL4IAAAAAA==&#10;">
                        <v:fill on="t" focussize="0,0"/>
                        <v:stroke on="f"/>
                        <v:imagedata o:title=""/>
                        <o:lock v:ext="edit" aspectratio="t"/>
                      </v:shape>
                      <v:shape id="AutoShape 4" o:spid="_x0000_s1026" o:spt="109" type="#_x0000_t109" style="position:absolute;left:1600200;top:0;height:1288415;width:866775;" fillcolor="#FFFFFF" filled="t" stroked="t" coordsize="21600,21600" o:gfxdata="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YYU1XWAAAABQEAAA8AAAAAAAAAAQAgAAAAIgAAAGRycy9kb3ducmV2&#10;LnhtbFBLAQIUABQAAAAIAIdO4kA0v294NwIAAJAEAAAOAAAAAAAAAAEAIAAAACUBAABkcnMvZTJv&#10;RG9jLnhtbFBLBQYAAAAABgAGAFkBAADOBQAAAAA=&#10;">
                        <v:fill on="t" focussize="0,0"/>
                        <v:stroke color="#000000" miterlimit="8" joinstyle="miter"/>
                        <v:imagedata o:title=""/>
                        <o:lock v:ext="edit" aspectratio="f"/>
                        <v:textbox>
                          <w:txbxContent>
                            <w:p w14:paraId="3E23A95F">
                              <w:pPr>
                                <w:rPr>
                                  <w:rFonts w:ascii="仿宋" w:hAnsi="仿宋" w:eastAsia="仿宋"/>
                                </w:rPr>
                              </w:pPr>
                              <w:r>
                                <w:rPr>
                                  <w:rFonts w:hint="eastAsia" w:ascii="仿宋" w:hAnsi="仿宋" w:eastAsia="仿宋"/>
                                </w:rPr>
                                <w:t>仪器负责人统一信息后通知维修</w:t>
                              </w:r>
                            </w:p>
                            <w:p w14:paraId="79257068">
                              <w:r>
                                <w:rPr>
                                  <w:rFonts w:hint="eastAsia"/>
                                </w:rPr>
                                <w:t xml:space="preserve"> </w:t>
                              </w:r>
                            </w:p>
                          </w:txbxContent>
                        </v:textbox>
                      </v:shape>
                      <v:shape id="AutoShape 5" o:spid="_x0000_s1026" o:spt="13" type="#_x0000_t13" style="position:absolute;left:2533650;top:395605;height:100330;width:332105;" fillcolor="#FFFFFF" filled="t" stroked="t" coordsize="21600,21600" o:gfxdata="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88GrTWAAAABQEA&#10;AA8AAAAAAAAAAQAgAAAAIgAAAGRycy9kb3ducmV2LnhtbFBLAQIUABQAAAAIAIdO4kD0pBqXVQIA&#10;ANQEAAAOAAAAAAAAAAEAIAAAACUBAABkcnMvZTJvRG9jLnhtbFBLBQYAAAAABgAGAFkBAADsBQAA&#10;AAA=&#10;" adj="16265,5400">
                        <v:fill on="t" focussize="0,0"/>
                        <v:stroke color="#000000" miterlimit="8" joinstyle="miter"/>
                        <v:imagedata o:title=""/>
                        <o:lock v:ext="edit" aspectratio="f"/>
                      </v:shape>
                      <v:shape id="AutoShape 6" o:spid="_x0000_s1026" o:spt="13" type="#_x0000_t13" style="position:absolute;left:1266825;top:396875;height:100330;width:332105;" fillcolor="#FFFFFF" filled="t" stroked="t" coordsize="21600,21600" o:gfxdata="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vPBq01gAAAAUBAAAPAAAA&#10;AAAAAAEAIAAAACIAAABkcnMvZG93bnJldi54bWxQSwECFAAUAAAACACHTuJA99MFD1ACAADUBAAA&#10;DgAAAAAAAAABACAAAAAlAQAAZHJzL2Uyb0RvYy54bWxQSwUGAAAAAAYABgBZAQAA5wUAAAAA&#10;" adj="16265,5400">
                        <v:fill on="t" focussize="0,0"/>
                        <v:stroke color="#000000" miterlimit="8" joinstyle="miter"/>
                        <v:imagedata o:title=""/>
                        <o:lock v:ext="edit" aspectratio="f"/>
                      </v:shape>
                      <v:shape id="AutoShape 7" o:spid="_x0000_s1026" o:spt="13" type="#_x0000_t13" style="position:absolute;left:3933825;top:395605;height:100965;width:332740;" fillcolor="#FFFFFF" filled="t" stroked="t" coordsize="21600,21600" o:gfxdata="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88GrTWAAAABQEAAA8AAAAA&#10;AAAAAQAgAAAAIgAAAGRycy9kb3ducmV2LnhtbFBLAQIUABQAAAAIAIdO4kAwAE0cTwIAANQEAAAO&#10;AAAAAAAAAAEAIAAAACUBAABkcnMvZTJvRG9jLnhtbFBLBQYAAAAABgAGAFkBAADmBQAAAAA=&#10;" adj="16265,5400">
                        <v:fill on="t" focussize="0,0"/>
                        <v:stroke color="#000000" miterlimit="8" joinstyle="miter"/>
                        <v:imagedata o:title=""/>
                        <o:lock v:ext="edit" aspectratio="f"/>
                      </v:shape>
                      <v:shape id="AutoShape 9" o:spid="_x0000_s1026" o:spt="67" type="#_x0000_t67" style="position:absolute;left:4923790;top:1003935;height:396240;width:295910;" fillcolor="#FFFFFF" filled="t" stroked="t" coordsize="21600,21600" o:gfxdata="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PGWwi0gAAAAUBAAAP&#10;AAAAAAAAAAEAIAAAACIAAABkcnMvZG93bnJldi54bWxQSwECFAAUAAAACACHTuJAzFt1zFcCAADW&#10;BAAADgAAAAAAAAABACAAAAAhAQAAZHJzL2Uyb0RvYy54bWxQSwUGAAAAAAYABgBZAQAA6gUAAAAA&#10;" adj="9491,5400">
                        <v:fill on="t" focussize="0,0"/>
                        <v:stroke color="#000000" miterlimit="8" joinstyle="miter"/>
                        <v:imagedata o:title=""/>
                        <o:lock v:ext="edit" aspectratio="f"/>
                        <v:textbox style="layout-flow:vertical-ideographic;"/>
                      </v:shape>
                      <v:shape id="AutoShape 11" o:spid="_x0000_s1026" o:spt="66" type="#_x0000_t66" style="position:absolute;left:3933825;top:1783080;height:99060;width:400050;" fillcolor="#FFFFFF" filled="t" stroked="t" coordsize="21600,21600" o:gfxdata="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bTA9U1QAAAAUBAAAP&#10;AAAAAAAAAAEAIAAAACIAAABkcnMvZG93bnJldi54bWxQSwECFAAUAAAACACHTuJA04YHI1QCAADU&#10;BAAADgAAAAAAAAABACAAAAAkAQAAZHJzL2Uyb0RvYy54bWxQSwUGAAAAAAYABgBZAQAA6gUAAAAA&#10;" adj="5336,5400">
                        <v:fill on="t" focussize="0,0"/>
                        <v:stroke color="#000000" miterlimit="8" joinstyle="miter"/>
                        <v:imagedata o:title=""/>
                        <o:lock v:ext="edit" aspectratio="f"/>
                      </v:shape>
                      <v:rect id="Rectangle 12" o:spid="_x0000_s1026" o:spt="1" style="position:absolute;left:2866390;top:1485265;height:1247775;width:1066800;" fillcolor="#FFFFFF" filled="t" stroked="t" coordsize="21600,21600" o:gfxdata="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sy0YHVAAAABQEAAA8AAAAAAAAAAQAgAAAAIgAAAGRycy9k&#10;b3ducmV2LnhtbFBLAQIUABQAAAAIAIdO4kBamJf0PgIAAIwEAAAOAAAAAAAAAAEAIAAAACQBAABk&#10;cnMvZTJvRG9jLnhtbFBLBQYAAAAABgAGAFkBAADUBQAAAAA=&#10;">
                        <v:fill on="t" focussize="0,0"/>
                        <v:stroke color="#000000" miterlimit="8" joinstyle="miter"/>
                        <v:imagedata o:title=""/>
                        <o:lock v:ext="edit" aspectratio="f"/>
                        <v:textbox>
                          <w:txbxContent>
                            <w:p w14:paraId="06517481">
                              <w:pPr>
                                <w:rPr>
                                  <w:rFonts w:ascii="仿宋" w:hAnsi="仿宋" w:eastAsia="仿宋"/>
                                </w:rPr>
                              </w:pPr>
                              <w:r>
                                <w:rPr>
                                  <w:rFonts w:hint="eastAsia" w:ascii="仿宋" w:hAnsi="仿宋" w:eastAsia="仿宋"/>
                                </w:rPr>
                                <w:t>如维修后需质检，则安排三方质检</w:t>
                              </w:r>
                            </w:p>
                          </w:txbxContent>
                        </v:textbox>
                      </v:rect>
                      <v:shape id="AutoShape 13" o:spid="_x0000_s1026" o:spt="66" type="#_x0000_t66" style="position:absolute;left:2466975;top:1783080;height:99060;width:400050;" fillcolor="#FFFFFF" filled="t" stroked="t" coordsize="21600,21600" o:gfxdata="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0wPVNUAAAAFAQAA&#10;DwAAAAAAAAABACAAAAAiAAAAZHJzL2Rvd25yZXYueG1sUEsBAhQAFAAAAAgAh07iQGN3lAhVAgAA&#10;1AQAAA4AAAAAAAAAAQAgAAAAJAEAAGRycy9lMm9Eb2MueG1sUEsFBgAAAAAGAAYAWQEAAOsFAAAA&#10;AA==&#10;" adj="5336,5400">
                        <v:fill on="t" focussize="0,0"/>
                        <v:stroke color="#000000" miterlimit="8" joinstyle="miter"/>
                        <v:imagedata o:title=""/>
                        <o:lock v:ext="edit" aspectratio="f"/>
                      </v:shape>
                      <v:rect id="Rectangle 14" o:spid="_x0000_s1026" o:spt="1" style="position:absolute;left:1533525;top:1485899;height:1245235;width:933450;" fillcolor="#FFFFFF" filled="t" stroked="t" coordsize="21600,21600" o:gfxdata="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sy0YHVAAAABQEAAA8AAAAAAAAAAQAgAAAAIgAAAGRycy9kb3ducmV2Lnht&#10;bFBLAQIUABQAAAAIAIdO4kCJrbVSNQIAAIsEAAAOAAAAAAAAAAEAIAAAACQBAABkcnMvZTJvRG9j&#10;LnhtbFBLBQYAAAAABgAGAFkBAADLBQAAAAA=&#10;">
                        <v:fill on="t" focussize="0,0"/>
                        <v:stroke color="#000000" miterlimit="8" joinstyle="miter"/>
                        <v:imagedata o:title=""/>
                        <o:lock v:ext="edit" aspectratio="f"/>
                        <v:textbox>
                          <w:txbxContent>
                            <w:p w14:paraId="5D14654D">
                              <w:pPr>
                                <w:rPr>
                                  <w:rFonts w:ascii="仿宋" w:hAnsi="仿宋" w:eastAsia="仿宋"/>
                                </w:rPr>
                              </w:pPr>
                              <w:r>
                                <w:rPr>
                                  <w:rFonts w:hint="eastAsia" w:ascii="仿宋" w:hAnsi="仿宋" w:eastAsia="仿宋"/>
                                </w:rPr>
                                <w:t>完成后金额统计</w:t>
                              </w:r>
                            </w:p>
                            <w:p w14:paraId="727F170F">
                              <w:pPr>
                                <w:rPr>
                                  <w:rFonts w:ascii="仿宋" w:hAnsi="仿宋" w:eastAsia="仿宋"/>
                                </w:rPr>
                              </w:pPr>
                            </w:p>
                          </w:txbxContent>
                        </v:textbox>
                      </v:rect>
                      <v:shape id="AutoShape 15" o:spid="_x0000_s1026" o:spt="66" type="#_x0000_t66" style="position:absolute;left:1132840;top:1783080;height:99060;width:400685;" fillcolor="#FFFFFF" filled="t" stroked="t" coordsize="21600,21600" o:gfxdata="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7Nf1dQAAAAFAQAADwAA&#10;AAAAAAABACAAAAAiAAAAZHJzL2Rvd25yZXYueG1sUEsBAhQAFAAAAAgAh07iQKJKWOlTAgAA1AQA&#10;AA4AAAAAAAAAAQAgAAAAIwEAAGRycy9lMm9Eb2MueG1sUEsFBgAAAAAGAAYAWQEAAOgFAAAAAA==&#10;" adj="5335,5400">
                        <v:fill on="t" focussize="0,0"/>
                        <v:stroke color="#000000" miterlimit="8" joinstyle="miter"/>
                        <v:imagedata o:title=""/>
                        <o:lock v:ext="edit" aspectratio="f"/>
                      </v:shape>
                      <v:rect id="Rectangle 16" o:spid="_x0000_s1026" o:spt="1" style="position:absolute;left:66675;top:1485265;height:1245870;width:1066165;" fillcolor="#FFFFFF" filled="t" stroked="t" coordsize="21600,21600" o:gfxdata="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sy0YHVAAAABQEAAA8AAAAAAAAAAQAgAAAAIgAAAGRycy9kb3du&#10;cmV2LnhtbFBLAQIUABQAAAAIAIdO4kDqIUB+OwIAAIoEAAAOAAAAAAAAAAEAIAAAACQBAABkcnMv&#10;ZTJvRG9jLnhtbFBLBQYAAAAABgAGAFkBAADRBQAAAAA=&#10;">
                        <v:fill on="t" focussize="0,0"/>
                        <v:stroke color="#000000" miterlimit="8" joinstyle="miter"/>
                        <v:imagedata o:title=""/>
                        <o:lock v:ext="edit" aspectratio="f"/>
                        <v:textbox>
                          <w:txbxContent>
                            <w:p w14:paraId="1169DCE9">
                              <w:pPr>
                                <w:rPr>
                                  <w:rFonts w:ascii="仿宋" w:hAnsi="仿宋" w:eastAsia="仿宋"/>
                                </w:rPr>
                              </w:pPr>
                              <w:r>
                                <w:rPr>
                                  <w:rFonts w:hint="eastAsia" w:ascii="仿宋" w:hAnsi="仿宋" w:eastAsia="仿宋"/>
                                </w:rPr>
                                <w:t>年度末列出季度维修金额表 签字确认</w:t>
                              </w:r>
                            </w:p>
                          </w:txbxContent>
                        </v:textbox>
                      </v:rect>
                      <v:shape id="AutoShape 17" o:spid="_x0000_s1026" o:spt="109" type="#_x0000_t109" style="position:absolute;left:2867025;top:0;height:1288415;width:1048385;" fillcolor="#FFFFFF" filled="t" stroked="t" coordsize="21600,21600" o:gfxdata="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YYU1XWAAAABQEAAA8AAAAAAAAAAQAgAAAAIgAAAGRycy9kb3ducmV2&#10;LnhtbFBLAQIUABQAAAAIAIdO4kBfsKu7NwIAAJIEAAAOAAAAAAAAAAEAIAAAACUBAABkcnMvZTJv&#10;RG9jLnhtbFBLBQYAAAAABgAGAFkBAADOBQAAAAA=&#10;">
                        <v:fill on="t" focussize="0,0"/>
                        <v:stroke color="#000000" miterlimit="8" joinstyle="miter"/>
                        <v:imagedata o:title=""/>
                        <o:lock v:ext="edit" aspectratio="f"/>
                        <v:textbox>
                          <w:txbxContent>
                            <w:p w14:paraId="044D3996">
                              <w:pPr>
                                <w:rPr>
                                  <w:rFonts w:ascii="仿宋" w:hAnsi="仿宋" w:eastAsia="仿宋"/>
                                  <w:szCs w:val="21"/>
                                </w:rPr>
                              </w:pPr>
                              <w:r>
                                <w:rPr>
                                  <w:rFonts w:hint="eastAsia" w:ascii="仿宋" w:hAnsi="仿宋" w:eastAsia="仿宋"/>
                                  <w:szCs w:val="21"/>
                                </w:rPr>
                                <w:t>预先判断配件，配件到货后确认时间上门进行维修</w:t>
                              </w:r>
                            </w:p>
                          </w:txbxContent>
                        </v:textbox>
                      </v:shape>
                      <v:rect id="矩形 56" o:spid="_x0000_s1026" o:spt="1" style="position:absolute;left:53975;top:8255;height:1287145;width:1133475;" fillcolor="#FFFFFF" filled="t" stroked="t" coordsize="21600,21600" o:gfxdata="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sy0YHVAAAABQEAAA8AAAAAAAAAAQAgAAAAIgAA&#10;AGRycy9kb3ducmV2LnhtbFBLAQIUABQAAAAIAIdO4kDs1UMZRAIAAIQEAAAOAAAAAAAAAAEAIAAA&#10;ACQBAABkcnMvZTJvRG9jLnhtbFBLBQYAAAAABgAGAFkBAADaBQAAAAA=&#10;">
                        <v:fill on="t" focussize="0,0"/>
                        <v:stroke color="#000000" miterlimit="8" joinstyle="miter"/>
                        <v:imagedata o:title=""/>
                        <o:lock v:ext="edit" aspectratio="f"/>
                        <v:textbox>
                          <w:txbxContent>
                            <w:p w14:paraId="17A39532">
                              <w:pPr>
                                <w:rPr>
                                  <w:rFonts w:ascii="仿宋" w:hAnsi="仿宋" w:eastAsia="仿宋"/>
                                </w:rPr>
                              </w:pPr>
                              <w:r>
                                <w:rPr>
                                  <w:rFonts w:hint="eastAsia" w:ascii="仿宋" w:hAnsi="仿宋" w:eastAsia="仿宋"/>
                                </w:rPr>
                                <w:t>使用人员故障申报至仪器负责人</w:t>
                              </w:r>
                            </w:p>
                          </w:txbxContent>
                        </v:textbox>
                      </v:rect>
                      <v:rect id="Rectangle 8" o:spid="_x0000_s1026" o:spt="1" style="position:absolute;left:4333240;top:12700;height:944880;width:1372235;" fillcolor="#FFFFFF" filled="t" stroked="t" coordsize="21600,21600" o:gfxdata="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sy0YHVAAAABQEAAA8AAAAAAAAAAQAgAAAAIgAAAGRycy9kb3ducmV2&#10;LnhtbFBLAQIUABQAAAAIAIdO4kC+dFlkOAIAAIgEAAAOAAAAAAAAAAEAIAAAACQBAABkcnMvZTJv&#10;RG9jLnhtbFBLBQYAAAAABgAGAFkBAADOBQAAAAA=&#10;">
                        <v:fill on="t" focussize="0,0"/>
                        <v:stroke color="#000000" miterlimit="8" joinstyle="miter"/>
                        <v:imagedata o:title=""/>
                        <o:lock v:ext="edit" aspectratio="f"/>
                        <v:textbox>
                          <w:txbxContent>
                            <w:p w14:paraId="70B9492B">
                              <w:pPr>
                                <w:rPr>
                                  <w:rFonts w:ascii="仿宋" w:hAnsi="仿宋" w:eastAsia="仿宋"/>
                                  <w:szCs w:val="21"/>
                                </w:rPr>
                              </w:pPr>
                              <w:r>
                                <w:rPr>
                                  <w:rFonts w:hint="eastAsia" w:ascii="仿宋" w:hAnsi="仿宋" w:eastAsia="仿宋"/>
                                </w:rPr>
                                <w:t>维修后填写&lt;维修报告单&gt;并签字确认</w:t>
                              </w:r>
                            </w:p>
                            <w:p w14:paraId="0F38F494">
                              <w:pPr>
                                <w:rPr>
                                  <w:rFonts w:ascii="仿宋" w:hAnsi="仿宋" w:eastAsia="仿宋"/>
                                </w:rPr>
                              </w:pPr>
                              <w:r>
                                <w:rPr>
                                  <w:rFonts w:hint="eastAsia" w:ascii="仿宋" w:hAnsi="仿宋" w:eastAsia="仿宋"/>
                                </w:rPr>
                                <w:t>确认金额及维修情况</w:t>
                              </w:r>
                            </w:p>
                          </w:txbxContent>
                        </v:textbox>
                      </v:rect>
                      <v:rect id="Rectangle 10" o:spid="_x0000_s1026" o:spt="1" style="position:absolute;left:4333240;top:1466215;height:1246505;width:1486535;" fillcolor="#FFFFFF" filled="t" stroked="t" coordsize="21600,21600" o:gfxdata="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zLRgdUAAAAFAQAADwAAAAAAAAABACAAAAAiAAAAZHJzL2Rv&#10;d25yZXYueG1sUEsBAhQAFAAAAAgAh07iQMP1u7o9AgAAjAQAAA4AAAAAAAAAAQAgAAAAJAEAAGRy&#10;cy9lMm9Eb2MueG1sUEsFBgAAAAAGAAYAWQEAANMFAAAAAA==&#10;">
                        <v:fill on="t" focussize="0,0"/>
                        <v:stroke color="#000000" miterlimit="8" joinstyle="miter"/>
                        <v:imagedata o:title=""/>
                        <o:lock v:ext="edit" aspectratio="f"/>
                        <v:textbox>
                          <w:txbxContent>
                            <w:p w14:paraId="31F796B2">
                              <w:pPr>
                                <w:rPr>
                                  <w:rFonts w:ascii="仿宋" w:hAnsi="仿宋" w:eastAsia="仿宋"/>
                                </w:rPr>
                              </w:pPr>
                              <w:r>
                                <w:rPr>
                                  <w:rFonts w:hint="eastAsia" w:ascii="仿宋" w:hAnsi="仿宋" w:eastAsia="仿宋"/>
                                </w:rPr>
                                <w:t>报告单一式三份，一份留用户，一份留维修人，一份统一归档</w:t>
                              </w:r>
                            </w:p>
                          </w:txbxContent>
                        </v:textbox>
                      </v:rect>
                      <w10:wrap type="none"/>
                      <w10:anchorlock/>
                    </v:group>
                  </w:pict>
                </mc:Fallback>
              </mc:AlternateContent>
            </w:r>
          </w:p>
          <w:p w14:paraId="416FA6B8">
            <w:pPr>
              <w:pStyle w:val="30"/>
              <w:numPr>
                <w:ilvl w:val="0"/>
                <w:numId w:val="8"/>
              </w:numPr>
              <w:rPr>
                <w:rStyle w:val="36"/>
                <w:rFonts w:ascii="宋体" w:hAnsi="宋体" w:cs="宋体"/>
                <w:color w:val="auto"/>
                <w:kern w:val="0"/>
                <w:sz w:val="22"/>
                <w:szCs w:val="22"/>
                <w:highlight w:val="none"/>
              </w:rPr>
            </w:pPr>
            <w:r>
              <w:rPr>
                <w:rStyle w:val="36"/>
                <w:color w:val="auto"/>
                <w:sz w:val="22"/>
                <w:highlight w:val="none"/>
              </w:rPr>
              <w:t>图纸及设备信息复算服务</w:t>
            </w:r>
          </w:p>
          <w:p w14:paraId="735BB07D">
            <w:pPr>
              <w:pStyle w:val="30"/>
              <w:rPr>
                <w:rFonts w:ascii="宋体" w:hAnsi="宋体" w:cs="宋体"/>
                <w:b/>
                <w:bCs/>
                <w:color w:val="auto"/>
                <w:sz w:val="22"/>
                <w:szCs w:val="22"/>
                <w:highlight w:val="none"/>
              </w:rPr>
            </w:pPr>
            <w:r>
              <w:rPr>
                <w:rStyle w:val="36"/>
                <w:color w:val="auto"/>
                <w:sz w:val="22"/>
                <w:highlight w:val="none"/>
              </w:rPr>
              <w:t>依据现有竣工图纸和仪器清单，派出设计团队复核实验室现状并绘制仪器布置图，内容包含品牌、型号、水电气接口、负责人等参数，图纸可根据设备更换动态更新。</w:t>
            </w:r>
          </w:p>
          <w:p w14:paraId="1F8EAED6">
            <w:pPr>
              <w:widowControl/>
              <w:jc w:val="left"/>
              <w:rPr>
                <w:rFonts w:ascii="宋体" w:hAnsi="宋体" w:cs="宋体"/>
                <w:color w:val="auto"/>
                <w:kern w:val="0"/>
                <w:sz w:val="22"/>
                <w:szCs w:val="22"/>
                <w:highlight w:val="none"/>
              </w:rPr>
            </w:pPr>
          </w:p>
          <w:p w14:paraId="3FD6124C">
            <w:pPr>
              <w:pStyle w:val="43"/>
              <w:ind w:firstLine="440"/>
              <w:rPr>
                <w:rFonts w:ascii="宋体" w:hAnsi="宋体" w:cs="宋体"/>
                <w:color w:val="auto"/>
                <w:kern w:val="0"/>
                <w:sz w:val="22"/>
                <w:szCs w:val="22"/>
                <w:highlight w:val="none"/>
              </w:rPr>
            </w:pPr>
          </w:p>
          <w:p w14:paraId="1288BD30">
            <w:pPr>
              <w:pStyle w:val="43"/>
              <w:ind w:firstLine="440"/>
              <w:rPr>
                <w:rFonts w:ascii="宋体" w:hAnsi="宋体" w:cs="宋体"/>
                <w:color w:val="auto"/>
                <w:kern w:val="0"/>
                <w:sz w:val="22"/>
                <w:szCs w:val="22"/>
                <w:highlight w:val="none"/>
              </w:rPr>
            </w:pPr>
          </w:p>
          <w:p w14:paraId="22CE8A2B">
            <w:pPr>
              <w:pStyle w:val="43"/>
              <w:ind w:firstLine="440"/>
              <w:rPr>
                <w:rFonts w:ascii="宋体" w:hAnsi="宋体" w:cs="宋体"/>
                <w:color w:val="auto"/>
                <w:kern w:val="0"/>
                <w:sz w:val="22"/>
                <w:szCs w:val="22"/>
                <w:highlight w:val="none"/>
              </w:rPr>
            </w:pPr>
          </w:p>
          <w:p w14:paraId="68976225">
            <w:pPr>
              <w:pStyle w:val="30"/>
              <w:numPr>
                <w:ilvl w:val="0"/>
                <w:numId w:val="8"/>
              </w:numPr>
              <w:rPr>
                <w:rStyle w:val="36"/>
                <w:color w:val="auto"/>
                <w:sz w:val="22"/>
                <w:highlight w:val="none"/>
              </w:rPr>
            </w:pPr>
            <w:r>
              <w:rPr>
                <w:rStyle w:val="36"/>
                <w:rFonts w:hint="eastAsia"/>
                <w:color w:val="auto"/>
                <w:sz w:val="22"/>
                <w:highlight w:val="none"/>
              </w:rPr>
              <w:t>维保服务内容</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107"/>
              <w:gridCol w:w="4091"/>
              <w:gridCol w:w="1107"/>
              <w:gridCol w:w="1028"/>
            </w:tblGrid>
            <w:tr w14:paraId="389D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Pr>
                <w:p w14:paraId="129D0D12">
                  <w:pPr>
                    <w:rPr>
                      <w:rFonts w:ascii="宋体" w:hAnsi="宋体" w:cs="宋体"/>
                      <w:color w:val="auto"/>
                      <w:kern w:val="0"/>
                      <w:sz w:val="22"/>
                      <w:szCs w:val="22"/>
                      <w:highlight w:val="none"/>
                    </w:rPr>
                  </w:pPr>
                  <w:r>
                    <w:rPr>
                      <w:rFonts w:hint="eastAsia" w:ascii="宋体" w:hAnsi="宋体" w:cs="宋体"/>
                      <w:color w:val="auto"/>
                      <w:kern w:val="0"/>
                      <w:sz w:val="22"/>
                      <w:highlight w:val="none"/>
                    </w:rPr>
                    <w:t>序号</w:t>
                  </w:r>
                </w:p>
              </w:tc>
              <w:tc>
                <w:tcPr>
                  <w:tcW w:w="1107" w:type="dxa"/>
                </w:tcPr>
                <w:p w14:paraId="2E0B2709">
                  <w:pPr>
                    <w:rPr>
                      <w:rFonts w:ascii="宋体" w:hAnsi="宋体" w:cs="宋体"/>
                      <w:color w:val="auto"/>
                      <w:kern w:val="0"/>
                      <w:sz w:val="22"/>
                      <w:szCs w:val="22"/>
                      <w:highlight w:val="none"/>
                    </w:rPr>
                  </w:pPr>
                  <w:r>
                    <w:rPr>
                      <w:rFonts w:hint="eastAsia" w:ascii="宋体" w:hAnsi="宋体" w:cs="宋体"/>
                      <w:color w:val="auto"/>
                      <w:kern w:val="0"/>
                      <w:sz w:val="22"/>
                      <w:highlight w:val="none"/>
                    </w:rPr>
                    <w:t>项目类别</w:t>
                  </w:r>
                </w:p>
              </w:tc>
              <w:tc>
                <w:tcPr>
                  <w:tcW w:w="4091" w:type="dxa"/>
                </w:tcPr>
                <w:p w14:paraId="7CE54049">
                  <w:pPr>
                    <w:rPr>
                      <w:rFonts w:ascii="宋体" w:hAnsi="宋体" w:cs="宋体"/>
                      <w:color w:val="auto"/>
                      <w:kern w:val="0"/>
                      <w:sz w:val="22"/>
                      <w:szCs w:val="22"/>
                      <w:highlight w:val="none"/>
                    </w:rPr>
                  </w:pPr>
                  <w:r>
                    <w:rPr>
                      <w:rFonts w:hint="eastAsia" w:ascii="宋体" w:hAnsi="宋体" w:cs="宋体"/>
                      <w:color w:val="auto"/>
                      <w:kern w:val="0"/>
                      <w:sz w:val="22"/>
                      <w:highlight w:val="none"/>
                    </w:rPr>
                    <w:t>内容说明</w:t>
                  </w:r>
                </w:p>
              </w:tc>
              <w:tc>
                <w:tcPr>
                  <w:tcW w:w="1107" w:type="dxa"/>
                </w:tcPr>
                <w:p w14:paraId="01E01D52">
                  <w:pPr>
                    <w:rPr>
                      <w:rFonts w:ascii="宋体" w:hAnsi="宋体" w:cs="宋体"/>
                      <w:color w:val="auto"/>
                      <w:kern w:val="0"/>
                      <w:sz w:val="22"/>
                      <w:szCs w:val="22"/>
                      <w:highlight w:val="none"/>
                    </w:rPr>
                  </w:pPr>
                  <w:r>
                    <w:rPr>
                      <w:rFonts w:hint="eastAsia" w:ascii="宋体" w:hAnsi="宋体" w:cs="宋体"/>
                      <w:color w:val="auto"/>
                      <w:kern w:val="0"/>
                      <w:sz w:val="22"/>
                      <w:highlight w:val="none"/>
                    </w:rPr>
                    <w:t>单位</w:t>
                  </w:r>
                </w:p>
              </w:tc>
              <w:tc>
                <w:tcPr>
                  <w:tcW w:w="1028" w:type="dxa"/>
                </w:tcPr>
                <w:p w14:paraId="0DD17C61">
                  <w:pPr>
                    <w:rPr>
                      <w:rFonts w:ascii="宋体" w:hAnsi="宋体" w:cs="宋体"/>
                      <w:color w:val="auto"/>
                      <w:kern w:val="0"/>
                      <w:sz w:val="22"/>
                      <w:szCs w:val="22"/>
                      <w:highlight w:val="none"/>
                    </w:rPr>
                  </w:pPr>
                  <w:r>
                    <w:rPr>
                      <w:rFonts w:hint="eastAsia" w:ascii="宋体" w:hAnsi="宋体" w:cs="宋体"/>
                      <w:color w:val="auto"/>
                      <w:kern w:val="0"/>
                      <w:sz w:val="22"/>
                      <w:highlight w:val="none"/>
                    </w:rPr>
                    <w:t>数量</w:t>
                  </w:r>
                </w:p>
              </w:tc>
            </w:tr>
            <w:tr w14:paraId="25A9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Pr>
                <w:p w14:paraId="03E4A9B4">
                  <w:pPr>
                    <w:jc w:val="center"/>
                    <w:rPr>
                      <w:rFonts w:ascii="宋体" w:hAnsi="宋体" w:cs="宋体"/>
                      <w:color w:val="auto"/>
                      <w:kern w:val="0"/>
                      <w:sz w:val="22"/>
                      <w:szCs w:val="22"/>
                      <w:highlight w:val="none"/>
                    </w:rPr>
                  </w:pPr>
                  <w:r>
                    <w:rPr>
                      <w:rFonts w:ascii="宋体" w:hAnsi="宋体" w:cs="宋体"/>
                      <w:color w:val="auto"/>
                      <w:kern w:val="0"/>
                      <w:sz w:val="22"/>
                      <w:highlight w:val="none"/>
                    </w:rPr>
                    <w:t>1</w:t>
                  </w:r>
                </w:p>
              </w:tc>
              <w:tc>
                <w:tcPr>
                  <w:tcW w:w="1107" w:type="dxa"/>
                  <w:vMerge w:val="restart"/>
                  <w:vAlign w:val="center"/>
                </w:tcPr>
                <w:p w14:paraId="764F187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驻场人员相关内容</w:t>
                  </w:r>
                </w:p>
              </w:tc>
              <w:tc>
                <w:tcPr>
                  <w:tcW w:w="4091" w:type="dxa"/>
                </w:tcPr>
                <w:p w14:paraId="536A37F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每日</w:t>
                  </w:r>
                  <w:r>
                    <w:rPr>
                      <w:rFonts w:ascii="宋体" w:hAnsi="宋体" w:cs="宋体"/>
                      <w:color w:val="auto"/>
                      <w:kern w:val="0"/>
                      <w:sz w:val="22"/>
                      <w:highlight w:val="none"/>
                    </w:rPr>
                    <w:t>/</w:t>
                  </w:r>
                  <w:r>
                    <w:rPr>
                      <w:rFonts w:hint="eastAsia" w:ascii="宋体" w:hAnsi="宋体" w:cs="宋体"/>
                      <w:color w:val="auto"/>
                      <w:kern w:val="0"/>
                      <w:sz w:val="22"/>
                      <w:highlight w:val="none"/>
                    </w:rPr>
                    <w:t>周</w:t>
                  </w:r>
                  <w:r>
                    <w:rPr>
                      <w:rFonts w:ascii="宋体" w:hAnsi="宋体" w:cs="宋体"/>
                      <w:color w:val="auto"/>
                      <w:kern w:val="0"/>
                      <w:sz w:val="22"/>
                      <w:highlight w:val="none"/>
                    </w:rPr>
                    <w:t>/</w:t>
                  </w:r>
                  <w:r>
                    <w:rPr>
                      <w:rFonts w:hint="eastAsia" w:ascii="宋体" w:hAnsi="宋体" w:cs="宋体"/>
                      <w:color w:val="auto"/>
                      <w:kern w:val="0"/>
                      <w:sz w:val="22"/>
                      <w:highlight w:val="none"/>
                    </w:rPr>
                    <w:t>月</w:t>
                  </w:r>
                  <w:r>
                    <w:rPr>
                      <w:rFonts w:ascii="宋体" w:hAnsi="宋体" w:cs="宋体"/>
                      <w:color w:val="auto"/>
                      <w:kern w:val="0"/>
                      <w:sz w:val="22"/>
                      <w:highlight w:val="none"/>
                    </w:rPr>
                    <w:t>/</w:t>
                  </w:r>
                  <w:r>
                    <w:rPr>
                      <w:rFonts w:hint="eastAsia" w:ascii="宋体" w:hAnsi="宋体" w:cs="宋体"/>
                      <w:color w:val="auto"/>
                      <w:kern w:val="0"/>
                      <w:sz w:val="22"/>
                      <w:highlight w:val="none"/>
                    </w:rPr>
                    <w:t>年巡检及记录，第一时间响应实验室报警及故障处理</w:t>
                  </w:r>
                </w:p>
              </w:tc>
              <w:tc>
                <w:tcPr>
                  <w:tcW w:w="1107" w:type="dxa"/>
                </w:tcPr>
                <w:p w14:paraId="2CF0E0B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项</w:t>
                  </w:r>
                </w:p>
              </w:tc>
              <w:tc>
                <w:tcPr>
                  <w:tcW w:w="1028" w:type="dxa"/>
                </w:tcPr>
                <w:p w14:paraId="2FE95686">
                  <w:pPr>
                    <w:jc w:val="center"/>
                    <w:rPr>
                      <w:rFonts w:ascii="宋体" w:hAnsi="宋体" w:cs="宋体"/>
                      <w:color w:val="auto"/>
                      <w:kern w:val="0"/>
                      <w:sz w:val="22"/>
                      <w:szCs w:val="22"/>
                      <w:highlight w:val="none"/>
                    </w:rPr>
                  </w:pPr>
                  <w:r>
                    <w:rPr>
                      <w:rFonts w:ascii="宋体" w:hAnsi="宋体" w:cs="宋体"/>
                      <w:color w:val="auto"/>
                      <w:kern w:val="0"/>
                      <w:sz w:val="22"/>
                      <w:highlight w:val="none"/>
                    </w:rPr>
                    <w:t>1</w:t>
                  </w:r>
                </w:p>
              </w:tc>
            </w:tr>
            <w:tr w14:paraId="6937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Pr>
                <w:p w14:paraId="625227B3">
                  <w:pPr>
                    <w:jc w:val="center"/>
                    <w:rPr>
                      <w:rFonts w:ascii="宋体" w:hAnsi="宋体" w:cs="宋体"/>
                      <w:color w:val="auto"/>
                      <w:kern w:val="0"/>
                      <w:sz w:val="22"/>
                      <w:szCs w:val="22"/>
                      <w:highlight w:val="none"/>
                    </w:rPr>
                  </w:pPr>
                  <w:r>
                    <w:rPr>
                      <w:rFonts w:ascii="宋体" w:hAnsi="宋体" w:cs="宋体"/>
                      <w:color w:val="auto"/>
                      <w:kern w:val="0"/>
                      <w:sz w:val="22"/>
                      <w:highlight w:val="none"/>
                    </w:rPr>
                    <w:t>2</w:t>
                  </w:r>
                </w:p>
              </w:tc>
              <w:tc>
                <w:tcPr>
                  <w:tcW w:w="1107" w:type="dxa"/>
                  <w:vMerge w:val="continue"/>
                </w:tcPr>
                <w:p w14:paraId="04C9E342">
                  <w:pPr>
                    <w:jc w:val="center"/>
                    <w:rPr>
                      <w:rFonts w:ascii="宋体" w:hAnsi="宋体" w:cs="宋体"/>
                      <w:color w:val="auto"/>
                      <w:kern w:val="0"/>
                      <w:sz w:val="22"/>
                      <w:szCs w:val="22"/>
                      <w:highlight w:val="none"/>
                    </w:rPr>
                  </w:pPr>
                </w:p>
              </w:tc>
              <w:tc>
                <w:tcPr>
                  <w:tcW w:w="4091" w:type="dxa"/>
                </w:tcPr>
                <w:p w14:paraId="50201DA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派设计团队复核竣工图纸，修正并更新设备布置图、水电气暖通接口等信息</w:t>
                  </w:r>
                </w:p>
              </w:tc>
              <w:tc>
                <w:tcPr>
                  <w:tcW w:w="1107" w:type="dxa"/>
                </w:tcPr>
                <w:p w14:paraId="7B1ECF8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项</w:t>
                  </w:r>
                </w:p>
              </w:tc>
              <w:tc>
                <w:tcPr>
                  <w:tcW w:w="1028" w:type="dxa"/>
                </w:tcPr>
                <w:p w14:paraId="680D81C1">
                  <w:pPr>
                    <w:jc w:val="center"/>
                    <w:rPr>
                      <w:rFonts w:ascii="宋体" w:hAnsi="宋体" w:cs="宋体"/>
                      <w:color w:val="auto"/>
                      <w:kern w:val="0"/>
                      <w:sz w:val="22"/>
                      <w:szCs w:val="22"/>
                      <w:highlight w:val="none"/>
                    </w:rPr>
                  </w:pPr>
                  <w:r>
                    <w:rPr>
                      <w:rFonts w:ascii="宋体" w:hAnsi="宋体" w:cs="宋体"/>
                      <w:color w:val="auto"/>
                      <w:kern w:val="0"/>
                      <w:sz w:val="22"/>
                      <w:highlight w:val="none"/>
                    </w:rPr>
                    <w:t>1</w:t>
                  </w:r>
                </w:p>
              </w:tc>
            </w:tr>
            <w:tr w14:paraId="0FA1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Pr>
                <w:p w14:paraId="1A5B8F4F">
                  <w:pPr>
                    <w:jc w:val="center"/>
                    <w:rPr>
                      <w:rFonts w:ascii="宋体" w:hAnsi="宋体" w:cs="宋体"/>
                      <w:color w:val="auto"/>
                      <w:kern w:val="0"/>
                      <w:sz w:val="22"/>
                      <w:highlight w:val="none"/>
                    </w:rPr>
                  </w:pPr>
                  <w:r>
                    <w:rPr>
                      <w:rFonts w:ascii="宋体" w:hAnsi="宋体" w:cs="宋体"/>
                      <w:color w:val="auto"/>
                      <w:kern w:val="0"/>
                      <w:sz w:val="22"/>
                      <w:highlight w:val="none"/>
                    </w:rPr>
                    <w:t>3</w:t>
                  </w:r>
                </w:p>
              </w:tc>
              <w:tc>
                <w:tcPr>
                  <w:tcW w:w="1107" w:type="dxa"/>
                  <w:vMerge w:val="continue"/>
                </w:tcPr>
                <w:p w14:paraId="45959467">
                  <w:pPr>
                    <w:jc w:val="center"/>
                    <w:rPr>
                      <w:rFonts w:ascii="宋体" w:hAnsi="宋体" w:cs="宋体"/>
                      <w:color w:val="auto"/>
                      <w:kern w:val="0"/>
                      <w:sz w:val="22"/>
                      <w:szCs w:val="22"/>
                      <w:highlight w:val="none"/>
                    </w:rPr>
                  </w:pPr>
                </w:p>
              </w:tc>
              <w:tc>
                <w:tcPr>
                  <w:tcW w:w="4091" w:type="dxa"/>
                </w:tcPr>
                <w:p w14:paraId="166B10EE">
                  <w:pPr>
                    <w:jc w:val="center"/>
                    <w:rPr>
                      <w:rFonts w:ascii="宋体" w:hAnsi="宋体" w:cs="宋体"/>
                      <w:color w:val="auto"/>
                      <w:kern w:val="0"/>
                      <w:sz w:val="22"/>
                      <w:highlight w:val="none"/>
                    </w:rPr>
                  </w:pPr>
                  <w:r>
                    <w:rPr>
                      <w:rFonts w:hint="eastAsia" w:ascii="宋体" w:hAnsi="宋体" w:cs="宋体"/>
                      <w:color w:val="auto"/>
                      <w:kern w:val="0"/>
                      <w:sz w:val="22"/>
                      <w:highlight w:val="none"/>
                    </w:rPr>
                    <w:t>每月完成一次所有通风系统终端的风量检测。完成集中供气系统一级减压及二级减压部分气体漏点检测。完成所有风机设备的保养。完成智能控制系统参数设置的检查。完成环保设施运行情况检查，环保台账记录情况，环境风险和隐患排查，环保监测设备及计划执行情况</w:t>
                  </w:r>
                </w:p>
              </w:tc>
              <w:tc>
                <w:tcPr>
                  <w:tcW w:w="1107" w:type="dxa"/>
                </w:tcPr>
                <w:p w14:paraId="24754850">
                  <w:pPr>
                    <w:jc w:val="center"/>
                    <w:rPr>
                      <w:rFonts w:ascii="宋体" w:hAnsi="宋体" w:cs="宋体"/>
                      <w:color w:val="auto"/>
                      <w:kern w:val="0"/>
                      <w:sz w:val="22"/>
                      <w:highlight w:val="none"/>
                    </w:rPr>
                  </w:pPr>
                </w:p>
              </w:tc>
              <w:tc>
                <w:tcPr>
                  <w:tcW w:w="1028" w:type="dxa"/>
                </w:tcPr>
                <w:p w14:paraId="4263F456">
                  <w:pPr>
                    <w:jc w:val="center"/>
                    <w:rPr>
                      <w:rFonts w:ascii="宋体" w:hAnsi="宋体" w:cs="宋体"/>
                      <w:color w:val="auto"/>
                      <w:kern w:val="0"/>
                      <w:sz w:val="22"/>
                      <w:highlight w:val="none"/>
                    </w:rPr>
                  </w:pPr>
                </w:p>
              </w:tc>
            </w:tr>
            <w:tr w14:paraId="42AB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Pr>
                <w:p w14:paraId="3E18E8A9">
                  <w:pPr>
                    <w:jc w:val="center"/>
                    <w:rPr>
                      <w:rFonts w:ascii="宋体" w:hAnsi="宋体" w:cs="宋体"/>
                      <w:color w:val="auto"/>
                      <w:kern w:val="0"/>
                      <w:sz w:val="22"/>
                      <w:szCs w:val="22"/>
                      <w:highlight w:val="none"/>
                    </w:rPr>
                  </w:pPr>
                  <w:r>
                    <w:rPr>
                      <w:rFonts w:ascii="宋体" w:hAnsi="宋体" w:cs="宋体"/>
                      <w:color w:val="auto"/>
                      <w:kern w:val="0"/>
                      <w:sz w:val="22"/>
                      <w:highlight w:val="none"/>
                    </w:rPr>
                    <w:t>4</w:t>
                  </w:r>
                </w:p>
              </w:tc>
              <w:tc>
                <w:tcPr>
                  <w:tcW w:w="1107" w:type="dxa"/>
                  <w:vMerge w:val="continue"/>
                </w:tcPr>
                <w:p w14:paraId="5CA28185">
                  <w:pPr>
                    <w:jc w:val="center"/>
                    <w:rPr>
                      <w:rFonts w:ascii="宋体" w:hAnsi="宋体" w:cs="宋体"/>
                      <w:color w:val="auto"/>
                      <w:kern w:val="0"/>
                      <w:sz w:val="22"/>
                      <w:szCs w:val="22"/>
                      <w:highlight w:val="none"/>
                    </w:rPr>
                  </w:pPr>
                </w:p>
              </w:tc>
              <w:tc>
                <w:tcPr>
                  <w:tcW w:w="4091" w:type="dxa"/>
                </w:tcPr>
                <w:p w14:paraId="614FBB4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每季度派暖通、环保、智能、气体工程师检查驻场记录、提供培训及提交服务报告</w:t>
                  </w:r>
                </w:p>
              </w:tc>
              <w:tc>
                <w:tcPr>
                  <w:tcW w:w="1107" w:type="dxa"/>
                </w:tcPr>
                <w:p w14:paraId="4ACFBB0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项</w:t>
                  </w:r>
                </w:p>
              </w:tc>
              <w:tc>
                <w:tcPr>
                  <w:tcW w:w="1028" w:type="dxa"/>
                </w:tcPr>
                <w:p w14:paraId="1E47C707">
                  <w:pPr>
                    <w:jc w:val="center"/>
                    <w:rPr>
                      <w:rFonts w:ascii="宋体" w:hAnsi="宋体" w:cs="宋体"/>
                      <w:color w:val="auto"/>
                      <w:kern w:val="0"/>
                      <w:sz w:val="22"/>
                      <w:szCs w:val="22"/>
                      <w:highlight w:val="none"/>
                    </w:rPr>
                  </w:pPr>
                  <w:r>
                    <w:rPr>
                      <w:rFonts w:ascii="宋体" w:hAnsi="宋体" w:cs="宋体"/>
                      <w:color w:val="auto"/>
                      <w:kern w:val="0"/>
                      <w:sz w:val="22"/>
                      <w:highlight w:val="none"/>
                    </w:rPr>
                    <w:t>1</w:t>
                  </w:r>
                </w:p>
              </w:tc>
            </w:tr>
            <w:tr w14:paraId="2D12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Pr>
                <w:p w14:paraId="3A256A35">
                  <w:pPr>
                    <w:jc w:val="center"/>
                    <w:rPr>
                      <w:rFonts w:ascii="宋体" w:hAnsi="宋体" w:cs="宋体"/>
                      <w:color w:val="auto"/>
                      <w:kern w:val="0"/>
                      <w:sz w:val="22"/>
                      <w:szCs w:val="22"/>
                      <w:highlight w:val="none"/>
                    </w:rPr>
                  </w:pPr>
                  <w:r>
                    <w:rPr>
                      <w:rFonts w:ascii="宋体" w:hAnsi="宋体" w:cs="宋体"/>
                      <w:color w:val="auto"/>
                      <w:kern w:val="0"/>
                      <w:sz w:val="22"/>
                      <w:highlight w:val="none"/>
                    </w:rPr>
                    <w:t>5</w:t>
                  </w:r>
                </w:p>
              </w:tc>
              <w:tc>
                <w:tcPr>
                  <w:tcW w:w="1107" w:type="dxa"/>
                  <w:vMerge w:val="continue"/>
                </w:tcPr>
                <w:p w14:paraId="48685470">
                  <w:pPr>
                    <w:jc w:val="center"/>
                    <w:rPr>
                      <w:rFonts w:ascii="宋体" w:hAnsi="宋体" w:cs="宋体"/>
                      <w:color w:val="auto"/>
                      <w:kern w:val="0"/>
                      <w:sz w:val="22"/>
                      <w:szCs w:val="22"/>
                      <w:highlight w:val="none"/>
                    </w:rPr>
                  </w:pPr>
                </w:p>
              </w:tc>
              <w:tc>
                <w:tcPr>
                  <w:tcW w:w="4091" w:type="dxa"/>
                </w:tcPr>
                <w:p w14:paraId="657C16B7">
                  <w:pPr>
                    <w:jc w:val="center"/>
                    <w:rPr>
                      <w:rFonts w:ascii="宋体" w:hAnsi="宋体" w:cs="宋体"/>
                      <w:color w:val="auto"/>
                      <w:kern w:val="0"/>
                      <w:sz w:val="22"/>
                      <w:szCs w:val="22"/>
                      <w:highlight w:val="none"/>
                    </w:rPr>
                  </w:pP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考核</w:t>
                  </w:r>
                  <w:r>
                    <w:rPr>
                      <w:rFonts w:hint="eastAsia" w:ascii="宋体" w:hAnsi="宋体" w:cs="宋体"/>
                      <w:color w:val="auto"/>
                      <w:kern w:val="0"/>
                      <w:sz w:val="22"/>
                      <w:highlight w:val="none"/>
                    </w:rPr>
                    <w:t>机制与人员调整，现场耗材补充保障机制</w:t>
                  </w:r>
                </w:p>
              </w:tc>
              <w:tc>
                <w:tcPr>
                  <w:tcW w:w="1107" w:type="dxa"/>
                </w:tcPr>
                <w:p w14:paraId="6480560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项</w:t>
                  </w:r>
                </w:p>
              </w:tc>
              <w:tc>
                <w:tcPr>
                  <w:tcW w:w="1028" w:type="dxa"/>
                </w:tcPr>
                <w:p w14:paraId="2A7030F1">
                  <w:pPr>
                    <w:jc w:val="center"/>
                    <w:rPr>
                      <w:rFonts w:ascii="宋体" w:hAnsi="宋体" w:cs="宋体"/>
                      <w:color w:val="auto"/>
                      <w:kern w:val="0"/>
                      <w:sz w:val="22"/>
                      <w:szCs w:val="22"/>
                      <w:highlight w:val="none"/>
                    </w:rPr>
                  </w:pPr>
                  <w:r>
                    <w:rPr>
                      <w:rFonts w:ascii="宋体" w:hAnsi="宋体" w:cs="宋体"/>
                      <w:color w:val="auto"/>
                      <w:kern w:val="0"/>
                      <w:sz w:val="22"/>
                      <w:highlight w:val="none"/>
                    </w:rPr>
                    <w:t>1</w:t>
                  </w:r>
                </w:p>
              </w:tc>
            </w:tr>
            <w:tr w14:paraId="0080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Pr>
                <w:p w14:paraId="33FE910E">
                  <w:pPr>
                    <w:jc w:val="center"/>
                    <w:rPr>
                      <w:rFonts w:ascii="宋体" w:hAnsi="宋体" w:cs="宋体"/>
                      <w:color w:val="auto"/>
                      <w:kern w:val="0"/>
                      <w:sz w:val="22"/>
                      <w:szCs w:val="22"/>
                      <w:highlight w:val="none"/>
                    </w:rPr>
                  </w:pPr>
                  <w:r>
                    <w:rPr>
                      <w:rFonts w:ascii="宋体" w:hAnsi="宋体" w:cs="宋体"/>
                      <w:color w:val="auto"/>
                      <w:kern w:val="0"/>
                      <w:sz w:val="22"/>
                      <w:highlight w:val="none"/>
                    </w:rPr>
                    <w:t>5</w:t>
                  </w:r>
                </w:p>
              </w:tc>
              <w:tc>
                <w:tcPr>
                  <w:tcW w:w="1107" w:type="dxa"/>
                  <w:vMerge w:val="restart"/>
                  <w:vAlign w:val="center"/>
                </w:tcPr>
                <w:p w14:paraId="480F9EB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实验室仪器维保内容</w:t>
                  </w:r>
                </w:p>
              </w:tc>
              <w:tc>
                <w:tcPr>
                  <w:tcW w:w="4091" w:type="dxa"/>
                </w:tcPr>
                <w:p w14:paraId="1A491AD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每月维护核心仪器（含流式细胞仪、纯水仪等）及常规耗材更换</w:t>
                  </w:r>
                </w:p>
              </w:tc>
              <w:tc>
                <w:tcPr>
                  <w:tcW w:w="1107" w:type="dxa"/>
                </w:tcPr>
                <w:p w14:paraId="019778B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月</w:t>
                  </w:r>
                </w:p>
              </w:tc>
              <w:tc>
                <w:tcPr>
                  <w:tcW w:w="1028" w:type="dxa"/>
                </w:tcPr>
                <w:p w14:paraId="2AFE7FFD">
                  <w:pPr>
                    <w:jc w:val="center"/>
                    <w:rPr>
                      <w:rFonts w:ascii="宋体" w:hAnsi="宋体" w:cs="宋体"/>
                      <w:color w:val="auto"/>
                      <w:kern w:val="0"/>
                      <w:sz w:val="22"/>
                      <w:szCs w:val="22"/>
                      <w:highlight w:val="none"/>
                    </w:rPr>
                  </w:pPr>
                  <w:r>
                    <w:rPr>
                      <w:rFonts w:ascii="宋体" w:hAnsi="宋体" w:cs="宋体"/>
                      <w:color w:val="auto"/>
                      <w:kern w:val="0"/>
                      <w:sz w:val="22"/>
                      <w:highlight w:val="none"/>
                    </w:rPr>
                    <w:t>12</w:t>
                  </w:r>
                </w:p>
              </w:tc>
            </w:tr>
            <w:tr w14:paraId="4FF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Pr>
                <w:p w14:paraId="66F6EC69">
                  <w:pPr>
                    <w:jc w:val="center"/>
                    <w:rPr>
                      <w:rFonts w:ascii="宋体" w:hAnsi="宋体" w:cs="宋体"/>
                      <w:color w:val="auto"/>
                      <w:kern w:val="0"/>
                      <w:sz w:val="22"/>
                      <w:szCs w:val="22"/>
                      <w:highlight w:val="none"/>
                    </w:rPr>
                  </w:pPr>
                  <w:r>
                    <w:rPr>
                      <w:rFonts w:ascii="宋体" w:hAnsi="宋体" w:cs="宋体"/>
                      <w:color w:val="auto"/>
                      <w:kern w:val="0"/>
                      <w:sz w:val="22"/>
                      <w:highlight w:val="none"/>
                    </w:rPr>
                    <w:t>6</w:t>
                  </w:r>
                </w:p>
              </w:tc>
              <w:tc>
                <w:tcPr>
                  <w:tcW w:w="1107" w:type="dxa"/>
                  <w:vMerge w:val="continue"/>
                </w:tcPr>
                <w:p w14:paraId="29D87012">
                  <w:pPr>
                    <w:jc w:val="center"/>
                    <w:rPr>
                      <w:rFonts w:ascii="宋体" w:hAnsi="宋体" w:cs="宋体"/>
                      <w:color w:val="auto"/>
                      <w:kern w:val="0"/>
                      <w:sz w:val="22"/>
                      <w:szCs w:val="22"/>
                      <w:highlight w:val="none"/>
                    </w:rPr>
                  </w:pPr>
                </w:p>
              </w:tc>
              <w:tc>
                <w:tcPr>
                  <w:tcW w:w="4091" w:type="dxa"/>
                </w:tcPr>
                <w:p w14:paraId="6F5029C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包括</w:t>
                  </w:r>
                  <w:r>
                    <w:rPr>
                      <w:rFonts w:ascii="宋体" w:hAnsi="宋体" w:cs="宋体"/>
                      <w:color w:val="auto"/>
                      <w:kern w:val="0"/>
                      <w:sz w:val="22"/>
                      <w:highlight w:val="none"/>
                    </w:rPr>
                    <w:t>3</w:t>
                  </w:r>
                  <w:r>
                    <w:rPr>
                      <w:rFonts w:hint="eastAsia" w:ascii="宋体" w:hAnsi="宋体" w:cs="宋体"/>
                      <w:color w:val="auto"/>
                      <w:kern w:val="0"/>
                      <w:sz w:val="22"/>
                      <w:highlight w:val="none"/>
                    </w:rPr>
                    <w:t>个月巡检汇总报告及每季度不少于</w:t>
                  </w:r>
                  <w:r>
                    <w:rPr>
                      <w:rFonts w:ascii="宋体" w:hAnsi="宋体" w:cs="宋体"/>
                      <w:color w:val="auto"/>
                      <w:kern w:val="0"/>
                      <w:sz w:val="22"/>
                      <w:highlight w:val="none"/>
                    </w:rPr>
                    <w:t>2</w:t>
                  </w:r>
                  <w:r>
                    <w:rPr>
                      <w:rFonts w:hint="eastAsia" w:ascii="宋体" w:hAnsi="宋体" w:cs="宋体"/>
                      <w:color w:val="auto"/>
                      <w:kern w:val="0"/>
                      <w:sz w:val="22"/>
                      <w:highlight w:val="none"/>
                    </w:rPr>
                    <w:t>场仪器使用</w:t>
                  </w:r>
                  <w:r>
                    <w:rPr>
                      <w:rFonts w:ascii="宋体" w:hAnsi="宋体" w:cs="宋体"/>
                      <w:color w:val="auto"/>
                      <w:kern w:val="0"/>
                      <w:sz w:val="22"/>
                      <w:highlight w:val="none"/>
                    </w:rPr>
                    <w:t>/</w:t>
                  </w:r>
                  <w:r>
                    <w:rPr>
                      <w:rFonts w:hint="eastAsia" w:ascii="宋体" w:hAnsi="宋体" w:cs="宋体"/>
                      <w:color w:val="auto"/>
                      <w:kern w:val="0"/>
                      <w:sz w:val="22"/>
                      <w:highlight w:val="none"/>
                    </w:rPr>
                    <w:t>维护培训会</w:t>
                  </w:r>
                </w:p>
              </w:tc>
              <w:tc>
                <w:tcPr>
                  <w:tcW w:w="1107" w:type="dxa"/>
                </w:tcPr>
                <w:p w14:paraId="716046F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次</w:t>
                  </w:r>
                </w:p>
              </w:tc>
              <w:tc>
                <w:tcPr>
                  <w:tcW w:w="1028" w:type="dxa"/>
                </w:tcPr>
                <w:p w14:paraId="158FFD4D">
                  <w:pPr>
                    <w:jc w:val="center"/>
                    <w:rPr>
                      <w:rFonts w:ascii="宋体" w:hAnsi="宋体" w:cs="宋体"/>
                      <w:color w:val="auto"/>
                      <w:kern w:val="0"/>
                      <w:sz w:val="22"/>
                      <w:szCs w:val="22"/>
                      <w:highlight w:val="none"/>
                    </w:rPr>
                  </w:pPr>
                  <w:r>
                    <w:rPr>
                      <w:rFonts w:ascii="宋体" w:hAnsi="宋体" w:cs="宋体"/>
                      <w:color w:val="auto"/>
                      <w:kern w:val="0"/>
                      <w:sz w:val="22"/>
                      <w:highlight w:val="none"/>
                    </w:rPr>
                    <w:t>4</w:t>
                  </w:r>
                </w:p>
              </w:tc>
            </w:tr>
            <w:tr w14:paraId="7A56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tcPr>
                <w:p w14:paraId="0E7FB109">
                  <w:pPr>
                    <w:jc w:val="center"/>
                    <w:rPr>
                      <w:rFonts w:ascii="宋体" w:hAnsi="宋体" w:cs="宋体"/>
                      <w:color w:val="auto"/>
                      <w:kern w:val="0"/>
                      <w:sz w:val="22"/>
                      <w:szCs w:val="22"/>
                      <w:highlight w:val="none"/>
                    </w:rPr>
                  </w:pPr>
                  <w:r>
                    <w:rPr>
                      <w:rFonts w:ascii="宋体" w:hAnsi="宋体" w:cs="宋体"/>
                      <w:color w:val="auto"/>
                      <w:kern w:val="0"/>
                      <w:sz w:val="22"/>
                      <w:highlight w:val="none"/>
                    </w:rPr>
                    <w:t>7</w:t>
                  </w:r>
                </w:p>
              </w:tc>
              <w:tc>
                <w:tcPr>
                  <w:tcW w:w="1107" w:type="dxa"/>
                  <w:vMerge w:val="continue"/>
                </w:tcPr>
                <w:p w14:paraId="53B7504E">
                  <w:pPr>
                    <w:jc w:val="center"/>
                    <w:rPr>
                      <w:rFonts w:ascii="宋体" w:hAnsi="宋体" w:cs="宋体"/>
                      <w:color w:val="auto"/>
                      <w:kern w:val="0"/>
                      <w:sz w:val="22"/>
                      <w:szCs w:val="22"/>
                      <w:highlight w:val="none"/>
                    </w:rPr>
                  </w:pPr>
                </w:p>
              </w:tc>
              <w:tc>
                <w:tcPr>
                  <w:tcW w:w="4091" w:type="dxa"/>
                </w:tcPr>
                <w:p w14:paraId="3A90965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协调厂家处理大型维修，不限次数，小型问题现场快速处理（免人工费）</w:t>
                  </w:r>
                </w:p>
              </w:tc>
              <w:tc>
                <w:tcPr>
                  <w:tcW w:w="1107" w:type="dxa"/>
                </w:tcPr>
                <w:p w14:paraId="57E4E89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项</w:t>
                  </w:r>
                </w:p>
              </w:tc>
              <w:tc>
                <w:tcPr>
                  <w:tcW w:w="1028" w:type="dxa"/>
                </w:tcPr>
                <w:p w14:paraId="03BCBAC9">
                  <w:pPr>
                    <w:jc w:val="center"/>
                    <w:rPr>
                      <w:rFonts w:ascii="宋体" w:hAnsi="宋体" w:cs="宋体"/>
                      <w:color w:val="auto"/>
                      <w:kern w:val="0"/>
                      <w:sz w:val="22"/>
                      <w:szCs w:val="22"/>
                      <w:highlight w:val="none"/>
                    </w:rPr>
                  </w:pPr>
                  <w:r>
                    <w:rPr>
                      <w:rFonts w:ascii="宋体" w:hAnsi="宋体" w:cs="宋体"/>
                      <w:color w:val="auto"/>
                      <w:kern w:val="0"/>
                      <w:sz w:val="22"/>
                      <w:highlight w:val="none"/>
                    </w:rPr>
                    <w:t>/</w:t>
                  </w:r>
                </w:p>
              </w:tc>
            </w:tr>
          </w:tbl>
          <w:p w14:paraId="607F609E">
            <w:pPr>
              <w:widowControl/>
              <w:spacing w:before="100" w:beforeAutospacing="1" w:after="100" w:afterAutospacing="1"/>
              <w:jc w:val="left"/>
              <w:rPr>
                <w:rFonts w:ascii="宋体" w:hAnsi="宋体" w:cs="宋体"/>
                <w:color w:val="auto"/>
                <w:kern w:val="0"/>
                <w:sz w:val="22"/>
                <w:szCs w:val="22"/>
                <w:highlight w:val="none"/>
              </w:rPr>
            </w:pPr>
            <w:r>
              <w:rPr>
                <w:rFonts w:hint="eastAsia" w:ascii="宋体" w:hAnsi="宋体" w:cs="宋体"/>
                <w:color w:val="auto"/>
                <w:kern w:val="0"/>
                <w:sz w:val="22"/>
                <w:highlight w:val="none"/>
              </w:rPr>
              <w:t>附件</w:t>
            </w:r>
            <w:r>
              <w:rPr>
                <w:rFonts w:ascii="宋体" w:hAnsi="宋体" w:cs="宋体"/>
                <w:color w:val="auto"/>
                <w:kern w:val="0"/>
                <w:sz w:val="22"/>
                <w:highlight w:val="none"/>
              </w:rPr>
              <w:t>1</w:t>
            </w:r>
          </w:p>
          <w:p w14:paraId="11AA6871">
            <w:pPr>
              <w:ind w:left="720"/>
              <w:jc w:val="left"/>
              <w:rPr>
                <w:rFonts w:ascii="宋体" w:hAnsi="宋体" w:cs="宋体"/>
                <w:color w:val="auto"/>
                <w:kern w:val="0"/>
                <w:sz w:val="22"/>
                <w:szCs w:val="22"/>
                <w:highlight w:val="none"/>
              </w:rPr>
            </w:pPr>
            <w:r>
              <w:rPr>
                <w:rFonts w:hint="eastAsia" w:ascii="宋体" w:hAnsi="宋体" w:cs="宋体"/>
                <w:b/>
                <w:color w:val="auto"/>
                <w:kern w:val="0"/>
                <w:sz w:val="22"/>
                <w:highlight w:val="none"/>
                <w:u w:val="single"/>
              </w:rPr>
              <w:t>理工楼</w:t>
            </w:r>
            <w:r>
              <w:rPr>
                <w:rFonts w:hint="eastAsia" w:ascii="宋体" w:hAnsi="宋体" w:cs="宋体"/>
                <w:b/>
                <w:color w:val="auto"/>
                <w:kern w:val="0"/>
                <w:sz w:val="22"/>
                <w:highlight w:val="none"/>
              </w:rPr>
              <w:t>：</w:t>
            </w:r>
          </w:p>
          <w:p w14:paraId="51755EC3">
            <w:pPr>
              <w:numPr>
                <w:ilvl w:val="0"/>
                <w:numId w:val="15"/>
              </w:numPr>
              <w:rPr>
                <w:rFonts w:ascii="宋体" w:hAnsi="宋体" w:cs="宋体"/>
                <w:color w:val="auto"/>
                <w:kern w:val="0"/>
                <w:sz w:val="22"/>
                <w:szCs w:val="22"/>
                <w:highlight w:val="none"/>
              </w:rPr>
            </w:pPr>
            <w:r>
              <w:rPr>
                <w:rFonts w:hint="eastAsia" w:ascii="宋体" w:hAnsi="宋体" w:cs="宋体"/>
                <w:b/>
                <w:color w:val="auto"/>
                <w:kern w:val="0"/>
                <w:sz w:val="22"/>
                <w:highlight w:val="none"/>
              </w:rPr>
              <w:t>二层</w:t>
            </w:r>
            <w:r>
              <w:rPr>
                <w:rFonts w:hint="eastAsia" w:ascii="宋体" w:hAnsi="宋体" w:cs="宋体"/>
                <w:color w:val="auto"/>
                <w:kern w:val="0"/>
                <w:sz w:val="22"/>
                <w:highlight w:val="none"/>
              </w:rPr>
              <w:t>：环境科学教学实验室</w:t>
            </w:r>
            <w:r>
              <w:rPr>
                <w:rFonts w:ascii="宋体" w:hAnsi="宋体" w:cs="宋体"/>
                <w:color w:val="auto"/>
                <w:kern w:val="0"/>
                <w:sz w:val="22"/>
                <w:highlight w:val="none"/>
              </w:rPr>
              <w:t>2</w:t>
            </w:r>
            <w:r>
              <w:rPr>
                <w:rFonts w:hint="eastAsia" w:ascii="宋体" w:hAnsi="宋体" w:cs="宋体"/>
                <w:color w:val="auto"/>
                <w:kern w:val="0"/>
                <w:sz w:val="22"/>
                <w:highlight w:val="none"/>
              </w:rPr>
              <w:t>间，环境科学科研实验室</w:t>
            </w:r>
            <w:r>
              <w:rPr>
                <w:rFonts w:ascii="宋体" w:hAnsi="宋体" w:cs="宋体"/>
                <w:color w:val="auto"/>
                <w:kern w:val="0"/>
                <w:sz w:val="22"/>
                <w:highlight w:val="none"/>
              </w:rPr>
              <w:t>2</w:t>
            </w:r>
            <w:r>
              <w:rPr>
                <w:rFonts w:hint="eastAsia" w:ascii="宋体" w:hAnsi="宋体" w:cs="宋体"/>
                <w:color w:val="auto"/>
                <w:kern w:val="0"/>
                <w:sz w:val="22"/>
                <w:highlight w:val="none"/>
              </w:rPr>
              <w:t>间，物理教学实验室</w:t>
            </w:r>
            <w:r>
              <w:rPr>
                <w:rFonts w:ascii="宋体" w:hAnsi="宋体" w:cs="宋体"/>
                <w:color w:val="auto"/>
                <w:kern w:val="0"/>
                <w:sz w:val="22"/>
                <w:highlight w:val="none"/>
              </w:rPr>
              <w:t>1</w:t>
            </w:r>
            <w:r>
              <w:rPr>
                <w:rFonts w:hint="eastAsia" w:ascii="宋体" w:hAnsi="宋体" w:cs="宋体"/>
                <w:color w:val="auto"/>
                <w:kern w:val="0"/>
                <w:sz w:val="22"/>
                <w:highlight w:val="none"/>
              </w:rPr>
              <w:t>间，国际合作研究实验室</w:t>
            </w:r>
            <w:r>
              <w:rPr>
                <w:rFonts w:ascii="宋体" w:hAnsi="宋体" w:cs="宋体"/>
                <w:color w:val="auto"/>
                <w:kern w:val="0"/>
                <w:sz w:val="22"/>
                <w:highlight w:val="none"/>
              </w:rPr>
              <w:t>2</w:t>
            </w:r>
            <w:r>
              <w:rPr>
                <w:rFonts w:hint="eastAsia" w:ascii="宋体" w:hAnsi="宋体" w:cs="宋体"/>
                <w:color w:val="auto"/>
                <w:kern w:val="0"/>
                <w:sz w:val="22"/>
                <w:highlight w:val="none"/>
              </w:rPr>
              <w:t>间。</w:t>
            </w:r>
          </w:p>
          <w:p w14:paraId="1EC14305">
            <w:pPr>
              <w:numPr>
                <w:ilvl w:val="0"/>
                <w:numId w:val="15"/>
              </w:numPr>
              <w:rPr>
                <w:rFonts w:ascii="宋体" w:hAnsi="宋体" w:cs="宋体"/>
                <w:color w:val="auto"/>
                <w:kern w:val="0"/>
                <w:sz w:val="22"/>
                <w:szCs w:val="22"/>
                <w:highlight w:val="none"/>
              </w:rPr>
            </w:pPr>
            <w:r>
              <w:rPr>
                <w:rFonts w:hint="eastAsia" w:ascii="宋体" w:hAnsi="宋体" w:cs="宋体"/>
                <w:b/>
                <w:color w:val="auto"/>
                <w:kern w:val="0"/>
                <w:sz w:val="22"/>
                <w:highlight w:val="none"/>
              </w:rPr>
              <w:t>三层</w:t>
            </w:r>
            <w:r>
              <w:rPr>
                <w:rFonts w:hint="eastAsia" w:ascii="宋体" w:hAnsi="宋体" w:cs="宋体"/>
                <w:color w:val="auto"/>
                <w:kern w:val="0"/>
                <w:sz w:val="22"/>
                <w:highlight w:val="none"/>
              </w:rPr>
              <w:t>：生物科研实验室</w:t>
            </w:r>
            <w:r>
              <w:rPr>
                <w:rFonts w:ascii="宋体" w:hAnsi="宋体" w:cs="宋体"/>
                <w:color w:val="auto"/>
                <w:kern w:val="0"/>
                <w:sz w:val="22"/>
                <w:highlight w:val="none"/>
              </w:rPr>
              <w:t>4</w:t>
            </w:r>
            <w:r>
              <w:rPr>
                <w:rFonts w:hint="eastAsia" w:ascii="宋体" w:hAnsi="宋体" w:cs="宋体"/>
                <w:color w:val="auto"/>
                <w:kern w:val="0"/>
                <w:sz w:val="22"/>
                <w:highlight w:val="none"/>
              </w:rPr>
              <w:t>间，病原微生物实验室</w:t>
            </w:r>
            <w:r>
              <w:rPr>
                <w:rFonts w:ascii="宋体" w:hAnsi="宋体" w:cs="宋体"/>
                <w:color w:val="auto"/>
                <w:kern w:val="0"/>
                <w:sz w:val="22"/>
                <w:highlight w:val="none"/>
              </w:rPr>
              <w:t>1</w:t>
            </w:r>
            <w:r>
              <w:rPr>
                <w:rFonts w:hint="eastAsia" w:ascii="宋体" w:hAnsi="宋体" w:cs="宋体"/>
                <w:color w:val="auto"/>
                <w:kern w:val="0"/>
                <w:sz w:val="22"/>
                <w:highlight w:val="none"/>
              </w:rPr>
              <w:t>间，仪器室</w:t>
            </w:r>
            <w:r>
              <w:rPr>
                <w:rFonts w:ascii="宋体" w:hAnsi="宋体" w:cs="宋体"/>
                <w:color w:val="auto"/>
                <w:kern w:val="0"/>
                <w:sz w:val="22"/>
                <w:highlight w:val="none"/>
              </w:rPr>
              <w:t>2</w:t>
            </w:r>
            <w:r>
              <w:rPr>
                <w:rFonts w:hint="eastAsia" w:ascii="宋体" w:hAnsi="宋体" w:cs="宋体"/>
                <w:color w:val="auto"/>
                <w:kern w:val="0"/>
                <w:sz w:val="22"/>
                <w:highlight w:val="none"/>
              </w:rPr>
              <w:t>间，生物核心设施实验室</w:t>
            </w:r>
            <w:r>
              <w:rPr>
                <w:rFonts w:ascii="宋体" w:hAnsi="宋体" w:cs="宋体"/>
                <w:color w:val="auto"/>
                <w:kern w:val="0"/>
                <w:sz w:val="22"/>
                <w:highlight w:val="none"/>
              </w:rPr>
              <w:t>1</w:t>
            </w:r>
            <w:r>
              <w:rPr>
                <w:rFonts w:hint="eastAsia" w:ascii="宋体" w:hAnsi="宋体" w:cs="宋体"/>
                <w:color w:val="auto"/>
                <w:kern w:val="0"/>
                <w:sz w:val="22"/>
                <w:highlight w:val="none"/>
              </w:rPr>
              <w:t>间。</w:t>
            </w:r>
          </w:p>
          <w:p w14:paraId="7734EB08">
            <w:pPr>
              <w:numPr>
                <w:ilvl w:val="0"/>
                <w:numId w:val="15"/>
              </w:numPr>
              <w:rPr>
                <w:rFonts w:ascii="宋体" w:hAnsi="宋体" w:cs="宋体"/>
                <w:color w:val="auto"/>
                <w:kern w:val="0"/>
                <w:sz w:val="22"/>
                <w:szCs w:val="22"/>
                <w:highlight w:val="none"/>
              </w:rPr>
            </w:pPr>
            <w:r>
              <w:rPr>
                <w:rFonts w:hint="eastAsia" w:ascii="宋体" w:hAnsi="宋体" w:cs="宋体"/>
                <w:b/>
                <w:color w:val="auto"/>
                <w:kern w:val="0"/>
                <w:sz w:val="22"/>
                <w:highlight w:val="none"/>
              </w:rPr>
              <w:t>四层</w:t>
            </w:r>
            <w:r>
              <w:rPr>
                <w:rFonts w:hint="eastAsia" w:ascii="宋体" w:hAnsi="宋体" w:cs="宋体"/>
                <w:color w:val="auto"/>
                <w:kern w:val="0"/>
                <w:sz w:val="22"/>
                <w:highlight w:val="none"/>
              </w:rPr>
              <w:t>：生物教学实验室</w:t>
            </w:r>
            <w:r>
              <w:rPr>
                <w:rFonts w:ascii="宋体" w:hAnsi="宋体" w:cs="宋体"/>
                <w:color w:val="auto"/>
                <w:kern w:val="0"/>
                <w:sz w:val="22"/>
                <w:highlight w:val="none"/>
              </w:rPr>
              <w:t>7</w:t>
            </w:r>
            <w:r>
              <w:rPr>
                <w:rFonts w:hint="eastAsia" w:ascii="宋体" w:hAnsi="宋体" w:cs="宋体"/>
                <w:color w:val="auto"/>
                <w:kern w:val="0"/>
                <w:sz w:val="22"/>
                <w:highlight w:val="none"/>
              </w:rPr>
              <w:t>间（涵盖分子细胞、遗传与生物信息学、解剖生理学、微生物学和生物化学等）。</w:t>
            </w:r>
          </w:p>
          <w:p w14:paraId="44299867">
            <w:pPr>
              <w:numPr>
                <w:ilvl w:val="0"/>
                <w:numId w:val="15"/>
              </w:numPr>
              <w:rPr>
                <w:rFonts w:ascii="宋体" w:hAnsi="宋体" w:cs="宋体"/>
                <w:color w:val="auto"/>
                <w:kern w:val="0"/>
                <w:sz w:val="22"/>
                <w:szCs w:val="22"/>
                <w:highlight w:val="none"/>
              </w:rPr>
            </w:pPr>
            <w:r>
              <w:rPr>
                <w:rFonts w:hint="eastAsia" w:ascii="宋体" w:hAnsi="宋体" w:cs="宋体"/>
                <w:b/>
                <w:color w:val="auto"/>
                <w:kern w:val="0"/>
                <w:sz w:val="22"/>
                <w:highlight w:val="none"/>
              </w:rPr>
              <w:t>五层</w:t>
            </w:r>
            <w:r>
              <w:rPr>
                <w:rFonts w:hint="eastAsia" w:ascii="宋体" w:hAnsi="宋体" w:cs="宋体"/>
                <w:color w:val="auto"/>
                <w:kern w:val="0"/>
                <w:sz w:val="22"/>
                <w:highlight w:val="none"/>
              </w:rPr>
              <w:t>：化学教学实验室</w:t>
            </w:r>
            <w:r>
              <w:rPr>
                <w:rFonts w:ascii="宋体" w:hAnsi="宋体" w:cs="宋体"/>
                <w:color w:val="auto"/>
                <w:kern w:val="0"/>
                <w:sz w:val="22"/>
                <w:highlight w:val="none"/>
              </w:rPr>
              <w:t>4</w:t>
            </w:r>
            <w:r>
              <w:rPr>
                <w:rFonts w:hint="eastAsia" w:ascii="宋体" w:hAnsi="宋体" w:cs="宋体"/>
                <w:color w:val="auto"/>
                <w:kern w:val="0"/>
                <w:sz w:val="22"/>
                <w:highlight w:val="none"/>
              </w:rPr>
              <w:t>间（涵盖有机、普通、物理化学和无机及分析化学），化学科研实验室</w:t>
            </w:r>
            <w:r>
              <w:rPr>
                <w:rFonts w:ascii="宋体" w:hAnsi="宋体" w:cs="宋体"/>
                <w:color w:val="auto"/>
                <w:kern w:val="0"/>
                <w:sz w:val="22"/>
                <w:highlight w:val="none"/>
              </w:rPr>
              <w:t>3</w:t>
            </w:r>
            <w:r>
              <w:rPr>
                <w:rFonts w:hint="eastAsia" w:ascii="宋体" w:hAnsi="宋体" w:cs="宋体"/>
                <w:color w:val="auto"/>
                <w:kern w:val="0"/>
                <w:sz w:val="22"/>
                <w:highlight w:val="none"/>
              </w:rPr>
              <w:t>间，仪器分析实验室</w:t>
            </w:r>
            <w:r>
              <w:rPr>
                <w:rFonts w:ascii="宋体" w:hAnsi="宋体" w:cs="宋体"/>
                <w:color w:val="auto"/>
                <w:kern w:val="0"/>
                <w:sz w:val="22"/>
                <w:highlight w:val="none"/>
              </w:rPr>
              <w:t>3</w:t>
            </w:r>
            <w:r>
              <w:rPr>
                <w:rFonts w:hint="eastAsia" w:ascii="宋体" w:hAnsi="宋体" w:cs="宋体"/>
                <w:color w:val="auto"/>
                <w:kern w:val="0"/>
                <w:sz w:val="22"/>
                <w:highlight w:val="none"/>
              </w:rPr>
              <w:t>间。</w:t>
            </w:r>
          </w:p>
          <w:p w14:paraId="0AC8830F">
            <w:pPr>
              <w:numPr>
                <w:ilvl w:val="0"/>
                <w:numId w:val="15"/>
              </w:numPr>
              <w:rPr>
                <w:rFonts w:ascii="宋体" w:hAnsi="宋体" w:cs="宋体"/>
                <w:color w:val="auto"/>
                <w:kern w:val="0"/>
                <w:sz w:val="22"/>
                <w:szCs w:val="22"/>
                <w:highlight w:val="none"/>
              </w:rPr>
            </w:pPr>
            <w:r>
              <w:rPr>
                <w:rFonts w:hint="eastAsia" w:ascii="宋体" w:hAnsi="宋体" w:cs="宋体"/>
                <w:b/>
                <w:color w:val="auto"/>
                <w:kern w:val="0"/>
                <w:sz w:val="22"/>
                <w:highlight w:val="none"/>
              </w:rPr>
              <w:t>附属功能用房</w:t>
            </w:r>
            <w:r>
              <w:rPr>
                <w:rFonts w:hint="eastAsia" w:ascii="宋体" w:hAnsi="宋体" w:cs="宋体"/>
                <w:color w:val="auto"/>
                <w:kern w:val="0"/>
                <w:sz w:val="22"/>
                <w:highlight w:val="none"/>
              </w:rPr>
              <w:t>：包括洗消间、细胞培养室、冷藏室、化学品储存室、气瓶室、实验耗材领用中心、阳光房等。</w:t>
            </w:r>
          </w:p>
          <w:p w14:paraId="49588F8B">
            <w:pPr>
              <w:ind w:left="720"/>
              <w:jc w:val="left"/>
              <w:rPr>
                <w:rFonts w:ascii="宋体" w:hAnsi="宋体" w:cs="宋体"/>
                <w:color w:val="auto"/>
                <w:kern w:val="0"/>
                <w:sz w:val="22"/>
                <w:szCs w:val="22"/>
                <w:highlight w:val="none"/>
              </w:rPr>
            </w:pPr>
            <w:r>
              <w:rPr>
                <w:rFonts w:hint="eastAsia" w:ascii="宋体" w:hAnsi="宋体" w:cs="宋体"/>
                <w:b/>
                <w:color w:val="auto"/>
                <w:kern w:val="0"/>
                <w:sz w:val="22"/>
                <w:highlight w:val="none"/>
                <w:u w:val="single"/>
              </w:rPr>
              <w:t>综合实验楼</w:t>
            </w:r>
            <w:r>
              <w:rPr>
                <w:rFonts w:hint="eastAsia" w:ascii="宋体" w:hAnsi="宋体" w:cs="宋体"/>
                <w:b/>
                <w:color w:val="auto"/>
                <w:kern w:val="0"/>
                <w:sz w:val="22"/>
                <w:highlight w:val="none"/>
              </w:rPr>
              <w:t>：</w:t>
            </w:r>
          </w:p>
          <w:p w14:paraId="6587B111">
            <w:pPr>
              <w:numPr>
                <w:ilvl w:val="0"/>
                <w:numId w:val="16"/>
              </w:numPr>
              <w:rPr>
                <w:rFonts w:ascii="宋体" w:hAnsi="宋体" w:cs="宋体"/>
                <w:color w:val="auto"/>
                <w:kern w:val="0"/>
                <w:sz w:val="22"/>
                <w:szCs w:val="22"/>
                <w:highlight w:val="none"/>
              </w:rPr>
            </w:pPr>
            <w:r>
              <w:rPr>
                <w:rFonts w:hint="eastAsia" w:ascii="宋体" w:hAnsi="宋体" w:cs="宋体"/>
                <w:b/>
                <w:color w:val="auto"/>
                <w:kern w:val="0"/>
                <w:sz w:val="22"/>
                <w:highlight w:val="none"/>
              </w:rPr>
              <w:t>生物实验室：</w:t>
            </w:r>
            <w:r>
              <w:rPr>
                <w:rFonts w:ascii="宋体" w:hAnsi="宋体" w:cs="宋体"/>
                <w:b/>
                <w:color w:val="auto"/>
                <w:kern w:val="0"/>
                <w:sz w:val="22"/>
                <w:highlight w:val="none"/>
              </w:rPr>
              <w:t>104</w:t>
            </w:r>
            <w:r>
              <w:rPr>
                <w:rFonts w:hint="eastAsia" w:ascii="宋体" w:hAnsi="宋体" w:cs="宋体"/>
                <w:b/>
                <w:color w:val="auto"/>
                <w:kern w:val="0"/>
                <w:sz w:val="22"/>
                <w:highlight w:val="none"/>
              </w:rPr>
              <w:t>、</w:t>
            </w:r>
            <w:r>
              <w:rPr>
                <w:rFonts w:ascii="宋体" w:hAnsi="宋体" w:cs="宋体"/>
                <w:b/>
                <w:color w:val="auto"/>
                <w:kern w:val="0"/>
                <w:sz w:val="22"/>
                <w:highlight w:val="none"/>
              </w:rPr>
              <w:t>106</w:t>
            </w:r>
            <w:r>
              <w:rPr>
                <w:rFonts w:hint="eastAsia" w:ascii="宋体" w:hAnsi="宋体" w:cs="宋体"/>
                <w:b/>
                <w:color w:val="auto"/>
                <w:kern w:val="0"/>
                <w:sz w:val="22"/>
                <w:highlight w:val="none"/>
              </w:rPr>
              <w:t>、</w:t>
            </w:r>
            <w:r>
              <w:rPr>
                <w:rFonts w:ascii="宋体" w:hAnsi="宋体" w:cs="宋体"/>
                <w:b/>
                <w:color w:val="auto"/>
                <w:kern w:val="0"/>
                <w:sz w:val="22"/>
                <w:highlight w:val="none"/>
              </w:rPr>
              <w:t>202</w:t>
            </w:r>
            <w:r>
              <w:rPr>
                <w:rFonts w:hint="eastAsia" w:ascii="宋体" w:hAnsi="宋体" w:cs="宋体"/>
                <w:b/>
                <w:color w:val="auto"/>
                <w:kern w:val="0"/>
                <w:sz w:val="22"/>
                <w:highlight w:val="none"/>
              </w:rPr>
              <w:t>、</w:t>
            </w:r>
            <w:r>
              <w:rPr>
                <w:rFonts w:ascii="宋体" w:hAnsi="宋体" w:cs="宋体"/>
                <w:b/>
                <w:color w:val="auto"/>
                <w:kern w:val="0"/>
                <w:sz w:val="22"/>
                <w:highlight w:val="none"/>
              </w:rPr>
              <w:t>203</w:t>
            </w:r>
          </w:p>
          <w:p w14:paraId="21A0D6C2">
            <w:pPr>
              <w:numPr>
                <w:ilvl w:val="0"/>
                <w:numId w:val="16"/>
              </w:numPr>
              <w:rPr>
                <w:rFonts w:ascii="宋体" w:hAnsi="宋体" w:cs="宋体"/>
                <w:color w:val="auto"/>
                <w:kern w:val="0"/>
                <w:sz w:val="22"/>
                <w:szCs w:val="22"/>
                <w:highlight w:val="none"/>
              </w:rPr>
            </w:pPr>
            <w:r>
              <w:rPr>
                <w:rFonts w:hint="eastAsia" w:ascii="宋体" w:hAnsi="宋体" w:cs="宋体"/>
                <w:b/>
                <w:color w:val="auto"/>
                <w:kern w:val="0"/>
                <w:sz w:val="22"/>
                <w:highlight w:val="none"/>
              </w:rPr>
              <w:t>化学实验室：</w:t>
            </w:r>
            <w:r>
              <w:rPr>
                <w:rFonts w:ascii="宋体" w:hAnsi="宋体" w:cs="宋体"/>
                <w:b/>
                <w:color w:val="auto"/>
                <w:kern w:val="0"/>
                <w:sz w:val="22"/>
                <w:highlight w:val="none"/>
              </w:rPr>
              <w:t>201</w:t>
            </w:r>
            <w:r>
              <w:rPr>
                <w:rFonts w:hint="eastAsia" w:ascii="宋体" w:hAnsi="宋体" w:cs="宋体"/>
                <w:b/>
                <w:color w:val="auto"/>
                <w:kern w:val="0"/>
                <w:sz w:val="22"/>
                <w:highlight w:val="none"/>
              </w:rPr>
              <w:t>、</w:t>
            </w:r>
            <w:r>
              <w:rPr>
                <w:rFonts w:ascii="宋体" w:hAnsi="宋体" w:cs="宋体"/>
                <w:b/>
                <w:color w:val="auto"/>
                <w:kern w:val="0"/>
                <w:sz w:val="22"/>
                <w:highlight w:val="none"/>
              </w:rPr>
              <w:t>205</w:t>
            </w:r>
            <w:r>
              <w:rPr>
                <w:rFonts w:hint="eastAsia" w:ascii="宋体" w:hAnsi="宋体" w:cs="宋体"/>
                <w:b/>
                <w:color w:val="auto"/>
                <w:kern w:val="0"/>
                <w:sz w:val="22"/>
                <w:highlight w:val="none"/>
              </w:rPr>
              <w:t>、</w:t>
            </w:r>
            <w:r>
              <w:rPr>
                <w:rFonts w:ascii="宋体" w:hAnsi="宋体" w:cs="宋体"/>
                <w:b/>
                <w:color w:val="auto"/>
                <w:kern w:val="0"/>
                <w:sz w:val="22"/>
                <w:highlight w:val="none"/>
              </w:rPr>
              <w:t>206</w:t>
            </w:r>
          </w:p>
          <w:p w14:paraId="325B9470">
            <w:pPr>
              <w:numPr>
                <w:ilvl w:val="0"/>
                <w:numId w:val="16"/>
              </w:numPr>
              <w:rPr>
                <w:rFonts w:ascii="宋体" w:hAnsi="宋体" w:cs="宋体"/>
                <w:color w:val="auto"/>
                <w:kern w:val="0"/>
                <w:sz w:val="22"/>
                <w:szCs w:val="22"/>
                <w:highlight w:val="none"/>
              </w:rPr>
            </w:pPr>
            <w:r>
              <w:rPr>
                <w:rFonts w:hint="eastAsia" w:ascii="宋体" w:hAnsi="宋体" w:cs="宋体"/>
                <w:b/>
                <w:color w:val="auto"/>
                <w:kern w:val="0"/>
                <w:sz w:val="22"/>
                <w:highlight w:val="none"/>
              </w:rPr>
              <w:t>设备房：</w:t>
            </w:r>
            <w:r>
              <w:rPr>
                <w:rFonts w:ascii="宋体" w:hAnsi="宋体" w:cs="宋体"/>
                <w:b/>
                <w:color w:val="auto"/>
                <w:kern w:val="0"/>
                <w:sz w:val="22"/>
                <w:highlight w:val="none"/>
              </w:rPr>
              <w:t>204</w:t>
            </w:r>
          </w:p>
          <w:p w14:paraId="7E5A5CDB">
            <w:pPr>
              <w:numPr>
                <w:ilvl w:val="0"/>
                <w:numId w:val="16"/>
              </w:numPr>
              <w:rPr>
                <w:rFonts w:ascii="宋体" w:hAnsi="宋体" w:cs="宋体"/>
                <w:color w:val="auto"/>
                <w:kern w:val="0"/>
                <w:sz w:val="22"/>
                <w:szCs w:val="22"/>
                <w:highlight w:val="none"/>
              </w:rPr>
            </w:pPr>
            <w:r>
              <w:rPr>
                <w:rFonts w:hint="eastAsia" w:ascii="宋体" w:hAnsi="宋体" w:cs="宋体"/>
                <w:b/>
                <w:color w:val="auto"/>
                <w:kern w:val="0"/>
                <w:sz w:val="22"/>
                <w:highlight w:val="none"/>
              </w:rPr>
              <w:t>附属功能用房：洗消间、细胞培养室、冷藏室、化学品储存室、耗材仓库等。</w:t>
            </w:r>
          </w:p>
          <w:p w14:paraId="6BA94B65">
            <w:pPr>
              <w:ind w:left="720"/>
              <w:jc w:val="left"/>
              <w:rPr>
                <w:rFonts w:ascii="宋体" w:hAnsi="宋体" w:cs="宋体"/>
                <w:color w:val="auto"/>
                <w:kern w:val="0"/>
                <w:sz w:val="22"/>
                <w:szCs w:val="22"/>
                <w:highlight w:val="none"/>
              </w:rPr>
            </w:pPr>
            <w:r>
              <w:rPr>
                <w:rFonts w:hint="eastAsia" w:ascii="宋体" w:hAnsi="宋体" w:cs="宋体"/>
                <w:b/>
                <w:color w:val="auto"/>
                <w:kern w:val="0"/>
                <w:sz w:val="22"/>
                <w:highlight w:val="none"/>
                <w:u w:val="single"/>
              </w:rPr>
              <w:t>教学楼</w:t>
            </w:r>
            <w:r>
              <w:rPr>
                <w:rFonts w:ascii="宋体" w:hAnsi="宋体" w:cs="宋体"/>
                <w:b/>
                <w:color w:val="auto"/>
                <w:kern w:val="0"/>
                <w:sz w:val="22"/>
                <w:highlight w:val="none"/>
                <w:u w:val="single"/>
              </w:rPr>
              <w:t>D</w:t>
            </w:r>
            <w:r>
              <w:rPr>
                <w:rFonts w:hint="eastAsia" w:ascii="宋体" w:hAnsi="宋体" w:cs="宋体"/>
                <w:b/>
                <w:color w:val="auto"/>
                <w:kern w:val="0"/>
                <w:sz w:val="22"/>
                <w:highlight w:val="none"/>
                <w:u w:val="single"/>
              </w:rPr>
              <w:t>幢</w:t>
            </w:r>
            <w:r>
              <w:rPr>
                <w:rFonts w:hint="eastAsia" w:ascii="宋体" w:hAnsi="宋体" w:cs="宋体"/>
                <w:b/>
                <w:color w:val="auto"/>
                <w:kern w:val="0"/>
                <w:sz w:val="22"/>
                <w:highlight w:val="none"/>
              </w:rPr>
              <w:t>：</w:t>
            </w:r>
            <w:r>
              <w:rPr>
                <w:rFonts w:hint="eastAsia" w:ascii="宋体" w:hAnsi="宋体" w:cs="宋体"/>
                <w:color w:val="auto"/>
                <w:kern w:val="0"/>
                <w:sz w:val="22"/>
                <w:highlight w:val="none"/>
              </w:rPr>
              <w:t>生物实验室</w:t>
            </w:r>
            <w:r>
              <w:rPr>
                <w:rFonts w:ascii="宋体" w:hAnsi="宋体" w:cs="宋体"/>
                <w:color w:val="auto"/>
                <w:kern w:val="0"/>
                <w:sz w:val="22"/>
                <w:highlight w:val="none"/>
              </w:rPr>
              <w:t>2</w:t>
            </w:r>
            <w:r>
              <w:rPr>
                <w:rFonts w:hint="eastAsia" w:ascii="宋体" w:hAnsi="宋体" w:cs="宋体"/>
                <w:color w:val="auto"/>
                <w:kern w:val="0"/>
                <w:sz w:val="22"/>
                <w:highlight w:val="none"/>
              </w:rPr>
              <w:t>间（</w:t>
            </w:r>
            <w:r>
              <w:rPr>
                <w:rFonts w:ascii="宋体" w:hAnsi="宋体" w:cs="宋体"/>
                <w:color w:val="auto"/>
                <w:kern w:val="0"/>
                <w:sz w:val="22"/>
                <w:highlight w:val="none"/>
              </w:rPr>
              <w:t>D301</w:t>
            </w:r>
            <w:r>
              <w:rPr>
                <w:rFonts w:hint="eastAsia" w:ascii="宋体" w:hAnsi="宋体" w:cs="宋体"/>
                <w:color w:val="auto"/>
                <w:kern w:val="0"/>
                <w:sz w:val="22"/>
                <w:highlight w:val="none"/>
              </w:rPr>
              <w:t>、</w:t>
            </w:r>
            <w:r>
              <w:rPr>
                <w:rFonts w:ascii="宋体" w:hAnsi="宋体" w:cs="宋体"/>
                <w:color w:val="auto"/>
                <w:kern w:val="0"/>
                <w:sz w:val="22"/>
                <w:highlight w:val="none"/>
              </w:rPr>
              <w:t>D303b</w:t>
            </w:r>
            <w:r>
              <w:rPr>
                <w:rFonts w:hint="eastAsia" w:ascii="宋体" w:hAnsi="宋体" w:cs="宋体"/>
                <w:color w:val="auto"/>
                <w:kern w:val="0"/>
                <w:sz w:val="22"/>
                <w:highlight w:val="none"/>
              </w:rPr>
              <w:t>），物理实验室（</w:t>
            </w:r>
            <w:r>
              <w:rPr>
                <w:rFonts w:ascii="宋体" w:hAnsi="宋体" w:cs="宋体"/>
                <w:color w:val="auto"/>
                <w:kern w:val="0"/>
                <w:sz w:val="22"/>
                <w:highlight w:val="none"/>
              </w:rPr>
              <w:t>D304</w:t>
            </w:r>
            <w:r>
              <w:rPr>
                <w:rFonts w:hint="eastAsia" w:ascii="宋体" w:hAnsi="宋体" w:cs="宋体"/>
                <w:color w:val="auto"/>
                <w:kern w:val="0"/>
                <w:sz w:val="22"/>
                <w:highlight w:val="none"/>
              </w:rPr>
              <w:t>），环境科学实验室</w:t>
            </w:r>
            <w:r>
              <w:rPr>
                <w:rFonts w:ascii="宋体" w:hAnsi="宋体" w:cs="宋体"/>
                <w:color w:val="auto"/>
                <w:kern w:val="0"/>
                <w:sz w:val="22"/>
                <w:highlight w:val="none"/>
              </w:rPr>
              <w:t>1</w:t>
            </w:r>
            <w:r>
              <w:rPr>
                <w:rFonts w:hint="eastAsia" w:ascii="宋体" w:hAnsi="宋体" w:cs="宋体"/>
                <w:color w:val="auto"/>
                <w:kern w:val="0"/>
                <w:sz w:val="22"/>
                <w:highlight w:val="none"/>
              </w:rPr>
              <w:t>间（</w:t>
            </w:r>
            <w:r>
              <w:rPr>
                <w:rFonts w:ascii="宋体" w:hAnsi="宋体" w:cs="宋体"/>
                <w:color w:val="auto"/>
                <w:kern w:val="0"/>
                <w:sz w:val="22"/>
                <w:highlight w:val="none"/>
              </w:rPr>
              <w:t>D305</w:t>
            </w:r>
            <w:r>
              <w:rPr>
                <w:rFonts w:hint="eastAsia" w:ascii="宋体" w:hAnsi="宋体" w:cs="宋体"/>
                <w:color w:val="auto"/>
                <w:kern w:val="0"/>
                <w:sz w:val="22"/>
                <w:highlight w:val="none"/>
              </w:rPr>
              <w:t>）和化学实验室</w:t>
            </w:r>
            <w:r>
              <w:rPr>
                <w:rFonts w:ascii="宋体" w:hAnsi="宋体" w:cs="宋体"/>
                <w:color w:val="auto"/>
                <w:kern w:val="0"/>
                <w:sz w:val="22"/>
                <w:highlight w:val="none"/>
              </w:rPr>
              <w:t>1</w:t>
            </w:r>
            <w:r>
              <w:rPr>
                <w:rFonts w:hint="eastAsia" w:ascii="宋体" w:hAnsi="宋体" w:cs="宋体"/>
                <w:color w:val="auto"/>
                <w:kern w:val="0"/>
                <w:sz w:val="22"/>
                <w:highlight w:val="none"/>
              </w:rPr>
              <w:t>间（</w:t>
            </w:r>
            <w:r>
              <w:rPr>
                <w:rFonts w:ascii="宋体" w:hAnsi="宋体" w:cs="宋体"/>
                <w:color w:val="auto"/>
                <w:kern w:val="0"/>
                <w:sz w:val="22"/>
                <w:highlight w:val="none"/>
              </w:rPr>
              <w:t>D101</w:t>
            </w:r>
            <w:r>
              <w:rPr>
                <w:rFonts w:hint="eastAsia" w:ascii="宋体" w:hAnsi="宋体" w:cs="宋体"/>
                <w:color w:val="auto"/>
                <w:kern w:val="0"/>
                <w:sz w:val="22"/>
                <w:highlight w:val="none"/>
              </w:rPr>
              <w:t>）</w:t>
            </w:r>
          </w:p>
          <w:p w14:paraId="58BE5C0C">
            <w:pPr>
              <w:tabs>
                <w:tab w:val="left" w:pos="7920"/>
              </w:tabs>
              <w:jc w:val="left"/>
              <w:rPr>
                <w:rFonts w:ascii="宋体" w:hAnsi="宋体" w:cs="宋体"/>
                <w:color w:val="auto"/>
                <w:kern w:val="0"/>
                <w:sz w:val="22"/>
                <w:szCs w:val="22"/>
                <w:highlight w:val="none"/>
              </w:rPr>
            </w:pPr>
            <w:r>
              <w:rPr>
                <w:rFonts w:ascii="宋体" w:hAnsi="宋体" w:cs="宋体"/>
                <w:color w:val="auto"/>
                <w:kern w:val="0"/>
                <w:sz w:val="22"/>
                <w:highlight w:val="none"/>
              </w:rPr>
              <w:t> </w:t>
            </w:r>
            <w:r>
              <w:rPr>
                <w:rFonts w:ascii="宋体" w:hAnsi="宋体" w:cs="宋体"/>
                <w:color w:val="auto"/>
                <w:kern w:val="0"/>
                <w:sz w:val="22"/>
                <w:highlight w:val="none"/>
              </w:rPr>
              <w:tab/>
            </w:r>
          </w:p>
          <w:p w14:paraId="19DE2A07">
            <w:pPr>
              <w:widowControl/>
              <w:jc w:val="left"/>
              <w:rPr>
                <w:rFonts w:ascii="宋体" w:hAnsi="宋体" w:cs="宋体"/>
                <w:color w:val="auto"/>
                <w:kern w:val="0"/>
                <w:sz w:val="22"/>
                <w:szCs w:val="22"/>
                <w:highlight w:val="none"/>
              </w:rPr>
            </w:pPr>
            <w:r>
              <w:rPr>
                <w:rFonts w:ascii="宋体" w:hAnsi="宋体" w:cs="宋体"/>
                <w:color w:val="auto"/>
                <w:kern w:val="0"/>
                <w:sz w:val="22"/>
                <w:highlight w:val="none"/>
              </w:rPr>
              <w:br w:type="page"/>
            </w:r>
          </w:p>
          <w:p w14:paraId="7AFF1712">
            <w:pPr>
              <w:jc w:val="left"/>
              <w:rPr>
                <w:rFonts w:ascii="宋体" w:hAnsi="宋体" w:cs="宋体"/>
                <w:color w:val="auto"/>
                <w:kern w:val="0"/>
                <w:sz w:val="22"/>
                <w:szCs w:val="22"/>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525"/>
              <w:gridCol w:w="2466"/>
              <w:gridCol w:w="1388"/>
              <w:gridCol w:w="920"/>
              <w:gridCol w:w="2396"/>
            </w:tblGrid>
            <w:tr w14:paraId="5290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0"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7250726">
                  <w:pPr>
                    <w:jc w:val="center"/>
                    <w:rPr>
                      <w:rFonts w:ascii="宋体" w:hAnsi="宋体" w:cs="宋体"/>
                      <w:b/>
                      <w:color w:val="auto"/>
                      <w:kern w:val="0"/>
                      <w:sz w:val="22"/>
                      <w:szCs w:val="22"/>
                      <w:highlight w:val="none"/>
                    </w:rPr>
                  </w:pPr>
                  <w:r>
                    <w:rPr>
                      <w:rFonts w:hint="eastAsia" w:ascii="宋体" w:hAnsi="宋体" w:cs="宋体"/>
                      <w:b/>
                      <w:color w:val="auto"/>
                      <w:kern w:val="0"/>
                      <w:sz w:val="22"/>
                      <w:highlight w:val="none"/>
                    </w:rPr>
                    <w:t>理工楼</w:t>
                  </w:r>
                  <w:r>
                    <w:rPr>
                      <w:rFonts w:ascii="宋体" w:hAnsi="宋体" w:cs="宋体"/>
                      <w:b/>
                      <w:color w:val="auto"/>
                      <w:kern w:val="0"/>
                      <w:sz w:val="22"/>
                      <w:highlight w:val="none"/>
                    </w:rPr>
                    <w:t>CSMT</w:t>
                  </w:r>
                </w:p>
              </w:tc>
            </w:tr>
            <w:tr w14:paraId="0AC0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BA2168B">
                  <w:pPr>
                    <w:jc w:val="center"/>
                    <w:rPr>
                      <w:rFonts w:ascii="宋体" w:hAnsi="宋体" w:cs="宋体"/>
                      <w:color w:val="auto"/>
                      <w:kern w:val="0"/>
                      <w:sz w:val="22"/>
                      <w:szCs w:val="22"/>
                      <w:highlight w:val="none"/>
                    </w:rPr>
                  </w:pPr>
                  <w:bookmarkStart w:id="26" w:name="OLE_LINK10"/>
                  <w:bookmarkEnd w:id="26"/>
                  <w:bookmarkStart w:id="27" w:name="OLE_LINK11"/>
                  <w:r>
                    <w:rPr>
                      <w:rFonts w:hint="eastAsia" w:ascii="宋体" w:hAnsi="宋体" w:cs="宋体"/>
                      <w:b/>
                      <w:color w:val="auto"/>
                      <w:kern w:val="0"/>
                      <w:sz w:val="22"/>
                      <w:highlight w:val="none"/>
                    </w:rPr>
                    <w:t>房间号</w:t>
                  </w:r>
                  <w:bookmarkEnd w:id="27"/>
                </w:p>
              </w:tc>
              <w:tc>
                <w:tcPr>
                  <w:tcW w:w="241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tcPr>
                <w:p w14:paraId="1447C85C">
                  <w:pPr>
                    <w:jc w:val="center"/>
                    <w:rPr>
                      <w:rFonts w:ascii="宋体" w:hAnsi="宋体" w:cs="宋体"/>
                      <w:color w:val="auto"/>
                      <w:kern w:val="0"/>
                      <w:sz w:val="22"/>
                      <w:szCs w:val="22"/>
                      <w:highlight w:val="none"/>
                    </w:rPr>
                  </w:pPr>
                  <w:r>
                    <w:rPr>
                      <w:rFonts w:hint="eastAsia" w:ascii="宋体" w:hAnsi="宋体" w:cs="宋体"/>
                      <w:b/>
                      <w:color w:val="auto"/>
                      <w:kern w:val="0"/>
                      <w:sz w:val="22"/>
                      <w:highlight w:val="none"/>
                    </w:rPr>
                    <w:t>房间名</w:t>
                  </w:r>
                </w:p>
              </w:tc>
              <w:tc>
                <w:tcPr>
                  <w:tcW w:w="3402"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tcPr>
                <w:p w14:paraId="20DE40A0">
                  <w:pPr>
                    <w:jc w:val="center"/>
                    <w:rPr>
                      <w:rFonts w:ascii="宋体" w:hAnsi="宋体" w:cs="宋体"/>
                      <w:color w:val="auto"/>
                      <w:kern w:val="0"/>
                      <w:sz w:val="22"/>
                      <w:szCs w:val="22"/>
                      <w:highlight w:val="none"/>
                    </w:rPr>
                  </w:pPr>
                  <w:r>
                    <w:rPr>
                      <w:rFonts w:hint="eastAsia" w:ascii="宋体" w:hAnsi="宋体" w:cs="宋体"/>
                      <w:b/>
                      <w:color w:val="auto"/>
                      <w:kern w:val="0"/>
                      <w:sz w:val="22"/>
                      <w:highlight w:val="none"/>
                    </w:rPr>
                    <w:t>仪器</w:t>
                  </w:r>
                </w:p>
              </w:tc>
              <w:tc>
                <w:tcPr>
                  <w:tcW w:w="1984"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tcPr>
                <w:p w14:paraId="0961ED61">
                  <w:pPr>
                    <w:jc w:val="center"/>
                    <w:rPr>
                      <w:rFonts w:ascii="宋体" w:hAnsi="宋体" w:cs="宋体"/>
                      <w:color w:val="auto"/>
                      <w:kern w:val="0"/>
                      <w:sz w:val="22"/>
                      <w:szCs w:val="22"/>
                      <w:highlight w:val="none"/>
                    </w:rPr>
                  </w:pPr>
                  <w:r>
                    <w:rPr>
                      <w:rFonts w:hint="eastAsia" w:ascii="宋体" w:hAnsi="宋体" w:cs="宋体"/>
                      <w:b/>
                      <w:color w:val="auto"/>
                      <w:kern w:val="0"/>
                      <w:sz w:val="22"/>
                      <w:highlight w:val="none"/>
                    </w:rPr>
                    <w:t>功能</w:t>
                  </w:r>
                </w:p>
              </w:tc>
              <w:tc>
                <w:tcPr>
                  <w:tcW w:w="1134"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tcPr>
                <w:p w14:paraId="0CDC5F02">
                  <w:pPr>
                    <w:jc w:val="center"/>
                    <w:rPr>
                      <w:rFonts w:ascii="宋体" w:hAnsi="宋体" w:cs="宋体"/>
                      <w:color w:val="auto"/>
                      <w:kern w:val="0"/>
                      <w:sz w:val="22"/>
                      <w:szCs w:val="22"/>
                      <w:highlight w:val="none"/>
                    </w:rPr>
                  </w:pPr>
                  <w:r>
                    <w:rPr>
                      <w:rFonts w:hint="eastAsia" w:ascii="宋体" w:hAnsi="宋体" w:cs="宋体"/>
                      <w:b/>
                      <w:color w:val="auto"/>
                      <w:kern w:val="0"/>
                      <w:sz w:val="22"/>
                      <w:highlight w:val="none"/>
                    </w:rPr>
                    <w:t>使用频率</w:t>
                  </w:r>
                </w:p>
              </w:tc>
              <w:tc>
                <w:tcPr>
                  <w:tcW w:w="3364"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tcPr>
                <w:p w14:paraId="7D358F1D">
                  <w:pPr>
                    <w:jc w:val="center"/>
                    <w:rPr>
                      <w:rFonts w:ascii="宋体" w:hAnsi="宋体" w:cs="宋体"/>
                      <w:color w:val="auto"/>
                      <w:kern w:val="0"/>
                      <w:sz w:val="22"/>
                      <w:szCs w:val="22"/>
                      <w:highlight w:val="none"/>
                    </w:rPr>
                  </w:pPr>
                  <w:r>
                    <w:rPr>
                      <w:rFonts w:hint="eastAsia" w:ascii="宋体" w:hAnsi="宋体" w:cs="宋体"/>
                      <w:b/>
                      <w:color w:val="auto"/>
                      <w:kern w:val="0"/>
                      <w:sz w:val="22"/>
                      <w:highlight w:val="none"/>
                    </w:rPr>
                    <w:t>特殊要求</w:t>
                  </w:r>
                </w:p>
              </w:tc>
            </w:tr>
            <w:tr w14:paraId="5944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0C3DB965">
                  <w:pPr>
                    <w:jc w:val="center"/>
                    <w:rPr>
                      <w:rFonts w:ascii="宋体" w:hAnsi="宋体" w:cs="宋体"/>
                      <w:color w:val="auto"/>
                      <w:kern w:val="0"/>
                      <w:sz w:val="22"/>
                      <w:szCs w:val="22"/>
                      <w:highlight w:val="none"/>
                    </w:rPr>
                  </w:pPr>
                  <w:r>
                    <w:rPr>
                      <w:rFonts w:ascii="宋体" w:hAnsi="宋体" w:cs="宋体"/>
                      <w:color w:val="auto"/>
                      <w:kern w:val="0"/>
                      <w:sz w:val="22"/>
                      <w:highlight w:val="none"/>
                    </w:rPr>
                    <w:t>223</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6FE1BB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环境科学教学实验室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D7A85B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水质分析仪，</w:t>
                  </w:r>
                  <w:r>
                    <w:rPr>
                      <w:rFonts w:ascii="宋体" w:hAnsi="宋体" w:cs="宋体"/>
                      <w:color w:val="auto"/>
                      <w:kern w:val="0"/>
                      <w:sz w:val="22"/>
                      <w:highlight w:val="none"/>
                    </w:rPr>
                    <w:t>pH</w:t>
                  </w:r>
                  <w:r>
                    <w:rPr>
                      <w:rFonts w:hint="eastAsia" w:ascii="宋体" w:hAnsi="宋体" w:cs="宋体"/>
                      <w:color w:val="auto"/>
                      <w:kern w:val="0"/>
                      <w:sz w:val="22"/>
                      <w:highlight w:val="none"/>
                    </w:rPr>
                    <w:t>计，离心机，水浴锅，天平</w:t>
                  </w:r>
                  <w:r>
                    <w:rPr>
                      <w:rFonts w:ascii="宋体" w:hAnsi="宋体" w:cs="宋体"/>
                      <w:color w:val="auto"/>
                      <w:kern w:val="0"/>
                      <w:sz w:val="22"/>
                      <w:highlight w:val="none"/>
                    </w:rPr>
                    <w:t xml:space="preserve">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0687A7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环境科学实验课程教学</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32F484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7F3A66C">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1B7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43F3B6B">
                  <w:pPr>
                    <w:jc w:val="center"/>
                    <w:rPr>
                      <w:rFonts w:ascii="宋体" w:hAnsi="宋体" w:cs="宋体"/>
                      <w:color w:val="auto"/>
                      <w:kern w:val="0"/>
                      <w:sz w:val="22"/>
                      <w:szCs w:val="22"/>
                      <w:highlight w:val="none"/>
                    </w:rPr>
                  </w:pPr>
                  <w:r>
                    <w:rPr>
                      <w:rFonts w:ascii="宋体" w:hAnsi="宋体" w:cs="宋体"/>
                      <w:color w:val="auto"/>
                      <w:kern w:val="0"/>
                      <w:sz w:val="22"/>
                      <w:highlight w:val="none"/>
                    </w:rPr>
                    <w:t>223A</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78D73EE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准备实验室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495053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纯水仪，冰箱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3F7404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环境科学实验课程教学准备</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F6A413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A545E6D">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64E3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360A3E6">
                  <w:pPr>
                    <w:jc w:val="center"/>
                    <w:rPr>
                      <w:rFonts w:ascii="宋体" w:hAnsi="宋体" w:cs="宋体"/>
                      <w:color w:val="auto"/>
                      <w:kern w:val="0"/>
                      <w:sz w:val="22"/>
                      <w:szCs w:val="22"/>
                      <w:highlight w:val="none"/>
                    </w:rPr>
                  </w:pPr>
                  <w:r>
                    <w:rPr>
                      <w:rFonts w:ascii="宋体" w:hAnsi="宋体" w:cs="宋体"/>
                      <w:color w:val="auto"/>
                      <w:kern w:val="0"/>
                      <w:sz w:val="22"/>
                      <w:highlight w:val="none"/>
                    </w:rPr>
                    <w:t>225</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D7C79C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自动清洗和水净化室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B58D59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灭菌锅、制冰机、洗衣机、纯水仪、</w:t>
                  </w:r>
                  <w:r>
                    <w:rPr>
                      <w:rFonts w:ascii="宋体" w:hAnsi="宋体" w:cs="宋体"/>
                      <w:color w:val="auto"/>
                      <w:kern w:val="0"/>
                      <w:sz w:val="22"/>
                      <w:highlight w:val="none"/>
                    </w:rPr>
                    <w:t>-80</w:t>
                  </w:r>
                  <w:r>
                    <w:rPr>
                      <w:rFonts w:hint="eastAsia" w:ascii="宋体" w:hAnsi="宋体" w:cs="宋体"/>
                      <w:color w:val="auto"/>
                      <w:kern w:val="0"/>
                      <w:sz w:val="22"/>
                      <w:highlight w:val="none"/>
                    </w:rPr>
                    <w:t>度冰箱</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A068C9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服务</w:t>
                  </w:r>
                  <w:r>
                    <w:rPr>
                      <w:rFonts w:ascii="宋体" w:hAnsi="宋体" w:cs="宋体"/>
                      <w:color w:val="auto"/>
                      <w:kern w:val="0"/>
                      <w:sz w:val="22"/>
                      <w:highlight w:val="none"/>
                    </w:rPr>
                    <w:t>2</w:t>
                  </w:r>
                  <w:r>
                    <w:rPr>
                      <w:rFonts w:hint="eastAsia" w:ascii="宋体" w:hAnsi="宋体" w:cs="宋体"/>
                      <w:color w:val="auto"/>
                      <w:kern w:val="0"/>
                      <w:sz w:val="22"/>
                      <w:highlight w:val="none"/>
                    </w:rPr>
                    <w:t>层全体实验室（制冰、灭菌、洗衣机、取水等）</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84B95E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6C2A93E">
                  <w:pPr>
                    <w:rPr>
                      <w:rFonts w:ascii="宋体" w:hAnsi="宋体" w:cs="宋体"/>
                      <w:color w:val="auto"/>
                      <w:kern w:val="0"/>
                      <w:sz w:val="22"/>
                      <w:szCs w:val="22"/>
                      <w:highlight w:val="none"/>
                    </w:rPr>
                  </w:pPr>
                  <w:r>
                    <w:rPr>
                      <w:rFonts w:hint="eastAsia" w:ascii="宋体" w:hAnsi="宋体" w:cs="宋体"/>
                      <w:color w:val="auto"/>
                      <w:kern w:val="0"/>
                      <w:sz w:val="22"/>
                      <w:highlight w:val="none"/>
                    </w:rPr>
                    <w:t> 灭菌锅腔体</w:t>
                  </w:r>
                  <w:r>
                    <w:rPr>
                      <w:rFonts w:ascii="宋体" w:hAnsi="宋体" w:cs="宋体"/>
                      <w:color w:val="auto"/>
                      <w:kern w:val="0"/>
                      <w:sz w:val="22"/>
                      <w:highlight w:val="none"/>
                    </w:rPr>
                    <w:t>1</w:t>
                  </w:r>
                  <w:r>
                    <w:rPr>
                      <w:rFonts w:hint="eastAsia" w:ascii="宋体" w:hAnsi="宋体" w:cs="宋体"/>
                      <w:color w:val="auto"/>
                      <w:kern w:val="0"/>
                      <w:sz w:val="22"/>
                      <w:highlight w:val="none"/>
                    </w:rPr>
                    <w:t>周清洗一次，更换腔体内的水；灭菌锅</w:t>
                  </w:r>
                  <w:r>
                    <w:rPr>
                      <w:rFonts w:ascii="宋体" w:hAnsi="宋体" w:cs="宋体"/>
                      <w:color w:val="auto"/>
                      <w:kern w:val="0"/>
                      <w:sz w:val="22"/>
                      <w:highlight w:val="none"/>
                    </w:rPr>
                    <w:t>1</w:t>
                  </w:r>
                  <w:r>
                    <w:rPr>
                      <w:rFonts w:hint="eastAsia" w:ascii="宋体" w:hAnsi="宋体" w:cs="宋体"/>
                      <w:color w:val="auto"/>
                      <w:kern w:val="0"/>
                      <w:sz w:val="22"/>
                      <w:highlight w:val="none"/>
                    </w:rPr>
                    <w:t>年安全阀等配件需拆卸送检安装</w:t>
                  </w:r>
                  <w:r>
                    <w:rPr>
                      <w:rFonts w:ascii="宋体" w:hAnsi="宋体" w:cs="宋体"/>
                      <w:color w:val="auto"/>
                      <w:kern w:val="0"/>
                      <w:sz w:val="22"/>
                      <w:highlight w:val="none"/>
                    </w:rPr>
                    <w:t>1</w:t>
                  </w:r>
                  <w:r>
                    <w:rPr>
                      <w:rFonts w:hint="eastAsia" w:ascii="宋体" w:hAnsi="宋体" w:cs="宋体"/>
                      <w:color w:val="auto"/>
                      <w:kern w:val="0"/>
                      <w:sz w:val="22"/>
                      <w:highlight w:val="none"/>
                    </w:rPr>
                    <w:t>次</w:t>
                  </w:r>
                </w:p>
              </w:tc>
            </w:tr>
            <w:tr w14:paraId="7524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06A6B725">
                  <w:pPr>
                    <w:jc w:val="center"/>
                    <w:rPr>
                      <w:rFonts w:ascii="宋体" w:hAnsi="宋体" w:cs="宋体"/>
                      <w:color w:val="auto"/>
                      <w:kern w:val="0"/>
                      <w:sz w:val="22"/>
                      <w:szCs w:val="22"/>
                      <w:highlight w:val="none"/>
                    </w:rPr>
                  </w:pPr>
                  <w:r>
                    <w:rPr>
                      <w:rFonts w:ascii="宋体" w:hAnsi="宋体" w:cs="宋体"/>
                      <w:color w:val="auto"/>
                      <w:kern w:val="0"/>
                      <w:sz w:val="22"/>
                      <w:highlight w:val="none"/>
                    </w:rPr>
                    <w:t>227</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4CCB3F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环境科学教学实验室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C22284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水质分析仪，</w:t>
                  </w:r>
                  <w:r>
                    <w:rPr>
                      <w:rFonts w:ascii="宋体" w:hAnsi="宋体" w:cs="宋体"/>
                      <w:color w:val="auto"/>
                      <w:kern w:val="0"/>
                      <w:sz w:val="22"/>
                      <w:highlight w:val="none"/>
                    </w:rPr>
                    <w:t>pH</w:t>
                  </w:r>
                  <w:r>
                    <w:rPr>
                      <w:rFonts w:hint="eastAsia" w:ascii="宋体" w:hAnsi="宋体" w:cs="宋体"/>
                      <w:color w:val="auto"/>
                      <w:kern w:val="0"/>
                      <w:sz w:val="22"/>
                      <w:highlight w:val="none"/>
                    </w:rPr>
                    <w:t>计，离心机，水浴锅，天平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56F580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环境科学实验课程教学</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B90B55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988EE25">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4F19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21287467">
                  <w:pPr>
                    <w:jc w:val="center"/>
                    <w:rPr>
                      <w:rFonts w:ascii="宋体" w:hAnsi="宋体" w:cs="宋体"/>
                      <w:color w:val="auto"/>
                      <w:kern w:val="0"/>
                      <w:sz w:val="22"/>
                      <w:szCs w:val="22"/>
                      <w:highlight w:val="none"/>
                    </w:rPr>
                  </w:pPr>
                  <w:r>
                    <w:rPr>
                      <w:rFonts w:ascii="宋体" w:hAnsi="宋体" w:cs="宋体"/>
                      <w:color w:val="auto"/>
                      <w:kern w:val="0"/>
                      <w:sz w:val="22"/>
                      <w:highlight w:val="none"/>
                    </w:rPr>
                    <w:t>209</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806447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地理建模与地理信息系统实验室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37E9501">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A270B2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环境科学实验课程教学</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6E47F9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中等</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6FF66D9">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791C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1C6AFFAB">
                  <w:pPr>
                    <w:jc w:val="center"/>
                    <w:rPr>
                      <w:rFonts w:ascii="宋体" w:hAnsi="宋体" w:cs="宋体"/>
                      <w:color w:val="auto"/>
                      <w:kern w:val="0"/>
                      <w:sz w:val="22"/>
                      <w:szCs w:val="22"/>
                      <w:highlight w:val="none"/>
                    </w:rPr>
                  </w:pPr>
                  <w:bookmarkStart w:id="28" w:name="_Hlk169270404"/>
                  <w:r>
                    <w:rPr>
                      <w:rFonts w:ascii="宋体" w:hAnsi="宋体" w:cs="宋体"/>
                      <w:color w:val="auto"/>
                      <w:kern w:val="0"/>
                      <w:sz w:val="22"/>
                      <w:highlight w:val="none"/>
                    </w:rPr>
                    <w:t>224</w:t>
                  </w:r>
                  <w:bookmarkEnd w:id="28"/>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FDF0BA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环境科学科研实验室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ACED8E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植物培养箱、</w:t>
                  </w:r>
                  <w:r>
                    <w:rPr>
                      <w:rFonts w:ascii="宋体" w:hAnsi="宋体" w:cs="宋体"/>
                      <w:color w:val="auto"/>
                      <w:kern w:val="0"/>
                      <w:sz w:val="22"/>
                      <w:highlight w:val="none"/>
                    </w:rPr>
                    <w:t>4</w:t>
                  </w:r>
                  <w:r>
                    <w:rPr>
                      <w:rFonts w:hint="eastAsia" w:ascii="宋体" w:hAnsi="宋体" w:cs="宋体"/>
                      <w:color w:val="auto"/>
                      <w:kern w:val="0"/>
                      <w:sz w:val="22"/>
                      <w:highlight w:val="none"/>
                    </w:rPr>
                    <w:t>度冰箱、</w:t>
                  </w:r>
                  <w:r>
                    <w:rPr>
                      <w:rFonts w:ascii="宋体" w:hAnsi="宋体" w:cs="宋体"/>
                      <w:color w:val="auto"/>
                      <w:kern w:val="0"/>
                      <w:sz w:val="22"/>
                      <w:highlight w:val="none"/>
                    </w:rPr>
                    <w:t>-20</w:t>
                  </w:r>
                  <w:r>
                    <w:rPr>
                      <w:rFonts w:hint="eastAsia" w:ascii="宋体" w:hAnsi="宋体" w:cs="宋体"/>
                      <w:color w:val="auto"/>
                      <w:kern w:val="0"/>
                      <w:sz w:val="22"/>
                      <w:highlight w:val="none"/>
                    </w:rPr>
                    <w:t>度冰箱、通风橱、天平、纯水仪、加热搅拌器、</w:t>
                  </w:r>
                  <w:r>
                    <w:rPr>
                      <w:rFonts w:ascii="宋体" w:hAnsi="宋体" w:cs="宋体"/>
                      <w:color w:val="auto"/>
                      <w:kern w:val="0"/>
                      <w:sz w:val="22"/>
                      <w:highlight w:val="none"/>
                    </w:rPr>
                    <w:t>pH</w:t>
                  </w:r>
                  <w:r>
                    <w:rPr>
                      <w:rFonts w:hint="eastAsia" w:ascii="宋体" w:hAnsi="宋体" w:cs="宋体"/>
                      <w:color w:val="auto"/>
                      <w:kern w:val="0"/>
                      <w:sz w:val="22"/>
                      <w:highlight w:val="none"/>
                    </w:rPr>
                    <w:t>计、水浴锅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C645B48">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10E9D9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8BF974C">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4506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4395897">
                  <w:pPr>
                    <w:jc w:val="center"/>
                    <w:rPr>
                      <w:rFonts w:ascii="宋体" w:hAnsi="宋体" w:cs="宋体"/>
                      <w:color w:val="auto"/>
                      <w:kern w:val="0"/>
                      <w:sz w:val="22"/>
                      <w:szCs w:val="22"/>
                      <w:highlight w:val="none"/>
                    </w:rPr>
                  </w:pPr>
                  <w:r>
                    <w:rPr>
                      <w:rFonts w:ascii="宋体" w:hAnsi="宋体" w:cs="宋体"/>
                      <w:color w:val="auto"/>
                      <w:kern w:val="0"/>
                      <w:sz w:val="22"/>
                      <w:highlight w:val="none"/>
                    </w:rPr>
                    <w:t>226</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7086E7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环境科学科研实验室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983EF9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植物培养箱、</w:t>
                  </w:r>
                  <w:r>
                    <w:rPr>
                      <w:rFonts w:ascii="宋体" w:hAnsi="宋体" w:cs="宋体"/>
                      <w:color w:val="auto"/>
                      <w:kern w:val="0"/>
                      <w:sz w:val="22"/>
                      <w:highlight w:val="none"/>
                    </w:rPr>
                    <w:t>4</w:t>
                  </w:r>
                  <w:r>
                    <w:rPr>
                      <w:rFonts w:hint="eastAsia" w:ascii="宋体" w:hAnsi="宋体" w:cs="宋体"/>
                      <w:color w:val="auto"/>
                      <w:kern w:val="0"/>
                      <w:sz w:val="22"/>
                      <w:highlight w:val="none"/>
                    </w:rPr>
                    <w:t>度冰箱、</w:t>
                  </w:r>
                  <w:r>
                    <w:rPr>
                      <w:rFonts w:ascii="宋体" w:hAnsi="宋体" w:cs="宋体"/>
                      <w:color w:val="auto"/>
                      <w:kern w:val="0"/>
                      <w:sz w:val="22"/>
                      <w:highlight w:val="none"/>
                    </w:rPr>
                    <w:t>-20</w:t>
                  </w:r>
                  <w:r>
                    <w:rPr>
                      <w:rFonts w:hint="eastAsia" w:ascii="宋体" w:hAnsi="宋体" w:cs="宋体"/>
                      <w:color w:val="auto"/>
                      <w:kern w:val="0"/>
                      <w:sz w:val="22"/>
                      <w:highlight w:val="none"/>
                    </w:rPr>
                    <w:t>度冰箱、通风橱、天平、纯水仪、加热搅拌器、</w:t>
                  </w:r>
                  <w:r>
                    <w:rPr>
                      <w:rFonts w:ascii="宋体" w:hAnsi="宋体" w:cs="宋体"/>
                      <w:color w:val="auto"/>
                      <w:kern w:val="0"/>
                      <w:sz w:val="22"/>
                      <w:highlight w:val="none"/>
                    </w:rPr>
                    <w:t>pH</w:t>
                  </w:r>
                  <w:r>
                    <w:rPr>
                      <w:rFonts w:hint="eastAsia" w:ascii="宋体" w:hAnsi="宋体" w:cs="宋体"/>
                      <w:color w:val="auto"/>
                      <w:kern w:val="0"/>
                      <w:sz w:val="22"/>
                      <w:highlight w:val="none"/>
                    </w:rPr>
                    <w:t>计、水浴锅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58ADAC1">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AF6FDB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070735C">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413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1AC6D2FB">
                  <w:pPr>
                    <w:jc w:val="center"/>
                    <w:rPr>
                      <w:rFonts w:ascii="宋体" w:hAnsi="宋体" w:cs="宋体"/>
                      <w:color w:val="auto"/>
                      <w:kern w:val="0"/>
                      <w:sz w:val="22"/>
                      <w:szCs w:val="22"/>
                      <w:highlight w:val="none"/>
                    </w:rPr>
                  </w:pPr>
                  <w:r>
                    <w:rPr>
                      <w:rFonts w:ascii="宋体" w:hAnsi="宋体" w:cs="宋体"/>
                      <w:color w:val="auto"/>
                      <w:kern w:val="0"/>
                      <w:sz w:val="22"/>
                      <w:highlight w:val="none"/>
                    </w:rPr>
                    <w:t>228</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898B05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普通物理学实验室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4B0D1B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普通电学、力学仪器</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E694AF8">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86DD3A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中等</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85D730D">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4A53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F35FFCB">
                  <w:pPr>
                    <w:jc w:val="center"/>
                    <w:rPr>
                      <w:rFonts w:ascii="宋体" w:hAnsi="宋体" w:cs="宋体"/>
                      <w:color w:val="auto"/>
                      <w:kern w:val="0"/>
                      <w:sz w:val="22"/>
                      <w:szCs w:val="22"/>
                      <w:highlight w:val="none"/>
                    </w:rPr>
                  </w:pPr>
                  <w:r>
                    <w:rPr>
                      <w:rFonts w:ascii="宋体" w:hAnsi="宋体" w:cs="宋体"/>
                      <w:color w:val="auto"/>
                      <w:kern w:val="0"/>
                      <w:sz w:val="22"/>
                      <w:highlight w:val="none"/>
                    </w:rPr>
                    <w:t>229</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5A2E9C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国际合作研究中心</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5EF921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大型冷冻离心机、小型冷冻离心机、</w:t>
                  </w:r>
                  <w:r>
                    <w:rPr>
                      <w:rFonts w:ascii="宋体" w:hAnsi="宋体" w:cs="宋体"/>
                      <w:color w:val="auto"/>
                      <w:kern w:val="0"/>
                      <w:sz w:val="22"/>
                      <w:highlight w:val="none"/>
                    </w:rPr>
                    <w:t>4</w:t>
                  </w:r>
                  <w:r>
                    <w:rPr>
                      <w:rFonts w:hint="eastAsia" w:ascii="宋体" w:hAnsi="宋体" w:cs="宋体"/>
                      <w:color w:val="auto"/>
                      <w:kern w:val="0"/>
                      <w:sz w:val="22"/>
                      <w:highlight w:val="none"/>
                    </w:rPr>
                    <w:t>度冰箱、</w:t>
                  </w:r>
                  <w:r>
                    <w:rPr>
                      <w:rFonts w:ascii="宋体" w:hAnsi="宋体" w:cs="宋体"/>
                      <w:color w:val="auto"/>
                      <w:kern w:val="0"/>
                      <w:sz w:val="22"/>
                      <w:highlight w:val="none"/>
                    </w:rPr>
                    <w:t>-20</w:t>
                  </w:r>
                  <w:r>
                    <w:rPr>
                      <w:rFonts w:hint="eastAsia" w:ascii="宋体" w:hAnsi="宋体" w:cs="宋体"/>
                      <w:color w:val="auto"/>
                      <w:kern w:val="0"/>
                      <w:sz w:val="22"/>
                      <w:highlight w:val="none"/>
                    </w:rPr>
                    <w:t>度冰箱、二氧化碳培养箱、生物安全柜、液氮罐</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2C486E6">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877F9C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DB6010F">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34F5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04EFA185">
                  <w:pPr>
                    <w:jc w:val="center"/>
                    <w:rPr>
                      <w:rFonts w:ascii="宋体" w:hAnsi="宋体" w:cs="宋体"/>
                      <w:color w:val="auto"/>
                      <w:kern w:val="0"/>
                      <w:sz w:val="22"/>
                      <w:szCs w:val="22"/>
                      <w:highlight w:val="none"/>
                    </w:rPr>
                  </w:pPr>
                  <w:r>
                    <w:rPr>
                      <w:rFonts w:ascii="宋体" w:hAnsi="宋体" w:cs="宋体"/>
                      <w:color w:val="auto"/>
                      <w:kern w:val="0"/>
                      <w:sz w:val="22"/>
                      <w:highlight w:val="none"/>
                    </w:rPr>
                    <w:t>230</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8141A3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国际合作研究中心</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63ECB4F">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20A5E02">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2C5311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A81E9DB">
                  <w:pPr>
                    <w:rPr>
                      <w:rFonts w:ascii="宋体" w:hAnsi="宋体" w:cs="宋体"/>
                      <w:color w:val="auto"/>
                      <w:kern w:val="0"/>
                      <w:sz w:val="22"/>
                      <w:szCs w:val="22"/>
                      <w:highlight w:val="none"/>
                    </w:rPr>
                  </w:pPr>
                  <w:r>
                    <w:rPr>
                      <w:rFonts w:hint="eastAsia" w:ascii="宋体" w:hAnsi="宋体" w:cs="宋体"/>
                      <w:color w:val="auto"/>
                      <w:kern w:val="0"/>
                      <w:sz w:val="22"/>
                      <w:highlight w:val="none"/>
                    </w:rPr>
                    <w:t>  液氮罐需要检查，及时添加液氮</w:t>
                  </w:r>
                </w:p>
              </w:tc>
            </w:tr>
            <w:tr w14:paraId="3585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AB3DFF4">
                  <w:pPr>
                    <w:jc w:val="center"/>
                    <w:rPr>
                      <w:rFonts w:ascii="宋体" w:hAnsi="宋体" w:cs="宋体"/>
                      <w:color w:val="auto"/>
                      <w:kern w:val="0"/>
                      <w:sz w:val="22"/>
                      <w:szCs w:val="22"/>
                      <w:highlight w:val="none"/>
                    </w:rPr>
                  </w:pPr>
                  <w:r>
                    <w:rPr>
                      <w:rFonts w:ascii="宋体" w:hAnsi="宋体" w:cs="宋体"/>
                      <w:color w:val="auto"/>
                      <w:kern w:val="0"/>
                      <w:sz w:val="22"/>
                      <w:highlight w:val="none"/>
                    </w:rPr>
                    <w:t>307</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1A3650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生物信息学实验室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46707F9">
                  <w:pPr>
                    <w:jc w:val="center"/>
                    <w:rPr>
                      <w:rFonts w:ascii="宋体" w:hAnsi="宋体" w:cs="宋体"/>
                      <w:color w:val="auto"/>
                      <w:kern w:val="0"/>
                      <w:sz w:val="22"/>
                      <w:szCs w:val="22"/>
                      <w:highlight w:val="none"/>
                    </w:rPr>
                  </w:pPr>
                  <w:r>
                    <w:rPr>
                      <w:rFonts w:ascii="宋体" w:hAnsi="宋体" w:cs="宋体"/>
                      <w:color w:val="auto"/>
                      <w:kern w:val="0"/>
                      <w:sz w:val="22"/>
                      <w:highlight w:val="none"/>
                    </w:rPr>
                    <w:t> </w:t>
                  </w:r>
                  <w:r>
                    <w:rPr>
                      <w:rFonts w:hint="eastAsia" w:ascii="宋体" w:hAnsi="宋体" w:cs="宋体"/>
                      <w:color w:val="auto"/>
                      <w:kern w:val="0"/>
                      <w:sz w:val="22"/>
                      <w:highlight w:val="none"/>
                    </w:rPr>
                    <w:t>服务器</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FA993CD">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798101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中等</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FAE1C6B">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26CD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E7AD7CE">
                  <w:pPr>
                    <w:jc w:val="center"/>
                    <w:rPr>
                      <w:rFonts w:ascii="宋体" w:hAnsi="宋体" w:cs="宋体"/>
                      <w:color w:val="auto"/>
                      <w:kern w:val="0"/>
                      <w:sz w:val="22"/>
                      <w:szCs w:val="22"/>
                      <w:highlight w:val="none"/>
                    </w:rPr>
                  </w:pPr>
                  <w:r>
                    <w:rPr>
                      <w:rFonts w:ascii="宋体" w:hAnsi="宋体" w:cs="宋体"/>
                      <w:color w:val="auto"/>
                      <w:kern w:val="0"/>
                      <w:sz w:val="22"/>
                      <w:highlight w:val="none"/>
                    </w:rPr>
                    <w:t>308</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9B5C92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仪器室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DF3F7A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共聚焦显微镜</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36F9004">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9F4A997">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A1AF246">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F1D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0192E84">
                  <w:pPr>
                    <w:jc w:val="center"/>
                    <w:rPr>
                      <w:rFonts w:ascii="宋体" w:hAnsi="宋体" w:cs="宋体"/>
                      <w:color w:val="auto"/>
                      <w:kern w:val="0"/>
                      <w:sz w:val="22"/>
                      <w:szCs w:val="22"/>
                      <w:highlight w:val="none"/>
                    </w:rPr>
                  </w:pPr>
                  <w:r>
                    <w:rPr>
                      <w:rFonts w:ascii="宋体" w:hAnsi="宋体" w:cs="宋体"/>
                      <w:color w:val="auto"/>
                      <w:kern w:val="0"/>
                      <w:sz w:val="22"/>
                      <w:highlight w:val="none"/>
                    </w:rPr>
                    <w:t>309</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11A5C5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仪器室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B563087">
                  <w:pPr>
                    <w:jc w:val="center"/>
                    <w:rPr>
                      <w:rFonts w:ascii="宋体" w:hAnsi="宋体" w:cs="宋体"/>
                      <w:color w:val="auto"/>
                      <w:kern w:val="0"/>
                      <w:sz w:val="22"/>
                      <w:szCs w:val="22"/>
                      <w:highlight w:val="none"/>
                    </w:rPr>
                  </w:pPr>
                  <w:r>
                    <w:rPr>
                      <w:rFonts w:ascii="宋体" w:hAnsi="宋体" w:cs="宋体"/>
                      <w:color w:val="auto"/>
                      <w:kern w:val="0"/>
                      <w:sz w:val="22"/>
                      <w:highlight w:val="none"/>
                    </w:rPr>
                    <w:t>-80</w:t>
                  </w:r>
                  <w:r>
                    <w:rPr>
                      <w:rFonts w:hint="eastAsia" w:ascii="宋体" w:hAnsi="宋体" w:cs="宋体"/>
                      <w:color w:val="auto"/>
                      <w:kern w:val="0"/>
                      <w:sz w:val="22"/>
                      <w:highlight w:val="none"/>
                    </w:rPr>
                    <w:t>度冰箱、生物安全柜、灭菌锅、培养箱</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4909598">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9C7A71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中等</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B61B9AD">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4029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9BBF4F9">
                  <w:pPr>
                    <w:jc w:val="center"/>
                    <w:rPr>
                      <w:rFonts w:ascii="宋体" w:hAnsi="宋体" w:cs="宋体"/>
                      <w:color w:val="auto"/>
                      <w:kern w:val="0"/>
                      <w:sz w:val="22"/>
                      <w:szCs w:val="22"/>
                      <w:highlight w:val="none"/>
                    </w:rPr>
                  </w:pPr>
                  <w:r>
                    <w:rPr>
                      <w:rFonts w:ascii="宋体" w:hAnsi="宋体" w:cs="宋体"/>
                      <w:color w:val="auto"/>
                      <w:kern w:val="0"/>
                      <w:sz w:val="22"/>
                      <w:highlight w:val="none"/>
                    </w:rPr>
                    <w:t>310</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AB1C8F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病原微生物学实验室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177F47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大型冷冻离心机、小型冷冻离心机、培养箱、干燥箱、化学防爆柜、通风橱、</w:t>
                  </w:r>
                  <w:r>
                    <w:rPr>
                      <w:rFonts w:ascii="宋体" w:hAnsi="宋体" w:cs="宋体"/>
                      <w:color w:val="auto"/>
                      <w:kern w:val="0"/>
                      <w:sz w:val="22"/>
                      <w:highlight w:val="none"/>
                    </w:rPr>
                    <w:t>pH</w:t>
                  </w:r>
                  <w:r>
                    <w:rPr>
                      <w:rFonts w:hint="eastAsia" w:ascii="宋体" w:hAnsi="宋体" w:cs="宋体"/>
                      <w:color w:val="auto"/>
                      <w:kern w:val="0"/>
                      <w:sz w:val="22"/>
                      <w:highlight w:val="none"/>
                    </w:rPr>
                    <w:t>计、天平、</w:t>
                  </w:r>
                  <w:r>
                    <w:rPr>
                      <w:rFonts w:ascii="宋体" w:hAnsi="宋体" w:cs="宋体"/>
                      <w:color w:val="auto"/>
                      <w:kern w:val="0"/>
                      <w:sz w:val="22"/>
                      <w:highlight w:val="none"/>
                    </w:rPr>
                    <w:t>pcr</w:t>
                  </w:r>
                  <w:r>
                    <w:rPr>
                      <w:rFonts w:hint="eastAsia" w:ascii="宋体" w:hAnsi="宋体" w:cs="宋体"/>
                      <w:color w:val="auto"/>
                      <w:kern w:val="0"/>
                      <w:sz w:val="22"/>
                      <w:highlight w:val="none"/>
                    </w:rPr>
                    <w:t>仪、纯水仪、加热搅拌器、水浴锅等</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1EA4462">
                  <w:pPr>
                    <w:jc w:val="center"/>
                    <w:rPr>
                      <w:rFonts w:ascii="宋体" w:hAnsi="宋体" w:cs="宋体"/>
                      <w:color w:val="auto"/>
                      <w:kern w:val="0"/>
                      <w:sz w:val="22"/>
                      <w:szCs w:val="22"/>
                      <w:highlight w:val="none"/>
                    </w:rPr>
                  </w:pPr>
                  <w:r>
                    <w:rPr>
                      <w:rFonts w:ascii="宋体" w:hAnsi="宋体" w:cs="宋体"/>
                      <w:color w:val="auto"/>
                      <w:kern w:val="0"/>
                      <w:sz w:val="22"/>
                      <w:highlight w:val="none"/>
                    </w:rPr>
                    <w:t>BSL2</w:t>
                  </w:r>
                  <w:r>
                    <w:rPr>
                      <w:rFonts w:hint="eastAsia" w:ascii="宋体" w:hAnsi="宋体" w:cs="宋体"/>
                      <w:color w:val="auto"/>
                      <w:kern w:val="0"/>
                      <w:sz w:val="22"/>
                      <w:highlight w:val="none"/>
                    </w:rPr>
                    <w:t>级实验室</w:t>
                  </w:r>
                  <w:r>
                    <w:rPr>
                      <w:rFonts w:ascii="宋体" w:hAnsi="宋体" w:cs="宋体"/>
                      <w:color w:val="auto"/>
                      <w:kern w:val="0"/>
                      <w:sz w:val="22"/>
                      <w:highlight w:val="none"/>
                    </w:rPr>
                    <w:t xml:space="preserve"> </w:t>
                  </w:r>
                </w:p>
                <w:p w14:paraId="534E448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目前尚未启用</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CA8FD6F">
                  <w:pPr>
                    <w:jc w:val="center"/>
                    <w:rPr>
                      <w:rFonts w:ascii="宋体" w:hAnsi="宋体" w:cs="宋体"/>
                      <w:color w:val="auto"/>
                      <w:kern w:val="0"/>
                      <w:sz w:val="22"/>
                      <w:szCs w:val="22"/>
                      <w:highlight w:val="none"/>
                    </w:rPr>
                  </w:pPr>
                  <w:r>
                    <w:rPr>
                      <w:rFonts w:ascii="宋体" w:hAnsi="宋体" w:cs="宋体"/>
                      <w:color w:val="auto"/>
                      <w:kern w:val="0"/>
                      <w:sz w:val="22"/>
                      <w:highlight w:val="none"/>
                    </w:rPr>
                    <w:t>/</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A0F8335">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547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123CDB16">
                  <w:pPr>
                    <w:jc w:val="center"/>
                    <w:rPr>
                      <w:rFonts w:ascii="宋体" w:hAnsi="宋体" w:cs="宋体"/>
                      <w:color w:val="auto"/>
                      <w:kern w:val="0"/>
                      <w:sz w:val="22"/>
                      <w:szCs w:val="22"/>
                      <w:highlight w:val="none"/>
                    </w:rPr>
                  </w:pPr>
                  <w:r>
                    <w:rPr>
                      <w:rFonts w:ascii="宋体" w:hAnsi="宋体" w:cs="宋体"/>
                      <w:color w:val="auto"/>
                      <w:kern w:val="0"/>
                      <w:sz w:val="22"/>
                      <w:highlight w:val="none"/>
                    </w:rPr>
                    <w:t>323</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3AD869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生物和生物技术实验室细胞与分子生物学</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31190D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二氧化碳培养箱、生物安全柜等</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3EE929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生物教授的科研实验室</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279DEA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85F90EC">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674B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7462617C">
                  <w:pPr>
                    <w:jc w:val="center"/>
                    <w:rPr>
                      <w:rFonts w:ascii="宋体" w:hAnsi="宋体" w:cs="宋体"/>
                      <w:color w:val="auto"/>
                      <w:kern w:val="0"/>
                      <w:sz w:val="22"/>
                      <w:szCs w:val="22"/>
                      <w:highlight w:val="none"/>
                    </w:rPr>
                  </w:pPr>
                  <w:r>
                    <w:rPr>
                      <w:rFonts w:ascii="宋体" w:hAnsi="宋体" w:cs="宋体"/>
                      <w:color w:val="auto"/>
                      <w:kern w:val="0"/>
                      <w:sz w:val="22"/>
                      <w:highlight w:val="none"/>
                    </w:rPr>
                    <w:t>323A</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D42CC1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细胞培养室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69CFD9B">
                  <w:pPr>
                    <w:jc w:val="center"/>
                    <w:rPr>
                      <w:rFonts w:ascii="宋体" w:hAnsi="宋体" w:cs="宋体"/>
                      <w:color w:val="auto"/>
                      <w:kern w:val="0"/>
                      <w:sz w:val="22"/>
                      <w:szCs w:val="22"/>
                      <w:highlight w:val="none"/>
                    </w:rPr>
                  </w:pPr>
                  <w:r>
                    <w:rPr>
                      <w:rFonts w:ascii="宋体" w:hAnsi="宋体" w:cs="宋体"/>
                      <w:color w:val="auto"/>
                      <w:kern w:val="0"/>
                      <w:sz w:val="22"/>
                      <w:highlight w:val="none"/>
                    </w:rPr>
                    <w:t>-80</w:t>
                  </w:r>
                  <w:r>
                    <w:rPr>
                      <w:rFonts w:hint="eastAsia" w:ascii="宋体" w:hAnsi="宋体" w:cs="宋体"/>
                      <w:color w:val="auto"/>
                      <w:kern w:val="0"/>
                      <w:sz w:val="22"/>
                      <w:highlight w:val="none"/>
                    </w:rPr>
                    <w:t>度冰箱、液氮罐</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FB9D609">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754EFF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08772CA">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6A31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FCF1E1B">
                  <w:pPr>
                    <w:jc w:val="center"/>
                    <w:rPr>
                      <w:rFonts w:ascii="宋体" w:hAnsi="宋体" w:cs="宋体"/>
                      <w:color w:val="auto"/>
                      <w:kern w:val="0"/>
                      <w:sz w:val="22"/>
                      <w:szCs w:val="22"/>
                      <w:highlight w:val="none"/>
                    </w:rPr>
                  </w:pPr>
                  <w:r>
                    <w:rPr>
                      <w:rFonts w:ascii="宋体" w:hAnsi="宋体" w:cs="宋体"/>
                      <w:color w:val="auto"/>
                      <w:kern w:val="0"/>
                      <w:sz w:val="22"/>
                      <w:highlight w:val="none"/>
                    </w:rPr>
                    <w:t>323B</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7C2D77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设备室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8D19C8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灭菌锅、制冰机、洗衣机、纯水仪</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C6F5AEF">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70065E1">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5514787">
                  <w:pPr>
                    <w:rPr>
                      <w:rFonts w:ascii="宋体" w:hAnsi="宋体" w:cs="宋体"/>
                      <w:color w:val="auto"/>
                      <w:kern w:val="0"/>
                      <w:sz w:val="22"/>
                      <w:szCs w:val="22"/>
                      <w:highlight w:val="none"/>
                    </w:rPr>
                  </w:pPr>
                  <w:r>
                    <w:rPr>
                      <w:rFonts w:hint="eastAsia" w:ascii="宋体" w:hAnsi="宋体" w:cs="宋体"/>
                      <w:color w:val="auto"/>
                      <w:kern w:val="0"/>
                      <w:sz w:val="22"/>
                      <w:highlight w:val="none"/>
                    </w:rPr>
                    <w:t> 液氮罐需要检查，及时添加液氮</w:t>
                  </w:r>
                </w:p>
              </w:tc>
            </w:tr>
            <w:tr w14:paraId="3FB9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0F5C63DD">
                  <w:pPr>
                    <w:jc w:val="center"/>
                    <w:rPr>
                      <w:rFonts w:ascii="宋体" w:hAnsi="宋体" w:cs="宋体"/>
                      <w:color w:val="auto"/>
                      <w:kern w:val="0"/>
                      <w:sz w:val="22"/>
                      <w:szCs w:val="22"/>
                      <w:highlight w:val="none"/>
                    </w:rPr>
                  </w:pPr>
                  <w:r>
                    <w:rPr>
                      <w:rFonts w:ascii="宋体" w:hAnsi="宋体" w:cs="宋体"/>
                      <w:color w:val="auto"/>
                      <w:kern w:val="0"/>
                      <w:sz w:val="22"/>
                      <w:highlight w:val="none"/>
                    </w:rPr>
                    <w:t>323C</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666FD5D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自动清洗和水净化室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B6CBBE1">
                  <w:pPr>
                    <w:jc w:val="center"/>
                    <w:rPr>
                      <w:rFonts w:ascii="宋体" w:hAnsi="宋体" w:cs="宋体"/>
                      <w:color w:val="auto"/>
                      <w:kern w:val="0"/>
                      <w:sz w:val="22"/>
                      <w:szCs w:val="22"/>
                      <w:highlight w:val="none"/>
                    </w:rPr>
                  </w:pPr>
                  <w:r>
                    <w:rPr>
                      <w:rFonts w:ascii="宋体" w:hAnsi="宋体" w:cs="宋体"/>
                      <w:color w:val="auto"/>
                      <w:kern w:val="0"/>
                      <w:sz w:val="22"/>
                      <w:highlight w:val="none"/>
                    </w:rPr>
                    <w:t> </w:t>
                  </w:r>
                  <w:r>
                    <w:rPr>
                      <w:rFonts w:hint="eastAsia" w:ascii="宋体" w:hAnsi="宋体" w:cs="宋体"/>
                      <w:color w:val="auto"/>
                      <w:kern w:val="0"/>
                      <w:sz w:val="22"/>
                      <w:highlight w:val="none"/>
                    </w:rPr>
                    <w:t>灭菌锅、制冰机、洗衣机、纯水仪、</w:t>
                  </w:r>
                  <w:r>
                    <w:rPr>
                      <w:rFonts w:ascii="宋体" w:hAnsi="宋体" w:cs="宋体"/>
                      <w:color w:val="auto"/>
                      <w:kern w:val="0"/>
                      <w:sz w:val="22"/>
                      <w:highlight w:val="none"/>
                    </w:rPr>
                    <w:t>-80</w:t>
                  </w:r>
                  <w:r>
                    <w:rPr>
                      <w:rFonts w:hint="eastAsia" w:ascii="宋体" w:hAnsi="宋体" w:cs="宋体"/>
                      <w:color w:val="auto"/>
                      <w:kern w:val="0"/>
                      <w:sz w:val="22"/>
                      <w:highlight w:val="none"/>
                    </w:rPr>
                    <w:t>度冰箱</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57087D8">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91852E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530E47A">
                  <w:pPr>
                    <w:rPr>
                      <w:rFonts w:ascii="宋体" w:hAnsi="宋体" w:cs="宋体"/>
                      <w:color w:val="auto"/>
                      <w:kern w:val="0"/>
                      <w:sz w:val="22"/>
                      <w:szCs w:val="22"/>
                      <w:highlight w:val="none"/>
                    </w:rPr>
                  </w:pPr>
                  <w:r>
                    <w:rPr>
                      <w:rFonts w:hint="eastAsia" w:ascii="宋体" w:hAnsi="宋体" w:cs="宋体"/>
                      <w:color w:val="auto"/>
                      <w:kern w:val="0"/>
                      <w:sz w:val="22"/>
                      <w:highlight w:val="none"/>
                    </w:rPr>
                    <w:t> 灭菌锅腔体</w:t>
                  </w:r>
                  <w:r>
                    <w:rPr>
                      <w:rFonts w:ascii="宋体" w:hAnsi="宋体" w:cs="宋体"/>
                      <w:color w:val="auto"/>
                      <w:kern w:val="0"/>
                      <w:sz w:val="22"/>
                      <w:highlight w:val="none"/>
                    </w:rPr>
                    <w:t>1</w:t>
                  </w:r>
                  <w:r>
                    <w:rPr>
                      <w:rFonts w:hint="eastAsia" w:ascii="宋体" w:hAnsi="宋体" w:cs="宋体"/>
                      <w:color w:val="auto"/>
                      <w:kern w:val="0"/>
                      <w:sz w:val="22"/>
                      <w:highlight w:val="none"/>
                    </w:rPr>
                    <w:t>周清洗一次，更换腔体内的水；灭菌锅</w:t>
                  </w:r>
                  <w:r>
                    <w:rPr>
                      <w:rFonts w:ascii="宋体" w:hAnsi="宋体" w:cs="宋体"/>
                      <w:color w:val="auto"/>
                      <w:kern w:val="0"/>
                      <w:sz w:val="22"/>
                      <w:highlight w:val="none"/>
                    </w:rPr>
                    <w:t>1</w:t>
                  </w:r>
                  <w:r>
                    <w:rPr>
                      <w:rFonts w:hint="eastAsia" w:ascii="宋体" w:hAnsi="宋体" w:cs="宋体"/>
                      <w:color w:val="auto"/>
                      <w:kern w:val="0"/>
                      <w:sz w:val="22"/>
                      <w:highlight w:val="none"/>
                    </w:rPr>
                    <w:t>年安全阀等配件需拆卸送检安装</w:t>
                  </w:r>
                  <w:r>
                    <w:rPr>
                      <w:rFonts w:ascii="宋体" w:hAnsi="宋体" w:cs="宋体"/>
                      <w:color w:val="auto"/>
                      <w:kern w:val="0"/>
                      <w:sz w:val="22"/>
                      <w:highlight w:val="none"/>
                    </w:rPr>
                    <w:t>1</w:t>
                  </w:r>
                  <w:r>
                    <w:rPr>
                      <w:rFonts w:hint="eastAsia" w:ascii="宋体" w:hAnsi="宋体" w:cs="宋体"/>
                      <w:color w:val="auto"/>
                      <w:kern w:val="0"/>
                      <w:sz w:val="22"/>
                      <w:highlight w:val="none"/>
                    </w:rPr>
                    <w:t>次</w:t>
                  </w:r>
                </w:p>
              </w:tc>
            </w:tr>
            <w:tr w14:paraId="2029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45A6E51">
                  <w:pPr>
                    <w:jc w:val="center"/>
                    <w:rPr>
                      <w:rFonts w:ascii="宋体" w:hAnsi="宋体" w:cs="宋体"/>
                      <w:color w:val="auto"/>
                      <w:kern w:val="0"/>
                      <w:sz w:val="22"/>
                      <w:szCs w:val="22"/>
                      <w:highlight w:val="none"/>
                    </w:rPr>
                  </w:pPr>
                  <w:r>
                    <w:rPr>
                      <w:rFonts w:ascii="宋体" w:hAnsi="宋体" w:cs="宋体"/>
                      <w:color w:val="auto"/>
                      <w:kern w:val="0"/>
                      <w:sz w:val="22"/>
                      <w:highlight w:val="none"/>
                    </w:rPr>
                    <w:t>323D</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2C4707F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冷藏室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C08A5A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大型冷冻离心机、小型冷冻离心机、培养箱、干燥箱、化学防爆柜、通风橱、</w:t>
                  </w:r>
                  <w:r>
                    <w:rPr>
                      <w:rFonts w:ascii="宋体" w:hAnsi="宋体" w:cs="宋体"/>
                      <w:color w:val="auto"/>
                      <w:kern w:val="0"/>
                      <w:sz w:val="22"/>
                      <w:highlight w:val="none"/>
                    </w:rPr>
                    <w:t>pH</w:t>
                  </w:r>
                  <w:r>
                    <w:rPr>
                      <w:rFonts w:hint="eastAsia" w:ascii="宋体" w:hAnsi="宋体" w:cs="宋体"/>
                      <w:color w:val="auto"/>
                      <w:kern w:val="0"/>
                      <w:sz w:val="22"/>
                      <w:highlight w:val="none"/>
                    </w:rPr>
                    <w:t>计、天平、</w:t>
                  </w:r>
                  <w:r>
                    <w:rPr>
                      <w:rFonts w:ascii="宋体" w:hAnsi="宋体" w:cs="宋体"/>
                      <w:color w:val="auto"/>
                      <w:kern w:val="0"/>
                      <w:sz w:val="22"/>
                      <w:highlight w:val="none"/>
                    </w:rPr>
                    <w:t>pcr</w:t>
                  </w:r>
                  <w:r>
                    <w:rPr>
                      <w:rFonts w:hint="eastAsia" w:ascii="宋体" w:hAnsi="宋体" w:cs="宋体"/>
                      <w:color w:val="auto"/>
                      <w:kern w:val="0"/>
                      <w:sz w:val="22"/>
                      <w:highlight w:val="none"/>
                    </w:rPr>
                    <w:t>仪、纯水仪、加热搅拌器、水浴锅等</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2C8EB1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冷库，有货架放平板、待灭菌的废弃物等</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0EF93E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209770E">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236B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691B3484">
                  <w:pPr>
                    <w:jc w:val="center"/>
                    <w:rPr>
                      <w:rFonts w:ascii="宋体" w:hAnsi="宋体" w:cs="宋体"/>
                      <w:color w:val="auto"/>
                      <w:kern w:val="0"/>
                      <w:sz w:val="22"/>
                      <w:szCs w:val="22"/>
                      <w:highlight w:val="none"/>
                    </w:rPr>
                  </w:pPr>
                  <w:r>
                    <w:rPr>
                      <w:rFonts w:ascii="宋体" w:hAnsi="宋体" w:cs="宋体"/>
                      <w:color w:val="auto"/>
                      <w:kern w:val="0"/>
                      <w:sz w:val="22"/>
                      <w:highlight w:val="none"/>
                    </w:rPr>
                    <w:t>324</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53BA8CC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生物和生物技术实验室细胞与分子生物学</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6B6E26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二氧化碳培养箱、生物安全柜、细胞计数仪、</w:t>
                  </w:r>
                  <w:r>
                    <w:rPr>
                      <w:rFonts w:ascii="宋体" w:hAnsi="宋体" w:cs="宋体"/>
                      <w:color w:val="auto"/>
                      <w:kern w:val="0"/>
                      <w:sz w:val="22"/>
                      <w:highlight w:val="none"/>
                    </w:rPr>
                    <w:t>4</w:t>
                  </w:r>
                  <w:r>
                    <w:rPr>
                      <w:rFonts w:hint="eastAsia" w:ascii="宋体" w:hAnsi="宋体" w:cs="宋体"/>
                      <w:color w:val="auto"/>
                      <w:kern w:val="0"/>
                      <w:sz w:val="22"/>
                      <w:highlight w:val="none"/>
                    </w:rPr>
                    <w:t>度冰箱等</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117F018">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E62936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6BE73BF">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57C2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62BFD76F">
                  <w:pPr>
                    <w:jc w:val="center"/>
                    <w:rPr>
                      <w:rFonts w:ascii="宋体" w:hAnsi="宋体" w:cs="宋体"/>
                      <w:color w:val="auto"/>
                      <w:kern w:val="0"/>
                      <w:sz w:val="22"/>
                      <w:szCs w:val="22"/>
                      <w:highlight w:val="none"/>
                    </w:rPr>
                  </w:pPr>
                  <w:r>
                    <w:rPr>
                      <w:rFonts w:ascii="宋体" w:hAnsi="宋体" w:cs="宋体"/>
                      <w:color w:val="auto"/>
                      <w:kern w:val="0"/>
                      <w:sz w:val="22"/>
                      <w:highlight w:val="none"/>
                    </w:rPr>
                    <w:t>324A</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74B89DE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细胞培养室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98EAC4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二氧化碳培养箱、生物安全柜、细胞计数仪、</w:t>
                  </w:r>
                  <w:r>
                    <w:rPr>
                      <w:rFonts w:ascii="宋体" w:hAnsi="宋体" w:cs="宋体"/>
                      <w:color w:val="auto"/>
                      <w:kern w:val="0"/>
                      <w:sz w:val="22"/>
                      <w:highlight w:val="none"/>
                    </w:rPr>
                    <w:t>4</w:t>
                  </w:r>
                  <w:r>
                    <w:rPr>
                      <w:rFonts w:hint="eastAsia" w:ascii="宋体" w:hAnsi="宋体" w:cs="宋体"/>
                      <w:color w:val="auto"/>
                      <w:kern w:val="0"/>
                      <w:sz w:val="22"/>
                      <w:highlight w:val="none"/>
                    </w:rPr>
                    <w:t>度冰箱等</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1747903">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C5331A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EA55532">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0254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2C9793F">
                  <w:pPr>
                    <w:jc w:val="center"/>
                    <w:rPr>
                      <w:rFonts w:ascii="宋体" w:hAnsi="宋体" w:cs="宋体"/>
                      <w:color w:val="auto"/>
                      <w:kern w:val="0"/>
                      <w:sz w:val="22"/>
                      <w:szCs w:val="22"/>
                      <w:highlight w:val="none"/>
                    </w:rPr>
                  </w:pPr>
                  <w:r>
                    <w:rPr>
                      <w:rFonts w:ascii="宋体" w:hAnsi="宋体" w:cs="宋体"/>
                      <w:color w:val="auto"/>
                      <w:kern w:val="0"/>
                      <w:sz w:val="22"/>
                      <w:highlight w:val="none"/>
                    </w:rPr>
                    <w:t>324B</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163D54E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细胞培养室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9F00FA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二氧化碳培养箱、生物安全柜、细胞计数仪、</w:t>
                  </w:r>
                  <w:r>
                    <w:rPr>
                      <w:rFonts w:ascii="宋体" w:hAnsi="宋体" w:cs="宋体"/>
                      <w:color w:val="auto"/>
                      <w:kern w:val="0"/>
                      <w:sz w:val="22"/>
                      <w:highlight w:val="none"/>
                    </w:rPr>
                    <w:t>4</w:t>
                  </w:r>
                  <w:r>
                    <w:rPr>
                      <w:rFonts w:hint="eastAsia" w:ascii="宋体" w:hAnsi="宋体" w:cs="宋体"/>
                      <w:color w:val="auto"/>
                      <w:kern w:val="0"/>
                      <w:sz w:val="22"/>
                      <w:highlight w:val="none"/>
                    </w:rPr>
                    <w:t>度冰箱等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994F6F9">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2D3739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50740FB">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DD6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7F27E41C">
                  <w:pPr>
                    <w:jc w:val="center"/>
                    <w:rPr>
                      <w:rFonts w:ascii="宋体" w:hAnsi="宋体" w:cs="宋体"/>
                      <w:color w:val="auto"/>
                      <w:kern w:val="0"/>
                      <w:sz w:val="22"/>
                      <w:szCs w:val="22"/>
                      <w:highlight w:val="none"/>
                    </w:rPr>
                  </w:pPr>
                  <w:r>
                    <w:rPr>
                      <w:rFonts w:ascii="宋体" w:hAnsi="宋体" w:cs="宋体"/>
                      <w:color w:val="auto"/>
                      <w:kern w:val="0"/>
                      <w:sz w:val="22"/>
                      <w:highlight w:val="none"/>
                    </w:rPr>
                    <w:t>325</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3867133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生物和生物技术实验室动物生物学</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559176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大型冷冻离心机、小型冷冻离心机、培养箱、干燥箱、化学防爆柜、通风橱、</w:t>
                  </w:r>
                  <w:r>
                    <w:rPr>
                      <w:rFonts w:ascii="宋体" w:hAnsi="宋体" w:cs="宋体"/>
                      <w:color w:val="auto"/>
                      <w:kern w:val="0"/>
                      <w:sz w:val="22"/>
                      <w:highlight w:val="none"/>
                    </w:rPr>
                    <w:t>pH</w:t>
                  </w:r>
                  <w:r>
                    <w:rPr>
                      <w:rFonts w:hint="eastAsia" w:ascii="宋体" w:hAnsi="宋体" w:cs="宋体"/>
                      <w:color w:val="auto"/>
                      <w:kern w:val="0"/>
                      <w:sz w:val="22"/>
                      <w:highlight w:val="none"/>
                    </w:rPr>
                    <w:t>计、天平、</w:t>
                  </w:r>
                  <w:r>
                    <w:rPr>
                      <w:rFonts w:ascii="宋体" w:hAnsi="宋体" w:cs="宋体"/>
                      <w:color w:val="auto"/>
                      <w:kern w:val="0"/>
                      <w:sz w:val="22"/>
                      <w:highlight w:val="none"/>
                    </w:rPr>
                    <w:t>pcr</w:t>
                  </w:r>
                  <w:r>
                    <w:rPr>
                      <w:rFonts w:hint="eastAsia" w:ascii="宋体" w:hAnsi="宋体" w:cs="宋体"/>
                      <w:color w:val="auto"/>
                      <w:kern w:val="0"/>
                      <w:sz w:val="22"/>
                      <w:highlight w:val="none"/>
                    </w:rPr>
                    <w:t>仪、纯水仪、加热搅拌器、水浴锅等</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5E3658B">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FBB55E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0DB0835">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014F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3A3CECE">
                  <w:pPr>
                    <w:jc w:val="center"/>
                    <w:rPr>
                      <w:rFonts w:ascii="宋体" w:hAnsi="宋体" w:cs="宋体"/>
                      <w:color w:val="auto"/>
                      <w:kern w:val="0"/>
                      <w:sz w:val="22"/>
                      <w:szCs w:val="22"/>
                      <w:highlight w:val="none"/>
                    </w:rPr>
                  </w:pPr>
                  <w:r>
                    <w:rPr>
                      <w:rFonts w:ascii="宋体" w:hAnsi="宋体" w:cs="宋体"/>
                      <w:color w:val="auto"/>
                      <w:kern w:val="0"/>
                      <w:sz w:val="22"/>
                      <w:highlight w:val="none"/>
                    </w:rPr>
                    <w:t>325A</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4E419D4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细胞培养室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63BDB4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二氧化碳培养箱、生物安全柜、细胞计数仪、</w:t>
                  </w:r>
                  <w:r>
                    <w:rPr>
                      <w:rFonts w:ascii="宋体" w:hAnsi="宋体" w:cs="宋体"/>
                      <w:color w:val="auto"/>
                      <w:kern w:val="0"/>
                      <w:sz w:val="22"/>
                      <w:highlight w:val="none"/>
                    </w:rPr>
                    <w:t>4</w:t>
                  </w:r>
                  <w:r>
                    <w:rPr>
                      <w:rFonts w:hint="eastAsia" w:ascii="宋体" w:hAnsi="宋体" w:cs="宋体"/>
                      <w:color w:val="auto"/>
                      <w:kern w:val="0"/>
                      <w:sz w:val="22"/>
                      <w:highlight w:val="none"/>
                    </w:rPr>
                    <w:t>度冰箱等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158F464">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CA4448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4E571E4">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639E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28DB179">
                  <w:pPr>
                    <w:jc w:val="center"/>
                    <w:rPr>
                      <w:rFonts w:ascii="宋体" w:hAnsi="宋体" w:cs="宋体"/>
                      <w:color w:val="auto"/>
                      <w:kern w:val="0"/>
                      <w:sz w:val="22"/>
                      <w:szCs w:val="22"/>
                      <w:highlight w:val="none"/>
                    </w:rPr>
                  </w:pPr>
                  <w:r>
                    <w:rPr>
                      <w:rFonts w:ascii="宋体" w:hAnsi="宋体" w:cs="宋体"/>
                      <w:color w:val="auto"/>
                      <w:kern w:val="0"/>
                      <w:sz w:val="22"/>
                      <w:highlight w:val="none"/>
                    </w:rPr>
                    <w:t>325B</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20DE45E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设备室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A2B7C4B">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14BFB86">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AFD18F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AB2F0E0">
                  <w:pPr>
                    <w:rPr>
                      <w:rFonts w:ascii="宋体" w:hAnsi="宋体" w:cs="宋体"/>
                      <w:color w:val="auto"/>
                      <w:kern w:val="0"/>
                      <w:sz w:val="22"/>
                      <w:szCs w:val="22"/>
                      <w:highlight w:val="none"/>
                    </w:rPr>
                  </w:pPr>
                  <w:r>
                    <w:rPr>
                      <w:rFonts w:hint="eastAsia" w:ascii="宋体" w:hAnsi="宋体" w:cs="宋体"/>
                      <w:color w:val="auto"/>
                      <w:kern w:val="0"/>
                      <w:sz w:val="22"/>
                      <w:highlight w:val="none"/>
                    </w:rPr>
                    <w:t>  液氮罐需要检查，及时添加液氮</w:t>
                  </w:r>
                </w:p>
                <w:p w14:paraId="3DCFAFF8">
                  <w:pPr>
                    <w:rPr>
                      <w:rFonts w:ascii="宋体" w:hAnsi="宋体" w:cs="宋体"/>
                      <w:color w:val="auto"/>
                      <w:kern w:val="0"/>
                      <w:sz w:val="22"/>
                      <w:szCs w:val="22"/>
                      <w:highlight w:val="none"/>
                    </w:rPr>
                  </w:pPr>
                </w:p>
              </w:tc>
            </w:tr>
            <w:tr w14:paraId="627B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6A699C5">
                  <w:pPr>
                    <w:jc w:val="center"/>
                    <w:rPr>
                      <w:rFonts w:ascii="宋体" w:hAnsi="宋体" w:cs="宋体"/>
                      <w:color w:val="auto"/>
                      <w:kern w:val="0"/>
                      <w:sz w:val="22"/>
                      <w:szCs w:val="22"/>
                      <w:highlight w:val="none"/>
                    </w:rPr>
                  </w:pPr>
                  <w:r>
                    <w:rPr>
                      <w:rFonts w:ascii="宋体" w:hAnsi="宋体" w:cs="宋体"/>
                      <w:color w:val="auto"/>
                      <w:kern w:val="0"/>
                      <w:sz w:val="22"/>
                      <w:highlight w:val="none"/>
                    </w:rPr>
                    <w:t>325C</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506603D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自动清洗和水净化室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4AE30C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灭菌锅、制冰机、洗衣机、纯水仪</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993700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服务</w:t>
                  </w:r>
                  <w:r>
                    <w:rPr>
                      <w:rFonts w:ascii="宋体" w:hAnsi="宋体" w:cs="宋体"/>
                      <w:color w:val="auto"/>
                      <w:kern w:val="0"/>
                      <w:sz w:val="22"/>
                      <w:highlight w:val="none"/>
                    </w:rPr>
                    <w:t>3</w:t>
                  </w:r>
                  <w:r>
                    <w:rPr>
                      <w:rFonts w:hint="eastAsia" w:ascii="宋体" w:hAnsi="宋体" w:cs="宋体"/>
                      <w:color w:val="auto"/>
                      <w:kern w:val="0"/>
                      <w:sz w:val="22"/>
                      <w:highlight w:val="none"/>
                    </w:rPr>
                    <w:t>层全体实验室（制冰、灭菌、洗衣机、取水等）</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83CCB7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F56DD7D">
                  <w:pPr>
                    <w:rPr>
                      <w:rFonts w:ascii="宋体" w:hAnsi="宋体" w:cs="宋体"/>
                      <w:color w:val="auto"/>
                      <w:kern w:val="0"/>
                      <w:sz w:val="22"/>
                      <w:szCs w:val="22"/>
                      <w:highlight w:val="none"/>
                    </w:rPr>
                  </w:pPr>
                  <w:r>
                    <w:rPr>
                      <w:rFonts w:hint="eastAsia" w:ascii="宋体" w:hAnsi="宋体" w:cs="宋体"/>
                      <w:color w:val="auto"/>
                      <w:kern w:val="0"/>
                      <w:sz w:val="22"/>
                      <w:highlight w:val="none"/>
                    </w:rPr>
                    <w:t> 灭菌锅腔体</w:t>
                  </w:r>
                  <w:r>
                    <w:rPr>
                      <w:rFonts w:ascii="宋体" w:hAnsi="宋体" w:cs="宋体"/>
                      <w:color w:val="auto"/>
                      <w:kern w:val="0"/>
                      <w:sz w:val="22"/>
                      <w:highlight w:val="none"/>
                    </w:rPr>
                    <w:t>1</w:t>
                  </w:r>
                  <w:r>
                    <w:rPr>
                      <w:rFonts w:hint="eastAsia" w:ascii="宋体" w:hAnsi="宋体" w:cs="宋体"/>
                      <w:color w:val="auto"/>
                      <w:kern w:val="0"/>
                      <w:sz w:val="22"/>
                      <w:highlight w:val="none"/>
                    </w:rPr>
                    <w:t>周清洗一次，更换腔体内的水；灭菌锅</w:t>
                  </w:r>
                  <w:r>
                    <w:rPr>
                      <w:rFonts w:ascii="宋体" w:hAnsi="宋体" w:cs="宋体"/>
                      <w:color w:val="auto"/>
                      <w:kern w:val="0"/>
                      <w:sz w:val="22"/>
                      <w:highlight w:val="none"/>
                    </w:rPr>
                    <w:t>1</w:t>
                  </w:r>
                  <w:r>
                    <w:rPr>
                      <w:rFonts w:hint="eastAsia" w:ascii="宋体" w:hAnsi="宋体" w:cs="宋体"/>
                      <w:color w:val="auto"/>
                      <w:kern w:val="0"/>
                      <w:sz w:val="22"/>
                      <w:highlight w:val="none"/>
                    </w:rPr>
                    <w:t>年安全阀等配件需拆卸送检安装</w:t>
                  </w:r>
                  <w:r>
                    <w:rPr>
                      <w:rFonts w:ascii="宋体" w:hAnsi="宋体" w:cs="宋体"/>
                      <w:color w:val="auto"/>
                      <w:kern w:val="0"/>
                      <w:sz w:val="22"/>
                      <w:highlight w:val="none"/>
                    </w:rPr>
                    <w:t>1</w:t>
                  </w:r>
                  <w:r>
                    <w:rPr>
                      <w:rFonts w:hint="eastAsia" w:ascii="宋体" w:hAnsi="宋体" w:cs="宋体"/>
                      <w:color w:val="auto"/>
                      <w:kern w:val="0"/>
                      <w:sz w:val="22"/>
                      <w:highlight w:val="none"/>
                    </w:rPr>
                    <w:t>次</w:t>
                  </w:r>
                </w:p>
              </w:tc>
            </w:tr>
            <w:tr w14:paraId="7468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463566C">
                  <w:pPr>
                    <w:jc w:val="center"/>
                    <w:rPr>
                      <w:rFonts w:ascii="宋体" w:hAnsi="宋体" w:cs="宋体"/>
                      <w:color w:val="auto"/>
                      <w:kern w:val="0"/>
                      <w:sz w:val="22"/>
                      <w:szCs w:val="22"/>
                      <w:highlight w:val="none"/>
                    </w:rPr>
                  </w:pPr>
                  <w:r>
                    <w:rPr>
                      <w:rFonts w:ascii="宋体" w:hAnsi="宋体" w:cs="宋体"/>
                      <w:color w:val="auto"/>
                      <w:kern w:val="0"/>
                      <w:sz w:val="22"/>
                      <w:highlight w:val="none"/>
                    </w:rPr>
                    <w:t>325D</w:t>
                  </w:r>
                </w:p>
              </w:tc>
              <w:tc>
                <w:tcPr>
                  <w:tcW w:w="2410" w:type="dxa"/>
                  <w:tcBorders>
                    <w:top w:val="single" w:color="000000" w:sz="0" w:space="0"/>
                    <w:left w:val="single" w:color="000000" w:sz="0" w:space="0"/>
                    <w:bottom w:val="single" w:color="000000" w:sz="8" w:space="0"/>
                    <w:right w:val="single" w:color="000000" w:sz="8" w:space="0"/>
                  </w:tcBorders>
                  <w:shd w:val="clear" w:color="auto" w:fill="FFFFFF"/>
                  <w:tcMar>
                    <w:top w:w="0" w:type="dxa"/>
                    <w:left w:w="108" w:type="dxa"/>
                    <w:bottom w:w="0" w:type="dxa"/>
                    <w:right w:w="108" w:type="dxa"/>
                  </w:tcMar>
                </w:tcPr>
                <w:p w14:paraId="31F74F7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冷藏室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7B06716">
                  <w:pPr>
                    <w:jc w:val="center"/>
                    <w:rPr>
                      <w:rFonts w:ascii="宋体" w:hAnsi="宋体" w:cs="宋体"/>
                      <w:color w:val="auto"/>
                      <w:kern w:val="0"/>
                      <w:sz w:val="22"/>
                      <w:szCs w:val="22"/>
                      <w:highlight w:val="none"/>
                    </w:rPr>
                  </w:pP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56FB58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冷库，有货架放平板、待灭菌的废弃物等</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9948DC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30F1369">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34CA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63F7CA9A">
                  <w:pPr>
                    <w:jc w:val="center"/>
                    <w:rPr>
                      <w:rFonts w:ascii="宋体" w:hAnsi="宋体" w:cs="宋体"/>
                      <w:color w:val="auto"/>
                      <w:kern w:val="0"/>
                      <w:sz w:val="22"/>
                      <w:szCs w:val="22"/>
                      <w:highlight w:val="none"/>
                    </w:rPr>
                  </w:pPr>
                  <w:r>
                    <w:rPr>
                      <w:rFonts w:ascii="宋体" w:hAnsi="宋体" w:cs="宋体"/>
                      <w:color w:val="auto"/>
                      <w:kern w:val="0"/>
                      <w:sz w:val="22"/>
                      <w:highlight w:val="none"/>
                    </w:rPr>
                    <w:t>326</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42474C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生物和生物技术实验室植物科学</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5A1A3C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植物培养箱、</w:t>
                  </w:r>
                  <w:r>
                    <w:rPr>
                      <w:rFonts w:ascii="宋体" w:hAnsi="宋体" w:cs="宋体"/>
                      <w:color w:val="auto"/>
                      <w:kern w:val="0"/>
                      <w:sz w:val="22"/>
                      <w:highlight w:val="none"/>
                    </w:rPr>
                    <w:t>4</w:t>
                  </w:r>
                  <w:r>
                    <w:rPr>
                      <w:rFonts w:hint="eastAsia" w:ascii="宋体" w:hAnsi="宋体" w:cs="宋体"/>
                      <w:color w:val="auto"/>
                      <w:kern w:val="0"/>
                      <w:sz w:val="22"/>
                      <w:highlight w:val="none"/>
                    </w:rPr>
                    <w:t>度冰箱、</w:t>
                  </w:r>
                  <w:r>
                    <w:rPr>
                      <w:rFonts w:ascii="宋体" w:hAnsi="宋体" w:cs="宋体"/>
                      <w:color w:val="auto"/>
                      <w:kern w:val="0"/>
                      <w:sz w:val="22"/>
                      <w:highlight w:val="none"/>
                    </w:rPr>
                    <w:t>-20</w:t>
                  </w:r>
                  <w:r>
                    <w:rPr>
                      <w:rFonts w:hint="eastAsia" w:ascii="宋体" w:hAnsi="宋体" w:cs="宋体"/>
                      <w:color w:val="auto"/>
                      <w:kern w:val="0"/>
                      <w:sz w:val="22"/>
                      <w:highlight w:val="none"/>
                    </w:rPr>
                    <w:t>度冰箱、通风橱、大型冷冻离心机、小型冷冻离心机、生物安全柜、超净工作台、天平、</w:t>
                  </w:r>
                  <w:r>
                    <w:rPr>
                      <w:rFonts w:ascii="宋体" w:hAnsi="宋体" w:cs="宋体"/>
                      <w:color w:val="auto"/>
                      <w:kern w:val="0"/>
                      <w:sz w:val="22"/>
                      <w:highlight w:val="none"/>
                    </w:rPr>
                    <w:t>pcr</w:t>
                  </w:r>
                  <w:r>
                    <w:rPr>
                      <w:rFonts w:hint="eastAsia" w:ascii="宋体" w:hAnsi="宋体" w:cs="宋体"/>
                      <w:color w:val="auto"/>
                      <w:kern w:val="0"/>
                      <w:sz w:val="22"/>
                      <w:highlight w:val="none"/>
                    </w:rPr>
                    <w:t>仪、纯水仪、加热搅拌器、</w:t>
                  </w:r>
                  <w:r>
                    <w:rPr>
                      <w:rFonts w:ascii="宋体" w:hAnsi="宋体" w:cs="宋体"/>
                      <w:color w:val="auto"/>
                      <w:kern w:val="0"/>
                      <w:sz w:val="22"/>
                      <w:highlight w:val="none"/>
                    </w:rPr>
                    <w:t>pH</w:t>
                  </w:r>
                  <w:r>
                    <w:rPr>
                      <w:rFonts w:hint="eastAsia" w:ascii="宋体" w:hAnsi="宋体" w:cs="宋体"/>
                      <w:color w:val="auto"/>
                      <w:kern w:val="0"/>
                      <w:sz w:val="22"/>
                      <w:highlight w:val="none"/>
                    </w:rPr>
                    <w:t>计、水浴锅</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515ECAD">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52596C4">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E15C8F3">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2B1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68F63F60">
                  <w:pPr>
                    <w:jc w:val="center"/>
                    <w:rPr>
                      <w:rFonts w:ascii="宋体" w:hAnsi="宋体" w:cs="宋体"/>
                      <w:color w:val="auto"/>
                      <w:kern w:val="0"/>
                      <w:sz w:val="22"/>
                      <w:szCs w:val="22"/>
                      <w:highlight w:val="none"/>
                    </w:rPr>
                  </w:pPr>
                  <w:r>
                    <w:rPr>
                      <w:rFonts w:ascii="宋体" w:hAnsi="宋体" w:cs="宋体"/>
                      <w:color w:val="auto"/>
                      <w:kern w:val="0"/>
                      <w:sz w:val="22"/>
                      <w:highlight w:val="none"/>
                    </w:rPr>
                    <w:t>332</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9EA474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生物核心设施实验室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BBD3CD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酶标仪、荧光倒置显微镜、冷冻切片机、落地离心机、细胞破碎仪、超声破碎仪、流式细胞仪、凝胶成像系统、蛋白成像系统、</w:t>
                  </w:r>
                  <w:r>
                    <w:rPr>
                      <w:rFonts w:ascii="宋体" w:hAnsi="宋体" w:cs="宋体"/>
                      <w:color w:val="auto"/>
                      <w:kern w:val="0"/>
                      <w:sz w:val="22"/>
                      <w:highlight w:val="none"/>
                    </w:rPr>
                    <w:t>Q-pcr</w:t>
                  </w:r>
                  <w:r>
                    <w:rPr>
                      <w:rFonts w:hint="eastAsia" w:ascii="宋体" w:hAnsi="宋体" w:cs="宋体"/>
                      <w:color w:val="auto"/>
                      <w:kern w:val="0"/>
                      <w:sz w:val="22"/>
                      <w:highlight w:val="none"/>
                    </w:rPr>
                    <w:t>仪、</w:t>
                  </w:r>
                  <w:r>
                    <w:rPr>
                      <w:rFonts w:ascii="宋体" w:hAnsi="宋体" w:cs="宋体"/>
                      <w:color w:val="auto"/>
                      <w:kern w:val="0"/>
                      <w:sz w:val="22"/>
                      <w:highlight w:val="none"/>
                    </w:rPr>
                    <w:t>Nanodrop</w:t>
                  </w:r>
                  <w:r>
                    <w:rPr>
                      <w:rFonts w:hint="eastAsia" w:ascii="宋体" w:hAnsi="宋体" w:cs="宋体"/>
                      <w:color w:val="auto"/>
                      <w:kern w:val="0"/>
                      <w:sz w:val="22"/>
                      <w:highlight w:val="none"/>
                    </w:rPr>
                    <w:t>、冷冻干燥机、液氮罐</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5D4F4D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大型设备最多的实验室，服务所有科研和教学实验活动</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5C13D3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15706EE">
                  <w:pPr>
                    <w:rPr>
                      <w:rFonts w:ascii="宋体" w:hAnsi="宋体" w:cs="宋体"/>
                      <w:color w:val="auto"/>
                      <w:kern w:val="0"/>
                      <w:sz w:val="22"/>
                      <w:szCs w:val="22"/>
                      <w:highlight w:val="none"/>
                    </w:rPr>
                  </w:pPr>
                  <w:r>
                    <w:rPr>
                      <w:rFonts w:hint="eastAsia" w:ascii="宋体" w:hAnsi="宋体" w:cs="宋体"/>
                      <w:color w:val="auto"/>
                      <w:kern w:val="0"/>
                      <w:sz w:val="22"/>
                      <w:highlight w:val="none"/>
                    </w:rPr>
                    <w:t>液氮罐需要检查，及时添加液氮</w:t>
                  </w:r>
                </w:p>
              </w:tc>
            </w:tr>
            <w:tr w14:paraId="7272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65422AC">
                  <w:pPr>
                    <w:jc w:val="center"/>
                    <w:rPr>
                      <w:rFonts w:ascii="宋体" w:hAnsi="宋体" w:cs="宋体"/>
                      <w:color w:val="auto"/>
                      <w:kern w:val="0"/>
                      <w:sz w:val="22"/>
                      <w:szCs w:val="22"/>
                      <w:highlight w:val="none"/>
                    </w:rPr>
                  </w:pPr>
                  <w:r>
                    <w:rPr>
                      <w:rFonts w:ascii="宋体" w:hAnsi="宋体" w:cs="宋体"/>
                      <w:color w:val="auto"/>
                      <w:kern w:val="0"/>
                      <w:sz w:val="22"/>
                      <w:highlight w:val="none"/>
                    </w:rPr>
                    <w:t>408</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4C2E7D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分子细胞实验室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44413C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生物安全柜、超净工作台、</w:t>
                  </w:r>
                  <w:r>
                    <w:rPr>
                      <w:rFonts w:ascii="宋体" w:hAnsi="宋体" w:cs="宋体"/>
                      <w:color w:val="auto"/>
                      <w:kern w:val="0"/>
                      <w:sz w:val="22"/>
                      <w:highlight w:val="none"/>
                    </w:rPr>
                    <w:t>pcr</w:t>
                  </w:r>
                  <w:r>
                    <w:rPr>
                      <w:rFonts w:hint="eastAsia" w:ascii="宋体" w:hAnsi="宋体" w:cs="宋体"/>
                      <w:color w:val="auto"/>
                      <w:kern w:val="0"/>
                      <w:sz w:val="22"/>
                      <w:highlight w:val="none"/>
                    </w:rPr>
                    <w:t>仪、天平、水浴锅、加热搅拌器、</w:t>
                  </w:r>
                  <w:r>
                    <w:rPr>
                      <w:rFonts w:ascii="宋体" w:hAnsi="宋体" w:cs="宋体"/>
                      <w:color w:val="auto"/>
                      <w:kern w:val="0"/>
                      <w:sz w:val="22"/>
                      <w:highlight w:val="none"/>
                    </w:rPr>
                    <w:t>pH</w:t>
                  </w:r>
                  <w:r>
                    <w:rPr>
                      <w:rFonts w:hint="eastAsia" w:ascii="宋体" w:hAnsi="宋体" w:cs="宋体"/>
                      <w:color w:val="auto"/>
                      <w:kern w:val="0"/>
                      <w:sz w:val="22"/>
                      <w:highlight w:val="none"/>
                    </w:rPr>
                    <w:t>计、培养箱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2B7340D">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9549523">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CEA4551">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76BA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1E5A8447">
                  <w:pPr>
                    <w:jc w:val="center"/>
                    <w:rPr>
                      <w:rFonts w:ascii="宋体" w:hAnsi="宋体" w:cs="宋体"/>
                      <w:color w:val="auto"/>
                      <w:kern w:val="0"/>
                      <w:sz w:val="22"/>
                      <w:szCs w:val="22"/>
                      <w:highlight w:val="none"/>
                    </w:rPr>
                  </w:pPr>
                  <w:r>
                    <w:rPr>
                      <w:rFonts w:ascii="宋体" w:hAnsi="宋体" w:cs="宋体"/>
                      <w:color w:val="auto"/>
                      <w:kern w:val="0"/>
                      <w:sz w:val="22"/>
                      <w:highlight w:val="none"/>
                    </w:rPr>
                    <w:t>409</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1915B2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细胞培养室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062CC5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二氧化碳培养箱、生物安全柜等</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94547DF">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1E306EF">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D8DDF41">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495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743392E0">
                  <w:pPr>
                    <w:jc w:val="center"/>
                    <w:rPr>
                      <w:rFonts w:ascii="宋体" w:hAnsi="宋体" w:cs="宋体"/>
                      <w:color w:val="auto"/>
                      <w:kern w:val="0"/>
                      <w:sz w:val="22"/>
                      <w:szCs w:val="22"/>
                      <w:highlight w:val="none"/>
                    </w:rPr>
                  </w:pPr>
                  <w:r>
                    <w:rPr>
                      <w:rFonts w:ascii="宋体" w:hAnsi="宋体" w:cs="宋体"/>
                      <w:color w:val="auto"/>
                      <w:kern w:val="0"/>
                      <w:sz w:val="22"/>
                      <w:highlight w:val="none"/>
                    </w:rPr>
                    <w:t>410</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996989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遗传与生物信息学实验室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16853B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纯水仪、微波炉、生物安全柜、超净工作台、</w:t>
                  </w:r>
                  <w:r>
                    <w:rPr>
                      <w:rFonts w:ascii="宋体" w:hAnsi="宋体" w:cs="宋体"/>
                      <w:color w:val="auto"/>
                      <w:kern w:val="0"/>
                      <w:sz w:val="22"/>
                      <w:highlight w:val="none"/>
                    </w:rPr>
                    <w:t>pcr</w:t>
                  </w:r>
                  <w:r>
                    <w:rPr>
                      <w:rFonts w:hint="eastAsia" w:ascii="宋体" w:hAnsi="宋体" w:cs="宋体"/>
                      <w:color w:val="auto"/>
                      <w:kern w:val="0"/>
                      <w:sz w:val="22"/>
                      <w:highlight w:val="none"/>
                    </w:rPr>
                    <w:t>仪、天平、水浴锅、加热搅拌器、</w:t>
                  </w:r>
                  <w:r>
                    <w:rPr>
                      <w:rFonts w:ascii="宋体" w:hAnsi="宋体" w:cs="宋体"/>
                      <w:color w:val="auto"/>
                      <w:kern w:val="0"/>
                      <w:sz w:val="22"/>
                      <w:highlight w:val="none"/>
                    </w:rPr>
                    <w:t>pH</w:t>
                  </w:r>
                  <w:r>
                    <w:rPr>
                      <w:rFonts w:hint="eastAsia" w:ascii="宋体" w:hAnsi="宋体" w:cs="宋体"/>
                      <w:color w:val="auto"/>
                      <w:kern w:val="0"/>
                      <w:sz w:val="22"/>
                      <w:highlight w:val="none"/>
                    </w:rPr>
                    <w:t>计、培养箱</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A5F4C66">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502A723">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1D2F1DD">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04EA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1A06DAB">
                  <w:pPr>
                    <w:jc w:val="center"/>
                    <w:rPr>
                      <w:rFonts w:ascii="宋体" w:hAnsi="宋体" w:cs="宋体"/>
                      <w:color w:val="auto"/>
                      <w:kern w:val="0"/>
                      <w:sz w:val="22"/>
                      <w:szCs w:val="22"/>
                      <w:highlight w:val="none"/>
                    </w:rPr>
                  </w:pPr>
                  <w:r>
                    <w:rPr>
                      <w:rFonts w:ascii="宋体" w:hAnsi="宋体" w:cs="宋体"/>
                      <w:color w:val="auto"/>
                      <w:kern w:val="0"/>
                      <w:sz w:val="22"/>
                      <w:highlight w:val="none"/>
                    </w:rPr>
                    <w:t>411</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29C1B9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动物保存间</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9DACA2A">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98A9F73">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613D1B9">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16182F8">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6EB9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28991409">
                  <w:pPr>
                    <w:jc w:val="center"/>
                    <w:rPr>
                      <w:rFonts w:ascii="宋体" w:hAnsi="宋体" w:cs="宋体"/>
                      <w:color w:val="auto"/>
                      <w:kern w:val="0"/>
                      <w:sz w:val="22"/>
                      <w:szCs w:val="22"/>
                      <w:highlight w:val="none"/>
                    </w:rPr>
                  </w:pPr>
                  <w:r>
                    <w:rPr>
                      <w:rFonts w:ascii="宋体" w:hAnsi="宋体" w:cs="宋体"/>
                      <w:color w:val="auto"/>
                      <w:kern w:val="0"/>
                      <w:sz w:val="22"/>
                      <w:highlight w:val="none"/>
                    </w:rPr>
                    <w:t>412</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3A253B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解剖生理学实验室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5737BE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石蜡切片机，动物行为学实验设备，小鼠敲击器，小鼠定位仪，显微镜、防爆冰箱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A64817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解剖课实验教学</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CC78F7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ED6BA64">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107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AC12113">
                  <w:pPr>
                    <w:jc w:val="center"/>
                    <w:rPr>
                      <w:rFonts w:ascii="宋体" w:hAnsi="宋体" w:cs="宋体"/>
                      <w:color w:val="auto"/>
                      <w:kern w:val="0"/>
                      <w:sz w:val="22"/>
                      <w:szCs w:val="22"/>
                      <w:highlight w:val="none"/>
                    </w:rPr>
                  </w:pPr>
                  <w:r>
                    <w:rPr>
                      <w:rFonts w:ascii="宋体" w:hAnsi="宋体" w:cs="宋体"/>
                      <w:color w:val="auto"/>
                      <w:kern w:val="0"/>
                      <w:sz w:val="22"/>
                      <w:highlight w:val="none"/>
                    </w:rPr>
                    <w:t>426</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E1EC31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普通生物学实验室</w:t>
                  </w:r>
                  <w:r>
                    <w:rPr>
                      <w:rFonts w:ascii="宋体" w:hAnsi="宋体" w:cs="宋体"/>
                      <w:color w:val="auto"/>
                      <w:kern w:val="0"/>
                      <w:sz w:val="22"/>
                      <w:highlight w:val="none"/>
                    </w:rPr>
                    <w:t>II</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D2E7C5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大型冷冻离心机、小型冷冻离心机、超净工作台、</w:t>
                  </w:r>
                  <w:r>
                    <w:rPr>
                      <w:rFonts w:ascii="宋体" w:hAnsi="宋体" w:cs="宋体"/>
                      <w:color w:val="auto"/>
                      <w:kern w:val="0"/>
                      <w:sz w:val="22"/>
                      <w:highlight w:val="none"/>
                    </w:rPr>
                    <w:t>4</w:t>
                  </w:r>
                  <w:r>
                    <w:rPr>
                      <w:rFonts w:hint="eastAsia" w:ascii="宋体" w:hAnsi="宋体" w:cs="宋体"/>
                      <w:color w:val="auto"/>
                      <w:kern w:val="0"/>
                      <w:sz w:val="22"/>
                      <w:highlight w:val="none"/>
                    </w:rPr>
                    <w:t>度冰箱、</w:t>
                  </w:r>
                  <w:r>
                    <w:rPr>
                      <w:rFonts w:ascii="宋体" w:hAnsi="宋体" w:cs="宋体"/>
                      <w:color w:val="auto"/>
                      <w:kern w:val="0"/>
                      <w:sz w:val="22"/>
                      <w:highlight w:val="none"/>
                    </w:rPr>
                    <w:t>-20</w:t>
                  </w:r>
                  <w:r>
                    <w:rPr>
                      <w:rFonts w:hint="eastAsia" w:ascii="宋体" w:hAnsi="宋体" w:cs="宋体"/>
                      <w:color w:val="auto"/>
                      <w:kern w:val="0"/>
                      <w:sz w:val="22"/>
                      <w:highlight w:val="none"/>
                    </w:rPr>
                    <w:t>度冰箱、天平、纯水仪、加热搅拌器、</w:t>
                  </w:r>
                  <w:r>
                    <w:rPr>
                      <w:rFonts w:ascii="宋体" w:hAnsi="宋体" w:cs="宋体"/>
                      <w:color w:val="auto"/>
                      <w:kern w:val="0"/>
                      <w:sz w:val="22"/>
                      <w:highlight w:val="none"/>
                    </w:rPr>
                    <w:t>pH</w:t>
                  </w:r>
                  <w:r>
                    <w:rPr>
                      <w:rFonts w:hint="eastAsia" w:ascii="宋体" w:hAnsi="宋体" w:cs="宋体"/>
                      <w:color w:val="auto"/>
                      <w:kern w:val="0"/>
                      <w:sz w:val="22"/>
                      <w:highlight w:val="none"/>
                    </w:rPr>
                    <w:t>计、水浴锅、培养箱</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B6486D8">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A95EEA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4F04805">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7B43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6C3C39A6">
                  <w:pPr>
                    <w:jc w:val="center"/>
                    <w:rPr>
                      <w:rFonts w:ascii="宋体" w:hAnsi="宋体" w:cs="宋体"/>
                      <w:color w:val="auto"/>
                      <w:kern w:val="0"/>
                      <w:sz w:val="22"/>
                      <w:szCs w:val="22"/>
                      <w:highlight w:val="none"/>
                    </w:rPr>
                  </w:pPr>
                  <w:r>
                    <w:rPr>
                      <w:rFonts w:ascii="宋体" w:hAnsi="宋体" w:cs="宋体"/>
                      <w:color w:val="auto"/>
                      <w:kern w:val="0"/>
                      <w:sz w:val="22"/>
                      <w:highlight w:val="none"/>
                    </w:rPr>
                    <w:t>426A</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D7C802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准备室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C4D32E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植物培养箱</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8A6C6DA">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1274123">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9FA8812">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66AE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5B3E732">
                  <w:pPr>
                    <w:jc w:val="center"/>
                    <w:rPr>
                      <w:rFonts w:ascii="宋体" w:hAnsi="宋体" w:cs="宋体"/>
                      <w:color w:val="auto"/>
                      <w:kern w:val="0"/>
                      <w:sz w:val="22"/>
                      <w:szCs w:val="22"/>
                      <w:highlight w:val="none"/>
                    </w:rPr>
                  </w:pPr>
                  <w:r>
                    <w:rPr>
                      <w:rFonts w:ascii="宋体" w:hAnsi="宋体" w:cs="宋体"/>
                      <w:color w:val="auto"/>
                      <w:kern w:val="0"/>
                      <w:sz w:val="22"/>
                      <w:highlight w:val="none"/>
                    </w:rPr>
                    <w:t>427A</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1B9589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自动清洗和水净化室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E8829C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灭菌锅、制冰机、洗衣机、纯水仪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8B8065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服务</w:t>
                  </w:r>
                  <w:r>
                    <w:rPr>
                      <w:rFonts w:ascii="宋体" w:hAnsi="宋体" w:cs="宋体"/>
                      <w:color w:val="auto"/>
                      <w:kern w:val="0"/>
                      <w:sz w:val="22"/>
                      <w:highlight w:val="none"/>
                    </w:rPr>
                    <w:t>4</w:t>
                  </w:r>
                  <w:r>
                    <w:rPr>
                      <w:rFonts w:hint="eastAsia" w:ascii="宋体" w:hAnsi="宋体" w:cs="宋体"/>
                      <w:color w:val="auto"/>
                      <w:kern w:val="0"/>
                      <w:sz w:val="22"/>
                      <w:highlight w:val="none"/>
                    </w:rPr>
                    <w:t>层全体实验室（制冰、灭菌、洗衣机、取水等）</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6D74CD5">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CAB678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灭菌锅腔体</w:t>
                  </w:r>
                  <w:r>
                    <w:rPr>
                      <w:rFonts w:ascii="宋体" w:hAnsi="宋体" w:cs="宋体"/>
                      <w:color w:val="auto"/>
                      <w:kern w:val="0"/>
                      <w:sz w:val="22"/>
                      <w:highlight w:val="none"/>
                    </w:rPr>
                    <w:t>1</w:t>
                  </w:r>
                  <w:r>
                    <w:rPr>
                      <w:rFonts w:hint="eastAsia" w:ascii="宋体" w:hAnsi="宋体" w:cs="宋体"/>
                      <w:color w:val="auto"/>
                      <w:kern w:val="0"/>
                      <w:sz w:val="22"/>
                      <w:highlight w:val="none"/>
                    </w:rPr>
                    <w:t>周清洗一次，更换腔体内的水；灭菌锅</w:t>
                  </w:r>
                  <w:r>
                    <w:rPr>
                      <w:rFonts w:ascii="宋体" w:hAnsi="宋体" w:cs="宋体"/>
                      <w:color w:val="auto"/>
                      <w:kern w:val="0"/>
                      <w:sz w:val="22"/>
                      <w:highlight w:val="none"/>
                    </w:rPr>
                    <w:t>1</w:t>
                  </w:r>
                  <w:r>
                    <w:rPr>
                      <w:rFonts w:hint="eastAsia" w:ascii="宋体" w:hAnsi="宋体" w:cs="宋体"/>
                      <w:color w:val="auto"/>
                      <w:kern w:val="0"/>
                      <w:sz w:val="22"/>
                      <w:highlight w:val="none"/>
                    </w:rPr>
                    <w:t>年安全阀等配件需拆卸送检安装</w:t>
                  </w:r>
                  <w:r>
                    <w:rPr>
                      <w:rFonts w:ascii="宋体" w:hAnsi="宋体" w:cs="宋体"/>
                      <w:color w:val="auto"/>
                      <w:kern w:val="0"/>
                      <w:sz w:val="22"/>
                      <w:highlight w:val="none"/>
                    </w:rPr>
                    <w:t>1</w:t>
                  </w:r>
                  <w:r>
                    <w:rPr>
                      <w:rFonts w:hint="eastAsia" w:ascii="宋体" w:hAnsi="宋体" w:cs="宋体"/>
                      <w:color w:val="auto"/>
                      <w:kern w:val="0"/>
                      <w:sz w:val="22"/>
                      <w:highlight w:val="none"/>
                    </w:rPr>
                    <w:t>次</w:t>
                  </w:r>
                </w:p>
              </w:tc>
            </w:tr>
            <w:tr w14:paraId="52CD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F0CF8A8">
                  <w:pPr>
                    <w:jc w:val="center"/>
                    <w:rPr>
                      <w:rFonts w:ascii="宋体" w:hAnsi="宋体" w:cs="宋体"/>
                      <w:color w:val="auto"/>
                      <w:kern w:val="0"/>
                      <w:sz w:val="22"/>
                      <w:szCs w:val="22"/>
                      <w:highlight w:val="none"/>
                    </w:rPr>
                  </w:pPr>
                  <w:r>
                    <w:rPr>
                      <w:rFonts w:ascii="宋体" w:hAnsi="宋体" w:cs="宋体"/>
                      <w:color w:val="auto"/>
                      <w:kern w:val="0"/>
                      <w:sz w:val="22"/>
                      <w:highlight w:val="none"/>
                    </w:rPr>
                    <w:t>427</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FAC32B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分子细胞生物学和免疫学实验室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C22E06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通风柜、生物安全柜、</w:t>
                  </w:r>
                  <w:r>
                    <w:rPr>
                      <w:rFonts w:ascii="宋体" w:hAnsi="宋体" w:cs="宋体"/>
                      <w:color w:val="auto"/>
                      <w:kern w:val="0"/>
                      <w:sz w:val="22"/>
                      <w:highlight w:val="none"/>
                    </w:rPr>
                    <w:t>-20</w:t>
                  </w:r>
                  <w:r>
                    <w:rPr>
                      <w:rFonts w:hint="eastAsia" w:ascii="宋体" w:hAnsi="宋体" w:cs="宋体"/>
                      <w:color w:val="auto"/>
                      <w:kern w:val="0"/>
                      <w:sz w:val="22"/>
                      <w:highlight w:val="none"/>
                    </w:rPr>
                    <w:t>度冰箱、</w:t>
                  </w:r>
                  <w:r>
                    <w:rPr>
                      <w:rFonts w:ascii="宋体" w:hAnsi="宋体" w:cs="宋体"/>
                      <w:color w:val="auto"/>
                      <w:kern w:val="0"/>
                      <w:sz w:val="22"/>
                      <w:highlight w:val="none"/>
                    </w:rPr>
                    <w:t>4</w:t>
                  </w:r>
                  <w:r>
                    <w:rPr>
                      <w:rFonts w:hint="eastAsia" w:ascii="宋体" w:hAnsi="宋体" w:cs="宋体"/>
                      <w:color w:val="auto"/>
                      <w:kern w:val="0"/>
                      <w:sz w:val="22"/>
                      <w:highlight w:val="none"/>
                    </w:rPr>
                    <w:t>度冰箱、液氮罐、快速转印系统、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10809FD">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C7413B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C242C8A">
                  <w:pPr>
                    <w:rPr>
                      <w:rFonts w:ascii="宋体" w:hAnsi="宋体" w:cs="宋体"/>
                      <w:color w:val="auto"/>
                      <w:kern w:val="0"/>
                      <w:sz w:val="22"/>
                      <w:szCs w:val="22"/>
                      <w:highlight w:val="none"/>
                    </w:rPr>
                  </w:pPr>
                  <w:r>
                    <w:rPr>
                      <w:rFonts w:hint="eastAsia" w:ascii="宋体" w:hAnsi="宋体" w:cs="宋体"/>
                      <w:color w:val="auto"/>
                      <w:kern w:val="0"/>
                      <w:sz w:val="22"/>
                      <w:highlight w:val="none"/>
                    </w:rPr>
                    <w:t> 液氮罐需要检查，及时添加液氮</w:t>
                  </w:r>
                </w:p>
              </w:tc>
            </w:tr>
            <w:tr w14:paraId="19D9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30D24F5">
                  <w:pPr>
                    <w:jc w:val="center"/>
                    <w:rPr>
                      <w:rFonts w:ascii="宋体" w:hAnsi="宋体" w:cs="宋体"/>
                      <w:color w:val="auto"/>
                      <w:kern w:val="0"/>
                      <w:sz w:val="22"/>
                      <w:szCs w:val="22"/>
                      <w:highlight w:val="none"/>
                    </w:rPr>
                  </w:pPr>
                  <w:r>
                    <w:rPr>
                      <w:rFonts w:ascii="宋体" w:hAnsi="宋体" w:cs="宋体"/>
                      <w:color w:val="auto"/>
                      <w:kern w:val="0"/>
                      <w:sz w:val="22"/>
                      <w:highlight w:val="none"/>
                    </w:rPr>
                    <w:t>427B</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A4F875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细胞培养室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807371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二氧化碳培养箱、生物安全柜等</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7D9798C">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D18C400">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A243387">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2614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D23F46D">
                  <w:pPr>
                    <w:jc w:val="center"/>
                    <w:rPr>
                      <w:rFonts w:ascii="宋体" w:hAnsi="宋体" w:cs="宋体"/>
                      <w:color w:val="auto"/>
                      <w:kern w:val="0"/>
                      <w:sz w:val="22"/>
                      <w:szCs w:val="22"/>
                      <w:highlight w:val="none"/>
                    </w:rPr>
                  </w:pPr>
                  <w:r>
                    <w:rPr>
                      <w:rFonts w:ascii="宋体" w:hAnsi="宋体" w:cs="宋体"/>
                      <w:color w:val="auto"/>
                      <w:kern w:val="0"/>
                      <w:sz w:val="22"/>
                      <w:highlight w:val="none"/>
                    </w:rPr>
                    <w:t>428</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764E29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普通生物学实验室</w:t>
                  </w:r>
                  <w:r>
                    <w:rPr>
                      <w:rFonts w:ascii="宋体" w:hAnsi="宋体" w:cs="宋体"/>
                      <w:color w:val="auto"/>
                      <w:kern w:val="0"/>
                      <w:sz w:val="22"/>
                      <w:highlight w:val="none"/>
                    </w:rPr>
                    <w:t>I</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454E73C">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837CDB9">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FDC25D3">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BA3CD9F">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4F3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6999077A">
                  <w:pPr>
                    <w:jc w:val="center"/>
                    <w:rPr>
                      <w:rFonts w:ascii="宋体" w:hAnsi="宋体" w:cs="宋体"/>
                      <w:color w:val="auto"/>
                      <w:kern w:val="0"/>
                      <w:sz w:val="22"/>
                      <w:szCs w:val="22"/>
                      <w:highlight w:val="none"/>
                    </w:rPr>
                  </w:pPr>
                  <w:r>
                    <w:rPr>
                      <w:rFonts w:ascii="宋体" w:hAnsi="宋体" w:cs="宋体"/>
                      <w:color w:val="auto"/>
                      <w:kern w:val="0"/>
                      <w:sz w:val="22"/>
                      <w:highlight w:val="none"/>
                    </w:rPr>
                    <w:t>428C</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EC0AFA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显微互动室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11EAB4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光学显微镜</w:t>
                  </w:r>
                  <w:r>
                    <w:rPr>
                      <w:rFonts w:ascii="宋体" w:hAnsi="宋体" w:cs="宋体"/>
                      <w:color w:val="auto"/>
                      <w:kern w:val="0"/>
                      <w:sz w:val="22"/>
                      <w:highlight w:val="none"/>
                    </w:rPr>
                    <w:t>18</w:t>
                  </w:r>
                  <w:r>
                    <w:rPr>
                      <w:rFonts w:hint="eastAsia" w:ascii="宋体" w:hAnsi="宋体" w:cs="宋体"/>
                      <w:color w:val="auto"/>
                      <w:kern w:val="0"/>
                      <w:sz w:val="22"/>
                      <w:highlight w:val="none"/>
                    </w:rPr>
                    <w:t>台、教师示范机</w:t>
                  </w:r>
                  <w:r>
                    <w:rPr>
                      <w:rFonts w:ascii="宋体" w:hAnsi="宋体" w:cs="宋体"/>
                      <w:color w:val="auto"/>
                      <w:kern w:val="0"/>
                      <w:sz w:val="22"/>
                      <w:highlight w:val="none"/>
                    </w:rPr>
                    <w:t>1</w:t>
                  </w:r>
                  <w:r>
                    <w:rPr>
                      <w:rFonts w:hint="eastAsia" w:ascii="宋体" w:hAnsi="宋体" w:cs="宋体"/>
                      <w:color w:val="auto"/>
                      <w:kern w:val="0"/>
                      <w:sz w:val="22"/>
                      <w:highlight w:val="none"/>
                    </w:rPr>
                    <w:t>台</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09E6D76">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8D9FC1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DA8EF59">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2789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B06D28F">
                  <w:pPr>
                    <w:jc w:val="center"/>
                    <w:rPr>
                      <w:rFonts w:ascii="宋体" w:hAnsi="宋体" w:cs="宋体"/>
                      <w:color w:val="auto"/>
                      <w:kern w:val="0"/>
                      <w:sz w:val="22"/>
                      <w:szCs w:val="22"/>
                      <w:highlight w:val="none"/>
                    </w:rPr>
                  </w:pPr>
                  <w:r>
                    <w:rPr>
                      <w:rFonts w:ascii="宋体" w:hAnsi="宋体" w:cs="宋体"/>
                      <w:color w:val="auto"/>
                      <w:kern w:val="0"/>
                      <w:sz w:val="22"/>
                      <w:highlight w:val="none"/>
                    </w:rPr>
                    <w:t>429</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FC89C8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微生物学实验室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E28D19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大型冷冻离心机、小型冷冻离心机、生物安全柜、超净工作台、</w:t>
                  </w:r>
                  <w:r>
                    <w:rPr>
                      <w:rFonts w:ascii="宋体" w:hAnsi="宋体" w:cs="宋体"/>
                      <w:color w:val="auto"/>
                      <w:kern w:val="0"/>
                      <w:sz w:val="22"/>
                      <w:highlight w:val="none"/>
                    </w:rPr>
                    <w:t>4</w:t>
                  </w:r>
                  <w:r>
                    <w:rPr>
                      <w:rFonts w:hint="eastAsia" w:ascii="宋体" w:hAnsi="宋体" w:cs="宋体"/>
                      <w:color w:val="auto"/>
                      <w:kern w:val="0"/>
                      <w:sz w:val="22"/>
                      <w:highlight w:val="none"/>
                    </w:rPr>
                    <w:t>度冰箱、</w:t>
                  </w:r>
                  <w:r>
                    <w:rPr>
                      <w:rFonts w:ascii="宋体" w:hAnsi="宋体" w:cs="宋体"/>
                      <w:color w:val="auto"/>
                      <w:kern w:val="0"/>
                      <w:sz w:val="22"/>
                      <w:highlight w:val="none"/>
                    </w:rPr>
                    <w:t>-20</w:t>
                  </w:r>
                  <w:r>
                    <w:rPr>
                      <w:rFonts w:hint="eastAsia" w:ascii="宋体" w:hAnsi="宋体" w:cs="宋体"/>
                      <w:color w:val="auto"/>
                      <w:kern w:val="0"/>
                      <w:sz w:val="22"/>
                      <w:highlight w:val="none"/>
                    </w:rPr>
                    <w:t>度冰箱、天平、光学显微镜、</w:t>
                  </w:r>
                  <w:r>
                    <w:rPr>
                      <w:rFonts w:ascii="宋体" w:hAnsi="宋体" w:cs="宋体"/>
                      <w:color w:val="auto"/>
                      <w:kern w:val="0"/>
                      <w:sz w:val="22"/>
                      <w:highlight w:val="none"/>
                    </w:rPr>
                    <w:t>pcr</w:t>
                  </w:r>
                  <w:r>
                    <w:rPr>
                      <w:rFonts w:hint="eastAsia" w:ascii="宋体" w:hAnsi="宋体" w:cs="宋体"/>
                      <w:color w:val="auto"/>
                      <w:kern w:val="0"/>
                      <w:sz w:val="22"/>
                      <w:highlight w:val="none"/>
                    </w:rPr>
                    <w:t>仪、小灭菌锅、纯水仪、加热搅拌器、</w:t>
                  </w:r>
                  <w:r>
                    <w:rPr>
                      <w:rFonts w:ascii="宋体" w:hAnsi="宋体" w:cs="宋体"/>
                      <w:color w:val="auto"/>
                      <w:kern w:val="0"/>
                      <w:sz w:val="22"/>
                      <w:highlight w:val="none"/>
                    </w:rPr>
                    <w:t>pH</w:t>
                  </w:r>
                  <w:r>
                    <w:rPr>
                      <w:rFonts w:hint="eastAsia" w:ascii="宋体" w:hAnsi="宋体" w:cs="宋体"/>
                      <w:color w:val="auto"/>
                      <w:kern w:val="0"/>
                      <w:sz w:val="22"/>
                      <w:highlight w:val="none"/>
                    </w:rPr>
                    <w:t>计、水浴锅、厌氧培养装置、培养箱</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EFC4CD6">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01CB18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7D3E874">
                  <w:pPr>
                    <w:rPr>
                      <w:rFonts w:ascii="宋体" w:hAnsi="宋体" w:cs="宋体"/>
                      <w:color w:val="auto"/>
                      <w:kern w:val="0"/>
                      <w:sz w:val="22"/>
                      <w:szCs w:val="22"/>
                      <w:highlight w:val="none"/>
                    </w:rPr>
                  </w:pPr>
                  <w:r>
                    <w:rPr>
                      <w:rFonts w:hint="eastAsia" w:ascii="宋体" w:hAnsi="宋体" w:cs="宋体"/>
                      <w:color w:val="auto"/>
                      <w:kern w:val="0"/>
                      <w:sz w:val="22"/>
                      <w:highlight w:val="none"/>
                    </w:rPr>
                    <w:t>厌氧培养装置连独立气瓶柜，高纯氮气</w:t>
                  </w:r>
                  <w:r>
                    <w:rPr>
                      <w:rFonts w:ascii="宋体" w:hAnsi="宋体" w:cs="宋体"/>
                      <w:color w:val="auto"/>
                      <w:kern w:val="0"/>
                      <w:sz w:val="22"/>
                      <w:highlight w:val="none"/>
                    </w:rPr>
                    <w:t>+</w:t>
                  </w:r>
                  <w:r>
                    <w:rPr>
                      <w:rFonts w:hint="eastAsia" w:ascii="宋体" w:hAnsi="宋体" w:cs="宋体"/>
                      <w:color w:val="auto"/>
                      <w:kern w:val="0"/>
                      <w:sz w:val="22"/>
                      <w:highlight w:val="none"/>
                    </w:rPr>
                    <w:t>混合气体（</w:t>
                  </w:r>
                  <w:r>
                    <w:rPr>
                      <w:rFonts w:ascii="宋体" w:hAnsi="宋体" w:cs="宋体"/>
                      <w:color w:val="auto"/>
                      <w:kern w:val="0"/>
                      <w:sz w:val="22"/>
                      <w:highlight w:val="none"/>
                    </w:rPr>
                    <w:t>10%</w:t>
                  </w:r>
                  <w:r>
                    <w:rPr>
                      <w:rFonts w:hint="eastAsia" w:ascii="宋体" w:hAnsi="宋体" w:cs="宋体"/>
                      <w:color w:val="auto"/>
                      <w:kern w:val="0"/>
                      <w:sz w:val="22"/>
                      <w:highlight w:val="none"/>
                    </w:rPr>
                    <w:t>氢气</w:t>
                  </w:r>
                  <w:r>
                    <w:rPr>
                      <w:rFonts w:ascii="宋体" w:hAnsi="宋体" w:cs="宋体"/>
                      <w:color w:val="auto"/>
                      <w:kern w:val="0"/>
                      <w:sz w:val="22"/>
                      <w:highlight w:val="none"/>
                    </w:rPr>
                    <w:t>+10%</w:t>
                  </w:r>
                  <w:r>
                    <w:rPr>
                      <w:rFonts w:hint="eastAsia" w:ascii="宋体" w:hAnsi="宋体" w:cs="宋体"/>
                      <w:color w:val="auto"/>
                      <w:kern w:val="0"/>
                      <w:sz w:val="22"/>
                      <w:highlight w:val="none"/>
                    </w:rPr>
                    <w:t>二氧化碳</w:t>
                  </w:r>
                  <w:r>
                    <w:rPr>
                      <w:rFonts w:ascii="宋体" w:hAnsi="宋体" w:cs="宋体"/>
                      <w:color w:val="auto"/>
                      <w:kern w:val="0"/>
                      <w:sz w:val="22"/>
                      <w:highlight w:val="none"/>
                    </w:rPr>
                    <w:t>+80%</w:t>
                  </w:r>
                  <w:r>
                    <w:rPr>
                      <w:rFonts w:hint="eastAsia" w:ascii="宋体" w:hAnsi="宋体" w:cs="宋体"/>
                      <w:color w:val="auto"/>
                      <w:kern w:val="0"/>
                      <w:sz w:val="22"/>
                      <w:highlight w:val="none"/>
                    </w:rPr>
                    <w:t>氮气）</w:t>
                  </w:r>
                </w:p>
              </w:tc>
            </w:tr>
            <w:tr w14:paraId="45E3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61AD24F3">
                  <w:pPr>
                    <w:jc w:val="center"/>
                    <w:rPr>
                      <w:rFonts w:ascii="宋体" w:hAnsi="宋体" w:cs="宋体"/>
                      <w:color w:val="auto"/>
                      <w:kern w:val="0"/>
                      <w:sz w:val="22"/>
                      <w:szCs w:val="22"/>
                      <w:highlight w:val="none"/>
                    </w:rPr>
                  </w:pPr>
                  <w:r>
                    <w:rPr>
                      <w:rFonts w:ascii="宋体" w:hAnsi="宋体" w:cs="宋体"/>
                      <w:color w:val="auto"/>
                      <w:kern w:val="0"/>
                      <w:sz w:val="22"/>
                      <w:highlight w:val="none"/>
                    </w:rPr>
                    <w:t>429A</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A6F612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准备室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DF018EC">
                  <w:pPr>
                    <w:jc w:val="center"/>
                    <w:rPr>
                      <w:rFonts w:ascii="宋体" w:hAnsi="宋体" w:cs="宋体"/>
                      <w:color w:val="auto"/>
                      <w:kern w:val="0"/>
                      <w:sz w:val="22"/>
                      <w:szCs w:val="22"/>
                      <w:highlight w:val="none"/>
                    </w:rPr>
                  </w:pPr>
                  <w:r>
                    <w:rPr>
                      <w:rFonts w:ascii="宋体" w:hAnsi="宋体" w:cs="宋体"/>
                      <w:color w:val="auto"/>
                      <w:kern w:val="0"/>
                      <w:sz w:val="22"/>
                      <w:highlight w:val="none"/>
                    </w:rPr>
                    <w:t>-80</w:t>
                  </w:r>
                  <w:r>
                    <w:rPr>
                      <w:rFonts w:hint="eastAsia" w:ascii="宋体" w:hAnsi="宋体" w:cs="宋体"/>
                      <w:color w:val="auto"/>
                      <w:kern w:val="0"/>
                      <w:sz w:val="22"/>
                      <w:highlight w:val="none"/>
                    </w:rPr>
                    <w:t>度冰箱、摇床</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EF8EF32">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EFD4CB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6751CEA">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54CD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2F63FC2">
                  <w:pPr>
                    <w:jc w:val="center"/>
                    <w:rPr>
                      <w:rFonts w:ascii="宋体" w:hAnsi="宋体" w:cs="宋体"/>
                      <w:color w:val="auto"/>
                      <w:kern w:val="0"/>
                      <w:sz w:val="22"/>
                      <w:szCs w:val="22"/>
                      <w:highlight w:val="none"/>
                    </w:rPr>
                  </w:pPr>
                  <w:r>
                    <w:rPr>
                      <w:rFonts w:ascii="宋体" w:hAnsi="宋体" w:cs="宋体"/>
                      <w:color w:val="auto"/>
                      <w:kern w:val="0"/>
                      <w:sz w:val="22"/>
                      <w:highlight w:val="none"/>
                    </w:rPr>
                    <w:t>429B</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BF8B5C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冷藏室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F61F432">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BE213C1">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B1CBB0A">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8404612">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0F3C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C488C86">
                  <w:pPr>
                    <w:jc w:val="center"/>
                    <w:rPr>
                      <w:rFonts w:ascii="宋体" w:hAnsi="宋体" w:cs="宋体"/>
                      <w:color w:val="auto"/>
                      <w:kern w:val="0"/>
                      <w:sz w:val="22"/>
                      <w:szCs w:val="22"/>
                      <w:highlight w:val="none"/>
                    </w:rPr>
                  </w:pPr>
                  <w:r>
                    <w:rPr>
                      <w:rFonts w:ascii="宋体" w:hAnsi="宋体" w:cs="宋体"/>
                      <w:color w:val="auto"/>
                      <w:kern w:val="0"/>
                      <w:sz w:val="22"/>
                      <w:highlight w:val="none"/>
                    </w:rPr>
                    <w:t>436</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643E73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生物化学实验室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60A1075">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B262C6C">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28315DB">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9EA5E9B">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347F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14225A65">
                  <w:pPr>
                    <w:jc w:val="center"/>
                    <w:rPr>
                      <w:rFonts w:ascii="宋体" w:hAnsi="宋体" w:cs="宋体"/>
                      <w:color w:val="auto"/>
                      <w:kern w:val="0"/>
                      <w:sz w:val="22"/>
                      <w:szCs w:val="22"/>
                      <w:highlight w:val="none"/>
                    </w:rPr>
                  </w:pPr>
                  <w:r>
                    <w:rPr>
                      <w:rFonts w:ascii="宋体" w:hAnsi="宋体" w:cs="宋体"/>
                      <w:color w:val="auto"/>
                      <w:kern w:val="0"/>
                      <w:sz w:val="22"/>
                      <w:highlight w:val="none"/>
                    </w:rPr>
                    <w:t>436</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4F28AD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准备室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7C626A3">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7C519B3">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F77C3BE">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09D1016">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5034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07674A02">
                  <w:pPr>
                    <w:jc w:val="center"/>
                    <w:rPr>
                      <w:rFonts w:ascii="宋体" w:hAnsi="宋体" w:cs="宋体"/>
                      <w:color w:val="auto"/>
                      <w:kern w:val="0"/>
                      <w:sz w:val="22"/>
                      <w:szCs w:val="22"/>
                      <w:highlight w:val="none"/>
                    </w:rPr>
                  </w:pPr>
                  <w:r>
                    <w:rPr>
                      <w:rFonts w:ascii="宋体" w:hAnsi="宋体" w:cs="宋体"/>
                      <w:color w:val="auto"/>
                      <w:kern w:val="0"/>
                      <w:sz w:val="22"/>
                      <w:highlight w:val="none"/>
                    </w:rPr>
                    <w:t>509</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08EEF2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物理化学实验室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67A003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烘箱、磁力加热搅拌器、天平</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1661ACA">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51E79B2">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D2F71FC">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1CF4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139B3A1F">
                  <w:pPr>
                    <w:jc w:val="center"/>
                    <w:rPr>
                      <w:rFonts w:ascii="宋体" w:hAnsi="宋体" w:cs="宋体"/>
                      <w:color w:val="auto"/>
                      <w:kern w:val="0"/>
                      <w:sz w:val="22"/>
                      <w:szCs w:val="22"/>
                      <w:highlight w:val="none"/>
                    </w:rPr>
                  </w:pPr>
                  <w:r>
                    <w:rPr>
                      <w:rFonts w:ascii="宋体" w:hAnsi="宋体" w:cs="宋体"/>
                      <w:color w:val="auto"/>
                      <w:kern w:val="0"/>
                      <w:sz w:val="22"/>
                      <w:highlight w:val="none"/>
                    </w:rPr>
                    <w:t xml:space="preserve">510 </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511833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准备室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BE49C0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烘箱、光化学反应装置</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C432685">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7296B98">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B1197A8">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53B3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58F27749">
                  <w:pPr>
                    <w:jc w:val="center"/>
                    <w:rPr>
                      <w:rFonts w:ascii="宋体" w:hAnsi="宋体" w:cs="宋体"/>
                      <w:color w:val="auto"/>
                      <w:kern w:val="0"/>
                      <w:sz w:val="22"/>
                      <w:szCs w:val="22"/>
                      <w:highlight w:val="none"/>
                    </w:rPr>
                  </w:pPr>
                  <w:r>
                    <w:rPr>
                      <w:rFonts w:ascii="宋体" w:hAnsi="宋体" w:cs="宋体"/>
                      <w:color w:val="auto"/>
                      <w:kern w:val="0"/>
                      <w:sz w:val="22"/>
                      <w:highlight w:val="none"/>
                    </w:rPr>
                    <w:t>511</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8D703A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原子吸收光谱仪室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BB34F1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原子吸收光谱仪、紫外可见近红外光谱仪 、特气柜（乙炔气）</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8ED2A9F">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D8901B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一般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C145953">
                  <w:pPr>
                    <w:rPr>
                      <w:rFonts w:ascii="宋体" w:hAnsi="宋体" w:cs="宋体"/>
                      <w:color w:val="auto"/>
                      <w:kern w:val="0"/>
                      <w:sz w:val="22"/>
                      <w:szCs w:val="22"/>
                      <w:highlight w:val="none"/>
                    </w:rPr>
                  </w:pPr>
                  <w:r>
                    <w:rPr>
                      <w:rFonts w:hint="eastAsia" w:ascii="宋体" w:hAnsi="宋体" w:cs="宋体"/>
                      <w:color w:val="auto"/>
                      <w:kern w:val="0"/>
                      <w:sz w:val="22"/>
                      <w:highlight w:val="none"/>
                    </w:rPr>
                    <w:t> 检查特气柜是否正常使用中，检查乙炔气体</w:t>
                  </w:r>
                </w:p>
              </w:tc>
            </w:tr>
            <w:tr w14:paraId="0724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271C0AAE">
                  <w:pPr>
                    <w:jc w:val="center"/>
                    <w:rPr>
                      <w:rFonts w:ascii="宋体" w:hAnsi="宋体" w:cs="宋体"/>
                      <w:color w:val="auto"/>
                      <w:kern w:val="0"/>
                      <w:sz w:val="22"/>
                      <w:szCs w:val="22"/>
                      <w:highlight w:val="none"/>
                    </w:rPr>
                  </w:pPr>
                  <w:r>
                    <w:rPr>
                      <w:rFonts w:ascii="宋体" w:hAnsi="宋体" w:cs="宋体"/>
                      <w:color w:val="auto"/>
                      <w:kern w:val="0"/>
                      <w:sz w:val="22"/>
                      <w:highlight w:val="none"/>
                    </w:rPr>
                    <w:t>512</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9D278B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仪器分析实验室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A6E1DF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同步热分析仪</w:t>
                  </w:r>
                  <w:r>
                    <w:rPr>
                      <w:rFonts w:ascii="宋体" w:hAnsi="宋体" w:cs="宋体"/>
                      <w:color w:val="auto"/>
                      <w:kern w:val="0"/>
                      <w:sz w:val="22"/>
                      <w:highlight w:val="none"/>
                    </w:rPr>
                    <w:t>-</w:t>
                  </w:r>
                  <w:r>
                    <w:rPr>
                      <w:rFonts w:hint="eastAsia" w:ascii="宋体" w:hAnsi="宋体" w:cs="宋体"/>
                      <w:color w:val="auto"/>
                      <w:kern w:val="0"/>
                      <w:sz w:val="22"/>
                      <w:highlight w:val="none"/>
                    </w:rPr>
                    <w:t>傅里叶变换红外光谱、紫外可见分光光度计、荧光光谱仪、傅里叶变换红外光谱仪、电化学工作站、电池测试系统、密理博纯水仪、烘箱、高速离心机、超声机、十万分位天平</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D7F33AB">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3EDD26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5AE9F5A">
                  <w:pPr>
                    <w:rPr>
                      <w:rFonts w:ascii="宋体" w:hAnsi="宋体" w:cs="宋体"/>
                      <w:color w:val="auto"/>
                      <w:kern w:val="0"/>
                      <w:sz w:val="22"/>
                      <w:szCs w:val="22"/>
                      <w:highlight w:val="none"/>
                    </w:rPr>
                  </w:pPr>
                  <w:r>
                    <w:rPr>
                      <w:rFonts w:hint="eastAsia" w:ascii="宋体" w:hAnsi="宋体" w:cs="宋体"/>
                      <w:color w:val="auto"/>
                      <w:kern w:val="0"/>
                      <w:sz w:val="22"/>
                      <w:highlight w:val="none"/>
                    </w:rPr>
                    <w:t>检查仪器是否正常，未使用仪器已关机。检查氮气压力是否在设定值，确保温度范围在</w:t>
                  </w:r>
                  <w:r>
                    <w:rPr>
                      <w:rFonts w:ascii="宋体" w:hAnsi="宋体" w:cs="宋体"/>
                      <w:color w:val="auto"/>
                      <w:kern w:val="0"/>
                      <w:sz w:val="22"/>
                      <w:highlight w:val="none"/>
                    </w:rPr>
                    <w:t>22-25</w:t>
                  </w:r>
                  <w:r>
                    <w:rPr>
                      <w:rFonts w:hint="eastAsia" w:ascii="宋体" w:hAnsi="宋体" w:cs="宋体"/>
                      <w:color w:val="auto"/>
                      <w:kern w:val="0"/>
                      <w:sz w:val="22"/>
                      <w:highlight w:val="none"/>
                    </w:rPr>
                    <w:t>°，检查红外的湿度指示剂，及时更换干燥剂</w:t>
                  </w:r>
                </w:p>
              </w:tc>
            </w:tr>
            <w:tr w14:paraId="56C9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0D36E27E">
                  <w:pPr>
                    <w:jc w:val="center"/>
                    <w:rPr>
                      <w:rFonts w:ascii="宋体" w:hAnsi="宋体" w:cs="宋体"/>
                      <w:color w:val="auto"/>
                      <w:kern w:val="0"/>
                      <w:sz w:val="22"/>
                      <w:szCs w:val="22"/>
                      <w:highlight w:val="none"/>
                    </w:rPr>
                  </w:pPr>
                  <w:r>
                    <w:rPr>
                      <w:rFonts w:ascii="宋体" w:hAnsi="宋体" w:cs="宋体"/>
                      <w:color w:val="auto"/>
                      <w:kern w:val="0"/>
                      <w:sz w:val="22"/>
                      <w:highlight w:val="none"/>
                    </w:rPr>
                    <w:t>513</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D9BA16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色谱分析实验室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68B33D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气相色谱仪、高效液相色谱、超高效液相色谱仪、纳米粒度仪、液质联用仪、超声波清洗器</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550E05A">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ABBB25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DB57EB0">
                  <w:pPr>
                    <w:rPr>
                      <w:rFonts w:ascii="宋体" w:hAnsi="宋体" w:cs="宋体"/>
                      <w:color w:val="auto"/>
                      <w:kern w:val="0"/>
                      <w:sz w:val="22"/>
                      <w:szCs w:val="22"/>
                      <w:highlight w:val="none"/>
                    </w:rPr>
                  </w:pPr>
                  <w:r>
                    <w:rPr>
                      <w:rFonts w:hint="eastAsia" w:ascii="宋体" w:hAnsi="宋体" w:cs="宋体"/>
                      <w:color w:val="auto"/>
                      <w:kern w:val="0"/>
                      <w:sz w:val="22"/>
                      <w:highlight w:val="none"/>
                    </w:rPr>
                    <w:t> 检查仪器是否正常，未使用仪器已关闭。</w:t>
                  </w:r>
                </w:p>
              </w:tc>
            </w:tr>
            <w:tr w14:paraId="75FC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18AC48EC">
                  <w:pPr>
                    <w:jc w:val="center"/>
                    <w:rPr>
                      <w:rFonts w:ascii="宋体" w:hAnsi="宋体" w:cs="宋体"/>
                      <w:color w:val="auto"/>
                      <w:kern w:val="0"/>
                      <w:sz w:val="22"/>
                      <w:szCs w:val="22"/>
                      <w:highlight w:val="none"/>
                    </w:rPr>
                  </w:pPr>
                  <w:r>
                    <w:rPr>
                      <w:rFonts w:ascii="宋体" w:hAnsi="宋体" w:cs="宋体"/>
                      <w:color w:val="auto"/>
                      <w:kern w:val="0"/>
                      <w:sz w:val="22"/>
                      <w:highlight w:val="none"/>
                    </w:rPr>
                    <w:t>514</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47656E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惰性气体储存室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AEFEB1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气瓶柜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11A22FA">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2BC9A0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86DC3C8">
                  <w:pPr>
                    <w:rPr>
                      <w:rFonts w:ascii="宋体" w:hAnsi="宋体" w:cs="宋体"/>
                      <w:color w:val="auto"/>
                      <w:kern w:val="0"/>
                      <w:sz w:val="22"/>
                      <w:szCs w:val="22"/>
                      <w:highlight w:val="none"/>
                    </w:rPr>
                  </w:pPr>
                  <w:r>
                    <w:rPr>
                      <w:rFonts w:hint="eastAsia" w:ascii="宋体" w:hAnsi="宋体" w:cs="宋体"/>
                      <w:color w:val="auto"/>
                      <w:kern w:val="0"/>
                      <w:sz w:val="22"/>
                      <w:highlight w:val="none"/>
                    </w:rPr>
                    <w:t>每日检查气瓶压力、剩余气体量、是否有漏气等</w:t>
                  </w:r>
                </w:p>
              </w:tc>
            </w:tr>
            <w:tr w14:paraId="70D9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724E0BE2">
                  <w:pPr>
                    <w:jc w:val="center"/>
                    <w:rPr>
                      <w:rFonts w:ascii="宋体" w:hAnsi="宋体" w:cs="宋体"/>
                      <w:color w:val="auto"/>
                      <w:kern w:val="0"/>
                      <w:sz w:val="22"/>
                      <w:szCs w:val="22"/>
                      <w:highlight w:val="none"/>
                    </w:rPr>
                  </w:pPr>
                  <w:r>
                    <w:rPr>
                      <w:rFonts w:ascii="宋体" w:hAnsi="宋体" w:cs="宋体"/>
                      <w:color w:val="auto"/>
                      <w:kern w:val="0"/>
                      <w:sz w:val="22"/>
                      <w:highlight w:val="none"/>
                    </w:rPr>
                    <w:t>515</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72ADDE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化学品储存室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28FCA0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电脑一台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147141C">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EDB69A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2707F89">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7596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63D8254F">
                  <w:pPr>
                    <w:jc w:val="center"/>
                    <w:rPr>
                      <w:rFonts w:ascii="宋体" w:hAnsi="宋体" w:cs="宋体"/>
                      <w:color w:val="auto"/>
                      <w:kern w:val="0"/>
                      <w:sz w:val="22"/>
                      <w:szCs w:val="22"/>
                      <w:highlight w:val="none"/>
                    </w:rPr>
                  </w:pPr>
                  <w:r>
                    <w:rPr>
                      <w:rFonts w:ascii="宋体" w:hAnsi="宋体" w:cs="宋体"/>
                      <w:color w:val="auto"/>
                      <w:kern w:val="0"/>
                      <w:sz w:val="22"/>
                      <w:highlight w:val="none"/>
                    </w:rPr>
                    <w:t>515A</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61C26A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化学品储存室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102F40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试剂管理终端一台、放入侵报警系统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957E4F0">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BF6C0D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较高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4503F3C">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7305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34927F7">
                  <w:pPr>
                    <w:jc w:val="center"/>
                    <w:rPr>
                      <w:rFonts w:ascii="宋体" w:hAnsi="宋体" w:cs="宋体"/>
                      <w:color w:val="auto"/>
                      <w:kern w:val="0"/>
                      <w:sz w:val="22"/>
                      <w:szCs w:val="22"/>
                      <w:highlight w:val="none"/>
                    </w:rPr>
                  </w:pPr>
                  <w:r>
                    <w:rPr>
                      <w:rFonts w:ascii="宋体" w:hAnsi="宋体" w:cs="宋体"/>
                      <w:color w:val="auto"/>
                      <w:kern w:val="0"/>
                      <w:sz w:val="22"/>
                      <w:highlight w:val="none"/>
                    </w:rPr>
                    <w:t>515B</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88EF86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化学品储存室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FDBB6A5">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AFAB91F">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F9CCAA8">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D175431">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0505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B195D24">
                  <w:pPr>
                    <w:jc w:val="center"/>
                    <w:rPr>
                      <w:rFonts w:ascii="宋体" w:hAnsi="宋体" w:cs="宋体"/>
                      <w:color w:val="auto"/>
                      <w:kern w:val="0"/>
                      <w:sz w:val="22"/>
                      <w:szCs w:val="22"/>
                      <w:highlight w:val="none"/>
                    </w:rPr>
                  </w:pPr>
                  <w:r>
                    <w:rPr>
                      <w:rFonts w:ascii="宋体" w:hAnsi="宋体" w:cs="宋体"/>
                      <w:color w:val="auto"/>
                      <w:kern w:val="0"/>
                      <w:sz w:val="22"/>
                      <w:highlight w:val="none"/>
                    </w:rPr>
                    <w:t>515C</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717081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化学品储存室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99D53C9">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3A4172B">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9199B9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673014C">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208D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AC23E81">
                  <w:pPr>
                    <w:jc w:val="center"/>
                    <w:rPr>
                      <w:rFonts w:ascii="宋体" w:hAnsi="宋体" w:cs="宋体"/>
                      <w:color w:val="auto"/>
                      <w:kern w:val="0"/>
                      <w:sz w:val="22"/>
                      <w:szCs w:val="22"/>
                      <w:highlight w:val="none"/>
                    </w:rPr>
                  </w:pPr>
                  <w:r>
                    <w:rPr>
                      <w:rFonts w:ascii="宋体" w:hAnsi="宋体" w:cs="宋体"/>
                      <w:color w:val="auto"/>
                      <w:kern w:val="0"/>
                      <w:sz w:val="22"/>
                      <w:highlight w:val="none"/>
                    </w:rPr>
                    <w:t>528</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8E4B28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学生开放创新实验室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8A1D2D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手套箱、冰箱、烘箱、超声波清洗器、磁力搅拌加热器、天平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321535F">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0884D3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目前较低</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807DBF3">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0781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7D2AE915">
                  <w:pPr>
                    <w:jc w:val="center"/>
                    <w:rPr>
                      <w:rFonts w:ascii="宋体" w:hAnsi="宋体" w:cs="宋体"/>
                      <w:color w:val="auto"/>
                      <w:kern w:val="0"/>
                      <w:sz w:val="22"/>
                      <w:szCs w:val="22"/>
                      <w:highlight w:val="none"/>
                    </w:rPr>
                  </w:pPr>
                  <w:r>
                    <w:rPr>
                      <w:rFonts w:ascii="宋体" w:hAnsi="宋体" w:cs="宋体"/>
                      <w:color w:val="auto"/>
                      <w:kern w:val="0"/>
                      <w:sz w:val="22"/>
                      <w:highlight w:val="none"/>
                    </w:rPr>
                    <w:t>529</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23CC92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化学材料实验室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0FEE1F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手套箱 、真空干燥箱、磁力搅拌加热器、天平、旋转蒸发仪</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D2FD576">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F1CFF0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671D191">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4B63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10777E14">
                  <w:pPr>
                    <w:jc w:val="center"/>
                    <w:rPr>
                      <w:rFonts w:ascii="宋体" w:hAnsi="宋体" w:cs="宋体"/>
                      <w:color w:val="auto"/>
                      <w:kern w:val="0"/>
                      <w:sz w:val="22"/>
                      <w:szCs w:val="22"/>
                      <w:highlight w:val="none"/>
                    </w:rPr>
                  </w:pPr>
                  <w:r>
                    <w:rPr>
                      <w:rFonts w:ascii="宋体" w:hAnsi="宋体" w:cs="宋体"/>
                      <w:color w:val="auto"/>
                      <w:kern w:val="0"/>
                      <w:sz w:val="22"/>
                      <w:highlight w:val="none"/>
                    </w:rPr>
                    <w:t>530</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32C725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绿色化学实验室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B2C8DB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马弗炉 、冻干机、磁力搅拌加热器、</w:t>
                  </w:r>
                  <w:r>
                    <w:rPr>
                      <w:rFonts w:ascii="宋体" w:hAnsi="宋体" w:cs="宋体"/>
                      <w:color w:val="auto"/>
                      <w:kern w:val="0"/>
                      <w:sz w:val="22"/>
                      <w:highlight w:val="none"/>
                    </w:rPr>
                    <w:t>4</w:t>
                  </w:r>
                  <w:r>
                    <w:rPr>
                      <w:rFonts w:hint="eastAsia" w:ascii="宋体" w:hAnsi="宋体" w:cs="宋体"/>
                      <w:color w:val="auto"/>
                      <w:kern w:val="0"/>
                      <w:sz w:val="22"/>
                      <w:highlight w:val="none"/>
                    </w:rPr>
                    <w:t>度冰箱、旋转蒸发仪、天平</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7447759">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8A3661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 </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F8FD172">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2A22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21765BF">
                  <w:pPr>
                    <w:jc w:val="center"/>
                    <w:rPr>
                      <w:rFonts w:ascii="宋体" w:hAnsi="宋体" w:cs="宋体"/>
                      <w:color w:val="auto"/>
                      <w:kern w:val="0"/>
                      <w:sz w:val="22"/>
                      <w:szCs w:val="22"/>
                      <w:highlight w:val="none"/>
                    </w:rPr>
                  </w:pPr>
                  <w:r>
                    <w:rPr>
                      <w:rFonts w:ascii="宋体" w:hAnsi="宋体" w:cs="宋体"/>
                      <w:color w:val="auto"/>
                      <w:kern w:val="0"/>
                      <w:sz w:val="22"/>
                      <w:highlight w:val="none"/>
                    </w:rPr>
                    <w:t>531</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6A72C6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自动清洗和水净化室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65F20F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中央纯水系统、纯水仪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A81853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服务</w:t>
                  </w:r>
                  <w:r>
                    <w:rPr>
                      <w:rFonts w:ascii="宋体" w:hAnsi="宋体" w:cs="宋体"/>
                      <w:color w:val="auto"/>
                      <w:kern w:val="0"/>
                      <w:sz w:val="22"/>
                      <w:highlight w:val="none"/>
                    </w:rPr>
                    <w:t>5</w:t>
                  </w:r>
                  <w:r>
                    <w:rPr>
                      <w:rFonts w:hint="eastAsia" w:ascii="宋体" w:hAnsi="宋体" w:cs="宋体"/>
                      <w:color w:val="auto"/>
                      <w:kern w:val="0"/>
                      <w:sz w:val="22"/>
                      <w:highlight w:val="none"/>
                    </w:rPr>
                    <w:t>层全体实验室（制冰、灭菌、洗衣机、取水等）</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5E1749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54383C1">
                  <w:pPr>
                    <w:rPr>
                      <w:rFonts w:ascii="宋体" w:hAnsi="宋体" w:cs="宋体"/>
                      <w:color w:val="auto"/>
                      <w:kern w:val="0"/>
                      <w:sz w:val="22"/>
                      <w:szCs w:val="22"/>
                      <w:highlight w:val="none"/>
                    </w:rPr>
                  </w:pPr>
                  <w:r>
                    <w:rPr>
                      <w:rFonts w:hint="eastAsia" w:ascii="宋体" w:hAnsi="宋体" w:cs="宋体"/>
                      <w:color w:val="auto"/>
                      <w:kern w:val="0"/>
                      <w:sz w:val="22"/>
                      <w:highlight w:val="none"/>
                    </w:rPr>
                    <w:t> 中纯水系统内的盐箱，一个月要加一次软水专用盐</w:t>
                  </w:r>
                </w:p>
              </w:tc>
            </w:tr>
            <w:tr w14:paraId="40AD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7DF10C63">
                  <w:pPr>
                    <w:jc w:val="center"/>
                    <w:rPr>
                      <w:rFonts w:ascii="宋体" w:hAnsi="宋体" w:cs="宋体"/>
                      <w:color w:val="auto"/>
                      <w:kern w:val="0"/>
                      <w:sz w:val="22"/>
                      <w:szCs w:val="22"/>
                      <w:highlight w:val="none"/>
                    </w:rPr>
                  </w:pPr>
                  <w:r>
                    <w:rPr>
                      <w:rFonts w:ascii="宋体" w:hAnsi="宋体" w:cs="宋体"/>
                      <w:color w:val="auto"/>
                      <w:kern w:val="0"/>
                      <w:sz w:val="22"/>
                      <w:highlight w:val="none"/>
                    </w:rPr>
                    <w:t>532</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37520F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普通化学实验室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F7D4B1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天平、磁力搅拌加热器、红外加热炉、烘箱、超声波清洗机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4B76CA7">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6BD029B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BDC6223">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2DFB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63263D91">
                  <w:pPr>
                    <w:jc w:val="center"/>
                    <w:rPr>
                      <w:rFonts w:ascii="宋体" w:hAnsi="宋体" w:cs="宋体"/>
                      <w:color w:val="auto"/>
                      <w:kern w:val="0"/>
                      <w:sz w:val="22"/>
                      <w:szCs w:val="22"/>
                      <w:highlight w:val="none"/>
                    </w:rPr>
                  </w:pPr>
                  <w:r>
                    <w:rPr>
                      <w:rFonts w:ascii="宋体" w:hAnsi="宋体" w:cs="宋体"/>
                      <w:color w:val="auto"/>
                      <w:kern w:val="0"/>
                      <w:sz w:val="22"/>
                      <w:highlight w:val="none"/>
                    </w:rPr>
                    <w:t>533</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D14C78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准备室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138714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制冰机、纯水仪 </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D5F3ADD">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29620A5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133DEE9">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2BF3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1F455ED6">
                  <w:pPr>
                    <w:jc w:val="center"/>
                    <w:rPr>
                      <w:rFonts w:ascii="宋体" w:hAnsi="宋体" w:cs="宋体"/>
                      <w:color w:val="auto"/>
                      <w:kern w:val="0"/>
                      <w:sz w:val="22"/>
                      <w:szCs w:val="22"/>
                      <w:highlight w:val="none"/>
                    </w:rPr>
                  </w:pPr>
                  <w:r>
                    <w:rPr>
                      <w:rFonts w:ascii="宋体" w:hAnsi="宋体" w:cs="宋体"/>
                      <w:color w:val="auto"/>
                      <w:kern w:val="0"/>
                      <w:sz w:val="22"/>
                      <w:highlight w:val="none"/>
                    </w:rPr>
                    <w:t>534</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353F8E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有机化学实验室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7819D5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熔点仪、旋转蒸发仪、磁力搅拌加热器、烘箱、天平、电动移液器、</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27E45D6">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1149E8C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B74D3F1">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28EB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3E0FDCFB">
                  <w:pPr>
                    <w:jc w:val="center"/>
                    <w:rPr>
                      <w:rFonts w:ascii="宋体" w:hAnsi="宋体" w:cs="宋体"/>
                      <w:color w:val="auto"/>
                      <w:kern w:val="0"/>
                      <w:sz w:val="22"/>
                      <w:szCs w:val="22"/>
                      <w:highlight w:val="none"/>
                    </w:rPr>
                  </w:pPr>
                  <w:r>
                    <w:rPr>
                      <w:rFonts w:ascii="宋体" w:hAnsi="宋体" w:cs="宋体"/>
                      <w:color w:val="auto"/>
                      <w:kern w:val="0"/>
                      <w:sz w:val="22"/>
                      <w:highlight w:val="none"/>
                    </w:rPr>
                    <w:t>535</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19D5DE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无机及分析化学实验室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D2937A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马弗炉、管式炉、离心机、烘箱、超声波清洗器 、</w:t>
                  </w:r>
                  <w:r>
                    <w:rPr>
                      <w:rFonts w:ascii="宋体" w:hAnsi="宋体" w:cs="宋体"/>
                      <w:color w:val="auto"/>
                      <w:kern w:val="0"/>
                      <w:sz w:val="22"/>
                      <w:highlight w:val="none"/>
                    </w:rPr>
                    <w:t>PH</w:t>
                  </w:r>
                  <w:r>
                    <w:rPr>
                      <w:rFonts w:hint="eastAsia" w:ascii="宋体" w:hAnsi="宋体" w:cs="宋体"/>
                      <w:color w:val="auto"/>
                      <w:kern w:val="0"/>
                      <w:sz w:val="22"/>
                      <w:highlight w:val="none"/>
                    </w:rPr>
                    <w:t>计</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01489A06">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949986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 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76997A7">
                  <w:pPr>
                    <w:rPr>
                      <w:rFonts w:ascii="宋体" w:hAnsi="宋体" w:cs="宋体"/>
                      <w:color w:val="auto"/>
                      <w:kern w:val="0"/>
                      <w:sz w:val="22"/>
                      <w:szCs w:val="22"/>
                      <w:highlight w:val="none"/>
                    </w:rPr>
                  </w:pPr>
                  <w:r>
                    <w:rPr>
                      <w:rFonts w:hint="eastAsia" w:ascii="宋体" w:hAnsi="宋体" w:cs="宋体"/>
                      <w:color w:val="auto"/>
                      <w:kern w:val="0"/>
                      <w:sz w:val="22"/>
                      <w:highlight w:val="none"/>
                    </w:rPr>
                    <w:t> 注意用电和用气</w:t>
                  </w:r>
                </w:p>
              </w:tc>
            </w:tr>
            <w:tr w14:paraId="5396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793CDCAC">
                  <w:pPr>
                    <w:jc w:val="center"/>
                    <w:rPr>
                      <w:rFonts w:ascii="宋体" w:hAnsi="宋体" w:cs="宋体"/>
                      <w:color w:val="auto"/>
                      <w:kern w:val="0"/>
                      <w:sz w:val="22"/>
                      <w:szCs w:val="22"/>
                      <w:highlight w:val="none"/>
                    </w:rPr>
                  </w:pPr>
                  <w:r>
                    <w:rPr>
                      <w:rFonts w:ascii="宋体" w:hAnsi="宋体" w:cs="宋体"/>
                      <w:color w:val="auto"/>
                      <w:kern w:val="0"/>
                      <w:sz w:val="22"/>
                      <w:highlight w:val="none"/>
                    </w:rPr>
                    <w:t>6</w:t>
                  </w:r>
                  <w:r>
                    <w:rPr>
                      <w:rFonts w:hint="eastAsia" w:ascii="宋体" w:hAnsi="宋体" w:cs="宋体"/>
                      <w:color w:val="auto"/>
                      <w:kern w:val="0"/>
                      <w:sz w:val="22"/>
                      <w:highlight w:val="none"/>
                    </w:rPr>
                    <w:t>楼</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EEAB95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阳光房</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7DD5B019">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空调、加湿器、植物培养架等 </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9D19956">
                  <w:pPr>
                    <w:jc w:val="center"/>
                    <w:rPr>
                      <w:rFonts w:ascii="宋体" w:hAnsi="宋体" w:cs="宋体"/>
                      <w:color w:val="auto"/>
                      <w:kern w:val="0"/>
                      <w:sz w:val="22"/>
                      <w:szCs w:val="22"/>
                      <w:highlight w:val="none"/>
                    </w:rPr>
                  </w:pPr>
                  <w:r>
                    <w:rPr>
                      <w:rFonts w:ascii="宋体" w:hAnsi="宋体" w:cs="宋体"/>
                      <w:color w:val="auto"/>
                      <w:kern w:val="0"/>
                      <w:sz w:val="22"/>
                      <w:highlight w:val="none"/>
                    </w:rPr>
                    <w:t> </w:t>
                  </w: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8F41B3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 </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7C59FF7">
                  <w:pPr>
                    <w:rPr>
                      <w:rFonts w:ascii="宋体" w:hAnsi="宋体" w:cs="宋体"/>
                      <w:color w:val="auto"/>
                      <w:kern w:val="0"/>
                      <w:sz w:val="22"/>
                      <w:szCs w:val="22"/>
                      <w:highlight w:val="none"/>
                    </w:rPr>
                  </w:pPr>
                  <w:r>
                    <w:rPr>
                      <w:rFonts w:ascii="宋体" w:hAnsi="宋体" w:cs="宋体"/>
                      <w:color w:val="auto"/>
                      <w:kern w:val="0"/>
                      <w:sz w:val="22"/>
                      <w:highlight w:val="none"/>
                    </w:rPr>
                    <w:t> </w:t>
                  </w:r>
                </w:p>
              </w:tc>
            </w:tr>
            <w:tr w14:paraId="4E09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0" w:type="dxa"/>
                  <w:gridSpan w:val="6"/>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582CE996">
                  <w:pPr>
                    <w:jc w:val="center"/>
                    <w:rPr>
                      <w:rFonts w:ascii="宋体" w:hAnsi="宋体" w:cs="宋体"/>
                      <w:b/>
                      <w:bCs/>
                      <w:color w:val="auto"/>
                      <w:kern w:val="0"/>
                      <w:sz w:val="22"/>
                      <w:szCs w:val="22"/>
                      <w:highlight w:val="none"/>
                    </w:rPr>
                  </w:pPr>
                  <w:r>
                    <w:rPr>
                      <w:rFonts w:hint="eastAsia" w:ascii="宋体" w:hAnsi="宋体" w:cs="宋体"/>
                      <w:b/>
                      <w:bCs/>
                      <w:color w:val="auto"/>
                      <w:kern w:val="0"/>
                      <w:sz w:val="22"/>
                      <w:highlight w:val="none"/>
                    </w:rPr>
                    <w:t>综合实验楼</w:t>
                  </w:r>
                  <w:r>
                    <w:rPr>
                      <w:rFonts w:ascii="宋体" w:hAnsi="宋体" w:cs="宋体"/>
                      <w:b/>
                      <w:bCs/>
                      <w:color w:val="auto"/>
                      <w:kern w:val="0"/>
                      <w:sz w:val="22"/>
                      <w:highlight w:val="none"/>
                    </w:rPr>
                    <w:t xml:space="preserve"> CLB</w:t>
                  </w:r>
                </w:p>
              </w:tc>
            </w:tr>
            <w:tr w14:paraId="58E2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6EB20EEE">
                  <w:pPr>
                    <w:jc w:val="center"/>
                    <w:rPr>
                      <w:rFonts w:ascii="宋体" w:hAnsi="宋体" w:cs="宋体"/>
                      <w:color w:val="auto"/>
                      <w:kern w:val="0"/>
                      <w:sz w:val="22"/>
                      <w:szCs w:val="22"/>
                      <w:highlight w:val="none"/>
                    </w:rPr>
                  </w:pPr>
                  <w:r>
                    <w:rPr>
                      <w:rFonts w:ascii="宋体" w:hAnsi="宋体" w:cs="宋体"/>
                      <w:color w:val="auto"/>
                      <w:kern w:val="0"/>
                      <w:sz w:val="22"/>
                      <w:highlight w:val="none"/>
                    </w:rPr>
                    <w:t>104</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3FF3AB3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生物科研实验室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1FCF07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大型冷冻离心机、小型冷冻离心机、二氧化碳培养箱、细胞计数仪、干燥箱、化学防爆柜、通风橱、</w:t>
                  </w:r>
                  <w:r>
                    <w:rPr>
                      <w:rFonts w:ascii="宋体" w:hAnsi="宋体" w:cs="宋体"/>
                      <w:color w:val="auto"/>
                      <w:kern w:val="0"/>
                      <w:sz w:val="22"/>
                      <w:highlight w:val="none"/>
                    </w:rPr>
                    <w:t>pH</w:t>
                  </w:r>
                  <w:r>
                    <w:rPr>
                      <w:rFonts w:hint="eastAsia" w:ascii="宋体" w:hAnsi="宋体" w:cs="宋体"/>
                      <w:color w:val="auto"/>
                      <w:kern w:val="0"/>
                      <w:sz w:val="22"/>
                      <w:highlight w:val="none"/>
                    </w:rPr>
                    <w:t>计、天平、</w:t>
                  </w:r>
                  <w:r>
                    <w:rPr>
                      <w:rFonts w:ascii="宋体" w:hAnsi="宋体" w:cs="宋体"/>
                      <w:color w:val="auto"/>
                      <w:kern w:val="0"/>
                      <w:sz w:val="22"/>
                      <w:highlight w:val="none"/>
                    </w:rPr>
                    <w:t>pcr</w:t>
                  </w:r>
                  <w:r>
                    <w:rPr>
                      <w:rFonts w:hint="eastAsia" w:ascii="宋体" w:hAnsi="宋体" w:cs="宋体"/>
                      <w:color w:val="auto"/>
                      <w:kern w:val="0"/>
                      <w:sz w:val="22"/>
                      <w:highlight w:val="none"/>
                    </w:rPr>
                    <w:t>仪、纯水仪、加热搅拌器、水浴锅、灭菌锅等</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FA2E77D">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7979ED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EB4CB29">
                  <w:pPr>
                    <w:rPr>
                      <w:rFonts w:ascii="宋体" w:hAnsi="宋体" w:cs="宋体"/>
                      <w:color w:val="auto"/>
                      <w:kern w:val="0"/>
                      <w:sz w:val="22"/>
                      <w:szCs w:val="22"/>
                      <w:highlight w:val="none"/>
                    </w:rPr>
                  </w:pPr>
                </w:p>
              </w:tc>
            </w:tr>
            <w:tr w14:paraId="2AFF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0D258C04">
                  <w:pPr>
                    <w:jc w:val="center"/>
                    <w:rPr>
                      <w:rFonts w:ascii="宋体" w:hAnsi="宋体" w:cs="宋体"/>
                      <w:color w:val="auto"/>
                      <w:kern w:val="0"/>
                      <w:sz w:val="22"/>
                      <w:szCs w:val="22"/>
                      <w:highlight w:val="none"/>
                    </w:rPr>
                  </w:pPr>
                  <w:r>
                    <w:rPr>
                      <w:rFonts w:ascii="宋体" w:hAnsi="宋体" w:cs="宋体"/>
                      <w:color w:val="auto"/>
                      <w:kern w:val="0"/>
                      <w:sz w:val="22"/>
                      <w:highlight w:val="none"/>
                    </w:rPr>
                    <w:t>106</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74792FB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细胞与分子实验室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6829985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大型冷冻离心机、小型冷冻离心机、二氧化碳培养箱、细胞计数仪、干燥箱、化学防爆柜、通风橱、</w:t>
                  </w:r>
                  <w:r>
                    <w:rPr>
                      <w:rFonts w:ascii="宋体" w:hAnsi="宋体" w:cs="宋体"/>
                      <w:color w:val="auto"/>
                      <w:kern w:val="0"/>
                      <w:sz w:val="22"/>
                      <w:highlight w:val="none"/>
                    </w:rPr>
                    <w:t>pH</w:t>
                  </w:r>
                  <w:r>
                    <w:rPr>
                      <w:rFonts w:hint="eastAsia" w:ascii="宋体" w:hAnsi="宋体" w:cs="宋体"/>
                      <w:color w:val="auto"/>
                      <w:kern w:val="0"/>
                      <w:sz w:val="22"/>
                      <w:highlight w:val="none"/>
                    </w:rPr>
                    <w:t>计、天平、</w:t>
                  </w:r>
                  <w:r>
                    <w:rPr>
                      <w:rFonts w:ascii="宋体" w:hAnsi="宋体" w:cs="宋体"/>
                      <w:color w:val="auto"/>
                      <w:kern w:val="0"/>
                      <w:sz w:val="22"/>
                      <w:highlight w:val="none"/>
                    </w:rPr>
                    <w:t>pcr</w:t>
                  </w:r>
                  <w:r>
                    <w:rPr>
                      <w:rFonts w:hint="eastAsia" w:ascii="宋体" w:hAnsi="宋体" w:cs="宋体"/>
                      <w:color w:val="auto"/>
                      <w:kern w:val="0"/>
                      <w:sz w:val="22"/>
                      <w:highlight w:val="none"/>
                    </w:rPr>
                    <w:t>仪、纯水仪、加热搅拌器、水浴锅、灭菌锅等</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1EC709DE">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4D25A9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4E97379">
                  <w:pPr>
                    <w:rPr>
                      <w:rFonts w:ascii="宋体" w:hAnsi="宋体" w:cs="宋体"/>
                      <w:color w:val="auto"/>
                      <w:kern w:val="0"/>
                      <w:sz w:val="22"/>
                      <w:szCs w:val="22"/>
                      <w:highlight w:val="none"/>
                    </w:rPr>
                  </w:pPr>
                </w:p>
              </w:tc>
            </w:tr>
            <w:tr w14:paraId="11E0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2F908CEA">
                  <w:pPr>
                    <w:jc w:val="center"/>
                    <w:rPr>
                      <w:rFonts w:ascii="宋体" w:hAnsi="宋体" w:cs="宋体"/>
                      <w:color w:val="auto"/>
                      <w:kern w:val="0"/>
                      <w:sz w:val="22"/>
                      <w:szCs w:val="22"/>
                      <w:highlight w:val="none"/>
                    </w:rPr>
                  </w:pPr>
                  <w:r>
                    <w:rPr>
                      <w:rFonts w:ascii="宋体" w:hAnsi="宋体" w:cs="宋体"/>
                      <w:color w:val="auto"/>
                      <w:kern w:val="0"/>
                      <w:sz w:val="22"/>
                      <w:highlight w:val="none"/>
                    </w:rPr>
                    <w:t>201</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77AB5D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分析化学实验室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199EC1D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天平</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7A7FFD12">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1B1C87D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目前较低</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3092FC2C">
                  <w:pPr>
                    <w:rPr>
                      <w:rFonts w:ascii="宋体" w:hAnsi="宋体" w:cs="宋体"/>
                      <w:color w:val="auto"/>
                      <w:kern w:val="0"/>
                      <w:sz w:val="22"/>
                      <w:szCs w:val="22"/>
                      <w:highlight w:val="none"/>
                    </w:rPr>
                  </w:pPr>
                </w:p>
              </w:tc>
            </w:tr>
            <w:tr w14:paraId="1875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7DFDCA43">
                  <w:pPr>
                    <w:jc w:val="center"/>
                    <w:rPr>
                      <w:rFonts w:ascii="宋体" w:hAnsi="宋体" w:cs="宋体"/>
                      <w:color w:val="auto"/>
                      <w:kern w:val="0"/>
                      <w:sz w:val="22"/>
                      <w:szCs w:val="22"/>
                      <w:highlight w:val="none"/>
                    </w:rPr>
                  </w:pPr>
                  <w:r>
                    <w:rPr>
                      <w:rFonts w:ascii="宋体" w:hAnsi="宋体" w:cs="宋体"/>
                      <w:color w:val="auto"/>
                      <w:kern w:val="0"/>
                      <w:sz w:val="22"/>
                      <w:highlight w:val="none"/>
                    </w:rPr>
                    <w:t>202</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C456ED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普通生物学实验室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EBAFE4F">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天平、分光光度计、</w:t>
                  </w:r>
                  <w:r>
                    <w:rPr>
                      <w:rFonts w:ascii="宋体" w:hAnsi="宋体" w:cs="宋体"/>
                      <w:color w:val="auto"/>
                      <w:kern w:val="0"/>
                      <w:sz w:val="22"/>
                      <w:highlight w:val="none"/>
                    </w:rPr>
                    <w:t>pH</w:t>
                  </w:r>
                  <w:r>
                    <w:rPr>
                      <w:rFonts w:hint="eastAsia" w:ascii="宋体" w:hAnsi="宋体" w:cs="宋体"/>
                      <w:color w:val="auto"/>
                      <w:kern w:val="0"/>
                      <w:sz w:val="22"/>
                      <w:highlight w:val="none"/>
                    </w:rPr>
                    <w:t>仪、通风柜、</w:t>
                  </w:r>
                  <w:r>
                    <w:rPr>
                      <w:rFonts w:ascii="宋体" w:hAnsi="宋体" w:cs="宋体"/>
                      <w:color w:val="auto"/>
                      <w:kern w:val="0"/>
                      <w:sz w:val="22"/>
                      <w:highlight w:val="none"/>
                    </w:rPr>
                    <w:t>4</w:t>
                  </w:r>
                  <w:r>
                    <w:rPr>
                      <w:rFonts w:hint="eastAsia" w:ascii="宋体" w:hAnsi="宋体" w:cs="宋体"/>
                      <w:color w:val="auto"/>
                      <w:kern w:val="0"/>
                      <w:sz w:val="22"/>
                      <w:highlight w:val="none"/>
                    </w:rPr>
                    <w:t>度冰箱、</w:t>
                  </w:r>
                  <w:r>
                    <w:rPr>
                      <w:rFonts w:ascii="宋体" w:hAnsi="宋体" w:cs="宋体"/>
                      <w:color w:val="auto"/>
                      <w:kern w:val="0"/>
                      <w:sz w:val="22"/>
                      <w:highlight w:val="none"/>
                    </w:rPr>
                    <w:t>-20</w:t>
                  </w:r>
                  <w:r>
                    <w:rPr>
                      <w:rFonts w:hint="eastAsia" w:ascii="宋体" w:hAnsi="宋体" w:cs="宋体"/>
                      <w:color w:val="auto"/>
                      <w:kern w:val="0"/>
                      <w:sz w:val="22"/>
                      <w:highlight w:val="none"/>
                    </w:rPr>
                    <w:t>度冰箱、水浴锅等</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6BAF75D">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DB07C6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目前较低</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6A08E06">
                  <w:pPr>
                    <w:rPr>
                      <w:rFonts w:ascii="宋体" w:hAnsi="宋体" w:cs="宋体"/>
                      <w:color w:val="auto"/>
                      <w:kern w:val="0"/>
                      <w:sz w:val="22"/>
                      <w:szCs w:val="22"/>
                      <w:highlight w:val="none"/>
                    </w:rPr>
                  </w:pPr>
                </w:p>
              </w:tc>
            </w:tr>
            <w:tr w14:paraId="0E81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67525C6B">
                  <w:pPr>
                    <w:jc w:val="center"/>
                    <w:rPr>
                      <w:rFonts w:ascii="宋体" w:hAnsi="宋体" w:cs="宋体"/>
                      <w:color w:val="auto"/>
                      <w:kern w:val="0"/>
                      <w:sz w:val="22"/>
                      <w:szCs w:val="22"/>
                      <w:highlight w:val="none"/>
                    </w:rPr>
                  </w:pPr>
                  <w:r>
                    <w:rPr>
                      <w:rFonts w:ascii="宋体" w:hAnsi="宋体" w:cs="宋体"/>
                      <w:color w:val="auto"/>
                      <w:kern w:val="0"/>
                      <w:sz w:val="22"/>
                      <w:highlight w:val="none"/>
                    </w:rPr>
                    <w:t>203</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DB06AB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普通微生物实验室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3FB7D6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天平、分光光度计、</w:t>
                  </w:r>
                  <w:r>
                    <w:rPr>
                      <w:rFonts w:ascii="宋体" w:hAnsi="宋体" w:cs="宋体"/>
                      <w:color w:val="auto"/>
                      <w:kern w:val="0"/>
                      <w:sz w:val="22"/>
                      <w:highlight w:val="none"/>
                    </w:rPr>
                    <w:t>pH</w:t>
                  </w:r>
                  <w:r>
                    <w:rPr>
                      <w:rFonts w:hint="eastAsia" w:ascii="宋体" w:hAnsi="宋体" w:cs="宋体"/>
                      <w:color w:val="auto"/>
                      <w:kern w:val="0"/>
                      <w:sz w:val="22"/>
                      <w:highlight w:val="none"/>
                    </w:rPr>
                    <w:t>仪、通风柜、</w:t>
                  </w:r>
                  <w:r>
                    <w:rPr>
                      <w:rFonts w:ascii="宋体" w:hAnsi="宋体" w:cs="宋体"/>
                      <w:color w:val="auto"/>
                      <w:kern w:val="0"/>
                      <w:sz w:val="22"/>
                      <w:highlight w:val="none"/>
                    </w:rPr>
                    <w:t>4</w:t>
                  </w:r>
                  <w:r>
                    <w:rPr>
                      <w:rFonts w:hint="eastAsia" w:ascii="宋体" w:hAnsi="宋体" w:cs="宋体"/>
                      <w:color w:val="auto"/>
                      <w:kern w:val="0"/>
                      <w:sz w:val="22"/>
                      <w:highlight w:val="none"/>
                    </w:rPr>
                    <w:t>度冰箱、</w:t>
                  </w:r>
                  <w:r>
                    <w:rPr>
                      <w:rFonts w:ascii="宋体" w:hAnsi="宋体" w:cs="宋体"/>
                      <w:color w:val="auto"/>
                      <w:kern w:val="0"/>
                      <w:sz w:val="22"/>
                      <w:highlight w:val="none"/>
                    </w:rPr>
                    <w:t>-20</w:t>
                  </w:r>
                  <w:r>
                    <w:rPr>
                      <w:rFonts w:hint="eastAsia" w:ascii="宋体" w:hAnsi="宋体" w:cs="宋体"/>
                      <w:color w:val="auto"/>
                      <w:kern w:val="0"/>
                      <w:sz w:val="22"/>
                      <w:highlight w:val="none"/>
                    </w:rPr>
                    <w:t>度冰箱、水浴锅等</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72076AE1">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19C20F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目前较低</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7DAA6F6F">
                  <w:pPr>
                    <w:rPr>
                      <w:rFonts w:ascii="宋体" w:hAnsi="宋体" w:cs="宋体"/>
                      <w:color w:val="auto"/>
                      <w:kern w:val="0"/>
                      <w:sz w:val="22"/>
                      <w:szCs w:val="22"/>
                      <w:highlight w:val="none"/>
                    </w:rPr>
                  </w:pPr>
                </w:p>
              </w:tc>
            </w:tr>
            <w:tr w14:paraId="76E3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2B6A25B8">
                  <w:pPr>
                    <w:jc w:val="center"/>
                    <w:rPr>
                      <w:rFonts w:ascii="宋体" w:hAnsi="宋体" w:cs="宋体"/>
                      <w:color w:val="auto"/>
                      <w:kern w:val="0"/>
                      <w:sz w:val="22"/>
                      <w:szCs w:val="22"/>
                      <w:highlight w:val="none"/>
                    </w:rPr>
                  </w:pPr>
                  <w:r>
                    <w:rPr>
                      <w:rFonts w:ascii="宋体" w:hAnsi="宋体" w:cs="宋体"/>
                      <w:color w:val="auto"/>
                      <w:kern w:val="0"/>
                      <w:sz w:val="22"/>
                      <w:highlight w:val="none"/>
                    </w:rPr>
                    <w:t>204</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235CDB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设备房</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5220FC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真空冷冻干燥机、酶标仪、</w:t>
                  </w:r>
                  <w:r>
                    <w:rPr>
                      <w:rFonts w:ascii="宋体" w:hAnsi="宋体" w:cs="宋体"/>
                      <w:color w:val="auto"/>
                      <w:kern w:val="0"/>
                      <w:sz w:val="22"/>
                      <w:highlight w:val="none"/>
                    </w:rPr>
                    <w:t>Qpcr</w:t>
                  </w:r>
                  <w:r>
                    <w:rPr>
                      <w:rFonts w:hint="eastAsia" w:ascii="宋体" w:hAnsi="宋体" w:cs="宋体"/>
                      <w:color w:val="auto"/>
                      <w:kern w:val="0"/>
                      <w:sz w:val="22"/>
                      <w:highlight w:val="none"/>
                    </w:rPr>
                    <w:t>仪、蛋白纯化仪、凝胶成像系统、十万分位天平、荧光倒置显微镜等</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6C4B39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大型设备多的实验室，服务所有科研和教学实验活动</w:t>
                  </w: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3298CD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C0C81F9">
                  <w:pPr>
                    <w:rPr>
                      <w:rFonts w:ascii="宋体" w:hAnsi="宋体" w:cs="宋体"/>
                      <w:color w:val="auto"/>
                      <w:kern w:val="0"/>
                      <w:sz w:val="22"/>
                      <w:szCs w:val="22"/>
                      <w:highlight w:val="none"/>
                    </w:rPr>
                  </w:pPr>
                  <w:r>
                    <w:rPr>
                      <w:rFonts w:hint="eastAsia" w:ascii="宋体" w:hAnsi="宋体" w:cs="宋体"/>
                      <w:color w:val="auto"/>
                      <w:kern w:val="0"/>
                      <w:sz w:val="22"/>
                      <w:highlight w:val="none"/>
                    </w:rPr>
                    <w:t>真空冷冻干燥机定时检查泵油</w:t>
                  </w:r>
                </w:p>
              </w:tc>
            </w:tr>
            <w:tr w14:paraId="75C9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7EDAFD6F">
                  <w:pPr>
                    <w:jc w:val="center"/>
                    <w:rPr>
                      <w:rFonts w:ascii="宋体" w:hAnsi="宋体" w:cs="宋体"/>
                      <w:color w:val="auto"/>
                      <w:kern w:val="0"/>
                      <w:sz w:val="22"/>
                      <w:szCs w:val="22"/>
                      <w:highlight w:val="none"/>
                    </w:rPr>
                  </w:pPr>
                  <w:r>
                    <w:rPr>
                      <w:rFonts w:ascii="宋体" w:hAnsi="宋体" w:cs="宋体"/>
                      <w:color w:val="auto"/>
                      <w:kern w:val="0"/>
                      <w:sz w:val="22"/>
                      <w:highlight w:val="none"/>
                    </w:rPr>
                    <w:t>205</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32397D2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有机化学实验室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6282A49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磁力搅拌加热器、旋转蒸发仪、天平、熔点仪、纯水仪</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8F239BC">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F9DB03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目前较低</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F7D5245">
                  <w:pPr>
                    <w:rPr>
                      <w:rFonts w:ascii="宋体" w:hAnsi="宋体" w:cs="宋体"/>
                      <w:color w:val="auto"/>
                      <w:kern w:val="0"/>
                      <w:sz w:val="22"/>
                      <w:szCs w:val="22"/>
                      <w:highlight w:val="none"/>
                    </w:rPr>
                  </w:pPr>
                </w:p>
              </w:tc>
            </w:tr>
            <w:tr w14:paraId="30B8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5EC87DAE">
                  <w:pPr>
                    <w:jc w:val="center"/>
                    <w:rPr>
                      <w:rFonts w:ascii="宋体" w:hAnsi="宋体" w:cs="宋体"/>
                      <w:color w:val="auto"/>
                      <w:kern w:val="0"/>
                      <w:sz w:val="22"/>
                      <w:szCs w:val="22"/>
                      <w:highlight w:val="none"/>
                    </w:rPr>
                  </w:pPr>
                  <w:r>
                    <w:rPr>
                      <w:rFonts w:ascii="宋体" w:hAnsi="宋体" w:cs="宋体"/>
                      <w:color w:val="auto"/>
                      <w:kern w:val="0"/>
                      <w:sz w:val="22"/>
                      <w:highlight w:val="none"/>
                    </w:rPr>
                    <w:t>206</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C8A578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化学科研实验室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724D7FC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通风柜、防爆冰箱、</w:t>
                  </w:r>
                  <w:r>
                    <w:rPr>
                      <w:rFonts w:ascii="宋体" w:hAnsi="宋体" w:cs="宋体"/>
                      <w:color w:val="auto"/>
                      <w:kern w:val="0"/>
                      <w:sz w:val="22"/>
                      <w:highlight w:val="none"/>
                    </w:rPr>
                    <w:t>4</w:t>
                  </w:r>
                  <w:r>
                    <w:rPr>
                      <w:rFonts w:hint="eastAsia" w:ascii="宋体" w:hAnsi="宋体" w:cs="宋体"/>
                      <w:color w:val="auto"/>
                      <w:kern w:val="0"/>
                      <w:sz w:val="22"/>
                      <w:highlight w:val="none"/>
                    </w:rPr>
                    <w:t>度冰箱、小型冷冻离心机</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22CFBE5">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32C855FC">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A977D90">
                  <w:pPr>
                    <w:rPr>
                      <w:rFonts w:ascii="宋体" w:hAnsi="宋体" w:cs="宋体"/>
                      <w:color w:val="auto"/>
                      <w:kern w:val="0"/>
                      <w:sz w:val="22"/>
                      <w:szCs w:val="22"/>
                      <w:highlight w:val="none"/>
                    </w:rPr>
                  </w:pPr>
                </w:p>
              </w:tc>
            </w:tr>
            <w:tr w14:paraId="79A8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3CEC52CF">
                  <w:pPr>
                    <w:jc w:val="center"/>
                    <w:rPr>
                      <w:rFonts w:ascii="宋体" w:hAnsi="宋体" w:cs="宋体"/>
                      <w:color w:val="auto"/>
                      <w:kern w:val="0"/>
                      <w:sz w:val="22"/>
                      <w:szCs w:val="22"/>
                      <w:highlight w:val="none"/>
                    </w:rPr>
                  </w:pPr>
                  <w:r>
                    <w:rPr>
                      <w:rFonts w:ascii="宋体" w:hAnsi="宋体" w:cs="宋体"/>
                      <w:color w:val="auto"/>
                      <w:kern w:val="0"/>
                      <w:sz w:val="22"/>
                      <w:highlight w:val="none"/>
                    </w:rPr>
                    <w:t>207</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131994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洗消间</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76D3117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灭菌锅、制冰机</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1A51CAB0">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ED98E4A">
                  <w:pPr>
                    <w:jc w:val="center"/>
                    <w:rPr>
                      <w:rFonts w:ascii="宋体" w:hAnsi="宋体" w:cs="宋体"/>
                      <w:color w:val="auto"/>
                      <w:kern w:val="0"/>
                      <w:sz w:val="22"/>
                      <w:szCs w:val="22"/>
                      <w:highlight w:val="none"/>
                    </w:rPr>
                  </w:pP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B348A3F">
                  <w:pPr>
                    <w:rPr>
                      <w:rFonts w:ascii="宋体" w:hAnsi="宋体" w:cs="宋体"/>
                      <w:color w:val="auto"/>
                      <w:kern w:val="0"/>
                      <w:sz w:val="22"/>
                      <w:szCs w:val="22"/>
                      <w:highlight w:val="none"/>
                    </w:rPr>
                  </w:pPr>
                </w:p>
              </w:tc>
            </w:tr>
            <w:tr w14:paraId="021E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497D59FD">
                  <w:pPr>
                    <w:jc w:val="center"/>
                    <w:rPr>
                      <w:rFonts w:ascii="宋体" w:hAnsi="宋体" w:cs="宋体"/>
                      <w:color w:val="auto"/>
                      <w:kern w:val="0"/>
                      <w:sz w:val="22"/>
                      <w:szCs w:val="22"/>
                      <w:highlight w:val="none"/>
                    </w:rPr>
                  </w:pPr>
                  <w:r>
                    <w:rPr>
                      <w:rFonts w:ascii="宋体" w:hAnsi="宋体" w:cs="宋体"/>
                      <w:color w:val="auto"/>
                      <w:kern w:val="0"/>
                      <w:sz w:val="22"/>
                      <w:highlight w:val="none"/>
                    </w:rPr>
                    <w:t>207</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68F21EB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试剂间</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B92451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防爆空调、防爆冰箱、防爆试剂柜</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570D2E1">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7456C79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03310F8">
                  <w:pPr>
                    <w:rPr>
                      <w:rFonts w:ascii="宋体" w:hAnsi="宋体" w:cs="宋体"/>
                      <w:color w:val="auto"/>
                      <w:kern w:val="0"/>
                      <w:sz w:val="22"/>
                      <w:szCs w:val="22"/>
                      <w:highlight w:val="none"/>
                    </w:rPr>
                  </w:pPr>
                </w:p>
              </w:tc>
            </w:tr>
            <w:tr w14:paraId="78F7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71D25F38">
                  <w:pPr>
                    <w:jc w:val="center"/>
                    <w:rPr>
                      <w:rFonts w:ascii="宋体" w:hAnsi="宋体" w:cs="宋体"/>
                      <w:color w:val="auto"/>
                      <w:kern w:val="0"/>
                      <w:sz w:val="22"/>
                      <w:szCs w:val="22"/>
                      <w:highlight w:val="none"/>
                    </w:rPr>
                  </w:pPr>
                  <w:r>
                    <w:rPr>
                      <w:rFonts w:ascii="宋体" w:hAnsi="宋体" w:cs="宋体"/>
                      <w:color w:val="auto"/>
                      <w:kern w:val="0"/>
                      <w:sz w:val="22"/>
                      <w:highlight w:val="none"/>
                    </w:rPr>
                    <w:t>107</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E9BE8E6">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耗材仓库</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E428C3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货架</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A09A020">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6E50C16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2B18FEE3">
                  <w:pPr>
                    <w:rPr>
                      <w:rFonts w:ascii="宋体" w:hAnsi="宋体" w:cs="宋体"/>
                      <w:color w:val="auto"/>
                      <w:kern w:val="0"/>
                      <w:sz w:val="22"/>
                      <w:szCs w:val="22"/>
                      <w:highlight w:val="none"/>
                    </w:rPr>
                  </w:pPr>
                </w:p>
              </w:tc>
            </w:tr>
            <w:tr w14:paraId="5C2A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0" w:type="dxa"/>
                  <w:gridSpan w:val="6"/>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3B0223FA">
                  <w:pPr>
                    <w:jc w:val="center"/>
                    <w:rPr>
                      <w:rFonts w:ascii="宋体" w:hAnsi="宋体" w:cs="宋体"/>
                      <w:b/>
                      <w:bCs/>
                      <w:color w:val="auto"/>
                      <w:kern w:val="0"/>
                      <w:sz w:val="22"/>
                      <w:szCs w:val="22"/>
                      <w:highlight w:val="none"/>
                    </w:rPr>
                  </w:pPr>
                  <w:r>
                    <w:rPr>
                      <w:rFonts w:hint="eastAsia" w:ascii="宋体" w:hAnsi="宋体" w:cs="宋体"/>
                      <w:b/>
                      <w:bCs/>
                      <w:color w:val="auto"/>
                      <w:kern w:val="0"/>
                      <w:sz w:val="22"/>
                      <w:highlight w:val="none"/>
                    </w:rPr>
                    <w:t>教学楼</w:t>
                  </w:r>
                  <w:r>
                    <w:rPr>
                      <w:rFonts w:ascii="宋体" w:hAnsi="宋体" w:cs="宋体"/>
                      <w:b/>
                      <w:bCs/>
                      <w:color w:val="auto"/>
                      <w:kern w:val="0"/>
                      <w:sz w:val="22"/>
                      <w:highlight w:val="none"/>
                    </w:rPr>
                    <w:t>D</w:t>
                  </w:r>
                  <w:r>
                    <w:rPr>
                      <w:rFonts w:hint="eastAsia" w:ascii="宋体" w:hAnsi="宋体" w:cs="宋体"/>
                      <w:b/>
                      <w:bCs/>
                      <w:color w:val="auto"/>
                      <w:kern w:val="0"/>
                      <w:sz w:val="22"/>
                      <w:highlight w:val="none"/>
                    </w:rPr>
                    <w:t>栋</w:t>
                  </w:r>
                </w:p>
              </w:tc>
            </w:tr>
            <w:tr w14:paraId="203C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777BCAF7">
                  <w:pPr>
                    <w:jc w:val="center"/>
                    <w:rPr>
                      <w:rFonts w:ascii="宋体" w:hAnsi="宋体" w:cs="宋体"/>
                      <w:color w:val="auto"/>
                      <w:kern w:val="0"/>
                      <w:sz w:val="22"/>
                      <w:szCs w:val="22"/>
                      <w:highlight w:val="none"/>
                    </w:rPr>
                  </w:pPr>
                  <w:r>
                    <w:rPr>
                      <w:rFonts w:ascii="宋体" w:hAnsi="宋体" w:cs="宋体"/>
                      <w:color w:val="auto"/>
                      <w:kern w:val="0"/>
                      <w:sz w:val="22"/>
                      <w:highlight w:val="none"/>
                    </w:rPr>
                    <w:t>D101</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63264C4E">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普通化学实验室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F4A3FCD">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紫外分光光度计、小型冷冻离心机、</w:t>
                  </w:r>
                  <w:r>
                    <w:rPr>
                      <w:rFonts w:ascii="宋体" w:hAnsi="宋体" w:cs="宋体"/>
                      <w:color w:val="auto"/>
                      <w:kern w:val="0"/>
                      <w:sz w:val="22"/>
                      <w:highlight w:val="none"/>
                    </w:rPr>
                    <w:t>4</w:t>
                  </w:r>
                  <w:r>
                    <w:rPr>
                      <w:rFonts w:hint="eastAsia" w:ascii="宋体" w:hAnsi="宋体" w:cs="宋体"/>
                      <w:color w:val="auto"/>
                      <w:kern w:val="0"/>
                      <w:sz w:val="22"/>
                      <w:highlight w:val="none"/>
                    </w:rPr>
                    <w:t>度冰箱、通风橱、烘箱、红外加热炉等</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6E7E71CA">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03E035D1">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目前较低</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B7D47E6">
                  <w:pPr>
                    <w:rPr>
                      <w:rFonts w:ascii="宋体" w:hAnsi="宋体" w:cs="宋体"/>
                      <w:color w:val="auto"/>
                      <w:kern w:val="0"/>
                      <w:sz w:val="22"/>
                      <w:szCs w:val="22"/>
                      <w:highlight w:val="none"/>
                    </w:rPr>
                  </w:pPr>
                </w:p>
              </w:tc>
            </w:tr>
            <w:tr w14:paraId="754B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3F84248F">
                  <w:pPr>
                    <w:jc w:val="center"/>
                    <w:rPr>
                      <w:rFonts w:ascii="宋体" w:hAnsi="宋体" w:cs="宋体"/>
                      <w:color w:val="auto"/>
                      <w:kern w:val="0"/>
                      <w:sz w:val="22"/>
                      <w:szCs w:val="22"/>
                      <w:highlight w:val="none"/>
                    </w:rPr>
                  </w:pPr>
                  <w:r>
                    <w:rPr>
                      <w:rFonts w:ascii="宋体" w:hAnsi="宋体" w:cs="宋体"/>
                      <w:color w:val="auto"/>
                      <w:kern w:val="0"/>
                      <w:sz w:val="22"/>
                      <w:highlight w:val="none"/>
                    </w:rPr>
                    <w:t>D301</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B7B57A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普通生物实验室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5DF0D2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显微镜、</w:t>
                  </w:r>
                  <w:r>
                    <w:rPr>
                      <w:rFonts w:ascii="宋体" w:hAnsi="宋体" w:cs="宋体"/>
                      <w:color w:val="auto"/>
                      <w:kern w:val="0"/>
                      <w:sz w:val="22"/>
                      <w:highlight w:val="none"/>
                    </w:rPr>
                    <w:t>pcr</w:t>
                  </w:r>
                  <w:r>
                    <w:rPr>
                      <w:rFonts w:hint="eastAsia" w:ascii="宋体" w:hAnsi="宋体" w:cs="宋体"/>
                      <w:color w:val="auto"/>
                      <w:kern w:val="0"/>
                      <w:sz w:val="22"/>
                      <w:highlight w:val="none"/>
                    </w:rPr>
                    <w:t>仪、酶标仪、冰箱（</w:t>
                  </w:r>
                  <w:r>
                    <w:rPr>
                      <w:rFonts w:ascii="宋体" w:hAnsi="宋体" w:cs="宋体"/>
                      <w:color w:val="auto"/>
                      <w:kern w:val="0"/>
                      <w:sz w:val="22"/>
                      <w:highlight w:val="none"/>
                    </w:rPr>
                    <w:t>4</w:t>
                  </w:r>
                  <w:r>
                    <w:rPr>
                      <w:rFonts w:hint="eastAsia" w:ascii="宋体" w:hAnsi="宋体" w:cs="宋体"/>
                      <w:color w:val="auto"/>
                      <w:kern w:val="0"/>
                      <w:sz w:val="22"/>
                      <w:highlight w:val="none"/>
                    </w:rPr>
                    <w:t>度、</w:t>
                  </w:r>
                  <w:r>
                    <w:rPr>
                      <w:rFonts w:ascii="宋体" w:hAnsi="宋体" w:cs="宋体"/>
                      <w:color w:val="auto"/>
                      <w:kern w:val="0"/>
                      <w:sz w:val="22"/>
                      <w:highlight w:val="none"/>
                    </w:rPr>
                    <w:t>-20</w:t>
                  </w:r>
                  <w:r>
                    <w:rPr>
                      <w:rFonts w:hint="eastAsia" w:ascii="宋体" w:hAnsi="宋体" w:cs="宋体"/>
                      <w:color w:val="auto"/>
                      <w:kern w:val="0"/>
                      <w:sz w:val="22"/>
                      <w:highlight w:val="none"/>
                    </w:rPr>
                    <w:t>、</w:t>
                  </w:r>
                  <w:r>
                    <w:rPr>
                      <w:rFonts w:ascii="宋体" w:hAnsi="宋体" w:cs="宋体"/>
                      <w:color w:val="auto"/>
                      <w:kern w:val="0"/>
                      <w:sz w:val="22"/>
                      <w:highlight w:val="none"/>
                    </w:rPr>
                    <w:t>-80</w:t>
                  </w:r>
                  <w:r>
                    <w:rPr>
                      <w:rFonts w:hint="eastAsia" w:ascii="宋体" w:hAnsi="宋体" w:cs="宋体"/>
                      <w:color w:val="auto"/>
                      <w:kern w:val="0"/>
                      <w:sz w:val="22"/>
                      <w:highlight w:val="none"/>
                    </w:rPr>
                    <w:t>）、</w:t>
                  </w:r>
                  <w:r>
                    <w:rPr>
                      <w:rFonts w:ascii="宋体" w:hAnsi="宋体" w:cs="宋体"/>
                      <w:color w:val="auto"/>
                      <w:kern w:val="0"/>
                      <w:sz w:val="22"/>
                      <w:highlight w:val="none"/>
                    </w:rPr>
                    <w:t>Qpcr</w:t>
                  </w:r>
                  <w:r>
                    <w:rPr>
                      <w:rFonts w:hint="eastAsia" w:ascii="宋体" w:hAnsi="宋体" w:cs="宋体"/>
                      <w:color w:val="auto"/>
                      <w:kern w:val="0"/>
                      <w:sz w:val="22"/>
                      <w:highlight w:val="none"/>
                    </w:rPr>
                    <w:t>仪、凝胶成像系统、荧光倒置显微镜</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6909007D">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19649B6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目前较低</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3AA3F51">
                  <w:pPr>
                    <w:rPr>
                      <w:rFonts w:ascii="宋体" w:hAnsi="宋体" w:cs="宋体"/>
                      <w:color w:val="auto"/>
                      <w:kern w:val="0"/>
                      <w:sz w:val="22"/>
                      <w:szCs w:val="22"/>
                      <w:highlight w:val="none"/>
                    </w:rPr>
                  </w:pPr>
                </w:p>
              </w:tc>
            </w:tr>
            <w:tr w14:paraId="7A6E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7BEFD679">
                  <w:pPr>
                    <w:jc w:val="center"/>
                    <w:rPr>
                      <w:rFonts w:ascii="宋体" w:hAnsi="宋体" w:cs="宋体"/>
                      <w:color w:val="auto"/>
                      <w:kern w:val="0"/>
                      <w:sz w:val="22"/>
                      <w:szCs w:val="22"/>
                      <w:highlight w:val="none"/>
                    </w:rPr>
                  </w:pPr>
                  <w:r>
                    <w:rPr>
                      <w:rFonts w:ascii="宋体" w:hAnsi="宋体" w:cs="宋体"/>
                      <w:color w:val="auto"/>
                      <w:kern w:val="0"/>
                      <w:sz w:val="22"/>
                      <w:highlight w:val="none"/>
                    </w:rPr>
                    <w:t>D303b</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3B03E45B">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生物科研实验室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1F5C4F67">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灭菌锅、显微镜、</w:t>
                  </w:r>
                  <w:r>
                    <w:rPr>
                      <w:rFonts w:ascii="宋体" w:hAnsi="宋体" w:cs="宋体"/>
                      <w:color w:val="auto"/>
                      <w:kern w:val="0"/>
                      <w:sz w:val="22"/>
                      <w:highlight w:val="none"/>
                    </w:rPr>
                    <w:t>pH</w:t>
                  </w:r>
                  <w:r>
                    <w:rPr>
                      <w:rFonts w:hint="eastAsia" w:ascii="宋体" w:hAnsi="宋体" w:cs="宋体"/>
                      <w:color w:val="auto"/>
                      <w:kern w:val="0"/>
                      <w:sz w:val="22"/>
                      <w:highlight w:val="none"/>
                    </w:rPr>
                    <w:t>计、磁力加热搅拌器、天平、冰箱等</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335EDBD0">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92399A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高</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45CA3C09">
                  <w:pPr>
                    <w:rPr>
                      <w:rFonts w:ascii="宋体" w:hAnsi="宋体" w:cs="宋体"/>
                      <w:color w:val="auto"/>
                      <w:kern w:val="0"/>
                      <w:sz w:val="22"/>
                      <w:szCs w:val="22"/>
                      <w:highlight w:val="none"/>
                    </w:rPr>
                  </w:pPr>
                </w:p>
              </w:tc>
            </w:tr>
            <w:tr w14:paraId="5A214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0" w:space="0"/>
                    <w:right w:val="single" w:color="000000" w:sz="8" w:space="0"/>
                  </w:tcBorders>
                  <w:tcMar>
                    <w:top w:w="0" w:type="dxa"/>
                    <w:left w:w="108" w:type="dxa"/>
                    <w:bottom w:w="0" w:type="dxa"/>
                    <w:right w:w="108" w:type="dxa"/>
                  </w:tcMar>
                </w:tcPr>
                <w:p w14:paraId="6B9287CE">
                  <w:pPr>
                    <w:jc w:val="center"/>
                    <w:rPr>
                      <w:rFonts w:ascii="宋体" w:hAnsi="宋体" w:cs="宋体"/>
                      <w:color w:val="auto"/>
                      <w:kern w:val="0"/>
                      <w:sz w:val="22"/>
                      <w:szCs w:val="22"/>
                      <w:highlight w:val="none"/>
                    </w:rPr>
                  </w:pPr>
                  <w:r>
                    <w:rPr>
                      <w:rFonts w:ascii="宋体" w:hAnsi="宋体" w:cs="宋体"/>
                      <w:color w:val="auto"/>
                      <w:kern w:val="0"/>
                      <w:sz w:val="22"/>
                      <w:highlight w:val="none"/>
                    </w:rPr>
                    <w:t>D304</w:t>
                  </w:r>
                </w:p>
              </w:tc>
              <w:tc>
                <w:tcPr>
                  <w:tcW w:w="2410"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6F70CBC4">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物理实验室</w:t>
                  </w:r>
                </w:p>
              </w:tc>
              <w:tc>
                <w:tcPr>
                  <w:tcW w:w="3402"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54607A0">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光学、力学仪器</w:t>
                  </w:r>
                </w:p>
              </w:tc>
              <w:tc>
                <w:tcPr>
                  <w:tcW w:w="198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7A9F74D7">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525255A3">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目前较低</w:t>
                  </w:r>
                </w:p>
              </w:tc>
              <w:tc>
                <w:tcPr>
                  <w:tcW w:w="3364" w:type="dxa"/>
                  <w:tcBorders>
                    <w:top w:val="single" w:color="000000" w:sz="0" w:space="0"/>
                    <w:left w:val="single" w:color="000000" w:sz="0" w:space="0"/>
                    <w:bottom w:val="single" w:color="000000" w:sz="0" w:space="0"/>
                    <w:right w:val="single" w:color="000000" w:sz="8" w:space="0"/>
                  </w:tcBorders>
                  <w:tcMar>
                    <w:top w:w="0" w:type="dxa"/>
                    <w:left w:w="108" w:type="dxa"/>
                    <w:bottom w:w="0" w:type="dxa"/>
                    <w:right w:w="108" w:type="dxa"/>
                  </w:tcMar>
                </w:tcPr>
                <w:p w14:paraId="3BAC4008">
                  <w:pPr>
                    <w:rPr>
                      <w:rFonts w:ascii="宋体" w:hAnsi="宋体" w:cs="宋体"/>
                      <w:color w:val="auto"/>
                      <w:kern w:val="0"/>
                      <w:sz w:val="22"/>
                      <w:szCs w:val="22"/>
                      <w:highlight w:val="none"/>
                    </w:rPr>
                  </w:pPr>
                </w:p>
              </w:tc>
            </w:tr>
            <w:tr w14:paraId="4A19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tcPr>
                <w:p w14:paraId="4A08B2E1">
                  <w:pPr>
                    <w:jc w:val="center"/>
                    <w:rPr>
                      <w:rFonts w:ascii="宋体" w:hAnsi="宋体" w:cs="宋体"/>
                      <w:color w:val="auto"/>
                      <w:kern w:val="0"/>
                      <w:sz w:val="22"/>
                      <w:szCs w:val="22"/>
                      <w:highlight w:val="none"/>
                    </w:rPr>
                  </w:pPr>
                  <w:r>
                    <w:rPr>
                      <w:rFonts w:ascii="宋体" w:hAnsi="宋体" w:cs="宋体"/>
                      <w:color w:val="auto"/>
                      <w:kern w:val="0"/>
                      <w:sz w:val="22"/>
                      <w:highlight w:val="none"/>
                    </w:rPr>
                    <w:t>D305</w:t>
                  </w:r>
                </w:p>
              </w:tc>
              <w:tc>
                <w:tcPr>
                  <w:tcW w:w="2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4AC334C2">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环境科学科研实验室</w:t>
                  </w:r>
                </w:p>
              </w:tc>
              <w:tc>
                <w:tcPr>
                  <w:tcW w:w="340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DCBDA35">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水质分析仪，</w:t>
                  </w:r>
                  <w:r>
                    <w:rPr>
                      <w:rFonts w:ascii="宋体" w:hAnsi="宋体" w:cs="宋体"/>
                      <w:color w:val="auto"/>
                      <w:kern w:val="0"/>
                      <w:sz w:val="22"/>
                      <w:highlight w:val="none"/>
                    </w:rPr>
                    <w:t>pH</w:t>
                  </w:r>
                  <w:r>
                    <w:rPr>
                      <w:rFonts w:hint="eastAsia" w:ascii="宋体" w:hAnsi="宋体" w:cs="宋体"/>
                      <w:color w:val="auto"/>
                      <w:kern w:val="0"/>
                      <w:sz w:val="22"/>
                      <w:highlight w:val="none"/>
                    </w:rPr>
                    <w:t>计，离心机，水浴锅，天平，漩涡振荡器，纯水仪，</w:t>
                  </w:r>
                  <w:r>
                    <w:rPr>
                      <w:rFonts w:ascii="宋体" w:hAnsi="宋体" w:cs="宋体"/>
                      <w:color w:val="auto"/>
                      <w:kern w:val="0"/>
                      <w:sz w:val="22"/>
                      <w:highlight w:val="none"/>
                    </w:rPr>
                    <w:t>4</w:t>
                  </w:r>
                  <w:r>
                    <w:rPr>
                      <w:rFonts w:hint="eastAsia" w:ascii="宋体" w:hAnsi="宋体" w:cs="宋体"/>
                      <w:color w:val="auto"/>
                      <w:kern w:val="0"/>
                      <w:sz w:val="22"/>
                      <w:highlight w:val="none"/>
                    </w:rPr>
                    <w:t>度</w:t>
                  </w:r>
                  <w:r>
                    <w:rPr>
                      <w:rFonts w:ascii="宋体" w:hAnsi="宋体" w:cs="宋体"/>
                      <w:color w:val="auto"/>
                      <w:kern w:val="0"/>
                      <w:sz w:val="22"/>
                      <w:highlight w:val="none"/>
                    </w:rPr>
                    <w:t>/-20</w:t>
                  </w:r>
                  <w:r>
                    <w:rPr>
                      <w:rFonts w:hint="eastAsia" w:ascii="宋体" w:hAnsi="宋体" w:cs="宋体"/>
                      <w:color w:val="auto"/>
                      <w:kern w:val="0"/>
                      <w:sz w:val="22"/>
                      <w:highlight w:val="none"/>
                    </w:rPr>
                    <w:t>度冰箱</w:t>
                  </w:r>
                </w:p>
              </w:tc>
              <w:tc>
                <w:tcPr>
                  <w:tcW w:w="19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507EF407">
                  <w:pPr>
                    <w:jc w:val="center"/>
                    <w:rPr>
                      <w:rFonts w:ascii="宋体" w:hAnsi="宋体" w:cs="宋体"/>
                      <w:color w:val="auto"/>
                      <w:kern w:val="0"/>
                      <w:sz w:val="22"/>
                      <w:szCs w:val="22"/>
                      <w:highlight w:val="none"/>
                    </w:rPr>
                  </w:pPr>
                </w:p>
              </w:tc>
              <w:tc>
                <w:tcPr>
                  <w:tcW w:w="113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3164830A">
                  <w:pPr>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较高</w:t>
                  </w:r>
                </w:p>
              </w:tc>
              <w:tc>
                <w:tcPr>
                  <w:tcW w:w="336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tcPr>
                <w:p w14:paraId="7803EFF2">
                  <w:pPr>
                    <w:rPr>
                      <w:rFonts w:ascii="宋体" w:hAnsi="宋体" w:cs="宋体"/>
                      <w:color w:val="auto"/>
                      <w:kern w:val="0"/>
                      <w:sz w:val="22"/>
                      <w:szCs w:val="22"/>
                      <w:highlight w:val="none"/>
                    </w:rPr>
                  </w:pPr>
                </w:p>
              </w:tc>
            </w:tr>
          </w:tbl>
          <w:p w14:paraId="3CCFCBB8">
            <w:pPr>
              <w:rPr>
                <w:rFonts w:ascii="宋体" w:hAnsi="宋体" w:cs="宋体"/>
                <w:color w:val="auto"/>
                <w:kern w:val="0"/>
                <w:sz w:val="22"/>
                <w:szCs w:val="22"/>
                <w:highlight w:val="none"/>
              </w:rPr>
            </w:pPr>
          </w:p>
          <w:p w14:paraId="0AC7246B">
            <w:pPr>
              <w:widowControl/>
              <w:spacing w:before="100" w:beforeAutospacing="1" w:after="100" w:afterAutospacing="1"/>
              <w:ind w:left="720"/>
              <w:jc w:val="left"/>
              <w:rPr>
                <w:rFonts w:ascii="宋体" w:hAnsi="宋体" w:cs="宋体"/>
                <w:color w:val="auto"/>
                <w:kern w:val="0"/>
                <w:sz w:val="22"/>
                <w:szCs w:val="22"/>
                <w:highlight w:val="none"/>
                <w:vertAlign w:val="subscript"/>
              </w:rPr>
            </w:pPr>
          </w:p>
          <w:p w14:paraId="14CCD6CB">
            <w:pPr>
              <w:pStyle w:val="43"/>
              <w:ind w:firstLine="440"/>
              <w:rPr>
                <w:rFonts w:ascii="宋体" w:hAnsi="宋体" w:cs="宋体"/>
                <w:color w:val="auto"/>
                <w:kern w:val="0"/>
                <w:sz w:val="22"/>
                <w:szCs w:val="22"/>
                <w:highlight w:val="none"/>
              </w:rPr>
            </w:pPr>
          </w:p>
        </w:tc>
      </w:tr>
      <w:tr w14:paraId="41F0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62" w:type="dxa"/>
            <w:gridSpan w:val="2"/>
            <w:vAlign w:val="center"/>
          </w:tcPr>
          <w:p w14:paraId="1B846A5A">
            <w:pPr>
              <w:widowControl/>
              <w:jc w:val="center"/>
              <w:textAlignment w:val="center"/>
              <w:rPr>
                <w:rFonts w:ascii="宋体" w:hAnsi="宋体" w:cs="宋体"/>
                <w:b/>
                <w:bCs/>
                <w:color w:val="auto"/>
                <w:kern w:val="0"/>
                <w:sz w:val="22"/>
                <w:highlight w:val="none"/>
              </w:rPr>
            </w:pPr>
            <w:r>
              <w:rPr>
                <w:rFonts w:hint="eastAsia" w:ascii="宋体" w:hAnsi="宋体" w:cs="宋体"/>
                <w:b/>
                <w:bCs/>
                <w:color w:val="auto"/>
                <w:kern w:val="0"/>
                <w:sz w:val="22"/>
                <w:highlight w:val="none"/>
              </w:rPr>
              <w:t>温州肯恩大学各类仪器维护内容</w:t>
            </w:r>
          </w:p>
        </w:tc>
      </w:tr>
      <w:tr w14:paraId="2051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tcPr>
          <w:p w14:paraId="4D069017">
            <w:pPr>
              <w:widowControl/>
              <w:jc w:val="center"/>
              <w:textAlignment w:val="center"/>
              <w:rPr>
                <w:rFonts w:ascii="宋体" w:hAnsi="宋体" w:cs="宋体"/>
                <w:b/>
                <w:bCs/>
                <w:color w:val="auto"/>
                <w:kern w:val="0"/>
                <w:sz w:val="22"/>
                <w:highlight w:val="none"/>
              </w:rPr>
            </w:pPr>
            <w:r>
              <w:rPr>
                <w:rFonts w:hint="eastAsia" w:ascii="宋体" w:hAnsi="宋体" w:cs="宋体"/>
                <w:b/>
                <w:bCs/>
                <w:color w:val="auto"/>
                <w:kern w:val="0"/>
                <w:sz w:val="22"/>
                <w:highlight w:val="none"/>
              </w:rPr>
              <w:t>仪器类型</w:t>
            </w:r>
          </w:p>
        </w:tc>
        <w:tc>
          <w:tcPr>
            <w:tcW w:w="8426" w:type="dxa"/>
          </w:tcPr>
          <w:p w14:paraId="0FD2AD5B">
            <w:pPr>
              <w:widowControl/>
              <w:jc w:val="center"/>
              <w:textAlignment w:val="center"/>
              <w:rPr>
                <w:rFonts w:ascii="宋体" w:hAnsi="宋体" w:cs="宋体"/>
                <w:b/>
                <w:bCs/>
                <w:color w:val="auto"/>
                <w:kern w:val="0"/>
                <w:sz w:val="22"/>
                <w:highlight w:val="none"/>
              </w:rPr>
            </w:pPr>
            <w:r>
              <w:rPr>
                <w:rFonts w:hint="eastAsia" w:ascii="宋体" w:hAnsi="宋体" w:cs="宋体"/>
                <w:b/>
                <w:bCs/>
                <w:color w:val="auto"/>
                <w:kern w:val="0"/>
                <w:sz w:val="22"/>
                <w:highlight w:val="none"/>
              </w:rPr>
              <w:t>新增维护内容</w:t>
            </w:r>
          </w:p>
        </w:tc>
      </w:tr>
      <w:tr w14:paraId="3BC4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67CCD317">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液相色谱仪</w:t>
            </w:r>
            <w:r>
              <w:rPr>
                <w:rFonts w:ascii="宋体" w:hAnsi="宋体" w:cs="宋体"/>
                <w:color w:val="auto"/>
                <w:kern w:val="0"/>
                <w:sz w:val="22"/>
                <w:highlight w:val="none"/>
              </w:rPr>
              <w:t>-waters</w:t>
            </w:r>
          </w:p>
        </w:tc>
        <w:tc>
          <w:tcPr>
            <w:tcW w:w="8426" w:type="dxa"/>
          </w:tcPr>
          <w:p w14:paraId="37CB1703">
            <w:pPr>
              <w:widowControl/>
              <w:jc w:val="left"/>
              <w:textAlignment w:val="center"/>
              <w:rPr>
                <w:rFonts w:ascii="宋体" w:hAnsi="宋体" w:cs="宋体"/>
                <w:color w:val="auto"/>
                <w:kern w:val="0"/>
                <w:sz w:val="22"/>
                <w:highlight w:val="none"/>
                <w:lang w:bidi="ar"/>
              </w:rPr>
            </w:pPr>
            <w:r>
              <w:rPr>
                <w:rFonts w:ascii="宋体" w:hAnsi="宋体" w:cs="宋体"/>
                <w:color w:val="auto"/>
                <w:kern w:val="0"/>
                <w:sz w:val="22"/>
                <w:highlight w:val="none"/>
                <w:lang w:bidi="ar"/>
              </w:rPr>
              <w:t>1、各模块内部清灰，外观清洁；</w:t>
            </w:r>
          </w:p>
          <w:p w14:paraId="053E9906">
            <w:pPr>
              <w:widowControl/>
              <w:jc w:val="left"/>
              <w:textAlignment w:val="center"/>
              <w:rPr>
                <w:rFonts w:ascii="宋体" w:hAnsi="宋体" w:cs="宋体"/>
                <w:color w:val="auto"/>
                <w:kern w:val="0"/>
                <w:sz w:val="22"/>
                <w:highlight w:val="none"/>
                <w:lang w:bidi="ar"/>
              </w:rPr>
            </w:pPr>
            <w:r>
              <w:rPr>
                <w:rFonts w:ascii="宋体" w:hAnsi="宋体" w:cs="宋体"/>
                <w:color w:val="auto"/>
                <w:kern w:val="0"/>
                <w:sz w:val="22"/>
                <w:highlight w:val="none"/>
                <w:lang w:bidi="ar"/>
              </w:rPr>
              <w:t>2、检查溶剂过滤头及管线，必要时清洗或更换；</w:t>
            </w:r>
          </w:p>
          <w:p w14:paraId="4D8120DE">
            <w:pPr>
              <w:widowControl/>
              <w:jc w:val="left"/>
              <w:textAlignment w:val="center"/>
              <w:rPr>
                <w:rFonts w:ascii="宋体" w:hAnsi="宋体" w:cs="宋体"/>
                <w:color w:val="auto"/>
                <w:kern w:val="0"/>
                <w:sz w:val="22"/>
                <w:highlight w:val="none"/>
                <w:lang w:bidi="ar"/>
              </w:rPr>
            </w:pPr>
            <w:r>
              <w:rPr>
                <w:rFonts w:ascii="宋体" w:hAnsi="宋体" w:cs="宋体"/>
                <w:color w:val="auto"/>
                <w:kern w:val="0"/>
                <w:sz w:val="22"/>
                <w:highlight w:val="none"/>
                <w:lang w:bidi="ar"/>
              </w:rPr>
              <w:t>3、清洗或更换在线过滤器滤芯；</w:t>
            </w:r>
          </w:p>
          <w:p w14:paraId="6DD6CC7F">
            <w:pPr>
              <w:widowControl/>
              <w:jc w:val="left"/>
              <w:textAlignment w:val="center"/>
              <w:rPr>
                <w:rFonts w:ascii="宋体" w:hAnsi="宋体" w:cs="宋体"/>
                <w:color w:val="auto"/>
                <w:kern w:val="0"/>
                <w:sz w:val="22"/>
                <w:highlight w:val="none"/>
                <w:lang w:bidi="ar"/>
              </w:rPr>
            </w:pPr>
            <w:r>
              <w:rPr>
                <w:rFonts w:ascii="宋体" w:hAnsi="宋体" w:cs="宋体"/>
                <w:color w:val="auto"/>
                <w:kern w:val="0"/>
                <w:sz w:val="22"/>
                <w:highlight w:val="none"/>
                <w:lang w:bidi="ar"/>
              </w:rPr>
              <w:t>4、更换空气滤网及电池；</w:t>
            </w:r>
          </w:p>
          <w:p w14:paraId="64701AE5">
            <w:pPr>
              <w:rPr>
                <w:rFonts w:ascii="宋体" w:hAnsi="宋体" w:cs="宋体"/>
                <w:color w:val="auto"/>
                <w:kern w:val="0"/>
                <w:sz w:val="22"/>
                <w:highlight w:val="none"/>
                <w:lang w:bidi="ar"/>
              </w:rPr>
            </w:pPr>
            <w:r>
              <w:rPr>
                <w:rFonts w:ascii="宋体" w:hAnsi="宋体" w:cs="宋体"/>
                <w:caps/>
                <w:color w:val="auto"/>
                <w:kern w:val="0"/>
                <w:sz w:val="22"/>
                <w:highlight w:val="none"/>
                <w:lang w:bidi="ar"/>
              </w:rPr>
              <w:t>5、检测器波长校准</w:t>
            </w:r>
          </w:p>
        </w:tc>
      </w:tr>
      <w:tr w14:paraId="69C6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05F911D5">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同步热分析仪</w:t>
            </w:r>
            <w:r>
              <w:rPr>
                <w:rFonts w:ascii="宋体" w:hAnsi="宋体" w:cs="宋体"/>
                <w:color w:val="auto"/>
                <w:kern w:val="0"/>
                <w:sz w:val="22"/>
                <w:highlight w:val="none"/>
              </w:rPr>
              <w:t>-PE</w:t>
            </w:r>
          </w:p>
        </w:tc>
        <w:tc>
          <w:tcPr>
            <w:tcW w:w="8426" w:type="dxa"/>
          </w:tcPr>
          <w:p w14:paraId="3F2DD9A4">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一、日常清洁与消毒</w:t>
            </w:r>
          </w:p>
          <w:p w14:paraId="5D034A6F">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表面清洁</w:t>
            </w:r>
          </w:p>
          <w:p w14:paraId="624B66B4">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使用软布或棉签蘸取酒精或中性清洁剂擦拭仪器表面及样品室，避免腐蚀性溶剂。</w:t>
            </w:r>
          </w:p>
          <w:p w14:paraId="01AFF431">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清洁时需断电，防止液体进入内部</w:t>
            </w:r>
          </w:p>
          <w:p w14:paraId="5637A563">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内部部件维护</w:t>
            </w:r>
          </w:p>
          <w:p w14:paraId="2FD0998A">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定期清理传感器、加热元件等易污染部件，防止杂质影响测试精度。</w:t>
            </w:r>
          </w:p>
          <w:p w14:paraId="709F140D">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二、校准与性能验证</w:t>
            </w:r>
          </w:p>
          <w:p w14:paraId="21D13D85">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定期校准</w:t>
            </w:r>
          </w:p>
          <w:p w14:paraId="7331E876">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每年至少进行一次温度、压力及能量校准，使用标准物质验证。</w:t>
            </w:r>
          </w:p>
          <w:p w14:paraId="5CAFEC34">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传感器（如热电偶）需单独检查灵敏度，必要时更换。</w:t>
            </w:r>
          </w:p>
          <w:p w14:paraId="6405721C">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基线修正</w:t>
            </w:r>
          </w:p>
          <w:p w14:paraId="3FF7999A">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每次实验前进行基线校准，确保数据准确性。</w:t>
            </w:r>
          </w:p>
          <w:p w14:paraId="18CC8556">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三、气路与电源系统维护</w:t>
            </w:r>
          </w:p>
          <w:p w14:paraId="7923E64B">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气路检查</w:t>
            </w:r>
          </w:p>
          <w:p w14:paraId="7146B1F8">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定期排查气路泄漏、堵塞，使用氦质谱仪检测密封性。</w:t>
            </w:r>
          </w:p>
          <w:p w14:paraId="4026787F">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清洗气路管道，防止污染物残留。</w:t>
            </w:r>
          </w:p>
          <w:p w14:paraId="1EE96E4A">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电源管理</w:t>
            </w:r>
          </w:p>
          <w:p w14:paraId="7C38D1AA">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检查电源线老化情况，确保接地良好，推荐使用稳压器。</w:t>
            </w:r>
          </w:p>
          <w:p w14:paraId="2AD05D39">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断电时需按规范顺序关闭设备</w:t>
            </w:r>
            <w:r>
              <w:rPr>
                <w:rFonts w:ascii="宋体" w:hAnsi="宋体" w:cs="宋体"/>
                <w:color w:val="auto"/>
                <w:kern w:val="0"/>
                <w:sz w:val="22"/>
                <w:highlight w:val="none"/>
                <w:lang w:bidi="ar"/>
              </w:rPr>
              <w:t>[8]。</w:t>
            </w:r>
          </w:p>
          <w:p w14:paraId="16950DEE">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四、关键部件维护</w:t>
            </w:r>
          </w:p>
          <w:p w14:paraId="6F441C1B">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传感器保护</w:t>
            </w:r>
          </w:p>
          <w:p w14:paraId="22F71DF0">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避免机械冲击（如位移顶杆过载），校准周期不超过</w:t>
            </w:r>
            <w:r>
              <w:rPr>
                <w:rFonts w:ascii="宋体" w:hAnsi="宋体" w:cs="宋体"/>
                <w:color w:val="auto"/>
                <w:kern w:val="0"/>
                <w:sz w:val="22"/>
                <w:highlight w:val="none"/>
                <w:lang w:bidi="ar"/>
              </w:rPr>
              <w:t>6个月。</w:t>
            </w:r>
          </w:p>
          <w:p w14:paraId="7D4449D7">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加热元件检查</w:t>
            </w:r>
          </w:p>
          <w:p w14:paraId="3FD1AC26">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每月检查加热炉丝状态，防止氧化断裂影响控温。</w:t>
            </w:r>
          </w:p>
        </w:tc>
      </w:tr>
      <w:tr w14:paraId="2223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6E3F89AE">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傅里叶变换红外光谱仪联用仪</w:t>
            </w:r>
            <w:r>
              <w:rPr>
                <w:rFonts w:ascii="宋体" w:hAnsi="宋体" w:cs="宋体"/>
                <w:color w:val="auto"/>
                <w:kern w:val="0"/>
                <w:sz w:val="22"/>
                <w:highlight w:val="none"/>
              </w:rPr>
              <w:t>-PE</w:t>
            </w:r>
          </w:p>
        </w:tc>
        <w:tc>
          <w:tcPr>
            <w:tcW w:w="8426" w:type="dxa"/>
          </w:tcPr>
          <w:p w14:paraId="1691BB7E">
            <w:pPr>
              <w:rPr>
                <w:rFonts w:ascii="宋体" w:hAnsi="宋体" w:cs="宋体"/>
                <w:color w:val="auto"/>
                <w:kern w:val="0"/>
                <w:sz w:val="22"/>
                <w:highlight w:val="none"/>
              </w:rPr>
            </w:pPr>
            <w:r>
              <w:rPr>
                <w:rFonts w:hint="eastAsia" w:ascii="宋体" w:hAnsi="宋体" w:cs="宋体"/>
                <w:color w:val="auto"/>
                <w:kern w:val="0"/>
                <w:sz w:val="22"/>
                <w:highlight w:val="none"/>
              </w:rPr>
              <w:t>一、环境控制与日常维护</w:t>
            </w:r>
          </w:p>
          <w:p w14:paraId="6FD29E2C">
            <w:pPr>
              <w:rPr>
                <w:rFonts w:ascii="宋体" w:hAnsi="宋体" w:cs="宋体"/>
                <w:color w:val="auto"/>
                <w:kern w:val="0"/>
                <w:sz w:val="22"/>
                <w:highlight w:val="none"/>
              </w:rPr>
            </w:pPr>
            <w:r>
              <w:rPr>
                <w:rFonts w:hint="eastAsia" w:ascii="宋体" w:hAnsi="宋体" w:cs="宋体"/>
                <w:color w:val="auto"/>
                <w:kern w:val="0"/>
                <w:sz w:val="22"/>
                <w:highlight w:val="none"/>
              </w:rPr>
              <w:t>实验室环境</w:t>
            </w:r>
          </w:p>
          <w:p w14:paraId="7E0AF02C">
            <w:pPr>
              <w:rPr>
                <w:rFonts w:ascii="宋体" w:hAnsi="宋体" w:cs="宋体"/>
                <w:color w:val="auto"/>
                <w:kern w:val="0"/>
                <w:sz w:val="22"/>
                <w:highlight w:val="none"/>
              </w:rPr>
            </w:pPr>
            <w:r>
              <w:rPr>
                <w:rFonts w:hint="eastAsia" w:ascii="宋体" w:hAnsi="宋体" w:cs="宋体"/>
                <w:color w:val="auto"/>
                <w:kern w:val="0"/>
                <w:sz w:val="22"/>
                <w:highlight w:val="none"/>
              </w:rPr>
              <w:t>保持实验室湿度</w:t>
            </w:r>
            <w:r>
              <w:rPr>
                <w:rFonts w:ascii="宋体" w:hAnsi="宋体" w:cs="宋体"/>
                <w:color w:val="auto"/>
                <w:kern w:val="0"/>
                <w:sz w:val="22"/>
                <w:highlight w:val="none"/>
              </w:rPr>
              <w:t xml:space="preserve">20%-50% </w:t>
            </w:r>
            <w:r>
              <w:rPr>
                <w:rFonts w:hint="eastAsia" w:ascii="宋体" w:hAnsi="宋体" w:cs="宋体"/>
                <w:color w:val="auto"/>
                <w:kern w:val="0"/>
                <w:sz w:val="22"/>
                <w:highlight w:val="none"/>
              </w:rPr>
              <w:t>，温度稳定在</w:t>
            </w:r>
            <w:r>
              <w:rPr>
                <w:rFonts w:ascii="宋体" w:hAnsi="宋体" w:cs="宋体"/>
                <w:color w:val="auto"/>
                <w:kern w:val="0"/>
                <w:sz w:val="22"/>
                <w:highlight w:val="none"/>
              </w:rPr>
              <w:t>15-30℃，避免灰尘和震动。</w:t>
            </w:r>
          </w:p>
          <w:p w14:paraId="04ACC14C">
            <w:pPr>
              <w:rPr>
                <w:rFonts w:ascii="宋体" w:hAnsi="宋体" w:cs="宋体"/>
                <w:color w:val="auto"/>
                <w:kern w:val="0"/>
                <w:sz w:val="22"/>
                <w:highlight w:val="none"/>
              </w:rPr>
            </w:pPr>
            <w:r>
              <w:rPr>
                <w:rFonts w:hint="eastAsia" w:ascii="宋体" w:hAnsi="宋体" w:cs="宋体"/>
                <w:color w:val="auto"/>
                <w:kern w:val="0"/>
                <w:sz w:val="22"/>
                <w:highlight w:val="none"/>
              </w:rPr>
              <w:t>确保通风良好，避免腐蚀性气体影响光学元件。</w:t>
            </w:r>
          </w:p>
          <w:p w14:paraId="72803714">
            <w:pPr>
              <w:rPr>
                <w:rFonts w:ascii="宋体" w:hAnsi="宋体" w:cs="宋体"/>
                <w:color w:val="auto"/>
                <w:kern w:val="0"/>
                <w:sz w:val="22"/>
                <w:highlight w:val="none"/>
              </w:rPr>
            </w:pPr>
            <w:r>
              <w:rPr>
                <w:rFonts w:hint="eastAsia" w:ascii="宋体" w:hAnsi="宋体" w:cs="宋体"/>
                <w:color w:val="auto"/>
                <w:kern w:val="0"/>
                <w:sz w:val="22"/>
                <w:highlight w:val="none"/>
              </w:rPr>
              <w:t>仪器表面清洁</w:t>
            </w:r>
          </w:p>
          <w:p w14:paraId="3BCDFC7E">
            <w:pPr>
              <w:rPr>
                <w:rFonts w:ascii="宋体" w:hAnsi="宋体" w:cs="宋体"/>
                <w:color w:val="auto"/>
                <w:kern w:val="0"/>
                <w:sz w:val="22"/>
                <w:highlight w:val="none"/>
              </w:rPr>
            </w:pPr>
            <w:r>
              <w:rPr>
                <w:rFonts w:hint="eastAsia" w:ascii="宋体" w:hAnsi="宋体" w:cs="宋体"/>
                <w:color w:val="auto"/>
                <w:kern w:val="0"/>
                <w:sz w:val="22"/>
                <w:highlight w:val="none"/>
              </w:rPr>
              <w:t>使用无尘纸或专用软布</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擦拭仪器表面，禁止使用化学溶剂（如酒精）清洁光学窗口。</w:t>
            </w:r>
          </w:p>
          <w:p w14:paraId="685C3BEC">
            <w:pPr>
              <w:rPr>
                <w:rFonts w:ascii="宋体" w:hAnsi="宋体" w:cs="宋体"/>
                <w:color w:val="auto"/>
                <w:kern w:val="0"/>
                <w:sz w:val="22"/>
                <w:highlight w:val="none"/>
              </w:rPr>
            </w:pPr>
            <w:r>
              <w:rPr>
                <w:rFonts w:hint="eastAsia" w:ascii="宋体" w:hAnsi="宋体" w:cs="宋体"/>
                <w:color w:val="auto"/>
                <w:kern w:val="0"/>
                <w:sz w:val="22"/>
                <w:highlight w:val="none"/>
              </w:rPr>
              <w:t>样品室玻璃盖需定期清洁，避免指纹和灰尘干扰。</w:t>
            </w:r>
          </w:p>
          <w:p w14:paraId="3573B7E2">
            <w:pPr>
              <w:rPr>
                <w:rFonts w:ascii="宋体" w:hAnsi="宋体" w:cs="宋体"/>
                <w:color w:val="auto"/>
                <w:kern w:val="0"/>
                <w:sz w:val="22"/>
                <w:highlight w:val="none"/>
              </w:rPr>
            </w:pPr>
            <w:r>
              <w:rPr>
                <w:rFonts w:hint="eastAsia" w:ascii="宋体" w:hAnsi="宋体" w:cs="宋体"/>
                <w:color w:val="auto"/>
                <w:kern w:val="0"/>
                <w:sz w:val="22"/>
                <w:highlight w:val="none"/>
              </w:rPr>
              <w:t>二、光学系统维护</w:t>
            </w:r>
          </w:p>
          <w:p w14:paraId="33622933">
            <w:pPr>
              <w:rPr>
                <w:rFonts w:ascii="宋体" w:hAnsi="宋体" w:cs="宋体"/>
                <w:color w:val="auto"/>
                <w:kern w:val="0"/>
                <w:sz w:val="22"/>
                <w:highlight w:val="none"/>
              </w:rPr>
            </w:pPr>
            <w:r>
              <w:rPr>
                <w:rFonts w:hint="eastAsia" w:ascii="宋体" w:hAnsi="宋体" w:cs="宋体"/>
                <w:color w:val="auto"/>
                <w:kern w:val="0"/>
                <w:sz w:val="22"/>
                <w:highlight w:val="none"/>
              </w:rPr>
              <w:t>干涉仪与分束器</w:t>
            </w:r>
          </w:p>
          <w:p w14:paraId="57D36A09">
            <w:pPr>
              <w:rPr>
                <w:rFonts w:ascii="宋体" w:hAnsi="宋体" w:cs="宋体"/>
                <w:color w:val="auto"/>
                <w:kern w:val="0"/>
                <w:sz w:val="22"/>
                <w:highlight w:val="none"/>
              </w:rPr>
            </w:pPr>
            <w:r>
              <w:rPr>
                <w:rFonts w:hint="eastAsia" w:ascii="宋体" w:hAnsi="宋体" w:cs="宋体"/>
                <w:color w:val="auto"/>
                <w:kern w:val="0"/>
                <w:sz w:val="22"/>
                <w:highlight w:val="none"/>
              </w:rPr>
              <w:t>定期检查干涉仪动态准直功能，确保每秒</w:t>
            </w:r>
            <w:r>
              <w:rPr>
                <w:rFonts w:ascii="宋体" w:hAnsi="宋体" w:cs="宋体"/>
                <w:color w:val="auto"/>
                <w:kern w:val="0"/>
                <w:sz w:val="22"/>
                <w:highlight w:val="none"/>
              </w:rPr>
              <w:t>10万次高速扫描稳定性。</w:t>
            </w:r>
          </w:p>
          <w:p w14:paraId="6497B34F">
            <w:pPr>
              <w:rPr>
                <w:rFonts w:ascii="宋体" w:hAnsi="宋体" w:cs="宋体"/>
                <w:color w:val="auto"/>
                <w:kern w:val="0"/>
                <w:sz w:val="22"/>
                <w:highlight w:val="none"/>
              </w:rPr>
            </w:pPr>
            <w:r>
              <w:rPr>
                <w:rFonts w:hint="eastAsia" w:ascii="宋体" w:hAnsi="宋体" w:cs="宋体"/>
                <w:color w:val="auto"/>
                <w:kern w:val="0"/>
                <w:sz w:val="22"/>
                <w:highlight w:val="none"/>
              </w:rPr>
              <w:t>分束器需避免接触水汽，若镀膜损坏需及时更换。</w:t>
            </w:r>
          </w:p>
          <w:p w14:paraId="2AC6C7F3">
            <w:pPr>
              <w:rPr>
                <w:rFonts w:ascii="宋体" w:hAnsi="宋体" w:cs="宋体"/>
                <w:color w:val="auto"/>
                <w:kern w:val="0"/>
                <w:sz w:val="22"/>
                <w:highlight w:val="none"/>
              </w:rPr>
            </w:pPr>
            <w:r>
              <w:rPr>
                <w:rFonts w:hint="eastAsia" w:ascii="宋体" w:hAnsi="宋体" w:cs="宋体"/>
                <w:color w:val="auto"/>
                <w:kern w:val="0"/>
                <w:sz w:val="22"/>
                <w:highlight w:val="none"/>
              </w:rPr>
              <w:t>光源与探测器</w:t>
            </w:r>
          </w:p>
          <w:p w14:paraId="26F17E7C">
            <w:pPr>
              <w:rPr>
                <w:rFonts w:ascii="宋体" w:hAnsi="宋体" w:cs="宋体"/>
                <w:color w:val="auto"/>
                <w:kern w:val="0"/>
                <w:sz w:val="22"/>
                <w:highlight w:val="none"/>
              </w:rPr>
            </w:pPr>
            <w:r>
              <w:rPr>
                <w:rFonts w:hint="eastAsia" w:ascii="宋体" w:hAnsi="宋体" w:cs="宋体"/>
                <w:color w:val="auto"/>
                <w:kern w:val="0"/>
                <w:sz w:val="22"/>
                <w:highlight w:val="none"/>
              </w:rPr>
              <w:t>红外光源需定期校准能量，陶瓷光源寿命到期后需更换。</w:t>
            </w:r>
          </w:p>
          <w:p w14:paraId="198E2049">
            <w:pPr>
              <w:rPr>
                <w:rFonts w:ascii="宋体" w:hAnsi="宋体" w:cs="宋体"/>
                <w:color w:val="auto"/>
                <w:kern w:val="0"/>
                <w:sz w:val="22"/>
                <w:highlight w:val="none"/>
              </w:rPr>
            </w:pPr>
            <w:r>
              <w:rPr>
                <w:rFonts w:ascii="宋体" w:hAnsi="宋体" w:cs="宋体"/>
                <w:color w:val="auto"/>
                <w:kern w:val="0"/>
                <w:sz w:val="22"/>
                <w:highlight w:val="none"/>
              </w:rPr>
              <w:t xml:space="preserve">DTGS检测器 </w:t>
            </w:r>
            <w:r>
              <w:rPr>
                <w:rFonts w:hint="eastAsia" w:ascii="宋体" w:hAnsi="宋体" w:cs="宋体"/>
                <w:color w:val="auto"/>
                <w:kern w:val="0"/>
                <w:sz w:val="22"/>
                <w:highlight w:val="none"/>
              </w:rPr>
              <w:t>需保持干燥环境，若使用</w:t>
            </w:r>
            <w:r>
              <w:rPr>
                <w:rFonts w:ascii="宋体" w:hAnsi="宋体" w:cs="宋体"/>
                <w:color w:val="auto"/>
                <w:kern w:val="0"/>
                <w:sz w:val="22"/>
                <w:highlight w:val="none"/>
              </w:rPr>
              <w:t>KBr分束器需定期更换干燥剂。</w:t>
            </w:r>
          </w:p>
          <w:p w14:paraId="7C793DB3">
            <w:pPr>
              <w:rPr>
                <w:rFonts w:ascii="宋体" w:hAnsi="宋体" w:cs="宋体"/>
                <w:color w:val="auto"/>
                <w:kern w:val="0"/>
                <w:sz w:val="22"/>
                <w:highlight w:val="none"/>
              </w:rPr>
            </w:pPr>
            <w:r>
              <w:rPr>
                <w:rFonts w:hint="eastAsia" w:ascii="宋体" w:hAnsi="宋体" w:cs="宋体"/>
                <w:color w:val="auto"/>
                <w:kern w:val="0"/>
                <w:sz w:val="22"/>
                <w:highlight w:val="none"/>
              </w:rPr>
              <w:t>三、硬件与电源维护</w:t>
            </w:r>
          </w:p>
          <w:p w14:paraId="5240EA2C">
            <w:pPr>
              <w:rPr>
                <w:rFonts w:ascii="宋体" w:hAnsi="宋体" w:cs="宋体"/>
                <w:color w:val="auto"/>
                <w:kern w:val="0"/>
                <w:sz w:val="22"/>
                <w:highlight w:val="none"/>
              </w:rPr>
            </w:pPr>
            <w:r>
              <w:rPr>
                <w:rFonts w:hint="eastAsia" w:ascii="宋体" w:hAnsi="宋体" w:cs="宋体"/>
                <w:color w:val="auto"/>
                <w:kern w:val="0"/>
                <w:sz w:val="22"/>
                <w:highlight w:val="none"/>
              </w:rPr>
              <w:t>电源与接口</w:t>
            </w:r>
          </w:p>
          <w:p w14:paraId="1F64746D">
            <w:pPr>
              <w:rPr>
                <w:rFonts w:ascii="宋体" w:hAnsi="宋体" w:cs="宋体"/>
                <w:color w:val="auto"/>
                <w:kern w:val="0"/>
                <w:sz w:val="22"/>
                <w:highlight w:val="none"/>
              </w:rPr>
            </w:pPr>
            <w:r>
              <w:rPr>
                <w:rFonts w:hint="eastAsia" w:ascii="宋体" w:hAnsi="宋体" w:cs="宋体"/>
                <w:color w:val="auto"/>
                <w:kern w:val="0"/>
                <w:sz w:val="22"/>
                <w:highlight w:val="none"/>
              </w:rPr>
              <w:t>开机前检查电源线、数据线接口（如</w:t>
            </w:r>
            <w:r>
              <w:rPr>
                <w:rFonts w:ascii="宋体" w:hAnsi="宋体" w:cs="宋体"/>
                <w:color w:val="auto"/>
                <w:kern w:val="0"/>
                <w:sz w:val="22"/>
                <w:highlight w:val="none"/>
              </w:rPr>
              <w:t>SCSI、IDE接口）是否松动，避免接触不良。</w:t>
            </w:r>
          </w:p>
          <w:p w14:paraId="6BD3364A">
            <w:pPr>
              <w:rPr>
                <w:rFonts w:ascii="宋体" w:hAnsi="宋体" w:cs="宋体"/>
                <w:color w:val="auto"/>
                <w:kern w:val="0"/>
                <w:sz w:val="22"/>
                <w:highlight w:val="none"/>
              </w:rPr>
            </w:pPr>
            <w:r>
              <w:rPr>
                <w:rFonts w:hint="eastAsia" w:ascii="宋体" w:hAnsi="宋体" w:cs="宋体"/>
                <w:color w:val="auto"/>
                <w:kern w:val="0"/>
                <w:sz w:val="22"/>
                <w:highlight w:val="none"/>
              </w:rPr>
              <w:t>关机顺序：先关闭仪器电源，再断开稳压器。</w:t>
            </w:r>
          </w:p>
          <w:p w14:paraId="20D693AB">
            <w:pPr>
              <w:rPr>
                <w:rFonts w:ascii="宋体" w:hAnsi="宋体" w:cs="宋体"/>
                <w:color w:val="auto"/>
                <w:kern w:val="0"/>
                <w:sz w:val="22"/>
                <w:highlight w:val="none"/>
              </w:rPr>
            </w:pPr>
            <w:r>
              <w:rPr>
                <w:rFonts w:hint="eastAsia" w:ascii="宋体" w:hAnsi="宋体" w:cs="宋体"/>
                <w:color w:val="auto"/>
                <w:kern w:val="0"/>
                <w:sz w:val="22"/>
                <w:highlight w:val="none"/>
              </w:rPr>
              <w:t>硬盘与数据存储</w:t>
            </w:r>
          </w:p>
          <w:p w14:paraId="62EBD86B">
            <w:pPr>
              <w:rPr>
                <w:rFonts w:ascii="宋体" w:hAnsi="宋体" w:cs="宋体"/>
                <w:color w:val="auto"/>
                <w:kern w:val="0"/>
                <w:sz w:val="22"/>
                <w:highlight w:val="none"/>
              </w:rPr>
            </w:pPr>
            <w:r>
              <w:rPr>
                <w:rFonts w:hint="eastAsia" w:ascii="宋体" w:hAnsi="宋体" w:cs="宋体"/>
                <w:color w:val="auto"/>
                <w:kern w:val="0"/>
                <w:sz w:val="22"/>
                <w:highlight w:val="none"/>
              </w:rPr>
              <w:t>定期备份数据，避免硬盘损坏导致数据丢失（建议使用专用备份设备）。</w:t>
            </w:r>
          </w:p>
          <w:p w14:paraId="0CDA5DC9">
            <w:pPr>
              <w:rPr>
                <w:rFonts w:ascii="宋体" w:hAnsi="宋体" w:cs="宋体"/>
                <w:color w:val="auto"/>
                <w:kern w:val="0"/>
                <w:sz w:val="22"/>
                <w:highlight w:val="none"/>
              </w:rPr>
            </w:pPr>
            <w:r>
              <w:rPr>
                <w:rFonts w:hint="eastAsia" w:ascii="宋体" w:hAnsi="宋体" w:cs="宋体"/>
                <w:color w:val="auto"/>
                <w:kern w:val="0"/>
                <w:sz w:val="22"/>
                <w:highlight w:val="none"/>
              </w:rPr>
              <w:t>更换硬盘时需按原厂规格匹配接口（如</w:t>
            </w:r>
            <w:r>
              <w:rPr>
                <w:rFonts w:ascii="宋体" w:hAnsi="宋体" w:cs="宋体"/>
                <w:color w:val="auto"/>
                <w:kern w:val="0"/>
                <w:sz w:val="22"/>
                <w:highlight w:val="none"/>
              </w:rPr>
              <w:t>40针带状电缆）。</w:t>
            </w:r>
          </w:p>
          <w:p w14:paraId="304CA47D">
            <w:pPr>
              <w:rPr>
                <w:rFonts w:ascii="宋体" w:hAnsi="宋体" w:cs="宋体"/>
                <w:color w:val="auto"/>
                <w:kern w:val="0"/>
                <w:sz w:val="22"/>
                <w:highlight w:val="none"/>
              </w:rPr>
            </w:pPr>
            <w:r>
              <w:rPr>
                <w:rFonts w:hint="eastAsia" w:ascii="宋体" w:hAnsi="宋体" w:cs="宋体"/>
                <w:color w:val="auto"/>
                <w:kern w:val="0"/>
                <w:sz w:val="22"/>
                <w:highlight w:val="none"/>
              </w:rPr>
              <w:t>四、软件与校准</w:t>
            </w:r>
          </w:p>
          <w:p w14:paraId="074F194B">
            <w:pPr>
              <w:rPr>
                <w:rFonts w:ascii="宋体" w:hAnsi="宋体" w:cs="宋体"/>
                <w:color w:val="auto"/>
                <w:kern w:val="0"/>
                <w:sz w:val="22"/>
                <w:highlight w:val="none"/>
              </w:rPr>
            </w:pPr>
            <w:r>
              <w:rPr>
                <w:rFonts w:hint="eastAsia" w:ascii="宋体" w:hAnsi="宋体" w:cs="宋体"/>
                <w:color w:val="auto"/>
                <w:kern w:val="0"/>
                <w:sz w:val="22"/>
                <w:highlight w:val="none"/>
              </w:rPr>
              <w:t>软件维护</w:t>
            </w:r>
          </w:p>
          <w:p w14:paraId="008A0979">
            <w:pPr>
              <w:rPr>
                <w:rFonts w:ascii="宋体" w:hAnsi="宋体" w:cs="宋体"/>
                <w:color w:val="auto"/>
                <w:kern w:val="0"/>
                <w:sz w:val="22"/>
                <w:highlight w:val="none"/>
              </w:rPr>
            </w:pPr>
            <w:r>
              <w:rPr>
                <w:rFonts w:hint="eastAsia" w:ascii="宋体" w:hAnsi="宋体" w:cs="宋体"/>
                <w:color w:val="auto"/>
                <w:kern w:val="0"/>
                <w:sz w:val="22"/>
                <w:highlight w:val="none"/>
              </w:rPr>
              <w:t>定期更新仪器控制软件，确保参数设置符合测试要求。</w:t>
            </w:r>
          </w:p>
          <w:p w14:paraId="4A9A156A">
            <w:pPr>
              <w:rPr>
                <w:rFonts w:ascii="宋体" w:hAnsi="宋体" w:cs="宋体"/>
                <w:color w:val="auto"/>
                <w:kern w:val="0"/>
                <w:sz w:val="22"/>
                <w:highlight w:val="none"/>
              </w:rPr>
            </w:pPr>
            <w:r>
              <w:rPr>
                <w:rFonts w:hint="eastAsia" w:ascii="宋体" w:hAnsi="宋体" w:cs="宋体"/>
                <w:color w:val="auto"/>
                <w:kern w:val="0"/>
                <w:sz w:val="22"/>
                <w:highlight w:val="none"/>
              </w:rPr>
              <w:t>执行系统自检功能（如</w:t>
            </w:r>
            <w:r>
              <w:rPr>
                <w:rFonts w:ascii="宋体" w:hAnsi="宋体" w:cs="宋体"/>
                <w:color w:val="auto"/>
                <w:kern w:val="0"/>
                <w:sz w:val="22"/>
                <w:highlight w:val="none"/>
              </w:rPr>
              <w:t>EZOMNIC软件的自我诊断）排查异常。</w:t>
            </w:r>
          </w:p>
          <w:p w14:paraId="14344EAA">
            <w:pPr>
              <w:rPr>
                <w:rFonts w:ascii="宋体" w:hAnsi="宋体" w:cs="宋体"/>
                <w:color w:val="auto"/>
                <w:kern w:val="0"/>
                <w:sz w:val="22"/>
                <w:highlight w:val="none"/>
              </w:rPr>
            </w:pPr>
            <w:r>
              <w:rPr>
                <w:rFonts w:hint="eastAsia" w:ascii="宋体" w:hAnsi="宋体" w:cs="宋体"/>
                <w:color w:val="auto"/>
                <w:kern w:val="0"/>
                <w:sz w:val="22"/>
                <w:highlight w:val="none"/>
              </w:rPr>
              <w:t>性能校准</w:t>
            </w:r>
          </w:p>
          <w:p w14:paraId="35BA95D1">
            <w:pPr>
              <w:rPr>
                <w:rFonts w:ascii="宋体" w:hAnsi="宋体" w:cs="宋体"/>
                <w:color w:val="auto"/>
                <w:kern w:val="0"/>
                <w:sz w:val="22"/>
                <w:highlight w:val="none"/>
              </w:rPr>
            </w:pPr>
            <w:r>
              <w:rPr>
                <w:rFonts w:hint="eastAsia" w:ascii="宋体" w:hAnsi="宋体" w:cs="宋体"/>
                <w:color w:val="auto"/>
                <w:kern w:val="0"/>
                <w:sz w:val="22"/>
                <w:highlight w:val="none"/>
              </w:rPr>
              <w:t>每月使用标准聚苯乙烯薄膜校准波数精度。</w:t>
            </w:r>
          </w:p>
          <w:p w14:paraId="52124665">
            <w:pPr>
              <w:rPr>
                <w:rFonts w:ascii="宋体" w:hAnsi="宋体" w:cs="宋体"/>
                <w:color w:val="auto"/>
                <w:kern w:val="0"/>
                <w:sz w:val="22"/>
                <w:highlight w:val="none"/>
              </w:rPr>
            </w:pPr>
            <w:r>
              <w:rPr>
                <w:rFonts w:hint="eastAsia" w:ascii="宋体" w:hAnsi="宋体" w:cs="宋体"/>
                <w:color w:val="auto"/>
                <w:kern w:val="0"/>
                <w:sz w:val="22"/>
                <w:highlight w:val="none"/>
              </w:rPr>
              <w:t>定期检查光源能量和信噪比，确保基线稳定性。</w:t>
            </w:r>
          </w:p>
        </w:tc>
      </w:tr>
      <w:tr w14:paraId="7C6F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45BA5E0F">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纳米粒度分析仪</w:t>
            </w:r>
            <w:r>
              <w:rPr>
                <w:rFonts w:ascii="宋体" w:hAnsi="宋体" w:cs="宋体"/>
                <w:color w:val="auto"/>
                <w:kern w:val="0"/>
                <w:sz w:val="22"/>
                <w:highlight w:val="none"/>
              </w:rPr>
              <w:t>-马尔文</w:t>
            </w:r>
          </w:p>
        </w:tc>
        <w:tc>
          <w:tcPr>
            <w:tcW w:w="8426" w:type="dxa"/>
          </w:tcPr>
          <w:p w14:paraId="19B73A32">
            <w:pPr>
              <w:rPr>
                <w:rFonts w:ascii="宋体" w:hAnsi="宋体" w:cs="宋体"/>
                <w:color w:val="auto"/>
                <w:kern w:val="0"/>
                <w:sz w:val="22"/>
                <w:highlight w:val="none"/>
              </w:rPr>
            </w:pPr>
            <w:r>
              <w:rPr>
                <w:rFonts w:hint="eastAsia" w:ascii="宋体" w:hAnsi="宋体" w:cs="宋体"/>
                <w:color w:val="auto"/>
                <w:kern w:val="0"/>
                <w:sz w:val="22"/>
                <w:highlight w:val="none"/>
              </w:rPr>
              <w:t>一、日常使用维护</w:t>
            </w:r>
          </w:p>
          <w:p w14:paraId="2540545A">
            <w:pPr>
              <w:rPr>
                <w:rFonts w:ascii="宋体" w:hAnsi="宋体" w:cs="宋体"/>
                <w:color w:val="auto"/>
                <w:kern w:val="0"/>
                <w:sz w:val="22"/>
                <w:highlight w:val="none"/>
              </w:rPr>
            </w:pPr>
            <w:r>
              <w:rPr>
                <w:rFonts w:hint="eastAsia" w:ascii="宋体" w:hAnsi="宋体" w:cs="宋体"/>
                <w:color w:val="auto"/>
                <w:kern w:val="0"/>
                <w:sz w:val="22"/>
                <w:highlight w:val="none"/>
              </w:rPr>
              <w:t>清洁与消毒</w:t>
            </w:r>
          </w:p>
          <w:p w14:paraId="2FF0BF69">
            <w:pPr>
              <w:rPr>
                <w:rFonts w:ascii="宋体" w:hAnsi="宋体" w:cs="宋体"/>
                <w:color w:val="auto"/>
                <w:kern w:val="0"/>
                <w:sz w:val="22"/>
                <w:highlight w:val="none"/>
              </w:rPr>
            </w:pPr>
            <w:r>
              <w:rPr>
                <w:rFonts w:hint="eastAsia" w:ascii="宋体" w:hAnsi="宋体" w:cs="宋体"/>
                <w:color w:val="auto"/>
                <w:kern w:val="0"/>
                <w:sz w:val="22"/>
                <w:highlight w:val="none"/>
              </w:rPr>
              <w:t>外壳清洁</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：用软布蘸酒精或中性清洁剂擦拭表面，禁用腐蚀性溶剂。</w:t>
            </w:r>
          </w:p>
          <w:p w14:paraId="41EBFA42">
            <w:pPr>
              <w:rPr>
                <w:rFonts w:ascii="宋体" w:hAnsi="宋体" w:cs="宋体"/>
                <w:color w:val="auto"/>
                <w:kern w:val="0"/>
                <w:sz w:val="22"/>
                <w:highlight w:val="none"/>
              </w:rPr>
            </w:pPr>
            <w:r>
              <w:rPr>
                <w:rFonts w:hint="eastAsia" w:ascii="宋体" w:hAnsi="宋体" w:cs="宋体"/>
                <w:color w:val="auto"/>
                <w:kern w:val="0"/>
                <w:sz w:val="22"/>
                <w:highlight w:val="none"/>
              </w:rPr>
              <w:t>光学部件</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：定期用无尘棉签清理激光器、探测器、样品池等关键部位，避免残留样品污染。</w:t>
            </w:r>
          </w:p>
          <w:p w14:paraId="14EC8B06">
            <w:pPr>
              <w:rPr>
                <w:rFonts w:ascii="宋体" w:hAnsi="宋体" w:cs="宋体"/>
                <w:color w:val="auto"/>
                <w:kern w:val="0"/>
                <w:sz w:val="22"/>
                <w:highlight w:val="none"/>
              </w:rPr>
            </w:pPr>
            <w:r>
              <w:rPr>
                <w:rFonts w:hint="eastAsia" w:ascii="宋体" w:hAnsi="宋体" w:cs="宋体"/>
                <w:color w:val="auto"/>
                <w:kern w:val="0"/>
                <w:sz w:val="22"/>
                <w:highlight w:val="none"/>
              </w:rPr>
              <w:t>样品处理规范</w:t>
            </w:r>
          </w:p>
          <w:p w14:paraId="519E1EE0">
            <w:pPr>
              <w:rPr>
                <w:rFonts w:ascii="宋体" w:hAnsi="宋体" w:cs="宋体"/>
                <w:color w:val="auto"/>
                <w:kern w:val="0"/>
                <w:sz w:val="22"/>
                <w:highlight w:val="none"/>
              </w:rPr>
            </w:pPr>
            <w:r>
              <w:rPr>
                <w:rFonts w:hint="eastAsia" w:ascii="宋体" w:hAnsi="宋体" w:cs="宋体"/>
                <w:color w:val="auto"/>
                <w:kern w:val="0"/>
                <w:sz w:val="22"/>
                <w:highlight w:val="none"/>
              </w:rPr>
              <w:t>确保样品均匀分散（可超声处理），避免颗粒聚集影响测量精度。</w:t>
            </w:r>
          </w:p>
          <w:p w14:paraId="3A134BF8">
            <w:pPr>
              <w:rPr>
                <w:rFonts w:ascii="宋体" w:hAnsi="宋体" w:cs="宋体"/>
                <w:color w:val="auto"/>
                <w:kern w:val="0"/>
                <w:sz w:val="22"/>
                <w:highlight w:val="none"/>
              </w:rPr>
            </w:pPr>
            <w:r>
              <w:rPr>
                <w:rFonts w:hint="eastAsia" w:ascii="宋体" w:hAnsi="宋体" w:cs="宋体"/>
                <w:color w:val="auto"/>
                <w:kern w:val="0"/>
                <w:sz w:val="22"/>
                <w:highlight w:val="none"/>
              </w:rPr>
              <w:t>使用后及时清洗样品池及管路，防止残留物堵塞或腐蚀部件。</w:t>
            </w:r>
          </w:p>
          <w:p w14:paraId="115645B5">
            <w:pPr>
              <w:rPr>
                <w:rFonts w:ascii="宋体" w:hAnsi="宋体" w:cs="宋体"/>
                <w:color w:val="auto"/>
                <w:kern w:val="0"/>
                <w:sz w:val="22"/>
                <w:highlight w:val="none"/>
              </w:rPr>
            </w:pPr>
            <w:r>
              <w:rPr>
                <w:rFonts w:hint="eastAsia" w:ascii="宋体" w:hAnsi="宋体" w:cs="宋体"/>
                <w:color w:val="auto"/>
                <w:kern w:val="0"/>
                <w:sz w:val="22"/>
                <w:highlight w:val="none"/>
              </w:rPr>
              <w:t>二、定期维护与校准</w:t>
            </w:r>
          </w:p>
          <w:p w14:paraId="35BCF7B6">
            <w:pPr>
              <w:rPr>
                <w:rFonts w:ascii="宋体" w:hAnsi="宋体" w:cs="宋体"/>
                <w:color w:val="auto"/>
                <w:kern w:val="0"/>
                <w:sz w:val="22"/>
                <w:highlight w:val="none"/>
              </w:rPr>
            </w:pPr>
            <w:r>
              <w:rPr>
                <w:rFonts w:hint="eastAsia" w:ascii="宋体" w:hAnsi="宋体" w:cs="宋体"/>
                <w:color w:val="auto"/>
                <w:kern w:val="0"/>
                <w:sz w:val="22"/>
                <w:highlight w:val="none"/>
              </w:rPr>
              <w:t>硬件检查与更换</w:t>
            </w:r>
          </w:p>
          <w:p w14:paraId="2D77DB7B">
            <w:pPr>
              <w:rPr>
                <w:rFonts w:ascii="宋体" w:hAnsi="宋体" w:cs="宋体"/>
                <w:color w:val="auto"/>
                <w:kern w:val="0"/>
                <w:sz w:val="22"/>
                <w:highlight w:val="none"/>
              </w:rPr>
            </w:pPr>
            <w:r>
              <w:rPr>
                <w:rFonts w:hint="eastAsia" w:ascii="宋体" w:hAnsi="宋体" w:cs="宋体"/>
                <w:color w:val="auto"/>
                <w:kern w:val="0"/>
                <w:sz w:val="22"/>
                <w:highlight w:val="none"/>
              </w:rPr>
              <w:t>定期检查激光器、滤光片、探测器等易损件性能，按使用频率更换（如光源寿命约</w:t>
            </w:r>
            <w:r>
              <w:rPr>
                <w:rFonts w:ascii="宋体" w:hAnsi="宋体" w:cs="宋体"/>
                <w:color w:val="auto"/>
                <w:kern w:val="0"/>
                <w:sz w:val="22"/>
                <w:highlight w:val="none"/>
              </w:rPr>
              <w:t>5000小时）。</w:t>
            </w:r>
          </w:p>
          <w:p w14:paraId="6A2BD9C5">
            <w:pPr>
              <w:rPr>
                <w:rFonts w:ascii="宋体" w:hAnsi="宋体" w:cs="宋体"/>
                <w:color w:val="auto"/>
                <w:kern w:val="0"/>
                <w:sz w:val="22"/>
                <w:highlight w:val="none"/>
              </w:rPr>
            </w:pPr>
            <w:r>
              <w:rPr>
                <w:rFonts w:hint="eastAsia" w:ascii="宋体" w:hAnsi="宋体" w:cs="宋体"/>
                <w:color w:val="auto"/>
                <w:kern w:val="0"/>
                <w:sz w:val="22"/>
                <w:highlight w:val="none"/>
              </w:rPr>
              <w:t>运动控制系统需润滑保养，确保机械部件运行顺畅。</w:t>
            </w:r>
          </w:p>
          <w:p w14:paraId="2F4E3D79">
            <w:pPr>
              <w:rPr>
                <w:rFonts w:ascii="宋体" w:hAnsi="宋体" w:cs="宋体"/>
                <w:color w:val="auto"/>
                <w:kern w:val="0"/>
                <w:sz w:val="22"/>
                <w:highlight w:val="none"/>
              </w:rPr>
            </w:pPr>
            <w:r>
              <w:rPr>
                <w:rFonts w:hint="eastAsia" w:ascii="宋体" w:hAnsi="宋体" w:cs="宋体"/>
                <w:color w:val="auto"/>
                <w:kern w:val="0"/>
                <w:sz w:val="22"/>
                <w:highlight w:val="none"/>
              </w:rPr>
              <w:t>校准与调试</w:t>
            </w:r>
          </w:p>
          <w:p w14:paraId="67991BCD">
            <w:pPr>
              <w:rPr>
                <w:rFonts w:ascii="宋体" w:hAnsi="宋体" w:cs="宋体"/>
                <w:color w:val="auto"/>
                <w:kern w:val="0"/>
                <w:sz w:val="22"/>
                <w:highlight w:val="none"/>
              </w:rPr>
            </w:pPr>
            <w:r>
              <w:rPr>
                <w:rFonts w:hint="eastAsia" w:ascii="宋体" w:hAnsi="宋体" w:cs="宋体"/>
                <w:color w:val="auto"/>
                <w:kern w:val="0"/>
                <w:sz w:val="22"/>
                <w:highlight w:val="none"/>
              </w:rPr>
              <w:t>每月至少进行一次标准样品校准（如聚苯乙烯微球），验证仪器精度。</w:t>
            </w:r>
          </w:p>
          <w:p w14:paraId="77CC874C">
            <w:pPr>
              <w:rPr>
                <w:rFonts w:ascii="宋体" w:hAnsi="宋体" w:cs="宋体"/>
                <w:color w:val="auto"/>
                <w:kern w:val="0"/>
                <w:sz w:val="22"/>
                <w:highlight w:val="none"/>
              </w:rPr>
            </w:pPr>
            <w:r>
              <w:rPr>
                <w:rFonts w:hint="eastAsia" w:ascii="宋体" w:hAnsi="宋体" w:cs="宋体"/>
                <w:color w:val="auto"/>
                <w:kern w:val="0"/>
                <w:sz w:val="22"/>
                <w:highlight w:val="none"/>
              </w:rPr>
              <w:t>必要时由专业人员对光学系统、软件算法进行全面校准和升级。</w:t>
            </w:r>
          </w:p>
        </w:tc>
      </w:tr>
      <w:tr w14:paraId="51A7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5948BB54">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凝胶成像系统</w:t>
            </w:r>
          </w:p>
        </w:tc>
        <w:tc>
          <w:tcPr>
            <w:tcW w:w="8426" w:type="dxa"/>
          </w:tcPr>
          <w:p w14:paraId="564758E9">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0A2AC2DB">
            <w:pPr>
              <w:rPr>
                <w:rFonts w:ascii="宋体" w:hAnsi="宋体" w:cs="宋体"/>
                <w:color w:val="auto"/>
                <w:kern w:val="0"/>
                <w:sz w:val="22"/>
                <w:highlight w:val="none"/>
              </w:rPr>
            </w:pPr>
            <w:r>
              <w:rPr>
                <w:rFonts w:hint="eastAsia" w:ascii="宋体" w:hAnsi="宋体" w:cs="宋体"/>
                <w:color w:val="auto"/>
                <w:kern w:val="0"/>
                <w:sz w:val="22"/>
                <w:highlight w:val="none"/>
              </w:rPr>
              <w:t>表面与部件清洁</w:t>
            </w:r>
          </w:p>
          <w:p w14:paraId="258207BA">
            <w:pPr>
              <w:rPr>
                <w:rFonts w:ascii="宋体" w:hAnsi="宋体" w:cs="宋体"/>
                <w:color w:val="auto"/>
                <w:kern w:val="0"/>
                <w:sz w:val="22"/>
                <w:highlight w:val="none"/>
              </w:rPr>
            </w:pPr>
            <w:r>
              <w:rPr>
                <w:rFonts w:hint="eastAsia" w:ascii="宋体" w:hAnsi="宋体" w:cs="宋体"/>
                <w:color w:val="auto"/>
                <w:kern w:val="0"/>
                <w:sz w:val="22"/>
                <w:highlight w:val="none"/>
              </w:rPr>
              <w:t>每次使用后立即用无尘布擦拭暗箱内部、样品台及镜头表面，清除凝胶碎片和污渍。</w:t>
            </w:r>
          </w:p>
          <w:p w14:paraId="086F3EF1">
            <w:pPr>
              <w:rPr>
                <w:rFonts w:ascii="宋体" w:hAnsi="宋体" w:cs="宋体"/>
                <w:color w:val="auto"/>
                <w:kern w:val="0"/>
                <w:sz w:val="22"/>
                <w:highlight w:val="none"/>
              </w:rPr>
            </w:pPr>
            <w:r>
              <w:rPr>
                <w:rFonts w:hint="eastAsia" w:ascii="宋体" w:hAnsi="宋体" w:cs="宋体"/>
                <w:color w:val="auto"/>
                <w:kern w:val="0"/>
                <w:sz w:val="22"/>
                <w:highlight w:val="none"/>
              </w:rPr>
              <w:t>紫外灯箱、白光投影板需定期清洁，避免残留物影响成像质量。</w:t>
            </w:r>
          </w:p>
          <w:p w14:paraId="2ECE6B42">
            <w:pPr>
              <w:rPr>
                <w:rFonts w:ascii="宋体" w:hAnsi="宋体" w:cs="宋体"/>
                <w:color w:val="auto"/>
                <w:kern w:val="0"/>
                <w:sz w:val="22"/>
                <w:highlight w:val="none"/>
              </w:rPr>
            </w:pPr>
            <w:r>
              <w:rPr>
                <w:rFonts w:hint="eastAsia" w:ascii="宋体" w:hAnsi="宋体" w:cs="宋体"/>
                <w:color w:val="auto"/>
                <w:kern w:val="0"/>
                <w:sz w:val="22"/>
                <w:highlight w:val="none"/>
              </w:rPr>
              <w:t>光源管理</w:t>
            </w:r>
          </w:p>
          <w:p w14:paraId="3FF5964C">
            <w:pPr>
              <w:rPr>
                <w:rFonts w:ascii="宋体" w:hAnsi="宋体" w:cs="宋体"/>
                <w:color w:val="auto"/>
                <w:kern w:val="0"/>
                <w:sz w:val="22"/>
                <w:highlight w:val="none"/>
              </w:rPr>
            </w:pPr>
            <w:r>
              <w:rPr>
                <w:rFonts w:hint="eastAsia" w:ascii="宋体" w:hAnsi="宋体" w:cs="宋体"/>
                <w:color w:val="auto"/>
                <w:kern w:val="0"/>
                <w:sz w:val="22"/>
                <w:highlight w:val="none"/>
              </w:rPr>
              <w:t>使用后关闭所有光源（透射</w:t>
            </w:r>
            <w:r>
              <w:rPr>
                <w:rFonts w:ascii="宋体" w:hAnsi="宋体" w:cs="宋体"/>
                <w:color w:val="auto"/>
                <w:kern w:val="0"/>
                <w:sz w:val="22"/>
                <w:highlight w:val="none"/>
              </w:rPr>
              <w:t>/反射紫外、白光等），减少损耗。</w:t>
            </w:r>
          </w:p>
          <w:p w14:paraId="4B93BAD9">
            <w:pPr>
              <w:rPr>
                <w:rFonts w:ascii="宋体" w:hAnsi="宋体" w:cs="宋体"/>
                <w:color w:val="auto"/>
                <w:kern w:val="0"/>
                <w:sz w:val="22"/>
                <w:highlight w:val="none"/>
              </w:rPr>
            </w:pPr>
            <w:r>
              <w:rPr>
                <w:rFonts w:hint="eastAsia" w:ascii="宋体" w:hAnsi="宋体" w:cs="宋体"/>
                <w:color w:val="auto"/>
                <w:kern w:val="0"/>
                <w:sz w:val="22"/>
                <w:highlight w:val="none"/>
              </w:rPr>
              <w:t>定期检查灯管状态，若出现亮度不均或闪烁需及时更换。</w:t>
            </w:r>
          </w:p>
          <w:p w14:paraId="7D73FD7B">
            <w:pPr>
              <w:rPr>
                <w:rFonts w:ascii="宋体" w:hAnsi="宋体" w:cs="宋体"/>
                <w:color w:val="auto"/>
                <w:kern w:val="0"/>
                <w:sz w:val="22"/>
                <w:highlight w:val="none"/>
              </w:rPr>
            </w:pPr>
            <w:r>
              <w:rPr>
                <w:rFonts w:hint="eastAsia" w:ascii="宋体" w:hAnsi="宋体" w:cs="宋体"/>
                <w:color w:val="auto"/>
                <w:kern w:val="0"/>
                <w:sz w:val="22"/>
                <w:highlight w:val="none"/>
              </w:rPr>
              <w:t>软件与数据安全</w:t>
            </w:r>
          </w:p>
          <w:p w14:paraId="65D0520A">
            <w:pPr>
              <w:rPr>
                <w:rFonts w:ascii="宋体" w:hAnsi="宋体" w:cs="宋体"/>
                <w:color w:val="auto"/>
                <w:kern w:val="0"/>
                <w:sz w:val="22"/>
                <w:highlight w:val="none"/>
              </w:rPr>
            </w:pPr>
            <w:r>
              <w:rPr>
                <w:rFonts w:hint="eastAsia" w:ascii="宋体" w:hAnsi="宋体" w:cs="宋体"/>
                <w:color w:val="auto"/>
                <w:kern w:val="0"/>
                <w:sz w:val="22"/>
                <w:highlight w:val="none"/>
              </w:rPr>
              <w:t>专用电脑禁止安装无关软件或重装系统，避免软件激活失效。</w:t>
            </w:r>
          </w:p>
          <w:p w14:paraId="03E83B4E">
            <w:pPr>
              <w:rPr>
                <w:rFonts w:ascii="宋体" w:hAnsi="宋体" w:cs="宋体"/>
                <w:color w:val="auto"/>
                <w:kern w:val="0"/>
                <w:sz w:val="22"/>
                <w:highlight w:val="none"/>
              </w:rPr>
            </w:pPr>
            <w:r>
              <w:rPr>
                <w:rFonts w:hint="eastAsia" w:ascii="宋体" w:hAnsi="宋体" w:cs="宋体"/>
                <w:color w:val="auto"/>
                <w:kern w:val="0"/>
                <w:sz w:val="22"/>
                <w:highlight w:val="none"/>
              </w:rPr>
              <w:t>使用前检查数据线连接是否正常，确保软件功能稳定。</w:t>
            </w:r>
          </w:p>
          <w:p w14:paraId="7F37C180">
            <w:pPr>
              <w:rPr>
                <w:rFonts w:ascii="宋体" w:hAnsi="宋体" w:cs="宋体"/>
                <w:color w:val="auto"/>
                <w:kern w:val="0"/>
                <w:sz w:val="22"/>
                <w:highlight w:val="none"/>
              </w:rPr>
            </w:pPr>
            <w:r>
              <w:rPr>
                <w:rFonts w:hint="eastAsia" w:ascii="宋体" w:hAnsi="宋体" w:cs="宋体"/>
                <w:color w:val="auto"/>
                <w:kern w:val="0"/>
                <w:sz w:val="22"/>
                <w:highlight w:val="none"/>
              </w:rPr>
              <w:t>二、定期深度维护</w:t>
            </w:r>
          </w:p>
          <w:p w14:paraId="1907451C">
            <w:pPr>
              <w:rPr>
                <w:rFonts w:ascii="宋体" w:hAnsi="宋体" w:cs="宋体"/>
                <w:color w:val="auto"/>
                <w:kern w:val="0"/>
                <w:sz w:val="22"/>
                <w:highlight w:val="none"/>
              </w:rPr>
            </w:pPr>
            <w:r>
              <w:rPr>
                <w:rFonts w:hint="eastAsia" w:ascii="宋体" w:hAnsi="宋体" w:cs="宋体"/>
                <w:color w:val="auto"/>
                <w:kern w:val="0"/>
                <w:sz w:val="22"/>
                <w:highlight w:val="none"/>
              </w:rPr>
              <w:t>核心部件维护</w:t>
            </w:r>
          </w:p>
          <w:p w14:paraId="46F31585">
            <w:pPr>
              <w:rPr>
                <w:rFonts w:ascii="宋体" w:hAnsi="宋体" w:cs="宋体"/>
                <w:color w:val="auto"/>
                <w:kern w:val="0"/>
                <w:sz w:val="22"/>
                <w:highlight w:val="none"/>
              </w:rPr>
            </w:pPr>
            <w:r>
              <w:rPr>
                <w:rFonts w:hint="eastAsia" w:ascii="宋体" w:hAnsi="宋体" w:cs="宋体"/>
                <w:color w:val="auto"/>
                <w:kern w:val="0"/>
                <w:sz w:val="22"/>
                <w:highlight w:val="none"/>
              </w:rPr>
              <w:t>镜头</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：每月清洁镜头，使用专用清洁液和无尘棉签擦拭，测试自动变焦功能（</w:t>
            </w:r>
            <w:r>
              <w:rPr>
                <w:rFonts w:ascii="宋体" w:hAnsi="宋体" w:cs="宋体"/>
                <w:color w:val="auto"/>
                <w:kern w:val="0"/>
                <w:sz w:val="22"/>
                <w:highlight w:val="none"/>
              </w:rPr>
              <w:t>6倍变焦范围）。</w:t>
            </w:r>
          </w:p>
          <w:p w14:paraId="768D5AB1">
            <w:pPr>
              <w:rPr>
                <w:rFonts w:ascii="宋体" w:hAnsi="宋体" w:cs="宋体"/>
                <w:color w:val="auto"/>
                <w:kern w:val="0"/>
                <w:sz w:val="22"/>
                <w:highlight w:val="none"/>
              </w:rPr>
            </w:pPr>
            <w:r>
              <w:rPr>
                <w:rFonts w:hint="eastAsia" w:ascii="宋体" w:hAnsi="宋体" w:cs="宋体"/>
                <w:color w:val="auto"/>
                <w:kern w:val="0"/>
                <w:sz w:val="22"/>
                <w:highlight w:val="none"/>
              </w:rPr>
              <w:t>滤光片</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：每月检查刮痕或霉变，用压缩空气或软毛刷清理灰尘。</w:t>
            </w:r>
          </w:p>
          <w:p w14:paraId="27DD2E2A">
            <w:pPr>
              <w:rPr>
                <w:rFonts w:ascii="宋体" w:hAnsi="宋体" w:cs="宋体"/>
                <w:color w:val="auto"/>
                <w:kern w:val="0"/>
                <w:sz w:val="22"/>
                <w:highlight w:val="none"/>
              </w:rPr>
            </w:pPr>
            <w:r>
              <w:rPr>
                <w:rFonts w:hint="eastAsia" w:ascii="宋体" w:hAnsi="宋体" w:cs="宋体"/>
                <w:color w:val="auto"/>
                <w:kern w:val="0"/>
                <w:sz w:val="22"/>
                <w:highlight w:val="none"/>
              </w:rPr>
              <w:t>相机</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：每季度校准性能，确保成像灰阶（</w:t>
            </w:r>
            <w:r>
              <w:rPr>
                <w:rFonts w:ascii="宋体" w:hAnsi="宋体" w:cs="宋体"/>
                <w:color w:val="auto"/>
                <w:kern w:val="0"/>
                <w:sz w:val="22"/>
                <w:highlight w:val="none"/>
              </w:rPr>
              <w:t>16bit）和分辨率（503万像素）达标。</w:t>
            </w:r>
          </w:p>
          <w:p w14:paraId="6B40D074">
            <w:pPr>
              <w:rPr>
                <w:rFonts w:ascii="宋体" w:hAnsi="宋体" w:cs="宋体"/>
                <w:color w:val="auto"/>
                <w:kern w:val="0"/>
                <w:sz w:val="22"/>
                <w:highlight w:val="none"/>
              </w:rPr>
            </w:pPr>
            <w:r>
              <w:rPr>
                <w:rFonts w:hint="eastAsia" w:ascii="宋体" w:hAnsi="宋体" w:cs="宋体"/>
                <w:color w:val="auto"/>
                <w:kern w:val="0"/>
                <w:sz w:val="22"/>
                <w:highlight w:val="none"/>
              </w:rPr>
              <w:t>机械部件维护</w:t>
            </w:r>
          </w:p>
          <w:p w14:paraId="3089F21F">
            <w:pPr>
              <w:rPr>
                <w:rFonts w:ascii="宋体" w:hAnsi="宋体" w:cs="宋体"/>
                <w:color w:val="auto"/>
                <w:kern w:val="0"/>
                <w:sz w:val="22"/>
                <w:highlight w:val="none"/>
              </w:rPr>
            </w:pPr>
            <w:r>
              <w:rPr>
                <w:rFonts w:hint="eastAsia" w:ascii="宋体" w:hAnsi="宋体" w:cs="宋体"/>
                <w:color w:val="auto"/>
                <w:kern w:val="0"/>
                <w:sz w:val="22"/>
                <w:highlight w:val="none"/>
              </w:rPr>
              <w:t>每半年对载物台、暗箱门铰链等机械部件添加润滑剂，减少磨损。</w:t>
            </w:r>
          </w:p>
          <w:p w14:paraId="371A4C08">
            <w:pPr>
              <w:rPr>
                <w:rFonts w:ascii="宋体" w:hAnsi="宋体" w:cs="宋体"/>
                <w:color w:val="auto"/>
                <w:kern w:val="0"/>
                <w:sz w:val="22"/>
                <w:highlight w:val="none"/>
              </w:rPr>
            </w:pPr>
            <w:r>
              <w:rPr>
                <w:rFonts w:hint="eastAsia" w:ascii="宋体" w:hAnsi="宋体" w:cs="宋体"/>
                <w:color w:val="auto"/>
                <w:kern w:val="0"/>
                <w:sz w:val="22"/>
                <w:highlight w:val="none"/>
              </w:rPr>
              <w:t>检查暗箱门控开关是否灵敏，避免因过度挤压导致接触不良。</w:t>
            </w:r>
          </w:p>
          <w:p w14:paraId="06E38E4D">
            <w:pPr>
              <w:rPr>
                <w:rFonts w:ascii="宋体" w:hAnsi="宋体" w:cs="宋体"/>
                <w:color w:val="auto"/>
                <w:kern w:val="0"/>
                <w:sz w:val="22"/>
                <w:highlight w:val="none"/>
              </w:rPr>
            </w:pPr>
            <w:r>
              <w:rPr>
                <w:rFonts w:hint="eastAsia" w:ascii="宋体" w:hAnsi="宋体" w:cs="宋体"/>
                <w:color w:val="auto"/>
                <w:kern w:val="0"/>
                <w:sz w:val="22"/>
                <w:highlight w:val="none"/>
              </w:rPr>
              <w:t>电路与电源检查</w:t>
            </w:r>
          </w:p>
          <w:p w14:paraId="62D6C6B5">
            <w:pPr>
              <w:rPr>
                <w:rFonts w:ascii="宋体" w:hAnsi="宋体" w:cs="宋体"/>
                <w:color w:val="auto"/>
                <w:kern w:val="0"/>
                <w:sz w:val="22"/>
                <w:highlight w:val="none"/>
              </w:rPr>
            </w:pPr>
            <w:r>
              <w:rPr>
                <w:rFonts w:hint="eastAsia" w:ascii="宋体" w:hAnsi="宋体" w:cs="宋体"/>
                <w:color w:val="auto"/>
                <w:kern w:val="0"/>
                <w:sz w:val="22"/>
                <w:highlight w:val="none"/>
              </w:rPr>
              <w:t>定期检查电源线、保险管及插座连接，更换老化部件。</w:t>
            </w:r>
          </w:p>
          <w:p w14:paraId="64920A6F">
            <w:pPr>
              <w:rPr>
                <w:rFonts w:ascii="宋体" w:hAnsi="宋体" w:cs="宋体"/>
                <w:color w:val="auto"/>
                <w:kern w:val="0"/>
                <w:sz w:val="22"/>
                <w:highlight w:val="none"/>
              </w:rPr>
            </w:pPr>
            <w:r>
              <w:rPr>
                <w:rFonts w:hint="eastAsia" w:ascii="宋体" w:hAnsi="宋体" w:cs="宋体"/>
                <w:color w:val="auto"/>
                <w:kern w:val="0"/>
                <w:sz w:val="22"/>
                <w:highlight w:val="none"/>
              </w:rPr>
              <w:t>每季度校准设备电流、电压参数，确保运行稳定性。</w:t>
            </w:r>
          </w:p>
        </w:tc>
      </w:tr>
      <w:tr w14:paraId="3E53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14ACF261">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倒置荧光显微镜</w:t>
            </w:r>
          </w:p>
        </w:tc>
        <w:tc>
          <w:tcPr>
            <w:tcW w:w="8426" w:type="dxa"/>
          </w:tcPr>
          <w:p w14:paraId="49DB2FDB">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78C7BC5F">
            <w:pPr>
              <w:rPr>
                <w:rFonts w:ascii="宋体" w:hAnsi="宋体" w:cs="宋体"/>
                <w:color w:val="auto"/>
                <w:kern w:val="0"/>
                <w:sz w:val="22"/>
                <w:highlight w:val="none"/>
              </w:rPr>
            </w:pPr>
            <w:r>
              <w:rPr>
                <w:rFonts w:hint="eastAsia" w:ascii="宋体" w:hAnsi="宋体" w:cs="宋体"/>
                <w:color w:val="auto"/>
                <w:kern w:val="0"/>
                <w:sz w:val="22"/>
                <w:highlight w:val="none"/>
              </w:rPr>
              <w:t>光学部件清洁</w:t>
            </w:r>
          </w:p>
          <w:p w14:paraId="21928438">
            <w:pPr>
              <w:rPr>
                <w:rFonts w:ascii="宋体" w:hAnsi="宋体" w:cs="宋体"/>
                <w:color w:val="auto"/>
                <w:kern w:val="0"/>
                <w:sz w:val="22"/>
                <w:highlight w:val="none"/>
              </w:rPr>
            </w:pPr>
            <w:r>
              <w:rPr>
                <w:rFonts w:hint="eastAsia" w:ascii="宋体" w:hAnsi="宋体" w:cs="宋体"/>
                <w:color w:val="auto"/>
                <w:kern w:val="0"/>
                <w:sz w:val="22"/>
                <w:highlight w:val="none"/>
              </w:rPr>
              <w:t>每次使用后立即用无尘布或气吹</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清洁物镜、目镜、滤镜和荧光灯管，避免残留样品污染。</w:t>
            </w:r>
          </w:p>
          <w:p w14:paraId="0CE72DFD">
            <w:pPr>
              <w:rPr>
                <w:rFonts w:ascii="宋体" w:hAnsi="宋体" w:cs="宋体"/>
                <w:color w:val="auto"/>
                <w:kern w:val="0"/>
                <w:sz w:val="22"/>
                <w:highlight w:val="none"/>
              </w:rPr>
            </w:pPr>
            <w:r>
              <w:rPr>
                <w:rFonts w:hint="eastAsia" w:ascii="宋体" w:hAnsi="宋体" w:cs="宋体"/>
                <w:color w:val="auto"/>
                <w:kern w:val="0"/>
                <w:sz w:val="22"/>
                <w:highlight w:val="none"/>
              </w:rPr>
              <w:t>定期用专用清洁剂</w:t>
            </w:r>
            <w:r>
              <w:rPr>
                <w:rFonts w:ascii="宋体" w:hAnsi="宋体" w:cs="宋体"/>
                <w:color w:val="auto"/>
                <w:kern w:val="0"/>
                <w:sz w:val="22"/>
                <w:highlight w:val="none"/>
              </w:rPr>
              <w:t xml:space="preserve">+纯净水 </w:t>
            </w:r>
            <w:r>
              <w:rPr>
                <w:rFonts w:hint="eastAsia" w:ascii="宋体" w:hAnsi="宋体" w:cs="宋体"/>
                <w:color w:val="auto"/>
                <w:kern w:val="0"/>
                <w:sz w:val="22"/>
                <w:highlight w:val="none"/>
              </w:rPr>
              <w:t>擦拭镜头表面（冷态操作），禁止硬物或化学腐蚀品接触。</w:t>
            </w:r>
          </w:p>
          <w:p w14:paraId="1BDC0DFE">
            <w:pPr>
              <w:rPr>
                <w:rFonts w:ascii="宋体" w:hAnsi="宋体" w:cs="宋体"/>
                <w:color w:val="auto"/>
                <w:kern w:val="0"/>
                <w:sz w:val="22"/>
                <w:highlight w:val="none"/>
              </w:rPr>
            </w:pPr>
            <w:r>
              <w:rPr>
                <w:rFonts w:hint="eastAsia" w:ascii="宋体" w:hAnsi="宋体" w:cs="宋体"/>
                <w:color w:val="auto"/>
                <w:kern w:val="0"/>
                <w:sz w:val="22"/>
                <w:highlight w:val="none"/>
              </w:rPr>
              <w:t>样品台及暗箱清洁</w:t>
            </w:r>
          </w:p>
          <w:p w14:paraId="64117CE6">
            <w:pPr>
              <w:rPr>
                <w:rFonts w:ascii="宋体" w:hAnsi="宋体" w:cs="宋体"/>
                <w:color w:val="auto"/>
                <w:kern w:val="0"/>
                <w:sz w:val="22"/>
                <w:highlight w:val="none"/>
              </w:rPr>
            </w:pPr>
            <w:r>
              <w:rPr>
                <w:rFonts w:hint="eastAsia" w:ascii="宋体" w:hAnsi="宋体" w:cs="宋体"/>
                <w:color w:val="auto"/>
                <w:kern w:val="0"/>
                <w:sz w:val="22"/>
                <w:highlight w:val="none"/>
              </w:rPr>
              <w:t>使用后清除载物台和暗箱内的凝胶碎片、液体残留，防止腐蚀部件。</w:t>
            </w:r>
          </w:p>
          <w:p w14:paraId="0DF1632B">
            <w:pPr>
              <w:rPr>
                <w:rFonts w:ascii="宋体" w:hAnsi="宋体" w:cs="宋体"/>
                <w:color w:val="auto"/>
                <w:kern w:val="0"/>
                <w:sz w:val="22"/>
                <w:highlight w:val="none"/>
              </w:rPr>
            </w:pPr>
            <w:r>
              <w:rPr>
                <w:rFonts w:hint="eastAsia" w:ascii="宋体" w:hAnsi="宋体" w:cs="宋体"/>
                <w:color w:val="auto"/>
                <w:kern w:val="0"/>
                <w:sz w:val="22"/>
                <w:highlight w:val="none"/>
              </w:rPr>
              <w:t>二、光源系统维护</w:t>
            </w:r>
          </w:p>
          <w:p w14:paraId="00761369">
            <w:pPr>
              <w:rPr>
                <w:rFonts w:ascii="宋体" w:hAnsi="宋体" w:cs="宋体"/>
                <w:color w:val="auto"/>
                <w:kern w:val="0"/>
                <w:sz w:val="22"/>
                <w:highlight w:val="none"/>
              </w:rPr>
            </w:pPr>
            <w:r>
              <w:rPr>
                <w:rFonts w:hint="eastAsia" w:ascii="宋体" w:hAnsi="宋体" w:cs="宋体"/>
                <w:color w:val="auto"/>
                <w:kern w:val="0"/>
                <w:sz w:val="22"/>
                <w:highlight w:val="none"/>
              </w:rPr>
              <w:t>汞灯</w:t>
            </w:r>
            <w:r>
              <w:rPr>
                <w:rFonts w:ascii="宋体" w:hAnsi="宋体" w:cs="宋体"/>
                <w:color w:val="auto"/>
                <w:kern w:val="0"/>
                <w:sz w:val="22"/>
                <w:highlight w:val="none"/>
              </w:rPr>
              <w:t>/卤素灯维护</w:t>
            </w:r>
          </w:p>
          <w:p w14:paraId="4CD34BC1">
            <w:pPr>
              <w:rPr>
                <w:rFonts w:ascii="宋体" w:hAnsi="宋体" w:cs="宋体"/>
                <w:color w:val="auto"/>
                <w:kern w:val="0"/>
                <w:sz w:val="22"/>
                <w:highlight w:val="none"/>
              </w:rPr>
            </w:pPr>
            <w:r>
              <w:rPr>
                <w:rFonts w:hint="eastAsia" w:ascii="宋体" w:hAnsi="宋体" w:cs="宋体"/>
                <w:color w:val="auto"/>
                <w:kern w:val="0"/>
                <w:sz w:val="22"/>
                <w:highlight w:val="none"/>
              </w:rPr>
              <w:t>开启光源前确保电位器旋钮处于最小亮度位置</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，逐步调节以避免灯泡瞬时高压损坏。</w:t>
            </w:r>
          </w:p>
          <w:p w14:paraId="610E162F">
            <w:pPr>
              <w:rPr>
                <w:rFonts w:ascii="宋体" w:hAnsi="宋体" w:cs="宋体"/>
                <w:color w:val="auto"/>
                <w:kern w:val="0"/>
                <w:sz w:val="22"/>
                <w:highlight w:val="none"/>
              </w:rPr>
            </w:pPr>
            <w:r>
              <w:rPr>
                <w:rFonts w:hint="eastAsia" w:ascii="宋体" w:hAnsi="宋体" w:cs="宋体"/>
                <w:color w:val="auto"/>
                <w:kern w:val="0"/>
                <w:sz w:val="22"/>
                <w:highlight w:val="none"/>
              </w:rPr>
              <w:t>每周用酒精湿润的脱脂棉</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清洁灯泡玻璃表面（冷态操作），防止灰尘影响光强。</w:t>
            </w:r>
          </w:p>
          <w:p w14:paraId="74760407">
            <w:pPr>
              <w:rPr>
                <w:rFonts w:ascii="宋体" w:hAnsi="宋体" w:cs="宋体"/>
                <w:color w:val="auto"/>
                <w:kern w:val="0"/>
                <w:sz w:val="22"/>
                <w:highlight w:val="none"/>
              </w:rPr>
            </w:pPr>
            <w:r>
              <w:rPr>
                <w:rFonts w:hint="eastAsia" w:ascii="宋体" w:hAnsi="宋体" w:cs="宋体"/>
                <w:color w:val="auto"/>
                <w:kern w:val="0"/>
                <w:sz w:val="22"/>
                <w:highlight w:val="none"/>
              </w:rPr>
              <w:t>荧光模块维护</w:t>
            </w:r>
          </w:p>
          <w:p w14:paraId="6E858384">
            <w:pPr>
              <w:rPr>
                <w:rFonts w:ascii="宋体" w:hAnsi="宋体" w:cs="宋体"/>
                <w:color w:val="auto"/>
                <w:kern w:val="0"/>
                <w:sz w:val="22"/>
                <w:highlight w:val="none"/>
              </w:rPr>
            </w:pPr>
            <w:r>
              <w:rPr>
                <w:rFonts w:hint="eastAsia" w:ascii="宋体" w:hAnsi="宋体" w:cs="宋体"/>
                <w:color w:val="auto"/>
                <w:kern w:val="0"/>
                <w:sz w:val="22"/>
                <w:highlight w:val="none"/>
              </w:rPr>
              <w:t>荧光滤光片避免长期暴露于潮湿环境，防止透光涂层起泡或霉变。</w:t>
            </w:r>
          </w:p>
          <w:p w14:paraId="13134C47">
            <w:pPr>
              <w:rPr>
                <w:rFonts w:ascii="宋体" w:hAnsi="宋体" w:cs="宋体"/>
                <w:color w:val="auto"/>
                <w:kern w:val="0"/>
                <w:sz w:val="22"/>
                <w:highlight w:val="none"/>
              </w:rPr>
            </w:pPr>
            <w:r>
              <w:rPr>
                <w:rFonts w:hint="eastAsia" w:ascii="宋体" w:hAnsi="宋体" w:cs="宋体"/>
                <w:color w:val="auto"/>
                <w:kern w:val="0"/>
                <w:sz w:val="22"/>
                <w:highlight w:val="none"/>
              </w:rPr>
              <w:t>关闭荧光光源后需等待冷却再清洁，避免高温损坏部件。</w:t>
            </w:r>
          </w:p>
          <w:p w14:paraId="6661F3DE">
            <w:pPr>
              <w:rPr>
                <w:rFonts w:ascii="宋体" w:hAnsi="宋体" w:cs="宋体"/>
                <w:color w:val="auto"/>
                <w:kern w:val="0"/>
                <w:sz w:val="22"/>
                <w:highlight w:val="none"/>
              </w:rPr>
            </w:pPr>
            <w:r>
              <w:rPr>
                <w:rFonts w:hint="eastAsia" w:ascii="宋体" w:hAnsi="宋体" w:cs="宋体"/>
                <w:color w:val="auto"/>
                <w:kern w:val="0"/>
                <w:sz w:val="22"/>
                <w:highlight w:val="none"/>
              </w:rPr>
              <w:t>三、机械部件维护</w:t>
            </w:r>
          </w:p>
          <w:p w14:paraId="56D56EB4">
            <w:pPr>
              <w:rPr>
                <w:rFonts w:ascii="宋体" w:hAnsi="宋体" w:cs="宋体"/>
                <w:color w:val="auto"/>
                <w:kern w:val="0"/>
                <w:sz w:val="22"/>
                <w:highlight w:val="none"/>
              </w:rPr>
            </w:pPr>
            <w:r>
              <w:rPr>
                <w:rFonts w:hint="eastAsia" w:ascii="宋体" w:hAnsi="宋体" w:cs="宋体"/>
                <w:color w:val="auto"/>
                <w:kern w:val="0"/>
                <w:sz w:val="22"/>
                <w:highlight w:val="none"/>
              </w:rPr>
              <w:t>调焦系统</w:t>
            </w:r>
          </w:p>
          <w:p w14:paraId="5504CE2D">
            <w:pPr>
              <w:rPr>
                <w:rFonts w:ascii="宋体" w:hAnsi="宋体" w:cs="宋体"/>
                <w:color w:val="auto"/>
                <w:kern w:val="0"/>
                <w:sz w:val="22"/>
                <w:highlight w:val="none"/>
              </w:rPr>
            </w:pPr>
            <w:r>
              <w:rPr>
                <w:rFonts w:hint="eastAsia" w:ascii="宋体" w:hAnsi="宋体" w:cs="宋体"/>
                <w:color w:val="auto"/>
                <w:kern w:val="0"/>
                <w:sz w:val="22"/>
                <w:highlight w:val="none"/>
              </w:rPr>
              <w:t>定期检查同轴粗</w:t>
            </w:r>
            <w:r>
              <w:rPr>
                <w:rFonts w:ascii="宋体" w:hAnsi="宋体" w:cs="宋体"/>
                <w:color w:val="auto"/>
                <w:kern w:val="0"/>
                <w:sz w:val="22"/>
                <w:highlight w:val="none"/>
              </w:rPr>
              <w:t>/微调焦旋钮的精度，微调手轮格值应保持0.002mm，异常时需校准。</w:t>
            </w:r>
          </w:p>
          <w:p w14:paraId="34666592">
            <w:pPr>
              <w:rPr>
                <w:rFonts w:ascii="宋体" w:hAnsi="宋体" w:cs="宋体"/>
                <w:color w:val="auto"/>
                <w:kern w:val="0"/>
                <w:sz w:val="22"/>
                <w:highlight w:val="none"/>
              </w:rPr>
            </w:pPr>
            <w:r>
              <w:rPr>
                <w:rFonts w:hint="eastAsia" w:ascii="宋体" w:hAnsi="宋体" w:cs="宋体"/>
                <w:color w:val="auto"/>
                <w:kern w:val="0"/>
                <w:sz w:val="22"/>
                <w:highlight w:val="none"/>
              </w:rPr>
              <w:t>载物台移动导轨每月涂抹专用润滑脂</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，确保移动顺滑。</w:t>
            </w:r>
          </w:p>
          <w:p w14:paraId="575367FB">
            <w:pPr>
              <w:rPr>
                <w:rFonts w:ascii="宋体" w:hAnsi="宋体" w:cs="宋体"/>
                <w:color w:val="auto"/>
                <w:kern w:val="0"/>
                <w:sz w:val="22"/>
                <w:highlight w:val="none"/>
              </w:rPr>
            </w:pPr>
            <w:r>
              <w:rPr>
                <w:rFonts w:hint="eastAsia" w:ascii="宋体" w:hAnsi="宋体" w:cs="宋体"/>
                <w:color w:val="auto"/>
                <w:kern w:val="0"/>
                <w:sz w:val="22"/>
                <w:highlight w:val="none"/>
              </w:rPr>
              <w:t>聚光镜与物镜转换器</w:t>
            </w:r>
          </w:p>
          <w:p w14:paraId="35C8EF23">
            <w:pPr>
              <w:rPr>
                <w:rFonts w:ascii="宋体" w:hAnsi="宋体" w:cs="宋体"/>
                <w:color w:val="auto"/>
                <w:kern w:val="0"/>
                <w:sz w:val="22"/>
                <w:highlight w:val="none"/>
              </w:rPr>
            </w:pPr>
            <w:r>
              <w:rPr>
                <w:rFonts w:hint="eastAsia" w:ascii="宋体" w:hAnsi="宋体" w:cs="宋体"/>
                <w:color w:val="auto"/>
                <w:kern w:val="0"/>
                <w:sz w:val="22"/>
                <w:highlight w:val="none"/>
              </w:rPr>
              <w:t>聚光镜高度调节旋钮每季度检查一次，确保中心对齐（柯勒照明校准）。</w:t>
            </w:r>
          </w:p>
          <w:p w14:paraId="788ADB37">
            <w:pPr>
              <w:rPr>
                <w:rFonts w:ascii="宋体" w:hAnsi="宋体" w:cs="宋体"/>
                <w:color w:val="auto"/>
                <w:kern w:val="0"/>
                <w:sz w:val="22"/>
                <w:highlight w:val="none"/>
              </w:rPr>
            </w:pPr>
            <w:r>
              <w:rPr>
                <w:rFonts w:hint="eastAsia" w:ascii="宋体" w:hAnsi="宋体" w:cs="宋体"/>
                <w:color w:val="auto"/>
                <w:kern w:val="0"/>
                <w:sz w:val="22"/>
                <w:highlight w:val="none"/>
              </w:rPr>
              <w:t>六孔物镜转换器定期检查防水密封性，防止液体渗入。</w:t>
            </w:r>
          </w:p>
          <w:p w14:paraId="0208D474">
            <w:pPr>
              <w:rPr>
                <w:rFonts w:ascii="宋体" w:hAnsi="宋体" w:cs="宋体"/>
                <w:color w:val="auto"/>
                <w:kern w:val="0"/>
                <w:sz w:val="22"/>
                <w:highlight w:val="none"/>
              </w:rPr>
            </w:pPr>
            <w:r>
              <w:rPr>
                <w:rFonts w:hint="eastAsia" w:ascii="宋体" w:hAnsi="宋体" w:cs="宋体"/>
                <w:color w:val="auto"/>
                <w:kern w:val="0"/>
                <w:sz w:val="22"/>
                <w:highlight w:val="none"/>
              </w:rPr>
              <w:t>四、软件与功能性维护</w:t>
            </w:r>
          </w:p>
          <w:p w14:paraId="27CB2934">
            <w:pPr>
              <w:rPr>
                <w:rFonts w:ascii="宋体" w:hAnsi="宋体" w:cs="宋体"/>
                <w:color w:val="auto"/>
                <w:kern w:val="0"/>
                <w:sz w:val="22"/>
                <w:highlight w:val="none"/>
              </w:rPr>
            </w:pPr>
            <w:r>
              <w:rPr>
                <w:rFonts w:hint="eastAsia" w:ascii="宋体" w:hAnsi="宋体" w:cs="宋体"/>
                <w:color w:val="auto"/>
                <w:kern w:val="0"/>
                <w:sz w:val="22"/>
                <w:highlight w:val="none"/>
              </w:rPr>
              <w:t>系统校准与升级</w:t>
            </w:r>
          </w:p>
          <w:p w14:paraId="37F8792C">
            <w:pPr>
              <w:rPr>
                <w:rFonts w:ascii="宋体" w:hAnsi="宋体" w:cs="宋体"/>
                <w:color w:val="auto"/>
                <w:kern w:val="0"/>
                <w:sz w:val="22"/>
                <w:highlight w:val="none"/>
              </w:rPr>
            </w:pPr>
            <w:r>
              <w:rPr>
                <w:rFonts w:hint="eastAsia" w:ascii="宋体" w:hAnsi="宋体" w:cs="宋体"/>
                <w:color w:val="auto"/>
                <w:kern w:val="0"/>
                <w:sz w:val="22"/>
                <w:highlight w:val="none"/>
              </w:rPr>
              <w:t>每半年升级显微镜控制软件，优化成像算法和硬件驱动。</w:t>
            </w:r>
          </w:p>
          <w:p w14:paraId="524D7030">
            <w:pPr>
              <w:rPr>
                <w:rFonts w:ascii="宋体" w:hAnsi="宋体" w:cs="宋体"/>
                <w:color w:val="auto"/>
                <w:kern w:val="0"/>
                <w:sz w:val="22"/>
                <w:highlight w:val="none"/>
              </w:rPr>
            </w:pPr>
            <w:r>
              <w:rPr>
                <w:rFonts w:hint="eastAsia" w:ascii="宋体" w:hAnsi="宋体" w:cs="宋体"/>
                <w:color w:val="auto"/>
                <w:kern w:val="0"/>
                <w:sz w:val="22"/>
                <w:highlight w:val="none"/>
              </w:rPr>
              <w:t>荧光激发波长需定期用标准样品校准，确保光谱准确性。</w:t>
            </w:r>
          </w:p>
          <w:p w14:paraId="7FD5CE28">
            <w:pPr>
              <w:rPr>
                <w:rFonts w:ascii="宋体" w:hAnsi="宋体" w:cs="宋体"/>
                <w:color w:val="auto"/>
                <w:kern w:val="0"/>
                <w:sz w:val="22"/>
                <w:highlight w:val="none"/>
              </w:rPr>
            </w:pPr>
            <w:r>
              <w:rPr>
                <w:rFonts w:hint="eastAsia" w:ascii="宋体" w:hAnsi="宋体" w:cs="宋体"/>
                <w:color w:val="auto"/>
                <w:kern w:val="0"/>
                <w:sz w:val="22"/>
                <w:highlight w:val="none"/>
              </w:rPr>
              <w:t>性能记录</w:t>
            </w:r>
          </w:p>
          <w:p w14:paraId="4852C3E0">
            <w:pPr>
              <w:rPr>
                <w:rFonts w:ascii="宋体" w:hAnsi="宋体" w:cs="宋体"/>
                <w:color w:val="auto"/>
                <w:kern w:val="0"/>
                <w:sz w:val="22"/>
                <w:highlight w:val="none"/>
              </w:rPr>
            </w:pPr>
            <w:r>
              <w:rPr>
                <w:rFonts w:hint="eastAsia" w:ascii="宋体" w:hAnsi="宋体" w:cs="宋体"/>
                <w:color w:val="auto"/>
                <w:kern w:val="0"/>
                <w:sz w:val="22"/>
                <w:highlight w:val="none"/>
              </w:rPr>
              <w:t>记录汞灯使用小时数（寿命通常</w:t>
            </w:r>
            <w:r>
              <w:rPr>
                <w:rFonts w:ascii="宋体" w:hAnsi="宋体" w:cs="宋体"/>
                <w:color w:val="auto"/>
                <w:kern w:val="0"/>
                <w:sz w:val="22"/>
                <w:highlight w:val="none"/>
              </w:rPr>
              <w:t>200-300小时），超限及时更换。</w:t>
            </w:r>
          </w:p>
          <w:p w14:paraId="2A313F38">
            <w:pPr>
              <w:rPr>
                <w:rFonts w:ascii="宋体" w:hAnsi="宋体" w:cs="宋体"/>
                <w:color w:val="auto"/>
                <w:kern w:val="0"/>
                <w:sz w:val="22"/>
                <w:highlight w:val="none"/>
              </w:rPr>
            </w:pPr>
            <w:r>
              <w:rPr>
                <w:rFonts w:hint="eastAsia" w:ascii="宋体" w:hAnsi="宋体" w:cs="宋体"/>
                <w:color w:val="auto"/>
                <w:kern w:val="0"/>
                <w:sz w:val="22"/>
                <w:highlight w:val="none"/>
              </w:rPr>
              <w:t>维护后填写《设备维护日志》，包括日期、操作内容和异常处理。</w:t>
            </w:r>
          </w:p>
        </w:tc>
      </w:tr>
      <w:tr w14:paraId="691A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136C996F">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体式显微镜</w:t>
            </w:r>
          </w:p>
        </w:tc>
        <w:tc>
          <w:tcPr>
            <w:tcW w:w="8426" w:type="dxa"/>
          </w:tcPr>
          <w:p w14:paraId="4846F690">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656DD7D7">
            <w:pPr>
              <w:rPr>
                <w:rFonts w:ascii="宋体" w:hAnsi="宋体" w:cs="宋体"/>
                <w:color w:val="auto"/>
                <w:kern w:val="0"/>
                <w:sz w:val="22"/>
                <w:highlight w:val="none"/>
              </w:rPr>
            </w:pPr>
            <w:r>
              <w:rPr>
                <w:rFonts w:hint="eastAsia" w:ascii="宋体" w:hAnsi="宋体" w:cs="宋体"/>
                <w:color w:val="auto"/>
                <w:kern w:val="0"/>
                <w:sz w:val="22"/>
                <w:highlight w:val="none"/>
              </w:rPr>
              <w:t>光学部件清洁</w:t>
            </w:r>
          </w:p>
          <w:p w14:paraId="41FE31AA">
            <w:pPr>
              <w:rPr>
                <w:rFonts w:ascii="宋体" w:hAnsi="宋体" w:cs="宋体"/>
                <w:color w:val="auto"/>
                <w:kern w:val="0"/>
                <w:sz w:val="22"/>
                <w:highlight w:val="none"/>
              </w:rPr>
            </w:pPr>
            <w:r>
              <w:rPr>
                <w:rFonts w:hint="eastAsia" w:ascii="宋体" w:hAnsi="宋体" w:cs="宋体"/>
                <w:color w:val="auto"/>
                <w:kern w:val="0"/>
                <w:sz w:val="22"/>
                <w:highlight w:val="none"/>
              </w:rPr>
              <w:t>使用后立即用无尘布</w:t>
            </w:r>
            <w:r>
              <w:rPr>
                <w:rFonts w:ascii="宋体" w:hAnsi="宋体" w:cs="宋体"/>
                <w:color w:val="auto"/>
                <w:kern w:val="0"/>
                <w:sz w:val="22"/>
                <w:highlight w:val="none"/>
              </w:rPr>
              <w:t xml:space="preserve">/气吹 </w:t>
            </w:r>
            <w:r>
              <w:rPr>
                <w:rFonts w:hint="eastAsia" w:ascii="宋体" w:hAnsi="宋体" w:cs="宋体"/>
                <w:color w:val="auto"/>
                <w:kern w:val="0"/>
                <w:sz w:val="22"/>
                <w:highlight w:val="none"/>
              </w:rPr>
              <w:t>清洁物镜、目镜表面，避免指纹或油污残留。顽固污渍可用蘸取少量乙醇与乙醚混合液（</w:t>
            </w:r>
            <w:r>
              <w:rPr>
                <w:rFonts w:ascii="宋体" w:hAnsi="宋体" w:cs="宋体"/>
                <w:color w:val="auto"/>
                <w:kern w:val="0"/>
                <w:sz w:val="22"/>
                <w:highlight w:val="none"/>
              </w:rPr>
              <w:t>3:7）的棉签轻拭。</w:t>
            </w:r>
          </w:p>
          <w:p w14:paraId="4FC42970">
            <w:pPr>
              <w:rPr>
                <w:rFonts w:ascii="宋体" w:hAnsi="宋体" w:cs="宋体"/>
                <w:color w:val="auto"/>
                <w:kern w:val="0"/>
                <w:sz w:val="22"/>
                <w:highlight w:val="none"/>
              </w:rPr>
            </w:pPr>
            <w:r>
              <w:rPr>
                <w:rFonts w:hint="eastAsia" w:ascii="宋体" w:hAnsi="宋体" w:cs="宋体"/>
                <w:color w:val="auto"/>
                <w:kern w:val="0"/>
                <w:sz w:val="22"/>
                <w:highlight w:val="none"/>
              </w:rPr>
              <w:t>切勿用有机溶剂（如酒精、丙酮）直接接触镜片，以免腐蚀镀膜层。</w:t>
            </w:r>
          </w:p>
          <w:p w14:paraId="33768FFF">
            <w:pPr>
              <w:rPr>
                <w:rFonts w:ascii="宋体" w:hAnsi="宋体" w:cs="宋体"/>
                <w:color w:val="auto"/>
                <w:kern w:val="0"/>
                <w:sz w:val="22"/>
                <w:highlight w:val="none"/>
              </w:rPr>
            </w:pPr>
            <w:r>
              <w:rPr>
                <w:rFonts w:hint="eastAsia" w:ascii="宋体" w:hAnsi="宋体" w:cs="宋体"/>
                <w:color w:val="auto"/>
                <w:kern w:val="0"/>
                <w:sz w:val="22"/>
                <w:highlight w:val="none"/>
              </w:rPr>
              <w:t>机械部件维护</w:t>
            </w:r>
          </w:p>
          <w:p w14:paraId="667EE919">
            <w:pPr>
              <w:rPr>
                <w:rFonts w:ascii="宋体" w:hAnsi="宋体" w:cs="宋体"/>
                <w:color w:val="auto"/>
                <w:kern w:val="0"/>
                <w:sz w:val="22"/>
                <w:highlight w:val="none"/>
              </w:rPr>
            </w:pPr>
            <w:r>
              <w:rPr>
                <w:rFonts w:hint="eastAsia" w:ascii="宋体" w:hAnsi="宋体" w:cs="宋体"/>
                <w:color w:val="auto"/>
                <w:kern w:val="0"/>
                <w:sz w:val="22"/>
                <w:highlight w:val="none"/>
              </w:rPr>
              <w:t>定期用软布擦拭调焦手轮、移动尺等金属部件，去除汗渍与灰尘。禁止使用酒精擦拭油漆</w:t>
            </w:r>
            <w:r>
              <w:rPr>
                <w:rFonts w:ascii="宋体" w:hAnsi="宋体" w:cs="宋体"/>
                <w:color w:val="auto"/>
                <w:kern w:val="0"/>
                <w:sz w:val="22"/>
                <w:highlight w:val="none"/>
              </w:rPr>
              <w:t>/塑料表面。</w:t>
            </w:r>
          </w:p>
          <w:p w14:paraId="2DC15E84">
            <w:pPr>
              <w:rPr>
                <w:rFonts w:ascii="宋体" w:hAnsi="宋体" w:cs="宋体"/>
                <w:color w:val="auto"/>
                <w:kern w:val="0"/>
                <w:sz w:val="22"/>
                <w:highlight w:val="none"/>
              </w:rPr>
            </w:pPr>
            <w:r>
              <w:rPr>
                <w:rFonts w:hint="eastAsia" w:ascii="宋体" w:hAnsi="宋体" w:cs="宋体"/>
                <w:color w:val="auto"/>
                <w:kern w:val="0"/>
                <w:sz w:val="22"/>
                <w:highlight w:val="none"/>
              </w:rPr>
              <w:t>检查螺丝紧固状态，尤其是调焦滑座和物镜转盘的固定螺钉。</w:t>
            </w:r>
          </w:p>
          <w:p w14:paraId="6E53C026">
            <w:pPr>
              <w:rPr>
                <w:rFonts w:ascii="宋体" w:hAnsi="宋体" w:cs="宋体"/>
                <w:color w:val="auto"/>
                <w:kern w:val="0"/>
                <w:sz w:val="22"/>
                <w:highlight w:val="none"/>
              </w:rPr>
            </w:pPr>
            <w:r>
              <w:rPr>
                <w:rFonts w:hint="eastAsia" w:ascii="宋体" w:hAnsi="宋体" w:cs="宋体"/>
                <w:color w:val="auto"/>
                <w:kern w:val="0"/>
                <w:sz w:val="22"/>
                <w:highlight w:val="none"/>
              </w:rPr>
              <w:t>光源管理</w:t>
            </w:r>
          </w:p>
          <w:p w14:paraId="1DFF559D">
            <w:pPr>
              <w:rPr>
                <w:rFonts w:ascii="宋体" w:hAnsi="宋体" w:cs="宋体"/>
                <w:color w:val="auto"/>
                <w:kern w:val="0"/>
                <w:sz w:val="22"/>
                <w:highlight w:val="none"/>
              </w:rPr>
            </w:pPr>
            <w:r>
              <w:rPr>
                <w:rFonts w:hint="eastAsia" w:ascii="宋体" w:hAnsi="宋体" w:cs="宋体"/>
                <w:color w:val="auto"/>
                <w:kern w:val="0"/>
                <w:sz w:val="22"/>
                <w:highlight w:val="none"/>
              </w:rPr>
              <w:t>透射光源使用后关闭电源，避免卤素灯长时间工作导致过热。更换灯泡时需切断电源并拆除底盖操作。</w:t>
            </w:r>
          </w:p>
          <w:p w14:paraId="67841969">
            <w:pPr>
              <w:rPr>
                <w:rFonts w:ascii="宋体" w:hAnsi="宋体" w:cs="宋体"/>
                <w:color w:val="auto"/>
                <w:kern w:val="0"/>
                <w:sz w:val="22"/>
                <w:highlight w:val="none"/>
              </w:rPr>
            </w:pPr>
            <w:r>
              <w:rPr>
                <w:rFonts w:hint="eastAsia" w:ascii="宋体" w:hAnsi="宋体" w:cs="宋体"/>
                <w:color w:val="auto"/>
                <w:kern w:val="0"/>
                <w:sz w:val="22"/>
                <w:highlight w:val="none"/>
              </w:rPr>
              <w:t>冷光源光纤接头需保持干燥，避免弯折。</w:t>
            </w:r>
          </w:p>
          <w:p w14:paraId="51CFC5E2">
            <w:pPr>
              <w:rPr>
                <w:rFonts w:ascii="宋体" w:hAnsi="宋体" w:cs="宋体"/>
                <w:color w:val="auto"/>
                <w:kern w:val="0"/>
                <w:sz w:val="22"/>
                <w:highlight w:val="none"/>
              </w:rPr>
            </w:pPr>
            <w:r>
              <w:rPr>
                <w:rFonts w:hint="eastAsia" w:ascii="宋体" w:hAnsi="宋体" w:cs="宋体"/>
                <w:color w:val="auto"/>
                <w:kern w:val="0"/>
                <w:sz w:val="22"/>
                <w:highlight w:val="none"/>
              </w:rPr>
              <w:t>二、定期深度维护</w:t>
            </w:r>
          </w:p>
          <w:p w14:paraId="2AE748CB">
            <w:pPr>
              <w:rPr>
                <w:rFonts w:ascii="宋体" w:hAnsi="宋体" w:cs="宋体"/>
                <w:color w:val="auto"/>
                <w:kern w:val="0"/>
                <w:sz w:val="22"/>
                <w:highlight w:val="none"/>
              </w:rPr>
            </w:pPr>
            <w:r>
              <w:rPr>
                <w:rFonts w:hint="eastAsia" w:ascii="宋体" w:hAnsi="宋体" w:cs="宋体"/>
                <w:color w:val="auto"/>
                <w:kern w:val="0"/>
                <w:sz w:val="22"/>
                <w:highlight w:val="none"/>
              </w:rPr>
              <w:t>校准与调试</w:t>
            </w:r>
          </w:p>
          <w:p w14:paraId="05E0577C">
            <w:pPr>
              <w:rPr>
                <w:rFonts w:ascii="宋体" w:hAnsi="宋体" w:cs="宋体"/>
                <w:color w:val="auto"/>
                <w:kern w:val="0"/>
                <w:sz w:val="22"/>
                <w:highlight w:val="none"/>
              </w:rPr>
            </w:pPr>
            <w:r>
              <w:rPr>
                <w:rFonts w:hint="eastAsia" w:ascii="宋体" w:hAnsi="宋体" w:cs="宋体"/>
                <w:color w:val="auto"/>
                <w:kern w:val="0"/>
                <w:sz w:val="22"/>
                <w:highlight w:val="none"/>
              </w:rPr>
              <w:t>每季度校准瞳距</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和视度圈</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：将左右目镜视度圈调至“</w:t>
            </w:r>
            <w:r>
              <w:rPr>
                <w:rFonts w:ascii="宋体" w:hAnsi="宋体" w:cs="宋体"/>
                <w:color w:val="auto"/>
                <w:kern w:val="0"/>
                <w:sz w:val="22"/>
                <w:highlight w:val="none"/>
              </w:rPr>
              <w:t>0”刻线，通过变倍手轮从低倍到高倍逐步调焦至图像清晰。</w:t>
            </w:r>
          </w:p>
          <w:p w14:paraId="0A88EB52">
            <w:pPr>
              <w:rPr>
                <w:rFonts w:ascii="宋体" w:hAnsi="宋体" w:cs="宋体"/>
                <w:color w:val="auto"/>
                <w:kern w:val="0"/>
                <w:sz w:val="22"/>
                <w:highlight w:val="none"/>
              </w:rPr>
            </w:pPr>
            <w:r>
              <w:rPr>
                <w:rFonts w:hint="eastAsia" w:ascii="宋体" w:hAnsi="宋体" w:cs="宋体"/>
                <w:color w:val="auto"/>
                <w:kern w:val="0"/>
                <w:sz w:val="22"/>
                <w:highlight w:val="none"/>
              </w:rPr>
              <w:t>使用标准刻度尺校验放大倍数准确性，误差＞</w:t>
            </w:r>
            <w:r>
              <w:rPr>
                <w:rFonts w:ascii="宋体" w:hAnsi="宋体" w:cs="宋体"/>
                <w:color w:val="auto"/>
                <w:kern w:val="0"/>
                <w:sz w:val="22"/>
                <w:highlight w:val="none"/>
              </w:rPr>
              <w:t>5%需联系专业人员调整。</w:t>
            </w:r>
          </w:p>
          <w:p w14:paraId="41B84FE7">
            <w:pPr>
              <w:rPr>
                <w:rFonts w:ascii="宋体" w:hAnsi="宋体" w:cs="宋体"/>
                <w:color w:val="auto"/>
                <w:kern w:val="0"/>
                <w:sz w:val="22"/>
                <w:highlight w:val="none"/>
              </w:rPr>
            </w:pPr>
            <w:r>
              <w:rPr>
                <w:rFonts w:hint="eastAsia" w:ascii="宋体" w:hAnsi="宋体" w:cs="宋体"/>
                <w:color w:val="auto"/>
                <w:kern w:val="0"/>
                <w:sz w:val="22"/>
                <w:highlight w:val="none"/>
              </w:rPr>
              <w:t>润滑与防锈</w:t>
            </w:r>
          </w:p>
          <w:p w14:paraId="56DE23B6">
            <w:pPr>
              <w:rPr>
                <w:rFonts w:ascii="宋体" w:hAnsi="宋体" w:cs="宋体"/>
                <w:color w:val="auto"/>
                <w:kern w:val="0"/>
                <w:sz w:val="22"/>
                <w:highlight w:val="none"/>
              </w:rPr>
            </w:pPr>
            <w:r>
              <w:rPr>
                <w:rFonts w:hint="eastAsia" w:ascii="宋体" w:hAnsi="宋体" w:cs="宋体"/>
                <w:color w:val="auto"/>
                <w:kern w:val="0"/>
                <w:sz w:val="22"/>
                <w:highlight w:val="none"/>
              </w:rPr>
              <w:t>每半年对调焦导轨、齿轮组涂抹专用润滑脂（如二硫化钼），避免金属氧化。</w:t>
            </w:r>
          </w:p>
          <w:p w14:paraId="230CF24F">
            <w:pPr>
              <w:rPr>
                <w:rFonts w:ascii="宋体" w:hAnsi="宋体" w:cs="宋体"/>
                <w:color w:val="auto"/>
                <w:kern w:val="0"/>
                <w:sz w:val="22"/>
                <w:highlight w:val="none"/>
              </w:rPr>
            </w:pPr>
            <w:r>
              <w:rPr>
                <w:rFonts w:hint="eastAsia" w:ascii="宋体" w:hAnsi="宋体" w:cs="宋体"/>
                <w:color w:val="auto"/>
                <w:kern w:val="0"/>
                <w:sz w:val="22"/>
                <w:highlight w:val="none"/>
              </w:rPr>
              <w:t>系统检查</w:t>
            </w:r>
          </w:p>
          <w:p w14:paraId="42B87779">
            <w:pPr>
              <w:rPr>
                <w:rFonts w:ascii="宋体" w:hAnsi="宋体" w:cs="宋体"/>
                <w:color w:val="auto"/>
                <w:kern w:val="0"/>
                <w:sz w:val="22"/>
                <w:highlight w:val="none"/>
              </w:rPr>
            </w:pPr>
            <w:r>
              <w:rPr>
                <w:rFonts w:hint="eastAsia" w:ascii="宋体" w:hAnsi="宋体" w:cs="宋体"/>
                <w:color w:val="auto"/>
                <w:kern w:val="0"/>
                <w:sz w:val="22"/>
                <w:highlight w:val="none"/>
              </w:rPr>
              <w:t>检查电路连接稳定性，异常闪灯或频繁烧毁灯泡可能因电压不稳或线路老化引起。</w:t>
            </w:r>
          </w:p>
          <w:p w14:paraId="39CC2E54">
            <w:pPr>
              <w:rPr>
                <w:rFonts w:ascii="宋体" w:hAnsi="宋体" w:cs="宋体"/>
                <w:color w:val="auto"/>
                <w:kern w:val="0"/>
                <w:sz w:val="22"/>
                <w:highlight w:val="none"/>
              </w:rPr>
            </w:pPr>
            <w:r>
              <w:rPr>
                <w:rFonts w:hint="eastAsia" w:ascii="宋体" w:hAnsi="宋体" w:cs="宋体"/>
                <w:color w:val="auto"/>
                <w:kern w:val="0"/>
                <w:sz w:val="22"/>
                <w:highlight w:val="none"/>
              </w:rPr>
              <w:t>荧光滤色块、偏振片等特殊组件每</w:t>
            </w:r>
            <w:r>
              <w:rPr>
                <w:rFonts w:ascii="宋体" w:hAnsi="宋体" w:cs="宋体"/>
                <w:color w:val="auto"/>
                <w:kern w:val="0"/>
                <w:sz w:val="22"/>
                <w:highlight w:val="none"/>
              </w:rPr>
              <w:t>1年返厂检测透光率。</w:t>
            </w:r>
          </w:p>
        </w:tc>
      </w:tr>
      <w:tr w14:paraId="2E6C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2CBF7167">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快速转印系统</w:t>
            </w:r>
          </w:p>
        </w:tc>
        <w:tc>
          <w:tcPr>
            <w:tcW w:w="8426" w:type="dxa"/>
          </w:tcPr>
          <w:p w14:paraId="476E46AC">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6C9A0E8C">
            <w:pPr>
              <w:rPr>
                <w:rFonts w:ascii="宋体" w:hAnsi="宋体" w:cs="宋体"/>
                <w:color w:val="auto"/>
                <w:kern w:val="0"/>
                <w:sz w:val="22"/>
                <w:highlight w:val="none"/>
              </w:rPr>
            </w:pPr>
            <w:r>
              <w:rPr>
                <w:rFonts w:hint="eastAsia" w:ascii="宋体" w:hAnsi="宋体" w:cs="宋体"/>
                <w:color w:val="auto"/>
                <w:kern w:val="0"/>
                <w:sz w:val="22"/>
                <w:highlight w:val="none"/>
              </w:rPr>
              <w:t>设备清洁</w:t>
            </w:r>
          </w:p>
          <w:p w14:paraId="6D2CF76F">
            <w:pPr>
              <w:rPr>
                <w:rFonts w:ascii="宋体" w:hAnsi="宋体" w:cs="宋体"/>
                <w:color w:val="auto"/>
                <w:kern w:val="0"/>
                <w:sz w:val="22"/>
                <w:highlight w:val="none"/>
              </w:rPr>
            </w:pPr>
            <w:r>
              <w:rPr>
                <w:rFonts w:hint="eastAsia" w:ascii="宋体" w:hAnsi="宋体" w:cs="宋体"/>
                <w:color w:val="auto"/>
                <w:kern w:val="0"/>
                <w:sz w:val="22"/>
                <w:highlight w:val="none"/>
              </w:rPr>
              <w:t>每次使用后立即清洁转印机工作台面及传送带，清除残留的转印膜碎片或杂质，防止堵塞或污染</w:t>
            </w:r>
            <w:r>
              <w:rPr>
                <w:rFonts w:ascii="宋体" w:hAnsi="宋体" w:cs="宋体"/>
                <w:color w:val="auto"/>
                <w:kern w:val="0"/>
                <w:sz w:val="22"/>
                <w:highlight w:val="none"/>
              </w:rPr>
              <w:t>。</w:t>
            </w:r>
          </w:p>
          <w:p w14:paraId="711D50C9">
            <w:pPr>
              <w:rPr>
                <w:rFonts w:ascii="宋体" w:hAnsi="宋体" w:cs="宋体"/>
                <w:color w:val="auto"/>
                <w:kern w:val="0"/>
                <w:sz w:val="22"/>
                <w:highlight w:val="none"/>
              </w:rPr>
            </w:pPr>
            <w:r>
              <w:rPr>
                <w:rFonts w:hint="eastAsia" w:ascii="宋体" w:hAnsi="宋体" w:cs="宋体"/>
                <w:color w:val="auto"/>
                <w:kern w:val="0"/>
                <w:sz w:val="22"/>
                <w:highlight w:val="none"/>
              </w:rPr>
              <w:t>使用无尘布或软布擦拭外壳，顽固污渍可用温和肥皂水清洁，禁止使用腐蚀性溶剂或研磨剂</w:t>
            </w:r>
            <w:r>
              <w:rPr>
                <w:rFonts w:ascii="宋体" w:hAnsi="宋体" w:cs="宋体"/>
                <w:color w:val="auto"/>
                <w:kern w:val="0"/>
                <w:sz w:val="22"/>
                <w:highlight w:val="none"/>
              </w:rPr>
              <w:t>。</w:t>
            </w:r>
          </w:p>
          <w:p w14:paraId="0CB12BC7">
            <w:pPr>
              <w:rPr>
                <w:rFonts w:ascii="宋体" w:hAnsi="宋体" w:cs="宋体"/>
                <w:color w:val="auto"/>
                <w:kern w:val="0"/>
                <w:sz w:val="22"/>
                <w:highlight w:val="none"/>
              </w:rPr>
            </w:pPr>
            <w:r>
              <w:rPr>
                <w:rFonts w:hint="eastAsia" w:ascii="宋体" w:hAnsi="宋体" w:cs="宋体"/>
                <w:color w:val="auto"/>
                <w:kern w:val="0"/>
                <w:sz w:val="22"/>
                <w:highlight w:val="none"/>
              </w:rPr>
              <w:t>断电与安全检查</w:t>
            </w:r>
          </w:p>
          <w:p w14:paraId="03E93568">
            <w:pPr>
              <w:rPr>
                <w:rFonts w:ascii="宋体" w:hAnsi="宋体" w:cs="宋体"/>
                <w:color w:val="auto"/>
                <w:kern w:val="0"/>
                <w:sz w:val="22"/>
                <w:highlight w:val="none"/>
              </w:rPr>
            </w:pPr>
            <w:r>
              <w:rPr>
                <w:rFonts w:hint="eastAsia" w:ascii="宋体" w:hAnsi="宋体" w:cs="宋体"/>
                <w:color w:val="auto"/>
                <w:kern w:val="0"/>
                <w:sz w:val="22"/>
                <w:highlight w:val="none"/>
              </w:rPr>
              <w:t>维护前需切断电源并等待设备完全停止运行。</w:t>
            </w:r>
          </w:p>
          <w:p w14:paraId="24B28E88">
            <w:pPr>
              <w:rPr>
                <w:rFonts w:ascii="宋体" w:hAnsi="宋体" w:cs="宋体"/>
                <w:color w:val="auto"/>
                <w:kern w:val="0"/>
                <w:sz w:val="22"/>
                <w:highlight w:val="none"/>
              </w:rPr>
            </w:pPr>
            <w:r>
              <w:rPr>
                <w:rFonts w:hint="eastAsia" w:ascii="宋体" w:hAnsi="宋体" w:cs="宋体"/>
                <w:color w:val="auto"/>
                <w:kern w:val="0"/>
                <w:sz w:val="22"/>
                <w:highlight w:val="none"/>
              </w:rPr>
              <w:t>定期检查急停按钮、防护罩等安全装置功能是否正常。</w:t>
            </w:r>
          </w:p>
          <w:p w14:paraId="7112B046">
            <w:pPr>
              <w:rPr>
                <w:rFonts w:ascii="宋体" w:hAnsi="宋体" w:cs="宋体"/>
                <w:color w:val="auto"/>
                <w:kern w:val="0"/>
                <w:sz w:val="22"/>
                <w:highlight w:val="none"/>
              </w:rPr>
            </w:pPr>
            <w:r>
              <w:rPr>
                <w:rFonts w:hint="eastAsia" w:ascii="宋体" w:hAnsi="宋体" w:cs="宋体"/>
                <w:color w:val="auto"/>
                <w:kern w:val="0"/>
                <w:sz w:val="22"/>
                <w:highlight w:val="none"/>
              </w:rPr>
              <w:t>二、定期维护</w:t>
            </w:r>
          </w:p>
          <w:p w14:paraId="75016876">
            <w:pPr>
              <w:rPr>
                <w:rFonts w:ascii="宋体" w:hAnsi="宋体" w:cs="宋体"/>
                <w:color w:val="auto"/>
                <w:kern w:val="0"/>
                <w:sz w:val="22"/>
                <w:highlight w:val="none"/>
              </w:rPr>
            </w:pPr>
            <w:r>
              <w:rPr>
                <w:rFonts w:hint="eastAsia" w:ascii="宋体" w:hAnsi="宋体" w:cs="宋体"/>
                <w:color w:val="auto"/>
                <w:kern w:val="0"/>
                <w:sz w:val="22"/>
                <w:highlight w:val="none"/>
              </w:rPr>
              <w:t>关键部件维护</w:t>
            </w:r>
          </w:p>
          <w:p w14:paraId="52115A99">
            <w:pPr>
              <w:rPr>
                <w:rFonts w:ascii="宋体" w:hAnsi="宋体" w:cs="宋体"/>
                <w:color w:val="auto"/>
                <w:kern w:val="0"/>
                <w:sz w:val="22"/>
                <w:highlight w:val="none"/>
              </w:rPr>
            </w:pPr>
            <w:r>
              <w:rPr>
                <w:rFonts w:hint="eastAsia" w:ascii="宋体" w:hAnsi="宋体" w:cs="宋体"/>
                <w:color w:val="auto"/>
                <w:kern w:val="0"/>
                <w:sz w:val="22"/>
                <w:highlight w:val="none"/>
              </w:rPr>
              <w:t>电极系统</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w:t>
            </w:r>
            <w:r>
              <w:rPr>
                <w:rFonts w:ascii="宋体" w:hAnsi="宋体" w:cs="宋体"/>
                <w:color w:val="auto"/>
                <w:kern w:val="0"/>
                <w:sz w:val="22"/>
                <w:highlight w:val="none"/>
              </w:rPr>
              <w:t>3个月清洁弹簧电极和电极板，确保压力均匀和导电性（适用于电转印系统）。</w:t>
            </w:r>
          </w:p>
          <w:p w14:paraId="7ECD706D">
            <w:pPr>
              <w:rPr>
                <w:rFonts w:ascii="宋体" w:hAnsi="宋体" w:cs="宋体"/>
                <w:color w:val="auto"/>
                <w:kern w:val="0"/>
                <w:sz w:val="22"/>
                <w:highlight w:val="none"/>
              </w:rPr>
            </w:pPr>
            <w:r>
              <w:rPr>
                <w:rFonts w:hint="eastAsia" w:ascii="宋体" w:hAnsi="宋体" w:cs="宋体"/>
                <w:color w:val="auto"/>
                <w:kern w:val="0"/>
                <w:sz w:val="22"/>
                <w:highlight w:val="none"/>
              </w:rPr>
              <w:t>传感器</w:t>
            </w:r>
            <w:r>
              <w:rPr>
                <w:rFonts w:ascii="宋体" w:hAnsi="宋体" w:cs="宋体"/>
                <w:color w:val="auto"/>
                <w:kern w:val="0"/>
                <w:sz w:val="22"/>
                <w:highlight w:val="none"/>
              </w:rPr>
              <w:t xml:space="preserve">/气动系统 </w:t>
            </w:r>
            <w:r>
              <w:rPr>
                <w:rFonts w:hint="eastAsia" w:ascii="宋体" w:hAnsi="宋体" w:cs="宋体"/>
                <w:color w:val="auto"/>
                <w:kern w:val="0"/>
                <w:sz w:val="22"/>
                <w:highlight w:val="none"/>
              </w:rPr>
              <w:t>：检查气压管路是否泄漏，电磁阀、气缸运行是否顺畅，必要时更换老化气管。</w:t>
            </w:r>
          </w:p>
          <w:p w14:paraId="2A5F056D">
            <w:pPr>
              <w:rPr>
                <w:rFonts w:ascii="宋体" w:hAnsi="宋体" w:cs="宋体"/>
                <w:color w:val="auto"/>
                <w:kern w:val="0"/>
                <w:sz w:val="22"/>
                <w:highlight w:val="none"/>
              </w:rPr>
            </w:pPr>
            <w:r>
              <w:rPr>
                <w:rFonts w:hint="eastAsia" w:ascii="宋体" w:hAnsi="宋体" w:cs="宋体"/>
                <w:color w:val="auto"/>
                <w:kern w:val="0"/>
                <w:sz w:val="22"/>
                <w:highlight w:val="none"/>
              </w:rPr>
              <w:t>密封圈与传动部件</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：每半年检查密封圈磨损情况，润滑齿轮、链条等传动部件。</w:t>
            </w:r>
          </w:p>
          <w:p w14:paraId="1A5FFBF2">
            <w:pPr>
              <w:rPr>
                <w:rFonts w:ascii="宋体" w:hAnsi="宋体" w:cs="宋体"/>
                <w:color w:val="auto"/>
                <w:kern w:val="0"/>
                <w:sz w:val="22"/>
                <w:highlight w:val="none"/>
              </w:rPr>
            </w:pPr>
            <w:r>
              <w:rPr>
                <w:rFonts w:hint="eastAsia" w:ascii="宋体" w:hAnsi="宋体" w:cs="宋体"/>
                <w:color w:val="auto"/>
                <w:kern w:val="0"/>
                <w:sz w:val="22"/>
                <w:highlight w:val="none"/>
              </w:rPr>
              <w:t>程序校准</w:t>
            </w:r>
          </w:p>
          <w:p w14:paraId="6F51221E">
            <w:pPr>
              <w:rPr>
                <w:rFonts w:ascii="宋体" w:hAnsi="宋体" w:cs="宋体"/>
                <w:color w:val="auto"/>
                <w:kern w:val="0"/>
                <w:sz w:val="22"/>
                <w:highlight w:val="none"/>
              </w:rPr>
            </w:pPr>
            <w:r>
              <w:rPr>
                <w:rFonts w:hint="eastAsia" w:ascii="宋体" w:hAnsi="宋体" w:cs="宋体"/>
                <w:color w:val="auto"/>
                <w:kern w:val="0"/>
                <w:sz w:val="22"/>
                <w:highlight w:val="none"/>
              </w:rPr>
              <w:t>校准温度、压力和时间参数，确保预设程序（如</w:t>
            </w:r>
            <w:r>
              <w:rPr>
                <w:rFonts w:ascii="宋体" w:hAnsi="宋体" w:cs="宋体"/>
                <w:color w:val="auto"/>
                <w:kern w:val="0"/>
                <w:sz w:val="22"/>
                <w:highlight w:val="none"/>
              </w:rPr>
              <w:t>Bio-Rad Trans-Blot Turbo的25个程序）与转印效果一致。</w:t>
            </w:r>
          </w:p>
          <w:p w14:paraId="1696C360">
            <w:pPr>
              <w:rPr>
                <w:rFonts w:ascii="宋体" w:hAnsi="宋体" w:cs="宋体"/>
                <w:color w:val="auto"/>
                <w:kern w:val="0"/>
                <w:sz w:val="22"/>
                <w:highlight w:val="none"/>
              </w:rPr>
            </w:pPr>
            <w:r>
              <w:rPr>
                <w:rFonts w:hint="eastAsia" w:ascii="宋体" w:hAnsi="宋体" w:cs="宋体"/>
                <w:color w:val="auto"/>
                <w:kern w:val="0"/>
                <w:sz w:val="22"/>
                <w:highlight w:val="none"/>
              </w:rPr>
              <w:t>三、安全维护</w:t>
            </w:r>
          </w:p>
          <w:p w14:paraId="30D1F1B3">
            <w:pPr>
              <w:rPr>
                <w:rFonts w:ascii="宋体" w:hAnsi="宋体" w:cs="宋体"/>
                <w:color w:val="auto"/>
                <w:kern w:val="0"/>
                <w:sz w:val="22"/>
                <w:highlight w:val="none"/>
              </w:rPr>
            </w:pPr>
            <w:r>
              <w:rPr>
                <w:rFonts w:hint="eastAsia" w:ascii="宋体" w:hAnsi="宋体" w:cs="宋体"/>
                <w:color w:val="auto"/>
                <w:kern w:val="0"/>
                <w:sz w:val="22"/>
                <w:highlight w:val="none"/>
              </w:rPr>
              <w:t>耗材管理</w:t>
            </w:r>
          </w:p>
          <w:p w14:paraId="01321FDF">
            <w:pPr>
              <w:rPr>
                <w:rFonts w:ascii="宋体" w:hAnsi="宋体" w:cs="宋体"/>
                <w:color w:val="auto"/>
                <w:kern w:val="0"/>
                <w:sz w:val="22"/>
                <w:highlight w:val="none"/>
              </w:rPr>
            </w:pPr>
            <w:r>
              <w:rPr>
                <w:rFonts w:hint="eastAsia" w:ascii="宋体" w:hAnsi="宋体" w:cs="宋体"/>
                <w:color w:val="auto"/>
                <w:kern w:val="0"/>
                <w:sz w:val="22"/>
                <w:highlight w:val="none"/>
              </w:rPr>
              <w:t>定期更换转印膜和滤膜（如适用），避免使用过期或破损耗材影响转印效果。</w:t>
            </w:r>
          </w:p>
          <w:p w14:paraId="7AFD5831">
            <w:pPr>
              <w:rPr>
                <w:rFonts w:ascii="宋体" w:hAnsi="宋体" w:cs="宋体"/>
                <w:color w:val="auto"/>
                <w:kern w:val="0"/>
                <w:sz w:val="22"/>
                <w:highlight w:val="none"/>
              </w:rPr>
            </w:pPr>
            <w:r>
              <w:rPr>
                <w:rFonts w:hint="eastAsia" w:ascii="宋体" w:hAnsi="宋体" w:cs="宋体"/>
                <w:color w:val="auto"/>
                <w:kern w:val="0"/>
                <w:sz w:val="22"/>
                <w:highlight w:val="none"/>
              </w:rPr>
              <w:t>色带类设备需按规范安装</w:t>
            </w:r>
            <w:r>
              <w:rPr>
                <w:rFonts w:ascii="宋体" w:hAnsi="宋体" w:cs="宋体"/>
                <w:color w:val="auto"/>
                <w:kern w:val="0"/>
                <w:sz w:val="22"/>
                <w:highlight w:val="none"/>
              </w:rPr>
              <w:t>/拆卸，避免接触打印头时污染。</w:t>
            </w:r>
          </w:p>
          <w:p w14:paraId="642D5A1E">
            <w:pPr>
              <w:rPr>
                <w:rFonts w:ascii="宋体" w:hAnsi="宋体" w:cs="宋体"/>
                <w:color w:val="auto"/>
                <w:kern w:val="0"/>
                <w:sz w:val="22"/>
                <w:highlight w:val="none"/>
              </w:rPr>
            </w:pPr>
            <w:r>
              <w:rPr>
                <w:rFonts w:hint="eastAsia" w:ascii="宋体" w:hAnsi="宋体" w:cs="宋体"/>
                <w:color w:val="auto"/>
                <w:kern w:val="0"/>
                <w:sz w:val="22"/>
                <w:highlight w:val="none"/>
              </w:rPr>
              <w:t>环境要求</w:t>
            </w:r>
          </w:p>
          <w:p w14:paraId="3AE7221E">
            <w:pPr>
              <w:rPr>
                <w:rFonts w:ascii="宋体" w:hAnsi="宋体" w:cs="宋体"/>
                <w:color w:val="auto"/>
                <w:kern w:val="0"/>
                <w:sz w:val="22"/>
                <w:highlight w:val="none"/>
              </w:rPr>
            </w:pPr>
            <w:r>
              <w:rPr>
                <w:rFonts w:hint="eastAsia" w:ascii="宋体" w:hAnsi="宋体" w:cs="宋体"/>
                <w:color w:val="auto"/>
                <w:kern w:val="0"/>
                <w:sz w:val="22"/>
                <w:highlight w:val="none"/>
              </w:rPr>
              <w:t>操作间保持通风良好，避免高温或潮湿环境影响设备稳定性。</w:t>
            </w:r>
          </w:p>
          <w:p w14:paraId="50149DFB">
            <w:pPr>
              <w:rPr>
                <w:rFonts w:ascii="宋体" w:hAnsi="宋体" w:cs="宋体"/>
                <w:color w:val="auto"/>
                <w:kern w:val="0"/>
                <w:sz w:val="22"/>
                <w:highlight w:val="none"/>
              </w:rPr>
            </w:pPr>
            <w:r>
              <w:rPr>
                <w:rFonts w:hint="eastAsia" w:ascii="宋体" w:hAnsi="宋体" w:cs="宋体"/>
                <w:color w:val="auto"/>
                <w:kern w:val="0"/>
                <w:sz w:val="22"/>
                <w:highlight w:val="none"/>
              </w:rPr>
              <w:t>四、故障处理</w:t>
            </w:r>
          </w:p>
          <w:p w14:paraId="41FD9228">
            <w:pPr>
              <w:rPr>
                <w:rFonts w:ascii="宋体" w:hAnsi="宋体" w:cs="宋体"/>
                <w:color w:val="auto"/>
                <w:kern w:val="0"/>
                <w:sz w:val="22"/>
                <w:highlight w:val="none"/>
              </w:rPr>
            </w:pPr>
            <w:r>
              <w:rPr>
                <w:rFonts w:hint="eastAsia" w:ascii="宋体" w:hAnsi="宋体" w:cs="宋体"/>
                <w:color w:val="auto"/>
                <w:kern w:val="0"/>
                <w:sz w:val="22"/>
                <w:highlight w:val="none"/>
              </w:rPr>
              <w:t>转印不均</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：检查电极压力均匀性或加热板温度分布。</w:t>
            </w:r>
          </w:p>
          <w:p w14:paraId="37DCD88E">
            <w:pPr>
              <w:rPr>
                <w:rFonts w:ascii="宋体" w:hAnsi="宋体" w:cs="宋体"/>
                <w:color w:val="auto"/>
                <w:kern w:val="0"/>
                <w:sz w:val="22"/>
                <w:highlight w:val="none"/>
              </w:rPr>
            </w:pPr>
            <w:r>
              <w:rPr>
                <w:rFonts w:hint="eastAsia" w:ascii="宋体" w:hAnsi="宋体" w:cs="宋体"/>
                <w:color w:val="auto"/>
                <w:kern w:val="0"/>
                <w:sz w:val="22"/>
                <w:highlight w:val="none"/>
              </w:rPr>
              <w:t>异常噪音</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：排查传动系统（皮带、齿轮）是否松动或磨损。</w:t>
            </w:r>
          </w:p>
        </w:tc>
      </w:tr>
      <w:tr w14:paraId="25A5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173B3CCA">
            <w:pPr>
              <w:widowControl/>
              <w:jc w:val="center"/>
              <w:textAlignment w:val="center"/>
              <w:rPr>
                <w:rFonts w:ascii="宋体" w:hAnsi="宋体" w:cs="宋体"/>
                <w:color w:val="auto"/>
                <w:kern w:val="0"/>
                <w:sz w:val="22"/>
                <w:highlight w:val="none"/>
              </w:rPr>
            </w:pPr>
            <w:r>
              <w:rPr>
                <w:rFonts w:ascii="宋体" w:hAnsi="宋体" w:cs="宋体"/>
                <w:color w:val="auto"/>
                <w:kern w:val="0"/>
                <w:sz w:val="22"/>
                <w:highlight w:val="none"/>
              </w:rPr>
              <w:t>PCR仪</w:t>
            </w:r>
          </w:p>
        </w:tc>
        <w:tc>
          <w:tcPr>
            <w:tcW w:w="8426" w:type="dxa"/>
          </w:tcPr>
          <w:p w14:paraId="5697D4E4">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19CF21EC">
            <w:pPr>
              <w:rPr>
                <w:rFonts w:ascii="宋体" w:hAnsi="宋体" w:cs="宋体"/>
                <w:color w:val="auto"/>
                <w:kern w:val="0"/>
                <w:sz w:val="22"/>
                <w:highlight w:val="none"/>
              </w:rPr>
            </w:pPr>
            <w:r>
              <w:rPr>
                <w:rFonts w:hint="eastAsia" w:ascii="宋体" w:hAnsi="宋体" w:cs="宋体"/>
                <w:color w:val="auto"/>
                <w:kern w:val="0"/>
                <w:sz w:val="22"/>
                <w:highlight w:val="none"/>
              </w:rPr>
              <w:t>样品池清洁</w:t>
            </w:r>
          </w:p>
          <w:p w14:paraId="3A550E36">
            <w:pPr>
              <w:rPr>
                <w:rFonts w:ascii="宋体" w:hAnsi="宋体" w:cs="宋体"/>
                <w:color w:val="auto"/>
                <w:kern w:val="0"/>
                <w:sz w:val="22"/>
                <w:highlight w:val="none"/>
              </w:rPr>
            </w:pPr>
            <w:r>
              <w:rPr>
                <w:rFonts w:hint="eastAsia" w:ascii="宋体" w:hAnsi="宋体" w:cs="宋体"/>
                <w:color w:val="auto"/>
                <w:kern w:val="0"/>
                <w:sz w:val="22"/>
                <w:highlight w:val="none"/>
              </w:rPr>
              <w:t>使用后立即用</w:t>
            </w:r>
            <w:r>
              <w:rPr>
                <w:rFonts w:ascii="宋体" w:hAnsi="宋体" w:cs="宋体"/>
                <w:color w:val="auto"/>
                <w:kern w:val="0"/>
                <w:sz w:val="22"/>
                <w:highlight w:val="none"/>
              </w:rPr>
              <w:t xml:space="preserve">95%乙醇或10%清洗液 </w:t>
            </w:r>
            <w:r>
              <w:rPr>
                <w:rFonts w:hint="eastAsia" w:ascii="宋体" w:hAnsi="宋体" w:cs="宋体"/>
                <w:color w:val="auto"/>
                <w:kern w:val="0"/>
                <w:sz w:val="22"/>
                <w:highlight w:val="none"/>
              </w:rPr>
              <w:t>浸泡样品池</w:t>
            </w:r>
            <w:r>
              <w:rPr>
                <w:rFonts w:ascii="宋体" w:hAnsi="宋体" w:cs="宋体"/>
                <w:color w:val="auto"/>
                <w:kern w:val="0"/>
                <w:sz w:val="22"/>
                <w:highlight w:val="none"/>
              </w:rPr>
              <w:t>5分钟，污染孔需用微量移液器或棉签吸干液体</w:t>
            </w:r>
          </w:p>
          <w:p w14:paraId="6C0EFF49">
            <w:pPr>
              <w:rPr>
                <w:rFonts w:ascii="宋体" w:hAnsi="宋体" w:cs="宋体"/>
                <w:color w:val="auto"/>
                <w:kern w:val="0"/>
                <w:sz w:val="22"/>
                <w:highlight w:val="none"/>
              </w:rPr>
            </w:pPr>
            <w:r>
              <w:rPr>
                <w:rFonts w:hint="eastAsia" w:ascii="宋体" w:hAnsi="宋体" w:cs="宋体"/>
                <w:color w:val="auto"/>
                <w:kern w:val="0"/>
                <w:sz w:val="22"/>
                <w:highlight w:val="none"/>
              </w:rPr>
              <w:t>运行</w:t>
            </w:r>
            <w:r>
              <w:rPr>
                <w:rFonts w:ascii="宋体" w:hAnsi="宋体" w:cs="宋体"/>
                <w:color w:val="auto"/>
                <w:kern w:val="0"/>
                <w:sz w:val="22"/>
                <w:highlight w:val="none"/>
              </w:rPr>
              <w:t>50℃保温程序5-10分钟，挥发残留液体</w:t>
            </w:r>
          </w:p>
          <w:p w14:paraId="16649346">
            <w:pPr>
              <w:rPr>
                <w:rFonts w:ascii="宋体" w:hAnsi="宋体" w:cs="宋体"/>
                <w:color w:val="auto"/>
                <w:kern w:val="0"/>
                <w:sz w:val="22"/>
                <w:highlight w:val="none"/>
              </w:rPr>
            </w:pPr>
            <w:r>
              <w:rPr>
                <w:rFonts w:hint="eastAsia" w:ascii="宋体" w:hAnsi="宋体" w:cs="宋体"/>
                <w:color w:val="auto"/>
                <w:kern w:val="0"/>
                <w:sz w:val="22"/>
                <w:highlight w:val="none"/>
              </w:rPr>
              <w:t>热盖清洁</w:t>
            </w:r>
          </w:p>
          <w:p w14:paraId="2B72B2BB">
            <w:pPr>
              <w:rPr>
                <w:rFonts w:ascii="宋体" w:hAnsi="宋体" w:cs="宋体"/>
                <w:color w:val="auto"/>
                <w:kern w:val="0"/>
                <w:sz w:val="22"/>
                <w:highlight w:val="none"/>
              </w:rPr>
            </w:pPr>
            <w:r>
              <w:rPr>
                <w:rFonts w:hint="eastAsia" w:ascii="宋体" w:hAnsi="宋体" w:cs="宋体"/>
                <w:color w:val="auto"/>
                <w:kern w:val="0"/>
                <w:sz w:val="22"/>
                <w:highlight w:val="none"/>
              </w:rPr>
              <w:t>定期用压缩空气</w:t>
            </w:r>
            <w:r>
              <w:rPr>
                <w:rFonts w:ascii="宋体" w:hAnsi="宋体" w:cs="宋体"/>
                <w:color w:val="auto"/>
                <w:kern w:val="0"/>
                <w:sz w:val="22"/>
                <w:highlight w:val="none"/>
              </w:rPr>
              <w:t xml:space="preserve">/纯水/酒精棉签 </w:t>
            </w:r>
            <w:r>
              <w:rPr>
                <w:rFonts w:hint="eastAsia" w:ascii="宋体" w:hAnsi="宋体" w:cs="宋体"/>
                <w:color w:val="auto"/>
                <w:kern w:val="0"/>
                <w:sz w:val="22"/>
                <w:highlight w:val="none"/>
              </w:rPr>
              <w:t>清洁热盖底面，防止荧光污染或温控异常</w:t>
            </w:r>
          </w:p>
          <w:p w14:paraId="6A3F82A7">
            <w:pPr>
              <w:rPr>
                <w:rFonts w:ascii="宋体" w:hAnsi="宋体" w:cs="宋体"/>
                <w:color w:val="auto"/>
                <w:kern w:val="0"/>
                <w:sz w:val="22"/>
                <w:highlight w:val="none"/>
              </w:rPr>
            </w:pPr>
            <w:r>
              <w:rPr>
                <w:rFonts w:hint="eastAsia" w:ascii="宋体" w:hAnsi="宋体" w:cs="宋体"/>
                <w:color w:val="auto"/>
                <w:kern w:val="0"/>
                <w:sz w:val="22"/>
                <w:highlight w:val="none"/>
              </w:rPr>
              <w:t>避免使用腐蚀性溶剂，擦拭后需等待完全干燥</w:t>
            </w:r>
          </w:p>
          <w:p w14:paraId="21842EE4">
            <w:pPr>
              <w:rPr>
                <w:rFonts w:ascii="宋体" w:hAnsi="宋体" w:cs="宋体"/>
                <w:color w:val="auto"/>
                <w:kern w:val="0"/>
                <w:sz w:val="22"/>
                <w:highlight w:val="none"/>
              </w:rPr>
            </w:pPr>
            <w:r>
              <w:rPr>
                <w:rFonts w:hint="eastAsia" w:ascii="宋体" w:hAnsi="宋体" w:cs="宋体"/>
                <w:color w:val="auto"/>
                <w:kern w:val="0"/>
                <w:sz w:val="22"/>
                <w:highlight w:val="none"/>
              </w:rPr>
              <w:t>表面清洁</w:t>
            </w:r>
          </w:p>
          <w:p w14:paraId="67079BB8">
            <w:pPr>
              <w:rPr>
                <w:rFonts w:ascii="宋体" w:hAnsi="宋体" w:cs="宋体"/>
                <w:color w:val="auto"/>
                <w:kern w:val="0"/>
                <w:sz w:val="22"/>
                <w:highlight w:val="none"/>
              </w:rPr>
            </w:pPr>
            <w:r>
              <w:rPr>
                <w:rFonts w:hint="eastAsia" w:ascii="宋体" w:hAnsi="宋体" w:cs="宋体"/>
                <w:color w:val="auto"/>
                <w:kern w:val="0"/>
                <w:sz w:val="22"/>
                <w:highlight w:val="none"/>
              </w:rPr>
              <w:t>每周用无腐蚀性清洁剂</w:t>
            </w:r>
            <w:r>
              <w:rPr>
                <w:rFonts w:ascii="宋体" w:hAnsi="宋体" w:cs="宋体"/>
                <w:color w:val="auto"/>
                <w:kern w:val="0"/>
                <w:sz w:val="22"/>
                <w:highlight w:val="none"/>
              </w:rPr>
              <w:t xml:space="preserve">+无尘布 </w:t>
            </w:r>
            <w:r>
              <w:rPr>
                <w:rFonts w:hint="eastAsia" w:ascii="宋体" w:hAnsi="宋体" w:cs="宋体"/>
                <w:color w:val="auto"/>
                <w:kern w:val="0"/>
                <w:sz w:val="22"/>
                <w:highlight w:val="none"/>
              </w:rPr>
              <w:t>擦拭仪器外壳，清除灰尘和油脂</w:t>
            </w:r>
          </w:p>
          <w:p w14:paraId="29EDD935">
            <w:pPr>
              <w:rPr>
                <w:rFonts w:ascii="宋体" w:hAnsi="宋体" w:cs="宋体"/>
                <w:color w:val="auto"/>
                <w:kern w:val="0"/>
                <w:sz w:val="22"/>
                <w:highlight w:val="none"/>
              </w:rPr>
            </w:pPr>
            <w:r>
              <w:rPr>
                <w:rFonts w:hint="eastAsia" w:ascii="宋体" w:hAnsi="宋体" w:cs="宋体"/>
                <w:color w:val="auto"/>
                <w:kern w:val="0"/>
                <w:sz w:val="22"/>
                <w:highlight w:val="none"/>
              </w:rPr>
              <w:t>禁止将液体渗入散热孔或光路部件</w:t>
            </w:r>
          </w:p>
          <w:p w14:paraId="24B2874B">
            <w:pPr>
              <w:rPr>
                <w:rFonts w:ascii="宋体" w:hAnsi="宋体" w:cs="宋体"/>
                <w:color w:val="auto"/>
                <w:kern w:val="0"/>
                <w:sz w:val="22"/>
                <w:highlight w:val="none"/>
              </w:rPr>
            </w:pPr>
            <w:r>
              <w:rPr>
                <w:rFonts w:hint="eastAsia" w:ascii="宋体" w:hAnsi="宋体" w:cs="宋体"/>
                <w:color w:val="auto"/>
                <w:kern w:val="0"/>
                <w:sz w:val="22"/>
                <w:highlight w:val="none"/>
              </w:rPr>
              <w:t>二、定期维护</w:t>
            </w:r>
          </w:p>
          <w:p w14:paraId="6FFD1532">
            <w:pPr>
              <w:rPr>
                <w:rFonts w:ascii="宋体" w:hAnsi="宋体" w:cs="宋体"/>
                <w:color w:val="auto"/>
                <w:kern w:val="0"/>
                <w:sz w:val="22"/>
                <w:highlight w:val="none"/>
              </w:rPr>
            </w:pPr>
            <w:r>
              <w:rPr>
                <w:rFonts w:hint="eastAsia" w:ascii="宋体" w:hAnsi="宋体" w:cs="宋体"/>
                <w:color w:val="auto"/>
                <w:kern w:val="0"/>
                <w:sz w:val="22"/>
                <w:highlight w:val="none"/>
              </w:rPr>
              <w:t>温度校准</w:t>
            </w:r>
          </w:p>
          <w:p w14:paraId="5B230DE8">
            <w:pPr>
              <w:rPr>
                <w:rFonts w:ascii="宋体" w:hAnsi="宋体" w:cs="宋体"/>
                <w:color w:val="auto"/>
                <w:kern w:val="0"/>
                <w:sz w:val="22"/>
                <w:highlight w:val="none"/>
              </w:rPr>
            </w:pPr>
            <w:r>
              <w:rPr>
                <w:rFonts w:hint="eastAsia" w:ascii="宋体" w:hAnsi="宋体" w:cs="宋体"/>
                <w:color w:val="auto"/>
                <w:kern w:val="0"/>
                <w:sz w:val="22"/>
                <w:highlight w:val="none"/>
              </w:rPr>
              <w:t>每半年检测孔间温度偏差，若平均温差＞</w:t>
            </w:r>
            <w:r>
              <w:rPr>
                <w:rFonts w:ascii="宋体" w:hAnsi="宋体" w:cs="宋体"/>
                <w:color w:val="auto"/>
                <w:kern w:val="0"/>
                <w:sz w:val="22"/>
                <w:highlight w:val="none"/>
              </w:rPr>
              <w:t>1-2℃需进行温度修正</w:t>
            </w:r>
          </w:p>
          <w:p w14:paraId="6AD9691A">
            <w:pPr>
              <w:rPr>
                <w:rFonts w:ascii="宋体" w:hAnsi="宋体" w:cs="宋体"/>
                <w:color w:val="auto"/>
                <w:kern w:val="0"/>
                <w:sz w:val="22"/>
                <w:highlight w:val="none"/>
              </w:rPr>
            </w:pPr>
            <w:r>
              <w:rPr>
                <w:rFonts w:hint="eastAsia" w:ascii="宋体" w:hAnsi="宋体" w:cs="宋体"/>
                <w:color w:val="auto"/>
                <w:kern w:val="0"/>
                <w:sz w:val="22"/>
                <w:highlight w:val="none"/>
              </w:rPr>
              <w:t>使用专业温度校准仪验证升</w:t>
            </w:r>
            <w:r>
              <w:rPr>
                <w:rFonts w:ascii="宋体" w:hAnsi="宋体" w:cs="宋体"/>
                <w:color w:val="auto"/>
                <w:kern w:val="0"/>
                <w:sz w:val="22"/>
                <w:highlight w:val="none"/>
              </w:rPr>
              <w:t>/降温速率，降温超60秒需检查制冷系统</w:t>
            </w:r>
          </w:p>
          <w:p w14:paraId="31A1F2E6">
            <w:pPr>
              <w:rPr>
                <w:rFonts w:ascii="宋体" w:hAnsi="宋体" w:cs="宋体"/>
                <w:color w:val="auto"/>
                <w:kern w:val="0"/>
                <w:sz w:val="22"/>
                <w:highlight w:val="none"/>
              </w:rPr>
            </w:pPr>
            <w:r>
              <w:rPr>
                <w:rFonts w:hint="eastAsia" w:ascii="宋体" w:hAnsi="宋体" w:cs="宋体"/>
                <w:color w:val="auto"/>
                <w:kern w:val="0"/>
                <w:sz w:val="22"/>
                <w:highlight w:val="none"/>
              </w:rPr>
              <w:t>制冷系统维护</w:t>
            </w:r>
          </w:p>
          <w:p w14:paraId="2CF01D20">
            <w:pPr>
              <w:rPr>
                <w:rFonts w:ascii="宋体" w:hAnsi="宋体" w:cs="宋体"/>
                <w:color w:val="auto"/>
                <w:kern w:val="0"/>
                <w:sz w:val="22"/>
                <w:highlight w:val="none"/>
              </w:rPr>
            </w:pPr>
            <w:r>
              <w:rPr>
                <w:rFonts w:hint="eastAsia" w:ascii="宋体" w:hAnsi="宋体" w:cs="宋体"/>
                <w:color w:val="auto"/>
                <w:kern w:val="0"/>
                <w:sz w:val="22"/>
                <w:highlight w:val="none"/>
              </w:rPr>
              <w:t>风冷型</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：每月清理反应底座灰尘；半导体制冷型</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：检查散热风扇状态</w:t>
            </w:r>
          </w:p>
          <w:p w14:paraId="129A179D">
            <w:pPr>
              <w:rPr>
                <w:rFonts w:ascii="宋体" w:hAnsi="宋体" w:cs="宋体"/>
                <w:color w:val="auto"/>
                <w:kern w:val="0"/>
                <w:sz w:val="22"/>
                <w:highlight w:val="none"/>
              </w:rPr>
            </w:pPr>
            <w:r>
              <w:rPr>
                <w:rFonts w:hint="eastAsia" w:ascii="宋体" w:hAnsi="宋体" w:cs="宋体"/>
                <w:color w:val="auto"/>
                <w:kern w:val="0"/>
                <w:sz w:val="22"/>
                <w:highlight w:val="none"/>
              </w:rPr>
              <w:t>保持通风口周围</w:t>
            </w:r>
            <w:r>
              <w:rPr>
                <w:rFonts w:ascii="宋体" w:hAnsi="宋体" w:cs="宋体"/>
                <w:color w:val="auto"/>
                <w:kern w:val="0"/>
                <w:sz w:val="22"/>
                <w:highlight w:val="none"/>
              </w:rPr>
              <w:t>30cm无遮挡</w:t>
            </w:r>
          </w:p>
          <w:p w14:paraId="3C88A459">
            <w:pPr>
              <w:rPr>
                <w:rFonts w:ascii="宋体" w:hAnsi="宋体" w:cs="宋体"/>
                <w:color w:val="auto"/>
                <w:kern w:val="0"/>
                <w:sz w:val="22"/>
                <w:highlight w:val="none"/>
              </w:rPr>
            </w:pPr>
            <w:r>
              <w:rPr>
                <w:rFonts w:hint="eastAsia" w:ascii="宋体" w:hAnsi="宋体" w:cs="宋体"/>
                <w:color w:val="auto"/>
                <w:kern w:val="0"/>
                <w:sz w:val="22"/>
                <w:highlight w:val="none"/>
              </w:rPr>
              <w:t>光路维护（荧光定量</w:t>
            </w:r>
            <w:r>
              <w:rPr>
                <w:rFonts w:ascii="宋体" w:hAnsi="宋体" w:cs="宋体"/>
                <w:color w:val="auto"/>
                <w:kern w:val="0"/>
                <w:sz w:val="22"/>
                <w:highlight w:val="none"/>
              </w:rPr>
              <w:t>PCR仪）</w:t>
            </w:r>
          </w:p>
          <w:p w14:paraId="6115BAA7">
            <w:pPr>
              <w:rPr>
                <w:rFonts w:ascii="宋体" w:hAnsi="宋体" w:cs="宋体"/>
                <w:color w:val="auto"/>
                <w:kern w:val="0"/>
                <w:sz w:val="22"/>
                <w:highlight w:val="none"/>
              </w:rPr>
            </w:pPr>
            <w:r>
              <w:rPr>
                <w:rFonts w:hint="eastAsia" w:ascii="宋体" w:hAnsi="宋体" w:cs="宋体"/>
                <w:color w:val="auto"/>
                <w:kern w:val="0"/>
                <w:sz w:val="22"/>
                <w:highlight w:val="none"/>
              </w:rPr>
              <w:t>每月用橡胶风球吹扫样品台灰尘，必要时用无水酒精棉签轻拭光路部件</w:t>
            </w:r>
          </w:p>
          <w:p w14:paraId="19A68E15">
            <w:pPr>
              <w:rPr>
                <w:rFonts w:ascii="宋体" w:hAnsi="宋体" w:cs="宋体"/>
                <w:color w:val="auto"/>
                <w:kern w:val="0"/>
                <w:sz w:val="22"/>
                <w:highlight w:val="none"/>
              </w:rPr>
            </w:pPr>
            <w:r>
              <w:rPr>
                <w:rFonts w:hint="eastAsia" w:ascii="宋体" w:hAnsi="宋体" w:cs="宋体"/>
                <w:color w:val="auto"/>
                <w:kern w:val="0"/>
                <w:sz w:val="22"/>
                <w:highlight w:val="none"/>
              </w:rPr>
              <w:t>每半年执行</w:t>
            </w:r>
            <w:r>
              <w:rPr>
                <w:rFonts w:ascii="宋体" w:hAnsi="宋体" w:cs="宋体"/>
                <w:color w:val="auto"/>
                <w:kern w:val="0"/>
                <w:sz w:val="22"/>
                <w:highlight w:val="none"/>
              </w:rPr>
              <w:t>ROI（感兴趣区域）校正和滤光片校准</w:t>
            </w:r>
          </w:p>
        </w:tc>
      </w:tr>
      <w:tr w14:paraId="2DBD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5A44A6B5">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组织包埋机</w:t>
            </w:r>
            <w:r>
              <w:rPr>
                <w:rFonts w:ascii="宋体" w:hAnsi="宋体" w:cs="宋体"/>
                <w:color w:val="auto"/>
                <w:kern w:val="0"/>
                <w:sz w:val="22"/>
                <w:highlight w:val="none"/>
              </w:rPr>
              <w:t>-leica</w:t>
            </w:r>
          </w:p>
        </w:tc>
        <w:tc>
          <w:tcPr>
            <w:tcW w:w="8426" w:type="dxa"/>
          </w:tcPr>
          <w:p w14:paraId="16BC52C3">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51BFB09F">
            <w:pPr>
              <w:rPr>
                <w:rFonts w:ascii="宋体" w:hAnsi="宋体" w:cs="宋体"/>
                <w:color w:val="auto"/>
                <w:kern w:val="0"/>
                <w:sz w:val="22"/>
                <w:highlight w:val="none"/>
              </w:rPr>
            </w:pPr>
            <w:r>
              <w:rPr>
                <w:rFonts w:hint="eastAsia" w:ascii="宋体" w:hAnsi="宋体" w:cs="宋体"/>
                <w:color w:val="auto"/>
                <w:kern w:val="0"/>
                <w:sz w:val="22"/>
                <w:highlight w:val="none"/>
              </w:rPr>
              <w:t>设备清洁</w:t>
            </w:r>
          </w:p>
          <w:p w14:paraId="41E79CED">
            <w:pPr>
              <w:rPr>
                <w:rFonts w:ascii="宋体" w:hAnsi="宋体" w:cs="宋体"/>
                <w:color w:val="auto"/>
                <w:kern w:val="0"/>
                <w:sz w:val="22"/>
                <w:highlight w:val="none"/>
              </w:rPr>
            </w:pPr>
            <w:r>
              <w:rPr>
                <w:rFonts w:hint="eastAsia" w:ascii="宋体" w:hAnsi="宋体" w:cs="宋体"/>
                <w:color w:val="auto"/>
                <w:kern w:val="0"/>
                <w:sz w:val="22"/>
                <w:highlight w:val="none"/>
              </w:rPr>
              <w:t>使用后立即用无纺布或软布</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清理工作台表面残留石蜡，避免硬物刮擦。</w:t>
            </w:r>
          </w:p>
          <w:p w14:paraId="6D7C0FC7">
            <w:pPr>
              <w:rPr>
                <w:rFonts w:ascii="宋体" w:hAnsi="宋体" w:cs="宋体"/>
                <w:color w:val="auto"/>
                <w:kern w:val="0"/>
                <w:sz w:val="22"/>
                <w:highlight w:val="none"/>
              </w:rPr>
            </w:pPr>
            <w:r>
              <w:rPr>
                <w:rFonts w:hint="eastAsia" w:ascii="宋体" w:hAnsi="宋体" w:cs="宋体"/>
                <w:color w:val="auto"/>
                <w:kern w:val="0"/>
                <w:sz w:val="22"/>
                <w:highlight w:val="none"/>
              </w:rPr>
              <w:t>废蜡槽需每日清理，防止溢出污染设备。</w:t>
            </w:r>
          </w:p>
          <w:p w14:paraId="4B7643C6">
            <w:pPr>
              <w:rPr>
                <w:rFonts w:ascii="宋体" w:hAnsi="宋体" w:cs="宋体"/>
                <w:color w:val="auto"/>
                <w:kern w:val="0"/>
                <w:sz w:val="22"/>
                <w:highlight w:val="none"/>
              </w:rPr>
            </w:pPr>
            <w:r>
              <w:rPr>
                <w:rFonts w:hint="eastAsia" w:ascii="宋体" w:hAnsi="宋体" w:cs="宋体"/>
                <w:color w:val="auto"/>
                <w:kern w:val="0"/>
                <w:sz w:val="22"/>
                <w:highlight w:val="none"/>
              </w:rPr>
              <w:t>温度管理</w:t>
            </w:r>
          </w:p>
          <w:p w14:paraId="1312CDC9">
            <w:pPr>
              <w:rPr>
                <w:rFonts w:ascii="宋体" w:hAnsi="宋体" w:cs="宋体"/>
                <w:color w:val="auto"/>
                <w:kern w:val="0"/>
                <w:sz w:val="22"/>
                <w:highlight w:val="none"/>
              </w:rPr>
            </w:pPr>
            <w:r>
              <w:rPr>
                <w:rFonts w:hint="eastAsia" w:ascii="宋体" w:hAnsi="宋体" w:cs="宋体"/>
                <w:color w:val="auto"/>
                <w:kern w:val="0"/>
                <w:sz w:val="22"/>
                <w:highlight w:val="none"/>
              </w:rPr>
              <w:t>使用结束后关闭电源，禁止开机过夜。</w:t>
            </w:r>
          </w:p>
          <w:p w14:paraId="536D5D1A">
            <w:pPr>
              <w:rPr>
                <w:rFonts w:ascii="宋体" w:hAnsi="宋体" w:cs="宋体"/>
                <w:color w:val="auto"/>
                <w:kern w:val="0"/>
                <w:sz w:val="22"/>
                <w:highlight w:val="none"/>
              </w:rPr>
            </w:pPr>
            <w:r>
              <w:rPr>
                <w:rFonts w:hint="eastAsia" w:ascii="宋体" w:hAnsi="宋体" w:cs="宋体"/>
                <w:color w:val="auto"/>
                <w:kern w:val="0"/>
                <w:sz w:val="22"/>
                <w:highlight w:val="none"/>
              </w:rPr>
              <w:t>检查热台（</w:t>
            </w:r>
            <w:r>
              <w:rPr>
                <w:rFonts w:ascii="宋体" w:hAnsi="宋体" w:cs="宋体"/>
                <w:color w:val="auto"/>
                <w:kern w:val="0"/>
                <w:sz w:val="22"/>
                <w:highlight w:val="none"/>
              </w:rPr>
              <w:t>50-75℃）和冷台（-6℃）温度是否稳定，异常时需校准。</w:t>
            </w:r>
          </w:p>
          <w:p w14:paraId="25999A6B">
            <w:pPr>
              <w:rPr>
                <w:rFonts w:ascii="宋体" w:hAnsi="宋体" w:cs="宋体"/>
                <w:color w:val="auto"/>
                <w:kern w:val="0"/>
                <w:sz w:val="22"/>
                <w:highlight w:val="none"/>
              </w:rPr>
            </w:pPr>
            <w:r>
              <w:rPr>
                <w:rFonts w:hint="eastAsia" w:ascii="宋体" w:hAnsi="宋体" w:cs="宋体"/>
                <w:color w:val="auto"/>
                <w:kern w:val="0"/>
                <w:sz w:val="22"/>
                <w:highlight w:val="none"/>
              </w:rPr>
              <w:t>二、定期维护</w:t>
            </w:r>
          </w:p>
          <w:p w14:paraId="10C5CAE6">
            <w:pPr>
              <w:rPr>
                <w:rFonts w:ascii="宋体" w:hAnsi="宋体" w:cs="宋体"/>
                <w:color w:val="auto"/>
                <w:kern w:val="0"/>
                <w:sz w:val="22"/>
                <w:highlight w:val="none"/>
              </w:rPr>
            </w:pPr>
            <w:r>
              <w:rPr>
                <w:rFonts w:hint="eastAsia" w:ascii="宋体" w:hAnsi="宋体" w:cs="宋体"/>
                <w:color w:val="auto"/>
                <w:kern w:val="0"/>
                <w:sz w:val="22"/>
                <w:highlight w:val="none"/>
              </w:rPr>
              <w:t>机械部件检查</w:t>
            </w:r>
          </w:p>
          <w:p w14:paraId="0F058CBC">
            <w:pPr>
              <w:rPr>
                <w:rFonts w:ascii="宋体" w:hAnsi="宋体" w:cs="宋体"/>
                <w:color w:val="auto"/>
                <w:kern w:val="0"/>
                <w:sz w:val="22"/>
                <w:highlight w:val="none"/>
              </w:rPr>
            </w:pPr>
            <w:r>
              <w:rPr>
                <w:rFonts w:hint="eastAsia" w:ascii="宋体" w:hAnsi="宋体" w:cs="宋体"/>
                <w:color w:val="auto"/>
                <w:kern w:val="0"/>
                <w:sz w:val="22"/>
                <w:highlight w:val="none"/>
              </w:rPr>
              <w:t>每月</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检查电缆、连接器是否磨损或松动。</w:t>
            </w:r>
          </w:p>
          <w:p w14:paraId="62F4BE18">
            <w:pPr>
              <w:rPr>
                <w:rFonts w:ascii="宋体" w:hAnsi="宋体" w:cs="宋体"/>
                <w:color w:val="auto"/>
                <w:kern w:val="0"/>
                <w:sz w:val="22"/>
                <w:highlight w:val="none"/>
              </w:rPr>
            </w:pPr>
            <w:r>
              <w:rPr>
                <w:rFonts w:hint="eastAsia" w:ascii="宋体" w:hAnsi="宋体" w:cs="宋体"/>
                <w:color w:val="auto"/>
                <w:kern w:val="0"/>
                <w:sz w:val="22"/>
                <w:highlight w:val="none"/>
              </w:rPr>
              <w:t>每季度</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对运动部件（如传输系统）进行润滑，使用设备指定润滑剂。</w:t>
            </w:r>
          </w:p>
          <w:p w14:paraId="622D8897">
            <w:pPr>
              <w:rPr>
                <w:rFonts w:ascii="宋体" w:hAnsi="宋体" w:cs="宋体"/>
                <w:color w:val="auto"/>
                <w:kern w:val="0"/>
                <w:sz w:val="22"/>
                <w:highlight w:val="none"/>
              </w:rPr>
            </w:pPr>
            <w:r>
              <w:rPr>
                <w:rFonts w:hint="eastAsia" w:ascii="宋体" w:hAnsi="宋体" w:cs="宋体"/>
                <w:color w:val="auto"/>
                <w:kern w:val="0"/>
                <w:sz w:val="22"/>
                <w:highlight w:val="none"/>
              </w:rPr>
              <w:t>密封系统维护</w:t>
            </w:r>
          </w:p>
          <w:p w14:paraId="07DDFBF3">
            <w:pPr>
              <w:rPr>
                <w:rFonts w:ascii="宋体" w:hAnsi="宋体" w:cs="宋体"/>
                <w:color w:val="auto"/>
                <w:kern w:val="0"/>
                <w:sz w:val="22"/>
                <w:highlight w:val="none"/>
              </w:rPr>
            </w:pPr>
            <w:r>
              <w:rPr>
                <w:rFonts w:hint="eastAsia" w:ascii="宋体" w:hAnsi="宋体" w:cs="宋体"/>
                <w:color w:val="auto"/>
                <w:kern w:val="0"/>
                <w:sz w:val="22"/>
                <w:highlight w:val="none"/>
              </w:rPr>
              <w:t>定期检查密封圈和滤网，发现老化或破损立即更换。</w:t>
            </w:r>
          </w:p>
          <w:p w14:paraId="6A174CC0">
            <w:pPr>
              <w:rPr>
                <w:rFonts w:ascii="宋体" w:hAnsi="宋体" w:cs="宋体"/>
                <w:color w:val="auto"/>
                <w:kern w:val="0"/>
                <w:sz w:val="22"/>
                <w:highlight w:val="none"/>
              </w:rPr>
            </w:pPr>
            <w:r>
              <w:rPr>
                <w:rFonts w:hint="eastAsia" w:ascii="宋体" w:hAnsi="宋体" w:cs="宋体"/>
                <w:color w:val="auto"/>
                <w:kern w:val="0"/>
                <w:sz w:val="22"/>
                <w:highlight w:val="none"/>
              </w:rPr>
              <w:t>传感器校准</w:t>
            </w:r>
          </w:p>
          <w:p w14:paraId="1AE859CA">
            <w:pPr>
              <w:rPr>
                <w:rFonts w:ascii="宋体" w:hAnsi="宋体" w:cs="宋体"/>
                <w:color w:val="auto"/>
                <w:kern w:val="0"/>
                <w:sz w:val="22"/>
                <w:highlight w:val="none"/>
              </w:rPr>
            </w:pPr>
            <w:r>
              <w:rPr>
                <w:rFonts w:hint="eastAsia" w:ascii="宋体" w:hAnsi="宋体" w:cs="宋体"/>
                <w:color w:val="auto"/>
                <w:kern w:val="0"/>
                <w:sz w:val="22"/>
                <w:highlight w:val="none"/>
              </w:rPr>
              <w:t>每半年</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校准温度传感器及过热保护装置，确保温度控制精度±</w:t>
            </w:r>
            <w:r>
              <w:rPr>
                <w:rFonts w:ascii="宋体" w:hAnsi="宋体" w:cs="宋体"/>
                <w:color w:val="auto"/>
                <w:kern w:val="0"/>
                <w:sz w:val="22"/>
                <w:highlight w:val="none"/>
              </w:rPr>
              <w:t>1℃。</w:t>
            </w:r>
          </w:p>
          <w:p w14:paraId="5EC94D68">
            <w:pPr>
              <w:rPr>
                <w:rFonts w:ascii="宋体" w:hAnsi="宋体" w:cs="宋体"/>
                <w:color w:val="auto"/>
                <w:kern w:val="0"/>
                <w:sz w:val="22"/>
                <w:highlight w:val="none"/>
              </w:rPr>
            </w:pPr>
            <w:r>
              <w:rPr>
                <w:rFonts w:hint="eastAsia" w:ascii="宋体" w:hAnsi="宋体" w:cs="宋体"/>
                <w:color w:val="auto"/>
                <w:kern w:val="0"/>
                <w:sz w:val="22"/>
                <w:highlight w:val="none"/>
              </w:rPr>
              <w:t>三、专项维护</w:t>
            </w:r>
          </w:p>
          <w:p w14:paraId="6BAB835E">
            <w:pPr>
              <w:rPr>
                <w:rFonts w:ascii="宋体" w:hAnsi="宋体" w:cs="宋体"/>
                <w:color w:val="auto"/>
                <w:kern w:val="0"/>
                <w:sz w:val="22"/>
                <w:highlight w:val="none"/>
              </w:rPr>
            </w:pPr>
            <w:r>
              <w:rPr>
                <w:rFonts w:hint="eastAsia" w:ascii="宋体" w:hAnsi="宋体" w:cs="宋体"/>
                <w:color w:val="auto"/>
                <w:kern w:val="0"/>
                <w:sz w:val="22"/>
                <w:highlight w:val="none"/>
              </w:rPr>
              <w:t>石蜡管理</w:t>
            </w:r>
          </w:p>
          <w:p w14:paraId="2DDB9F44">
            <w:pPr>
              <w:rPr>
                <w:rFonts w:ascii="宋体" w:hAnsi="宋体" w:cs="宋体"/>
                <w:color w:val="auto"/>
                <w:kern w:val="0"/>
                <w:sz w:val="22"/>
                <w:highlight w:val="none"/>
              </w:rPr>
            </w:pPr>
            <w:r>
              <w:rPr>
                <w:rFonts w:hint="eastAsia" w:ascii="宋体" w:hAnsi="宋体" w:cs="宋体"/>
                <w:color w:val="auto"/>
                <w:kern w:val="0"/>
                <w:sz w:val="22"/>
                <w:highlight w:val="none"/>
              </w:rPr>
              <w:t>仅使用</w:t>
            </w:r>
            <w:r>
              <w:rPr>
                <w:rFonts w:ascii="宋体" w:hAnsi="宋体" w:cs="宋体"/>
                <w:color w:val="auto"/>
                <w:kern w:val="0"/>
                <w:sz w:val="22"/>
                <w:highlight w:val="none"/>
              </w:rPr>
              <w:t>Leica原厂石蜡，禁止混用其他品牌。</w:t>
            </w:r>
          </w:p>
          <w:p w14:paraId="5D79BFC1">
            <w:pPr>
              <w:rPr>
                <w:rFonts w:ascii="宋体" w:hAnsi="宋体" w:cs="宋体"/>
                <w:color w:val="auto"/>
                <w:kern w:val="0"/>
                <w:sz w:val="22"/>
                <w:highlight w:val="none"/>
              </w:rPr>
            </w:pPr>
            <w:r>
              <w:rPr>
                <w:rFonts w:hint="eastAsia" w:ascii="宋体" w:hAnsi="宋体" w:cs="宋体"/>
                <w:color w:val="auto"/>
                <w:kern w:val="0"/>
                <w:sz w:val="22"/>
                <w:highlight w:val="none"/>
              </w:rPr>
              <w:t>熔蜡缸内石蜡需浸没传感器，液位不足时及时补充。</w:t>
            </w:r>
          </w:p>
          <w:p w14:paraId="22BE36F7">
            <w:pPr>
              <w:rPr>
                <w:rFonts w:ascii="宋体" w:hAnsi="宋体" w:cs="宋体"/>
                <w:color w:val="auto"/>
                <w:kern w:val="0"/>
                <w:sz w:val="22"/>
                <w:highlight w:val="none"/>
              </w:rPr>
            </w:pPr>
            <w:r>
              <w:rPr>
                <w:rFonts w:hint="eastAsia" w:ascii="宋体" w:hAnsi="宋体" w:cs="宋体"/>
                <w:color w:val="auto"/>
                <w:kern w:val="0"/>
                <w:sz w:val="22"/>
                <w:highlight w:val="none"/>
              </w:rPr>
              <w:t>冷却系统维护</w:t>
            </w:r>
          </w:p>
          <w:p w14:paraId="764F7220">
            <w:pPr>
              <w:rPr>
                <w:rFonts w:ascii="宋体" w:hAnsi="宋体" w:cs="宋体"/>
                <w:color w:val="auto"/>
                <w:kern w:val="0"/>
                <w:sz w:val="22"/>
                <w:highlight w:val="none"/>
              </w:rPr>
            </w:pPr>
            <w:r>
              <w:rPr>
                <w:rFonts w:hint="eastAsia" w:ascii="宋体" w:hAnsi="宋体" w:cs="宋体"/>
                <w:color w:val="auto"/>
                <w:kern w:val="0"/>
                <w:sz w:val="22"/>
                <w:highlight w:val="none"/>
              </w:rPr>
              <w:t>清洁冷台表面冰霜，确保环境温度</w:t>
            </w:r>
            <w:r>
              <w:rPr>
                <w:rFonts w:ascii="宋体" w:hAnsi="宋体" w:cs="宋体"/>
                <w:color w:val="auto"/>
                <w:kern w:val="0"/>
                <w:sz w:val="22"/>
                <w:highlight w:val="none"/>
              </w:rPr>
              <w:t>20-30℃时仍能维持-6℃性能。</w:t>
            </w:r>
          </w:p>
          <w:p w14:paraId="60DA3201">
            <w:pPr>
              <w:rPr>
                <w:rFonts w:ascii="宋体" w:hAnsi="宋体" w:cs="宋体"/>
                <w:color w:val="auto"/>
                <w:kern w:val="0"/>
                <w:sz w:val="22"/>
                <w:highlight w:val="none"/>
              </w:rPr>
            </w:pPr>
            <w:r>
              <w:rPr>
                <w:rFonts w:hint="eastAsia" w:ascii="宋体" w:hAnsi="宋体" w:cs="宋体"/>
                <w:color w:val="auto"/>
                <w:kern w:val="0"/>
                <w:sz w:val="22"/>
                <w:highlight w:val="none"/>
              </w:rPr>
              <w:t>检查制冷剂余量，每年由专业人员补充。</w:t>
            </w:r>
          </w:p>
        </w:tc>
      </w:tr>
      <w:tr w14:paraId="40EF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500B3BE7">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组织切片机</w:t>
            </w:r>
            <w:r>
              <w:rPr>
                <w:rFonts w:ascii="宋体" w:hAnsi="宋体" w:cs="宋体"/>
                <w:color w:val="auto"/>
                <w:kern w:val="0"/>
                <w:sz w:val="22"/>
                <w:highlight w:val="none"/>
              </w:rPr>
              <w:t>-leica</w:t>
            </w:r>
          </w:p>
        </w:tc>
        <w:tc>
          <w:tcPr>
            <w:tcW w:w="8426" w:type="dxa"/>
          </w:tcPr>
          <w:p w14:paraId="5A05EE66">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3097A4F5">
            <w:pPr>
              <w:rPr>
                <w:rFonts w:ascii="宋体" w:hAnsi="宋体" w:cs="宋体"/>
                <w:color w:val="auto"/>
                <w:kern w:val="0"/>
                <w:sz w:val="22"/>
                <w:highlight w:val="none"/>
              </w:rPr>
            </w:pPr>
            <w:r>
              <w:rPr>
                <w:rFonts w:hint="eastAsia" w:ascii="宋体" w:hAnsi="宋体" w:cs="宋体"/>
                <w:color w:val="auto"/>
                <w:kern w:val="0"/>
                <w:sz w:val="22"/>
                <w:highlight w:val="none"/>
              </w:rPr>
              <w:t>设备清洁</w:t>
            </w:r>
          </w:p>
          <w:p w14:paraId="44A0260B">
            <w:pPr>
              <w:rPr>
                <w:rFonts w:ascii="宋体" w:hAnsi="宋体" w:cs="宋体"/>
                <w:color w:val="auto"/>
                <w:kern w:val="0"/>
                <w:sz w:val="22"/>
                <w:highlight w:val="none"/>
              </w:rPr>
            </w:pPr>
            <w:r>
              <w:rPr>
                <w:rFonts w:hint="eastAsia" w:ascii="宋体" w:hAnsi="宋体" w:cs="宋体"/>
                <w:color w:val="auto"/>
                <w:kern w:val="0"/>
                <w:sz w:val="22"/>
                <w:highlight w:val="none"/>
              </w:rPr>
              <w:t>使用后立即用无纺布或软布</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清理工作台表面残留石蜡</w:t>
            </w:r>
            <w:r>
              <w:rPr>
                <w:rFonts w:ascii="宋体" w:hAnsi="宋体" w:cs="宋体"/>
                <w:color w:val="auto"/>
                <w:kern w:val="0"/>
                <w:sz w:val="22"/>
                <w:highlight w:val="none"/>
              </w:rPr>
              <w:t>/组织碎屑，并用压缩空气清除导轨和刀架区域的粉尘</w:t>
            </w:r>
          </w:p>
          <w:p w14:paraId="4EE04212">
            <w:pPr>
              <w:rPr>
                <w:rFonts w:ascii="宋体" w:hAnsi="宋体" w:cs="宋体"/>
                <w:color w:val="auto"/>
                <w:kern w:val="0"/>
                <w:sz w:val="22"/>
                <w:highlight w:val="none"/>
              </w:rPr>
            </w:pPr>
            <w:r>
              <w:rPr>
                <w:rFonts w:hint="eastAsia" w:ascii="宋体" w:hAnsi="宋体" w:cs="宋体"/>
                <w:color w:val="auto"/>
                <w:kern w:val="0"/>
                <w:sz w:val="22"/>
                <w:highlight w:val="none"/>
              </w:rPr>
              <w:t>每次操作结束需用</w:t>
            </w:r>
            <w:r>
              <w:rPr>
                <w:rFonts w:ascii="宋体" w:hAnsi="宋体" w:cs="宋体"/>
                <w:color w:val="auto"/>
                <w:kern w:val="0"/>
                <w:sz w:val="22"/>
                <w:highlight w:val="none"/>
              </w:rPr>
              <w:t xml:space="preserve">95%乙醇 </w:t>
            </w:r>
            <w:r>
              <w:rPr>
                <w:rFonts w:hint="eastAsia" w:ascii="宋体" w:hAnsi="宋体" w:cs="宋体"/>
                <w:color w:val="auto"/>
                <w:kern w:val="0"/>
                <w:sz w:val="22"/>
                <w:highlight w:val="none"/>
              </w:rPr>
              <w:t>擦拭切片刀、样本夹等接触部位，防止生物污染</w:t>
            </w:r>
          </w:p>
          <w:p w14:paraId="0C5390B9">
            <w:pPr>
              <w:rPr>
                <w:rFonts w:ascii="宋体" w:hAnsi="宋体" w:cs="宋体"/>
                <w:color w:val="auto"/>
                <w:kern w:val="0"/>
                <w:sz w:val="22"/>
                <w:highlight w:val="none"/>
              </w:rPr>
            </w:pPr>
            <w:r>
              <w:rPr>
                <w:rFonts w:hint="eastAsia" w:ascii="宋体" w:hAnsi="宋体" w:cs="宋体"/>
                <w:color w:val="auto"/>
                <w:kern w:val="0"/>
                <w:sz w:val="22"/>
                <w:highlight w:val="none"/>
              </w:rPr>
              <w:t>润滑保养</w:t>
            </w:r>
          </w:p>
          <w:p w14:paraId="7CE3B70F">
            <w:pPr>
              <w:rPr>
                <w:rFonts w:ascii="宋体" w:hAnsi="宋体" w:cs="宋体"/>
                <w:color w:val="auto"/>
                <w:kern w:val="0"/>
                <w:sz w:val="22"/>
                <w:highlight w:val="none"/>
              </w:rPr>
            </w:pPr>
            <w:r>
              <w:rPr>
                <w:rFonts w:hint="eastAsia" w:ascii="宋体" w:hAnsi="宋体" w:cs="宋体"/>
                <w:color w:val="auto"/>
                <w:kern w:val="0"/>
                <w:sz w:val="22"/>
                <w:highlight w:val="none"/>
              </w:rPr>
              <w:t>手动旋转部件（如手轮）每日滴加</w:t>
            </w:r>
            <w:r>
              <w:rPr>
                <w:rFonts w:ascii="宋体" w:hAnsi="宋体" w:cs="宋体"/>
                <w:color w:val="auto"/>
                <w:kern w:val="0"/>
                <w:sz w:val="22"/>
                <w:highlight w:val="none"/>
              </w:rPr>
              <w:t>1-2滴专用润滑油，保持机械运转顺滑</w:t>
            </w:r>
          </w:p>
          <w:p w14:paraId="46F2C0F2">
            <w:pPr>
              <w:rPr>
                <w:rFonts w:ascii="宋体" w:hAnsi="宋体" w:cs="宋体"/>
                <w:color w:val="auto"/>
                <w:kern w:val="0"/>
                <w:sz w:val="22"/>
                <w:highlight w:val="none"/>
              </w:rPr>
            </w:pPr>
            <w:r>
              <w:rPr>
                <w:rFonts w:hint="eastAsia" w:ascii="宋体" w:hAnsi="宋体" w:cs="宋体"/>
                <w:color w:val="auto"/>
                <w:kern w:val="0"/>
                <w:sz w:val="22"/>
                <w:highlight w:val="none"/>
              </w:rPr>
              <w:t>刀架移动导轨每周涂抹硅基润滑脂，防止金属氧化</w:t>
            </w:r>
          </w:p>
          <w:p w14:paraId="69E0DF8D">
            <w:pPr>
              <w:rPr>
                <w:rFonts w:ascii="宋体" w:hAnsi="宋体" w:cs="宋体"/>
                <w:color w:val="auto"/>
                <w:kern w:val="0"/>
                <w:sz w:val="22"/>
                <w:highlight w:val="none"/>
              </w:rPr>
            </w:pPr>
            <w:r>
              <w:rPr>
                <w:rFonts w:hint="eastAsia" w:ascii="宋体" w:hAnsi="宋体" w:cs="宋体"/>
                <w:color w:val="auto"/>
                <w:kern w:val="0"/>
                <w:sz w:val="22"/>
                <w:highlight w:val="none"/>
              </w:rPr>
              <w:t>安全检查</w:t>
            </w:r>
          </w:p>
          <w:p w14:paraId="72ED03AE">
            <w:pPr>
              <w:rPr>
                <w:rFonts w:ascii="宋体" w:hAnsi="宋体" w:cs="宋体"/>
                <w:color w:val="auto"/>
                <w:kern w:val="0"/>
                <w:sz w:val="22"/>
                <w:highlight w:val="none"/>
              </w:rPr>
            </w:pPr>
            <w:r>
              <w:rPr>
                <w:rFonts w:hint="eastAsia" w:ascii="宋体" w:hAnsi="宋体" w:cs="宋体"/>
                <w:color w:val="auto"/>
                <w:kern w:val="0"/>
                <w:sz w:val="22"/>
                <w:highlight w:val="none"/>
              </w:rPr>
              <w:t>检查刀片固定螺丝是否松动，确保刀片安装角度正确（标准角度为</w:t>
            </w:r>
            <w:r>
              <w:rPr>
                <w:rFonts w:ascii="宋体" w:hAnsi="宋体" w:cs="宋体"/>
                <w:color w:val="auto"/>
                <w:kern w:val="0"/>
                <w:sz w:val="22"/>
                <w:highlight w:val="none"/>
              </w:rPr>
              <w:t>5°-10°）</w:t>
            </w:r>
          </w:p>
          <w:p w14:paraId="09B313CA">
            <w:pPr>
              <w:rPr>
                <w:rFonts w:ascii="宋体" w:hAnsi="宋体" w:cs="宋体"/>
                <w:color w:val="auto"/>
                <w:kern w:val="0"/>
                <w:sz w:val="22"/>
                <w:highlight w:val="none"/>
              </w:rPr>
            </w:pPr>
            <w:r>
              <w:rPr>
                <w:rFonts w:hint="eastAsia" w:ascii="宋体" w:hAnsi="宋体" w:cs="宋体"/>
                <w:color w:val="auto"/>
                <w:kern w:val="0"/>
                <w:sz w:val="22"/>
                <w:highlight w:val="none"/>
              </w:rPr>
              <w:t>验证紧急停止按钮功能有效性</w:t>
            </w:r>
          </w:p>
          <w:p w14:paraId="360ADD50">
            <w:pPr>
              <w:rPr>
                <w:rFonts w:ascii="宋体" w:hAnsi="宋体" w:cs="宋体"/>
                <w:color w:val="auto"/>
                <w:kern w:val="0"/>
                <w:sz w:val="22"/>
                <w:highlight w:val="none"/>
              </w:rPr>
            </w:pPr>
            <w:r>
              <w:rPr>
                <w:rFonts w:hint="eastAsia" w:ascii="宋体" w:hAnsi="宋体" w:cs="宋体"/>
                <w:color w:val="auto"/>
                <w:kern w:val="0"/>
                <w:sz w:val="22"/>
                <w:highlight w:val="none"/>
              </w:rPr>
              <w:t>二、周期性维护</w:t>
            </w:r>
          </w:p>
          <w:p w14:paraId="59D910FD">
            <w:pPr>
              <w:rPr>
                <w:rFonts w:ascii="宋体" w:hAnsi="宋体" w:cs="宋体"/>
                <w:color w:val="auto"/>
                <w:kern w:val="0"/>
                <w:sz w:val="22"/>
                <w:highlight w:val="none"/>
              </w:rPr>
            </w:pPr>
            <w:r>
              <w:rPr>
                <w:rFonts w:hint="eastAsia" w:ascii="宋体" w:hAnsi="宋体" w:cs="宋体"/>
                <w:color w:val="auto"/>
                <w:kern w:val="0"/>
                <w:sz w:val="22"/>
                <w:highlight w:val="none"/>
              </w:rPr>
              <w:t>每周维护</w:t>
            </w:r>
          </w:p>
          <w:p w14:paraId="776DAC53">
            <w:pPr>
              <w:rPr>
                <w:rFonts w:ascii="宋体" w:hAnsi="宋体" w:cs="宋体"/>
                <w:color w:val="auto"/>
                <w:kern w:val="0"/>
                <w:sz w:val="22"/>
                <w:highlight w:val="none"/>
              </w:rPr>
            </w:pPr>
            <w:r>
              <w:rPr>
                <w:rFonts w:hint="eastAsia" w:ascii="宋体" w:hAnsi="宋体" w:cs="宋体"/>
                <w:color w:val="auto"/>
                <w:kern w:val="0"/>
                <w:sz w:val="22"/>
                <w:highlight w:val="none"/>
              </w:rPr>
              <w:t>拆卸样本夹和刀架，用软毛刷</w:t>
            </w:r>
            <w:r>
              <w:rPr>
                <w:rFonts w:ascii="宋体" w:hAnsi="宋体" w:cs="宋体"/>
                <w:color w:val="auto"/>
                <w:kern w:val="0"/>
                <w:sz w:val="22"/>
                <w:highlight w:val="none"/>
              </w:rPr>
              <w:t xml:space="preserve">+异丙醇 </w:t>
            </w:r>
            <w:r>
              <w:rPr>
                <w:rFonts w:hint="eastAsia" w:ascii="宋体" w:hAnsi="宋体" w:cs="宋体"/>
                <w:color w:val="auto"/>
                <w:kern w:val="0"/>
                <w:sz w:val="22"/>
                <w:highlight w:val="none"/>
              </w:rPr>
              <w:t>清洁内部机械传动部件</w:t>
            </w:r>
          </w:p>
          <w:p w14:paraId="4578D401">
            <w:pPr>
              <w:rPr>
                <w:rFonts w:ascii="宋体" w:hAnsi="宋体" w:cs="宋体"/>
                <w:color w:val="auto"/>
                <w:kern w:val="0"/>
                <w:sz w:val="22"/>
                <w:highlight w:val="none"/>
              </w:rPr>
            </w:pPr>
            <w:r>
              <w:rPr>
                <w:rFonts w:hint="eastAsia" w:ascii="宋体" w:hAnsi="宋体" w:cs="宋体"/>
                <w:color w:val="auto"/>
                <w:kern w:val="0"/>
                <w:sz w:val="22"/>
                <w:highlight w:val="none"/>
              </w:rPr>
              <w:t>校准切片厚度调节旋钮（误差需控制在±</w:t>
            </w:r>
            <w:r>
              <w:rPr>
                <w:rFonts w:ascii="宋体" w:hAnsi="宋体" w:cs="宋体"/>
                <w:color w:val="auto"/>
                <w:kern w:val="0"/>
                <w:sz w:val="22"/>
                <w:highlight w:val="none"/>
              </w:rPr>
              <w:t>1μm内）</w:t>
            </w:r>
          </w:p>
          <w:p w14:paraId="4769FAE9">
            <w:pPr>
              <w:rPr>
                <w:rFonts w:ascii="宋体" w:hAnsi="宋体" w:cs="宋体"/>
                <w:color w:val="auto"/>
                <w:kern w:val="0"/>
                <w:sz w:val="22"/>
                <w:highlight w:val="none"/>
              </w:rPr>
            </w:pPr>
            <w:r>
              <w:rPr>
                <w:rFonts w:hint="eastAsia" w:ascii="宋体" w:hAnsi="宋体" w:cs="宋体"/>
                <w:color w:val="auto"/>
                <w:kern w:val="0"/>
                <w:sz w:val="22"/>
                <w:highlight w:val="none"/>
              </w:rPr>
              <w:t>月度维护</w:t>
            </w:r>
          </w:p>
          <w:p w14:paraId="47CBA099">
            <w:pPr>
              <w:rPr>
                <w:rFonts w:ascii="宋体" w:hAnsi="宋体" w:cs="宋体"/>
                <w:color w:val="auto"/>
                <w:kern w:val="0"/>
                <w:sz w:val="22"/>
                <w:highlight w:val="none"/>
              </w:rPr>
            </w:pPr>
            <w:r>
              <w:rPr>
                <w:rFonts w:hint="eastAsia" w:ascii="宋体" w:hAnsi="宋体" w:cs="宋体"/>
                <w:color w:val="auto"/>
                <w:kern w:val="0"/>
                <w:sz w:val="22"/>
                <w:highlight w:val="none"/>
              </w:rPr>
              <w:t>检查制冷系统管路密封性（冷冻切片机型需监测制冷剂压力）</w:t>
            </w:r>
          </w:p>
          <w:p w14:paraId="69DCF342">
            <w:pPr>
              <w:rPr>
                <w:rFonts w:ascii="宋体" w:hAnsi="宋体" w:cs="宋体"/>
                <w:color w:val="auto"/>
                <w:kern w:val="0"/>
                <w:sz w:val="22"/>
                <w:highlight w:val="none"/>
              </w:rPr>
            </w:pPr>
            <w:r>
              <w:rPr>
                <w:rFonts w:hint="eastAsia" w:ascii="宋体" w:hAnsi="宋体" w:cs="宋体"/>
                <w:color w:val="auto"/>
                <w:kern w:val="0"/>
                <w:sz w:val="22"/>
                <w:highlight w:val="none"/>
              </w:rPr>
              <w:t>更换轴承密封圈，防止润滑脂渗漏污染切片区域</w:t>
            </w:r>
          </w:p>
          <w:p w14:paraId="5C6D1779">
            <w:pPr>
              <w:rPr>
                <w:rFonts w:ascii="宋体" w:hAnsi="宋体" w:cs="宋体"/>
                <w:color w:val="auto"/>
                <w:kern w:val="0"/>
                <w:sz w:val="22"/>
                <w:highlight w:val="none"/>
              </w:rPr>
            </w:pPr>
            <w:r>
              <w:rPr>
                <w:rFonts w:hint="eastAsia" w:ascii="宋体" w:hAnsi="宋体" w:cs="宋体"/>
                <w:color w:val="auto"/>
                <w:kern w:val="0"/>
                <w:sz w:val="22"/>
                <w:highlight w:val="none"/>
              </w:rPr>
              <w:t>年度维护</w:t>
            </w:r>
          </w:p>
          <w:p w14:paraId="602A5765">
            <w:pPr>
              <w:rPr>
                <w:rFonts w:ascii="宋体" w:hAnsi="宋体" w:cs="宋体"/>
                <w:color w:val="auto"/>
                <w:kern w:val="0"/>
                <w:sz w:val="22"/>
                <w:highlight w:val="none"/>
              </w:rPr>
            </w:pPr>
            <w:r>
              <w:rPr>
                <w:rFonts w:hint="eastAsia" w:ascii="宋体" w:hAnsi="宋体" w:cs="宋体"/>
                <w:color w:val="auto"/>
                <w:kern w:val="0"/>
                <w:sz w:val="22"/>
                <w:highlight w:val="none"/>
              </w:rPr>
              <w:t>由厂家工程师执行：</w:t>
            </w:r>
          </w:p>
          <w:p w14:paraId="5367A0BF">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更换步进电机碳刷</w:t>
            </w:r>
          </w:p>
          <w:p w14:paraId="498E9E2C">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重调主传动皮带张力（标准张力值：</w:t>
            </w:r>
            <w:r>
              <w:rPr>
                <w:rFonts w:ascii="宋体" w:hAnsi="宋体" w:cs="宋体"/>
                <w:color w:val="auto"/>
                <w:kern w:val="0"/>
                <w:sz w:val="22"/>
                <w:highlight w:val="none"/>
              </w:rPr>
              <w:t>3.5-4.0kgf/cm²</w:t>
            </w:r>
            <w:r>
              <w:rPr>
                <w:rFonts w:hint="eastAsia" w:ascii="宋体" w:hAnsi="宋体" w:cs="宋体"/>
                <w:color w:val="auto"/>
                <w:kern w:val="0"/>
                <w:sz w:val="22"/>
                <w:highlight w:val="none"/>
              </w:rPr>
              <w:t>）</w:t>
            </w:r>
          </w:p>
          <w:p w14:paraId="7F56CF34">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更新控制系统固件</w:t>
            </w:r>
            <w:r>
              <w:rPr>
                <w:rFonts w:ascii="宋体" w:hAnsi="宋体" w:cs="宋体"/>
                <w:color w:val="auto"/>
                <w:kern w:val="0"/>
                <w:sz w:val="22"/>
                <w:highlight w:val="none"/>
              </w:rPr>
              <w:t>[2][5]</w:t>
            </w:r>
          </w:p>
          <w:p w14:paraId="4057FA32">
            <w:pPr>
              <w:rPr>
                <w:rFonts w:ascii="宋体" w:hAnsi="宋体" w:cs="宋体"/>
                <w:color w:val="auto"/>
                <w:kern w:val="0"/>
                <w:sz w:val="22"/>
                <w:highlight w:val="none"/>
              </w:rPr>
            </w:pPr>
            <w:r>
              <w:rPr>
                <w:rFonts w:hint="eastAsia" w:ascii="宋体" w:hAnsi="宋体" w:cs="宋体"/>
                <w:color w:val="auto"/>
                <w:kern w:val="0"/>
                <w:sz w:val="22"/>
                <w:highlight w:val="none"/>
              </w:rPr>
              <w:t>三、特殊注意事项</w:t>
            </w:r>
          </w:p>
          <w:p w14:paraId="0A263732">
            <w:pPr>
              <w:rPr>
                <w:rFonts w:ascii="宋体" w:hAnsi="宋体" w:cs="宋体"/>
                <w:color w:val="auto"/>
                <w:kern w:val="0"/>
                <w:sz w:val="22"/>
                <w:highlight w:val="none"/>
              </w:rPr>
            </w:pPr>
            <w:r>
              <w:rPr>
                <w:rFonts w:hint="eastAsia" w:ascii="宋体" w:hAnsi="宋体" w:cs="宋体"/>
                <w:color w:val="auto"/>
                <w:kern w:val="0"/>
                <w:sz w:val="22"/>
                <w:highlight w:val="none"/>
              </w:rPr>
              <w:t>防震要求</w:t>
            </w:r>
          </w:p>
          <w:p w14:paraId="77202345">
            <w:pPr>
              <w:rPr>
                <w:rFonts w:ascii="宋体" w:hAnsi="宋体" w:cs="宋体"/>
                <w:color w:val="auto"/>
                <w:kern w:val="0"/>
                <w:sz w:val="22"/>
                <w:highlight w:val="none"/>
              </w:rPr>
            </w:pPr>
            <w:r>
              <w:rPr>
                <w:rFonts w:hint="eastAsia" w:ascii="宋体" w:hAnsi="宋体" w:cs="宋体"/>
                <w:color w:val="auto"/>
                <w:kern w:val="0"/>
                <w:sz w:val="22"/>
                <w:highlight w:val="none"/>
              </w:rPr>
              <w:t>设备需放置于水平防震台面（建议使用厂家配套防震垫）</w:t>
            </w:r>
          </w:p>
          <w:p w14:paraId="26F6116B">
            <w:pPr>
              <w:rPr>
                <w:rFonts w:ascii="宋体" w:hAnsi="宋体" w:cs="宋体"/>
                <w:color w:val="auto"/>
                <w:kern w:val="0"/>
                <w:sz w:val="22"/>
                <w:highlight w:val="none"/>
              </w:rPr>
            </w:pPr>
            <w:r>
              <w:rPr>
                <w:rFonts w:hint="eastAsia" w:ascii="宋体" w:hAnsi="宋体" w:cs="宋体"/>
                <w:color w:val="auto"/>
                <w:kern w:val="0"/>
                <w:sz w:val="22"/>
                <w:highlight w:val="none"/>
              </w:rPr>
              <w:t>断电维护</w:t>
            </w:r>
          </w:p>
          <w:p w14:paraId="4906F962">
            <w:pPr>
              <w:rPr>
                <w:rFonts w:ascii="宋体" w:hAnsi="宋体" w:cs="宋体"/>
                <w:color w:val="auto"/>
                <w:kern w:val="0"/>
                <w:sz w:val="22"/>
                <w:highlight w:val="none"/>
              </w:rPr>
            </w:pPr>
            <w:r>
              <w:rPr>
                <w:rFonts w:hint="eastAsia" w:ascii="宋体" w:hAnsi="宋体" w:cs="宋体"/>
                <w:color w:val="auto"/>
                <w:kern w:val="0"/>
                <w:sz w:val="22"/>
                <w:highlight w:val="none"/>
              </w:rPr>
              <w:t>清洁内部前必须断开电源，待电容器完全放电（至少等待</w:t>
            </w:r>
            <w:r>
              <w:rPr>
                <w:rFonts w:ascii="宋体" w:hAnsi="宋体" w:cs="宋体"/>
                <w:color w:val="auto"/>
                <w:kern w:val="0"/>
                <w:sz w:val="22"/>
                <w:highlight w:val="none"/>
              </w:rPr>
              <w:t>5分钟）</w:t>
            </w:r>
          </w:p>
          <w:p w14:paraId="2B99F154">
            <w:pPr>
              <w:rPr>
                <w:rFonts w:ascii="宋体" w:hAnsi="宋体" w:cs="宋体"/>
                <w:color w:val="auto"/>
                <w:kern w:val="0"/>
                <w:sz w:val="22"/>
                <w:highlight w:val="none"/>
              </w:rPr>
            </w:pPr>
            <w:r>
              <w:rPr>
                <w:rFonts w:hint="eastAsia" w:ascii="宋体" w:hAnsi="宋体" w:cs="宋体"/>
                <w:color w:val="auto"/>
                <w:kern w:val="0"/>
                <w:sz w:val="22"/>
                <w:highlight w:val="none"/>
              </w:rPr>
              <w:t>低温机型维护</w:t>
            </w:r>
          </w:p>
          <w:p w14:paraId="4BCBFD5B">
            <w:pPr>
              <w:rPr>
                <w:rFonts w:ascii="宋体" w:hAnsi="宋体" w:cs="宋体"/>
                <w:color w:val="auto"/>
                <w:kern w:val="0"/>
                <w:sz w:val="22"/>
                <w:highlight w:val="none"/>
              </w:rPr>
            </w:pPr>
            <w:r>
              <w:rPr>
                <w:rFonts w:ascii="宋体" w:hAnsi="宋体" w:cs="宋体"/>
                <w:color w:val="auto"/>
                <w:kern w:val="0"/>
                <w:sz w:val="22"/>
                <w:highlight w:val="none"/>
              </w:rPr>
              <w:t>CM1950等冷冻切片机需每月检查压缩机冷凝器散热片清洁度</w:t>
            </w:r>
          </w:p>
          <w:p w14:paraId="6BC35DBA">
            <w:pPr>
              <w:rPr>
                <w:rFonts w:ascii="宋体" w:hAnsi="宋体" w:cs="宋体"/>
                <w:color w:val="auto"/>
                <w:kern w:val="0"/>
                <w:sz w:val="22"/>
                <w:highlight w:val="none"/>
              </w:rPr>
            </w:pPr>
            <w:r>
              <w:rPr>
                <w:rFonts w:ascii="宋体" w:hAnsi="宋体" w:cs="宋体"/>
                <w:color w:val="auto"/>
                <w:kern w:val="0"/>
                <w:sz w:val="22"/>
                <w:highlight w:val="none"/>
              </w:rPr>
              <w:t>OT（样本头）与CT（箱体）温差应保持2-5℃</w:t>
            </w:r>
          </w:p>
        </w:tc>
      </w:tr>
      <w:tr w14:paraId="632D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45194674">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摊片机</w:t>
            </w:r>
            <w:r>
              <w:rPr>
                <w:rFonts w:ascii="宋体" w:hAnsi="宋体" w:cs="宋体"/>
                <w:color w:val="auto"/>
                <w:kern w:val="0"/>
                <w:sz w:val="22"/>
                <w:highlight w:val="none"/>
              </w:rPr>
              <w:t>-leica</w:t>
            </w:r>
          </w:p>
        </w:tc>
        <w:tc>
          <w:tcPr>
            <w:tcW w:w="8426" w:type="dxa"/>
          </w:tcPr>
          <w:p w14:paraId="75B0A2DC">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1464C025">
            <w:pPr>
              <w:rPr>
                <w:rFonts w:ascii="宋体" w:hAnsi="宋体" w:cs="宋体"/>
                <w:color w:val="auto"/>
                <w:kern w:val="0"/>
                <w:sz w:val="22"/>
                <w:highlight w:val="none"/>
              </w:rPr>
            </w:pPr>
            <w:r>
              <w:rPr>
                <w:rFonts w:hint="eastAsia" w:ascii="宋体" w:hAnsi="宋体" w:cs="宋体"/>
                <w:color w:val="auto"/>
                <w:kern w:val="0"/>
                <w:sz w:val="22"/>
                <w:highlight w:val="none"/>
              </w:rPr>
              <w:t>液体管理</w:t>
            </w:r>
          </w:p>
          <w:p w14:paraId="782C0668">
            <w:pPr>
              <w:rPr>
                <w:rFonts w:ascii="宋体" w:hAnsi="宋体" w:cs="宋体"/>
                <w:color w:val="auto"/>
                <w:kern w:val="0"/>
                <w:sz w:val="22"/>
                <w:highlight w:val="none"/>
              </w:rPr>
            </w:pPr>
            <w:r>
              <w:rPr>
                <w:rFonts w:hint="eastAsia" w:ascii="宋体" w:hAnsi="宋体" w:cs="宋体"/>
                <w:color w:val="auto"/>
                <w:kern w:val="0"/>
                <w:sz w:val="22"/>
                <w:highlight w:val="none"/>
              </w:rPr>
              <w:t>保持水槽液位在高于槽底</w:t>
            </w:r>
            <w:r>
              <w:rPr>
                <w:rFonts w:ascii="宋体" w:hAnsi="宋体" w:cs="宋体"/>
                <w:color w:val="auto"/>
                <w:kern w:val="0"/>
                <w:sz w:val="22"/>
                <w:highlight w:val="none"/>
              </w:rPr>
              <w:t xml:space="preserve">25mm、低于槽顶10mm </w:t>
            </w:r>
            <w:r>
              <w:rPr>
                <w:rFonts w:hint="eastAsia" w:ascii="宋体" w:hAnsi="宋体" w:cs="宋体"/>
                <w:color w:val="auto"/>
                <w:kern w:val="0"/>
                <w:sz w:val="22"/>
                <w:highlight w:val="none"/>
              </w:rPr>
              <w:t>范围内，防止液体溢出或不足</w:t>
            </w:r>
          </w:p>
          <w:p w14:paraId="4BFEC21C">
            <w:pPr>
              <w:rPr>
                <w:rFonts w:ascii="宋体" w:hAnsi="宋体" w:cs="宋体"/>
                <w:color w:val="auto"/>
                <w:kern w:val="0"/>
                <w:sz w:val="22"/>
                <w:highlight w:val="none"/>
              </w:rPr>
            </w:pPr>
            <w:r>
              <w:rPr>
                <w:rFonts w:hint="eastAsia" w:ascii="宋体" w:hAnsi="宋体" w:cs="宋体"/>
                <w:color w:val="auto"/>
                <w:kern w:val="0"/>
                <w:sz w:val="22"/>
                <w:highlight w:val="none"/>
              </w:rPr>
              <w:t>避免使用有机溶剂或腐蚀性液体</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清洁设备，防止表面腐蚀</w:t>
            </w:r>
          </w:p>
          <w:p w14:paraId="07698F9B">
            <w:pPr>
              <w:rPr>
                <w:rFonts w:ascii="宋体" w:hAnsi="宋体" w:cs="宋体"/>
                <w:color w:val="auto"/>
                <w:kern w:val="0"/>
                <w:sz w:val="22"/>
                <w:highlight w:val="none"/>
              </w:rPr>
            </w:pPr>
            <w:r>
              <w:rPr>
                <w:rFonts w:hint="eastAsia" w:ascii="宋体" w:hAnsi="宋体" w:cs="宋体"/>
                <w:color w:val="auto"/>
                <w:kern w:val="0"/>
                <w:sz w:val="22"/>
                <w:highlight w:val="none"/>
              </w:rPr>
              <w:t>若使用含汞固定液，需每日更换水槽液体</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并检查腐蚀情况</w:t>
            </w:r>
          </w:p>
          <w:p w14:paraId="77B6E234">
            <w:pPr>
              <w:rPr>
                <w:rFonts w:ascii="宋体" w:hAnsi="宋体" w:cs="宋体"/>
                <w:color w:val="auto"/>
                <w:kern w:val="0"/>
                <w:sz w:val="22"/>
                <w:highlight w:val="none"/>
              </w:rPr>
            </w:pPr>
            <w:r>
              <w:rPr>
                <w:rFonts w:hint="eastAsia" w:ascii="宋体" w:hAnsi="宋体" w:cs="宋体"/>
                <w:color w:val="auto"/>
                <w:kern w:val="0"/>
                <w:sz w:val="22"/>
                <w:highlight w:val="none"/>
              </w:rPr>
              <w:t>设备清洁</w:t>
            </w:r>
          </w:p>
          <w:p w14:paraId="3E10EE3C">
            <w:pPr>
              <w:rPr>
                <w:rFonts w:ascii="宋体" w:hAnsi="宋体" w:cs="宋体"/>
                <w:color w:val="auto"/>
                <w:kern w:val="0"/>
                <w:sz w:val="22"/>
                <w:highlight w:val="none"/>
              </w:rPr>
            </w:pPr>
            <w:r>
              <w:rPr>
                <w:rFonts w:hint="eastAsia" w:ascii="宋体" w:hAnsi="宋体" w:cs="宋体"/>
                <w:color w:val="auto"/>
                <w:kern w:val="0"/>
                <w:sz w:val="22"/>
                <w:highlight w:val="none"/>
              </w:rPr>
              <w:t>使用后立即用软布或专用工具</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清理工作台残留物，禁止使用金属工具刮擦表面</w:t>
            </w:r>
          </w:p>
          <w:p w14:paraId="2A904BB0">
            <w:pPr>
              <w:rPr>
                <w:rFonts w:ascii="宋体" w:hAnsi="宋体" w:cs="宋体"/>
                <w:color w:val="auto"/>
                <w:kern w:val="0"/>
                <w:sz w:val="22"/>
                <w:highlight w:val="none"/>
              </w:rPr>
            </w:pPr>
            <w:r>
              <w:rPr>
                <w:rFonts w:hint="eastAsia" w:ascii="宋体" w:hAnsi="宋体" w:cs="宋体"/>
                <w:color w:val="auto"/>
                <w:kern w:val="0"/>
                <w:sz w:val="22"/>
                <w:highlight w:val="none"/>
              </w:rPr>
              <w:t>定期清理水槽内碎屑，防止堵塞排水系统</w:t>
            </w:r>
          </w:p>
          <w:p w14:paraId="7CB47B3F">
            <w:pPr>
              <w:rPr>
                <w:rFonts w:ascii="宋体" w:hAnsi="宋体" w:cs="宋体"/>
                <w:color w:val="auto"/>
                <w:kern w:val="0"/>
                <w:sz w:val="22"/>
                <w:highlight w:val="none"/>
              </w:rPr>
            </w:pPr>
            <w:r>
              <w:rPr>
                <w:rFonts w:hint="eastAsia" w:ascii="宋体" w:hAnsi="宋体" w:cs="宋体"/>
                <w:color w:val="auto"/>
                <w:kern w:val="0"/>
                <w:sz w:val="22"/>
                <w:highlight w:val="none"/>
              </w:rPr>
              <w:t>安全操作</w:t>
            </w:r>
          </w:p>
          <w:p w14:paraId="32E917B3">
            <w:pPr>
              <w:rPr>
                <w:rFonts w:ascii="宋体" w:hAnsi="宋体" w:cs="宋体"/>
                <w:color w:val="auto"/>
                <w:kern w:val="0"/>
                <w:sz w:val="22"/>
                <w:highlight w:val="none"/>
              </w:rPr>
            </w:pPr>
            <w:r>
              <w:rPr>
                <w:rFonts w:hint="eastAsia" w:ascii="宋体" w:hAnsi="宋体" w:cs="宋体"/>
                <w:color w:val="auto"/>
                <w:kern w:val="0"/>
                <w:sz w:val="22"/>
                <w:highlight w:val="none"/>
              </w:rPr>
              <w:t>操作时佩戴防护眼镜和口罩，避免接触高温部件（如加热中的水槽底部）</w:t>
            </w:r>
          </w:p>
          <w:p w14:paraId="333EF296">
            <w:pPr>
              <w:rPr>
                <w:rFonts w:ascii="宋体" w:hAnsi="宋体" w:cs="宋体"/>
                <w:color w:val="auto"/>
                <w:kern w:val="0"/>
                <w:sz w:val="22"/>
                <w:highlight w:val="none"/>
              </w:rPr>
            </w:pPr>
            <w:r>
              <w:rPr>
                <w:rFonts w:hint="eastAsia" w:ascii="宋体" w:hAnsi="宋体" w:cs="宋体"/>
                <w:color w:val="auto"/>
                <w:kern w:val="0"/>
                <w:sz w:val="22"/>
                <w:highlight w:val="none"/>
              </w:rPr>
              <w:t>倾倒液体时从仪器侧面操作</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，防止液体流入内部电路</w:t>
            </w:r>
          </w:p>
          <w:p w14:paraId="10ED460D">
            <w:pPr>
              <w:rPr>
                <w:rFonts w:ascii="宋体" w:hAnsi="宋体" w:cs="宋体"/>
                <w:color w:val="auto"/>
                <w:kern w:val="0"/>
                <w:sz w:val="22"/>
                <w:highlight w:val="none"/>
              </w:rPr>
            </w:pPr>
            <w:r>
              <w:rPr>
                <w:rFonts w:hint="eastAsia" w:ascii="宋体" w:hAnsi="宋体" w:cs="宋体"/>
                <w:color w:val="auto"/>
                <w:kern w:val="0"/>
                <w:sz w:val="22"/>
                <w:highlight w:val="none"/>
              </w:rPr>
              <w:t>二、定期维护</w:t>
            </w:r>
          </w:p>
          <w:p w14:paraId="79A5273A">
            <w:pPr>
              <w:rPr>
                <w:rFonts w:ascii="宋体" w:hAnsi="宋体" w:cs="宋体"/>
                <w:color w:val="auto"/>
                <w:kern w:val="0"/>
                <w:sz w:val="22"/>
                <w:highlight w:val="none"/>
              </w:rPr>
            </w:pPr>
            <w:r>
              <w:rPr>
                <w:rFonts w:hint="eastAsia" w:ascii="宋体" w:hAnsi="宋体" w:cs="宋体"/>
                <w:color w:val="auto"/>
                <w:kern w:val="0"/>
                <w:sz w:val="22"/>
                <w:highlight w:val="none"/>
              </w:rPr>
              <w:t>机械部件检查</w:t>
            </w:r>
          </w:p>
          <w:p w14:paraId="4FDED95A">
            <w:pPr>
              <w:rPr>
                <w:rFonts w:ascii="宋体" w:hAnsi="宋体" w:cs="宋体"/>
                <w:color w:val="auto"/>
                <w:kern w:val="0"/>
                <w:sz w:val="22"/>
                <w:highlight w:val="none"/>
              </w:rPr>
            </w:pPr>
            <w:r>
              <w:rPr>
                <w:rFonts w:hint="eastAsia" w:ascii="宋体" w:hAnsi="宋体" w:cs="宋体"/>
                <w:color w:val="auto"/>
                <w:kern w:val="0"/>
                <w:sz w:val="22"/>
                <w:highlight w:val="none"/>
              </w:rPr>
              <w:t>每月检查导轨润滑状态</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，使用原厂润滑剂清理后重新润滑</w:t>
            </w:r>
          </w:p>
          <w:p w14:paraId="33452025">
            <w:pPr>
              <w:rPr>
                <w:rFonts w:ascii="宋体" w:hAnsi="宋体" w:cs="宋体"/>
                <w:color w:val="auto"/>
                <w:kern w:val="0"/>
                <w:sz w:val="22"/>
                <w:highlight w:val="none"/>
              </w:rPr>
            </w:pPr>
            <w:r>
              <w:rPr>
                <w:rFonts w:hint="eastAsia" w:ascii="宋体" w:hAnsi="宋体" w:cs="宋体"/>
                <w:color w:val="auto"/>
                <w:kern w:val="0"/>
                <w:sz w:val="22"/>
                <w:highlight w:val="none"/>
              </w:rPr>
              <w:t>每季度检查电缆连接</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是否松动，尤其关注步进电机连接线（若设备含移动部件）</w:t>
            </w:r>
          </w:p>
          <w:p w14:paraId="7DEF0C18">
            <w:pPr>
              <w:rPr>
                <w:rFonts w:ascii="宋体" w:hAnsi="宋体" w:cs="宋体"/>
                <w:color w:val="auto"/>
                <w:kern w:val="0"/>
                <w:sz w:val="22"/>
                <w:highlight w:val="none"/>
              </w:rPr>
            </w:pPr>
            <w:r>
              <w:rPr>
                <w:rFonts w:hint="eastAsia" w:ascii="宋体" w:hAnsi="宋体" w:cs="宋体"/>
                <w:color w:val="auto"/>
                <w:kern w:val="0"/>
                <w:sz w:val="22"/>
                <w:highlight w:val="none"/>
              </w:rPr>
              <w:t>温控系统校准</w:t>
            </w:r>
          </w:p>
          <w:p w14:paraId="56B0010F">
            <w:pPr>
              <w:rPr>
                <w:rFonts w:ascii="宋体" w:hAnsi="宋体" w:cs="宋体"/>
                <w:color w:val="auto"/>
                <w:kern w:val="0"/>
                <w:sz w:val="22"/>
                <w:highlight w:val="none"/>
              </w:rPr>
            </w:pPr>
            <w:r>
              <w:rPr>
                <w:rFonts w:hint="eastAsia" w:ascii="宋体" w:hAnsi="宋体" w:cs="宋体"/>
                <w:color w:val="auto"/>
                <w:kern w:val="0"/>
                <w:sz w:val="22"/>
                <w:highlight w:val="none"/>
              </w:rPr>
              <w:t>每半年校准加热模块温度传感器</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，确保温控精度误差≤±</w:t>
            </w:r>
            <w:r>
              <w:rPr>
                <w:rFonts w:ascii="宋体" w:hAnsi="宋体" w:cs="宋体"/>
                <w:color w:val="auto"/>
                <w:kern w:val="0"/>
                <w:sz w:val="22"/>
                <w:highlight w:val="none"/>
              </w:rPr>
              <w:t>1℃</w:t>
            </w:r>
          </w:p>
          <w:p w14:paraId="39257E88">
            <w:pPr>
              <w:rPr>
                <w:rFonts w:ascii="宋体" w:hAnsi="宋体" w:cs="宋体"/>
                <w:color w:val="auto"/>
                <w:kern w:val="0"/>
                <w:sz w:val="22"/>
                <w:highlight w:val="none"/>
              </w:rPr>
            </w:pPr>
            <w:r>
              <w:rPr>
                <w:rFonts w:hint="eastAsia" w:ascii="宋体" w:hAnsi="宋体" w:cs="宋体"/>
                <w:color w:val="auto"/>
                <w:kern w:val="0"/>
                <w:sz w:val="22"/>
                <w:highlight w:val="none"/>
              </w:rPr>
              <w:t>检查制冷系统（若设备含冷冻功能），补充制冷剂并清理冷凝器灰尘</w:t>
            </w:r>
          </w:p>
          <w:p w14:paraId="6E73F854">
            <w:pPr>
              <w:rPr>
                <w:rFonts w:ascii="宋体" w:hAnsi="宋体" w:cs="宋体"/>
                <w:color w:val="auto"/>
                <w:kern w:val="0"/>
                <w:sz w:val="22"/>
                <w:highlight w:val="none"/>
              </w:rPr>
            </w:pPr>
            <w:r>
              <w:rPr>
                <w:rFonts w:hint="eastAsia" w:ascii="宋体" w:hAnsi="宋体" w:cs="宋体"/>
                <w:color w:val="auto"/>
                <w:kern w:val="0"/>
                <w:sz w:val="22"/>
                <w:highlight w:val="none"/>
              </w:rPr>
              <w:t>预防性维护</w:t>
            </w:r>
          </w:p>
          <w:p w14:paraId="720A8EF2">
            <w:pPr>
              <w:rPr>
                <w:rFonts w:ascii="宋体" w:hAnsi="宋体" w:cs="宋体"/>
                <w:color w:val="auto"/>
                <w:kern w:val="0"/>
                <w:sz w:val="22"/>
                <w:highlight w:val="none"/>
              </w:rPr>
            </w:pPr>
            <w:r>
              <w:rPr>
                <w:rFonts w:hint="eastAsia" w:ascii="宋体" w:hAnsi="宋体" w:cs="宋体"/>
                <w:color w:val="auto"/>
                <w:kern w:val="0"/>
                <w:sz w:val="22"/>
                <w:highlight w:val="none"/>
              </w:rPr>
              <w:t>每年进行原厂全面保养</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，包括关键部件更换（如密封圈）、软件升级及性能测试</w:t>
            </w:r>
          </w:p>
          <w:p w14:paraId="1A1AD16D">
            <w:pPr>
              <w:rPr>
                <w:rFonts w:ascii="宋体" w:hAnsi="宋体" w:cs="宋体"/>
                <w:color w:val="auto"/>
                <w:kern w:val="0"/>
                <w:sz w:val="22"/>
                <w:highlight w:val="none"/>
              </w:rPr>
            </w:pPr>
            <w:r>
              <w:rPr>
                <w:rFonts w:hint="eastAsia" w:ascii="宋体" w:hAnsi="宋体" w:cs="宋体"/>
                <w:color w:val="auto"/>
                <w:kern w:val="0"/>
                <w:sz w:val="22"/>
                <w:highlight w:val="none"/>
              </w:rPr>
              <w:t>三、故障处理</w:t>
            </w:r>
          </w:p>
          <w:p w14:paraId="11E111A6">
            <w:pPr>
              <w:rPr>
                <w:rFonts w:ascii="宋体" w:hAnsi="宋体" w:cs="宋体"/>
                <w:color w:val="auto"/>
                <w:kern w:val="0"/>
                <w:sz w:val="22"/>
                <w:highlight w:val="none"/>
              </w:rPr>
            </w:pPr>
            <w:r>
              <w:rPr>
                <w:rFonts w:hint="eastAsia" w:ascii="宋体" w:hAnsi="宋体" w:cs="宋体"/>
                <w:color w:val="auto"/>
                <w:kern w:val="0"/>
                <w:sz w:val="22"/>
                <w:highlight w:val="none"/>
              </w:rPr>
              <w:t>液位报警</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：检查传感器是否被杂质遮挡，清理后重启设备</w:t>
            </w:r>
          </w:p>
          <w:p w14:paraId="026ED8FD">
            <w:pPr>
              <w:rPr>
                <w:rFonts w:ascii="宋体" w:hAnsi="宋体" w:cs="宋体"/>
                <w:color w:val="auto"/>
                <w:kern w:val="0"/>
                <w:sz w:val="22"/>
                <w:highlight w:val="none"/>
              </w:rPr>
            </w:pPr>
            <w:r>
              <w:rPr>
                <w:rFonts w:hint="eastAsia" w:ascii="宋体" w:hAnsi="宋体" w:cs="宋体"/>
                <w:color w:val="auto"/>
                <w:kern w:val="0"/>
                <w:sz w:val="22"/>
                <w:highlight w:val="none"/>
              </w:rPr>
              <w:t>加热异常</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：排查温控模块电路连接或更换加热管</w:t>
            </w:r>
          </w:p>
          <w:p w14:paraId="7187008E">
            <w:pPr>
              <w:rPr>
                <w:rFonts w:ascii="宋体" w:hAnsi="宋体" w:cs="宋体"/>
                <w:color w:val="auto"/>
                <w:kern w:val="0"/>
                <w:sz w:val="22"/>
                <w:highlight w:val="none"/>
              </w:rPr>
            </w:pPr>
            <w:r>
              <w:rPr>
                <w:rFonts w:hint="eastAsia" w:ascii="宋体" w:hAnsi="宋体" w:cs="宋体"/>
                <w:color w:val="auto"/>
                <w:kern w:val="0"/>
                <w:sz w:val="22"/>
                <w:highlight w:val="none"/>
              </w:rPr>
              <w:t>部件卡顿</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：立即停机并联系售后，避免自行拆卸精密机械结构</w:t>
            </w:r>
          </w:p>
        </w:tc>
      </w:tr>
      <w:tr w14:paraId="4EC3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57148814">
            <w:pPr>
              <w:widowControl/>
              <w:jc w:val="center"/>
              <w:textAlignment w:val="center"/>
              <w:rPr>
                <w:rFonts w:ascii="宋体" w:hAnsi="宋体" w:cs="宋体"/>
                <w:color w:val="auto"/>
                <w:kern w:val="0"/>
                <w:sz w:val="22"/>
                <w:highlight w:val="none"/>
              </w:rPr>
            </w:pPr>
            <w:r>
              <w:rPr>
                <w:rFonts w:hint="eastAsia" w:ascii="宋体" w:hAnsi="宋体" w:cs="宋体"/>
                <w:color w:val="auto"/>
                <w:kern w:val="0"/>
                <w:sz w:val="22"/>
                <w:highlight w:val="none"/>
              </w:rPr>
              <w:t>酶标仪</w:t>
            </w:r>
          </w:p>
        </w:tc>
        <w:tc>
          <w:tcPr>
            <w:tcW w:w="8426" w:type="dxa"/>
          </w:tcPr>
          <w:p w14:paraId="49B53E55">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49251F44">
            <w:pPr>
              <w:rPr>
                <w:rFonts w:ascii="宋体" w:hAnsi="宋体" w:cs="宋体"/>
                <w:color w:val="auto"/>
                <w:kern w:val="0"/>
                <w:sz w:val="22"/>
                <w:highlight w:val="none"/>
              </w:rPr>
            </w:pPr>
            <w:r>
              <w:rPr>
                <w:rFonts w:hint="eastAsia" w:ascii="宋体" w:hAnsi="宋体" w:cs="宋体"/>
                <w:color w:val="auto"/>
                <w:kern w:val="0"/>
                <w:sz w:val="22"/>
                <w:highlight w:val="none"/>
              </w:rPr>
              <w:t>表面清洁</w:t>
            </w:r>
          </w:p>
          <w:p w14:paraId="302D4C1F">
            <w:pPr>
              <w:rPr>
                <w:rFonts w:ascii="宋体" w:hAnsi="宋体" w:cs="宋体"/>
                <w:color w:val="auto"/>
                <w:kern w:val="0"/>
                <w:sz w:val="22"/>
                <w:highlight w:val="none"/>
              </w:rPr>
            </w:pPr>
            <w:r>
              <w:rPr>
                <w:rFonts w:hint="eastAsia" w:ascii="宋体" w:hAnsi="宋体" w:cs="宋体"/>
                <w:color w:val="auto"/>
                <w:kern w:val="0"/>
                <w:sz w:val="22"/>
                <w:highlight w:val="none"/>
              </w:rPr>
              <w:t>每日使用无绒软布</w:t>
            </w:r>
            <w:r>
              <w:rPr>
                <w:rFonts w:ascii="宋体" w:hAnsi="宋体" w:cs="宋体"/>
                <w:color w:val="auto"/>
                <w:kern w:val="0"/>
                <w:sz w:val="22"/>
                <w:highlight w:val="none"/>
              </w:rPr>
              <w:t xml:space="preserve">+70%异丙醇 </w:t>
            </w:r>
            <w:r>
              <w:rPr>
                <w:rFonts w:hint="eastAsia" w:ascii="宋体" w:hAnsi="宋体" w:cs="宋体"/>
                <w:color w:val="auto"/>
                <w:kern w:val="0"/>
                <w:sz w:val="22"/>
                <w:highlight w:val="none"/>
              </w:rPr>
              <w:t>擦拭外壳，生物污染时改用</w:t>
            </w:r>
            <w:r>
              <w:rPr>
                <w:rFonts w:ascii="宋体" w:hAnsi="宋体" w:cs="宋体"/>
                <w:color w:val="auto"/>
                <w:kern w:val="0"/>
                <w:sz w:val="22"/>
                <w:highlight w:val="none"/>
              </w:rPr>
              <w:t>3%过氧化氢消毒</w:t>
            </w:r>
          </w:p>
          <w:p w14:paraId="54CE01A0">
            <w:pPr>
              <w:rPr>
                <w:rFonts w:ascii="宋体" w:hAnsi="宋体" w:cs="宋体"/>
                <w:color w:val="auto"/>
                <w:kern w:val="0"/>
                <w:sz w:val="22"/>
                <w:highlight w:val="none"/>
              </w:rPr>
            </w:pPr>
            <w:r>
              <w:rPr>
                <w:rFonts w:hint="eastAsia" w:ascii="宋体" w:hAnsi="宋体" w:cs="宋体"/>
                <w:color w:val="auto"/>
                <w:kern w:val="0"/>
                <w:sz w:val="22"/>
                <w:highlight w:val="none"/>
              </w:rPr>
              <w:t>禁止使用丙酮、氯仿等有机溶剂，防止亚克力面板雾化</w:t>
            </w:r>
          </w:p>
          <w:p w14:paraId="7E213216">
            <w:pPr>
              <w:rPr>
                <w:rFonts w:ascii="宋体" w:hAnsi="宋体" w:cs="宋体"/>
                <w:color w:val="auto"/>
                <w:kern w:val="0"/>
                <w:sz w:val="22"/>
                <w:highlight w:val="none"/>
              </w:rPr>
            </w:pPr>
            <w:r>
              <w:rPr>
                <w:rFonts w:hint="eastAsia" w:ascii="宋体" w:hAnsi="宋体" w:cs="宋体"/>
                <w:color w:val="auto"/>
                <w:kern w:val="0"/>
                <w:sz w:val="22"/>
                <w:highlight w:val="none"/>
              </w:rPr>
              <w:t>检测系统维护</w:t>
            </w:r>
          </w:p>
          <w:p w14:paraId="5A8B6376">
            <w:pPr>
              <w:rPr>
                <w:rFonts w:ascii="宋体" w:hAnsi="宋体" w:cs="宋体"/>
                <w:color w:val="auto"/>
                <w:kern w:val="0"/>
                <w:sz w:val="22"/>
                <w:highlight w:val="none"/>
              </w:rPr>
            </w:pPr>
            <w:r>
              <w:rPr>
                <w:rFonts w:hint="eastAsia" w:ascii="宋体" w:hAnsi="宋体" w:cs="宋体"/>
                <w:color w:val="auto"/>
                <w:kern w:val="0"/>
                <w:sz w:val="22"/>
                <w:highlight w:val="none"/>
              </w:rPr>
              <w:t>每次使用后用压缩空气罐</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r>
              <w:rPr>
                <w:rFonts w:ascii="宋体" w:hAnsi="宋体" w:cs="宋体"/>
                <w:color w:val="auto"/>
                <w:kern w:val="0"/>
                <w:sz w:val="22"/>
                <w:highlight w:val="none"/>
              </w:rPr>
              <w:t>0.2MPa压力）吹扫检测仓，清除孔板残留液滴</w:t>
            </w:r>
          </w:p>
          <w:p w14:paraId="30738E3E">
            <w:pPr>
              <w:rPr>
                <w:rFonts w:ascii="宋体" w:hAnsi="宋体" w:cs="宋体"/>
                <w:color w:val="auto"/>
                <w:kern w:val="0"/>
                <w:sz w:val="22"/>
                <w:highlight w:val="none"/>
              </w:rPr>
            </w:pPr>
            <w:r>
              <w:rPr>
                <w:rFonts w:hint="eastAsia" w:ascii="宋体" w:hAnsi="宋体" w:cs="宋体"/>
                <w:color w:val="auto"/>
                <w:kern w:val="0"/>
                <w:sz w:val="22"/>
                <w:highlight w:val="none"/>
              </w:rPr>
              <w:t>每月用石英比色皿</w:t>
            </w:r>
            <w:r>
              <w:rPr>
                <w:rFonts w:ascii="宋体" w:hAnsi="宋体" w:cs="宋体"/>
                <w:color w:val="auto"/>
                <w:kern w:val="0"/>
                <w:sz w:val="22"/>
                <w:highlight w:val="none"/>
              </w:rPr>
              <w:t xml:space="preserve">+超纯水 </w:t>
            </w:r>
            <w:r>
              <w:rPr>
                <w:rFonts w:hint="eastAsia" w:ascii="宋体" w:hAnsi="宋体" w:cs="宋体"/>
                <w:color w:val="auto"/>
                <w:kern w:val="0"/>
                <w:sz w:val="22"/>
                <w:highlight w:val="none"/>
              </w:rPr>
              <w:t>执行光路自检，验证光径准确性</w:t>
            </w:r>
          </w:p>
          <w:p w14:paraId="5C24BB56">
            <w:pPr>
              <w:rPr>
                <w:rFonts w:ascii="宋体" w:hAnsi="宋体" w:cs="宋体"/>
                <w:color w:val="auto"/>
                <w:kern w:val="0"/>
                <w:sz w:val="22"/>
                <w:highlight w:val="none"/>
              </w:rPr>
            </w:pPr>
            <w:r>
              <w:rPr>
                <w:rFonts w:hint="eastAsia" w:ascii="宋体" w:hAnsi="宋体" w:cs="宋体"/>
                <w:color w:val="auto"/>
                <w:kern w:val="0"/>
                <w:sz w:val="22"/>
                <w:highlight w:val="none"/>
              </w:rPr>
              <w:t>机械部件保养</w:t>
            </w:r>
          </w:p>
          <w:p w14:paraId="0833B1C8">
            <w:pPr>
              <w:rPr>
                <w:rFonts w:ascii="宋体" w:hAnsi="宋体" w:cs="宋体"/>
                <w:color w:val="auto"/>
                <w:kern w:val="0"/>
                <w:sz w:val="22"/>
                <w:highlight w:val="none"/>
              </w:rPr>
            </w:pPr>
            <w:r>
              <w:rPr>
                <w:rFonts w:hint="eastAsia" w:ascii="宋体" w:hAnsi="宋体" w:cs="宋体"/>
                <w:color w:val="auto"/>
                <w:kern w:val="0"/>
                <w:sz w:val="22"/>
                <w:highlight w:val="none"/>
              </w:rPr>
              <w:t>自动进板机型需每周用硅基润滑脂</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保养轨道传送系统</w:t>
            </w:r>
          </w:p>
          <w:p w14:paraId="4237E979">
            <w:pPr>
              <w:rPr>
                <w:rFonts w:ascii="宋体" w:hAnsi="宋体" w:cs="宋体"/>
                <w:color w:val="auto"/>
                <w:kern w:val="0"/>
                <w:sz w:val="22"/>
                <w:highlight w:val="none"/>
              </w:rPr>
            </w:pPr>
            <w:r>
              <w:rPr>
                <w:rFonts w:hint="eastAsia" w:ascii="宋体" w:hAnsi="宋体" w:cs="宋体"/>
                <w:color w:val="auto"/>
                <w:kern w:val="0"/>
                <w:sz w:val="22"/>
                <w:highlight w:val="none"/>
              </w:rPr>
              <w:t>每月检查板架弹簧片张力，变形超过</w:t>
            </w:r>
            <w:r>
              <w:rPr>
                <w:rFonts w:ascii="宋体" w:hAnsi="宋体" w:cs="宋体"/>
                <w:color w:val="auto"/>
                <w:kern w:val="0"/>
                <w:sz w:val="22"/>
                <w:highlight w:val="none"/>
              </w:rPr>
              <w:t>15%需更换</w:t>
            </w:r>
          </w:p>
          <w:p w14:paraId="76049A0D">
            <w:pPr>
              <w:rPr>
                <w:rFonts w:ascii="宋体" w:hAnsi="宋体" w:cs="宋体"/>
                <w:color w:val="auto"/>
                <w:kern w:val="0"/>
                <w:sz w:val="22"/>
                <w:highlight w:val="none"/>
              </w:rPr>
            </w:pPr>
            <w:r>
              <w:rPr>
                <w:rFonts w:hint="eastAsia" w:ascii="宋体" w:hAnsi="宋体" w:cs="宋体"/>
                <w:color w:val="auto"/>
                <w:kern w:val="0"/>
                <w:sz w:val="22"/>
                <w:highlight w:val="none"/>
              </w:rPr>
              <w:t>二、周期性维护</w:t>
            </w:r>
          </w:p>
          <w:p w14:paraId="2996CF6C">
            <w:pPr>
              <w:rPr>
                <w:rFonts w:ascii="宋体" w:hAnsi="宋体" w:cs="宋体"/>
                <w:color w:val="auto"/>
                <w:kern w:val="0"/>
                <w:sz w:val="22"/>
                <w:highlight w:val="none"/>
              </w:rPr>
            </w:pPr>
            <w:r>
              <w:rPr>
                <w:rFonts w:hint="eastAsia" w:ascii="宋体" w:hAnsi="宋体" w:cs="宋体"/>
                <w:color w:val="auto"/>
                <w:kern w:val="0"/>
                <w:sz w:val="22"/>
                <w:highlight w:val="none"/>
              </w:rPr>
              <w:t>周期</w:t>
            </w:r>
          </w:p>
          <w:p w14:paraId="19A02EE4">
            <w:pPr>
              <w:rPr>
                <w:rFonts w:ascii="宋体" w:hAnsi="宋体" w:cs="宋体"/>
                <w:color w:val="auto"/>
                <w:kern w:val="0"/>
                <w:sz w:val="22"/>
                <w:highlight w:val="none"/>
              </w:rPr>
            </w:pPr>
            <w:r>
              <w:rPr>
                <w:rFonts w:hint="eastAsia" w:ascii="宋体" w:hAnsi="宋体" w:cs="宋体"/>
                <w:color w:val="auto"/>
                <w:kern w:val="0"/>
                <w:sz w:val="22"/>
                <w:highlight w:val="none"/>
              </w:rPr>
              <w:t>维护项目</w:t>
            </w:r>
          </w:p>
          <w:p w14:paraId="31338D56">
            <w:pPr>
              <w:rPr>
                <w:rFonts w:ascii="宋体" w:hAnsi="宋体" w:cs="宋体"/>
                <w:color w:val="auto"/>
                <w:kern w:val="0"/>
                <w:sz w:val="22"/>
                <w:highlight w:val="none"/>
              </w:rPr>
            </w:pPr>
            <w:r>
              <w:rPr>
                <w:rFonts w:hint="eastAsia" w:ascii="宋体" w:hAnsi="宋体" w:cs="宋体"/>
                <w:color w:val="auto"/>
                <w:kern w:val="0"/>
                <w:sz w:val="22"/>
                <w:highlight w:val="none"/>
              </w:rPr>
              <w:t>技术标准</w:t>
            </w:r>
          </w:p>
          <w:tbl>
            <w:tblPr>
              <w:tblStyle w:val="33"/>
              <w:tblW w:w="7300" w:type="dxa"/>
              <w:tblInd w:w="0" w:type="dxa"/>
              <w:tblLayout w:type="autofit"/>
              <w:tblCellMar>
                <w:top w:w="0" w:type="dxa"/>
                <w:left w:w="108" w:type="dxa"/>
                <w:bottom w:w="0" w:type="dxa"/>
                <w:right w:w="108" w:type="dxa"/>
              </w:tblCellMar>
            </w:tblPr>
            <w:tblGrid>
              <w:gridCol w:w="1040"/>
              <w:gridCol w:w="4060"/>
              <w:gridCol w:w="2200"/>
            </w:tblGrid>
            <w:tr w14:paraId="246D8710">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1F20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周期</w:t>
                  </w:r>
                </w:p>
              </w:tc>
              <w:tc>
                <w:tcPr>
                  <w:tcW w:w="4060" w:type="dxa"/>
                  <w:tcBorders>
                    <w:top w:val="single" w:color="auto" w:sz="4" w:space="0"/>
                    <w:left w:val="nil"/>
                    <w:bottom w:val="single" w:color="auto" w:sz="4" w:space="0"/>
                    <w:right w:val="single" w:color="auto" w:sz="4" w:space="0"/>
                  </w:tcBorders>
                  <w:shd w:val="clear" w:color="auto" w:fill="auto"/>
                  <w:noWrap/>
                  <w:vAlign w:val="center"/>
                </w:tcPr>
                <w:p w14:paraId="286F1C4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维护项目</w:t>
                  </w:r>
                </w:p>
              </w:tc>
              <w:tc>
                <w:tcPr>
                  <w:tcW w:w="2200" w:type="dxa"/>
                  <w:tcBorders>
                    <w:top w:val="single" w:color="auto" w:sz="4" w:space="0"/>
                    <w:left w:val="nil"/>
                    <w:bottom w:val="single" w:color="auto" w:sz="4" w:space="0"/>
                    <w:right w:val="single" w:color="auto" w:sz="4" w:space="0"/>
                  </w:tcBorders>
                  <w:shd w:val="clear" w:color="auto" w:fill="auto"/>
                  <w:noWrap/>
                  <w:vAlign w:val="center"/>
                </w:tcPr>
                <w:p w14:paraId="499CEE4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技术标准</w:t>
                  </w:r>
                </w:p>
              </w:tc>
            </w:tr>
            <w:tr w14:paraId="0BFB5E49">
              <w:tblPrEx>
                <w:tblCellMar>
                  <w:top w:w="0" w:type="dxa"/>
                  <w:left w:w="108" w:type="dxa"/>
                  <w:bottom w:w="0" w:type="dxa"/>
                  <w:right w:w="108" w:type="dxa"/>
                </w:tblCellMar>
              </w:tblPrEx>
              <w:trPr>
                <w:trHeight w:val="1044"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18E33AE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每周</w:t>
                  </w:r>
                </w:p>
              </w:tc>
              <w:tc>
                <w:tcPr>
                  <w:tcW w:w="4060" w:type="dxa"/>
                  <w:tcBorders>
                    <w:top w:val="nil"/>
                    <w:left w:val="nil"/>
                    <w:bottom w:val="single" w:color="auto" w:sz="4" w:space="0"/>
                    <w:right w:val="single" w:color="auto" w:sz="4" w:space="0"/>
                  </w:tcBorders>
                  <w:shd w:val="clear" w:color="auto" w:fill="auto"/>
                  <w:vAlign w:val="center"/>
                </w:tcPr>
                <w:p w14:paraId="6058157F">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滤光片透射率检测</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空白基线稳定性测试</w:t>
                  </w:r>
                </w:p>
              </w:tc>
              <w:tc>
                <w:tcPr>
                  <w:tcW w:w="2200" w:type="dxa"/>
                  <w:tcBorders>
                    <w:top w:val="nil"/>
                    <w:left w:val="nil"/>
                    <w:bottom w:val="single" w:color="auto" w:sz="4" w:space="0"/>
                    <w:right w:val="single" w:color="auto" w:sz="4" w:space="0"/>
                  </w:tcBorders>
                  <w:shd w:val="clear" w:color="auto" w:fill="auto"/>
                  <w:vAlign w:val="center"/>
                </w:tcPr>
                <w:p w14:paraId="2E3D97F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波长偏差≤±</w:t>
                  </w:r>
                  <w:r>
                    <w:rPr>
                      <w:rFonts w:ascii="宋体" w:hAnsi="宋体" w:cs="宋体"/>
                      <w:color w:val="auto"/>
                      <w:kern w:val="0"/>
                      <w:sz w:val="22"/>
                      <w:highlight w:val="none"/>
                    </w:rPr>
                    <w:t>2nm&lt;br&gt;OD值波动＜0.005（450nm）</w:t>
                  </w:r>
                </w:p>
              </w:tc>
            </w:tr>
            <w:tr w14:paraId="0842FC42">
              <w:tblPrEx>
                <w:tblCellMar>
                  <w:top w:w="0" w:type="dxa"/>
                  <w:left w:w="108" w:type="dxa"/>
                  <w:bottom w:w="0" w:type="dxa"/>
                  <w:right w:w="108" w:type="dxa"/>
                </w:tblCellMar>
              </w:tblPrEx>
              <w:trPr>
                <w:trHeight w:val="704"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455CC68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每月</w:t>
                  </w:r>
                </w:p>
              </w:tc>
              <w:tc>
                <w:tcPr>
                  <w:tcW w:w="4060" w:type="dxa"/>
                  <w:tcBorders>
                    <w:top w:val="nil"/>
                    <w:left w:val="nil"/>
                    <w:bottom w:val="single" w:color="auto" w:sz="4" w:space="0"/>
                    <w:right w:val="single" w:color="auto" w:sz="4" w:space="0"/>
                  </w:tcBorders>
                  <w:shd w:val="clear" w:color="auto" w:fill="auto"/>
                  <w:vAlign w:val="center"/>
                </w:tcPr>
                <w:p w14:paraId="1339D343">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光源强度校准</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温度控制模块校验</w:t>
                  </w:r>
                </w:p>
              </w:tc>
              <w:tc>
                <w:tcPr>
                  <w:tcW w:w="2200" w:type="dxa"/>
                  <w:tcBorders>
                    <w:top w:val="nil"/>
                    <w:left w:val="nil"/>
                    <w:bottom w:val="single" w:color="auto" w:sz="4" w:space="0"/>
                    <w:right w:val="single" w:color="auto" w:sz="4" w:space="0"/>
                  </w:tcBorders>
                  <w:shd w:val="clear" w:color="auto" w:fill="auto"/>
                  <w:vAlign w:val="center"/>
                </w:tcPr>
                <w:p w14:paraId="2C6A621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卤钨灯强度衰减＜</w:t>
                  </w:r>
                  <w:r>
                    <w:rPr>
                      <w:rFonts w:ascii="宋体" w:hAnsi="宋体" w:cs="宋体"/>
                      <w:color w:val="auto"/>
                      <w:kern w:val="0"/>
                      <w:sz w:val="22"/>
                      <w:highlight w:val="none"/>
                    </w:rPr>
                    <w:t>5%&lt;br&gt;温控精度±0.3℃</w:t>
                  </w:r>
                </w:p>
              </w:tc>
            </w:tr>
            <w:tr w14:paraId="06915DDD">
              <w:tblPrEx>
                <w:tblCellMar>
                  <w:top w:w="0" w:type="dxa"/>
                  <w:left w:w="108" w:type="dxa"/>
                  <w:bottom w:w="0" w:type="dxa"/>
                  <w:right w:w="108" w:type="dxa"/>
                </w:tblCellMar>
              </w:tblPrEx>
              <w:trPr>
                <w:trHeight w:val="140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0CD41DE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每季度</w:t>
                  </w:r>
                </w:p>
              </w:tc>
              <w:tc>
                <w:tcPr>
                  <w:tcW w:w="4060" w:type="dxa"/>
                  <w:tcBorders>
                    <w:top w:val="nil"/>
                    <w:left w:val="nil"/>
                    <w:bottom w:val="single" w:color="auto" w:sz="4" w:space="0"/>
                    <w:right w:val="single" w:color="auto" w:sz="4" w:space="0"/>
                  </w:tcBorders>
                  <w:shd w:val="clear" w:color="auto" w:fill="auto"/>
                  <w:vAlign w:val="center"/>
                </w:tcPr>
                <w:p w14:paraId="408C3462">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光电倍增管线性度测试</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机械定位精度校准</w:t>
                  </w:r>
                </w:p>
              </w:tc>
              <w:tc>
                <w:tcPr>
                  <w:tcW w:w="2200" w:type="dxa"/>
                  <w:tcBorders>
                    <w:top w:val="nil"/>
                    <w:left w:val="nil"/>
                    <w:bottom w:val="single" w:color="auto" w:sz="4" w:space="0"/>
                    <w:right w:val="single" w:color="auto" w:sz="4" w:space="0"/>
                  </w:tcBorders>
                  <w:shd w:val="clear" w:color="auto" w:fill="auto"/>
                  <w:vAlign w:val="center"/>
                </w:tcPr>
                <w:p w14:paraId="5DC26B0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线性</w:t>
                  </w:r>
                  <w:r>
                    <w:rPr>
                      <w:rFonts w:ascii="宋体" w:hAnsi="宋体" w:cs="宋体"/>
                      <w:color w:val="auto"/>
                      <w:kern w:val="0"/>
                      <w:sz w:val="22"/>
                      <w:highlight w:val="none"/>
                    </w:rPr>
                    <w:t>R²＞0.999&lt;br&gt;孔位对准误差≤0.1mm</w:t>
                  </w:r>
                </w:p>
              </w:tc>
            </w:tr>
            <w:tr w14:paraId="79BFE59C">
              <w:tblPrEx>
                <w:tblCellMar>
                  <w:top w:w="0" w:type="dxa"/>
                  <w:left w:w="108" w:type="dxa"/>
                  <w:bottom w:w="0" w:type="dxa"/>
                  <w:right w:w="108" w:type="dxa"/>
                </w:tblCellMar>
              </w:tblPrEx>
              <w:trPr>
                <w:trHeight w:val="112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11CAAB1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年度</w:t>
                  </w:r>
                </w:p>
              </w:tc>
              <w:tc>
                <w:tcPr>
                  <w:tcW w:w="4060" w:type="dxa"/>
                  <w:tcBorders>
                    <w:top w:val="nil"/>
                    <w:left w:val="nil"/>
                    <w:bottom w:val="single" w:color="auto" w:sz="4" w:space="0"/>
                    <w:right w:val="single" w:color="auto" w:sz="4" w:space="0"/>
                  </w:tcBorders>
                  <w:shd w:val="clear" w:color="auto" w:fill="auto"/>
                  <w:vAlign w:val="center"/>
                </w:tcPr>
                <w:p w14:paraId="2712A052">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全光谱扫描校准</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固件升级与安全认证</w:t>
                  </w:r>
                </w:p>
              </w:tc>
              <w:tc>
                <w:tcPr>
                  <w:tcW w:w="2200" w:type="dxa"/>
                  <w:tcBorders>
                    <w:top w:val="nil"/>
                    <w:left w:val="nil"/>
                    <w:bottom w:val="single" w:color="auto" w:sz="4" w:space="0"/>
                    <w:right w:val="single" w:color="auto" w:sz="4" w:space="0"/>
                  </w:tcBorders>
                  <w:shd w:val="clear" w:color="auto" w:fill="auto"/>
                  <w:vAlign w:val="center"/>
                </w:tcPr>
                <w:p w14:paraId="109D332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符合</w:t>
                  </w:r>
                  <w:r>
                    <w:rPr>
                      <w:rFonts w:ascii="宋体" w:hAnsi="宋体" w:cs="宋体"/>
                      <w:color w:val="auto"/>
                      <w:kern w:val="0"/>
                      <w:sz w:val="22"/>
                      <w:highlight w:val="none"/>
                    </w:rPr>
                    <w:t>ISO 20391-2:2019标准</w:t>
                  </w:r>
                </w:p>
              </w:tc>
            </w:tr>
          </w:tbl>
          <w:p w14:paraId="51D88356">
            <w:pPr>
              <w:rPr>
                <w:rFonts w:ascii="宋体" w:hAnsi="宋体" w:cs="宋体"/>
                <w:color w:val="auto"/>
                <w:kern w:val="0"/>
                <w:sz w:val="22"/>
                <w:highlight w:val="none"/>
              </w:rPr>
            </w:pPr>
          </w:p>
          <w:p w14:paraId="7A336935">
            <w:pPr>
              <w:rPr>
                <w:rFonts w:ascii="宋体" w:hAnsi="宋体" w:cs="宋体"/>
                <w:color w:val="auto"/>
                <w:kern w:val="0"/>
                <w:sz w:val="22"/>
                <w:highlight w:val="none"/>
              </w:rPr>
            </w:pPr>
            <w:r>
              <w:rPr>
                <w:rFonts w:hint="eastAsia" w:ascii="宋体" w:hAnsi="宋体" w:cs="宋体"/>
                <w:color w:val="auto"/>
                <w:kern w:val="0"/>
                <w:sz w:val="22"/>
                <w:highlight w:val="none"/>
              </w:rPr>
              <w:t>三、关键部件维护规范</w:t>
            </w:r>
          </w:p>
          <w:p w14:paraId="215816D5">
            <w:pPr>
              <w:rPr>
                <w:rFonts w:ascii="宋体" w:hAnsi="宋体" w:cs="宋体"/>
                <w:color w:val="auto"/>
                <w:kern w:val="0"/>
                <w:sz w:val="22"/>
                <w:highlight w:val="none"/>
              </w:rPr>
            </w:pPr>
            <w:r>
              <w:rPr>
                <w:rFonts w:hint="eastAsia" w:ascii="宋体" w:hAnsi="宋体" w:cs="宋体"/>
                <w:color w:val="auto"/>
                <w:kern w:val="0"/>
                <w:sz w:val="22"/>
                <w:highlight w:val="none"/>
              </w:rPr>
              <w:t>光学系统</w:t>
            </w:r>
          </w:p>
          <w:p w14:paraId="4B70B787">
            <w:pPr>
              <w:rPr>
                <w:rFonts w:ascii="宋体" w:hAnsi="宋体" w:cs="宋体"/>
                <w:color w:val="auto"/>
                <w:kern w:val="0"/>
                <w:sz w:val="22"/>
                <w:highlight w:val="none"/>
              </w:rPr>
            </w:pPr>
            <w:r>
              <w:rPr>
                <w:rFonts w:hint="eastAsia" w:ascii="宋体" w:hAnsi="宋体" w:cs="宋体"/>
                <w:color w:val="auto"/>
                <w:kern w:val="0"/>
                <w:sz w:val="22"/>
                <w:highlight w:val="none"/>
              </w:rPr>
              <w:t>滤光片：用超细纤维镜头纸</w:t>
            </w:r>
            <w:r>
              <w:rPr>
                <w:rFonts w:ascii="宋体" w:hAnsi="宋体" w:cs="宋体"/>
                <w:color w:val="auto"/>
                <w:kern w:val="0"/>
                <w:sz w:val="22"/>
                <w:highlight w:val="none"/>
              </w:rPr>
              <w:t xml:space="preserve">+无水乙醇 </w:t>
            </w:r>
            <w:r>
              <w:rPr>
                <w:rFonts w:hint="eastAsia" w:ascii="宋体" w:hAnsi="宋体" w:cs="宋体"/>
                <w:color w:val="auto"/>
                <w:kern w:val="0"/>
                <w:sz w:val="22"/>
                <w:highlight w:val="none"/>
              </w:rPr>
              <w:t>单向擦拭，禁止循环擦抹</w:t>
            </w:r>
          </w:p>
          <w:p w14:paraId="3E3DA131">
            <w:pPr>
              <w:rPr>
                <w:rFonts w:ascii="宋体" w:hAnsi="宋体" w:cs="宋体"/>
                <w:color w:val="auto"/>
                <w:kern w:val="0"/>
                <w:sz w:val="22"/>
                <w:highlight w:val="none"/>
              </w:rPr>
            </w:pPr>
            <w:r>
              <w:rPr>
                <w:rFonts w:hint="eastAsia" w:ascii="宋体" w:hAnsi="宋体" w:cs="宋体"/>
                <w:color w:val="auto"/>
                <w:kern w:val="0"/>
                <w:sz w:val="22"/>
                <w:highlight w:val="none"/>
              </w:rPr>
              <w:t>光栅：每</w:t>
            </w:r>
            <w:r>
              <w:rPr>
                <w:rFonts w:ascii="宋体" w:hAnsi="宋体" w:cs="宋体"/>
                <w:color w:val="auto"/>
                <w:kern w:val="0"/>
                <w:sz w:val="22"/>
                <w:highlight w:val="none"/>
              </w:rPr>
              <w:t>5000次检测后执行单色器波长校准（使用Holmium Oxide滤光片）</w:t>
            </w:r>
          </w:p>
          <w:p w14:paraId="5D5DA4E6">
            <w:pPr>
              <w:rPr>
                <w:rFonts w:ascii="宋体" w:hAnsi="宋体" w:cs="宋体"/>
                <w:color w:val="auto"/>
                <w:kern w:val="0"/>
                <w:sz w:val="22"/>
                <w:highlight w:val="none"/>
              </w:rPr>
            </w:pPr>
            <w:r>
              <w:rPr>
                <w:rFonts w:hint="eastAsia" w:ascii="宋体" w:hAnsi="宋体" w:cs="宋体"/>
                <w:color w:val="auto"/>
                <w:kern w:val="0"/>
                <w:sz w:val="22"/>
                <w:highlight w:val="none"/>
              </w:rPr>
              <w:t>光源管理</w:t>
            </w:r>
          </w:p>
          <w:p w14:paraId="6C8BEC0F">
            <w:pPr>
              <w:rPr>
                <w:rFonts w:ascii="宋体" w:hAnsi="宋体" w:cs="宋体"/>
                <w:color w:val="auto"/>
                <w:kern w:val="0"/>
                <w:sz w:val="22"/>
                <w:highlight w:val="none"/>
              </w:rPr>
            </w:pPr>
            <w:r>
              <w:rPr>
                <w:rFonts w:hint="eastAsia" w:ascii="宋体" w:hAnsi="宋体" w:cs="宋体"/>
                <w:color w:val="auto"/>
                <w:kern w:val="0"/>
                <w:sz w:val="22"/>
                <w:highlight w:val="none"/>
              </w:rPr>
              <w:t>卤钨灯寿命：记录使用小时数，超过</w:t>
            </w:r>
            <w:r>
              <w:rPr>
                <w:rFonts w:ascii="宋体" w:hAnsi="宋体" w:cs="宋体"/>
                <w:color w:val="auto"/>
                <w:kern w:val="0"/>
                <w:sz w:val="22"/>
                <w:highlight w:val="none"/>
              </w:rPr>
              <w:t>800小时需准备更换</w:t>
            </w:r>
          </w:p>
          <w:p w14:paraId="4EEBF9DA">
            <w:pPr>
              <w:rPr>
                <w:rFonts w:ascii="宋体" w:hAnsi="宋体" w:cs="宋体"/>
                <w:color w:val="auto"/>
                <w:kern w:val="0"/>
                <w:sz w:val="22"/>
                <w:highlight w:val="none"/>
              </w:rPr>
            </w:pPr>
            <w:r>
              <w:rPr>
                <w:rFonts w:hint="eastAsia" w:ascii="宋体" w:hAnsi="宋体" w:cs="宋体"/>
                <w:color w:val="auto"/>
                <w:kern w:val="0"/>
                <w:sz w:val="22"/>
                <w:highlight w:val="none"/>
              </w:rPr>
              <w:t>更换后执行</w:t>
            </w:r>
            <w:r>
              <w:rPr>
                <w:rFonts w:ascii="宋体" w:hAnsi="宋体" w:cs="宋体"/>
                <w:color w:val="auto"/>
                <w:kern w:val="0"/>
                <w:sz w:val="22"/>
                <w:highlight w:val="none"/>
              </w:rPr>
              <w:t>100小时老化程序（50%功率连续运行）</w:t>
            </w:r>
          </w:p>
          <w:p w14:paraId="4DDD0A85">
            <w:pPr>
              <w:rPr>
                <w:rFonts w:ascii="宋体" w:hAnsi="宋体" w:cs="宋体"/>
                <w:color w:val="auto"/>
                <w:kern w:val="0"/>
                <w:sz w:val="22"/>
                <w:highlight w:val="none"/>
              </w:rPr>
            </w:pPr>
            <w:r>
              <w:rPr>
                <w:rFonts w:hint="eastAsia" w:ascii="宋体" w:hAnsi="宋体" w:cs="宋体"/>
                <w:color w:val="auto"/>
                <w:kern w:val="0"/>
                <w:sz w:val="22"/>
                <w:highlight w:val="none"/>
              </w:rPr>
              <w:t>四、性能验证方案</w:t>
            </w:r>
          </w:p>
          <w:p w14:paraId="33E9607E">
            <w:pPr>
              <w:rPr>
                <w:rFonts w:ascii="宋体" w:hAnsi="宋体" w:cs="宋体"/>
                <w:color w:val="auto"/>
                <w:kern w:val="0"/>
                <w:sz w:val="22"/>
                <w:highlight w:val="none"/>
              </w:rPr>
            </w:pPr>
            <w:r>
              <w:rPr>
                <w:rFonts w:hint="eastAsia" w:ascii="宋体" w:hAnsi="宋体" w:cs="宋体"/>
                <w:color w:val="auto"/>
                <w:kern w:val="0"/>
                <w:sz w:val="22"/>
                <w:highlight w:val="none"/>
              </w:rPr>
              <w:t>灵敏度验证</w:t>
            </w:r>
          </w:p>
          <w:p w14:paraId="1B2782E4">
            <w:pPr>
              <w:rPr>
                <w:rFonts w:ascii="宋体" w:hAnsi="宋体" w:cs="宋体"/>
                <w:color w:val="auto"/>
                <w:kern w:val="0"/>
                <w:sz w:val="22"/>
                <w:highlight w:val="none"/>
              </w:rPr>
            </w:pPr>
            <w:r>
              <w:rPr>
                <w:rFonts w:hint="eastAsia" w:ascii="宋体" w:hAnsi="宋体" w:cs="宋体"/>
                <w:color w:val="auto"/>
                <w:kern w:val="0"/>
                <w:sz w:val="22"/>
                <w:highlight w:val="none"/>
              </w:rPr>
              <w:t>使用</w:t>
            </w:r>
            <w:r>
              <w:rPr>
                <w:rFonts w:ascii="宋体" w:hAnsi="宋体" w:cs="宋体"/>
                <w:color w:val="auto"/>
                <w:kern w:val="0"/>
                <w:sz w:val="22"/>
                <w:highlight w:val="none"/>
              </w:rPr>
              <w:t>NIST标准微球（SRM 2944）验证荧光检测下限</w:t>
            </w:r>
          </w:p>
          <w:p w14:paraId="55D51262">
            <w:pPr>
              <w:rPr>
                <w:rFonts w:ascii="宋体" w:hAnsi="宋体" w:cs="宋体"/>
                <w:color w:val="auto"/>
                <w:kern w:val="0"/>
                <w:sz w:val="22"/>
                <w:highlight w:val="none"/>
              </w:rPr>
            </w:pPr>
            <w:r>
              <w:rPr>
                <w:rFonts w:hint="eastAsia" w:ascii="宋体" w:hAnsi="宋体" w:cs="宋体"/>
                <w:color w:val="auto"/>
                <w:kern w:val="0"/>
                <w:sz w:val="22"/>
                <w:highlight w:val="none"/>
              </w:rPr>
              <w:t>合格标准：</w:t>
            </w:r>
            <w:r>
              <w:rPr>
                <w:rFonts w:ascii="宋体" w:hAnsi="宋体" w:cs="宋体"/>
                <w:color w:val="auto"/>
                <w:kern w:val="0"/>
                <w:sz w:val="22"/>
                <w:highlight w:val="none"/>
              </w:rPr>
              <w:t>CV值＜1.5%（10^6 particles/mL）</w:t>
            </w:r>
          </w:p>
          <w:p w14:paraId="6A2F2439">
            <w:pPr>
              <w:rPr>
                <w:rFonts w:ascii="宋体" w:hAnsi="宋体" w:cs="宋体"/>
                <w:color w:val="auto"/>
                <w:kern w:val="0"/>
                <w:sz w:val="22"/>
                <w:highlight w:val="none"/>
              </w:rPr>
            </w:pPr>
            <w:r>
              <w:rPr>
                <w:rFonts w:hint="eastAsia" w:ascii="宋体" w:hAnsi="宋体" w:cs="宋体"/>
                <w:color w:val="auto"/>
                <w:kern w:val="0"/>
                <w:sz w:val="22"/>
                <w:highlight w:val="none"/>
              </w:rPr>
              <w:t>交叉污染测试</w:t>
            </w:r>
          </w:p>
          <w:p w14:paraId="2D8D8AC1">
            <w:pPr>
              <w:rPr>
                <w:rFonts w:ascii="宋体" w:hAnsi="宋体" w:cs="宋体"/>
                <w:color w:val="auto"/>
                <w:kern w:val="0"/>
                <w:sz w:val="22"/>
                <w:highlight w:val="none"/>
              </w:rPr>
            </w:pPr>
            <w:r>
              <w:rPr>
                <w:rFonts w:hint="eastAsia" w:ascii="宋体" w:hAnsi="宋体" w:cs="宋体"/>
                <w:color w:val="auto"/>
                <w:kern w:val="0"/>
                <w:sz w:val="22"/>
                <w:highlight w:val="none"/>
              </w:rPr>
              <w:t>相邻孔注入</w:t>
            </w:r>
            <w:r>
              <w:rPr>
                <w:rFonts w:ascii="宋体" w:hAnsi="宋体" w:cs="宋体"/>
                <w:color w:val="auto"/>
                <w:kern w:val="0"/>
                <w:sz w:val="22"/>
                <w:highlight w:val="none"/>
              </w:rPr>
              <w:t>1M NaOH和酚红指示剂，检测率需＜0.01%</w:t>
            </w:r>
          </w:p>
          <w:p w14:paraId="2A10E51B">
            <w:pPr>
              <w:rPr>
                <w:rFonts w:ascii="宋体" w:hAnsi="宋体" w:cs="宋体"/>
                <w:color w:val="auto"/>
                <w:kern w:val="0"/>
                <w:sz w:val="22"/>
                <w:highlight w:val="none"/>
              </w:rPr>
            </w:pPr>
            <w:r>
              <w:rPr>
                <w:rFonts w:hint="eastAsia" w:ascii="宋体" w:hAnsi="宋体" w:cs="宋体"/>
                <w:color w:val="auto"/>
                <w:kern w:val="0"/>
                <w:sz w:val="22"/>
                <w:highlight w:val="none"/>
              </w:rPr>
              <w:t>五、紧急故障处理</w:t>
            </w:r>
          </w:p>
          <w:p w14:paraId="6532123A">
            <w:pPr>
              <w:rPr>
                <w:rFonts w:ascii="宋体" w:hAnsi="宋体" w:cs="宋体"/>
                <w:color w:val="auto"/>
                <w:kern w:val="0"/>
                <w:sz w:val="22"/>
                <w:highlight w:val="none"/>
              </w:rPr>
            </w:pPr>
          </w:p>
          <w:tbl>
            <w:tblPr>
              <w:tblStyle w:val="33"/>
              <w:tblW w:w="5200" w:type="dxa"/>
              <w:tblInd w:w="0" w:type="dxa"/>
              <w:tblLayout w:type="autofit"/>
              <w:tblCellMar>
                <w:top w:w="0" w:type="dxa"/>
                <w:left w:w="108" w:type="dxa"/>
                <w:bottom w:w="0" w:type="dxa"/>
                <w:right w:w="108" w:type="dxa"/>
              </w:tblCellMar>
            </w:tblPr>
            <w:tblGrid>
              <w:gridCol w:w="1562"/>
              <w:gridCol w:w="3638"/>
            </w:tblGrid>
            <w:tr w14:paraId="2214E0E2">
              <w:tblPrEx>
                <w:tblCellMar>
                  <w:top w:w="0" w:type="dxa"/>
                  <w:left w:w="108" w:type="dxa"/>
                  <w:bottom w:w="0" w:type="dxa"/>
                  <w:right w:w="108" w:type="dxa"/>
                </w:tblCellMar>
              </w:tblPrEx>
              <w:trPr>
                <w:trHeight w:val="280" w:hRule="atLeast"/>
              </w:trPr>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14:paraId="4CF2179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故障现象</w:t>
                  </w:r>
                </w:p>
              </w:tc>
              <w:tc>
                <w:tcPr>
                  <w:tcW w:w="3638" w:type="dxa"/>
                  <w:tcBorders>
                    <w:top w:val="single" w:color="auto" w:sz="4" w:space="0"/>
                    <w:left w:val="nil"/>
                    <w:bottom w:val="single" w:color="auto" w:sz="4" w:space="0"/>
                    <w:right w:val="single" w:color="auto" w:sz="4" w:space="0"/>
                  </w:tcBorders>
                  <w:shd w:val="clear" w:color="auto" w:fill="auto"/>
                  <w:vAlign w:val="center"/>
                </w:tcPr>
                <w:p w14:paraId="7E807BA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应急处置措施</w:t>
                  </w:r>
                </w:p>
              </w:tc>
            </w:tr>
            <w:tr w14:paraId="5CDA3F3C">
              <w:tblPrEx>
                <w:tblCellMar>
                  <w:top w:w="0" w:type="dxa"/>
                  <w:left w:w="108" w:type="dxa"/>
                  <w:bottom w:w="0" w:type="dxa"/>
                  <w:right w:w="108" w:type="dxa"/>
                </w:tblCellMar>
              </w:tblPrEx>
              <w:trPr>
                <w:trHeight w:val="560" w:hRule="atLeast"/>
              </w:trPr>
              <w:tc>
                <w:tcPr>
                  <w:tcW w:w="1562" w:type="dxa"/>
                  <w:tcBorders>
                    <w:top w:val="nil"/>
                    <w:left w:val="single" w:color="auto" w:sz="4" w:space="0"/>
                    <w:bottom w:val="single" w:color="auto" w:sz="4" w:space="0"/>
                    <w:right w:val="single" w:color="auto" w:sz="4" w:space="0"/>
                  </w:tcBorders>
                  <w:shd w:val="clear" w:color="auto" w:fill="auto"/>
                  <w:vAlign w:val="center"/>
                </w:tcPr>
                <w:p w14:paraId="1603F38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读数漂移</w:t>
                  </w:r>
                </w:p>
              </w:tc>
              <w:tc>
                <w:tcPr>
                  <w:tcW w:w="3638" w:type="dxa"/>
                  <w:tcBorders>
                    <w:top w:val="nil"/>
                    <w:left w:val="nil"/>
                    <w:bottom w:val="single" w:color="auto" w:sz="4" w:space="0"/>
                    <w:right w:val="single" w:color="auto" w:sz="4" w:space="0"/>
                  </w:tcBorders>
                  <w:shd w:val="clear" w:color="auto" w:fill="auto"/>
                  <w:vAlign w:val="center"/>
                </w:tcPr>
                <w:p w14:paraId="30A2491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执行暗电流校准，检查室温波动是否＞</w:t>
                  </w:r>
                  <w:r>
                    <w:rPr>
                      <w:rFonts w:ascii="宋体" w:hAnsi="宋体" w:cs="宋体"/>
                      <w:color w:val="auto"/>
                      <w:kern w:val="0"/>
                      <w:sz w:val="22"/>
                      <w:highlight w:val="none"/>
                    </w:rPr>
                    <w:t>2℃/h</w:t>
                  </w:r>
                </w:p>
              </w:tc>
            </w:tr>
            <w:tr w14:paraId="45661696">
              <w:tblPrEx>
                <w:tblCellMar>
                  <w:top w:w="0" w:type="dxa"/>
                  <w:left w:w="108" w:type="dxa"/>
                  <w:bottom w:w="0" w:type="dxa"/>
                  <w:right w:w="108" w:type="dxa"/>
                </w:tblCellMar>
              </w:tblPrEx>
              <w:trPr>
                <w:trHeight w:val="560" w:hRule="atLeast"/>
              </w:trPr>
              <w:tc>
                <w:tcPr>
                  <w:tcW w:w="1562" w:type="dxa"/>
                  <w:tcBorders>
                    <w:top w:val="nil"/>
                    <w:left w:val="single" w:color="auto" w:sz="4" w:space="0"/>
                    <w:bottom w:val="single" w:color="auto" w:sz="4" w:space="0"/>
                    <w:right w:val="single" w:color="auto" w:sz="4" w:space="0"/>
                  </w:tcBorders>
                  <w:shd w:val="clear" w:color="auto" w:fill="auto"/>
                  <w:vAlign w:val="center"/>
                </w:tcPr>
                <w:p w14:paraId="3BB8B8C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孔位识别错误</w:t>
                  </w:r>
                </w:p>
              </w:tc>
              <w:tc>
                <w:tcPr>
                  <w:tcW w:w="3638" w:type="dxa"/>
                  <w:tcBorders>
                    <w:top w:val="nil"/>
                    <w:left w:val="nil"/>
                    <w:bottom w:val="single" w:color="auto" w:sz="4" w:space="0"/>
                    <w:right w:val="single" w:color="auto" w:sz="4" w:space="0"/>
                  </w:tcBorders>
                  <w:shd w:val="clear" w:color="auto" w:fill="auto"/>
                  <w:vAlign w:val="center"/>
                </w:tcPr>
                <w:p w14:paraId="3894F41F">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清洁条形码阅读器窗口，调整红光对焦模块</w:t>
                  </w:r>
                </w:p>
              </w:tc>
            </w:tr>
            <w:tr w14:paraId="7C3DE964">
              <w:tblPrEx>
                <w:tblCellMar>
                  <w:top w:w="0" w:type="dxa"/>
                  <w:left w:w="108" w:type="dxa"/>
                  <w:bottom w:w="0" w:type="dxa"/>
                  <w:right w:w="108" w:type="dxa"/>
                </w:tblCellMar>
              </w:tblPrEx>
              <w:trPr>
                <w:trHeight w:val="280" w:hRule="atLeast"/>
              </w:trPr>
              <w:tc>
                <w:tcPr>
                  <w:tcW w:w="1562" w:type="dxa"/>
                  <w:tcBorders>
                    <w:top w:val="nil"/>
                    <w:left w:val="single" w:color="auto" w:sz="4" w:space="0"/>
                    <w:bottom w:val="single" w:color="auto" w:sz="4" w:space="0"/>
                    <w:right w:val="single" w:color="auto" w:sz="4" w:space="0"/>
                  </w:tcBorders>
                  <w:shd w:val="clear" w:color="auto" w:fill="auto"/>
                  <w:vAlign w:val="center"/>
                </w:tcPr>
                <w:p w14:paraId="787D63B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通讯中断</w:t>
                  </w:r>
                </w:p>
              </w:tc>
              <w:tc>
                <w:tcPr>
                  <w:tcW w:w="3638" w:type="dxa"/>
                  <w:tcBorders>
                    <w:top w:val="nil"/>
                    <w:left w:val="nil"/>
                    <w:bottom w:val="single" w:color="auto" w:sz="4" w:space="0"/>
                    <w:right w:val="single" w:color="auto" w:sz="4" w:space="0"/>
                  </w:tcBorders>
                  <w:shd w:val="clear" w:color="auto" w:fill="auto"/>
                  <w:vAlign w:val="center"/>
                </w:tcPr>
                <w:p w14:paraId="7D673A8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重置</w:t>
                  </w:r>
                  <w:r>
                    <w:rPr>
                      <w:rFonts w:ascii="宋体" w:hAnsi="宋体" w:cs="宋体"/>
                      <w:color w:val="auto"/>
                      <w:kern w:val="0"/>
                      <w:sz w:val="22"/>
                      <w:highlight w:val="none"/>
                    </w:rPr>
                    <w:t>RS-232接口终端电阻（120Ω±1%）</w:t>
                  </w:r>
                </w:p>
              </w:tc>
            </w:tr>
          </w:tbl>
          <w:p w14:paraId="6E2FAE1E">
            <w:pPr>
              <w:rPr>
                <w:rFonts w:ascii="宋体" w:hAnsi="宋体" w:cs="宋体"/>
                <w:color w:val="auto"/>
                <w:kern w:val="0"/>
                <w:sz w:val="22"/>
                <w:highlight w:val="none"/>
              </w:rPr>
            </w:pPr>
          </w:p>
          <w:p w14:paraId="36379A6D">
            <w:pPr>
              <w:rPr>
                <w:rFonts w:ascii="宋体" w:hAnsi="宋体" w:cs="宋体"/>
                <w:color w:val="auto"/>
                <w:kern w:val="0"/>
                <w:sz w:val="22"/>
                <w:highlight w:val="none"/>
              </w:rPr>
            </w:pPr>
            <w:r>
              <w:rPr>
                <w:rFonts w:hint="eastAsia" w:ascii="宋体" w:hAnsi="宋体" w:cs="宋体"/>
                <w:color w:val="auto"/>
                <w:kern w:val="0"/>
                <w:sz w:val="22"/>
                <w:highlight w:val="none"/>
              </w:rPr>
              <w:t>维修后需执行</w:t>
            </w:r>
            <w:r>
              <w:rPr>
                <w:rFonts w:ascii="宋体" w:hAnsi="宋体" w:cs="宋体"/>
                <w:color w:val="auto"/>
                <w:kern w:val="0"/>
                <w:sz w:val="22"/>
                <w:highlight w:val="none"/>
              </w:rPr>
              <w:t>NCCLS EP10-A3文件要求的性能验证</w:t>
            </w:r>
          </w:p>
          <w:p w14:paraId="0E2C263C">
            <w:pPr>
              <w:rPr>
                <w:rFonts w:ascii="宋体" w:hAnsi="宋体" w:cs="宋体"/>
                <w:color w:val="auto"/>
                <w:kern w:val="0"/>
                <w:sz w:val="22"/>
                <w:highlight w:val="none"/>
              </w:rPr>
            </w:pPr>
            <w:r>
              <w:rPr>
                <w:rFonts w:hint="eastAsia" w:ascii="宋体" w:hAnsi="宋体" w:cs="宋体"/>
                <w:color w:val="auto"/>
                <w:kern w:val="0"/>
                <w:sz w:val="22"/>
                <w:highlight w:val="none"/>
              </w:rPr>
              <w:t>更换光电模块后必须进行辐射安全检测（符合</w:t>
            </w:r>
            <w:r>
              <w:rPr>
                <w:rFonts w:ascii="宋体" w:hAnsi="宋体" w:cs="宋体"/>
                <w:color w:val="auto"/>
                <w:kern w:val="0"/>
                <w:sz w:val="22"/>
                <w:highlight w:val="none"/>
              </w:rPr>
              <w:t>21 CFR 1040.10）</w:t>
            </w:r>
          </w:p>
        </w:tc>
      </w:tr>
      <w:tr w14:paraId="0205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3F54F6D0">
            <w:pPr>
              <w:widowControl/>
              <w:jc w:val="center"/>
              <w:textAlignment w:val="center"/>
              <w:rPr>
                <w:rFonts w:ascii="宋体" w:hAnsi="宋体" w:cs="宋体"/>
                <w:color w:val="auto"/>
                <w:kern w:val="0"/>
                <w:sz w:val="22"/>
                <w:highlight w:val="none"/>
              </w:rPr>
            </w:pPr>
          </w:p>
        </w:tc>
        <w:tc>
          <w:tcPr>
            <w:tcW w:w="8426" w:type="dxa"/>
          </w:tcPr>
          <w:p w14:paraId="398D6FC4">
            <w:pPr>
              <w:rPr>
                <w:rFonts w:ascii="宋体" w:hAnsi="宋体" w:cs="宋体"/>
                <w:color w:val="auto"/>
                <w:kern w:val="0"/>
                <w:sz w:val="22"/>
                <w:highlight w:val="none"/>
              </w:rPr>
            </w:pPr>
          </w:p>
        </w:tc>
      </w:tr>
      <w:tr w14:paraId="1824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2875E3B5">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紫外可见光分光光度计</w:t>
            </w:r>
            <w:r>
              <w:rPr>
                <w:rFonts w:ascii="宋体" w:hAnsi="宋体" w:cs="宋体"/>
                <w:color w:val="auto"/>
                <w:kern w:val="0"/>
                <w:sz w:val="22"/>
                <w:highlight w:val="none"/>
                <w:lang w:bidi="ar"/>
              </w:rPr>
              <w:t>-</w:t>
            </w:r>
            <w:r>
              <w:rPr>
                <w:rFonts w:ascii="宋体" w:hAnsi="宋体" w:cs="宋体"/>
                <w:color w:val="auto"/>
                <w:kern w:val="0"/>
                <w:sz w:val="22"/>
                <w:highlight w:val="none"/>
              </w:rPr>
              <w:t xml:space="preserve"> </w:t>
            </w:r>
            <w:r>
              <w:rPr>
                <w:rFonts w:ascii="宋体" w:hAnsi="宋体" w:cs="宋体"/>
                <w:color w:val="auto"/>
                <w:kern w:val="0"/>
                <w:sz w:val="22"/>
                <w:highlight w:val="none"/>
                <w:lang w:bidi="ar"/>
              </w:rPr>
              <w:t>Thermofisher</w:t>
            </w:r>
          </w:p>
        </w:tc>
        <w:tc>
          <w:tcPr>
            <w:tcW w:w="8426" w:type="dxa"/>
          </w:tcPr>
          <w:p w14:paraId="4DAD5612">
            <w:pPr>
              <w:rPr>
                <w:rFonts w:ascii="宋体" w:hAnsi="宋体" w:cs="宋体"/>
                <w:color w:val="auto"/>
                <w:kern w:val="0"/>
                <w:sz w:val="22"/>
                <w:highlight w:val="none"/>
              </w:rPr>
            </w:pPr>
            <w:r>
              <w:rPr>
                <w:rFonts w:hint="eastAsia" w:ascii="宋体" w:hAnsi="宋体" w:cs="宋体"/>
                <w:color w:val="auto"/>
                <w:kern w:val="0"/>
                <w:sz w:val="22"/>
                <w:highlight w:val="none"/>
              </w:rPr>
              <w:t>一、环境控制</w:t>
            </w:r>
          </w:p>
          <w:p w14:paraId="0DCBCDAE">
            <w:pPr>
              <w:rPr>
                <w:rFonts w:ascii="宋体" w:hAnsi="宋体" w:cs="宋体"/>
                <w:color w:val="auto"/>
                <w:kern w:val="0"/>
                <w:sz w:val="22"/>
                <w:highlight w:val="none"/>
              </w:rPr>
            </w:pPr>
            <w:r>
              <w:rPr>
                <w:rFonts w:hint="eastAsia" w:ascii="宋体" w:hAnsi="宋体" w:cs="宋体"/>
                <w:color w:val="auto"/>
                <w:kern w:val="0"/>
                <w:sz w:val="22"/>
                <w:highlight w:val="none"/>
              </w:rPr>
              <w:t>温湿度要求</w:t>
            </w:r>
          </w:p>
          <w:p w14:paraId="5E9E3738">
            <w:pPr>
              <w:rPr>
                <w:rFonts w:ascii="宋体" w:hAnsi="宋体" w:cs="宋体"/>
                <w:color w:val="auto"/>
                <w:kern w:val="0"/>
                <w:sz w:val="22"/>
                <w:highlight w:val="none"/>
              </w:rPr>
            </w:pPr>
            <w:r>
              <w:rPr>
                <w:rFonts w:hint="eastAsia" w:ascii="宋体" w:hAnsi="宋体" w:cs="宋体"/>
                <w:color w:val="auto"/>
                <w:kern w:val="0"/>
                <w:sz w:val="22"/>
                <w:highlight w:val="none"/>
              </w:rPr>
              <w:t>实验室需保持温度</w:t>
            </w:r>
            <w:r>
              <w:rPr>
                <w:rFonts w:ascii="宋体" w:hAnsi="宋体" w:cs="宋体"/>
                <w:color w:val="auto"/>
                <w:kern w:val="0"/>
                <w:sz w:val="22"/>
                <w:highlight w:val="none"/>
              </w:rPr>
              <w:t xml:space="preserve">15-30℃、湿度20%-50% </w:t>
            </w:r>
            <w:r>
              <w:rPr>
                <w:rFonts w:hint="eastAsia" w:ascii="宋体" w:hAnsi="宋体" w:cs="宋体"/>
                <w:color w:val="auto"/>
                <w:kern w:val="0"/>
                <w:sz w:val="22"/>
                <w:highlight w:val="none"/>
              </w:rPr>
              <w:t>（南方地区建议配置恒温设备），避免光学元件锈蚀和电子器件老化。</w:t>
            </w:r>
          </w:p>
          <w:p w14:paraId="76B94338">
            <w:pPr>
              <w:rPr>
                <w:rFonts w:ascii="宋体" w:hAnsi="宋体" w:cs="宋体"/>
                <w:color w:val="auto"/>
                <w:kern w:val="0"/>
                <w:sz w:val="22"/>
                <w:highlight w:val="none"/>
              </w:rPr>
            </w:pPr>
            <w:r>
              <w:rPr>
                <w:rFonts w:hint="eastAsia" w:ascii="宋体" w:hAnsi="宋体" w:cs="宋体"/>
                <w:color w:val="auto"/>
                <w:kern w:val="0"/>
                <w:sz w:val="22"/>
                <w:highlight w:val="none"/>
              </w:rPr>
              <w:t>防尘与洁净</w:t>
            </w:r>
          </w:p>
          <w:p w14:paraId="3C54C06B">
            <w:pPr>
              <w:rPr>
                <w:rFonts w:ascii="宋体" w:hAnsi="宋体" w:cs="宋体"/>
                <w:color w:val="auto"/>
                <w:kern w:val="0"/>
                <w:sz w:val="22"/>
                <w:highlight w:val="none"/>
              </w:rPr>
            </w:pPr>
            <w:r>
              <w:rPr>
                <w:rFonts w:hint="eastAsia" w:ascii="宋体" w:hAnsi="宋体" w:cs="宋体"/>
                <w:color w:val="auto"/>
                <w:kern w:val="0"/>
                <w:sz w:val="22"/>
                <w:highlight w:val="none"/>
              </w:rPr>
              <w:t>定期清洁仪器表面，使用防尘罩覆盖仪器，避免灰尘进入光路系统。光学元件（如反射镜、透镜）用吹气球或擦镜纸清洁，不可直接触碰。</w:t>
            </w:r>
          </w:p>
          <w:p w14:paraId="1A669321">
            <w:pPr>
              <w:rPr>
                <w:rFonts w:ascii="宋体" w:hAnsi="宋体" w:cs="宋体"/>
                <w:color w:val="auto"/>
                <w:kern w:val="0"/>
                <w:sz w:val="22"/>
                <w:highlight w:val="none"/>
              </w:rPr>
            </w:pPr>
            <w:r>
              <w:rPr>
                <w:rFonts w:hint="eastAsia" w:ascii="宋体" w:hAnsi="宋体" w:cs="宋体"/>
                <w:color w:val="auto"/>
                <w:kern w:val="0"/>
                <w:sz w:val="22"/>
                <w:highlight w:val="none"/>
              </w:rPr>
              <w:t>二、日常使用维护</w:t>
            </w:r>
          </w:p>
          <w:p w14:paraId="6C270CB0">
            <w:pPr>
              <w:rPr>
                <w:rFonts w:ascii="宋体" w:hAnsi="宋体" w:cs="宋体"/>
                <w:color w:val="auto"/>
                <w:kern w:val="0"/>
                <w:sz w:val="22"/>
                <w:highlight w:val="none"/>
              </w:rPr>
            </w:pPr>
            <w:r>
              <w:rPr>
                <w:rFonts w:hint="eastAsia" w:ascii="宋体" w:hAnsi="宋体" w:cs="宋体"/>
                <w:color w:val="auto"/>
                <w:kern w:val="0"/>
                <w:sz w:val="22"/>
                <w:highlight w:val="none"/>
              </w:rPr>
              <w:t>光源管理</w:t>
            </w:r>
          </w:p>
          <w:p w14:paraId="311EA284">
            <w:pPr>
              <w:rPr>
                <w:rFonts w:ascii="宋体" w:hAnsi="宋体" w:cs="宋体"/>
                <w:color w:val="auto"/>
                <w:kern w:val="0"/>
                <w:sz w:val="22"/>
                <w:highlight w:val="none"/>
              </w:rPr>
            </w:pPr>
            <w:r>
              <w:rPr>
                <w:rFonts w:hint="eastAsia" w:ascii="宋体" w:hAnsi="宋体" w:cs="宋体"/>
                <w:color w:val="auto"/>
                <w:kern w:val="0"/>
                <w:sz w:val="22"/>
                <w:highlight w:val="none"/>
              </w:rPr>
              <w:t>关闭不使用的光源以延长寿命（如氘灯、钨灯），定期检查亮度，及时更换老化光源</w:t>
            </w:r>
            <w:r>
              <w:rPr>
                <w:rFonts w:ascii="宋体" w:hAnsi="宋体" w:cs="宋体"/>
                <w:color w:val="auto"/>
                <w:kern w:val="0"/>
                <w:sz w:val="22"/>
                <w:highlight w:val="none"/>
              </w:rPr>
              <w:t>[。</w:t>
            </w:r>
          </w:p>
          <w:p w14:paraId="7F4D6F0D">
            <w:pPr>
              <w:rPr>
                <w:rFonts w:ascii="宋体" w:hAnsi="宋体" w:cs="宋体"/>
                <w:color w:val="auto"/>
                <w:kern w:val="0"/>
                <w:sz w:val="22"/>
                <w:highlight w:val="none"/>
              </w:rPr>
            </w:pPr>
            <w:r>
              <w:rPr>
                <w:rFonts w:hint="eastAsia" w:ascii="宋体" w:hAnsi="宋体" w:cs="宋体"/>
                <w:color w:val="auto"/>
                <w:kern w:val="0"/>
                <w:sz w:val="22"/>
                <w:highlight w:val="none"/>
              </w:rPr>
              <w:t>比色皿操作</w:t>
            </w:r>
          </w:p>
          <w:p w14:paraId="58AA4267">
            <w:pPr>
              <w:rPr>
                <w:rFonts w:ascii="宋体" w:hAnsi="宋体" w:cs="宋体"/>
                <w:color w:val="auto"/>
                <w:kern w:val="0"/>
                <w:sz w:val="22"/>
                <w:highlight w:val="none"/>
              </w:rPr>
            </w:pPr>
            <w:r>
              <w:rPr>
                <w:rFonts w:hint="eastAsia" w:ascii="宋体" w:hAnsi="宋体" w:cs="宋体"/>
                <w:color w:val="auto"/>
                <w:kern w:val="0"/>
                <w:sz w:val="22"/>
                <w:highlight w:val="none"/>
              </w:rPr>
              <w:t>装液量至</w:t>
            </w:r>
            <w:r>
              <w:rPr>
                <w:rFonts w:ascii="宋体" w:hAnsi="宋体" w:cs="宋体"/>
                <w:color w:val="auto"/>
                <w:kern w:val="0"/>
                <w:sz w:val="22"/>
                <w:highlight w:val="none"/>
              </w:rPr>
              <w:t>2/3高度，避免气泡；使用后立即用蒸馏水清洗，轻拭光面（不可用滤纸擦拭）。接触比色皿毛面，避免指纹污染。</w:t>
            </w:r>
          </w:p>
          <w:p w14:paraId="16C24CDA">
            <w:pPr>
              <w:rPr>
                <w:rFonts w:ascii="宋体" w:hAnsi="宋体" w:cs="宋体"/>
                <w:color w:val="auto"/>
                <w:kern w:val="0"/>
                <w:sz w:val="22"/>
                <w:highlight w:val="none"/>
              </w:rPr>
            </w:pPr>
            <w:r>
              <w:rPr>
                <w:rFonts w:hint="eastAsia" w:ascii="宋体" w:hAnsi="宋体" w:cs="宋体"/>
                <w:color w:val="auto"/>
                <w:kern w:val="0"/>
                <w:sz w:val="22"/>
                <w:highlight w:val="none"/>
              </w:rPr>
              <w:t>样品室维护</w:t>
            </w:r>
          </w:p>
          <w:p w14:paraId="370AFC18">
            <w:pPr>
              <w:rPr>
                <w:rFonts w:ascii="宋体" w:hAnsi="宋体" w:cs="宋体"/>
                <w:color w:val="auto"/>
                <w:kern w:val="0"/>
                <w:sz w:val="22"/>
                <w:highlight w:val="none"/>
              </w:rPr>
            </w:pPr>
            <w:r>
              <w:rPr>
                <w:rFonts w:hint="eastAsia" w:ascii="宋体" w:hAnsi="宋体" w:cs="宋体"/>
                <w:color w:val="auto"/>
                <w:kern w:val="0"/>
                <w:sz w:val="22"/>
                <w:highlight w:val="none"/>
              </w:rPr>
              <w:t>使用后检查并清理残留液体，确保样品架干燥，防止滤光片受潮或腐蚀。轻开轻关样品室盖，避免震动。</w:t>
            </w:r>
          </w:p>
          <w:p w14:paraId="3B7607B3">
            <w:pPr>
              <w:rPr>
                <w:rFonts w:ascii="宋体" w:hAnsi="宋体" w:cs="宋体"/>
                <w:color w:val="auto"/>
                <w:kern w:val="0"/>
                <w:sz w:val="22"/>
                <w:highlight w:val="none"/>
              </w:rPr>
            </w:pPr>
            <w:r>
              <w:rPr>
                <w:rFonts w:hint="eastAsia" w:ascii="宋体" w:hAnsi="宋体" w:cs="宋体"/>
                <w:color w:val="auto"/>
                <w:kern w:val="0"/>
                <w:sz w:val="22"/>
                <w:highlight w:val="none"/>
              </w:rPr>
              <w:t>三、校准与长期维护</w:t>
            </w:r>
          </w:p>
          <w:p w14:paraId="3A1235D8">
            <w:pPr>
              <w:rPr>
                <w:rFonts w:ascii="宋体" w:hAnsi="宋体" w:cs="宋体"/>
                <w:color w:val="auto"/>
                <w:kern w:val="0"/>
                <w:sz w:val="22"/>
                <w:highlight w:val="none"/>
              </w:rPr>
            </w:pPr>
            <w:r>
              <w:rPr>
                <w:rFonts w:hint="eastAsia" w:ascii="宋体" w:hAnsi="宋体" w:cs="宋体"/>
                <w:color w:val="auto"/>
                <w:kern w:val="0"/>
                <w:sz w:val="22"/>
                <w:highlight w:val="none"/>
              </w:rPr>
              <w:t>定期校准</w:t>
            </w:r>
          </w:p>
          <w:p w14:paraId="67A874CF">
            <w:pPr>
              <w:rPr>
                <w:rFonts w:ascii="宋体" w:hAnsi="宋体" w:cs="宋体"/>
                <w:color w:val="auto"/>
                <w:kern w:val="0"/>
                <w:sz w:val="22"/>
                <w:highlight w:val="none"/>
              </w:rPr>
            </w:pPr>
            <w:r>
              <w:rPr>
                <w:rFonts w:hint="eastAsia" w:ascii="宋体" w:hAnsi="宋体" w:cs="宋体"/>
                <w:color w:val="auto"/>
                <w:kern w:val="0"/>
                <w:sz w:val="22"/>
                <w:highlight w:val="none"/>
              </w:rPr>
              <w:t>每季度或半年进行波长校准和吸光度校准，确保数据准确性。</w:t>
            </w:r>
          </w:p>
          <w:p w14:paraId="44962521">
            <w:pPr>
              <w:rPr>
                <w:rFonts w:ascii="宋体" w:hAnsi="宋体" w:cs="宋体"/>
                <w:color w:val="auto"/>
                <w:kern w:val="0"/>
                <w:sz w:val="22"/>
                <w:highlight w:val="none"/>
              </w:rPr>
            </w:pPr>
            <w:r>
              <w:rPr>
                <w:rFonts w:hint="eastAsia" w:ascii="宋体" w:hAnsi="宋体" w:cs="宋体"/>
                <w:color w:val="auto"/>
                <w:kern w:val="0"/>
                <w:sz w:val="22"/>
                <w:highlight w:val="none"/>
              </w:rPr>
              <w:t>机械部件保养</w:t>
            </w:r>
          </w:p>
          <w:p w14:paraId="4F1B4D76">
            <w:pPr>
              <w:rPr>
                <w:rFonts w:ascii="宋体" w:hAnsi="宋体" w:cs="宋体"/>
                <w:color w:val="auto"/>
                <w:kern w:val="0"/>
                <w:sz w:val="22"/>
                <w:highlight w:val="none"/>
              </w:rPr>
            </w:pPr>
            <w:r>
              <w:rPr>
                <w:rFonts w:hint="eastAsia" w:ascii="宋体" w:hAnsi="宋体" w:cs="宋体"/>
                <w:color w:val="auto"/>
                <w:kern w:val="0"/>
                <w:sz w:val="22"/>
                <w:highlight w:val="none"/>
              </w:rPr>
              <w:t>对光栅扫描机构、狭缝传动部件等定期润滑（如钟表油），保持运动顺畅。</w:t>
            </w:r>
          </w:p>
          <w:p w14:paraId="657785FA">
            <w:pPr>
              <w:rPr>
                <w:rFonts w:ascii="宋体" w:hAnsi="宋体" w:cs="宋体"/>
                <w:color w:val="auto"/>
                <w:kern w:val="0"/>
                <w:sz w:val="22"/>
                <w:highlight w:val="none"/>
              </w:rPr>
            </w:pPr>
            <w:r>
              <w:rPr>
                <w:rFonts w:hint="eastAsia" w:ascii="宋体" w:hAnsi="宋体" w:cs="宋体"/>
                <w:color w:val="auto"/>
                <w:kern w:val="0"/>
                <w:sz w:val="22"/>
                <w:highlight w:val="none"/>
              </w:rPr>
              <w:t>电气系统检查</w:t>
            </w:r>
          </w:p>
          <w:p w14:paraId="355BA70E">
            <w:pPr>
              <w:rPr>
                <w:rFonts w:ascii="宋体" w:hAnsi="宋体" w:cs="宋体"/>
                <w:color w:val="auto"/>
                <w:kern w:val="0"/>
                <w:sz w:val="22"/>
                <w:highlight w:val="none"/>
              </w:rPr>
            </w:pPr>
            <w:r>
              <w:rPr>
                <w:rFonts w:hint="eastAsia" w:ascii="宋体" w:hAnsi="宋体" w:cs="宋体"/>
                <w:color w:val="auto"/>
                <w:kern w:val="0"/>
                <w:sz w:val="22"/>
                <w:highlight w:val="none"/>
              </w:rPr>
              <w:t>定期检查电源线、插座安全性，避免雷击或电压波动损坏仪器</w:t>
            </w:r>
            <w:r>
              <w:rPr>
                <w:rFonts w:ascii="宋体" w:hAnsi="宋体" w:cs="宋体"/>
                <w:color w:val="auto"/>
                <w:kern w:val="0"/>
                <w:sz w:val="22"/>
                <w:highlight w:val="none"/>
              </w:rPr>
              <w:t>[3][5]。</w:t>
            </w:r>
          </w:p>
        </w:tc>
      </w:tr>
      <w:tr w14:paraId="1235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4F0507B1">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紫外可见光近红外光谱仪</w:t>
            </w:r>
            <w:r>
              <w:rPr>
                <w:rFonts w:ascii="宋体" w:hAnsi="宋体" w:cs="宋体"/>
                <w:color w:val="auto"/>
                <w:kern w:val="0"/>
                <w:sz w:val="22"/>
                <w:highlight w:val="none"/>
                <w:lang w:bidi="ar"/>
              </w:rPr>
              <w:t>-Agilent</w:t>
            </w:r>
          </w:p>
        </w:tc>
        <w:tc>
          <w:tcPr>
            <w:tcW w:w="8426" w:type="dxa"/>
          </w:tcPr>
          <w:p w14:paraId="0F04FA81">
            <w:pPr>
              <w:rPr>
                <w:rFonts w:ascii="宋体" w:hAnsi="宋体" w:cs="宋体"/>
                <w:color w:val="auto"/>
                <w:kern w:val="0"/>
                <w:sz w:val="22"/>
                <w:highlight w:val="none"/>
              </w:rPr>
            </w:pPr>
            <w:r>
              <w:rPr>
                <w:rFonts w:hint="eastAsia" w:ascii="宋体" w:hAnsi="宋体" w:cs="宋体"/>
                <w:color w:val="auto"/>
                <w:kern w:val="0"/>
                <w:sz w:val="22"/>
                <w:highlight w:val="none"/>
              </w:rPr>
              <w:t>一、光学系统维护</w:t>
            </w:r>
          </w:p>
          <w:p w14:paraId="4D0ADB3D">
            <w:pPr>
              <w:rPr>
                <w:rFonts w:ascii="宋体" w:hAnsi="宋体" w:cs="宋体"/>
                <w:color w:val="auto"/>
                <w:kern w:val="0"/>
                <w:sz w:val="22"/>
                <w:highlight w:val="none"/>
              </w:rPr>
            </w:pPr>
            <w:r>
              <w:rPr>
                <w:rFonts w:hint="eastAsia" w:ascii="宋体" w:hAnsi="宋体" w:cs="宋体"/>
                <w:color w:val="auto"/>
                <w:kern w:val="0"/>
                <w:sz w:val="22"/>
                <w:highlight w:val="none"/>
              </w:rPr>
              <w:t>光源管理</w:t>
            </w:r>
          </w:p>
          <w:p w14:paraId="34898BBA">
            <w:pPr>
              <w:rPr>
                <w:rFonts w:ascii="宋体" w:hAnsi="宋体" w:cs="宋体"/>
                <w:color w:val="auto"/>
                <w:kern w:val="0"/>
                <w:sz w:val="22"/>
                <w:highlight w:val="none"/>
              </w:rPr>
            </w:pPr>
            <w:r>
              <w:rPr>
                <w:rFonts w:hint="eastAsia" w:ascii="宋体" w:hAnsi="宋体" w:cs="宋体"/>
                <w:color w:val="auto"/>
                <w:kern w:val="0"/>
                <w:sz w:val="22"/>
                <w:highlight w:val="none"/>
              </w:rPr>
              <w:t>氘灯</w:t>
            </w:r>
            <w:r>
              <w:rPr>
                <w:rFonts w:ascii="宋体" w:hAnsi="宋体" w:cs="宋体"/>
                <w:color w:val="auto"/>
                <w:kern w:val="0"/>
                <w:sz w:val="22"/>
                <w:highlight w:val="none"/>
              </w:rPr>
              <w:t xml:space="preserve">/钨灯 </w:t>
            </w:r>
            <w:r>
              <w:rPr>
                <w:rFonts w:hint="eastAsia" w:ascii="宋体" w:hAnsi="宋体" w:cs="宋体"/>
                <w:color w:val="auto"/>
                <w:kern w:val="0"/>
                <w:sz w:val="22"/>
                <w:highlight w:val="none"/>
              </w:rPr>
              <w:t>：</w:t>
            </w:r>
          </w:p>
          <w:p w14:paraId="1BC22CDF">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记录累计使用时长（氘灯寿命约</w:t>
            </w:r>
            <w:r>
              <w:rPr>
                <w:rFonts w:ascii="宋体" w:hAnsi="宋体" w:cs="宋体"/>
                <w:color w:val="auto"/>
                <w:kern w:val="0"/>
                <w:sz w:val="22"/>
                <w:highlight w:val="none"/>
              </w:rPr>
              <w:t>1000</w:t>
            </w:r>
            <w:r>
              <w:rPr>
                <w:rFonts w:hint="eastAsia" w:ascii="宋体" w:hAnsi="宋体" w:cs="宋体"/>
                <w:color w:val="auto"/>
                <w:kern w:val="0"/>
                <w:sz w:val="22"/>
                <w:highlight w:val="none"/>
              </w:rPr>
              <w:t>小时，钨灯</w:t>
            </w:r>
            <w:r>
              <w:rPr>
                <w:rFonts w:ascii="宋体" w:hAnsi="宋体" w:cs="宋体"/>
                <w:color w:val="auto"/>
                <w:kern w:val="0"/>
                <w:sz w:val="22"/>
                <w:highlight w:val="none"/>
              </w:rPr>
              <w:t>2000</w:t>
            </w:r>
            <w:r>
              <w:rPr>
                <w:rFonts w:hint="eastAsia" w:ascii="宋体" w:hAnsi="宋体" w:cs="宋体"/>
                <w:color w:val="auto"/>
                <w:kern w:val="0"/>
                <w:sz w:val="22"/>
                <w:highlight w:val="none"/>
              </w:rPr>
              <w:t>小时）</w:t>
            </w:r>
          </w:p>
          <w:p w14:paraId="034039BD">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更换后执行</w:t>
            </w:r>
            <w:r>
              <w:rPr>
                <w:rFonts w:ascii="宋体" w:hAnsi="宋体" w:cs="宋体"/>
                <w:color w:val="auto"/>
                <w:kern w:val="0"/>
                <w:sz w:val="22"/>
                <w:highlight w:val="none"/>
              </w:rPr>
              <w:t>8</w:t>
            </w:r>
            <w:r>
              <w:rPr>
                <w:rFonts w:hint="eastAsia" w:ascii="宋体" w:hAnsi="宋体" w:cs="宋体"/>
                <w:color w:val="auto"/>
                <w:kern w:val="0"/>
                <w:sz w:val="22"/>
                <w:highlight w:val="none"/>
              </w:rPr>
              <w:t>小时光强稳定化程序（</w:t>
            </w:r>
            <w:r>
              <w:rPr>
                <w:rFonts w:ascii="宋体" w:hAnsi="宋体" w:cs="宋体"/>
                <w:color w:val="auto"/>
                <w:kern w:val="0"/>
                <w:sz w:val="22"/>
                <w:highlight w:val="none"/>
              </w:rPr>
              <w:t>Cary</w:t>
            </w:r>
            <w:r>
              <w:rPr>
                <w:rFonts w:hint="eastAsia" w:ascii="宋体" w:hAnsi="宋体" w:cs="宋体"/>
                <w:color w:val="auto"/>
                <w:kern w:val="0"/>
                <w:sz w:val="22"/>
                <w:highlight w:val="none"/>
              </w:rPr>
              <w:t>系列需在</w:t>
            </w:r>
            <w:r>
              <w:rPr>
                <w:rFonts w:ascii="宋体" w:hAnsi="宋体" w:cs="宋体"/>
                <w:color w:val="auto"/>
                <w:kern w:val="0"/>
                <w:sz w:val="22"/>
                <w:highlight w:val="none"/>
              </w:rPr>
              <w:t>UV-Pro</w:t>
            </w:r>
            <w:r>
              <w:rPr>
                <w:rFonts w:hint="eastAsia" w:ascii="宋体" w:hAnsi="宋体" w:cs="宋体"/>
                <w:color w:val="auto"/>
                <w:kern w:val="0"/>
                <w:sz w:val="22"/>
                <w:highlight w:val="none"/>
              </w:rPr>
              <w:t>软件执行</w:t>
            </w:r>
            <w:r>
              <w:rPr>
                <w:rFonts w:ascii="宋体" w:hAnsi="宋体" w:cs="宋体"/>
                <w:color w:val="auto"/>
                <w:kern w:val="0"/>
                <w:sz w:val="22"/>
                <w:highlight w:val="none"/>
              </w:rPr>
              <w:t>Lamp Alignment</w:t>
            </w:r>
            <w:r>
              <w:rPr>
                <w:rFonts w:hint="eastAsia" w:ascii="宋体" w:hAnsi="宋体" w:cs="宋体"/>
                <w:color w:val="auto"/>
                <w:kern w:val="0"/>
                <w:sz w:val="22"/>
                <w:highlight w:val="none"/>
              </w:rPr>
              <w:t>）</w:t>
            </w:r>
          </w:p>
          <w:p w14:paraId="51F3A927">
            <w:pPr>
              <w:rPr>
                <w:rFonts w:ascii="宋体" w:hAnsi="宋体" w:cs="宋体"/>
                <w:color w:val="auto"/>
                <w:kern w:val="0"/>
                <w:sz w:val="22"/>
                <w:highlight w:val="none"/>
              </w:rPr>
            </w:pPr>
            <w:r>
              <w:rPr>
                <w:rFonts w:hint="eastAsia" w:ascii="宋体" w:hAnsi="宋体" w:cs="宋体"/>
                <w:color w:val="auto"/>
                <w:kern w:val="0"/>
                <w:sz w:val="22"/>
                <w:highlight w:val="none"/>
              </w:rPr>
              <w:t>近红外光源（卤素灯）</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0BAD1E6E">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每月检查散热滤网积尘情况（压缩空气反向吹扫）</w:t>
            </w:r>
          </w:p>
          <w:p w14:paraId="0B75239A">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每季度监测近红外区基线噪声（</w:t>
            </w:r>
            <w:r>
              <w:rPr>
                <w:rFonts w:ascii="宋体" w:hAnsi="宋体" w:cs="宋体"/>
                <w:color w:val="auto"/>
                <w:kern w:val="0"/>
                <w:sz w:val="22"/>
                <w:highlight w:val="none"/>
              </w:rPr>
              <w:t>NIR</w:t>
            </w:r>
            <w:r>
              <w:rPr>
                <w:rFonts w:hint="eastAsia" w:ascii="宋体" w:hAnsi="宋体" w:cs="宋体"/>
                <w:color w:val="auto"/>
                <w:kern w:val="0"/>
                <w:sz w:val="22"/>
                <w:highlight w:val="none"/>
              </w:rPr>
              <w:t>模块需满足</w:t>
            </w:r>
            <w:r>
              <w:rPr>
                <w:rFonts w:ascii="宋体" w:hAnsi="宋体" w:cs="宋体"/>
                <w:color w:val="auto"/>
                <w:kern w:val="0"/>
                <w:sz w:val="22"/>
                <w:highlight w:val="none"/>
              </w:rPr>
              <w:t>RMS</w:t>
            </w:r>
            <w:r>
              <w:rPr>
                <w:rFonts w:hint="eastAsia" w:ascii="宋体" w:hAnsi="宋体" w:cs="宋体"/>
                <w:color w:val="auto"/>
                <w:kern w:val="0"/>
                <w:sz w:val="22"/>
                <w:highlight w:val="none"/>
              </w:rPr>
              <w:t>＜</w:t>
            </w:r>
            <w:r>
              <w:rPr>
                <w:rFonts w:ascii="宋体" w:hAnsi="宋体" w:cs="宋体"/>
                <w:color w:val="auto"/>
                <w:kern w:val="0"/>
                <w:sz w:val="22"/>
                <w:highlight w:val="none"/>
              </w:rPr>
              <w:t>50μAU</w:t>
            </w:r>
            <w:r>
              <w:rPr>
                <w:rFonts w:hint="eastAsia" w:ascii="宋体" w:hAnsi="宋体" w:cs="宋体"/>
                <w:color w:val="auto"/>
                <w:kern w:val="0"/>
                <w:sz w:val="22"/>
                <w:highlight w:val="none"/>
              </w:rPr>
              <w:t>）</w:t>
            </w:r>
          </w:p>
          <w:p w14:paraId="27E382EB">
            <w:pPr>
              <w:rPr>
                <w:rFonts w:ascii="宋体" w:hAnsi="宋体" w:cs="宋体"/>
                <w:color w:val="auto"/>
                <w:kern w:val="0"/>
                <w:sz w:val="22"/>
                <w:highlight w:val="none"/>
              </w:rPr>
            </w:pPr>
            <w:r>
              <w:rPr>
                <w:rFonts w:hint="eastAsia" w:ascii="宋体" w:hAnsi="宋体" w:cs="宋体"/>
                <w:color w:val="auto"/>
                <w:kern w:val="0"/>
                <w:sz w:val="22"/>
                <w:highlight w:val="none"/>
              </w:rPr>
              <w:t>单色器维护</w:t>
            </w:r>
          </w:p>
          <w:p w14:paraId="5E223F25">
            <w:pPr>
              <w:rPr>
                <w:rFonts w:ascii="宋体" w:hAnsi="宋体" w:cs="宋体"/>
                <w:color w:val="auto"/>
                <w:kern w:val="0"/>
                <w:sz w:val="22"/>
                <w:highlight w:val="none"/>
              </w:rPr>
            </w:pPr>
            <w:r>
              <w:rPr>
                <w:rFonts w:hint="eastAsia" w:ascii="宋体" w:hAnsi="宋体" w:cs="宋体"/>
                <w:color w:val="auto"/>
                <w:kern w:val="0"/>
                <w:sz w:val="22"/>
                <w:highlight w:val="none"/>
              </w:rPr>
              <w:t>光栅驱动</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62DD5D1C">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每半年用无水乙醇清洁光栅转轴并涂抹</w:t>
            </w:r>
            <w:r>
              <w:rPr>
                <w:rFonts w:ascii="宋体" w:hAnsi="宋体" w:cs="宋体"/>
                <w:color w:val="auto"/>
                <w:kern w:val="0"/>
                <w:sz w:val="22"/>
                <w:highlight w:val="none"/>
              </w:rPr>
              <w:t>NASA</w:t>
            </w:r>
            <w:r>
              <w:rPr>
                <w:rFonts w:hint="eastAsia" w:ascii="宋体" w:hAnsi="宋体" w:cs="宋体"/>
                <w:color w:val="auto"/>
                <w:kern w:val="0"/>
                <w:sz w:val="22"/>
                <w:highlight w:val="none"/>
              </w:rPr>
              <w:t>标准润滑脂（</w:t>
            </w:r>
            <w:r>
              <w:rPr>
                <w:rFonts w:ascii="宋体" w:hAnsi="宋体" w:cs="宋体"/>
                <w:color w:val="auto"/>
                <w:kern w:val="0"/>
                <w:sz w:val="22"/>
                <w:highlight w:val="none"/>
              </w:rPr>
              <w:t>MIL-G-81322</w:t>
            </w:r>
            <w:r>
              <w:rPr>
                <w:rFonts w:hint="eastAsia" w:ascii="宋体" w:hAnsi="宋体" w:cs="宋体"/>
                <w:color w:val="auto"/>
                <w:kern w:val="0"/>
                <w:sz w:val="22"/>
                <w:highlight w:val="none"/>
              </w:rPr>
              <w:t>）</w:t>
            </w:r>
          </w:p>
          <w:p w14:paraId="6149DFE0">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验证波长精度（使用</w:t>
            </w:r>
            <w:r>
              <w:rPr>
                <w:rFonts w:ascii="宋体" w:hAnsi="宋体" w:cs="宋体"/>
                <w:color w:val="auto"/>
                <w:kern w:val="0"/>
                <w:sz w:val="22"/>
                <w:highlight w:val="none"/>
              </w:rPr>
              <w:t>Holmium Oxide</w:t>
            </w:r>
            <w:r>
              <w:rPr>
                <w:rFonts w:hint="eastAsia" w:ascii="宋体" w:hAnsi="宋体" w:cs="宋体"/>
                <w:color w:val="auto"/>
                <w:kern w:val="0"/>
                <w:sz w:val="22"/>
                <w:highlight w:val="none"/>
              </w:rPr>
              <w:t>滤光片，偏差≤±</w:t>
            </w:r>
            <w:r>
              <w:rPr>
                <w:rFonts w:ascii="宋体" w:hAnsi="宋体" w:cs="宋体"/>
                <w:color w:val="auto"/>
                <w:kern w:val="0"/>
                <w:sz w:val="22"/>
                <w:highlight w:val="none"/>
              </w:rPr>
              <w:t>0.2nm@UV-Vis</w:t>
            </w:r>
            <w:r>
              <w:rPr>
                <w:rFonts w:hint="eastAsia" w:ascii="宋体" w:hAnsi="宋体" w:cs="宋体"/>
                <w:color w:val="auto"/>
                <w:kern w:val="0"/>
                <w:sz w:val="22"/>
                <w:highlight w:val="none"/>
              </w:rPr>
              <w:t>，±</w:t>
            </w:r>
            <w:r>
              <w:rPr>
                <w:rFonts w:ascii="宋体" w:hAnsi="宋体" w:cs="宋体"/>
                <w:color w:val="auto"/>
                <w:kern w:val="0"/>
                <w:sz w:val="22"/>
                <w:highlight w:val="none"/>
              </w:rPr>
              <w:t>0.8nm@NIR</w:t>
            </w:r>
            <w:r>
              <w:rPr>
                <w:rFonts w:hint="eastAsia" w:ascii="宋体" w:hAnsi="宋体" w:cs="宋体"/>
                <w:color w:val="auto"/>
                <w:kern w:val="0"/>
                <w:sz w:val="22"/>
                <w:highlight w:val="none"/>
              </w:rPr>
              <w:t>）</w:t>
            </w:r>
          </w:p>
          <w:p w14:paraId="6A1E7302">
            <w:pPr>
              <w:rPr>
                <w:rFonts w:ascii="宋体" w:hAnsi="宋体" w:cs="宋体"/>
                <w:color w:val="auto"/>
                <w:kern w:val="0"/>
                <w:sz w:val="22"/>
                <w:highlight w:val="none"/>
              </w:rPr>
            </w:pPr>
            <w:r>
              <w:rPr>
                <w:rFonts w:hint="eastAsia" w:ascii="宋体" w:hAnsi="宋体" w:cs="宋体"/>
                <w:color w:val="auto"/>
                <w:kern w:val="0"/>
                <w:sz w:val="22"/>
                <w:highlight w:val="none"/>
              </w:rPr>
              <w:t>狭缝清洁</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2D2EFD60">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使用</w:t>
            </w:r>
            <w:r>
              <w:rPr>
                <w:rFonts w:ascii="宋体" w:hAnsi="宋体" w:cs="宋体"/>
                <w:color w:val="auto"/>
                <w:kern w:val="0"/>
                <w:sz w:val="22"/>
                <w:highlight w:val="none"/>
              </w:rPr>
              <w:t>0.22μm</w:t>
            </w:r>
            <w:r>
              <w:rPr>
                <w:rFonts w:hint="eastAsia" w:ascii="宋体" w:hAnsi="宋体" w:cs="宋体"/>
                <w:color w:val="auto"/>
                <w:kern w:val="0"/>
                <w:sz w:val="22"/>
                <w:highlight w:val="none"/>
              </w:rPr>
              <w:t>孔径滤膜蘸取光谱纯甲醇单向擦拭</w:t>
            </w:r>
          </w:p>
          <w:p w14:paraId="7EBB2A0E">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二、检测系统维护</w:t>
            </w:r>
          </w:p>
          <w:tbl>
            <w:tblPr>
              <w:tblStyle w:val="33"/>
              <w:tblW w:w="7900" w:type="dxa"/>
              <w:tblInd w:w="0" w:type="dxa"/>
              <w:tblLayout w:type="autofit"/>
              <w:tblCellMar>
                <w:top w:w="0" w:type="dxa"/>
                <w:left w:w="108" w:type="dxa"/>
                <w:bottom w:w="0" w:type="dxa"/>
                <w:right w:w="108" w:type="dxa"/>
              </w:tblCellMar>
            </w:tblPr>
            <w:tblGrid>
              <w:gridCol w:w="1780"/>
              <w:gridCol w:w="2500"/>
              <w:gridCol w:w="3620"/>
            </w:tblGrid>
            <w:tr w14:paraId="1E1E6560">
              <w:tblPrEx>
                <w:tblCellMar>
                  <w:top w:w="0" w:type="dxa"/>
                  <w:left w:w="108" w:type="dxa"/>
                  <w:bottom w:w="0" w:type="dxa"/>
                  <w:right w:w="108" w:type="dxa"/>
                </w:tblCellMar>
              </w:tblPrEx>
              <w:trPr>
                <w:trHeight w:val="280"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D4967A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检测器类型</w:t>
                  </w:r>
                </w:p>
              </w:tc>
              <w:tc>
                <w:tcPr>
                  <w:tcW w:w="2500" w:type="dxa"/>
                  <w:tcBorders>
                    <w:top w:val="single" w:color="auto" w:sz="4" w:space="0"/>
                    <w:left w:val="nil"/>
                    <w:bottom w:val="single" w:color="auto" w:sz="4" w:space="0"/>
                    <w:right w:val="single" w:color="auto" w:sz="4" w:space="0"/>
                  </w:tcBorders>
                  <w:shd w:val="clear" w:color="auto" w:fill="auto"/>
                  <w:vAlign w:val="center"/>
                </w:tcPr>
                <w:p w14:paraId="341A423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维护要点</w:t>
                  </w:r>
                </w:p>
              </w:tc>
              <w:tc>
                <w:tcPr>
                  <w:tcW w:w="3620" w:type="dxa"/>
                  <w:tcBorders>
                    <w:top w:val="single" w:color="auto" w:sz="4" w:space="0"/>
                    <w:left w:val="nil"/>
                    <w:bottom w:val="single" w:color="auto" w:sz="4" w:space="0"/>
                    <w:right w:val="single" w:color="auto" w:sz="4" w:space="0"/>
                  </w:tcBorders>
                  <w:shd w:val="clear" w:color="auto" w:fill="auto"/>
                  <w:vAlign w:val="center"/>
                </w:tcPr>
                <w:p w14:paraId="6E6B1C0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性能验证标准</w:t>
                  </w:r>
                </w:p>
              </w:tc>
            </w:tr>
            <w:tr w14:paraId="2339D82D">
              <w:tblPrEx>
                <w:tblCellMar>
                  <w:top w:w="0" w:type="dxa"/>
                  <w:left w:w="108" w:type="dxa"/>
                  <w:bottom w:w="0" w:type="dxa"/>
                  <w:right w:w="108" w:type="dxa"/>
                </w:tblCellMar>
              </w:tblPrEx>
              <w:trPr>
                <w:trHeight w:val="560"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0F23D60A">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光电倍增管</w:t>
                  </w:r>
                </w:p>
              </w:tc>
              <w:tc>
                <w:tcPr>
                  <w:tcW w:w="2500" w:type="dxa"/>
                  <w:tcBorders>
                    <w:top w:val="nil"/>
                    <w:left w:val="nil"/>
                    <w:bottom w:val="single" w:color="auto" w:sz="4" w:space="0"/>
                    <w:right w:val="single" w:color="auto" w:sz="4" w:space="0"/>
                  </w:tcBorders>
                  <w:shd w:val="clear" w:color="auto" w:fill="auto"/>
                  <w:vAlign w:val="center"/>
                </w:tcPr>
                <w:p w14:paraId="6CD7000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每月暗电流测试（＜</w:t>
                  </w:r>
                  <w:r>
                    <w:rPr>
                      <w:rFonts w:ascii="宋体" w:hAnsi="宋体" w:cs="宋体"/>
                      <w:color w:val="auto"/>
                      <w:kern w:val="0"/>
                      <w:sz w:val="22"/>
                      <w:highlight w:val="none"/>
                    </w:rPr>
                    <w:t>1nA@-700mV偏压）</w:t>
                  </w:r>
                </w:p>
              </w:tc>
              <w:tc>
                <w:tcPr>
                  <w:tcW w:w="3620" w:type="dxa"/>
                  <w:tcBorders>
                    <w:top w:val="nil"/>
                    <w:left w:val="nil"/>
                    <w:bottom w:val="single" w:color="auto" w:sz="4" w:space="0"/>
                    <w:right w:val="single" w:color="auto" w:sz="4" w:space="0"/>
                  </w:tcBorders>
                  <w:shd w:val="clear" w:color="auto" w:fill="auto"/>
                  <w:vAlign w:val="center"/>
                </w:tcPr>
                <w:p w14:paraId="0F28971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信噪比＞</w:t>
                  </w:r>
                  <w:r>
                    <w:rPr>
                      <w:rFonts w:ascii="宋体" w:hAnsi="宋体" w:cs="宋体"/>
                      <w:color w:val="auto"/>
                      <w:kern w:val="0"/>
                      <w:sz w:val="22"/>
                      <w:highlight w:val="none"/>
                    </w:rPr>
                    <w:t>1000:1（苯蒸气紫外谱）</w:t>
                  </w:r>
                </w:p>
              </w:tc>
            </w:tr>
            <w:tr w14:paraId="380869F5">
              <w:tblPrEx>
                <w:tblCellMar>
                  <w:top w:w="0" w:type="dxa"/>
                  <w:left w:w="108" w:type="dxa"/>
                  <w:bottom w:w="0" w:type="dxa"/>
                  <w:right w:w="108" w:type="dxa"/>
                </w:tblCellMar>
              </w:tblPrEx>
              <w:trPr>
                <w:trHeight w:val="560"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7D27095D">
                  <w:pPr>
                    <w:widowControl/>
                    <w:jc w:val="left"/>
                    <w:rPr>
                      <w:rFonts w:ascii="宋体" w:hAnsi="宋体" w:cs="宋体"/>
                      <w:color w:val="auto"/>
                      <w:kern w:val="0"/>
                      <w:sz w:val="22"/>
                      <w:highlight w:val="none"/>
                    </w:rPr>
                  </w:pPr>
                  <w:r>
                    <w:rPr>
                      <w:rFonts w:ascii="宋体" w:hAnsi="宋体" w:cs="宋体"/>
                      <w:color w:val="auto"/>
                      <w:kern w:val="0"/>
                      <w:sz w:val="22"/>
                      <w:highlight w:val="none"/>
                    </w:rPr>
                    <w:t>InGaAs检测器</w:t>
                  </w:r>
                </w:p>
              </w:tc>
              <w:tc>
                <w:tcPr>
                  <w:tcW w:w="2500" w:type="dxa"/>
                  <w:tcBorders>
                    <w:top w:val="nil"/>
                    <w:left w:val="nil"/>
                    <w:bottom w:val="single" w:color="auto" w:sz="4" w:space="0"/>
                    <w:right w:val="single" w:color="auto" w:sz="4" w:space="0"/>
                  </w:tcBorders>
                  <w:shd w:val="clear" w:color="auto" w:fill="auto"/>
                  <w:vAlign w:val="center"/>
                </w:tcPr>
                <w:p w14:paraId="5D9F3EE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保持液氮杜瓦瓶填充（冷指温度＜</w:t>
                  </w:r>
                  <w:r>
                    <w:rPr>
                      <w:rFonts w:ascii="宋体" w:hAnsi="宋体" w:cs="宋体"/>
                      <w:color w:val="auto"/>
                      <w:kern w:val="0"/>
                      <w:sz w:val="22"/>
                      <w:highlight w:val="none"/>
                    </w:rPr>
                    <w:t>-190℃）</w:t>
                  </w:r>
                </w:p>
              </w:tc>
              <w:tc>
                <w:tcPr>
                  <w:tcW w:w="3620" w:type="dxa"/>
                  <w:tcBorders>
                    <w:top w:val="nil"/>
                    <w:left w:val="nil"/>
                    <w:bottom w:val="single" w:color="auto" w:sz="4" w:space="0"/>
                    <w:right w:val="single" w:color="auto" w:sz="4" w:space="0"/>
                  </w:tcBorders>
                  <w:shd w:val="clear" w:color="auto" w:fill="auto"/>
                  <w:vAlign w:val="center"/>
                </w:tcPr>
                <w:p w14:paraId="413C0E9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响应线性度</w:t>
                  </w:r>
                  <w:r>
                    <w:rPr>
                      <w:rFonts w:ascii="宋体" w:hAnsi="宋体" w:cs="宋体"/>
                      <w:color w:val="auto"/>
                      <w:kern w:val="0"/>
                      <w:sz w:val="22"/>
                      <w:highlight w:val="none"/>
                    </w:rPr>
                    <w:t>R²＞0.9995@1500nm</w:t>
                  </w:r>
                </w:p>
              </w:tc>
            </w:tr>
            <w:tr w14:paraId="0DF71C40">
              <w:tblPrEx>
                <w:tblCellMar>
                  <w:top w:w="0" w:type="dxa"/>
                  <w:left w:w="108" w:type="dxa"/>
                  <w:bottom w:w="0" w:type="dxa"/>
                  <w:right w:w="108" w:type="dxa"/>
                </w:tblCellMar>
              </w:tblPrEx>
              <w:trPr>
                <w:trHeight w:val="560"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35D5B133">
                  <w:pPr>
                    <w:widowControl/>
                    <w:jc w:val="left"/>
                    <w:rPr>
                      <w:rFonts w:ascii="宋体" w:hAnsi="宋体" w:cs="宋体"/>
                      <w:color w:val="auto"/>
                      <w:kern w:val="0"/>
                      <w:sz w:val="22"/>
                      <w:highlight w:val="none"/>
                    </w:rPr>
                  </w:pPr>
                  <w:r>
                    <w:rPr>
                      <w:rFonts w:ascii="宋体" w:hAnsi="宋体" w:cs="宋体"/>
                      <w:color w:val="auto"/>
                      <w:kern w:val="0"/>
                      <w:sz w:val="22"/>
                      <w:highlight w:val="none"/>
                    </w:rPr>
                    <w:t>DLaTGS检测器</w:t>
                  </w:r>
                </w:p>
              </w:tc>
              <w:tc>
                <w:tcPr>
                  <w:tcW w:w="2500" w:type="dxa"/>
                  <w:tcBorders>
                    <w:top w:val="nil"/>
                    <w:left w:val="nil"/>
                    <w:bottom w:val="single" w:color="auto" w:sz="4" w:space="0"/>
                    <w:right w:val="single" w:color="auto" w:sz="4" w:space="0"/>
                  </w:tcBorders>
                  <w:shd w:val="clear" w:color="auto" w:fill="auto"/>
                  <w:vAlign w:val="center"/>
                </w:tcPr>
                <w:p w14:paraId="61FBB92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每季度检查</w:t>
                  </w:r>
                  <w:r>
                    <w:rPr>
                      <w:rFonts w:ascii="宋体" w:hAnsi="宋体" w:cs="宋体"/>
                      <w:color w:val="auto"/>
                      <w:kern w:val="0"/>
                      <w:sz w:val="22"/>
                      <w:highlight w:val="none"/>
                    </w:rPr>
                    <w:t>KBr窗片透光率衰减</w:t>
                  </w:r>
                </w:p>
              </w:tc>
              <w:tc>
                <w:tcPr>
                  <w:tcW w:w="3620" w:type="dxa"/>
                  <w:tcBorders>
                    <w:top w:val="nil"/>
                    <w:left w:val="nil"/>
                    <w:bottom w:val="single" w:color="auto" w:sz="4" w:space="0"/>
                    <w:right w:val="single" w:color="auto" w:sz="4" w:space="0"/>
                  </w:tcBorders>
                  <w:shd w:val="clear" w:color="auto" w:fill="auto"/>
                  <w:vAlign w:val="center"/>
                </w:tcPr>
                <w:p w14:paraId="10FB264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峰位重复性≤±</w:t>
                  </w:r>
                  <w:r>
                    <w:rPr>
                      <w:rFonts w:ascii="宋体" w:hAnsi="宋体" w:cs="宋体"/>
                      <w:color w:val="auto"/>
                      <w:kern w:val="0"/>
                      <w:sz w:val="22"/>
                      <w:highlight w:val="none"/>
                    </w:rPr>
                    <w:t>2cm⁻</w:t>
                  </w:r>
                  <w:r>
                    <w:rPr>
                      <w:rFonts w:hint="eastAsia" w:ascii="宋体" w:hAnsi="宋体" w:cs="宋体"/>
                      <w:color w:val="auto"/>
                      <w:kern w:val="0"/>
                      <w:sz w:val="22"/>
                      <w:highlight w:val="none"/>
                    </w:rPr>
                    <w:t>¹</w:t>
                  </w:r>
                </w:p>
              </w:tc>
            </w:tr>
          </w:tbl>
          <w:p w14:paraId="5C03832A">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三、关键维护流程</w:t>
            </w:r>
          </w:p>
          <w:p w14:paraId="0DCBB9C7">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基线校正</w:t>
            </w:r>
          </w:p>
          <w:p w14:paraId="5BA2C0C3">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空光路扫描基线漂移应满足：</w:t>
            </w:r>
          </w:p>
          <w:p w14:paraId="0DC9DEE5">
            <w:pPr>
              <w:pStyle w:val="2"/>
              <w:ind w:firstLine="224"/>
              <w:rPr>
                <w:rFonts w:ascii="宋体" w:hAnsi="宋体" w:cs="宋体"/>
                <w:color w:val="auto"/>
                <w:sz w:val="22"/>
                <w:szCs w:val="22"/>
                <w:highlight w:val="none"/>
              </w:rPr>
            </w:pPr>
            <w:r>
              <w:rPr>
                <w:rFonts w:ascii="宋体" w:hAnsi="宋体" w:cs="宋体"/>
                <w:color w:val="auto"/>
                <w:sz w:val="22"/>
                <w:szCs w:val="22"/>
                <w:highlight w:val="none"/>
              </w:rPr>
              <w:t>▪ UV-Vis</w:t>
            </w:r>
            <w:r>
              <w:rPr>
                <w:rFonts w:hint="eastAsia" w:ascii="宋体" w:hAnsi="宋体" w:cs="宋体"/>
                <w:color w:val="auto"/>
                <w:sz w:val="22"/>
                <w:szCs w:val="22"/>
                <w:highlight w:val="none"/>
              </w:rPr>
              <w:t>（</w:t>
            </w:r>
            <w:r>
              <w:rPr>
                <w:rFonts w:ascii="宋体" w:hAnsi="宋体" w:cs="宋体"/>
                <w:color w:val="auto"/>
                <w:sz w:val="22"/>
                <w:szCs w:val="22"/>
                <w:highlight w:val="none"/>
              </w:rPr>
              <w:t>200-900nm</w:t>
            </w:r>
            <w:r>
              <w:rPr>
                <w:rFonts w:hint="eastAsia" w:ascii="宋体" w:hAnsi="宋体" w:cs="宋体"/>
                <w:color w:val="auto"/>
                <w:sz w:val="22"/>
                <w:szCs w:val="22"/>
                <w:highlight w:val="none"/>
              </w:rPr>
              <w:t>）：＜±</w:t>
            </w:r>
            <w:r>
              <w:rPr>
                <w:rFonts w:ascii="宋体" w:hAnsi="宋体" w:cs="宋体"/>
                <w:color w:val="auto"/>
                <w:sz w:val="22"/>
                <w:szCs w:val="22"/>
                <w:highlight w:val="none"/>
              </w:rPr>
              <w:t>0.001AU/h</w:t>
            </w:r>
          </w:p>
          <w:p w14:paraId="1478B9CE">
            <w:pPr>
              <w:pStyle w:val="2"/>
              <w:ind w:firstLine="224"/>
              <w:rPr>
                <w:rFonts w:ascii="宋体" w:hAnsi="宋体" w:cs="宋体"/>
                <w:color w:val="auto"/>
                <w:sz w:val="22"/>
                <w:szCs w:val="22"/>
                <w:highlight w:val="none"/>
              </w:rPr>
            </w:pPr>
            <w:r>
              <w:rPr>
                <w:rFonts w:ascii="宋体" w:hAnsi="宋体" w:cs="宋体"/>
                <w:color w:val="auto"/>
                <w:sz w:val="22"/>
                <w:szCs w:val="22"/>
                <w:highlight w:val="none"/>
              </w:rPr>
              <w:t>▪ NIR</w:t>
            </w:r>
            <w:r>
              <w:rPr>
                <w:rFonts w:hint="eastAsia" w:ascii="宋体" w:hAnsi="宋体" w:cs="宋体"/>
                <w:color w:val="auto"/>
                <w:sz w:val="22"/>
                <w:szCs w:val="22"/>
                <w:highlight w:val="none"/>
              </w:rPr>
              <w:t>（</w:t>
            </w:r>
            <w:r>
              <w:rPr>
                <w:rFonts w:ascii="宋体" w:hAnsi="宋体" w:cs="宋体"/>
                <w:color w:val="auto"/>
                <w:sz w:val="22"/>
                <w:szCs w:val="22"/>
                <w:highlight w:val="none"/>
              </w:rPr>
              <w:t>800-2500nm</w:t>
            </w:r>
            <w:r>
              <w:rPr>
                <w:rFonts w:hint="eastAsia" w:ascii="宋体" w:hAnsi="宋体" w:cs="宋体"/>
                <w:color w:val="auto"/>
                <w:sz w:val="22"/>
                <w:szCs w:val="22"/>
                <w:highlight w:val="none"/>
              </w:rPr>
              <w:t>）：＜±</w:t>
            </w:r>
            <w:r>
              <w:rPr>
                <w:rFonts w:ascii="宋体" w:hAnsi="宋体" w:cs="宋体"/>
                <w:color w:val="auto"/>
                <w:sz w:val="22"/>
                <w:szCs w:val="22"/>
                <w:highlight w:val="none"/>
              </w:rPr>
              <w:t>0.0005AU/h</w:t>
            </w:r>
          </w:p>
          <w:p w14:paraId="767CD9AB">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异常漂移时检查：</w:t>
            </w:r>
          </w:p>
          <w:p w14:paraId="2EB75A0D">
            <w:pPr>
              <w:pStyle w:val="2"/>
              <w:ind w:firstLine="224"/>
              <w:rPr>
                <w:rFonts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实验室温湿度波动（要求±</w:t>
            </w:r>
            <w:r>
              <w:rPr>
                <w:rFonts w:ascii="宋体" w:hAnsi="宋体" w:cs="宋体"/>
                <w:color w:val="auto"/>
                <w:sz w:val="22"/>
                <w:szCs w:val="22"/>
                <w:highlight w:val="none"/>
              </w:rPr>
              <w:t>2</w:t>
            </w:r>
            <w:r>
              <w:rPr>
                <w:rFonts w:hint="eastAsia" w:ascii="宋体" w:hAnsi="宋体" w:cs="宋体"/>
                <w:color w:val="auto"/>
                <w:sz w:val="22"/>
                <w:szCs w:val="22"/>
                <w:highlight w:val="none"/>
              </w:rPr>
              <w:t>℃</w:t>
            </w:r>
            <w:r>
              <w:rPr>
                <w:rFonts w:ascii="宋体" w:hAnsi="宋体" w:cs="宋体"/>
                <w:color w:val="auto"/>
                <w:sz w:val="22"/>
                <w:szCs w:val="22"/>
                <w:highlight w:val="none"/>
              </w:rPr>
              <w:t>/h</w:t>
            </w:r>
            <w:r>
              <w:rPr>
                <w:rFonts w:hint="eastAsia" w:ascii="宋体" w:hAnsi="宋体" w:cs="宋体"/>
                <w:color w:val="auto"/>
                <w:sz w:val="22"/>
                <w:szCs w:val="22"/>
                <w:highlight w:val="none"/>
              </w:rPr>
              <w:t>，</w:t>
            </w:r>
            <w:r>
              <w:rPr>
                <w:rFonts w:ascii="宋体" w:hAnsi="宋体" w:cs="宋体"/>
                <w:color w:val="auto"/>
                <w:sz w:val="22"/>
                <w:szCs w:val="22"/>
                <w:highlight w:val="none"/>
              </w:rPr>
              <w:t>RH 40-60%</w:t>
            </w:r>
            <w:r>
              <w:rPr>
                <w:rFonts w:hint="eastAsia" w:ascii="宋体" w:hAnsi="宋体" w:cs="宋体"/>
                <w:color w:val="auto"/>
                <w:sz w:val="22"/>
                <w:szCs w:val="22"/>
                <w:highlight w:val="none"/>
              </w:rPr>
              <w:t>）</w:t>
            </w:r>
          </w:p>
          <w:p w14:paraId="4B0671F9">
            <w:pPr>
              <w:pStyle w:val="2"/>
              <w:ind w:firstLine="224"/>
              <w:rPr>
                <w:rFonts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仪器接地电阻（＜</w:t>
            </w:r>
            <w:r>
              <w:rPr>
                <w:rFonts w:ascii="宋体" w:hAnsi="宋体" w:cs="宋体"/>
                <w:color w:val="auto"/>
                <w:sz w:val="22"/>
                <w:szCs w:val="22"/>
                <w:highlight w:val="none"/>
              </w:rPr>
              <w:t>1Ω</w:t>
            </w:r>
            <w:r>
              <w:rPr>
                <w:rFonts w:hint="eastAsia" w:ascii="宋体" w:hAnsi="宋体" w:cs="宋体"/>
                <w:color w:val="auto"/>
                <w:sz w:val="22"/>
                <w:szCs w:val="22"/>
                <w:highlight w:val="none"/>
              </w:rPr>
              <w:t>）</w:t>
            </w:r>
          </w:p>
          <w:p w14:paraId="514F41B6">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比色皿支架校准</w:t>
            </w:r>
          </w:p>
          <w:p w14:paraId="6898BE4E">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使用</w:t>
            </w:r>
            <w:r>
              <w:rPr>
                <w:rFonts w:ascii="宋体" w:hAnsi="宋体" w:cs="宋体"/>
                <w:color w:val="auto"/>
                <w:sz w:val="22"/>
                <w:szCs w:val="22"/>
                <w:highlight w:val="none"/>
              </w:rPr>
              <w:t>NIST标准比色皿（SRM 2031）验证光路准直性：</w:t>
            </w:r>
          </w:p>
          <w:p w14:paraId="46C99259">
            <w:pPr>
              <w:pStyle w:val="2"/>
              <w:ind w:firstLine="224"/>
              <w:rPr>
                <w:rFonts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八位置重复测量</w:t>
            </w:r>
            <w:r>
              <w:rPr>
                <w:rFonts w:ascii="宋体" w:hAnsi="宋体" w:cs="宋体"/>
                <w:color w:val="auto"/>
                <w:sz w:val="22"/>
                <w:szCs w:val="22"/>
                <w:highlight w:val="none"/>
              </w:rPr>
              <w:t>CV</w:t>
            </w:r>
            <w:r>
              <w:rPr>
                <w:rFonts w:hint="eastAsia" w:ascii="宋体" w:hAnsi="宋体" w:cs="宋体"/>
                <w:color w:val="auto"/>
                <w:sz w:val="22"/>
                <w:szCs w:val="22"/>
                <w:highlight w:val="none"/>
              </w:rPr>
              <w:t>值＜</w:t>
            </w:r>
            <w:r>
              <w:rPr>
                <w:rFonts w:ascii="宋体" w:hAnsi="宋体" w:cs="宋体"/>
                <w:color w:val="auto"/>
                <w:sz w:val="22"/>
                <w:szCs w:val="22"/>
                <w:highlight w:val="none"/>
              </w:rPr>
              <w:t>0.3%</w:t>
            </w:r>
          </w:p>
          <w:p w14:paraId="3E003C45">
            <w:pPr>
              <w:pStyle w:val="2"/>
              <w:ind w:firstLine="224"/>
              <w:rPr>
                <w:rFonts w:ascii="宋体" w:hAnsi="宋体" w:cs="宋体"/>
                <w:color w:val="auto"/>
                <w:sz w:val="22"/>
                <w:szCs w:val="22"/>
                <w:highlight w:val="none"/>
              </w:rPr>
            </w:pPr>
            <w:r>
              <w:rPr>
                <w:rFonts w:ascii="宋体" w:hAnsi="宋体" w:cs="宋体"/>
                <w:color w:val="auto"/>
                <w:sz w:val="22"/>
                <w:szCs w:val="22"/>
                <w:highlight w:val="none"/>
              </w:rPr>
              <w:t xml:space="preserve">▪ </w:t>
            </w:r>
            <w:r>
              <w:rPr>
                <w:rFonts w:hint="eastAsia" w:ascii="宋体" w:hAnsi="宋体" w:cs="宋体"/>
                <w:color w:val="auto"/>
                <w:sz w:val="22"/>
                <w:szCs w:val="22"/>
                <w:highlight w:val="none"/>
              </w:rPr>
              <w:t>自动进样器定位精度±</w:t>
            </w:r>
            <w:r>
              <w:rPr>
                <w:rFonts w:ascii="宋体" w:hAnsi="宋体" w:cs="宋体"/>
                <w:color w:val="auto"/>
                <w:sz w:val="22"/>
                <w:szCs w:val="22"/>
                <w:highlight w:val="none"/>
              </w:rPr>
              <w:t>0.1mm</w:t>
            </w:r>
          </w:p>
          <w:p w14:paraId="2A14F809">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四、预防性维护计划</w:t>
            </w:r>
          </w:p>
          <w:tbl>
            <w:tblPr>
              <w:tblStyle w:val="33"/>
              <w:tblW w:w="7600" w:type="dxa"/>
              <w:tblInd w:w="0" w:type="dxa"/>
              <w:tblLayout w:type="autofit"/>
              <w:tblCellMar>
                <w:top w:w="0" w:type="dxa"/>
                <w:left w:w="108" w:type="dxa"/>
                <w:bottom w:w="0" w:type="dxa"/>
                <w:right w:w="108" w:type="dxa"/>
              </w:tblCellMar>
            </w:tblPr>
            <w:tblGrid>
              <w:gridCol w:w="1040"/>
              <w:gridCol w:w="2980"/>
              <w:gridCol w:w="3580"/>
            </w:tblGrid>
            <w:tr w14:paraId="0F617CA0">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017C4A5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周期</w:t>
                  </w:r>
                </w:p>
              </w:tc>
              <w:tc>
                <w:tcPr>
                  <w:tcW w:w="2980" w:type="dxa"/>
                  <w:tcBorders>
                    <w:top w:val="single" w:color="auto" w:sz="4" w:space="0"/>
                    <w:left w:val="nil"/>
                    <w:bottom w:val="single" w:color="auto" w:sz="4" w:space="0"/>
                    <w:right w:val="single" w:color="auto" w:sz="4" w:space="0"/>
                  </w:tcBorders>
                  <w:shd w:val="clear" w:color="auto" w:fill="auto"/>
                  <w:vAlign w:val="center"/>
                </w:tcPr>
                <w:p w14:paraId="183D842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操作项目</w:t>
                  </w:r>
                </w:p>
              </w:tc>
              <w:tc>
                <w:tcPr>
                  <w:tcW w:w="3580" w:type="dxa"/>
                  <w:tcBorders>
                    <w:top w:val="single" w:color="auto" w:sz="4" w:space="0"/>
                    <w:left w:val="nil"/>
                    <w:bottom w:val="single" w:color="auto" w:sz="4" w:space="0"/>
                    <w:right w:val="single" w:color="auto" w:sz="4" w:space="0"/>
                  </w:tcBorders>
                  <w:shd w:val="clear" w:color="auto" w:fill="auto"/>
                  <w:vAlign w:val="center"/>
                </w:tcPr>
                <w:p w14:paraId="0B030EF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技术规范</w:t>
                  </w:r>
                </w:p>
              </w:tc>
            </w:tr>
            <w:tr w14:paraId="69245CB9">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29F6B704">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每日</w:t>
                  </w:r>
                </w:p>
              </w:tc>
              <w:tc>
                <w:tcPr>
                  <w:tcW w:w="2980" w:type="dxa"/>
                  <w:tcBorders>
                    <w:top w:val="nil"/>
                    <w:left w:val="nil"/>
                    <w:bottom w:val="single" w:color="auto" w:sz="4" w:space="0"/>
                    <w:right w:val="single" w:color="auto" w:sz="4" w:space="0"/>
                  </w:tcBorders>
                  <w:shd w:val="clear" w:color="auto" w:fill="auto"/>
                  <w:vAlign w:val="center"/>
                </w:tcPr>
                <w:p w14:paraId="78D7EF13">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环境监测（温度</w:t>
                  </w:r>
                  <w:r>
                    <w:rPr>
                      <w:rFonts w:ascii="宋体" w:hAnsi="宋体" w:cs="宋体"/>
                      <w:color w:val="auto"/>
                      <w:kern w:val="0"/>
                      <w:sz w:val="22"/>
                      <w:highlight w:val="none"/>
                    </w:rPr>
                    <w:t xml:space="preserve">/湿度/震动）&lt;br&gt;2. </w:t>
                  </w:r>
                  <w:r>
                    <w:rPr>
                      <w:rFonts w:hint="eastAsia" w:ascii="宋体" w:hAnsi="宋体" w:cs="宋体"/>
                      <w:color w:val="auto"/>
                      <w:kern w:val="0"/>
                      <w:sz w:val="22"/>
                      <w:highlight w:val="none"/>
                    </w:rPr>
                    <w:t>开机预热（</w:t>
                  </w:r>
                  <w:r>
                    <w:rPr>
                      <w:rFonts w:ascii="宋体" w:hAnsi="宋体" w:cs="宋体"/>
                      <w:color w:val="auto"/>
                      <w:kern w:val="0"/>
                      <w:sz w:val="22"/>
                      <w:highlight w:val="none"/>
                    </w:rPr>
                    <w:t>UV-Vis模块需30分钟）</w:t>
                  </w:r>
                </w:p>
              </w:tc>
              <w:tc>
                <w:tcPr>
                  <w:tcW w:w="3580" w:type="dxa"/>
                  <w:tcBorders>
                    <w:top w:val="nil"/>
                    <w:left w:val="nil"/>
                    <w:bottom w:val="single" w:color="auto" w:sz="4" w:space="0"/>
                    <w:right w:val="single" w:color="auto" w:sz="4" w:space="0"/>
                  </w:tcBorders>
                  <w:shd w:val="clear" w:color="auto" w:fill="auto"/>
                  <w:vAlign w:val="center"/>
                </w:tcPr>
                <w:p w14:paraId="0EFBB39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环境震动＜</w:t>
                  </w:r>
                  <w:r>
                    <w:rPr>
                      <w:rFonts w:ascii="宋体" w:hAnsi="宋体" w:cs="宋体"/>
                      <w:color w:val="auto"/>
                      <w:kern w:val="0"/>
                      <w:sz w:val="22"/>
                      <w:highlight w:val="none"/>
                    </w:rPr>
                    <w:t>7μm/s（ISO 1940标准）</w:t>
                  </w:r>
                </w:p>
              </w:tc>
            </w:tr>
            <w:tr w14:paraId="11C86240">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3306150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月度</w:t>
                  </w:r>
                </w:p>
              </w:tc>
              <w:tc>
                <w:tcPr>
                  <w:tcW w:w="2980" w:type="dxa"/>
                  <w:tcBorders>
                    <w:top w:val="nil"/>
                    <w:left w:val="nil"/>
                    <w:bottom w:val="single" w:color="auto" w:sz="4" w:space="0"/>
                    <w:right w:val="single" w:color="auto" w:sz="4" w:space="0"/>
                  </w:tcBorders>
                  <w:shd w:val="clear" w:color="auto" w:fill="auto"/>
                  <w:vAlign w:val="center"/>
                </w:tcPr>
                <w:p w14:paraId="0B607B24">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光源输出稳定性测试</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液氮液位检查（仅</w:t>
                  </w:r>
                  <w:r>
                    <w:rPr>
                      <w:rFonts w:ascii="宋体" w:hAnsi="宋体" w:cs="宋体"/>
                      <w:color w:val="auto"/>
                      <w:kern w:val="0"/>
                      <w:sz w:val="22"/>
                      <w:highlight w:val="none"/>
                    </w:rPr>
                    <w:t>NIR）</w:t>
                  </w:r>
                </w:p>
              </w:tc>
              <w:tc>
                <w:tcPr>
                  <w:tcW w:w="3580" w:type="dxa"/>
                  <w:tcBorders>
                    <w:top w:val="nil"/>
                    <w:left w:val="nil"/>
                    <w:bottom w:val="single" w:color="auto" w:sz="4" w:space="0"/>
                    <w:right w:val="single" w:color="auto" w:sz="4" w:space="0"/>
                  </w:tcBorders>
                  <w:shd w:val="clear" w:color="auto" w:fill="auto"/>
                  <w:vAlign w:val="center"/>
                </w:tcPr>
                <w:p w14:paraId="0F60DB4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氘灯强度衰减＜</w:t>
                  </w:r>
                  <w:r>
                    <w:rPr>
                      <w:rFonts w:ascii="宋体" w:hAnsi="宋体" w:cs="宋体"/>
                      <w:color w:val="auto"/>
                      <w:kern w:val="0"/>
                      <w:sz w:val="22"/>
                      <w:highlight w:val="none"/>
                    </w:rPr>
                    <w:t>5%/100h</w:t>
                  </w:r>
                </w:p>
              </w:tc>
            </w:tr>
            <w:tr w14:paraId="3E13B7DC">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4F6DDA9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季度</w:t>
                  </w:r>
                </w:p>
              </w:tc>
              <w:tc>
                <w:tcPr>
                  <w:tcW w:w="2980" w:type="dxa"/>
                  <w:tcBorders>
                    <w:top w:val="nil"/>
                    <w:left w:val="nil"/>
                    <w:bottom w:val="single" w:color="auto" w:sz="4" w:space="0"/>
                    <w:right w:val="single" w:color="auto" w:sz="4" w:space="0"/>
                  </w:tcBorders>
                  <w:shd w:val="clear" w:color="auto" w:fill="auto"/>
                  <w:vAlign w:val="center"/>
                </w:tcPr>
                <w:p w14:paraId="446876B4">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波长准确性校准</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检测器线性度验证</w:t>
                  </w:r>
                </w:p>
              </w:tc>
              <w:tc>
                <w:tcPr>
                  <w:tcW w:w="3580" w:type="dxa"/>
                  <w:tcBorders>
                    <w:top w:val="nil"/>
                    <w:left w:val="nil"/>
                    <w:bottom w:val="single" w:color="auto" w:sz="4" w:space="0"/>
                    <w:right w:val="single" w:color="auto" w:sz="4" w:space="0"/>
                  </w:tcBorders>
                  <w:shd w:val="clear" w:color="auto" w:fill="auto"/>
                  <w:vAlign w:val="center"/>
                </w:tcPr>
                <w:p w14:paraId="769E9DA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使用</w:t>
                  </w:r>
                  <w:r>
                    <w:rPr>
                      <w:rFonts w:ascii="宋体" w:hAnsi="宋体" w:cs="宋体"/>
                      <w:color w:val="auto"/>
                      <w:kern w:val="0"/>
                      <w:sz w:val="22"/>
                      <w:highlight w:val="none"/>
                    </w:rPr>
                    <w:t>SRM 930e玻璃滤光片</w:t>
                  </w:r>
                </w:p>
              </w:tc>
            </w:tr>
            <w:tr w14:paraId="5C91763F">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15814DD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年度</w:t>
                  </w:r>
                </w:p>
              </w:tc>
              <w:tc>
                <w:tcPr>
                  <w:tcW w:w="2980" w:type="dxa"/>
                  <w:tcBorders>
                    <w:top w:val="nil"/>
                    <w:left w:val="nil"/>
                    <w:bottom w:val="single" w:color="auto" w:sz="4" w:space="0"/>
                    <w:right w:val="single" w:color="auto" w:sz="4" w:space="0"/>
                  </w:tcBorders>
                  <w:shd w:val="clear" w:color="auto" w:fill="auto"/>
                  <w:vAlign w:val="center"/>
                </w:tcPr>
                <w:p w14:paraId="1C92E4B4">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光路准直调整</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机械传动系统大修</w:t>
                  </w:r>
                </w:p>
              </w:tc>
              <w:tc>
                <w:tcPr>
                  <w:tcW w:w="3580" w:type="dxa"/>
                  <w:tcBorders>
                    <w:top w:val="nil"/>
                    <w:left w:val="nil"/>
                    <w:bottom w:val="single" w:color="auto" w:sz="4" w:space="0"/>
                    <w:right w:val="single" w:color="auto" w:sz="4" w:space="0"/>
                  </w:tcBorders>
                  <w:shd w:val="clear" w:color="auto" w:fill="auto"/>
                  <w:vAlign w:val="center"/>
                </w:tcPr>
                <w:p w14:paraId="4A5C937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需</w:t>
                  </w:r>
                  <w:r>
                    <w:rPr>
                      <w:rFonts w:ascii="宋体" w:hAnsi="宋体" w:cs="宋体"/>
                      <w:color w:val="auto"/>
                      <w:kern w:val="0"/>
                      <w:sz w:val="22"/>
                      <w:highlight w:val="none"/>
                    </w:rPr>
                    <w:t>Agilent工程师使用LASER准直工具</w:t>
                  </w:r>
                </w:p>
              </w:tc>
            </w:tr>
          </w:tbl>
          <w:p w14:paraId="53723610">
            <w:pPr>
              <w:pStyle w:val="2"/>
              <w:ind w:firstLine="224"/>
              <w:rPr>
                <w:rFonts w:ascii="宋体" w:hAnsi="宋体" w:cs="宋体"/>
                <w:color w:val="auto"/>
                <w:sz w:val="22"/>
                <w:szCs w:val="22"/>
                <w:highlight w:val="none"/>
              </w:rPr>
            </w:pPr>
          </w:p>
          <w:p w14:paraId="5F90E238">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五、故障诊断树</w:t>
            </w:r>
          </w:p>
          <w:p w14:paraId="54437973">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现象：近红外区信号异常</w:t>
            </w:r>
          </w:p>
          <w:p w14:paraId="3B971B53">
            <w:pPr>
              <w:pStyle w:val="2"/>
              <w:ind w:firstLine="224"/>
              <w:rPr>
                <w:rFonts w:ascii="宋体" w:hAnsi="宋体" w:cs="宋体"/>
                <w:color w:val="auto"/>
                <w:sz w:val="22"/>
                <w:szCs w:val="22"/>
                <w:highlight w:val="none"/>
              </w:rPr>
            </w:pPr>
          </w:p>
          <w:p w14:paraId="2F00243B">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检查液氮补给系统（杜瓦瓶真空度＞</w:t>
            </w:r>
            <w:r>
              <w:rPr>
                <w:rFonts w:ascii="宋体" w:hAnsi="宋体" w:cs="宋体"/>
                <w:color w:val="auto"/>
                <w:sz w:val="22"/>
                <w:szCs w:val="22"/>
                <w:highlight w:val="none"/>
              </w:rPr>
              <w:t>10⁻</w:t>
            </w:r>
            <w:r>
              <w:rPr>
                <w:rFonts w:hint="eastAsia" w:ascii="宋体" w:hAnsi="宋体" w:cs="宋体"/>
                <w:color w:val="auto"/>
                <w:sz w:val="22"/>
                <w:szCs w:val="22"/>
                <w:highlight w:val="none"/>
              </w:rPr>
              <w:t>³</w:t>
            </w:r>
            <w:r>
              <w:rPr>
                <w:rFonts w:ascii="宋体" w:hAnsi="宋体" w:cs="宋体"/>
                <w:color w:val="auto"/>
                <w:sz w:val="22"/>
                <w:szCs w:val="22"/>
                <w:highlight w:val="none"/>
              </w:rPr>
              <w:t>mbar</w:t>
            </w:r>
            <w:r>
              <w:rPr>
                <w:rFonts w:hint="eastAsia" w:ascii="宋体" w:hAnsi="宋体" w:cs="宋体"/>
                <w:color w:val="auto"/>
                <w:sz w:val="22"/>
                <w:szCs w:val="22"/>
                <w:highlight w:val="none"/>
              </w:rPr>
              <w:t>）</w:t>
            </w:r>
          </w:p>
          <w:p w14:paraId="337AC68C">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验证</w:t>
            </w:r>
            <w:r>
              <w:rPr>
                <w:rFonts w:ascii="宋体" w:hAnsi="宋体" w:cs="宋体"/>
                <w:color w:val="auto"/>
                <w:sz w:val="22"/>
                <w:szCs w:val="22"/>
                <w:highlight w:val="none"/>
              </w:rPr>
              <w:t>Beam Splitter对准状态（需干涉条纹对比度＞85%）</w:t>
            </w:r>
          </w:p>
          <w:p w14:paraId="081FBDE8">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执行</w:t>
            </w:r>
            <w:r>
              <w:rPr>
                <w:rFonts w:ascii="宋体" w:hAnsi="宋体" w:cs="宋体"/>
                <w:color w:val="auto"/>
                <w:sz w:val="22"/>
                <w:szCs w:val="22"/>
                <w:highlight w:val="none"/>
              </w:rPr>
              <w:t>ATR附件ZnSe晶体表面清洁（0.1μm金刚石抛光膏处理）</w:t>
            </w:r>
          </w:p>
          <w:p w14:paraId="44C526FA">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现象：紫外区基线漂移</w:t>
            </w:r>
          </w:p>
          <w:p w14:paraId="5A75196A">
            <w:pPr>
              <w:pStyle w:val="2"/>
              <w:ind w:firstLine="224"/>
              <w:rPr>
                <w:rFonts w:ascii="宋体" w:hAnsi="宋体" w:cs="宋体"/>
                <w:color w:val="auto"/>
                <w:sz w:val="22"/>
                <w:szCs w:val="22"/>
                <w:highlight w:val="none"/>
              </w:rPr>
            </w:pPr>
          </w:p>
          <w:p w14:paraId="595CD41E">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氘灯电弧稳定性测试（波动＞</w:t>
            </w:r>
            <w:r>
              <w:rPr>
                <w:rFonts w:ascii="宋体" w:hAnsi="宋体" w:cs="宋体"/>
                <w:color w:val="auto"/>
                <w:sz w:val="22"/>
                <w:szCs w:val="22"/>
                <w:highlight w:val="none"/>
              </w:rPr>
              <w:t>5%需更换）</w:t>
            </w:r>
          </w:p>
          <w:p w14:paraId="59427038">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检查样品室遮光门密封条（漏光率＜</w:t>
            </w:r>
            <w:r>
              <w:rPr>
                <w:rFonts w:ascii="宋体" w:hAnsi="宋体" w:cs="宋体"/>
                <w:color w:val="auto"/>
                <w:sz w:val="22"/>
                <w:szCs w:val="22"/>
                <w:highlight w:val="none"/>
              </w:rPr>
              <w:t>0.01%）</w:t>
            </w:r>
          </w:p>
          <w:p w14:paraId="64D7EEB5">
            <w:pPr>
              <w:pStyle w:val="2"/>
              <w:ind w:firstLine="224"/>
              <w:rPr>
                <w:rFonts w:ascii="宋体" w:hAnsi="宋体" w:cs="宋体"/>
                <w:color w:val="auto"/>
                <w:sz w:val="22"/>
                <w:szCs w:val="22"/>
                <w:highlight w:val="none"/>
              </w:rPr>
            </w:pPr>
            <w:r>
              <w:rPr>
                <w:rFonts w:hint="eastAsia" w:ascii="宋体" w:hAnsi="宋体" w:cs="宋体"/>
                <w:color w:val="auto"/>
                <w:sz w:val="22"/>
                <w:szCs w:val="22"/>
                <w:highlight w:val="none"/>
              </w:rPr>
              <w:t>验证双光束光路平衡（参比</w:t>
            </w:r>
            <w:r>
              <w:rPr>
                <w:rFonts w:ascii="宋体" w:hAnsi="宋体" w:cs="宋体"/>
                <w:color w:val="auto"/>
                <w:sz w:val="22"/>
                <w:szCs w:val="22"/>
                <w:highlight w:val="none"/>
              </w:rPr>
              <w:t>/样品能量比1±0.05）</w:t>
            </w:r>
          </w:p>
          <w:p w14:paraId="4AED71D7">
            <w:pPr>
              <w:pStyle w:val="2"/>
              <w:ind w:firstLine="224"/>
              <w:rPr>
                <w:rFonts w:ascii="宋体" w:hAnsi="宋体" w:cs="宋体"/>
                <w:color w:val="auto"/>
                <w:sz w:val="22"/>
                <w:szCs w:val="22"/>
                <w:highlight w:val="none"/>
              </w:rPr>
            </w:pPr>
          </w:p>
        </w:tc>
      </w:tr>
      <w:tr w14:paraId="7F92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1C4CCBF1">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熔点仪</w:t>
            </w:r>
          </w:p>
        </w:tc>
        <w:tc>
          <w:tcPr>
            <w:tcW w:w="8426" w:type="dxa"/>
          </w:tcPr>
          <w:p w14:paraId="49388FA7">
            <w:pPr>
              <w:rPr>
                <w:rFonts w:ascii="宋体" w:hAnsi="宋体" w:cs="宋体"/>
                <w:color w:val="auto"/>
                <w:kern w:val="0"/>
                <w:sz w:val="22"/>
                <w:highlight w:val="none"/>
              </w:rPr>
            </w:pPr>
            <w:r>
              <w:rPr>
                <w:rFonts w:hint="eastAsia" w:ascii="宋体" w:hAnsi="宋体" w:cs="宋体"/>
                <w:color w:val="auto"/>
                <w:kern w:val="0"/>
                <w:sz w:val="22"/>
                <w:highlight w:val="none"/>
              </w:rPr>
              <w:t>一、日常维护</w:t>
            </w:r>
          </w:p>
          <w:p w14:paraId="19EBCEDD">
            <w:pPr>
              <w:rPr>
                <w:rFonts w:ascii="宋体" w:hAnsi="宋体" w:cs="宋体"/>
                <w:color w:val="auto"/>
                <w:kern w:val="0"/>
                <w:sz w:val="22"/>
                <w:highlight w:val="none"/>
              </w:rPr>
            </w:pPr>
            <w:r>
              <w:rPr>
                <w:rFonts w:hint="eastAsia" w:ascii="宋体" w:hAnsi="宋体" w:cs="宋体"/>
                <w:color w:val="auto"/>
                <w:kern w:val="0"/>
                <w:sz w:val="22"/>
                <w:highlight w:val="none"/>
              </w:rPr>
              <w:t>环境控制</w:t>
            </w:r>
          </w:p>
          <w:p w14:paraId="066BBBEC">
            <w:pPr>
              <w:rPr>
                <w:rFonts w:ascii="宋体" w:hAnsi="宋体" w:cs="宋体"/>
                <w:color w:val="auto"/>
                <w:kern w:val="0"/>
                <w:sz w:val="22"/>
                <w:highlight w:val="none"/>
              </w:rPr>
            </w:pPr>
            <w:r>
              <w:rPr>
                <w:rFonts w:hint="eastAsia" w:ascii="宋体" w:hAnsi="宋体" w:cs="宋体"/>
                <w:color w:val="auto"/>
                <w:kern w:val="0"/>
                <w:sz w:val="22"/>
                <w:highlight w:val="none"/>
              </w:rPr>
              <w:t>保持工作台水平稳定（倾斜度＜</w:t>
            </w:r>
            <w:r>
              <w:rPr>
                <w:rFonts w:ascii="宋体" w:hAnsi="宋体" w:cs="宋体"/>
                <w:color w:val="auto"/>
                <w:kern w:val="0"/>
                <w:sz w:val="22"/>
                <w:highlight w:val="none"/>
              </w:rPr>
              <w:t>0.5°），环境温度控制在20-25℃</w:t>
            </w:r>
          </w:p>
          <w:p w14:paraId="6E14F2B8">
            <w:pPr>
              <w:rPr>
                <w:rFonts w:ascii="宋体" w:hAnsi="宋体" w:cs="宋体"/>
                <w:color w:val="auto"/>
                <w:kern w:val="0"/>
                <w:sz w:val="22"/>
                <w:highlight w:val="none"/>
              </w:rPr>
            </w:pPr>
            <w:r>
              <w:rPr>
                <w:rFonts w:hint="eastAsia" w:ascii="宋体" w:hAnsi="宋体" w:cs="宋体"/>
                <w:color w:val="auto"/>
                <w:kern w:val="0"/>
                <w:sz w:val="22"/>
                <w:highlight w:val="none"/>
              </w:rPr>
              <w:t>湿度维持</w:t>
            </w:r>
            <w:r>
              <w:rPr>
                <w:rFonts w:ascii="宋体" w:hAnsi="宋体" w:cs="宋体"/>
                <w:color w:val="auto"/>
                <w:kern w:val="0"/>
                <w:sz w:val="22"/>
                <w:highlight w:val="none"/>
              </w:rPr>
              <w:t>40-60%RH，防止光学部件结露影响透光率</w:t>
            </w:r>
          </w:p>
          <w:p w14:paraId="34B08092">
            <w:pPr>
              <w:rPr>
                <w:rFonts w:ascii="宋体" w:hAnsi="宋体" w:cs="宋体"/>
                <w:color w:val="auto"/>
                <w:kern w:val="0"/>
                <w:sz w:val="22"/>
                <w:highlight w:val="none"/>
              </w:rPr>
            </w:pPr>
            <w:r>
              <w:rPr>
                <w:rFonts w:hint="eastAsia" w:ascii="宋体" w:hAnsi="宋体" w:cs="宋体"/>
                <w:color w:val="auto"/>
                <w:kern w:val="0"/>
                <w:sz w:val="22"/>
                <w:highlight w:val="none"/>
              </w:rPr>
              <w:t>设备清洁</w:t>
            </w:r>
          </w:p>
          <w:p w14:paraId="7241211A">
            <w:pPr>
              <w:rPr>
                <w:rFonts w:ascii="宋体" w:hAnsi="宋体" w:cs="宋体"/>
                <w:color w:val="auto"/>
                <w:kern w:val="0"/>
                <w:sz w:val="22"/>
                <w:highlight w:val="none"/>
              </w:rPr>
            </w:pPr>
            <w:r>
              <w:rPr>
                <w:rFonts w:hint="eastAsia" w:ascii="宋体" w:hAnsi="宋体" w:cs="宋体"/>
                <w:color w:val="auto"/>
                <w:kern w:val="0"/>
                <w:sz w:val="22"/>
                <w:highlight w:val="none"/>
              </w:rPr>
              <w:t>每次使用后：</w:t>
            </w:r>
          </w:p>
          <w:p w14:paraId="479FC7E6">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用异丙醇棉签</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擦拭加热块表面，清除残留样品</w:t>
            </w:r>
          </w:p>
          <w:p w14:paraId="57C49A4B">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光学窗口（如配备摄像系统）用镜头纸单向清洁</w:t>
            </w:r>
          </w:p>
          <w:p w14:paraId="2C6023FC">
            <w:pPr>
              <w:rPr>
                <w:rFonts w:ascii="宋体" w:hAnsi="宋体" w:cs="宋体"/>
                <w:color w:val="auto"/>
                <w:kern w:val="0"/>
                <w:sz w:val="22"/>
                <w:highlight w:val="none"/>
              </w:rPr>
            </w:pPr>
            <w:r>
              <w:rPr>
                <w:rFonts w:hint="eastAsia" w:ascii="宋体" w:hAnsi="宋体" w:cs="宋体"/>
                <w:color w:val="auto"/>
                <w:kern w:val="0"/>
                <w:sz w:val="22"/>
                <w:highlight w:val="none"/>
              </w:rPr>
              <w:t>每周清理样品室积尘（压缩空气压力≤</w:t>
            </w:r>
            <w:r>
              <w:rPr>
                <w:rFonts w:ascii="宋体" w:hAnsi="宋体" w:cs="宋体"/>
                <w:color w:val="auto"/>
                <w:kern w:val="0"/>
                <w:sz w:val="22"/>
                <w:highlight w:val="none"/>
              </w:rPr>
              <w:t>0.2MPa）</w:t>
            </w:r>
          </w:p>
          <w:p w14:paraId="7F51543C">
            <w:pPr>
              <w:rPr>
                <w:rFonts w:ascii="宋体" w:hAnsi="宋体" w:cs="宋体"/>
                <w:color w:val="auto"/>
                <w:kern w:val="0"/>
                <w:sz w:val="22"/>
                <w:highlight w:val="none"/>
              </w:rPr>
            </w:pPr>
            <w:r>
              <w:rPr>
                <w:rFonts w:hint="eastAsia" w:ascii="宋体" w:hAnsi="宋体" w:cs="宋体"/>
                <w:color w:val="auto"/>
                <w:kern w:val="0"/>
                <w:sz w:val="22"/>
                <w:highlight w:val="none"/>
              </w:rPr>
              <w:t>电源管理</w:t>
            </w:r>
          </w:p>
          <w:p w14:paraId="6E196BE5">
            <w:pPr>
              <w:rPr>
                <w:rFonts w:ascii="宋体" w:hAnsi="宋体" w:cs="宋体"/>
                <w:color w:val="auto"/>
                <w:kern w:val="0"/>
                <w:sz w:val="22"/>
                <w:highlight w:val="none"/>
              </w:rPr>
            </w:pPr>
            <w:r>
              <w:rPr>
                <w:rFonts w:hint="eastAsia" w:ascii="宋体" w:hAnsi="宋体" w:cs="宋体"/>
                <w:color w:val="auto"/>
                <w:kern w:val="0"/>
                <w:sz w:val="22"/>
                <w:highlight w:val="none"/>
              </w:rPr>
              <w:t>关机后断开电源适配器，防止待机电路老化</w:t>
            </w:r>
          </w:p>
          <w:p w14:paraId="604D11D2">
            <w:pPr>
              <w:rPr>
                <w:rFonts w:ascii="宋体" w:hAnsi="宋体" w:cs="宋体"/>
                <w:color w:val="auto"/>
                <w:kern w:val="0"/>
                <w:sz w:val="22"/>
                <w:highlight w:val="none"/>
              </w:rPr>
            </w:pPr>
            <w:r>
              <w:rPr>
                <w:rFonts w:hint="eastAsia" w:ascii="宋体" w:hAnsi="宋体" w:cs="宋体"/>
                <w:color w:val="auto"/>
                <w:kern w:val="0"/>
                <w:sz w:val="22"/>
                <w:highlight w:val="none"/>
              </w:rPr>
              <w:t>每月执行电容放电操作（断电后长按开机键</w:t>
            </w:r>
            <w:r>
              <w:rPr>
                <w:rFonts w:ascii="宋体" w:hAnsi="宋体" w:cs="宋体"/>
                <w:color w:val="auto"/>
                <w:kern w:val="0"/>
                <w:sz w:val="22"/>
                <w:highlight w:val="none"/>
              </w:rPr>
              <w:t>30秒）</w:t>
            </w:r>
          </w:p>
          <w:p w14:paraId="07B19935">
            <w:pPr>
              <w:rPr>
                <w:rFonts w:ascii="宋体" w:hAnsi="宋体" w:cs="宋体"/>
                <w:color w:val="auto"/>
                <w:kern w:val="0"/>
                <w:sz w:val="22"/>
                <w:highlight w:val="none"/>
              </w:rPr>
            </w:pPr>
            <w:r>
              <w:rPr>
                <w:rFonts w:hint="eastAsia" w:ascii="宋体" w:hAnsi="宋体" w:cs="宋体"/>
                <w:color w:val="auto"/>
                <w:kern w:val="0"/>
                <w:sz w:val="22"/>
                <w:highlight w:val="none"/>
              </w:rPr>
              <w:t>二、关键部件维护</w:t>
            </w:r>
          </w:p>
          <w:p w14:paraId="434F39A8">
            <w:pPr>
              <w:rPr>
                <w:rFonts w:ascii="宋体" w:hAnsi="宋体" w:cs="宋体"/>
                <w:color w:val="auto"/>
                <w:kern w:val="0"/>
                <w:sz w:val="22"/>
                <w:highlight w:val="none"/>
              </w:rPr>
            </w:pPr>
            <w:r>
              <w:rPr>
                <w:rFonts w:hint="eastAsia" w:ascii="宋体" w:hAnsi="宋体" w:cs="宋体"/>
                <w:color w:val="auto"/>
                <w:kern w:val="0"/>
                <w:sz w:val="22"/>
                <w:highlight w:val="none"/>
              </w:rPr>
              <w:t>部件名称</w:t>
            </w:r>
          </w:p>
          <w:p w14:paraId="5163ACBC">
            <w:pPr>
              <w:rPr>
                <w:rFonts w:ascii="宋体" w:hAnsi="宋体" w:cs="宋体"/>
                <w:color w:val="auto"/>
                <w:kern w:val="0"/>
                <w:sz w:val="22"/>
                <w:highlight w:val="none"/>
              </w:rPr>
            </w:pPr>
            <w:r>
              <w:rPr>
                <w:rFonts w:hint="eastAsia" w:ascii="宋体" w:hAnsi="宋体" w:cs="宋体"/>
                <w:color w:val="auto"/>
                <w:kern w:val="0"/>
                <w:sz w:val="22"/>
                <w:highlight w:val="none"/>
              </w:rPr>
              <w:t>维护要点</w:t>
            </w:r>
          </w:p>
          <w:p w14:paraId="77E685CE">
            <w:pPr>
              <w:rPr>
                <w:rFonts w:ascii="宋体" w:hAnsi="宋体" w:cs="宋体"/>
                <w:color w:val="auto"/>
                <w:kern w:val="0"/>
                <w:sz w:val="22"/>
                <w:highlight w:val="none"/>
              </w:rPr>
            </w:pPr>
            <w:r>
              <w:rPr>
                <w:rFonts w:hint="eastAsia" w:ascii="宋体" w:hAnsi="宋体" w:cs="宋体"/>
                <w:color w:val="auto"/>
                <w:kern w:val="0"/>
                <w:sz w:val="22"/>
                <w:highlight w:val="none"/>
              </w:rPr>
              <w:t>性能标准</w:t>
            </w:r>
          </w:p>
          <w:p w14:paraId="61A8240C">
            <w:pPr>
              <w:rPr>
                <w:rFonts w:ascii="宋体" w:hAnsi="宋体" w:cs="宋体"/>
                <w:color w:val="auto"/>
                <w:kern w:val="0"/>
                <w:sz w:val="22"/>
                <w:highlight w:val="none"/>
              </w:rPr>
            </w:pPr>
            <w:r>
              <w:rPr>
                <w:rFonts w:hint="eastAsia" w:ascii="宋体" w:hAnsi="宋体" w:cs="宋体"/>
                <w:color w:val="auto"/>
                <w:kern w:val="0"/>
                <w:sz w:val="22"/>
                <w:highlight w:val="none"/>
              </w:rPr>
              <w:t>加热块</w:t>
            </w:r>
          </w:p>
          <w:p w14:paraId="0A7BD613">
            <w:pPr>
              <w:rPr>
                <w:rFonts w:ascii="宋体" w:hAnsi="宋体" w:cs="宋体"/>
                <w:color w:val="auto"/>
                <w:kern w:val="0"/>
                <w:sz w:val="22"/>
                <w:highlight w:val="none"/>
              </w:rPr>
            </w:pPr>
            <w:r>
              <w:rPr>
                <w:rFonts w:hint="eastAsia" w:ascii="宋体" w:hAnsi="宋体" w:cs="宋体"/>
                <w:color w:val="auto"/>
                <w:kern w:val="0"/>
                <w:sz w:val="22"/>
                <w:highlight w:val="none"/>
              </w:rPr>
              <w:t>每季度用氧化铝粉抛光处理</w:t>
            </w:r>
            <w:r>
              <w:rPr>
                <w:rFonts w:ascii="宋体" w:hAnsi="宋体" w:cs="宋体"/>
                <w:color w:val="auto"/>
                <w:kern w:val="0"/>
                <w:sz w:val="22"/>
                <w:highlight w:val="none"/>
              </w:rPr>
              <w:tab/>
            </w:r>
          </w:p>
          <w:p w14:paraId="4BD05817">
            <w:pPr>
              <w:rPr>
                <w:rFonts w:ascii="宋体" w:hAnsi="宋体" w:cs="宋体"/>
                <w:color w:val="auto"/>
                <w:kern w:val="0"/>
                <w:sz w:val="22"/>
                <w:highlight w:val="none"/>
              </w:rPr>
            </w:pPr>
            <w:r>
              <w:rPr>
                <w:rFonts w:hint="eastAsia" w:ascii="宋体" w:hAnsi="宋体" w:cs="宋体"/>
                <w:color w:val="auto"/>
                <w:kern w:val="0"/>
                <w:sz w:val="22"/>
                <w:highlight w:val="none"/>
              </w:rPr>
              <w:t>表面粗糙度</w:t>
            </w:r>
            <w:r>
              <w:rPr>
                <w:rFonts w:ascii="宋体" w:hAnsi="宋体" w:cs="宋体"/>
                <w:color w:val="auto"/>
                <w:kern w:val="0"/>
                <w:sz w:val="22"/>
                <w:highlight w:val="none"/>
              </w:rPr>
              <w:t>Ra≤0.8μm</w:t>
            </w:r>
          </w:p>
          <w:p w14:paraId="12D0453F">
            <w:pPr>
              <w:rPr>
                <w:rFonts w:ascii="宋体" w:hAnsi="宋体" w:cs="宋体"/>
                <w:color w:val="auto"/>
                <w:kern w:val="0"/>
                <w:sz w:val="22"/>
                <w:highlight w:val="none"/>
              </w:rPr>
            </w:pPr>
            <w:r>
              <w:rPr>
                <w:rFonts w:hint="eastAsia" w:ascii="宋体" w:hAnsi="宋体" w:cs="宋体"/>
                <w:color w:val="auto"/>
                <w:kern w:val="0"/>
                <w:sz w:val="22"/>
                <w:highlight w:val="none"/>
              </w:rPr>
              <w:t>温度传感器</w:t>
            </w:r>
          </w:p>
          <w:p w14:paraId="5AFD4206">
            <w:pPr>
              <w:rPr>
                <w:rFonts w:ascii="宋体" w:hAnsi="宋体" w:cs="宋体"/>
                <w:color w:val="auto"/>
                <w:kern w:val="0"/>
                <w:sz w:val="22"/>
                <w:highlight w:val="none"/>
              </w:rPr>
            </w:pPr>
            <w:r>
              <w:rPr>
                <w:rFonts w:hint="eastAsia" w:ascii="宋体" w:hAnsi="宋体" w:cs="宋体"/>
                <w:color w:val="auto"/>
                <w:kern w:val="0"/>
                <w:sz w:val="22"/>
                <w:highlight w:val="none"/>
              </w:rPr>
              <w:t>每月用标准品校准（如乙酰苯胺，</w:t>
            </w:r>
            <w:r>
              <w:rPr>
                <w:rFonts w:ascii="宋体" w:hAnsi="宋体" w:cs="宋体"/>
                <w:color w:val="auto"/>
                <w:kern w:val="0"/>
                <w:sz w:val="22"/>
                <w:highlight w:val="none"/>
              </w:rPr>
              <w:t>mp 114.3℃±0.2℃）</w:t>
            </w:r>
            <w:r>
              <w:rPr>
                <w:rFonts w:ascii="宋体" w:hAnsi="宋体" w:cs="宋体"/>
                <w:color w:val="auto"/>
                <w:kern w:val="0"/>
                <w:sz w:val="22"/>
                <w:highlight w:val="none"/>
              </w:rPr>
              <w:tab/>
            </w:r>
          </w:p>
          <w:p w14:paraId="40DACC9A">
            <w:pPr>
              <w:rPr>
                <w:rFonts w:ascii="宋体" w:hAnsi="宋体" w:cs="宋体"/>
                <w:color w:val="auto"/>
                <w:kern w:val="0"/>
                <w:sz w:val="22"/>
                <w:highlight w:val="none"/>
              </w:rPr>
            </w:pPr>
            <w:r>
              <w:rPr>
                <w:rFonts w:hint="eastAsia" w:ascii="宋体" w:hAnsi="宋体" w:cs="宋体"/>
                <w:color w:val="auto"/>
                <w:kern w:val="0"/>
                <w:sz w:val="22"/>
                <w:highlight w:val="none"/>
              </w:rPr>
              <w:t>示值误差≤±</w:t>
            </w:r>
            <w:r>
              <w:rPr>
                <w:rFonts w:ascii="宋体" w:hAnsi="宋体" w:cs="宋体"/>
                <w:color w:val="auto"/>
                <w:kern w:val="0"/>
                <w:sz w:val="22"/>
                <w:highlight w:val="none"/>
              </w:rPr>
              <w:t>0.5℃</w:t>
            </w:r>
          </w:p>
          <w:p w14:paraId="24E8036B">
            <w:pPr>
              <w:rPr>
                <w:rFonts w:ascii="宋体" w:hAnsi="宋体" w:cs="宋体"/>
                <w:color w:val="auto"/>
                <w:kern w:val="0"/>
                <w:sz w:val="22"/>
                <w:highlight w:val="none"/>
              </w:rPr>
            </w:pPr>
            <w:r>
              <w:rPr>
                <w:rFonts w:hint="eastAsia" w:ascii="宋体" w:hAnsi="宋体" w:cs="宋体"/>
                <w:color w:val="auto"/>
                <w:kern w:val="0"/>
                <w:sz w:val="22"/>
                <w:highlight w:val="none"/>
              </w:rPr>
              <w:t>毛细管支架</w:t>
            </w:r>
          </w:p>
          <w:p w14:paraId="73D7E0AE">
            <w:pPr>
              <w:rPr>
                <w:rFonts w:ascii="宋体" w:hAnsi="宋体" w:cs="宋体"/>
                <w:color w:val="auto"/>
                <w:kern w:val="0"/>
                <w:sz w:val="22"/>
                <w:highlight w:val="none"/>
              </w:rPr>
            </w:pPr>
            <w:r>
              <w:rPr>
                <w:rFonts w:hint="eastAsia" w:ascii="宋体" w:hAnsi="宋体" w:cs="宋体"/>
                <w:color w:val="auto"/>
                <w:kern w:val="0"/>
                <w:sz w:val="22"/>
                <w:highlight w:val="none"/>
              </w:rPr>
              <w:t>检查夹持力度（推荐</w:t>
            </w:r>
            <w:r>
              <w:rPr>
                <w:rFonts w:ascii="宋体" w:hAnsi="宋体" w:cs="宋体"/>
                <w:color w:val="auto"/>
                <w:kern w:val="0"/>
                <w:sz w:val="22"/>
                <w:highlight w:val="none"/>
              </w:rPr>
              <w:t>0.5-1N·m扭矩）</w:t>
            </w:r>
            <w:r>
              <w:rPr>
                <w:rFonts w:ascii="宋体" w:hAnsi="宋体" w:cs="宋体"/>
                <w:color w:val="auto"/>
                <w:kern w:val="0"/>
                <w:sz w:val="22"/>
                <w:highlight w:val="none"/>
              </w:rPr>
              <w:tab/>
            </w:r>
          </w:p>
          <w:p w14:paraId="3BD377FC">
            <w:pPr>
              <w:rPr>
                <w:rFonts w:ascii="宋体" w:hAnsi="宋体" w:cs="宋体"/>
                <w:color w:val="auto"/>
                <w:kern w:val="0"/>
                <w:sz w:val="22"/>
                <w:highlight w:val="none"/>
              </w:rPr>
            </w:pPr>
            <w:r>
              <w:rPr>
                <w:rFonts w:hint="eastAsia" w:ascii="宋体" w:hAnsi="宋体" w:cs="宋体"/>
                <w:color w:val="auto"/>
                <w:kern w:val="0"/>
                <w:sz w:val="22"/>
                <w:highlight w:val="none"/>
              </w:rPr>
              <w:t>毛细管垂直度误差＜</w:t>
            </w:r>
            <w:r>
              <w:rPr>
                <w:rFonts w:ascii="宋体" w:hAnsi="宋体" w:cs="宋体"/>
                <w:color w:val="auto"/>
                <w:kern w:val="0"/>
                <w:sz w:val="22"/>
                <w:highlight w:val="none"/>
              </w:rPr>
              <w:t>1°</w:t>
            </w:r>
          </w:p>
          <w:p w14:paraId="3AAED34B">
            <w:pPr>
              <w:rPr>
                <w:rFonts w:ascii="宋体" w:hAnsi="宋体" w:cs="宋体"/>
                <w:color w:val="auto"/>
                <w:kern w:val="0"/>
                <w:sz w:val="22"/>
                <w:highlight w:val="none"/>
              </w:rPr>
            </w:pPr>
            <w:r>
              <w:rPr>
                <w:rFonts w:hint="eastAsia" w:ascii="宋体" w:hAnsi="宋体" w:cs="宋体"/>
                <w:color w:val="auto"/>
                <w:kern w:val="0"/>
                <w:sz w:val="22"/>
                <w:highlight w:val="none"/>
              </w:rPr>
              <w:t>光学系统</w:t>
            </w:r>
          </w:p>
          <w:p w14:paraId="5FECA86E">
            <w:pPr>
              <w:rPr>
                <w:rFonts w:ascii="宋体" w:hAnsi="宋体" w:cs="宋体"/>
                <w:color w:val="auto"/>
                <w:kern w:val="0"/>
                <w:sz w:val="22"/>
                <w:highlight w:val="none"/>
              </w:rPr>
            </w:pPr>
            <w:r>
              <w:rPr>
                <w:rFonts w:hint="eastAsia" w:ascii="宋体" w:hAnsi="宋体" w:cs="宋体"/>
                <w:color w:val="auto"/>
                <w:kern w:val="0"/>
                <w:sz w:val="22"/>
                <w:highlight w:val="none"/>
              </w:rPr>
              <w:t>每半年校验透光率（使用</w:t>
            </w:r>
            <w:r>
              <w:rPr>
                <w:rFonts w:ascii="宋体" w:hAnsi="宋体" w:cs="宋体"/>
                <w:color w:val="auto"/>
                <w:kern w:val="0"/>
                <w:sz w:val="22"/>
                <w:highlight w:val="none"/>
              </w:rPr>
              <w:t>NIST SRM2036标准滤光片）</w:t>
            </w:r>
            <w:r>
              <w:rPr>
                <w:rFonts w:ascii="宋体" w:hAnsi="宋体" w:cs="宋体"/>
                <w:color w:val="auto"/>
                <w:kern w:val="0"/>
                <w:sz w:val="22"/>
                <w:highlight w:val="none"/>
              </w:rPr>
              <w:tab/>
            </w:r>
          </w:p>
          <w:p w14:paraId="1506690B">
            <w:pPr>
              <w:rPr>
                <w:rFonts w:ascii="宋体" w:hAnsi="宋体" w:cs="宋体"/>
                <w:color w:val="auto"/>
                <w:kern w:val="0"/>
                <w:sz w:val="22"/>
                <w:highlight w:val="none"/>
              </w:rPr>
            </w:pPr>
            <w:r>
              <w:rPr>
                <w:rFonts w:hint="eastAsia" w:ascii="宋体" w:hAnsi="宋体" w:cs="宋体"/>
                <w:color w:val="auto"/>
                <w:kern w:val="0"/>
                <w:sz w:val="22"/>
                <w:highlight w:val="none"/>
              </w:rPr>
              <w:t>透光率偏差＜±</w:t>
            </w:r>
            <w:r>
              <w:rPr>
                <w:rFonts w:ascii="宋体" w:hAnsi="宋体" w:cs="宋体"/>
                <w:color w:val="auto"/>
                <w:kern w:val="0"/>
                <w:sz w:val="22"/>
                <w:highlight w:val="none"/>
              </w:rPr>
              <w:t>2%</w:t>
            </w:r>
          </w:p>
          <w:p w14:paraId="31F87FBF">
            <w:pPr>
              <w:rPr>
                <w:rFonts w:ascii="宋体" w:hAnsi="宋体" w:cs="宋体"/>
                <w:color w:val="auto"/>
                <w:kern w:val="0"/>
                <w:sz w:val="22"/>
                <w:highlight w:val="none"/>
              </w:rPr>
            </w:pPr>
            <w:r>
              <w:rPr>
                <w:rFonts w:hint="eastAsia" w:ascii="宋体" w:hAnsi="宋体" w:cs="宋体"/>
                <w:color w:val="auto"/>
                <w:kern w:val="0"/>
                <w:sz w:val="22"/>
                <w:highlight w:val="none"/>
              </w:rPr>
              <w:t>三、周期性维护计划</w:t>
            </w:r>
          </w:p>
          <w:p w14:paraId="2549976F">
            <w:pPr>
              <w:rPr>
                <w:rFonts w:ascii="宋体" w:hAnsi="宋体" w:cs="宋体"/>
                <w:color w:val="auto"/>
                <w:kern w:val="0"/>
                <w:sz w:val="22"/>
                <w:highlight w:val="none"/>
              </w:rPr>
            </w:pPr>
            <w:r>
              <w:rPr>
                <w:rFonts w:hint="eastAsia" w:ascii="宋体" w:hAnsi="宋体" w:cs="宋体"/>
                <w:color w:val="auto"/>
                <w:kern w:val="0"/>
                <w:sz w:val="22"/>
                <w:highlight w:val="none"/>
              </w:rPr>
              <w:t>周期</w:t>
            </w:r>
          </w:p>
          <w:p w14:paraId="13433706">
            <w:pPr>
              <w:rPr>
                <w:rFonts w:ascii="宋体" w:hAnsi="宋体" w:cs="宋体"/>
                <w:color w:val="auto"/>
                <w:kern w:val="0"/>
                <w:sz w:val="22"/>
                <w:highlight w:val="none"/>
              </w:rPr>
            </w:pPr>
            <w:r>
              <w:rPr>
                <w:rFonts w:hint="eastAsia" w:ascii="宋体" w:hAnsi="宋体" w:cs="宋体"/>
                <w:color w:val="auto"/>
                <w:kern w:val="0"/>
                <w:sz w:val="22"/>
                <w:highlight w:val="none"/>
              </w:rPr>
              <w:t>维护项目</w:t>
            </w:r>
          </w:p>
          <w:p w14:paraId="14A28F6A">
            <w:pPr>
              <w:rPr>
                <w:rFonts w:ascii="宋体" w:hAnsi="宋体" w:cs="宋体"/>
                <w:color w:val="auto"/>
                <w:kern w:val="0"/>
                <w:sz w:val="22"/>
                <w:highlight w:val="none"/>
              </w:rPr>
            </w:pPr>
            <w:r>
              <w:rPr>
                <w:rFonts w:hint="eastAsia" w:ascii="宋体" w:hAnsi="宋体" w:cs="宋体"/>
                <w:color w:val="auto"/>
                <w:kern w:val="0"/>
                <w:sz w:val="22"/>
                <w:highlight w:val="none"/>
              </w:rPr>
              <w:t>技术规范</w:t>
            </w:r>
          </w:p>
          <w:p w14:paraId="3B648BC2">
            <w:pPr>
              <w:rPr>
                <w:rFonts w:ascii="宋体" w:hAnsi="宋体" w:cs="宋体"/>
                <w:color w:val="auto"/>
                <w:kern w:val="0"/>
                <w:sz w:val="22"/>
                <w:highlight w:val="none"/>
              </w:rPr>
            </w:pPr>
            <w:r>
              <w:rPr>
                <w:rFonts w:hint="eastAsia" w:ascii="宋体" w:hAnsi="宋体" w:cs="宋体"/>
                <w:color w:val="auto"/>
                <w:kern w:val="0"/>
                <w:sz w:val="22"/>
                <w:highlight w:val="none"/>
              </w:rPr>
              <w:t>每日</w:t>
            </w:r>
          </w:p>
          <w:p w14:paraId="1B525870">
            <w:pPr>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开机自检程序执行</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环境温湿度记录</w:t>
            </w:r>
            <w:r>
              <w:rPr>
                <w:rFonts w:ascii="宋体" w:hAnsi="宋体" w:cs="宋体"/>
                <w:color w:val="auto"/>
                <w:kern w:val="0"/>
                <w:sz w:val="22"/>
                <w:highlight w:val="none"/>
              </w:rPr>
              <w:tab/>
            </w:r>
          </w:p>
          <w:p w14:paraId="411774B0">
            <w:pPr>
              <w:rPr>
                <w:rFonts w:ascii="宋体" w:hAnsi="宋体" w:cs="宋体"/>
                <w:color w:val="auto"/>
                <w:kern w:val="0"/>
                <w:sz w:val="22"/>
                <w:highlight w:val="none"/>
              </w:rPr>
            </w:pPr>
            <w:r>
              <w:rPr>
                <w:rFonts w:hint="eastAsia" w:ascii="宋体" w:hAnsi="宋体" w:cs="宋体"/>
                <w:color w:val="auto"/>
                <w:kern w:val="0"/>
                <w:sz w:val="22"/>
                <w:highlight w:val="none"/>
              </w:rPr>
              <w:t>自检通过代码</w:t>
            </w:r>
            <w:r>
              <w:rPr>
                <w:rFonts w:ascii="宋体" w:hAnsi="宋体" w:cs="宋体"/>
                <w:color w:val="auto"/>
                <w:kern w:val="0"/>
                <w:sz w:val="22"/>
                <w:highlight w:val="none"/>
              </w:rPr>
              <w:t>"PASS"</w:t>
            </w:r>
          </w:p>
          <w:p w14:paraId="3BE46006">
            <w:pPr>
              <w:rPr>
                <w:rFonts w:ascii="宋体" w:hAnsi="宋体" w:cs="宋体"/>
                <w:color w:val="auto"/>
                <w:kern w:val="0"/>
                <w:sz w:val="22"/>
                <w:highlight w:val="none"/>
              </w:rPr>
            </w:pPr>
            <w:r>
              <w:rPr>
                <w:rFonts w:hint="eastAsia" w:ascii="宋体" w:hAnsi="宋体" w:cs="宋体"/>
                <w:color w:val="auto"/>
                <w:kern w:val="0"/>
                <w:sz w:val="22"/>
                <w:highlight w:val="none"/>
              </w:rPr>
              <w:t>每周</w:t>
            </w:r>
          </w:p>
          <w:p w14:paraId="4344A916">
            <w:pPr>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加热速率均匀性测试（</w:t>
            </w:r>
            <w:r>
              <w:rPr>
                <w:rFonts w:ascii="宋体" w:hAnsi="宋体" w:cs="宋体"/>
                <w:color w:val="auto"/>
                <w:kern w:val="0"/>
                <w:sz w:val="22"/>
                <w:highlight w:val="none"/>
              </w:rPr>
              <w:t xml:space="preserve">5℃/min）&lt;br&gt;2. </w:t>
            </w:r>
            <w:r>
              <w:rPr>
                <w:rFonts w:hint="eastAsia" w:ascii="宋体" w:hAnsi="宋体" w:cs="宋体"/>
                <w:color w:val="auto"/>
                <w:kern w:val="0"/>
                <w:sz w:val="22"/>
                <w:highlight w:val="none"/>
              </w:rPr>
              <w:t>硅油浴液位检查（浸没法机型）</w:t>
            </w:r>
            <w:r>
              <w:rPr>
                <w:rFonts w:ascii="宋体" w:hAnsi="宋体" w:cs="宋体"/>
                <w:color w:val="auto"/>
                <w:kern w:val="0"/>
                <w:sz w:val="22"/>
                <w:highlight w:val="none"/>
              </w:rPr>
              <w:tab/>
            </w:r>
          </w:p>
          <w:p w14:paraId="3C1781D7">
            <w:pPr>
              <w:rPr>
                <w:rFonts w:ascii="宋体" w:hAnsi="宋体" w:cs="宋体"/>
                <w:color w:val="auto"/>
                <w:kern w:val="0"/>
                <w:sz w:val="22"/>
                <w:highlight w:val="none"/>
              </w:rPr>
            </w:pPr>
            <w:r>
              <w:rPr>
                <w:rFonts w:hint="eastAsia" w:ascii="宋体" w:hAnsi="宋体" w:cs="宋体"/>
                <w:color w:val="auto"/>
                <w:kern w:val="0"/>
                <w:sz w:val="22"/>
                <w:highlight w:val="none"/>
              </w:rPr>
              <w:t>各区域温差≤</w:t>
            </w:r>
            <w:r>
              <w:rPr>
                <w:rFonts w:ascii="宋体" w:hAnsi="宋体" w:cs="宋体"/>
                <w:color w:val="auto"/>
                <w:kern w:val="0"/>
                <w:sz w:val="22"/>
                <w:highlight w:val="none"/>
              </w:rPr>
              <w:t>0.3℃/min</w:t>
            </w:r>
          </w:p>
          <w:p w14:paraId="6CDCEE91">
            <w:pPr>
              <w:rPr>
                <w:rFonts w:ascii="宋体" w:hAnsi="宋体" w:cs="宋体"/>
                <w:color w:val="auto"/>
                <w:kern w:val="0"/>
                <w:sz w:val="22"/>
                <w:highlight w:val="none"/>
              </w:rPr>
            </w:pPr>
            <w:r>
              <w:rPr>
                <w:rFonts w:hint="eastAsia" w:ascii="宋体" w:hAnsi="宋体" w:cs="宋体"/>
                <w:color w:val="auto"/>
                <w:kern w:val="0"/>
                <w:sz w:val="22"/>
                <w:highlight w:val="none"/>
              </w:rPr>
              <w:t>每月</w:t>
            </w:r>
          </w:p>
          <w:p w14:paraId="72B92C3B">
            <w:pPr>
              <w:rPr>
                <w:rFonts w:ascii="宋体" w:hAnsi="宋体" w:cs="宋体"/>
                <w:color w:val="auto"/>
                <w:kern w:val="0"/>
                <w:sz w:val="22"/>
                <w:highlight w:val="none"/>
              </w:rPr>
            </w:pPr>
            <w:r>
              <w:rPr>
                <w:rFonts w:ascii="宋体" w:hAnsi="宋体" w:cs="宋体"/>
                <w:color w:val="auto"/>
                <w:kern w:val="0"/>
                <w:sz w:val="22"/>
                <w:highlight w:val="none"/>
              </w:rPr>
              <w:t xml:space="preserve">1. PT100传感器校准&lt;br&gt;2. </w:t>
            </w:r>
            <w:r>
              <w:rPr>
                <w:rFonts w:hint="eastAsia" w:ascii="宋体" w:hAnsi="宋体" w:cs="宋体"/>
                <w:color w:val="auto"/>
                <w:kern w:val="0"/>
                <w:sz w:val="22"/>
                <w:highlight w:val="none"/>
              </w:rPr>
              <w:t>机械传动部件润滑</w:t>
            </w:r>
            <w:r>
              <w:rPr>
                <w:rFonts w:ascii="宋体" w:hAnsi="宋体" w:cs="宋体"/>
                <w:color w:val="auto"/>
                <w:kern w:val="0"/>
                <w:sz w:val="22"/>
                <w:highlight w:val="none"/>
              </w:rPr>
              <w:tab/>
            </w:r>
          </w:p>
          <w:p w14:paraId="44E2C181">
            <w:pPr>
              <w:rPr>
                <w:rFonts w:ascii="宋体" w:hAnsi="宋体" w:cs="宋体"/>
                <w:color w:val="auto"/>
                <w:kern w:val="0"/>
                <w:sz w:val="22"/>
                <w:highlight w:val="none"/>
              </w:rPr>
            </w:pPr>
            <w:r>
              <w:rPr>
                <w:rFonts w:hint="eastAsia" w:ascii="宋体" w:hAnsi="宋体" w:cs="宋体"/>
                <w:color w:val="auto"/>
                <w:kern w:val="0"/>
                <w:sz w:val="22"/>
                <w:highlight w:val="none"/>
              </w:rPr>
              <w:t>传感器阻值偏差＜</w:t>
            </w:r>
            <w:r>
              <w:rPr>
                <w:rFonts w:ascii="宋体" w:hAnsi="宋体" w:cs="宋体"/>
                <w:color w:val="auto"/>
                <w:kern w:val="0"/>
                <w:sz w:val="22"/>
                <w:highlight w:val="none"/>
              </w:rPr>
              <w:t>0.1Ω（0℃时）</w:t>
            </w:r>
          </w:p>
          <w:p w14:paraId="4A264542">
            <w:pPr>
              <w:rPr>
                <w:rFonts w:ascii="宋体" w:hAnsi="宋体" w:cs="宋体"/>
                <w:color w:val="auto"/>
                <w:kern w:val="0"/>
                <w:sz w:val="22"/>
                <w:highlight w:val="none"/>
              </w:rPr>
            </w:pPr>
            <w:r>
              <w:rPr>
                <w:rFonts w:hint="eastAsia" w:ascii="宋体" w:hAnsi="宋体" w:cs="宋体"/>
                <w:color w:val="auto"/>
                <w:kern w:val="0"/>
                <w:sz w:val="22"/>
                <w:highlight w:val="none"/>
              </w:rPr>
              <w:t>年度</w:t>
            </w:r>
          </w:p>
          <w:p w14:paraId="393BD52F">
            <w:pPr>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整机温度场扫描（热成像仪检测）</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控制电路板电容更换</w:t>
            </w:r>
            <w:r>
              <w:rPr>
                <w:rFonts w:ascii="宋体" w:hAnsi="宋体" w:cs="宋体"/>
                <w:color w:val="auto"/>
                <w:kern w:val="0"/>
                <w:sz w:val="22"/>
                <w:highlight w:val="none"/>
              </w:rPr>
              <w:tab/>
            </w:r>
          </w:p>
          <w:p w14:paraId="476E4E9B">
            <w:pPr>
              <w:rPr>
                <w:rFonts w:ascii="宋体" w:hAnsi="宋体" w:cs="宋体"/>
                <w:color w:val="auto"/>
                <w:kern w:val="0"/>
                <w:sz w:val="22"/>
                <w:highlight w:val="none"/>
              </w:rPr>
            </w:pPr>
            <w:r>
              <w:rPr>
                <w:rFonts w:hint="eastAsia" w:ascii="宋体" w:hAnsi="宋体" w:cs="宋体"/>
                <w:color w:val="auto"/>
                <w:kern w:val="0"/>
                <w:sz w:val="22"/>
                <w:highlight w:val="none"/>
              </w:rPr>
              <w:t>加热区温度梯度≤</w:t>
            </w:r>
            <w:r>
              <w:rPr>
                <w:rFonts w:ascii="宋体" w:hAnsi="宋体" w:cs="宋体"/>
                <w:color w:val="auto"/>
                <w:kern w:val="0"/>
                <w:sz w:val="22"/>
                <w:highlight w:val="none"/>
              </w:rPr>
              <w:t>1.5℃/cm²</w:t>
            </w:r>
          </w:p>
          <w:p w14:paraId="6DCA64AD">
            <w:pPr>
              <w:rPr>
                <w:rFonts w:ascii="宋体" w:hAnsi="宋体" w:cs="宋体"/>
                <w:color w:val="auto"/>
                <w:kern w:val="0"/>
                <w:sz w:val="22"/>
                <w:highlight w:val="none"/>
              </w:rPr>
            </w:pPr>
            <w:r>
              <w:rPr>
                <w:rFonts w:hint="eastAsia" w:ascii="宋体" w:hAnsi="宋体" w:cs="宋体"/>
                <w:color w:val="auto"/>
                <w:kern w:val="0"/>
                <w:sz w:val="22"/>
                <w:highlight w:val="none"/>
              </w:rPr>
              <w:t>四、故障应急处理</w:t>
            </w:r>
          </w:p>
          <w:p w14:paraId="08852EEC">
            <w:pPr>
              <w:rPr>
                <w:rFonts w:ascii="宋体" w:hAnsi="宋体" w:cs="宋体"/>
                <w:color w:val="auto"/>
                <w:kern w:val="0"/>
                <w:sz w:val="22"/>
                <w:highlight w:val="none"/>
              </w:rPr>
            </w:pPr>
            <w:r>
              <w:rPr>
                <w:rFonts w:hint="eastAsia" w:ascii="宋体" w:hAnsi="宋体" w:cs="宋体"/>
                <w:color w:val="auto"/>
                <w:kern w:val="0"/>
                <w:sz w:val="22"/>
                <w:highlight w:val="none"/>
              </w:rPr>
              <w:t>现象：温度示值漂移</w:t>
            </w:r>
          </w:p>
          <w:p w14:paraId="7865C0C3">
            <w:pPr>
              <w:rPr>
                <w:rFonts w:ascii="宋体" w:hAnsi="宋体" w:cs="宋体"/>
                <w:color w:val="auto"/>
                <w:kern w:val="0"/>
                <w:sz w:val="22"/>
                <w:highlight w:val="none"/>
              </w:rPr>
            </w:pPr>
          </w:p>
          <w:p w14:paraId="72A0FF69">
            <w:pPr>
              <w:rPr>
                <w:rFonts w:ascii="宋体" w:hAnsi="宋体" w:cs="宋体"/>
                <w:color w:val="auto"/>
                <w:kern w:val="0"/>
                <w:sz w:val="22"/>
                <w:highlight w:val="none"/>
              </w:rPr>
            </w:pPr>
            <w:r>
              <w:rPr>
                <w:rFonts w:hint="eastAsia" w:ascii="宋体" w:hAnsi="宋体" w:cs="宋体"/>
                <w:color w:val="auto"/>
                <w:kern w:val="0"/>
                <w:sz w:val="22"/>
                <w:highlight w:val="none"/>
              </w:rPr>
              <w:t>检查传感器接头氧化（接触电阻＞</w:t>
            </w:r>
            <w:r>
              <w:rPr>
                <w:rFonts w:ascii="宋体" w:hAnsi="宋体" w:cs="宋体"/>
                <w:color w:val="auto"/>
                <w:kern w:val="0"/>
                <w:sz w:val="22"/>
                <w:highlight w:val="none"/>
              </w:rPr>
              <w:t>0.5Ω需打磨）</w:t>
            </w:r>
          </w:p>
          <w:p w14:paraId="257341AD">
            <w:pPr>
              <w:rPr>
                <w:rFonts w:ascii="宋体" w:hAnsi="宋体" w:cs="宋体"/>
                <w:color w:val="auto"/>
                <w:kern w:val="0"/>
                <w:sz w:val="22"/>
                <w:highlight w:val="none"/>
              </w:rPr>
            </w:pPr>
            <w:r>
              <w:rPr>
                <w:rFonts w:hint="eastAsia" w:ascii="宋体" w:hAnsi="宋体" w:cs="宋体"/>
                <w:color w:val="auto"/>
                <w:kern w:val="0"/>
                <w:sz w:val="22"/>
                <w:highlight w:val="none"/>
              </w:rPr>
              <w:t>验证</w:t>
            </w:r>
            <w:r>
              <w:rPr>
                <w:rFonts w:ascii="宋体" w:hAnsi="宋体" w:cs="宋体"/>
                <w:color w:val="auto"/>
                <w:kern w:val="0"/>
                <w:sz w:val="22"/>
                <w:highlight w:val="none"/>
              </w:rPr>
              <w:t>PID参数设定（典型值：P=25%，I=120s，D=30s）</w:t>
            </w:r>
          </w:p>
          <w:p w14:paraId="51AB5E4B">
            <w:pPr>
              <w:rPr>
                <w:rFonts w:ascii="宋体" w:hAnsi="宋体" w:cs="宋体"/>
                <w:color w:val="auto"/>
                <w:kern w:val="0"/>
                <w:sz w:val="22"/>
                <w:highlight w:val="none"/>
              </w:rPr>
            </w:pPr>
            <w:r>
              <w:rPr>
                <w:rFonts w:hint="eastAsia" w:ascii="宋体" w:hAnsi="宋体" w:cs="宋体"/>
                <w:color w:val="auto"/>
                <w:kern w:val="0"/>
                <w:sz w:val="22"/>
                <w:highlight w:val="none"/>
              </w:rPr>
              <w:t>执行三点校准（使用萘</w:t>
            </w:r>
            <w:r>
              <w:rPr>
                <w:rFonts w:ascii="宋体" w:hAnsi="宋体" w:cs="宋体"/>
                <w:color w:val="auto"/>
                <w:kern w:val="0"/>
                <w:sz w:val="22"/>
                <w:highlight w:val="none"/>
              </w:rPr>
              <w:t>/苯甲酸/磺胺标准品）</w:t>
            </w:r>
          </w:p>
          <w:p w14:paraId="364D31EC">
            <w:pPr>
              <w:rPr>
                <w:rFonts w:ascii="宋体" w:hAnsi="宋体" w:cs="宋体"/>
                <w:color w:val="auto"/>
                <w:kern w:val="0"/>
                <w:sz w:val="22"/>
                <w:highlight w:val="none"/>
              </w:rPr>
            </w:pPr>
            <w:r>
              <w:rPr>
                <w:rFonts w:hint="eastAsia" w:ascii="宋体" w:hAnsi="宋体" w:cs="宋体"/>
                <w:color w:val="auto"/>
                <w:kern w:val="0"/>
                <w:sz w:val="22"/>
                <w:highlight w:val="none"/>
              </w:rPr>
              <w:t>现象：熔点管破裂污染</w:t>
            </w:r>
          </w:p>
          <w:p w14:paraId="4A80F9EF">
            <w:pPr>
              <w:rPr>
                <w:rFonts w:ascii="宋体" w:hAnsi="宋体" w:cs="宋体"/>
                <w:color w:val="auto"/>
                <w:kern w:val="0"/>
                <w:sz w:val="22"/>
                <w:highlight w:val="none"/>
              </w:rPr>
            </w:pPr>
          </w:p>
          <w:p w14:paraId="51011F70">
            <w:pPr>
              <w:rPr>
                <w:rFonts w:ascii="宋体" w:hAnsi="宋体" w:cs="宋体"/>
                <w:color w:val="auto"/>
                <w:kern w:val="0"/>
                <w:sz w:val="22"/>
                <w:highlight w:val="none"/>
              </w:rPr>
            </w:pPr>
            <w:r>
              <w:rPr>
                <w:rFonts w:hint="eastAsia" w:ascii="宋体" w:hAnsi="宋体" w:cs="宋体"/>
                <w:color w:val="auto"/>
                <w:kern w:val="0"/>
                <w:sz w:val="22"/>
                <w:highlight w:val="none"/>
              </w:rPr>
              <w:t>立即断电并冷却至</w:t>
            </w:r>
            <w:r>
              <w:rPr>
                <w:rFonts w:ascii="宋体" w:hAnsi="宋体" w:cs="宋体"/>
                <w:color w:val="auto"/>
                <w:kern w:val="0"/>
                <w:sz w:val="22"/>
                <w:highlight w:val="none"/>
              </w:rPr>
              <w:t>50℃以下</w:t>
            </w:r>
          </w:p>
          <w:p w14:paraId="331FEED2">
            <w:pPr>
              <w:rPr>
                <w:rFonts w:ascii="宋体" w:hAnsi="宋体" w:cs="宋体"/>
                <w:color w:val="auto"/>
                <w:kern w:val="0"/>
                <w:sz w:val="22"/>
                <w:highlight w:val="none"/>
              </w:rPr>
            </w:pPr>
            <w:r>
              <w:rPr>
                <w:rFonts w:hint="eastAsia" w:ascii="宋体" w:hAnsi="宋体" w:cs="宋体"/>
                <w:color w:val="auto"/>
                <w:kern w:val="0"/>
                <w:sz w:val="22"/>
                <w:highlight w:val="none"/>
              </w:rPr>
              <w:t>用真空吸笔清除玻璃碎片</w:t>
            </w:r>
          </w:p>
          <w:p w14:paraId="6B19ADAD">
            <w:pPr>
              <w:rPr>
                <w:rFonts w:ascii="宋体" w:hAnsi="宋体" w:cs="宋体"/>
                <w:color w:val="auto"/>
                <w:kern w:val="0"/>
                <w:sz w:val="22"/>
                <w:highlight w:val="none"/>
              </w:rPr>
            </w:pPr>
            <w:r>
              <w:rPr>
                <w:rFonts w:hint="eastAsia" w:ascii="宋体" w:hAnsi="宋体" w:cs="宋体"/>
                <w:color w:val="auto"/>
                <w:kern w:val="0"/>
                <w:sz w:val="22"/>
                <w:highlight w:val="none"/>
              </w:rPr>
              <w:t>加热块浸泡于</w:t>
            </w:r>
            <w:r>
              <w:rPr>
                <w:rFonts w:ascii="宋体" w:hAnsi="宋体" w:cs="宋体"/>
                <w:color w:val="auto"/>
                <w:kern w:val="0"/>
                <w:sz w:val="22"/>
                <w:highlight w:val="none"/>
              </w:rPr>
              <w:t>10%氢氟酸溶液（仅限金属材质）2小时后冲洗</w:t>
            </w:r>
          </w:p>
          <w:p w14:paraId="5328B950">
            <w:pPr>
              <w:rPr>
                <w:rFonts w:ascii="宋体" w:hAnsi="宋体" w:cs="宋体"/>
                <w:color w:val="auto"/>
                <w:kern w:val="0"/>
                <w:sz w:val="22"/>
                <w:highlight w:val="none"/>
              </w:rPr>
            </w:pPr>
            <w:r>
              <w:rPr>
                <w:rFonts w:hint="eastAsia" w:ascii="宋体" w:hAnsi="宋体" w:cs="宋体"/>
                <w:color w:val="auto"/>
                <w:kern w:val="0"/>
                <w:sz w:val="22"/>
                <w:highlight w:val="none"/>
              </w:rPr>
              <w:t>五、耗材管理规范</w:t>
            </w:r>
          </w:p>
          <w:p w14:paraId="5C5A0874">
            <w:pPr>
              <w:rPr>
                <w:rFonts w:ascii="宋体" w:hAnsi="宋体" w:cs="宋体"/>
                <w:color w:val="auto"/>
                <w:kern w:val="0"/>
                <w:sz w:val="22"/>
                <w:highlight w:val="none"/>
              </w:rPr>
            </w:pPr>
            <w:r>
              <w:rPr>
                <w:rFonts w:hint="eastAsia" w:ascii="宋体" w:hAnsi="宋体" w:cs="宋体"/>
                <w:color w:val="auto"/>
                <w:kern w:val="0"/>
                <w:sz w:val="22"/>
                <w:highlight w:val="none"/>
              </w:rPr>
              <w:t>毛细管</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0503348B">
            <w:pPr>
              <w:rPr>
                <w:rFonts w:ascii="宋体" w:hAnsi="宋体" w:cs="宋体"/>
                <w:color w:val="auto"/>
                <w:kern w:val="0"/>
                <w:sz w:val="22"/>
                <w:highlight w:val="none"/>
              </w:rPr>
            </w:pPr>
            <w:r>
              <w:rPr>
                <w:rFonts w:hint="eastAsia" w:ascii="宋体" w:hAnsi="宋体" w:cs="宋体"/>
                <w:color w:val="auto"/>
                <w:kern w:val="0"/>
                <w:sz w:val="22"/>
                <w:highlight w:val="none"/>
              </w:rPr>
              <w:t>使用前检查端口平整度（显微镜下观察）</w:t>
            </w:r>
          </w:p>
          <w:p w14:paraId="67036946">
            <w:pPr>
              <w:rPr>
                <w:rFonts w:ascii="宋体" w:hAnsi="宋体" w:cs="宋体"/>
                <w:color w:val="auto"/>
                <w:kern w:val="0"/>
                <w:sz w:val="22"/>
                <w:highlight w:val="none"/>
              </w:rPr>
            </w:pPr>
            <w:r>
              <w:rPr>
                <w:rFonts w:hint="eastAsia" w:ascii="宋体" w:hAnsi="宋体" w:cs="宋体"/>
                <w:color w:val="auto"/>
                <w:kern w:val="0"/>
                <w:sz w:val="22"/>
                <w:highlight w:val="none"/>
              </w:rPr>
              <w:t>禁止重复使用同支毛细管超过</w:t>
            </w:r>
            <w:r>
              <w:rPr>
                <w:rFonts w:ascii="宋体" w:hAnsi="宋体" w:cs="宋体"/>
                <w:color w:val="auto"/>
                <w:kern w:val="0"/>
                <w:sz w:val="22"/>
                <w:highlight w:val="none"/>
              </w:rPr>
              <w:t>3次</w:t>
            </w:r>
          </w:p>
          <w:p w14:paraId="08EA85CA">
            <w:pPr>
              <w:rPr>
                <w:rFonts w:ascii="宋体" w:hAnsi="宋体" w:cs="宋体"/>
                <w:color w:val="auto"/>
                <w:kern w:val="0"/>
                <w:sz w:val="22"/>
                <w:highlight w:val="none"/>
              </w:rPr>
            </w:pPr>
            <w:r>
              <w:rPr>
                <w:rFonts w:hint="eastAsia" w:ascii="宋体" w:hAnsi="宋体" w:cs="宋体"/>
                <w:color w:val="auto"/>
                <w:kern w:val="0"/>
                <w:sz w:val="22"/>
                <w:highlight w:val="none"/>
              </w:rPr>
              <w:t>硅油介质</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281B4451">
            <w:pPr>
              <w:rPr>
                <w:rFonts w:ascii="宋体" w:hAnsi="宋体" w:cs="宋体"/>
                <w:color w:val="auto"/>
                <w:kern w:val="0"/>
                <w:sz w:val="22"/>
                <w:highlight w:val="none"/>
              </w:rPr>
            </w:pPr>
            <w:r>
              <w:rPr>
                <w:rFonts w:hint="eastAsia" w:ascii="宋体" w:hAnsi="宋体" w:cs="宋体"/>
                <w:color w:val="auto"/>
                <w:kern w:val="0"/>
                <w:sz w:val="22"/>
                <w:highlight w:val="none"/>
              </w:rPr>
              <w:t>每</w:t>
            </w:r>
            <w:r>
              <w:rPr>
                <w:rFonts w:ascii="宋体" w:hAnsi="宋体" w:cs="宋体"/>
                <w:color w:val="auto"/>
                <w:kern w:val="0"/>
                <w:sz w:val="22"/>
                <w:highlight w:val="none"/>
              </w:rPr>
              <w:t>200次测试或出现颜色变深时更换</w:t>
            </w:r>
          </w:p>
          <w:p w14:paraId="3918982A">
            <w:pPr>
              <w:rPr>
                <w:rFonts w:ascii="宋体" w:hAnsi="宋体" w:cs="宋体"/>
                <w:color w:val="auto"/>
                <w:kern w:val="0"/>
                <w:sz w:val="22"/>
                <w:highlight w:val="none"/>
              </w:rPr>
            </w:pPr>
            <w:r>
              <w:rPr>
                <w:rFonts w:hint="eastAsia" w:ascii="宋体" w:hAnsi="宋体" w:cs="宋体"/>
                <w:color w:val="auto"/>
                <w:kern w:val="0"/>
                <w:sz w:val="22"/>
                <w:highlight w:val="none"/>
              </w:rPr>
              <w:t>废弃处理需符合《实验室危险废物管理条例》</w:t>
            </w:r>
          </w:p>
        </w:tc>
      </w:tr>
      <w:tr w14:paraId="4EE2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2CAE5DE5">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纯水仪</w:t>
            </w:r>
          </w:p>
        </w:tc>
        <w:tc>
          <w:tcPr>
            <w:tcW w:w="8426" w:type="dxa"/>
          </w:tcPr>
          <w:p w14:paraId="3854DE27">
            <w:pPr>
              <w:rPr>
                <w:rFonts w:ascii="宋体" w:hAnsi="宋体" w:cs="宋体"/>
                <w:color w:val="auto"/>
                <w:kern w:val="0"/>
                <w:sz w:val="22"/>
                <w:highlight w:val="none"/>
              </w:rPr>
            </w:pPr>
            <w:r>
              <w:rPr>
                <w:rFonts w:hint="eastAsia" w:ascii="宋体" w:hAnsi="宋体" w:cs="宋体"/>
                <w:color w:val="auto"/>
                <w:kern w:val="0"/>
                <w:sz w:val="22"/>
                <w:highlight w:val="none"/>
              </w:rPr>
              <w:t>一、预处理系统维护</w:t>
            </w:r>
          </w:p>
          <w:p w14:paraId="2ADB4E58">
            <w:pPr>
              <w:rPr>
                <w:rFonts w:ascii="宋体" w:hAnsi="宋体" w:cs="宋体"/>
                <w:color w:val="auto"/>
                <w:kern w:val="0"/>
                <w:sz w:val="22"/>
                <w:highlight w:val="none"/>
              </w:rPr>
            </w:pPr>
            <w:r>
              <w:rPr>
                <w:rFonts w:hint="eastAsia" w:ascii="宋体" w:hAnsi="宋体" w:cs="宋体"/>
                <w:color w:val="auto"/>
                <w:kern w:val="0"/>
                <w:sz w:val="22"/>
                <w:highlight w:val="none"/>
              </w:rPr>
              <w:t>活性炭滤芯</w:t>
            </w:r>
          </w:p>
          <w:p w14:paraId="3A594715">
            <w:pPr>
              <w:rPr>
                <w:rFonts w:ascii="宋体" w:hAnsi="宋体" w:cs="宋体"/>
                <w:color w:val="auto"/>
                <w:kern w:val="0"/>
                <w:sz w:val="22"/>
                <w:highlight w:val="none"/>
              </w:rPr>
            </w:pPr>
            <w:r>
              <w:rPr>
                <w:rFonts w:hint="eastAsia" w:ascii="宋体" w:hAnsi="宋体" w:cs="宋体"/>
                <w:color w:val="auto"/>
                <w:kern w:val="0"/>
                <w:sz w:val="22"/>
                <w:highlight w:val="none"/>
              </w:rPr>
              <w:t>更换周期</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w:t>
            </w:r>
            <w:r>
              <w:rPr>
                <w:rFonts w:ascii="宋体" w:hAnsi="宋体" w:cs="宋体"/>
                <w:color w:val="auto"/>
                <w:kern w:val="0"/>
                <w:sz w:val="22"/>
                <w:highlight w:val="none"/>
              </w:rPr>
              <w:t>3个月或产水量达2,000L（以先到为准）</w:t>
            </w:r>
          </w:p>
          <w:p w14:paraId="0E08C48D">
            <w:pPr>
              <w:rPr>
                <w:rFonts w:ascii="宋体" w:hAnsi="宋体" w:cs="宋体"/>
                <w:color w:val="auto"/>
                <w:kern w:val="0"/>
                <w:sz w:val="22"/>
                <w:highlight w:val="none"/>
              </w:rPr>
            </w:pPr>
            <w:r>
              <w:rPr>
                <w:rFonts w:hint="eastAsia" w:ascii="宋体" w:hAnsi="宋体" w:cs="宋体"/>
                <w:color w:val="auto"/>
                <w:kern w:val="0"/>
                <w:sz w:val="22"/>
                <w:highlight w:val="none"/>
              </w:rPr>
              <w:t>维护要点</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0169197D">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监测进水余氯（应＜</w:t>
            </w:r>
            <w:r>
              <w:rPr>
                <w:rFonts w:ascii="宋体" w:hAnsi="宋体" w:cs="宋体"/>
                <w:color w:val="auto"/>
                <w:kern w:val="0"/>
                <w:sz w:val="22"/>
                <w:highlight w:val="none"/>
              </w:rPr>
              <w:t>0.1ppm</w:t>
            </w:r>
            <w:r>
              <w:rPr>
                <w:rFonts w:hint="eastAsia" w:ascii="宋体" w:hAnsi="宋体" w:cs="宋体"/>
                <w:color w:val="auto"/>
                <w:kern w:val="0"/>
                <w:sz w:val="22"/>
                <w:highlight w:val="none"/>
              </w:rPr>
              <w:t>），超标时提前更换</w:t>
            </w:r>
          </w:p>
          <w:p w14:paraId="38036FBB">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更换后执行</w:t>
            </w:r>
            <w:r>
              <w:rPr>
                <w:rFonts w:ascii="宋体" w:hAnsi="宋体" w:cs="宋体"/>
                <w:color w:val="auto"/>
                <w:kern w:val="0"/>
                <w:sz w:val="22"/>
                <w:highlight w:val="none"/>
              </w:rPr>
              <w:t>30</w:t>
            </w:r>
            <w:r>
              <w:rPr>
                <w:rFonts w:hint="eastAsia" w:ascii="宋体" w:hAnsi="宋体" w:cs="宋体"/>
                <w:color w:val="auto"/>
                <w:kern w:val="0"/>
                <w:sz w:val="22"/>
                <w:highlight w:val="none"/>
              </w:rPr>
              <w:t>分钟冲洗程序（避免碳粉污染反渗透膜）</w:t>
            </w:r>
          </w:p>
          <w:p w14:paraId="76E22FEC">
            <w:pPr>
              <w:rPr>
                <w:rFonts w:ascii="宋体" w:hAnsi="宋体" w:cs="宋体"/>
                <w:color w:val="auto"/>
                <w:kern w:val="0"/>
                <w:sz w:val="22"/>
                <w:highlight w:val="none"/>
              </w:rPr>
            </w:pPr>
            <w:r>
              <w:rPr>
                <w:rFonts w:hint="eastAsia" w:ascii="宋体" w:hAnsi="宋体" w:cs="宋体"/>
                <w:color w:val="auto"/>
                <w:kern w:val="0"/>
                <w:sz w:val="22"/>
                <w:highlight w:val="none"/>
              </w:rPr>
              <w:t>反渗透膜（</w:t>
            </w:r>
            <w:r>
              <w:rPr>
                <w:rFonts w:ascii="宋体" w:hAnsi="宋体" w:cs="宋体"/>
                <w:color w:val="auto"/>
                <w:kern w:val="0"/>
                <w:sz w:val="22"/>
                <w:highlight w:val="none"/>
              </w:rPr>
              <w:t>RO膜）</w:t>
            </w:r>
          </w:p>
          <w:p w14:paraId="5E5577FA">
            <w:pPr>
              <w:rPr>
                <w:rFonts w:ascii="宋体" w:hAnsi="宋体" w:cs="宋体"/>
                <w:color w:val="auto"/>
                <w:kern w:val="0"/>
                <w:sz w:val="22"/>
                <w:highlight w:val="none"/>
              </w:rPr>
            </w:pPr>
            <w:r>
              <w:rPr>
                <w:rFonts w:hint="eastAsia" w:ascii="宋体" w:hAnsi="宋体" w:cs="宋体"/>
                <w:color w:val="auto"/>
                <w:kern w:val="0"/>
                <w:sz w:val="22"/>
                <w:highlight w:val="none"/>
              </w:rPr>
              <w:t>化学清洗</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0FE8ACC8">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每月用</w:t>
            </w:r>
            <w:r>
              <w:rPr>
                <w:rFonts w:ascii="宋体" w:hAnsi="宋体" w:cs="宋体"/>
                <w:color w:val="auto"/>
                <w:kern w:val="0"/>
                <w:sz w:val="22"/>
                <w:highlight w:val="none"/>
              </w:rPr>
              <w:t>2%</w:t>
            </w:r>
            <w:r>
              <w:rPr>
                <w:rFonts w:hint="eastAsia" w:ascii="宋体" w:hAnsi="宋体" w:cs="宋体"/>
                <w:color w:val="auto"/>
                <w:kern w:val="0"/>
                <w:sz w:val="22"/>
                <w:highlight w:val="none"/>
              </w:rPr>
              <w:t>柠檬酸溶液循环清洗</w:t>
            </w:r>
            <w:r>
              <w:rPr>
                <w:rFonts w:ascii="宋体" w:hAnsi="宋体" w:cs="宋体"/>
                <w:color w:val="auto"/>
                <w:kern w:val="0"/>
                <w:sz w:val="22"/>
                <w:highlight w:val="none"/>
              </w:rPr>
              <w:t>30</w:t>
            </w:r>
            <w:r>
              <w:rPr>
                <w:rFonts w:hint="eastAsia" w:ascii="宋体" w:hAnsi="宋体" w:cs="宋体"/>
                <w:color w:val="auto"/>
                <w:kern w:val="0"/>
                <w:sz w:val="22"/>
                <w:highlight w:val="none"/>
              </w:rPr>
              <w:t>分钟（钙垢污染）</w:t>
            </w:r>
          </w:p>
          <w:p w14:paraId="6C392AE7">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每季度用</w:t>
            </w:r>
            <w:r>
              <w:rPr>
                <w:rFonts w:ascii="宋体" w:hAnsi="宋体" w:cs="宋体"/>
                <w:color w:val="auto"/>
                <w:kern w:val="0"/>
                <w:sz w:val="22"/>
                <w:highlight w:val="none"/>
              </w:rPr>
              <w:t>0.1% NaOH</w:t>
            </w:r>
            <w:r>
              <w:rPr>
                <w:rFonts w:hint="eastAsia" w:ascii="宋体" w:hAnsi="宋体" w:cs="宋体"/>
                <w:color w:val="auto"/>
                <w:kern w:val="0"/>
                <w:sz w:val="22"/>
                <w:highlight w:val="none"/>
              </w:rPr>
              <w:t>溶液清洗生物膜（</w:t>
            </w:r>
            <w:r>
              <w:rPr>
                <w:rFonts w:ascii="宋体" w:hAnsi="宋体" w:cs="宋体"/>
                <w:color w:val="auto"/>
                <w:kern w:val="0"/>
                <w:sz w:val="22"/>
                <w:highlight w:val="none"/>
              </w:rPr>
              <w:t>pH</w:t>
            </w:r>
            <w:r>
              <w:rPr>
                <w:rFonts w:hint="eastAsia" w:ascii="宋体" w:hAnsi="宋体" w:cs="宋体"/>
                <w:color w:val="auto"/>
                <w:kern w:val="0"/>
                <w:sz w:val="22"/>
                <w:highlight w:val="none"/>
              </w:rPr>
              <w:t>维持</w:t>
            </w:r>
            <w:r>
              <w:rPr>
                <w:rFonts w:ascii="宋体" w:hAnsi="宋体" w:cs="宋体"/>
                <w:color w:val="auto"/>
                <w:kern w:val="0"/>
                <w:sz w:val="22"/>
                <w:highlight w:val="none"/>
              </w:rPr>
              <w:t>11-12</w:t>
            </w:r>
            <w:r>
              <w:rPr>
                <w:rFonts w:hint="eastAsia" w:ascii="宋体" w:hAnsi="宋体" w:cs="宋体"/>
                <w:color w:val="auto"/>
                <w:kern w:val="0"/>
                <w:sz w:val="22"/>
                <w:highlight w:val="none"/>
              </w:rPr>
              <w:t>）</w:t>
            </w:r>
          </w:p>
          <w:p w14:paraId="682FCD3C">
            <w:pPr>
              <w:rPr>
                <w:rFonts w:ascii="宋体" w:hAnsi="宋体" w:cs="宋体"/>
                <w:color w:val="auto"/>
                <w:kern w:val="0"/>
                <w:sz w:val="22"/>
                <w:highlight w:val="none"/>
              </w:rPr>
            </w:pPr>
            <w:r>
              <w:rPr>
                <w:rFonts w:hint="eastAsia" w:ascii="宋体" w:hAnsi="宋体" w:cs="宋体"/>
                <w:color w:val="auto"/>
                <w:kern w:val="0"/>
                <w:sz w:val="22"/>
                <w:highlight w:val="none"/>
              </w:rPr>
              <w:t>更换标准</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：产水电阻率持续＜</w:t>
            </w:r>
            <w:r>
              <w:rPr>
                <w:rFonts w:ascii="宋体" w:hAnsi="宋体" w:cs="宋体"/>
                <w:color w:val="auto"/>
                <w:kern w:val="0"/>
                <w:sz w:val="22"/>
                <w:highlight w:val="none"/>
              </w:rPr>
              <w:t>1 MΩ·cm（25℃）或脱盐率＜90%</w:t>
            </w:r>
          </w:p>
          <w:p w14:paraId="0CE1779A">
            <w:pPr>
              <w:rPr>
                <w:rFonts w:ascii="宋体" w:hAnsi="宋体" w:cs="宋体"/>
                <w:color w:val="auto"/>
                <w:kern w:val="0"/>
                <w:sz w:val="22"/>
                <w:highlight w:val="none"/>
              </w:rPr>
            </w:pPr>
            <w:r>
              <w:rPr>
                <w:rFonts w:hint="eastAsia" w:ascii="宋体" w:hAnsi="宋体" w:cs="宋体"/>
                <w:color w:val="auto"/>
                <w:kern w:val="0"/>
                <w:sz w:val="22"/>
                <w:highlight w:val="none"/>
              </w:rPr>
              <w:t>二、储水系统维护</w:t>
            </w:r>
          </w:p>
          <w:tbl>
            <w:tblPr>
              <w:tblStyle w:val="33"/>
              <w:tblW w:w="5940" w:type="dxa"/>
              <w:tblInd w:w="0" w:type="dxa"/>
              <w:tblLayout w:type="autofit"/>
              <w:tblCellMar>
                <w:top w:w="0" w:type="dxa"/>
                <w:left w:w="108" w:type="dxa"/>
                <w:bottom w:w="0" w:type="dxa"/>
                <w:right w:w="108" w:type="dxa"/>
              </w:tblCellMar>
            </w:tblPr>
            <w:tblGrid>
              <w:gridCol w:w="1040"/>
              <w:gridCol w:w="2240"/>
              <w:gridCol w:w="2660"/>
            </w:tblGrid>
            <w:tr w14:paraId="704E30A6">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40B60BA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组件</w:t>
                  </w:r>
                </w:p>
              </w:tc>
              <w:tc>
                <w:tcPr>
                  <w:tcW w:w="2240" w:type="dxa"/>
                  <w:tcBorders>
                    <w:top w:val="single" w:color="auto" w:sz="4" w:space="0"/>
                    <w:left w:val="nil"/>
                    <w:bottom w:val="single" w:color="auto" w:sz="4" w:space="0"/>
                    <w:right w:val="single" w:color="auto" w:sz="4" w:space="0"/>
                  </w:tcBorders>
                  <w:shd w:val="clear" w:color="auto" w:fill="auto"/>
                  <w:vAlign w:val="center"/>
                </w:tcPr>
                <w:p w14:paraId="22E94B0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维护操作</w:t>
                  </w:r>
                </w:p>
              </w:tc>
              <w:tc>
                <w:tcPr>
                  <w:tcW w:w="2660" w:type="dxa"/>
                  <w:tcBorders>
                    <w:top w:val="single" w:color="auto" w:sz="4" w:space="0"/>
                    <w:left w:val="nil"/>
                    <w:bottom w:val="single" w:color="auto" w:sz="4" w:space="0"/>
                    <w:right w:val="single" w:color="auto" w:sz="4" w:space="0"/>
                  </w:tcBorders>
                  <w:shd w:val="clear" w:color="auto" w:fill="auto"/>
                  <w:vAlign w:val="center"/>
                </w:tcPr>
                <w:p w14:paraId="6AEF103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技术标准</w:t>
                  </w:r>
                </w:p>
              </w:tc>
            </w:tr>
            <w:tr w14:paraId="57B89AE7">
              <w:tblPrEx>
                <w:tblCellMar>
                  <w:top w:w="0" w:type="dxa"/>
                  <w:left w:w="108" w:type="dxa"/>
                  <w:bottom w:w="0" w:type="dxa"/>
                  <w:right w:w="108" w:type="dxa"/>
                </w:tblCellMar>
              </w:tblPrEx>
              <w:trPr>
                <w:trHeight w:val="84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02AD375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储水罐</w:t>
                  </w:r>
                </w:p>
              </w:tc>
              <w:tc>
                <w:tcPr>
                  <w:tcW w:w="2240" w:type="dxa"/>
                  <w:tcBorders>
                    <w:top w:val="nil"/>
                    <w:left w:val="nil"/>
                    <w:bottom w:val="single" w:color="auto" w:sz="4" w:space="0"/>
                    <w:right w:val="single" w:color="auto" w:sz="4" w:space="0"/>
                  </w:tcBorders>
                  <w:shd w:val="clear" w:color="auto" w:fill="auto"/>
                  <w:vAlign w:val="center"/>
                </w:tcPr>
                <w:p w14:paraId="4A30886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每季度排空后高压蒸汽灭菌（</w:t>
                  </w:r>
                  <w:r>
                    <w:rPr>
                      <w:rFonts w:ascii="宋体" w:hAnsi="宋体" w:cs="宋体"/>
                      <w:color w:val="auto"/>
                      <w:kern w:val="0"/>
                      <w:sz w:val="22"/>
                      <w:highlight w:val="none"/>
                    </w:rPr>
                    <w:t>121℃×30min）</w:t>
                  </w:r>
                </w:p>
              </w:tc>
              <w:tc>
                <w:tcPr>
                  <w:tcW w:w="2660" w:type="dxa"/>
                  <w:tcBorders>
                    <w:top w:val="nil"/>
                    <w:left w:val="nil"/>
                    <w:bottom w:val="single" w:color="auto" w:sz="4" w:space="0"/>
                    <w:right w:val="single" w:color="auto" w:sz="4" w:space="0"/>
                  </w:tcBorders>
                  <w:shd w:val="clear" w:color="auto" w:fill="auto"/>
                  <w:vAlign w:val="center"/>
                </w:tcPr>
                <w:p w14:paraId="42EEA18E">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内壁菌落总数＜</w:t>
                  </w:r>
                  <w:r>
                    <w:rPr>
                      <w:rFonts w:ascii="宋体" w:hAnsi="宋体" w:cs="宋体"/>
                      <w:color w:val="auto"/>
                      <w:kern w:val="0"/>
                      <w:sz w:val="22"/>
                      <w:highlight w:val="none"/>
                    </w:rPr>
                    <w:t>1 CFU/mL</w:t>
                  </w:r>
                </w:p>
              </w:tc>
            </w:tr>
            <w:tr w14:paraId="0A63F659">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601B735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呼吸过滤器</w:t>
                  </w:r>
                </w:p>
              </w:tc>
              <w:tc>
                <w:tcPr>
                  <w:tcW w:w="2240" w:type="dxa"/>
                  <w:tcBorders>
                    <w:top w:val="nil"/>
                    <w:left w:val="nil"/>
                    <w:bottom w:val="single" w:color="auto" w:sz="4" w:space="0"/>
                    <w:right w:val="single" w:color="auto" w:sz="4" w:space="0"/>
                  </w:tcBorders>
                  <w:shd w:val="clear" w:color="auto" w:fill="auto"/>
                  <w:vAlign w:val="center"/>
                </w:tcPr>
                <w:p w14:paraId="1824F89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每月检查完整性（泡点测试≥</w:t>
                  </w:r>
                  <w:r>
                    <w:rPr>
                      <w:rFonts w:ascii="宋体" w:hAnsi="宋体" w:cs="宋体"/>
                      <w:color w:val="auto"/>
                      <w:kern w:val="0"/>
                      <w:sz w:val="22"/>
                      <w:highlight w:val="none"/>
                    </w:rPr>
                    <w:t>0.3MPa）</w:t>
                  </w:r>
                </w:p>
              </w:tc>
              <w:tc>
                <w:tcPr>
                  <w:tcW w:w="2660" w:type="dxa"/>
                  <w:tcBorders>
                    <w:top w:val="nil"/>
                    <w:left w:val="nil"/>
                    <w:bottom w:val="single" w:color="auto" w:sz="4" w:space="0"/>
                    <w:right w:val="single" w:color="auto" w:sz="4" w:space="0"/>
                  </w:tcBorders>
                  <w:shd w:val="clear" w:color="auto" w:fill="auto"/>
                  <w:vAlign w:val="center"/>
                </w:tcPr>
                <w:p w14:paraId="5D61C23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更换周期≤</w:t>
                  </w:r>
                  <w:r>
                    <w:rPr>
                      <w:rFonts w:ascii="宋体" w:hAnsi="宋体" w:cs="宋体"/>
                      <w:color w:val="auto"/>
                      <w:kern w:val="0"/>
                      <w:sz w:val="22"/>
                      <w:highlight w:val="none"/>
                    </w:rPr>
                    <w:t>6个月</w:t>
                  </w:r>
                </w:p>
              </w:tc>
            </w:tr>
            <w:tr w14:paraId="2CA92E7B">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37EE6350">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循环管路</w:t>
                  </w:r>
                </w:p>
              </w:tc>
              <w:tc>
                <w:tcPr>
                  <w:tcW w:w="2240" w:type="dxa"/>
                  <w:tcBorders>
                    <w:top w:val="nil"/>
                    <w:left w:val="nil"/>
                    <w:bottom w:val="single" w:color="auto" w:sz="4" w:space="0"/>
                    <w:right w:val="single" w:color="auto" w:sz="4" w:space="0"/>
                  </w:tcBorders>
                  <w:shd w:val="clear" w:color="auto" w:fill="auto"/>
                  <w:vAlign w:val="center"/>
                </w:tcPr>
                <w:p w14:paraId="4F64C9A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每周用</w:t>
                  </w:r>
                  <w:r>
                    <w:rPr>
                      <w:rFonts w:ascii="宋体" w:hAnsi="宋体" w:cs="宋体"/>
                      <w:color w:val="auto"/>
                      <w:kern w:val="0"/>
                      <w:sz w:val="22"/>
                      <w:highlight w:val="none"/>
                    </w:rPr>
                    <w:t>1%过氧乙酸溶液循环消毒20分钟</w:t>
                  </w:r>
                </w:p>
              </w:tc>
              <w:tc>
                <w:tcPr>
                  <w:tcW w:w="2660" w:type="dxa"/>
                  <w:tcBorders>
                    <w:top w:val="nil"/>
                    <w:left w:val="nil"/>
                    <w:bottom w:val="single" w:color="auto" w:sz="4" w:space="0"/>
                    <w:right w:val="single" w:color="auto" w:sz="4" w:space="0"/>
                  </w:tcBorders>
                  <w:shd w:val="clear" w:color="auto" w:fill="auto"/>
                  <w:vAlign w:val="center"/>
                </w:tcPr>
                <w:p w14:paraId="68980FF6">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管路压力损失＜</w:t>
                  </w:r>
                  <w:r>
                    <w:rPr>
                      <w:rFonts w:ascii="宋体" w:hAnsi="宋体" w:cs="宋体"/>
                      <w:color w:val="auto"/>
                      <w:kern w:val="0"/>
                      <w:sz w:val="22"/>
                      <w:highlight w:val="none"/>
                    </w:rPr>
                    <w:t>10%初始值</w:t>
                  </w:r>
                </w:p>
              </w:tc>
            </w:tr>
          </w:tbl>
          <w:p w14:paraId="7168DD8D">
            <w:pPr>
              <w:rPr>
                <w:rFonts w:ascii="宋体" w:hAnsi="宋体" w:cs="宋体"/>
                <w:color w:val="auto"/>
                <w:kern w:val="0"/>
                <w:sz w:val="22"/>
                <w:highlight w:val="none"/>
              </w:rPr>
            </w:pPr>
            <w:r>
              <w:rPr>
                <w:rFonts w:hint="eastAsia" w:ascii="宋体" w:hAnsi="宋体" w:cs="宋体"/>
                <w:color w:val="auto"/>
                <w:kern w:val="0"/>
                <w:sz w:val="22"/>
                <w:highlight w:val="none"/>
              </w:rPr>
              <w:t>三、终端精处理维护</w:t>
            </w:r>
          </w:p>
          <w:p w14:paraId="5F086541">
            <w:pPr>
              <w:rPr>
                <w:rFonts w:ascii="宋体" w:hAnsi="宋体" w:cs="宋体"/>
                <w:color w:val="auto"/>
                <w:kern w:val="0"/>
                <w:sz w:val="22"/>
                <w:highlight w:val="none"/>
              </w:rPr>
            </w:pPr>
            <w:r>
              <w:rPr>
                <w:rFonts w:hint="eastAsia" w:ascii="宋体" w:hAnsi="宋体" w:cs="宋体"/>
                <w:color w:val="auto"/>
                <w:kern w:val="0"/>
                <w:sz w:val="22"/>
                <w:highlight w:val="none"/>
              </w:rPr>
              <w:t>离子交换树脂</w:t>
            </w:r>
          </w:p>
          <w:p w14:paraId="60215257">
            <w:pPr>
              <w:rPr>
                <w:rFonts w:ascii="宋体" w:hAnsi="宋体" w:cs="宋体"/>
                <w:color w:val="auto"/>
                <w:kern w:val="0"/>
                <w:sz w:val="22"/>
                <w:highlight w:val="none"/>
              </w:rPr>
            </w:pPr>
            <w:r>
              <w:rPr>
                <w:rFonts w:hint="eastAsia" w:ascii="宋体" w:hAnsi="宋体" w:cs="宋体"/>
                <w:color w:val="auto"/>
                <w:kern w:val="0"/>
                <w:sz w:val="22"/>
                <w:highlight w:val="none"/>
              </w:rPr>
              <w:t>再生处理</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7960CABD">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混床树脂用</w:t>
            </w:r>
            <w:r>
              <w:rPr>
                <w:rFonts w:ascii="宋体" w:hAnsi="宋体" w:cs="宋体"/>
                <w:color w:val="auto"/>
                <w:kern w:val="0"/>
                <w:sz w:val="22"/>
                <w:highlight w:val="none"/>
              </w:rPr>
              <w:t>10% NaCl</w:t>
            </w:r>
            <w:r>
              <w:rPr>
                <w:rFonts w:hint="eastAsia" w:ascii="宋体" w:hAnsi="宋体" w:cs="宋体"/>
                <w:color w:val="auto"/>
                <w:kern w:val="0"/>
                <w:sz w:val="22"/>
                <w:highlight w:val="none"/>
              </w:rPr>
              <w:t>溶液再生（流量</w:t>
            </w:r>
            <w:r>
              <w:rPr>
                <w:rFonts w:ascii="宋体" w:hAnsi="宋体" w:cs="宋体"/>
                <w:color w:val="auto"/>
                <w:kern w:val="0"/>
                <w:sz w:val="22"/>
                <w:highlight w:val="none"/>
              </w:rPr>
              <w:t>2BV/h×4</w:t>
            </w:r>
            <w:r>
              <w:rPr>
                <w:rFonts w:hint="eastAsia" w:ascii="宋体" w:hAnsi="宋体" w:cs="宋体"/>
                <w:color w:val="auto"/>
                <w:kern w:val="0"/>
                <w:sz w:val="22"/>
                <w:highlight w:val="none"/>
              </w:rPr>
              <w:t>小时）</w:t>
            </w:r>
          </w:p>
          <w:p w14:paraId="114EAD86">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监测再生效率：产水电阻率应＞</w:t>
            </w:r>
            <w:r>
              <w:rPr>
                <w:rFonts w:ascii="宋体" w:hAnsi="宋体" w:cs="宋体"/>
                <w:color w:val="auto"/>
                <w:kern w:val="0"/>
                <w:sz w:val="22"/>
                <w:highlight w:val="none"/>
              </w:rPr>
              <w:t>18.2 MΩ·cm</w:t>
            </w:r>
          </w:p>
          <w:p w14:paraId="1263A0B5">
            <w:pPr>
              <w:rPr>
                <w:rFonts w:ascii="宋体" w:hAnsi="宋体" w:cs="宋体"/>
                <w:color w:val="auto"/>
                <w:kern w:val="0"/>
                <w:sz w:val="22"/>
                <w:highlight w:val="none"/>
              </w:rPr>
            </w:pPr>
            <w:r>
              <w:rPr>
                <w:rFonts w:hint="eastAsia" w:ascii="宋体" w:hAnsi="宋体" w:cs="宋体"/>
                <w:color w:val="auto"/>
                <w:kern w:val="0"/>
                <w:sz w:val="22"/>
                <w:highlight w:val="none"/>
              </w:rPr>
              <w:t>更换提示</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：再生后维持高水质＜</w:t>
            </w:r>
            <w:r>
              <w:rPr>
                <w:rFonts w:ascii="宋体" w:hAnsi="宋体" w:cs="宋体"/>
                <w:color w:val="auto"/>
                <w:kern w:val="0"/>
                <w:sz w:val="22"/>
                <w:highlight w:val="none"/>
              </w:rPr>
              <w:t>24小时需整体更换</w:t>
            </w:r>
          </w:p>
          <w:p w14:paraId="13190DFB">
            <w:pPr>
              <w:rPr>
                <w:rFonts w:ascii="宋体" w:hAnsi="宋体" w:cs="宋体"/>
                <w:color w:val="auto"/>
                <w:kern w:val="0"/>
                <w:sz w:val="22"/>
                <w:highlight w:val="none"/>
              </w:rPr>
            </w:pPr>
            <w:r>
              <w:rPr>
                <w:rFonts w:hint="eastAsia" w:ascii="宋体" w:hAnsi="宋体" w:cs="宋体"/>
                <w:color w:val="auto"/>
                <w:kern w:val="0"/>
                <w:sz w:val="22"/>
                <w:highlight w:val="none"/>
              </w:rPr>
              <w:t>紫外消毒模块</w:t>
            </w:r>
          </w:p>
          <w:p w14:paraId="433A21F0">
            <w:pPr>
              <w:rPr>
                <w:rFonts w:ascii="宋体" w:hAnsi="宋体" w:cs="宋体"/>
                <w:color w:val="auto"/>
                <w:kern w:val="0"/>
                <w:sz w:val="22"/>
                <w:highlight w:val="none"/>
              </w:rPr>
            </w:pPr>
            <w:r>
              <w:rPr>
                <w:rFonts w:hint="eastAsia" w:ascii="宋体" w:hAnsi="宋体" w:cs="宋体"/>
                <w:color w:val="auto"/>
                <w:kern w:val="0"/>
                <w:sz w:val="22"/>
                <w:highlight w:val="none"/>
              </w:rPr>
              <w:t>灯管管理</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2834C02B">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累计使用</w:t>
            </w:r>
            <w:r>
              <w:rPr>
                <w:rFonts w:ascii="宋体" w:hAnsi="宋体" w:cs="宋体"/>
                <w:color w:val="auto"/>
                <w:kern w:val="0"/>
                <w:sz w:val="22"/>
                <w:highlight w:val="none"/>
              </w:rPr>
              <w:t>8,000</w:t>
            </w:r>
            <w:r>
              <w:rPr>
                <w:rFonts w:hint="eastAsia" w:ascii="宋体" w:hAnsi="宋体" w:cs="宋体"/>
                <w:color w:val="auto"/>
                <w:kern w:val="0"/>
                <w:sz w:val="22"/>
                <w:highlight w:val="none"/>
              </w:rPr>
              <w:t>小时或强度＜</w:t>
            </w:r>
            <w:r>
              <w:rPr>
                <w:rFonts w:ascii="宋体" w:hAnsi="宋体" w:cs="宋体"/>
                <w:color w:val="auto"/>
                <w:kern w:val="0"/>
                <w:sz w:val="22"/>
                <w:highlight w:val="none"/>
              </w:rPr>
              <w:t>40μW/cm²</w:t>
            </w:r>
            <w:r>
              <w:rPr>
                <w:rFonts w:hint="eastAsia" w:ascii="宋体" w:hAnsi="宋体" w:cs="宋体"/>
                <w:color w:val="auto"/>
                <w:kern w:val="0"/>
                <w:sz w:val="22"/>
                <w:highlight w:val="none"/>
              </w:rPr>
              <w:t>时更换</w:t>
            </w:r>
          </w:p>
          <w:p w14:paraId="0ABCEC25">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每季度用无水乙醇清洁石英套管透光率</w:t>
            </w:r>
          </w:p>
          <w:p w14:paraId="0CBBF59A">
            <w:pPr>
              <w:rPr>
                <w:rFonts w:ascii="宋体" w:hAnsi="宋体" w:cs="宋体"/>
                <w:color w:val="auto"/>
                <w:kern w:val="0"/>
                <w:sz w:val="22"/>
                <w:highlight w:val="none"/>
              </w:rPr>
            </w:pPr>
            <w:r>
              <w:rPr>
                <w:rFonts w:hint="eastAsia" w:ascii="宋体" w:hAnsi="宋体" w:cs="宋体"/>
                <w:color w:val="auto"/>
                <w:kern w:val="0"/>
                <w:sz w:val="22"/>
                <w:highlight w:val="none"/>
              </w:rPr>
              <w:t>强度检测</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：使用</w:t>
            </w:r>
            <w:r>
              <w:rPr>
                <w:rFonts w:ascii="宋体" w:hAnsi="宋体" w:cs="宋体"/>
                <w:color w:val="auto"/>
                <w:kern w:val="0"/>
                <w:sz w:val="22"/>
                <w:highlight w:val="none"/>
              </w:rPr>
              <w:t>254nm专用UV计，衰减率＞20%需干预</w:t>
            </w:r>
          </w:p>
          <w:p w14:paraId="21C9C43A">
            <w:pPr>
              <w:rPr>
                <w:rFonts w:ascii="宋体" w:hAnsi="宋体" w:cs="宋体"/>
                <w:color w:val="auto"/>
                <w:kern w:val="0"/>
                <w:sz w:val="22"/>
                <w:highlight w:val="none"/>
              </w:rPr>
            </w:pPr>
            <w:r>
              <w:rPr>
                <w:rFonts w:hint="eastAsia" w:ascii="宋体" w:hAnsi="宋体" w:cs="宋体"/>
                <w:color w:val="auto"/>
                <w:kern w:val="0"/>
                <w:sz w:val="22"/>
                <w:highlight w:val="none"/>
              </w:rPr>
              <w:t>四、水质监测与校准</w:t>
            </w:r>
          </w:p>
          <w:p w14:paraId="5479B026">
            <w:pPr>
              <w:rPr>
                <w:rFonts w:ascii="宋体" w:hAnsi="宋体" w:cs="宋体"/>
                <w:color w:val="auto"/>
                <w:kern w:val="0"/>
                <w:sz w:val="22"/>
                <w:highlight w:val="none"/>
              </w:rPr>
            </w:pPr>
            <w:r>
              <w:rPr>
                <w:rFonts w:hint="eastAsia" w:ascii="宋体" w:hAnsi="宋体" w:cs="宋体"/>
                <w:color w:val="auto"/>
                <w:kern w:val="0"/>
                <w:sz w:val="22"/>
                <w:highlight w:val="none"/>
              </w:rPr>
              <w:t>在线电导率仪</w:t>
            </w:r>
          </w:p>
          <w:p w14:paraId="5B677BCB">
            <w:pPr>
              <w:rPr>
                <w:rFonts w:ascii="宋体" w:hAnsi="宋体" w:cs="宋体"/>
                <w:color w:val="auto"/>
                <w:kern w:val="0"/>
                <w:sz w:val="22"/>
                <w:highlight w:val="none"/>
              </w:rPr>
            </w:pPr>
            <w:r>
              <w:rPr>
                <w:rFonts w:hint="eastAsia" w:ascii="宋体" w:hAnsi="宋体" w:cs="宋体"/>
                <w:color w:val="auto"/>
                <w:kern w:val="0"/>
                <w:sz w:val="22"/>
                <w:highlight w:val="none"/>
              </w:rPr>
              <w:t>校准频率</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：每月用标准溶液校验（如</w:t>
            </w:r>
            <w:r>
              <w:rPr>
                <w:rFonts w:ascii="宋体" w:hAnsi="宋体" w:cs="宋体"/>
                <w:color w:val="auto"/>
                <w:kern w:val="0"/>
                <w:sz w:val="22"/>
                <w:highlight w:val="none"/>
              </w:rPr>
              <w:t>84μS/cm、1413μS/cm）</w:t>
            </w:r>
          </w:p>
          <w:p w14:paraId="2C04FA5B">
            <w:pPr>
              <w:rPr>
                <w:rFonts w:ascii="宋体" w:hAnsi="宋体" w:cs="宋体"/>
                <w:color w:val="auto"/>
                <w:kern w:val="0"/>
                <w:sz w:val="22"/>
                <w:highlight w:val="none"/>
              </w:rPr>
            </w:pPr>
            <w:r>
              <w:rPr>
                <w:rFonts w:hint="eastAsia" w:ascii="宋体" w:hAnsi="宋体" w:cs="宋体"/>
                <w:color w:val="auto"/>
                <w:kern w:val="0"/>
                <w:sz w:val="22"/>
                <w:highlight w:val="none"/>
              </w:rPr>
              <w:t>温度补偿</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：验证</w:t>
            </w:r>
            <w:r>
              <w:rPr>
                <w:rFonts w:ascii="宋体" w:hAnsi="宋体" w:cs="宋体"/>
                <w:color w:val="auto"/>
                <w:kern w:val="0"/>
                <w:sz w:val="22"/>
                <w:highlight w:val="none"/>
              </w:rPr>
              <w:t>25℃基准点误差≤±0.1℃</w:t>
            </w:r>
          </w:p>
          <w:p w14:paraId="56054634">
            <w:pPr>
              <w:rPr>
                <w:rFonts w:ascii="宋体" w:hAnsi="宋体" w:cs="宋体"/>
                <w:color w:val="auto"/>
                <w:kern w:val="0"/>
                <w:sz w:val="22"/>
                <w:highlight w:val="none"/>
              </w:rPr>
            </w:pPr>
            <w:r>
              <w:rPr>
                <w:rFonts w:ascii="宋体" w:hAnsi="宋体" w:cs="宋体"/>
                <w:color w:val="auto"/>
                <w:kern w:val="0"/>
                <w:sz w:val="22"/>
                <w:highlight w:val="none"/>
              </w:rPr>
              <w:t>TOC分析模块</w:t>
            </w:r>
          </w:p>
          <w:p w14:paraId="23632E3B">
            <w:pPr>
              <w:rPr>
                <w:rFonts w:ascii="宋体" w:hAnsi="宋体" w:cs="宋体"/>
                <w:color w:val="auto"/>
                <w:kern w:val="0"/>
                <w:sz w:val="22"/>
                <w:highlight w:val="none"/>
              </w:rPr>
            </w:pPr>
            <w:r>
              <w:rPr>
                <w:rFonts w:hint="eastAsia" w:ascii="宋体" w:hAnsi="宋体" w:cs="宋体"/>
                <w:color w:val="auto"/>
                <w:kern w:val="0"/>
                <w:sz w:val="22"/>
                <w:highlight w:val="none"/>
              </w:rPr>
              <w:t>系统校验</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p>
          <w:p w14:paraId="2EF15225">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每月注入</w:t>
            </w:r>
            <w:r>
              <w:rPr>
                <w:rFonts w:ascii="宋体" w:hAnsi="宋体" w:cs="宋体"/>
                <w:color w:val="auto"/>
                <w:kern w:val="0"/>
                <w:sz w:val="22"/>
                <w:highlight w:val="none"/>
              </w:rPr>
              <w:t>1ppm</w:t>
            </w:r>
            <w:r>
              <w:rPr>
                <w:rFonts w:hint="eastAsia" w:ascii="宋体" w:hAnsi="宋体" w:cs="宋体"/>
                <w:color w:val="auto"/>
                <w:kern w:val="0"/>
                <w:sz w:val="22"/>
                <w:highlight w:val="none"/>
              </w:rPr>
              <w:t>蔗糖标准液，回收率需达</w:t>
            </w:r>
            <w:r>
              <w:rPr>
                <w:rFonts w:ascii="宋体" w:hAnsi="宋体" w:cs="宋体"/>
                <w:color w:val="auto"/>
                <w:kern w:val="0"/>
                <w:sz w:val="22"/>
                <w:highlight w:val="none"/>
              </w:rPr>
              <w:t>95-105%</w:t>
            </w:r>
          </w:p>
          <w:p w14:paraId="7AE91E91">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每半年更换紫外灯（</w:t>
            </w:r>
            <w:r>
              <w:rPr>
                <w:rFonts w:ascii="宋体" w:hAnsi="宋体" w:cs="宋体"/>
                <w:color w:val="auto"/>
                <w:kern w:val="0"/>
                <w:sz w:val="22"/>
                <w:highlight w:val="none"/>
              </w:rPr>
              <w:t>185nm+254nm</w:t>
            </w:r>
            <w:r>
              <w:rPr>
                <w:rFonts w:hint="eastAsia" w:ascii="宋体" w:hAnsi="宋体" w:cs="宋体"/>
                <w:color w:val="auto"/>
                <w:kern w:val="0"/>
                <w:sz w:val="22"/>
                <w:highlight w:val="none"/>
              </w:rPr>
              <w:t>双波长）</w:t>
            </w:r>
          </w:p>
          <w:p w14:paraId="5C46ABAB">
            <w:pPr>
              <w:rPr>
                <w:rFonts w:ascii="宋体" w:hAnsi="宋体" w:cs="宋体"/>
                <w:color w:val="auto"/>
                <w:kern w:val="0"/>
                <w:sz w:val="22"/>
                <w:highlight w:val="none"/>
              </w:rPr>
            </w:pPr>
            <w:r>
              <w:rPr>
                <w:rFonts w:hint="eastAsia" w:ascii="宋体" w:hAnsi="宋体" w:cs="宋体"/>
                <w:color w:val="auto"/>
                <w:kern w:val="0"/>
                <w:sz w:val="22"/>
                <w:highlight w:val="none"/>
              </w:rPr>
              <w:t>微生物监测</w:t>
            </w:r>
          </w:p>
          <w:p w14:paraId="1E3496DD">
            <w:pPr>
              <w:rPr>
                <w:rFonts w:ascii="宋体" w:hAnsi="宋体" w:cs="宋体"/>
                <w:color w:val="auto"/>
                <w:kern w:val="0"/>
                <w:sz w:val="22"/>
                <w:highlight w:val="none"/>
              </w:rPr>
            </w:pPr>
            <w:r>
              <w:rPr>
                <w:rFonts w:hint="eastAsia" w:ascii="宋体" w:hAnsi="宋体" w:cs="宋体"/>
                <w:color w:val="auto"/>
                <w:kern w:val="0"/>
                <w:sz w:val="22"/>
                <w:highlight w:val="none"/>
              </w:rPr>
              <w:t>每周采集出水样进行：</w:t>
            </w:r>
          </w:p>
          <w:p w14:paraId="628C6AA9">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膜过滤法检测细菌总数（＜</w:t>
            </w:r>
            <w:r>
              <w:rPr>
                <w:rFonts w:ascii="宋体" w:hAnsi="宋体" w:cs="宋体"/>
                <w:color w:val="auto"/>
                <w:kern w:val="0"/>
                <w:sz w:val="22"/>
                <w:highlight w:val="none"/>
              </w:rPr>
              <w:t>1 CFU/100mL</w:t>
            </w:r>
            <w:r>
              <w:rPr>
                <w:rFonts w:hint="eastAsia" w:ascii="宋体" w:hAnsi="宋体" w:cs="宋体"/>
                <w:color w:val="auto"/>
                <w:kern w:val="0"/>
                <w:sz w:val="22"/>
                <w:highlight w:val="none"/>
              </w:rPr>
              <w:t>）</w:t>
            </w:r>
          </w:p>
          <w:p w14:paraId="3FE4AF16">
            <w:pPr>
              <w:rPr>
                <w:rFonts w:ascii="宋体" w:hAnsi="宋体" w:cs="宋体"/>
                <w:color w:val="auto"/>
                <w:kern w:val="0"/>
                <w:sz w:val="22"/>
                <w:highlight w:val="none"/>
              </w:rPr>
            </w:pPr>
            <w:r>
              <w:rPr>
                <w:rFonts w:ascii="宋体" w:hAnsi="宋体" w:cs="宋体"/>
                <w:color w:val="auto"/>
                <w:kern w:val="0"/>
                <w:sz w:val="22"/>
                <w:highlight w:val="none"/>
              </w:rPr>
              <w:t xml:space="preserve">▪ </w:t>
            </w:r>
            <w:r>
              <w:rPr>
                <w:rFonts w:hint="eastAsia" w:ascii="宋体" w:hAnsi="宋体" w:cs="宋体"/>
                <w:color w:val="auto"/>
                <w:kern w:val="0"/>
                <w:sz w:val="22"/>
                <w:highlight w:val="none"/>
              </w:rPr>
              <w:t>鲎试剂法测内毒素（＜</w:t>
            </w:r>
            <w:r>
              <w:rPr>
                <w:rFonts w:ascii="宋体" w:hAnsi="宋体" w:cs="宋体"/>
                <w:color w:val="auto"/>
                <w:kern w:val="0"/>
                <w:sz w:val="22"/>
                <w:highlight w:val="none"/>
              </w:rPr>
              <w:t>0.25 EU/mL</w:t>
            </w:r>
            <w:r>
              <w:rPr>
                <w:rFonts w:hint="eastAsia" w:ascii="宋体" w:hAnsi="宋体" w:cs="宋体"/>
                <w:color w:val="auto"/>
                <w:kern w:val="0"/>
                <w:sz w:val="22"/>
                <w:highlight w:val="none"/>
              </w:rPr>
              <w:t>）</w:t>
            </w:r>
          </w:p>
          <w:p w14:paraId="431DA2BA">
            <w:pPr>
              <w:rPr>
                <w:rFonts w:ascii="宋体" w:hAnsi="宋体" w:cs="宋体"/>
                <w:color w:val="auto"/>
                <w:kern w:val="0"/>
                <w:sz w:val="22"/>
                <w:highlight w:val="none"/>
              </w:rPr>
            </w:pPr>
            <w:r>
              <w:rPr>
                <w:rFonts w:hint="eastAsia" w:ascii="宋体" w:hAnsi="宋体" w:cs="宋体"/>
                <w:color w:val="auto"/>
                <w:kern w:val="0"/>
                <w:sz w:val="22"/>
                <w:highlight w:val="none"/>
              </w:rPr>
              <w:t>五、维护周期表</w:t>
            </w:r>
          </w:p>
          <w:tbl>
            <w:tblPr>
              <w:tblStyle w:val="33"/>
              <w:tblW w:w="7080" w:type="dxa"/>
              <w:tblInd w:w="0" w:type="dxa"/>
              <w:tblLayout w:type="autofit"/>
              <w:tblCellMar>
                <w:top w:w="0" w:type="dxa"/>
                <w:left w:w="108" w:type="dxa"/>
                <w:bottom w:w="0" w:type="dxa"/>
                <w:right w:w="108" w:type="dxa"/>
              </w:tblCellMar>
            </w:tblPr>
            <w:tblGrid>
              <w:gridCol w:w="1040"/>
              <w:gridCol w:w="3120"/>
              <w:gridCol w:w="2920"/>
            </w:tblGrid>
            <w:tr w14:paraId="3ABDB9D0">
              <w:tblPrEx>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14:paraId="62F89B33">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频率</w:t>
                  </w:r>
                </w:p>
              </w:tc>
              <w:tc>
                <w:tcPr>
                  <w:tcW w:w="3120" w:type="dxa"/>
                  <w:tcBorders>
                    <w:top w:val="single" w:color="auto" w:sz="4" w:space="0"/>
                    <w:left w:val="nil"/>
                    <w:bottom w:val="single" w:color="auto" w:sz="4" w:space="0"/>
                    <w:right w:val="single" w:color="auto" w:sz="4" w:space="0"/>
                  </w:tcBorders>
                  <w:shd w:val="clear" w:color="auto" w:fill="auto"/>
                  <w:vAlign w:val="center"/>
                </w:tcPr>
                <w:p w14:paraId="7666E75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维护项目</w:t>
                  </w:r>
                </w:p>
              </w:tc>
              <w:tc>
                <w:tcPr>
                  <w:tcW w:w="2920" w:type="dxa"/>
                  <w:tcBorders>
                    <w:top w:val="single" w:color="auto" w:sz="4" w:space="0"/>
                    <w:left w:val="nil"/>
                    <w:bottom w:val="single" w:color="auto" w:sz="4" w:space="0"/>
                    <w:right w:val="single" w:color="auto" w:sz="4" w:space="0"/>
                  </w:tcBorders>
                  <w:shd w:val="clear" w:color="auto" w:fill="auto"/>
                  <w:vAlign w:val="center"/>
                </w:tcPr>
                <w:p w14:paraId="64C6D3F1">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执行标准</w:t>
                  </w:r>
                </w:p>
              </w:tc>
            </w:tr>
            <w:tr w14:paraId="3850C364">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1B8E44A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每日</w:t>
                  </w:r>
                </w:p>
              </w:tc>
              <w:tc>
                <w:tcPr>
                  <w:tcW w:w="3120" w:type="dxa"/>
                  <w:tcBorders>
                    <w:top w:val="nil"/>
                    <w:left w:val="nil"/>
                    <w:bottom w:val="single" w:color="auto" w:sz="4" w:space="0"/>
                    <w:right w:val="single" w:color="auto" w:sz="4" w:space="0"/>
                  </w:tcBorders>
                  <w:shd w:val="clear" w:color="auto" w:fill="auto"/>
                  <w:vAlign w:val="center"/>
                </w:tcPr>
                <w:p w14:paraId="3BED215F">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监测产水电阻率</w:t>
                  </w:r>
                  <w:r>
                    <w:rPr>
                      <w:rFonts w:ascii="宋体" w:hAnsi="宋体" w:cs="宋体"/>
                      <w:color w:val="auto"/>
                      <w:kern w:val="0"/>
                      <w:sz w:val="22"/>
                      <w:highlight w:val="none"/>
                    </w:rPr>
                    <w:t xml:space="preserve">/TOC值&lt;br&gt;2. </w:t>
                  </w:r>
                  <w:r>
                    <w:rPr>
                      <w:rFonts w:hint="eastAsia" w:ascii="宋体" w:hAnsi="宋体" w:cs="宋体"/>
                      <w:color w:val="auto"/>
                      <w:kern w:val="0"/>
                      <w:sz w:val="22"/>
                      <w:highlight w:val="none"/>
                    </w:rPr>
                    <w:t>记录系统压力</w:t>
                  </w:r>
                </w:p>
              </w:tc>
              <w:tc>
                <w:tcPr>
                  <w:tcW w:w="2920" w:type="dxa"/>
                  <w:tcBorders>
                    <w:top w:val="nil"/>
                    <w:left w:val="nil"/>
                    <w:bottom w:val="single" w:color="auto" w:sz="4" w:space="0"/>
                    <w:right w:val="single" w:color="auto" w:sz="4" w:space="0"/>
                  </w:tcBorders>
                  <w:shd w:val="clear" w:color="auto" w:fill="auto"/>
                  <w:vAlign w:val="center"/>
                </w:tcPr>
                <w:p w14:paraId="13261DC5">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电阻率≥</w:t>
                  </w:r>
                  <w:r>
                    <w:rPr>
                      <w:rFonts w:ascii="宋体" w:hAnsi="宋体" w:cs="宋体"/>
                      <w:color w:val="auto"/>
                      <w:kern w:val="0"/>
                      <w:sz w:val="22"/>
                      <w:highlight w:val="none"/>
                    </w:rPr>
                    <w:t>18.2 MΩ·cm（25℃）</w:t>
                  </w:r>
                </w:p>
              </w:tc>
            </w:tr>
            <w:tr w14:paraId="5E844B52">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0D64AF58">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每周</w:t>
                  </w:r>
                </w:p>
              </w:tc>
              <w:tc>
                <w:tcPr>
                  <w:tcW w:w="3120" w:type="dxa"/>
                  <w:tcBorders>
                    <w:top w:val="nil"/>
                    <w:left w:val="nil"/>
                    <w:bottom w:val="single" w:color="auto" w:sz="4" w:space="0"/>
                    <w:right w:val="single" w:color="auto" w:sz="4" w:space="0"/>
                  </w:tcBorders>
                  <w:shd w:val="clear" w:color="auto" w:fill="auto"/>
                  <w:vAlign w:val="center"/>
                </w:tcPr>
                <w:p w14:paraId="6AA7788A">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消毒循环管路</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检查预处理压差</w:t>
                  </w:r>
                </w:p>
              </w:tc>
              <w:tc>
                <w:tcPr>
                  <w:tcW w:w="2920" w:type="dxa"/>
                  <w:tcBorders>
                    <w:top w:val="nil"/>
                    <w:left w:val="nil"/>
                    <w:bottom w:val="single" w:color="auto" w:sz="4" w:space="0"/>
                    <w:right w:val="single" w:color="auto" w:sz="4" w:space="0"/>
                  </w:tcBorders>
                  <w:shd w:val="clear" w:color="auto" w:fill="auto"/>
                  <w:vAlign w:val="center"/>
                </w:tcPr>
                <w:p w14:paraId="35C84177">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压差上升＜</w:t>
                  </w:r>
                  <w:r>
                    <w:rPr>
                      <w:rFonts w:ascii="宋体" w:hAnsi="宋体" w:cs="宋体"/>
                      <w:color w:val="auto"/>
                      <w:kern w:val="0"/>
                      <w:sz w:val="22"/>
                      <w:highlight w:val="none"/>
                    </w:rPr>
                    <w:t>15%初始值</w:t>
                  </w:r>
                </w:p>
              </w:tc>
            </w:tr>
            <w:tr w14:paraId="7DE93DB3">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144A6182">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每月</w:t>
                  </w:r>
                </w:p>
              </w:tc>
              <w:tc>
                <w:tcPr>
                  <w:tcW w:w="3120" w:type="dxa"/>
                  <w:tcBorders>
                    <w:top w:val="nil"/>
                    <w:left w:val="nil"/>
                    <w:bottom w:val="single" w:color="auto" w:sz="4" w:space="0"/>
                    <w:right w:val="single" w:color="auto" w:sz="4" w:space="0"/>
                  </w:tcBorders>
                  <w:shd w:val="clear" w:color="auto" w:fill="auto"/>
                  <w:vAlign w:val="center"/>
                </w:tcPr>
                <w:p w14:paraId="048B6E1B">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化学清洗</w:t>
                  </w:r>
                  <w:r>
                    <w:rPr>
                      <w:rFonts w:ascii="宋体" w:hAnsi="宋体" w:cs="宋体"/>
                      <w:color w:val="auto"/>
                      <w:kern w:val="0"/>
                      <w:sz w:val="22"/>
                      <w:highlight w:val="none"/>
                    </w:rPr>
                    <w:t xml:space="preserve">RO膜&lt;br&gt;2. </w:t>
                  </w:r>
                  <w:r>
                    <w:rPr>
                      <w:rFonts w:hint="eastAsia" w:ascii="宋体" w:hAnsi="宋体" w:cs="宋体"/>
                      <w:color w:val="auto"/>
                      <w:kern w:val="0"/>
                      <w:sz w:val="22"/>
                      <w:highlight w:val="none"/>
                    </w:rPr>
                    <w:t>校准水质探头</w:t>
                  </w:r>
                </w:p>
              </w:tc>
              <w:tc>
                <w:tcPr>
                  <w:tcW w:w="2920" w:type="dxa"/>
                  <w:tcBorders>
                    <w:top w:val="nil"/>
                    <w:left w:val="nil"/>
                    <w:bottom w:val="single" w:color="auto" w:sz="4" w:space="0"/>
                    <w:right w:val="single" w:color="auto" w:sz="4" w:space="0"/>
                  </w:tcBorders>
                  <w:shd w:val="clear" w:color="auto" w:fill="auto"/>
                  <w:vAlign w:val="center"/>
                </w:tcPr>
                <w:p w14:paraId="740BA5EC">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清洗后产水量恢复≥</w:t>
                  </w:r>
                  <w:r>
                    <w:rPr>
                      <w:rFonts w:ascii="宋体" w:hAnsi="宋体" w:cs="宋体"/>
                      <w:color w:val="auto"/>
                      <w:kern w:val="0"/>
                      <w:sz w:val="22"/>
                      <w:highlight w:val="none"/>
                    </w:rPr>
                    <w:t>90%</w:t>
                  </w:r>
                </w:p>
              </w:tc>
            </w:tr>
            <w:tr w14:paraId="1DA46BCF">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77F0FCA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每季</w:t>
                  </w:r>
                </w:p>
              </w:tc>
              <w:tc>
                <w:tcPr>
                  <w:tcW w:w="3120" w:type="dxa"/>
                  <w:tcBorders>
                    <w:top w:val="nil"/>
                    <w:left w:val="nil"/>
                    <w:bottom w:val="single" w:color="auto" w:sz="4" w:space="0"/>
                    <w:right w:val="single" w:color="auto" w:sz="4" w:space="0"/>
                  </w:tcBorders>
                  <w:shd w:val="clear" w:color="auto" w:fill="auto"/>
                  <w:vAlign w:val="center"/>
                </w:tcPr>
                <w:p w14:paraId="731A7467">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灭菌储水系统</w:t>
                  </w:r>
                  <w:r>
                    <w:rPr>
                      <w:rFonts w:ascii="宋体" w:hAnsi="宋体" w:cs="宋体"/>
                      <w:color w:val="auto"/>
                      <w:kern w:val="0"/>
                      <w:sz w:val="22"/>
                      <w:highlight w:val="none"/>
                    </w:rPr>
                    <w:t xml:space="preserve">&lt;br&gt;2. </w:t>
                  </w:r>
                  <w:r>
                    <w:rPr>
                      <w:rFonts w:hint="eastAsia" w:ascii="宋体" w:hAnsi="宋体" w:cs="宋体"/>
                      <w:color w:val="auto"/>
                      <w:kern w:val="0"/>
                      <w:sz w:val="22"/>
                      <w:highlight w:val="none"/>
                    </w:rPr>
                    <w:t>更换预过滤器</w:t>
                  </w:r>
                </w:p>
              </w:tc>
              <w:tc>
                <w:tcPr>
                  <w:tcW w:w="2920" w:type="dxa"/>
                  <w:tcBorders>
                    <w:top w:val="nil"/>
                    <w:left w:val="nil"/>
                    <w:bottom w:val="single" w:color="auto" w:sz="4" w:space="0"/>
                    <w:right w:val="single" w:color="auto" w:sz="4" w:space="0"/>
                  </w:tcBorders>
                  <w:shd w:val="clear" w:color="auto" w:fill="auto"/>
                  <w:vAlign w:val="center"/>
                </w:tcPr>
                <w:p w14:paraId="58F0817D">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灭菌后微粒计数＜</w:t>
                  </w:r>
                  <w:r>
                    <w:rPr>
                      <w:rFonts w:ascii="宋体" w:hAnsi="宋体" w:cs="宋体"/>
                      <w:color w:val="auto"/>
                      <w:kern w:val="0"/>
                      <w:sz w:val="22"/>
                      <w:highlight w:val="none"/>
                    </w:rPr>
                    <w:t>1个/mL（≥0.2μm）</w:t>
                  </w:r>
                </w:p>
              </w:tc>
            </w:tr>
            <w:tr w14:paraId="2B84FB5E">
              <w:tblPrEx>
                <w:tblCellMar>
                  <w:top w:w="0" w:type="dxa"/>
                  <w:left w:w="108" w:type="dxa"/>
                  <w:bottom w:w="0" w:type="dxa"/>
                  <w:right w:w="108" w:type="dxa"/>
                </w:tblCellMar>
              </w:tblPrEx>
              <w:trPr>
                <w:trHeight w:val="560" w:hRule="atLeast"/>
              </w:trPr>
              <w:tc>
                <w:tcPr>
                  <w:tcW w:w="1040" w:type="dxa"/>
                  <w:tcBorders>
                    <w:top w:val="nil"/>
                    <w:left w:val="single" w:color="auto" w:sz="4" w:space="0"/>
                    <w:bottom w:val="single" w:color="auto" w:sz="4" w:space="0"/>
                    <w:right w:val="single" w:color="auto" w:sz="4" w:space="0"/>
                  </w:tcBorders>
                  <w:shd w:val="clear" w:color="auto" w:fill="auto"/>
                  <w:vAlign w:val="center"/>
                </w:tcPr>
                <w:p w14:paraId="47C89E0B">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每年</w:t>
                  </w:r>
                </w:p>
              </w:tc>
              <w:tc>
                <w:tcPr>
                  <w:tcW w:w="3120" w:type="dxa"/>
                  <w:tcBorders>
                    <w:top w:val="nil"/>
                    <w:left w:val="nil"/>
                    <w:bottom w:val="single" w:color="auto" w:sz="4" w:space="0"/>
                    <w:right w:val="single" w:color="auto" w:sz="4" w:space="0"/>
                  </w:tcBorders>
                  <w:shd w:val="clear" w:color="auto" w:fill="auto"/>
                  <w:vAlign w:val="center"/>
                </w:tcPr>
                <w:p w14:paraId="7663EE86">
                  <w:pPr>
                    <w:widowControl/>
                    <w:jc w:val="left"/>
                    <w:rPr>
                      <w:rFonts w:ascii="宋体" w:hAnsi="宋体" w:cs="宋体"/>
                      <w:color w:val="auto"/>
                      <w:kern w:val="0"/>
                      <w:sz w:val="22"/>
                      <w:highlight w:val="none"/>
                    </w:rPr>
                  </w:pPr>
                  <w:r>
                    <w:rPr>
                      <w:rFonts w:ascii="宋体" w:hAnsi="宋体" w:cs="宋体"/>
                      <w:color w:val="auto"/>
                      <w:kern w:val="0"/>
                      <w:sz w:val="22"/>
                      <w:highlight w:val="none"/>
                    </w:rPr>
                    <w:t xml:space="preserve">1. </w:t>
                  </w:r>
                  <w:r>
                    <w:rPr>
                      <w:rFonts w:hint="eastAsia" w:ascii="宋体" w:hAnsi="宋体" w:cs="宋体"/>
                      <w:color w:val="auto"/>
                      <w:kern w:val="0"/>
                      <w:sz w:val="22"/>
                      <w:highlight w:val="none"/>
                    </w:rPr>
                    <w:t>更换</w:t>
                  </w:r>
                  <w:r>
                    <w:rPr>
                      <w:rFonts w:ascii="宋体" w:hAnsi="宋体" w:cs="宋体"/>
                      <w:color w:val="auto"/>
                      <w:kern w:val="0"/>
                      <w:sz w:val="22"/>
                      <w:highlight w:val="none"/>
                    </w:rPr>
                    <w:t xml:space="preserve">UV灯管&lt;br&gt;2. </w:t>
                  </w:r>
                  <w:r>
                    <w:rPr>
                      <w:rFonts w:hint="eastAsia" w:ascii="宋体" w:hAnsi="宋体" w:cs="宋体"/>
                      <w:color w:val="auto"/>
                      <w:kern w:val="0"/>
                      <w:sz w:val="22"/>
                      <w:highlight w:val="none"/>
                    </w:rPr>
                    <w:t>全面拆检阀门</w:t>
                  </w:r>
                </w:p>
              </w:tc>
              <w:tc>
                <w:tcPr>
                  <w:tcW w:w="2920" w:type="dxa"/>
                  <w:tcBorders>
                    <w:top w:val="nil"/>
                    <w:left w:val="nil"/>
                    <w:bottom w:val="single" w:color="auto" w:sz="4" w:space="0"/>
                    <w:right w:val="single" w:color="auto" w:sz="4" w:space="0"/>
                  </w:tcBorders>
                  <w:shd w:val="clear" w:color="auto" w:fill="auto"/>
                  <w:vAlign w:val="center"/>
                </w:tcPr>
                <w:p w14:paraId="72C28569">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系统泄漏率＜</w:t>
                  </w:r>
                  <w:r>
                    <w:rPr>
                      <w:rFonts w:ascii="宋体" w:hAnsi="宋体" w:cs="宋体"/>
                      <w:color w:val="auto"/>
                      <w:kern w:val="0"/>
                      <w:sz w:val="22"/>
                      <w:highlight w:val="none"/>
                    </w:rPr>
                    <w:t>0.1L/h</w:t>
                  </w:r>
                </w:p>
              </w:tc>
            </w:tr>
          </w:tbl>
          <w:p w14:paraId="27AC001E">
            <w:pPr>
              <w:rPr>
                <w:rFonts w:ascii="宋体" w:hAnsi="宋体" w:cs="宋体"/>
                <w:color w:val="auto"/>
                <w:kern w:val="0"/>
                <w:sz w:val="22"/>
                <w:highlight w:val="none"/>
              </w:rPr>
            </w:pPr>
          </w:p>
          <w:p w14:paraId="0C8D56DE">
            <w:pPr>
              <w:rPr>
                <w:rFonts w:ascii="宋体" w:hAnsi="宋体" w:cs="宋体"/>
                <w:color w:val="auto"/>
                <w:kern w:val="0"/>
                <w:sz w:val="22"/>
                <w:highlight w:val="none"/>
              </w:rPr>
            </w:pPr>
            <w:r>
              <w:rPr>
                <w:rFonts w:hint="eastAsia" w:ascii="宋体" w:hAnsi="宋体" w:cs="宋体"/>
                <w:color w:val="auto"/>
                <w:kern w:val="0"/>
                <w:sz w:val="22"/>
                <w:highlight w:val="none"/>
              </w:rPr>
              <w:t>六、故障应急处理</w:t>
            </w:r>
          </w:p>
          <w:p w14:paraId="254A3F91">
            <w:pPr>
              <w:rPr>
                <w:rFonts w:ascii="宋体" w:hAnsi="宋体" w:cs="宋体"/>
                <w:color w:val="auto"/>
                <w:kern w:val="0"/>
                <w:sz w:val="22"/>
                <w:highlight w:val="none"/>
              </w:rPr>
            </w:pPr>
            <w:r>
              <w:rPr>
                <w:rFonts w:hint="eastAsia" w:ascii="宋体" w:hAnsi="宋体" w:cs="宋体"/>
                <w:color w:val="auto"/>
                <w:kern w:val="0"/>
                <w:sz w:val="22"/>
                <w:highlight w:val="none"/>
              </w:rPr>
              <w:t>产水水质下降</w:t>
            </w:r>
          </w:p>
          <w:p w14:paraId="2C756B01">
            <w:pPr>
              <w:rPr>
                <w:rFonts w:ascii="宋体" w:hAnsi="宋体" w:cs="宋体"/>
                <w:color w:val="auto"/>
                <w:kern w:val="0"/>
                <w:sz w:val="22"/>
                <w:highlight w:val="none"/>
              </w:rPr>
            </w:pPr>
            <w:r>
              <w:rPr>
                <w:rFonts w:hint="eastAsia" w:ascii="宋体" w:hAnsi="宋体" w:cs="宋体"/>
                <w:color w:val="auto"/>
                <w:kern w:val="0"/>
                <w:sz w:val="22"/>
                <w:highlight w:val="none"/>
              </w:rPr>
              <w:t>检查顺序：预处理滤芯饱和→</w:t>
            </w:r>
            <w:r>
              <w:rPr>
                <w:rFonts w:ascii="宋体" w:hAnsi="宋体" w:cs="宋体"/>
                <w:color w:val="auto"/>
                <w:kern w:val="0"/>
                <w:sz w:val="22"/>
                <w:highlight w:val="none"/>
              </w:rPr>
              <w:t>RO膜污染→混床树脂失效→探头校准异常</w:t>
            </w:r>
          </w:p>
          <w:p w14:paraId="2F96CA39">
            <w:pPr>
              <w:rPr>
                <w:rFonts w:ascii="宋体" w:hAnsi="宋体" w:cs="宋体"/>
                <w:color w:val="auto"/>
                <w:kern w:val="0"/>
                <w:sz w:val="22"/>
                <w:highlight w:val="none"/>
              </w:rPr>
            </w:pPr>
            <w:r>
              <w:rPr>
                <w:rFonts w:hint="eastAsia" w:ascii="宋体" w:hAnsi="宋体" w:cs="宋体"/>
                <w:color w:val="auto"/>
                <w:kern w:val="0"/>
                <w:sz w:val="22"/>
                <w:highlight w:val="none"/>
              </w:rPr>
              <w:t>立即启动备用抛光混床（如有）并隔离故障模块</w:t>
            </w:r>
          </w:p>
          <w:p w14:paraId="46D8C3C6">
            <w:pPr>
              <w:rPr>
                <w:rFonts w:ascii="宋体" w:hAnsi="宋体" w:cs="宋体"/>
                <w:color w:val="auto"/>
                <w:kern w:val="0"/>
                <w:sz w:val="22"/>
                <w:highlight w:val="none"/>
              </w:rPr>
            </w:pPr>
            <w:r>
              <w:rPr>
                <w:rFonts w:hint="eastAsia" w:ascii="宋体" w:hAnsi="宋体" w:cs="宋体"/>
                <w:color w:val="auto"/>
                <w:kern w:val="0"/>
                <w:sz w:val="22"/>
                <w:highlight w:val="none"/>
              </w:rPr>
              <w:t>系统压力异常</w:t>
            </w:r>
          </w:p>
          <w:p w14:paraId="04DB5F52">
            <w:pPr>
              <w:rPr>
                <w:rFonts w:ascii="宋体" w:hAnsi="宋体" w:cs="宋体"/>
                <w:color w:val="auto"/>
                <w:kern w:val="0"/>
                <w:sz w:val="22"/>
                <w:highlight w:val="none"/>
              </w:rPr>
            </w:pPr>
            <w:r>
              <w:rPr>
                <w:rFonts w:hint="eastAsia" w:ascii="宋体" w:hAnsi="宋体" w:cs="宋体"/>
                <w:color w:val="auto"/>
                <w:kern w:val="0"/>
                <w:sz w:val="22"/>
                <w:highlight w:val="none"/>
              </w:rPr>
              <w:t>高压报警：排查</w:t>
            </w:r>
            <w:r>
              <w:rPr>
                <w:rFonts w:ascii="宋体" w:hAnsi="宋体" w:cs="宋体"/>
                <w:color w:val="auto"/>
                <w:kern w:val="0"/>
                <w:sz w:val="22"/>
                <w:highlight w:val="none"/>
              </w:rPr>
              <w:t>RO膜堵塞或高压泵故障（额定压力通常1-1.5MPa）</w:t>
            </w:r>
          </w:p>
          <w:p w14:paraId="6EE47ED7">
            <w:pPr>
              <w:rPr>
                <w:rFonts w:ascii="宋体" w:hAnsi="宋体" w:cs="宋体"/>
                <w:color w:val="auto"/>
                <w:kern w:val="0"/>
                <w:sz w:val="22"/>
                <w:highlight w:val="none"/>
              </w:rPr>
            </w:pPr>
            <w:r>
              <w:rPr>
                <w:rFonts w:hint="eastAsia" w:ascii="宋体" w:hAnsi="宋体" w:cs="宋体"/>
                <w:color w:val="auto"/>
                <w:kern w:val="0"/>
                <w:sz w:val="22"/>
                <w:highlight w:val="none"/>
              </w:rPr>
              <w:t>低压报警：检查预处理滤芯击穿或进水压力不足（要求≥</w:t>
            </w:r>
            <w:r>
              <w:rPr>
                <w:rFonts w:ascii="宋体" w:hAnsi="宋体" w:cs="宋体"/>
                <w:color w:val="auto"/>
                <w:kern w:val="0"/>
                <w:sz w:val="22"/>
                <w:highlight w:val="none"/>
              </w:rPr>
              <w:t>0.2MPa）</w:t>
            </w:r>
          </w:p>
        </w:tc>
      </w:tr>
      <w:tr w14:paraId="0A44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71719A6A">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阿贝折光仪</w:t>
            </w:r>
          </w:p>
        </w:tc>
        <w:tc>
          <w:tcPr>
            <w:tcW w:w="8426" w:type="dxa"/>
          </w:tcPr>
          <w:p w14:paraId="2E3DC8F3">
            <w:pPr>
              <w:rPr>
                <w:rFonts w:ascii="宋体" w:hAnsi="宋体" w:cs="宋体"/>
                <w:color w:val="auto"/>
                <w:kern w:val="0"/>
                <w:sz w:val="22"/>
                <w:highlight w:val="none"/>
              </w:rPr>
            </w:pPr>
            <w:r>
              <w:rPr>
                <w:rFonts w:hint="eastAsia" w:ascii="宋体" w:hAnsi="宋体" w:cs="宋体"/>
                <w:color w:val="auto"/>
                <w:kern w:val="0"/>
                <w:sz w:val="22"/>
                <w:highlight w:val="none"/>
              </w:rPr>
              <w:t>一、日常清洁维护</w:t>
            </w:r>
          </w:p>
          <w:p w14:paraId="1352D03F">
            <w:pPr>
              <w:rPr>
                <w:rFonts w:ascii="宋体" w:hAnsi="宋体" w:cs="宋体"/>
                <w:color w:val="auto"/>
                <w:kern w:val="0"/>
                <w:sz w:val="22"/>
                <w:highlight w:val="none"/>
              </w:rPr>
            </w:pPr>
            <w:r>
              <w:rPr>
                <w:rFonts w:hint="eastAsia" w:ascii="宋体" w:hAnsi="宋体" w:cs="宋体"/>
                <w:color w:val="auto"/>
                <w:kern w:val="0"/>
                <w:sz w:val="22"/>
                <w:highlight w:val="none"/>
              </w:rPr>
              <w:t>棱镜表面清洁</w:t>
            </w:r>
          </w:p>
          <w:p w14:paraId="6B0BBCAD">
            <w:pPr>
              <w:rPr>
                <w:rFonts w:ascii="宋体" w:hAnsi="宋体" w:cs="宋体"/>
                <w:color w:val="auto"/>
                <w:kern w:val="0"/>
                <w:sz w:val="22"/>
                <w:highlight w:val="none"/>
              </w:rPr>
            </w:pPr>
            <w:r>
              <w:rPr>
                <w:rFonts w:hint="eastAsia" w:ascii="宋体" w:hAnsi="宋体" w:cs="宋体"/>
                <w:color w:val="auto"/>
                <w:kern w:val="0"/>
                <w:sz w:val="22"/>
                <w:highlight w:val="none"/>
              </w:rPr>
              <w:t>每次测量后，用浸润清水的无绒软布</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擦拭棱镜，再用干布擦干</w:t>
            </w:r>
          </w:p>
          <w:p w14:paraId="3C52371A">
            <w:pPr>
              <w:rPr>
                <w:rFonts w:ascii="宋体" w:hAnsi="宋体" w:cs="宋体"/>
                <w:color w:val="auto"/>
                <w:kern w:val="0"/>
                <w:sz w:val="22"/>
                <w:highlight w:val="none"/>
              </w:rPr>
            </w:pPr>
            <w:r>
              <w:rPr>
                <w:rFonts w:hint="eastAsia" w:ascii="宋体" w:hAnsi="宋体" w:cs="宋体"/>
                <w:color w:val="auto"/>
                <w:kern w:val="0"/>
                <w:sz w:val="22"/>
                <w:highlight w:val="none"/>
              </w:rPr>
              <w:t>测试油状物后，需用酒精或中性洗洁精</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清洁，最后用去离子水冲洗并干燥</w:t>
            </w:r>
          </w:p>
          <w:p w14:paraId="3918BCD5">
            <w:pPr>
              <w:rPr>
                <w:rFonts w:ascii="宋体" w:hAnsi="宋体" w:cs="宋体"/>
                <w:color w:val="auto"/>
                <w:kern w:val="0"/>
                <w:sz w:val="22"/>
                <w:highlight w:val="none"/>
              </w:rPr>
            </w:pPr>
            <w:r>
              <w:rPr>
                <w:rFonts w:hint="eastAsia" w:ascii="宋体" w:hAnsi="宋体" w:cs="宋体"/>
                <w:color w:val="auto"/>
                <w:kern w:val="0"/>
                <w:sz w:val="22"/>
                <w:highlight w:val="none"/>
              </w:rPr>
              <w:t>严禁使用金属工具触碰棱镜，避免划伤光学表面</w:t>
            </w:r>
          </w:p>
          <w:p w14:paraId="05110FCC">
            <w:pPr>
              <w:rPr>
                <w:rFonts w:ascii="宋体" w:hAnsi="宋体" w:cs="宋体"/>
                <w:color w:val="auto"/>
                <w:kern w:val="0"/>
                <w:sz w:val="22"/>
                <w:highlight w:val="none"/>
              </w:rPr>
            </w:pPr>
            <w:r>
              <w:rPr>
                <w:rFonts w:hint="eastAsia" w:ascii="宋体" w:hAnsi="宋体" w:cs="宋体"/>
                <w:color w:val="auto"/>
                <w:kern w:val="0"/>
                <w:sz w:val="22"/>
                <w:highlight w:val="none"/>
              </w:rPr>
              <w:t>光学部件维护</w:t>
            </w:r>
          </w:p>
          <w:p w14:paraId="7A97C578">
            <w:pPr>
              <w:rPr>
                <w:rFonts w:ascii="宋体" w:hAnsi="宋体" w:cs="宋体"/>
                <w:color w:val="auto"/>
                <w:kern w:val="0"/>
                <w:sz w:val="22"/>
                <w:highlight w:val="none"/>
              </w:rPr>
            </w:pPr>
            <w:r>
              <w:rPr>
                <w:rFonts w:hint="eastAsia" w:ascii="宋体" w:hAnsi="宋体" w:cs="宋体"/>
                <w:color w:val="auto"/>
                <w:kern w:val="0"/>
                <w:sz w:val="22"/>
                <w:highlight w:val="none"/>
              </w:rPr>
              <w:t>光学零件有灰尘时，用长纤维脱脂棉</w:t>
            </w:r>
            <w:r>
              <w:rPr>
                <w:rFonts w:ascii="宋体" w:hAnsi="宋体" w:cs="宋体"/>
                <w:color w:val="auto"/>
                <w:kern w:val="0"/>
                <w:sz w:val="22"/>
                <w:highlight w:val="none"/>
              </w:rPr>
              <w:t xml:space="preserve">/高级鹿皮 </w:t>
            </w:r>
            <w:r>
              <w:rPr>
                <w:rFonts w:hint="eastAsia" w:ascii="宋体" w:hAnsi="宋体" w:cs="宋体"/>
                <w:color w:val="auto"/>
                <w:kern w:val="0"/>
                <w:sz w:val="22"/>
                <w:highlight w:val="none"/>
              </w:rPr>
              <w:t>轻擦，配合洗耳球吹扫</w:t>
            </w:r>
          </w:p>
          <w:p w14:paraId="2B7F8DEC">
            <w:pPr>
              <w:rPr>
                <w:rFonts w:ascii="宋体" w:hAnsi="宋体" w:cs="宋体"/>
                <w:color w:val="auto"/>
                <w:kern w:val="0"/>
                <w:sz w:val="22"/>
                <w:highlight w:val="none"/>
              </w:rPr>
            </w:pPr>
            <w:r>
              <w:rPr>
                <w:rFonts w:hint="eastAsia" w:ascii="宋体" w:hAnsi="宋体" w:cs="宋体"/>
                <w:color w:val="auto"/>
                <w:kern w:val="0"/>
                <w:sz w:val="22"/>
                <w:highlight w:val="none"/>
              </w:rPr>
              <w:t>油污清洁需使用酒精乙醚混合液</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w:t>
            </w:r>
            <w:r>
              <w:rPr>
                <w:rFonts w:ascii="宋体" w:hAnsi="宋体" w:cs="宋体"/>
                <w:color w:val="auto"/>
                <w:kern w:val="0"/>
                <w:sz w:val="22"/>
                <w:highlight w:val="none"/>
              </w:rPr>
              <w:t>1:1）擦拭</w:t>
            </w:r>
          </w:p>
          <w:p w14:paraId="57745DFD">
            <w:pPr>
              <w:rPr>
                <w:rFonts w:ascii="宋体" w:hAnsi="宋体" w:cs="宋体"/>
                <w:color w:val="auto"/>
                <w:kern w:val="0"/>
                <w:sz w:val="22"/>
                <w:highlight w:val="none"/>
              </w:rPr>
            </w:pPr>
            <w:r>
              <w:rPr>
                <w:rFonts w:hint="eastAsia" w:ascii="宋体" w:hAnsi="宋体" w:cs="宋体"/>
                <w:color w:val="auto"/>
                <w:kern w:val="0"/>
                <w:sz w:val="22"/>
                <w:highlight w:val="none"/>
              </w:rPr>
              <w:t>二、环境与存储管理</w:t>
            </w:r>
          </w:p>
          <w:p w14:paraId="2646A926">
            <w:pPr>
              <w:rPr>
                <w:rFonts w:ascii="宋体" w:hAnsi="宋体" w:cs="宋体"/>
                <w:color w:val="auto"/>
                <w:kern w:val="0"/>
                <w:sz w:val="22"/>
                <w:highlight w:val="none"/>
              </w:rPr>
            </w:pPr>
            <w:r>
              <w:rPr>
                <w:rFonts w:hint="eastAsia" w:ascii="宋体" w:hAnsi="宋体" w:cs="宋体"/>
                <w:color w:val="auto"/>
                <w:kern w:val="0"/>
                <w:sz w:val="22"/>
                <w:highlight w:val="none"/>
              </w:rPr>
              <w:t>使用环境要求</w:t>
            </w:r>
          </w:p>
          <w:p w14:paraId="7FD3E267">
            <w:pPr>
              <w:rPr>
                <w:rFonts w:ascii="宋体" w:hAnsi="宋体" w:cs="宋体"/>
                <w:color w:val="auto"/>
                <w:kern w:val="0"/>
                <w:sz w:val="22"/>
                <w:highlight w:val="none"/>
              </w:rPr>
            </w:pPr>
            <w:r>
              <w:rPr>
                <w:rFonts w:hint="eastAsia" w:ascii="宋体" w:hAnsi="宋体" w:cs="宋体"/>
                <w:color w:val="auto"/>
                <w:kern w:val="0"/>
                <w:sz w:val="22"/>
                <w:highlight w:val="none"/>
              </w:rPr>
              <w:t>置于干燥、无尘、无腐蚀气体</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环境中，湿度低于</w:t>
            </w:r>
            <w:r>
              <w:rPr>
                <w:rFonts w:ascii="宋体" w:hAnsi="宋体" w:cs="宋体"/>
                <w:color w:val="auto"/>
                <w:kern w:val="0"/>
                <w:sz w:val="22"/>
                <w:highlight w:val="none"/>
              </w:rPr>
              <w:t>85%</w:t>
            </w:r>
          </w:p>
          <w:p w14:paraId="7EA1942F">
            <w:pPr>
              <w:rPr>
                <w:rFonts w:ascii="宋体" w:hAnsi="宋体" w:cs="宋体"/>
                <w:color w:val="auto"/>
                <w:kern w:val="0"/>
                <w:sz w:val="22"/>
                <w:highlight w:val="none"/>
              </w:rPr>
            </w:pPr>
            <w:r>
              <w:rPr>
                <w:rFonts w:hint="eastAsia" w:ascii="宋体" w:hAnsi="宋体" w:cs="宋体"/>
                <w:color w:val="auto"/>
                <w:kern w:val="0"/>
                <w:sz w:val="22"/>
                <w:highlight w:val="none"/>
              </w:rPr>
              <w:t>远离振动源，工作台需水平稳定（倾斜度＜</w:t>
            </w:r>
            <w:r>
              <w:rPr>
                <w:rFonts w:ascii="宋体" w:hAnsi="宋体" w:cs="宋体"/>
                <w:color w:val="auto"/>
                <w:kern w:val="0"/>
                <w:sz w:val="22"/>
                <w:highlight w:val="none"/>
              </w:rPr>
              <w:t>0.5°）</w:t>
            </w:r>
          </w:p>
          <w:p w14:paraId="17BEB834">
            <w:pPr>
              <w:rPr>
                <w:rFonts w:ascii="宋体" w:hAnsi="宋体" w:cs="宋体"/>
                <w:color w:val="auto"/>
                <w:kern w:val="0"/>
                <w:sz w:val="22"/>
                <w:highlight w:val="none"/>
              </w:rPr>
            </w:pPr>
            <w:r>
              <w:rPr>
                <w:rFonts w:hint="eastAsia" w:ascii="宋体" w:hAnsi="宋体" w:cs="宋体"/>
                <w:color w:val="auto"/>
                <w:kern w:val="0"/>
                <w:sz w:val="22"/>
                <w:highlight w:val="none"/>
              </w:rPr>
              <w:t>存放规范</w:t>
            </w:r>
          </w:p>
          <w:p w14:paraId="0AAD5060">
            <w:pPr>
              <w:rPr>
                <w:rFonts w:ascii="宋体" w:hAnsi="宋体" w:cs="宋体"/>
                <w:color w:val="auto"/>
                <w:kern w:val="0"/>
                <w:sz w:val="22"/>
                <w:highlight w:val="none"/>
              </w:rPr>
            </w:pPr>
            <w:r>
              <w:rPr>
                <w:rFonts w:hint="eastAsia" w:ascii="宋体" w:hAnsi="宋体" w:cs="宋体"/>
                <w:color w:val="auto"/>
                <w:kern w:val="0"/>
                <w:sz w:val="22"/>
                <w:highlight w:val="none"/>
              </w:rPr>
              <w:t>长期不用时，用防尘罩覆盖</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或放入原包装箱</w:t>
            </w:r>
          </w:p>
          <w:p w14:paraId="35F1302B">
            <w:pPr>
              <w:rPr>
                <w:rFonts w:ascii="宋体" w:hAnsi="宋体" w:cs="宋体"/>
                <w:color w:val="auto"/>
                <w:kern w:val="0"/>
                <w:sz w:val="22"/>
                <w:highlight w:val="none"/>
              </w:rPr>
            </w:pPr>
            <w:r>
              <w:rPr>
                <w:rFonts w:hint="eastAsia" w:ascii="宋体" w:hAnsi="宋体" w:cs="宋体"/>
                <w:color w:val="auto"/>
                <w:kern w:val="0"/>
                <w:sz w:val="22"/>
                <w:highlight w:val="none"/>
              </w:rPr>
              <w:t>每月至少开机预热</w:t>
            </w:r>
            <w:r>
              <w:rPr>
                <w:rFonts w:ascii="宋体" w:hAnsi="宋体" w:cs="宋体"/>
                <w:color w:val="auto"/>
                <w:kern w:val="0"/>
                <w:sz w:val="22"/>
                <w:highlight w:val="none"/>
              </w:rPr>
              <w:t xml:space="preserve">15分钟 </w:t>
            </w:r>
            <w:r>
              <w:rPr>
                <w:rFonts w:hint="eastAsia" w:ascii="宋体" w:hAnsi="宋体" w:cs="宋体"/>
                <w:color w:val="auto"/>
                <w:kern w:val="0"/>
                <w:sz w:val="22"/>
                <w:highlight w:val="none"/>
              </w:rPr>
              <w:t>，保持电子元件稳定性</w:t>
            </w:r>
          </w:p>
          <w:p w14:paraId="00D1AB6E">
            <w:pPr>
              <w:rPr>
                <w:rFonts w:ascii="宋体" w:hAnsi="宋体" w:cs="宋体"/>
                <w:color w:val="auto"/>
                <w:kern w:val="0"/>
                <w:sz w:val="22"/>
                <w:highlight w:val="none"/>
              </w:rPr>
            </w:pPr>
            <w:r>
              <w:rPr>
                <w:rFonts w:hint="eastAsia" w:ascii="宋体" w:hAnsi="宋体" w:cs="宋体"/>
                <w:color w:val="auto"/>
                <w:kern w:val="0"/>
                <w:sz w:val="22"/>
                <w:highlight w:val="none"/>
              </w:rPr>
              <w:t>三、功能部件维护</w:t>
            </w:r>
          </w:p>
          <w:p w14:paraId="06AA4B38">
            <w:pPr>
              <w:rPr>
                <w:rFonts w:ascii="宋体" w:hAnsi="宋体" w:cs="宋体"/>
                <w:color w:val="auto"/>
                <w:kern w:val="0"/>
                <w:sz w:val="22"/>
                <w:highlight w:val="none"/>
              </w:rPr>
            </w:pPr>
            <w:r>
              <w:rPr>
                <w:rFonts w:hint="eastAsia" w:ascii="宋体" w:hAnsi="宋体" w:cs="宋体"/>
                <w:color w:val="auto"/>
                <w:kern w:val="0"/>
                <w:sz w:val="22"/>
                <w:highlight w:val="none"/>
              </w:rPr>
              <w:t>光源系统</w:t>
            </w:r>
          </w:p>
          <w:p w14:paraId="4E1455EC">
            <w:pPr>
              <w:rPr>
                <w:rFonts w:ascii="宋体" w:hAnsi="宋体" w:cs="宋体"/>
                <w:color w:val="auto"/>
                <w:kern w:val="0"/>
                <w:sz w:val="22"/>
                <w:highlight w:val="none"/>
              </w:rPr>
            </w:pPr>
            <w:r>
              <w:rPr>
                <w:rFonts w:hint="eastAsia" w:ascii="宋体" w:hAnsi="宋体" w:cs="宋体"/>
                <w:color w:val="auto"/>
                <w:kern w:val="0"/>
                <w:sz w:val="22"/>
                <w:highlight w:val="none"/>
              </w:rPr>
              <w:t>更换灯泡时需调整聚光镜位置，确保光线聚焦在棱镜进光面</w:t>
            </w:r>
          </w:p>
          <w:p w14:paraId="7D311502">
            <w:pPr>
              <w:rPr>
                <w:rFonts w:ascii="宋体" w:hAnsi="宋体" w:cs="宋体"/>
                <w:color w:val="auto"/>
                <w:kern w:val="0"/>
                <w:sz w:val="22"/>
                <w:highlight w:val="none"/>
              </w:rPr>
            </w:pPr>
            <w:r>
              <w:rPr>
                <w:rFonts w:hint="eastAsia" w:ascii="宋体" w:hAnsi="宋体" w:cs="宋体"/>
                <w:color w:val="auto"/>
                <w:kern w:val="0"/>
                <w:sz w:val="22"/>
                <w:highlight w:val="none"/>
              </w:rPr>
              <w:t>建议每</w:t>
            </w:r>
            <w:r>
              <w:rPr>
                <w:rFonts w:ascii="宋体" w:hAnsi="宋体" w:cs="宋体"/>
                <w:color w:val="auto"/>
                <w:kern w:val="0"/>
                <w:sz w:val="22"/>
                <w:highlight w:val="none"/>
              </w:rPr>
              <w:t>2000小时检查氘灯/钨灯老化情况（针对带恒温系统的高端型号）</w:t>
            </w:r>
          </w:p>
          <w:p w14:paraId="5EFFD93F">
            <w:pPr>
              <w:rPr>
                <w:rFonts w:ascii="宋体" w:hAnsi="宋体" w:cs="宋体"/>
                <w:color w:val="auto"/>
                <w:kern w:val="0"/>
                <w:sz w:val="22"/>
                <w:highlight w:val="none"/>
              </w:rPr>
            </w:pPr>
            <w:r>
              <w:rPr>
                <w:rFonts w:hint="eastAsia" w:ascii="宋体" w:hAnsi="宋体" w:cs="宋体"/>
                <w:color w:val="auto"/>
                <w:kern w:val="0"/>
                <w:sz w:val="22"/>
                <w:highlight w:val="none"/>
              </w:rPr>
              <w:t>机械部件</w:t>
            </w:r>
          </w:p>
          <w:p w14:paraId="183E38E8">
            <w:pPr>
              <w:rPr>
                <w:rFonts w:ascii="宋体" w:hAnsi="宋体" w:cs="宋体"/>
                <w:color w:val="auto"/>
                <w:kern w:val="0"/>
                <w:sz w:val="22"/>
                <w:highlight w:val="none"/>
              </w:rPr>
            </w:pPr>
            <w:r>
              <w:rPr>
                <w:rFonts w:hint="eastAsia" w:ascii="宋体" w:hAnsi="宋体" w:cs="宋体"/>
                <w:color w:val="auto"/>
                <w:kern w:val="0"/>
                <w:sz w:val="22"/>
                <w:highlight w:val="none"/>
              </w:rPr>
              <w:t>每季度润滑转轴部件，使用专用硅基润滑脂</w:t>
            </w:r>
          </w:p>
          <w:p w14:paraId="2619C8CA">
            <w:pPr>
              <w:rPr>
                <w:rFonts w:ascii="宋体" w:hAnsi="宋体" w:cs="宋体"/>
                <w:color w:val="auto"/>
                <w:kern w:val="0"/>
                <w:sz w:val="22"/>
                <w:highlight w:val="none"/>
              </w:rPr>
            </w:pPr>
            <w:r>
              <w:rPr>
                <w:rFonts w:hint="eastAsia" w:ascii="宋体" w:hAnsi="宋体" w:cs="宋体"/>
                <w:color w:val="auto"/>
                <w:kern w:val="0"/>
                <w:sz w:val="22"/>
                <w:highlight w:val="none"/>
              </w:rPr>
              <w:t>每年检查密封圈老化情况，防止液体渗入内部</w:t>
            </w:r>
          </w:p>
          <w:p w14:paraId="4638C32D">
            <w:pPr>
              <w:rPr>
                <w:rFonts w:ascii="宋体" w:hAnsi="宋体" w:cs="宋体"/>
                <w:color w:val="auto"/>
                <w:kern w:val="0"/>
                <w:sz w:val="22"/>
                <w:highlight w:val="none"/>
              </w:rPr>
            </w:pPr>
            <w:r>
              <w:rPr>
                <w:rFonts w:hint="eastAsia" w:ascii="宋体" w:hAnsi="宋体" w:cs="宋体"/>
                <w:color w:val="auto"/>
                <w:kern w:val="0"/>
                <w:sz w:val="22"/>
                <w:highlight w:val="none"/>
              </w:rPr>
              <w:t>四、校准与故障处理</w:t>
            </w:r>
          </w:p>
          <w:p w14:paraId="0AA46E5E">
            <w:pPr>
              <w:rPr>
                <w:rFonts w:ascii="宋体" w:hAnsi="宋体" w:cs="宋体"/>
                <w:color w:val="auto"/>
                <w:kern w:val="0"/>
                <w:sz w:val="22"/>
                <w:highlight w:val="none"/>
              </w:rPr>
            </w:pPr>
            <w:r>
              <w:rPr>
                <w:rFonts w:hint="eastAsia" w:ascii="宋体" w:hAnsi="宋体" w:cs="宋体"/>
                <w:color w:val="auto"/>
                <w:kern w:val="0"/>
                <w:sz w:val="22"/>
                <w:highlight w:val="none"/>
              </w:rPr>
              <w:t>定期校准</w:t>
            </w:r>
          </w:p>
          <w:p w14:paraId="612AB788">
            <w:pPr>
              <w:rPr>
                <w:rFonts w:ascii="宋体" w:hAnsi="宋体" w:cs="宋体"/>
                <w:color w:val="auto"/>
                <w:kern w:val="0"/>
                <w:sz w:val="22"/>
                <w:highlight w:val="none"/>
              </w:rPr>
            </w:pPr>
            <w:r>
              <w:rPr>
                <w:rFonts w:hint="eastAsia" w:ascii="宋体" w:hAnsi="宋体" w:cs="宋体"/>
                <w:color w:val="auto"/>
                <w:kern w:val="0"/>
                <w:sz w:val="22"/>
                <w:highlight w:val="none"/>
              </w:rPr>
              <w:t>每周用蒸馏水</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校准（</w:t>
            </w:r>
            <w:r>
              <w:rPr>
                <w:rFonts w:ascii="宋体" w:hAnsi="宋体" w:cs="宋体"/>
                <w:color w:val="auto"/>
                <w:kern w:val="0"/>
                <w:sz w:val="22"/>
                <w:highlight w:val="none"/>
              </w:rPr>
              <w:t>20℃时折射率应为1.33299）</w:t>
            </w:r>
          </w:p>
          <w:p w14:paraId="3ECFBCC4">
            <w:pPr>
              <w:rPr>
                <w:rFonts w:ascii="宋体" w:hAnsi="宋体" w:cs="宋体"/>
                <w:color w:val="auto"/>
                <w:kern w:val="0"/>
                <w:sz w:val="22"/>
                <w:highlight w:val="none"/>
              </w:rPr>
            </w:pPr>
            <w:r>
              <w:rPr>
                <w:rFonts w:hint="eastAsia" w:ascii="宋体" w:hAnsi="宋体" w:cs="宋体"/>
                <w:color w:val="auto"/>
                <w:kern w:val="0"/>
                <w:sz w:val="22"/>
                <w:highlight w:val="none"/>
              </w:rPr>
              <w:t>每半年使用标准玻璃块</w:t>
            </w:r>
            <w:r>
              <w:rPr>
                <w:rFonts w:ascii="宋体" w:hAnsi="宋体" w:cs="宋体"/>
                <w:color w:val="auto"/>
                <w:kern w:val="0"/>
                <w:sz w:val="22"/>
                <w:highlight w:val="none"/>
              </w:rPr>
              <w:t xml:space="preserve">+溴化萘 </w:t>
            </w:r>
            <w:r>
              <w:rPr>
                <w:rFonts w:hint="eastAsia" w:ascii="宋体" w:hAnsi="宋体" w:cs="宋体"/>
                <w:color w:val="auto"/>
                <w:kern w:val="0"/>
                <w:sz w:val="22"/>
                <w:highlight w:val="none"/>
              </w:rPr>
              <w:t>进行高精度校准</w:t>
            </w:r>
          </w:p>
          <w:p w14:paraId="4289754F">
            <w:pPr>
              <w:rPr>
                <w:rFonts w:ascii="宋体" w:hAnsi="宋体" w:cs="宋体"/>
                <w:color w:val="auto"/>
                <w:kern w:val="0"/>
                <w:sz w:val="22"/>
                <w:highlight w:val="none"/>
              </w:rPr>
            </w:pPr>
            <w:r>
              <w:rPr>
                <w:rFonts w:hint="eastAsia" w:ascii="宋体" w:hAnsi="宋体" w:cs="宋体"/>
                <w:color w:val="auto"/>
                <w:kern w:val="0"/>
                <w:sz w:val="22"/>
                <w:highlight w:val="none"/>
              </w:rPr>
              <w:t>常见问题处理</w:t>
            </w:r>
          </w:p>
          <w:p w14:paraId="2E6623D4">
            <w:pPr>
              <w:rPr>
                <w:rFonts w:ascii="宋体" w:hAnsi="宋体" w:cs="宋体"/>
                <w:color w:val="auto"/>
                <w:kern w:val="0"/>
                <w:sz w:val="22"/>
                <w:highlight w:val="none"/>
              </w:rPr>
            </w:pPr>
            <w:r>
              <w:rPr>
                <w:rFonts w:hint="eastAsia" w:ascii="宋体" w:hAnsi="宋体" w:cs="宋体"/>
                <w:color w:val="auto"/>
                <w:kern w:val="0"/>
                <w:sz w:val="22"/>
                <w:highlight w:val="none"/>
              </w:rPr>
              <w:t>分界线模糊</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：检查棱镜清洁度或调节消色散棱镜位置</w:t>
            </w:r>
          </w:p>
          <w:p w14:paraId="1F794479">
            <w:pPr>
              <w:rPr>
                <w:rFonts w:ascii="宋体" w:hAnsi="宋体" w:cs="宋体"/>
                <w:color w:val="auto"/>
                <w:kern w:val="0"/>
                <w:sz w:val="22"/>
                <w:highlight w:val="none"/>
              </w:rPr>
            </w:pPr>
            <w:r>
              <w:rPr>
                <w:rFonts w:hint="eastAsia" w:ascii="宋体" w:hAnsi="宋体" w:cs="宋体"/>
                <w:color w:val="auto"/>
                <w:kern w:val="0"/>
                <w:sz w:val="22"/>
                <w:highlight w:val="none"/>
              </w:rPr>
              <w:t>读数视差</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：重新校正望远物镜焦距</w:t>
            </w:r>
          </w:p>
        </w:tc>
      </w:tr>
      <w:tr w14:paraId="3AC2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0610AE31">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旋转蒸发仪</w:t>
            </w:r>
          </w:p>
        </w:tc>
        <w:tc>
          <w:tcPr>
            <w:tcW w:w="8426" w:type="dxa"/>
          </w:tcPr>
          <w:p w14:paraId="48F751D6">
            <w:pPr>
              <w:rPr>
                <w:rFonts w:ascii="宋体" w:hAnsi="宋体" w:cs="宋体"/>
                <w:color w:val="auto"/>
                <w:kern w:val="0"/>
                <w:sz w:val="22"/>
                <w:highlight w:val="none"/>
              </w:rPr>
            </w:pPr>
            <w:r>
              <w:rPr>
                <w:rFonts w:hint="eastAsia" w:ascii="宋体" w:hAnsi="宋体" w:cs="宋体"/>
                <w:color w:val="auto"/>
                <w:kern w:val="0"/>
                <w:sz w:val="22"/>
                <w:highlight w:val="none"/>
              </w:rPr>
              <w:t>一、日常维护（每次使用后）</w:t>
            </w:r>
          </w:p>
          <w:p w14:paraId="530B55E2">
            <w:pPr>
              <w:rPr>
                <w:rFonts w:ascii="宋体" w:hAnsi="宋体" w:cs="宋体"/>
                <w:color w:val="auto"/>
                <w:kern w:val="0"/>
                <w:sz w:val="22"/>
                <w:highlight w:val="none"/>
              </w:rPr>
            </w:pPr>
            <w:r>
              <w:rPr>
                <w:rFonts w:hint="eastAsia" w:ascii="宋体" w:hAnsi="宋体" w:cs="宋体"/>
                <w:color w:val="auto"/>
                <w:kern w:val="0"/>
                <w:sz w:val="22"/>
                <w:highlight w:val="none"/>
              </w:rPr>
              <w:t>清洁操作</w:t>
            </w:r>
          </w:p>
          <w:p w14:paraId="74EAA274">
            <w:pPr>
              <w:rPr>
                <w:rFonts w:ascii="宋体" w:hAnsi="宋体" w:cs="宋体"/>
                <w:color w:val="auto"/>
                <w:kern w:val="0"/>
                <w:sz w:val="22"/>
                <w:highlight w:val="none"/>
              </w:rPr>
            </w:pPr>
            <w:r>
              <w:rPr>
                <w:rFonts w:hint="eastAsia" w:ascii="宋体" w:hAnsi="宋体" w:cs="宋体"/>
                <w:color w:val="auto"/>
                <w:kern w:val="0"/>
                <w:sz w:val="22"/>
                <w:highlight w:val="none"/>
              </w:rPr>
              <w:t>玻璃部件</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：立即用无绒软布</w:t>
            </w:r>
            <w:r>
              <w:rPr>
                <w:rFonts w:ascii="宋体" w:hAnsi="宋体" w:cs="宋体"/>
                <w:color w:val="auto"/>
                <w:kern w:val="0"/>
                <w:sz w:val="22"/>
                <w:highlight w:val="none"/>
              </w:rPr>
              <w:t xml:space="preserve">+去离子水 </w:t>
            </w:r>
            <w:r>
              <w:rPr>
                <w:rFonts w:hint="eastAsia" w:ascii="宋体" w:hAnsi="宋体" w:cs="宋体"/>
                <w:color w:val="auto"/>
                <w:kern w:val="0"/>
                <w:sz w:val="22"/>
                <w:highlight w:val="none"/>
              </w:rPr>
              <w:t>擦拭蒸发瓶、冷凝管和收集瓶，腐蚀性溶剂残留需用兼容溶剂二次清洗</w:t>
            </w:r>
          </w:p>
          <w:p w14:paraId="686736CC">
            <w:pPr>
              <w:rPr>
                <w:rFonts w:ascii="宋体" w:hAnsi="宋体" w:cs="宋体"/>
                <w:color w:val="auto"/>
                <w:kern w:val="0"/>
                <w:sz w:val="22"/>
                <w:highlight w:val="none"/>
              </w:rPr>
            </w:pPr>
            <w:r>
              <w:rPr>
                <w:rFonts w:hint="eastAsia" w:ascii="宋体" w:hAnsi="宋体" w:cs="宋体"/>
                <w:color w:val="auto"/>
                <w:kern w:val="0"/>
                <w:sz w:val="22"/>
                <w:highlight w:val="none"/>
              </w:rPr>
              <w:t>密封面</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：用蘸取</w:t>
            </w:r>
            <w:r>
              <w:rPr>
                <w:rFonts w:ascii="宋体" w:hAnsi="宋体" w:cs="宋体"/>
                <w:color w:val="auto"/>
                <w:kern w:val="0"/>
                <w:sz w:val="22"/>
                <w:highlight w:val="none"/>
              </w:rPr>
              <w:t>70%乙醇的棉签清理磨口接头，确保无结晶残留</w:t>
            </w:r>
          </w:p>
          <w:p w14:paraId="5AAE1749">
            <w:pPr>
              <w:rPr>
                <w:rFonts w:ascii="宋体" w:hAnsi="宋体" w:cs="宋体"/>
                <w:color w:val="auto"/>
                <w:kern w:val="0"/>
                <w:sz w:val="22"/>
                <w:highlight w:val="none"/>
              </w:rPr>
            </w:pPr>
            <w:r>
              <w:rPr>
                <w:rFonts w:hint="eastAsia" w:ascii="宋体" w:hAnsi="宋体" w:cs="宋体"/>
                <w:color w:val="auto"/>
                <w:kern w:val="0"/>
                <w:sz w:val="22"/>
                <w:highlight w:val="none"/>
              </w:rPr>
              <w:t>密封系统检查</w:t>
            </w:r>
          </w:p>
          <w:p w14:paraId="63C029ED">
            <w:pPr>
              <w:rPr>
                <w:rFonts w:ascii="宋体" w:hAnsi="宋体" w:cs="宋体"/>
                <w:color w:val="auto"/>
                <w:kern w:val="0"/>
                <w:sz w:val="22"/>
                <w:highlight w:val="none"/>
              </w:rPr>
            </w:pPr>
            <w:r>
              <w:rPr>
                <w:rFonts w:hint="eastAsia" w:ascii="宋体" w:hAnsi="宋体" w:cs="宋体"/>
                <w:color w:val="auto"/>
                <w:kern w:val="0"/>
                <w:sz w:val="22"/>
                <w:highlight w:val="none"/>
              </w:rPr>
              <w:t>检查旋转轴密封圈是否变形，手动旋转主轴感受阻力（正常应≤</w:t>
            </w:r>
            <w:r>
              <w:rPr>
                <w:rFonts w:ascii="宋体" w:hAnsi="宋体" w:cs="宋体"/>
                <w:color w:val="auto"/>
                <w:kern w:val="0"/>
                <w:sz w:val="22"/>
                <w:highlight w:val="none"/>
              </w:rPr>
              <w:t>5N·m）</w:t>
            </w:r>
          </w:p>
          <w:p w14:paraId="5E156434">
            <w:pPr>
              <w:rPr>
                <w:rFonts w:ascii="宋体" w:hAnsi="宋体" w:cs="宋体"/>
                <w:color w:val="auto"/>
                <w:kern w:val="0"/>
                <w:sz w:val="22"/>
                <w:highlight w:val="none"/>
              </w:rPr>
            </w:pPr>
            <w:r>
              <w:rPr>
                <w:rFonts w:hint="eastAsia" w:ascii="宋体" w:hAnsi="宋体" w:cs="宋体"/>
                <w:color w:val="auto"/>
                <w:kern w:val="0"/>
                <w:sz w:val="22"/>
                <w:highlight w:val="none"/>
              </w:rPr>
              <w:t>真空接口涂抹硅脂后观察</w:t>
            </w:r>
            <w:r>
              <w:rPr>
                <w:rFonts w:ascii="宋体" w:hAnsi="宋体" w:cs="宋体"/>
                <w:color w:val="auto"/>
                <w:kern w:val="0"/>
                <w:sz w:val="22"/>
                <w:highlight w:val="none"/>
              </w:rPr>
              <w:t>30秒内真空度下降不超过10kPa[3]</w:t>
            </w:r>
          </w:p>
          <w:p w14:paraId="75B20970">
            <w:pPr>
              <w:rPr>
                <w:rFonts w:ascii="宋体" w:hAnsi="宋体" w:cs="宋体"/>
                <w:color w:val="auto"/>
                <w:kern w:val="0"/>
                <w:sz w:val="22"/>
                <w:highlight w:val="none"/>
              </w:rPr>
            </w:pPr>
            <w:r>
              <w:rPr>
                <w:rFonts w:hint="eastAsia" w:ascii="宋体" w:hAnsi="宋体" w:cs="宋体"/>
                <w:color w:val="auto"/>
                <w:kern w:val="0"/>
                <w:sz w:val="22"/>
                <w:highlight w:val="none"/>
              </w:rPr>
              <w:t>二、定期维护（每月</w:t>
            </w:r>
            <w:r>
              <w:rPr>
                <w:rFonts w:ascii="宋体" w:hAnsi="宋体" w:cs="宋体"/>
                <w:color w:val="auto"/>
                <w:kern w:val="0"/>
                <w:sz w:val="22"/>
                <w:highlight w:val="none"/>
              </w:rPr>
              <w:t>/每季度）</w:t>
            </w:r>
          </w:p>
          <w:p w14:paraId="4A20F2C4">
            <w:pPr>
              <w:rPr>
                <w:rFonts w:ascii="宋体" w:hAnsi="宋体" w:cs="宋体"/>
                <w:color w:val="auto"/>
                <w:kern w:val="0"/>
                <w:sz w:val="22"/>
                <w:highlight w:val="none"/>
              </w:rPr>
            </w:pPr>
            <w:r>
              <w:rPr>
                <w:rFonts w:hint="eastAsia" w:ascii="宋体" w:hAnsi="宋体" w:cs="宋体"/>
                <w:color w:val="auto"/>
                <w:kern w:val="0"/>
                <w:sz w:val="22"/>
                <w:highlight w:val="none"/>
              </w:rPr>
              <w:t>润滑保养</w:t>
            </w:r>
          </w:p>
          <w:p w14:paraId="6D0E2463">
            <w:pPr>
              <w:rPr>
                <w:rFonts w:ascii="宋体" w:hAnsi="宋体" w:cs="宋体"/>
                <w:color w:val="auto"/>
                <w:kern w:val="0"/>
                <w:sz w:val="22"/>
                <w:highlight w:val="none"/>
              </w:rPr>
            </w:pPr>
            <w:r>
              <w:rPr>
                <w:rFonts w:hint="eastAsia" w:ascii="宋体" w:hAnsi="宋体" w:cs="宋体"/>
                <w:color w:val="auto"/>
                <w:kern w:val="0"/>
                <w:sz w:val="22"/>
                <w:highlight w:val="none"/>
              </w:rPr>
              <w:t>旋转轴承：每</w:t>
            </w:r>
            <w:r>
              <w:rPr>
                <w:rFonts w:ascii="宋体" w:hAnsi="宋体" w:cs="宋体"/>
                <w:color w:val="auto"/>
                <w:kern w:val="0"/>
                <w:sz w:val="22"/>
                <w:highlight w:val="none"/>
              </w:rPr>
              <w:t>500小时加注2#锂基润滑脂（注脂量不超过腔体1/3）</w:t>
            </w:r>
          </w:p>
          <w:p w14:paraId="5296EC57">
            <w:pPr>
              <w:rPr>
                <w:rFonts w:ascii="宋体" w:hAnsi="宋体" w:cs="宋体"/>
                <w:color w:val="auto"/>
                <w:kern w:val="0"/>
                <w:sz w:val="22"/>
                <w:highlight w:val="none"/>
              </w:rPr>
            </w:pPr>
            <w:r>
              <w:rPr>
                <w:rFonts w:hint="eastAsia" w:ascii="宋体" w:hAnsi="宋体" w:cs="宋体"/>
                <w:color w:val="auto"/>
                <w:kern w:val="0"/>
                <w:sz w:val="22"/>
                <w:highlight w:val="none"/>
              </w:rPr>
              <w:t>升降导轨：使用</w:t>
            </w:r>
            <w:r>
              <w:rPr>
                <w:rFonts w:ascii="宋体" w:hAnsi="宋体" w:cs="宋体"/>
                <w:color w:val="auto"/>
                <w:kern w:val="0"/>
                <w:sz w:val="22"/>
                <w:highlight w:val="none"/>
              </w:rPr>
              <w:t>PTFE喷雾润滑，行程全程移动3次确保均匀分布</w:t>
            </w:r>
          </w:p>
          <w:p w14:paraId="02F5A18C">
            <w:pPr>
              <w:rPr>
                <w:rFonts w:ascii="宋体" w:hAnsi="宋体" w:cs="宋体"/>
                <w:color w:val="auto"/>
                <w:kern w:val="0"/>
                <w:sz w:val="22"/>
                <w:highlight w:val="none"/>
              </w:rPr>
            </w:pPr>
            <w:r>
              <w:rPr>
                <w:rFonts w:hint="eastAsia" w:ascii="宋体" w:hAnsi="宋体" w:cs="宋体"/>
                <w:color w:val="auto"/>
                <w:kern w:val="0"/>
                <w:sz w:val="22"/>
                <w:highlight w:val="none"/>
              </w:rPr>
              <w:t>真空系统维护</w:t>
            </w:r>
          </w:p>
          <w:p w14:paraId="24432677">
            <w:pPr>
              <w:rPr>
                <w:rFonts w:ascii="宋体" w:hAnsi="宋体" w:cs="宋体"/>
                <w:color w:val="auto"/>
                <w:kern w:val="0"/>
                <w:sz w:val="22"/>
                <w:highlight w:val="none"/>
              </w:rPr>
            </w:pPr>
            <w:r>
              <w:rPr>
                <w:rFonts w:hint="eastAsia" w:ascii="宋体" w:hAnsi="宋体" w:cs="宋体"/>
                <w:color w:val="auto"/>
                <w:kern w:val="0"/>
                <w:sz w:val="22"/>
                <w:highlight w:val="none"/>
              </w:rPr>
              <w:t>真空泵油：累计运行</w:t>
            </w:r>
            <w:r>
              <w:rPr>
                <w:rFonts w:ascii="宋体" w:hAnsi="宋体" w:cs="宋体"/>
                <w:color w:val="auto"/>
                <w:kern w:val="0"/>
                <w:sz w:val="22"/>
                <w:highlight w:val="none"/>
              </w:rPr>
              <w:t>200小时更换，浑浊度达NTU&gt;5立即更换</w:t>
            </w:r>
          </w:p>
          <w:p w14:paraId="3F277C53">
            <w:pPr>
              <w:rPr>
                <w:rFonts w:ascii="宋体" w:hAnsi="宋体" w:cs="宋体"/>
                <w:color w:val="auto"/>
                <w:kern w:val="0"/>
                <w:sz w:val="22"/>
                <w:highlight w:val="none"/>
              </w:rPr>
            </w:pPr>
            <w:r>
              <w:rPr>
                <w:rFonts w:hint="eastAsia" w:ascii="宋体" w:hAnsi="宋体" w:cs="宋体"/>
                <w:color w:val="auto"/>
                <w:kern w:val="0"/>
                <w:sz w:val="22"/>
                <w:highlight w:val="none"/>
              </w:rPr>
              <w:t>真空管路：用丙酮冲洗后氮气吹扫，确保流量计压力波动</w:t>
            </w:r>
            <w:r>
              <w:rPr>
                <w:rFonts w:ascii="宋体" w:hAnsi="宋体" w:cs="宋体"/>
                <w:color w:val="auto"/>
                <w:kern w:val="0"/>
                <w:sz w:val="22"/>
                <w:highlight w:val="none"/>
              </w:rPr>
              <w:t>&lt;±2%</w:t>
            </w:r>
          </w:p>
          <w:p w14:paraId="68D94581">
            <w:pPr>
              <w:rPr>
                <w:rFonts w:ascii="宋体" w:hAnsi="宋体" w:cs="宋体"/>
                <w:color w:val="auto"/>
                <w:kern w:val="0"/>
                <w:sz w:val="22"/>
                <w:highlight w:val="none"/>
              </w:rPr>
            </w:pPr>
            <w:r>
              <w:rPr>
                <w:rFonts w:hint="eastAsia" w:ascii="宋体" w:hAnsi="宋体" w:cs="宋体"/>
                <w:color w:val="auto"/>
                <w:kern w:val="0"/>
                <w:sz w:val="22"/>
                <w:highlight w:val="none"/>
              </w:rPr>
              <w:t>三、关键部件专项维护</w:t>
            </w:r>
          </w:p>
          <w:p w14:paraId="724C5F65">
            <w:pPr>
              <w:rPr>
                <w:rFonts w:ascii="宋体" w:hAnsi="宋体" w:cs="宋体"/>
                <w:color w:val="auto"/>
                <w:kern w:val="0"/>
                <w:sz w:val="22"/>
                <w:highlight w:val="none"/>
              </w:rPr>
            </w:pPr>
            <w:r>
              <w:rPr>
                <w:rFonts w:hint="eastAsia" w:ascii="宋体" w:hAnsi="宋体" w:cs="宋体"/>
                <w:color w:val="auto"/>
                <w:kern w:val="0"/>
                <w:sz w:val="22"/>
                <w:highlight w:val="none"/>
              </w:rPr>
              <w:t>加热锅系统</w:t>
            </w:r>
          </w:p>
          <w:p w14:paraId="76F4975B">
            <w:pPr>
              <w:rPr>
                <w:rFonts w:ascii="宋体" w:hAnsi="宋体" w:cs="宋体"/>
                <w:color w:val="auto"/>
                <w:kern w:val="0"/>
                <w:sz w:val="22"/>
                <w:highlight w:val="none"/>
              </w:rPr>
            </w:pPr>
            <w:r>
              <w:rPr>
                <w:rFonts w:hint="eastAsia" w:ascii="宋体" w:hAnsi="宋体" w:cs="宋体"/>
                <w:color w:val="auto"/>
                <w:kern w:val="0"/>
                <w:sz w:val="22"/>
                <w:highlight w:val="none"/>
              </w:rPr>
              <w:t>每月校准温度传感器，误差超过±</w:t>
            </w:r>
            <w:r>
              <w:rPr>
                <w:rFonts w:ascii="宋体" w:hAnsi="宋体" w:cs="宋体"/>
                <w:color w:val="auto"/>
                <w:kern w:val="0"/>
                <w:sz w:val="22"/>
                <w:highlight w:val="none"/>
              </w:rPr>
              <w:t>1℃需重新标定]</w:t>
            </w:r>
          </w:p>
          <w:p w14:paraId="205F6D08">
            <w:pPr>
              <w:rPr>
                <w:rFonts w:ascii="宋体" w:hAnsi="宋体" w:cs="宋体"/>
                <w:color w:val="auto"/>
                <w:kern w:val="0"/>
                <w:sz w:val="22"/>
                <w:highlight w:val="none"/>
              </w:rPr>
            </w:pPr>
            <w:r>
              <w:rPr>
                <w:rFonts w:hint="eastAsia" w:ascii="宋体" w:hAnsi="宋体" w:cs="宋体"/>
                <w:color w:val="auto"/>
                <w:kern w:val="0"/>
                <w:sz w:val="22"/>
                <w:highlight w:val="none"/>
              </w:rPr>
              <w:t>硅油浴每</w:t>
            </w:r>
            <w:r>
              <w:rPr>
                <w:rFonts w:ascii="宋体" w:hAnsi="宋体" w:cs="宋体"/>
                <w:color w:val="auto"/>
                <w:kern w:val="0"/>
                <w:sz w:val="22"/>
                <w:highlight w:val="none"/>
              </w:rPr>
              <w:t>3个月过滤，黏度下降超过初始值20%需更换</w:t>
            </w:r>
          </w:p>
          <w:p w14:paraId="07E67FD6">
            <w:pPr>
              <w:rPr>
                <w:rFonts w:ascii="宋体" w:hAnsi="宋体" w:cs="宋体"/>
                <w:color w:val="auto"/>
                <w:kern w:val="0"/>
                <w:sz w:val="22"/>
                <w:highlight w:val="none"/>
              </w:rPr>
            </w:pPr>
            <w:r>
              <w:rPr>
                <w:rFonts w:hint="eastAsia" w:ascii="宋体" w:hAnsi="宋体" w:cs="宋体"/>
                <w:color w:val="auto"/>
                <w:kern w:val="0"/>
                <w:sz w:val="22"/>
                <w:highlight w:val="none"/>
              </w:rPr>
              <w:t>旋转瓶</w:t>
            </w:r>
            <w:r>
              <w:rPr>
                <w:rFonts w:ascii="宋体" w:hAnsi="宋体" w:cs="宋体"/>
                <w:color w:val="auto"/>
                <w:kern w:val="0"/>
                <w:sz w:val="22"/>
                <w:highlight w:val="none"/>
              </w:rPr>
              <w:t>/收集瓶</w:t>
            </w:r>
          </w:p>
          <w:p w14:paraId="30C2E380">
            <w:pPr>
              <w:rPr>
                <w:rFonts w:ascii="宋体" w:hAnsi="宋体" w:cs="宋体"/>
                <w:color w:val="auto"/>
                <w:kern w:val="0"/>
                <w:sz w:val="22"/>
                <w:highlight w:val="none"/>
              </w:rPr>
            </w:pPr>
            <w:r>
              <w:rPr>
                <w:rFonts w:hint="eastAsia" w:ascii="宋体" w:hAnsi="宋体" w:cs="宋体"/>
                <w:color w:val="auto"/>
                <w:kern w:val="0"/>
                <w:sz w:val="22"/>
                <w:highlight w:val="none"/>
              </w:rPr>
              <w:t>玻璃厚度检测：用超声波测厚仪检查，壁厚</w:t>
            </w:r>
            <w:r>
              <w:rPr>
                <w:rFonts w:ascii="宋体" w:hAnsi="宋体" w:cs="宋体"/>
                <w:color w:val="auto"/>
                <w:kern w:val="0"/>
                <w:sz w:val="22"/>
                <w:highlight w:val="none"/>
              </w:rPr>
              <w:t>&lt;2.5mm强制更换</w:t>
            </w:r>
          </w:p>
          <w:p w14:paraId="3F9E662A">
            <w:pPr>
              <w:rPr>
                <w:rFonts w:ascii="宋体" w:hAnsi="宋体" w:cs="宋体"/>
                <w:color w:val="auto"/>
                <w:kern w:val="0"/>
                <w:sz w:val="22"/>
                <w:highlight w:val="none"/>
              </w:rPr>
            </w:pPr>
            <w:r>
              <w:rPr>
                <w:rFonts w:hint="eastAsia" w:ascii="宋体" w:hAnsi="宋体" w:cs="宋体"/>
                <w:color w:val="auto"/>
                <w:kern w:val="0"/>
                <w:sz w:val="22"/>
                <w:highlight w:val="none"/>
              </w:rPr>
              <w:t>瓶口平面度：用平板量规检查，不平度</w:t>
            </w:r>
            <w:r>
              <w:rPr>
                <w:rFonts w:ascii="宋体" w:hAnsi="宋体" w:cs="宋体"/>
                <w:color w:val="auto"/>
                <w:kern w:val="0"/>
                <w:sz w:val="22"/>
                <w:highlight w:val="none"/>
              </w:rPr>
              <w:t>&gt;0.05mm需研磨处理</w:t>
            </w:r>
          </w:p>
        </w:tc>
      </w:tr>
      <w:tr w14:paraId="3BF2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45C7C7EB">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超声波清洗器</w:t>
            </w:r>
          </w:p>
        </w:tc>
        <w:tc>
          <w:tcPr>
            <w:tcW w:w="8426" w:type="dxa"/>
          </w:tcPr>
          <w:p w14:paraId="1C4D6C2C">
            <w:pPr>
              <w:rPr>
                <w:rFonts w:ascii="宋体" w:hAnsi="宋体" w:cs="宋体"/>
                <w:color w:val="auto"/>
                <w:kern w:val="0"/>
                <w:sz w:val="22"/>
                <w:highlight w:val="none"/>
              </w:rPr>
            </w:pPr>
            <w:r>
              <w:rPr>
                <w:rFonts w:hint="eastAsia" w:ascii="宋体" w:hAnsi="宋体" w:cs="宋体"/>
                <w:color w:val="auto"/>
                <w:kern w:val="0"/>
                <w:sz w:val="22"/>
                <w:highlight w:val="none"/>
              </w:rPr>
              <w:t>一、清洁与保养</w:t>
            </w:r>
          </w:p>
          <w:p w14:paraId="613B99BE">
            <w:pPr>
              <w:rPr>
                <w:rFonts w:ascii="宋体" w:hAnsi="宋体" w:cs="宋体"/>
                <w:color w:val="auto"/>
                <w:kern w:val="0"/>
                <w:sz w:val="22"/>
                <w:highlight w:val="none"/>
              </w:rPr>
            </w:pPr>
            <w:r>
              <w:rPr>
                <w:rFonts w:hint="eastAsia" w:ascii="宋体" w:hAnsi="宋体" w:cs="宋体"/>
                <w:color w:val="auto"/>
                <w:kern w:val="0"/>
                <w:sz w:val="22"/>
                <w:highlight w:val="none"/>
              </w:rPr>
              <w:t>设备表面清洁</w:t>
            </w:r>
          </w:p>
          <w:p w14:paraId="4685EBFC">
            <w:pPr>
              <w:rPr>
                <w:rFonts w:ascii="宋体" w:hAnsi="宋体" w:cs="宋体"/>
                <w:color w:val="auto"/>
                <w:kern w:val="0"/>
                <w:sz w:val="22"/>
                <w:highlight w:val="none"/>
              </w:rPr>
            </w:pPr>
            <w:r>
              <w:rPr>
                <w:rFonts w:hint="eastAsia" w:ascii="宋体" w:hAnsi="宋体" w:cs="宋体"/>
                <w:color w:val="auto"/>
                <w:kern w:val="0"/>
                <w:sz w:val="22"/>
                <w:highlight w:val="none"/>
              </w:rPr>
              <w:t>使用半湿润棉布擦拭机身，避免直接用水冲洗。</w:t>
            </w:r>
          </w:p>
          <w:p w14:paraId="1ABAF3D9">
            <w:pPr>
              <w:rPr>
                <w:rFonts w:ascii="宋体" w:hAnsi="宋体" w:cs="宋体"/>
                <w:color w:val="auto"/>
                <w:kern w:val="0"/>
                <w:sz w:val="22"/>
                <w:highlight w:val="none"/>
              </w:rPr>
            </w:pPr>
            <w:r>
              <w:rPr>
                <w:rFonts w:hint="eastAsia" w:ascii="宋体" w:hAnsi="宋体" w:cs="宋体"/>
                <w:color w:val="auto"/>
                <w:kern w:val="0"/>
                <w:sz w:val="22"/>
                <w:highlight w:val="none"/>
              </w:rPr>
              <w:t>定期清理清洗槽和过滤器中的杂质，保持排水通畅。</w:t>
            </w:r>
          </w:p>
          <w:p w14:paraId="11298262">
            <w:pPr>
              <w:rPr>
                <w:rFonts w:ascii="宋体" w:hAnsi="宋体" w:cs="宋体"/>
                <w:color w:val="auto"/>
                <w:kern w:val="0"/>
                <w:sz w:val="22"/>
                <w:highlight w:val="none"/>
              </w:rPr>
            </w:pPr>
            <w:r>
              <w:rPr>
                <w:rFonts w:hint="eastAsia" w:ascii="宋体" w:hAnsi="宋体" w:cs="宋体"/>
                <w:color w:val="auto"/>
                <w:kern w:val="0"/>
                <w:sz w:val="22"/>
                <w:highlight w:val="none"/>
              </w:rPr>
              <w:t>清洗液管理</w:t>
            </w:r>
          </w:p>
          <w:p w14:paraId="007BA613">
            <w:pPr>
              <w:rPr>
                <w:rFonts w:ascii="宋体" w:hAnsi="宋体" w:cs="宋体"/>
                <w:color w:val="auto"/>
                <w:kern w:val="0"/>
                <w:sz w:val="22"/>
                <w:highlight w:val="none"/>
              </w:rPr>
            </w:pPr>
            <w:r>
              <w:rPr>
                <w:rFonts w:hint="eastAsia" w:ascii="宋体" w:hAnsi="宋体" w:cs="宋体"/>
                <w:color w:val="auto"/>
                <w:kern w:val="0"/>
                <w:sz w:val="22"/>
                <w:highlight w:val="none"/>
              </w:rPr>
              <w:t>及时更换浑浊或沉淀的清洗液，避免腐蚀槽体。</w:t>
            </w:r>
          </w:p>
          <w:p w14:paraId="229ECA6C">
            <w:pPr>
              <w:rPr>
                <w:rFonts w:ascii="宋体" w:hAnsi="宋体" w:cs="宋体"/>
                <w:color w:val="auto"/>
                <w:kern w:val="0"/>
                <w:sz w:val="22"/>
                <w:highlight w:val="none"/>
              </w:rPr>
            </w:pPr>
            <w:r>
              <w:rPr>
                <w:rFonts w:hint="eastAsia" w:ascii="宋体" w:hAnsi="宋体" w:cs="宋体"/>
                <w:color w:val="auto"/>
                <w:kern w:val="0"/>
                <w:sz w:val="22"/>
                <w:highlight w:val="none"/>
              </w:rPr>
              <w:t>换液时需关闭电源，待液体冷却后操作。</w:t>
            </w:r>
          </w:p>
          <w:p w14:paraId="40C84875">
            <w:pPr>
              <w:rPr>
                <w:rFonts w:ascii="宋体" w:hAnsi="宋体" w:cs="宋体"/>
                <w:color w:val="auto"/>
                <w:kern w:val="0"/>
                <w:sz w:val="22"/>
                <w:highlight w:val="none"/>
              </w:rPr>
            </w:pPr>
            <w:r>
              <w:rPr>
                <w:rFonts w:hint="eastAsia" w:ascii="宋体" w:hAnsi="宋体" w:cs="宋体"/>
                <w:color w:val="auto"/>
                <w:kern w:val="0"/>
                <w:sz w:val="22"/>
                <w:highlight w:val="none"/>
              </w:rPr>
              <w:t>二、定期维护</w:t>
            </w:r>
          </w:p>
          <w:p w14:paraId="5E9090D3">
            <w:pPr>
              <w:rPr>
                <w:rFonts w:ascii="宋体" w:hAnsi="宋体" w:cs="宋体"/>
                <w:color w:val="auto"/>
                <w:kern w:val="0"/>
                <w:sz w:val="22"/>
                <w:highlight w:val="none"/>
              </w:rPr>
            </w:pPr>
            <w:r>
              <w:rPr>
                <w:rFonts w:hint="eastAsia" w:ascii="宋体" w:hAnsi="宋体" w:cs="宋体"/>
                <w:color w:val="auto"/>
                <w:kern w:val="0"/>
                <w:sz w:val="22"/>
                <w:highlight w:val="none"/>
              </w:rPr>
              <w:t>部件检查</w:t>
            </w:r>
          </w:p>
          <w:p w14:paraId="6B10C86A">
            <w:pPr>
              <w:rPr>
                <w:rFonts w:ascii="宋体" w:hAnsi="宋体" w:cs="宋体"/>
                <w:color w:val="auto"/>
                <w:kern w:val="0"/>
                <w:sz w:val="22"/>
                <w:highlight w:val="none"/>
              </w:rPr>
            </w:pPr>
            <w:r>
              <w:rPr>
                <w:rFonts w:hint="eastAsia" w:ascii="宋体" w:hAnsi="宋体" w:cs="宋体"/>
                <w:color w:val="auto"/>
                <w:kern w:val="0"/>
                <w:sz w:val="22"/>
                <w:highlight w:val="none"/>
              </w:rPr>
              <w:t>每月检查换能器是否受潮或脱落，用兆欧表测量绝缘电阻（需＞</w:t>
            </w:r>
            <w:r>
              <w:rPr>
                <w:rFonts w:ascii="宋体" w:hAnsi="宋体" w:cs="宋体"/>
                <w:color w:val="auto"/>
                <w:kern w:val="0"/>
                <w:sz w:val="22"/>
                <w:highlight w:val="none"/>
              </w:rPr>
              <w:t>5MΩ）。</w:t>
            </w:r>
          </w:p>
          <w:p w14:paraId="7DE57B92">
            <w:pPr>
              <w:rPr>
                <w:rFonts w:ascii="宋体" w:hAnsi="宋体" w:cs="宋体"/>
                <w:color w:val="auto"/>
                <w:kern w:val="0"/>
                <w:sz w:val="22"/>
                <w:highlight w:val="none"/>
              </w:rPr>
            </w:pPr>
            <w:r>
              <w:rPr>
                <w:rFonts w:hint="eastAsia" w:ascii="宋体" w:hAnsi="宋体" w:cs="宋体"/>
                <w:color w:val="auto"/>
                <w:kern w:val="0"/>
                <w:sz w:val="22"/>
                <w:highlight w:val="none"/>
              </w:rPr>
              <w:t>定期清理电源箱灰尘，检查散热风扇、电子线路等是否正常。</w:t>
            </w:r>
          </w:p>
          <w:p w14:paraId="67C293FC">
            <w:pPr>
              <w:rPr>
                <w:rFonts w:ascii="宋体" w:hAnsi="宋体" w:cs="宋体"/>
                <w:color w:val="auto"/>
                <w:kern w:val="0"/>
                <w:sz w:val="22"/>
                <w:highlight w:val="none"/>
              </w:rPr>
            </w:pPr>
            <w:r>
              <w:rPr>
                <w:rFonts w:hint="eastAsia" w:ascii="宋体" w:hAnsi="宋体" w:cs="宋体"/>
                <w:color w:val="auto"/>
                <w:kern w:val="0"/>
                <w:sz w:val="22"/>
                <w:highlight w:val="none"/>
              </w:rPr>
              <w:t>系统维护</w:t>
            </w:r>
          </w:p>
          <w:p w14:paraId="2EB425CE">
            <w:pPr>
              <w:rPr>
                <w:rFonts w:ascii="宋体" w:hAnsi="宋体" w:cs="宋体"/>
                <w:color w:val="auto"/>
                <w:kern w:val="0"/>
                <w:sz w:val="22"/>
                <w:highlight w:val="none"/>
              </w:rPr>
            </w:pPr>
            <w:r>
              <w:rPr>
                <w:rFonts w:hint="eastAsia" w:ascii="宋体" w:hAnsi="宋体" w:cs="宋体"/>
                <w:color w:val="auto"/>
                <w:kern w:val="0"/>
                <w:sz w:val="22"/>
                <w:highlight w:val="none"/>
              </w:rPr>
              <w:t>每年测试设备绝缘性能，确保接地良好。</w:t>
            </w:r>
          </w:p>
          <w:p w14:paraId="501B21F5">
            <w:pPr>
              <w:rPr>
                <w:rFonts w:ascii="宋体" w:hAnsi="宋体" w:cs="宋体"/>
                <w:color w:val="auto"/>
                <w:kern w:val="0"/>
                <w:sz w:val="22"/>
                <w:highlight w:val="none"/>
              </w:rPr>
            </w:pPr>
            <w:r>
              <w:rPr>
                <w:rFonts w:hint="eastAsia" w:ascii="宋体" w:hAnsi="宋体" w:cs="宋体"/>
                <w:color w:val="auto"/>
                <w:kern w:val="0"/>
                <w:sz w:val="22"/>
                <w:highlight w:val="none"/>
              </w:rPr>
              <w:t>长期停用时排空清洗液，清洁槽体并覆盖防尘膜。</w:t>
            </w:r>
          </w:p>
        </w:tc>
      </w:tr>
      <w:tr w14:paraId="4E9B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63AB63F7">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鼓风干燥箱</w:t>
            </w:r>
          </w:p>
        </w:tc>
        <w:tc>
          <w:tcPr>
            <w:tcW w:w="8426" w:type="dxa"/>
          </w:tcPr>
          <w:p w14:paraId="4126EF18">
            <w:pPr>
              <w:rPr>
                <w:rFonts w:ascii="宋体" w:hAnsi="宋体" w:cs="宋体"/>
                <w:color w:val="auto"/>
                <w:kern w:val="0"/>
                <w:sz w:val="22"/>
                <w:highlight w:val="none"/>
              </w:rPr>
            </w:pPr>
            <w:r>
              <w:rPr>
                <w:rFonts w:hint="eastAsia" w:ascii="宋体" w:hAnsi="宋体" w:cs="宋体"/>
                <w:color w:val="auto"/>
                <w:kern w:val="0"/>
                <w:sz w:val="22"/>
                <w:highlight w:val="none"/>
              </w:rPr>
              <w:t>一、定期维护与检查</w:t>
            </w:r>
          </w:p>
          <w:p w14:paraId="0DAF48EF">
            <w:pPr>
              <w:rPr>
                <w:rFonts w:ascii="宋体" w:hAnsi="宋体" w:cs="宋体"/>
                <w:color w:val="auto"/>
                <w:kern w:val="0"/>
                <w:sz w:val="22"/>
                <w:highlight w:val="none"/>
              </w:rPr>
            </w:pPr>
            <w:r>
              <w:rPr>
                <w:rFonts w:hint="eastAsia" w:ascii="宋体" w:hAnsi="宋体" w:cs="宋体"/>
                <w:color w:val="auto"/>
                <w:kern w:val="0"/>
                <w:sz w:val="22"/>
                <w:highlight w:val="none"/>
              </w:rPr>
              <w:t>部件清洁</w:t>
            </w:r>
          </w:p>
          <w:p w14:paraId="188DAACE">
            <w:pPr>
              <w:rPr>
                <w:rFonts w:ascii="宋体" w:hAnsi="宋体" w:cs="宋体"/>
                <w:color w:val="auto"/>
                <w:kern w:val="0"/>
                <w:sz w:val="22"/>
                <w:highlight w:val="none"/>
              </w:rPr>
            </w:pPr>
            <w:r>
              <w:rPr>
                <w:rFonts w:hint="eastAsia" w:ascii="宋体" w:hAnsi="宋体" w:cs="宋体"/>
                <w:color w:val="auto"/>
                <w:kern w:val="0"/>
                <w:sz w:val="22"/>
                <w:highlight w:val="none"/>
              </w:rPr>
              <w:t>定期清洁箱体表面和内部，避免灰尘积聚影响性能。</w:t>
            </w:r>
          </w:p>
          <w:p w14:paraId="0DDE5A3C">
            <w:pPr>
              <w:rPr>
                <w:rFonts w:ascii="宋体" w:hAnsi="宋体" w:cs="宋体"/>
                <w:color w:val="auto"/>
                <w:kern w:val="0"/>
                <w:sz w:val="22"/>
                <w:highlight w:val="none"/>
              </w:rPr>
            </w:pPr>
            <w:r>
              <w:rPr>
                <w:rFonts w:hint="eastAsia" w:ascii="宋体" w:hAnsi="宋体" w:cs="宋体"/>
                <w:color w:val="auto"/>
                <w:kern w:val="0"/>
                <w:sz w:val="22"/>
                <w:highlight w:val="none"/>
              </w:rPr>
              <w:t>清理加热器表面氧化层，确保热量正常传递。</w:t>
            </w:r>
          </w:p>
          <w:p w14:paraId="26386885">
            <w:pPr>
              <w:rPr>
                <w:rFonts w:ascii="宋体" w:hAnsi="宋体" w:cs="宋体"/>
                <w:color w:val="auto"/>
                <w:kern w:val="0"/>
                <w:sz w:val="22"/>
                <w:highlight w:val="none"/>
              </w:rPr>
            </w:pPr>
            <w:r>
              <w:rPr>
                <w:rFonts w:hint="eastAsia" w:ascii="宋体" w:hAnsi="宋体" w:cs="宋体"/>
                <w:color w:val="auto"/>
                <w:kern w:val="0"/>
                <w:sz w:val="22"/>
                <w:highlight w:val="none"/>
              </w:rPr>
              <w:t>电气系统检查</w:t>
            </w:r>
          </w:p>
          <w:p w14:paraId="5D0E7D0C">
            <w:pPr>
              <w:rPr>
                <w:rFonts w:ascii="宋体" w:hAnsi="宋体" w:cs="宋体"/>
                <w:color w:val="auto"/>
                <w:kern w:val="0"/>
                <w:sz w:val="22"/>
                <w:highlight w:val="none"/>
              </w:rPr>
            </w:pPr>
            <w:r>
              <w:rPr>
                <w:rFonts w:hint="eastAsia" w:ascii="宋体" w:hAnsi="宋体" w:cs="宋体"/>
                <w:color w:val="auto"/>
                <w:kern w:val="0"/>
                <w:sz w:val="22"/>
                <w:highlight w:val="none"/>
              </w:rPr>
              <w:t>每月检查温度调节器银触点，若发毛或不平需用细砂纸打磨。</w:t>
            </w:r>
          </w:p>
          <w:p w14:paraId="0FE0212F">
            <w:pPr>
              <w:rPr>
                <w:rFonts w:ascii="宋体" w:hAnsi="宋体" w:cs="宋体"/>
                <w:color w:val="auto"/>
                <w:kern w:val="0"/>
                <w:sz w:val="22"/>
                <w:highlight w:val="none"/>
              </w:rPr>
            </w:pPr>
            <w:r>
              <w:rPr>
                <w:rFonts w:hint="eastAsia" w:ascii="宋体" w:hAnsi="宋体" w:cs="宋体"/>
                <w:color w:val="auto"/>
                <w:kern w:val="0"/>
                <w:sz w:val="22"/>
                <w:highlight w:val="none"/>
              </w:rPr>
              <w:t>验证继电器、控温系统及电源线路是否正常，发现异常立即停机检修。</w:t>
            </w:r>
          </w:p>
          <w:p w14:paraId="2465CA2A">
            <w:pPr>
              <w:rPr>
                <w:rFonts w:ascii="宋体" w:hAnsi="宋体" w:cs="宋体"/>
                <w:color w:val="auto"/>
                <w:kern w:val="0"/>
                <w:sz w:val="22"/>
                <w:highlight w:val="none"/>
              </w:rPr>
            </w:pPr>
            <w:r>
              <w:rPr>
                <w:rFonts w:hint="eastAsia" w:ascii="宋体" w:hAnsi="宋体" w:cs="宋体"/>
                <w:color w:val="auto"/>
                <w:kern w:val="0"/>
                <w:sz w:val="22"/>
                <w:highlight w:val="none"/>
              </w:rPr>
              <w:t>机械维护</w:t>
            </w:r>
          </w:p>
          <w:p w14:paraId="700968AC">
            <w:pPr>
              <w:rPr>
                <w:rFonts w:ascii="宋体" w:hAnsi="宋体" w:cs="宋体"/>
                <w:color w:val="auto"/>
                <w:kern w:val="0"/>
                <w:sz w:val="22"/>
                <w:highlight w:val="none"/>
              </w:rPr>
            </w:pPr>
            <w:r>
              <w:rPr>
                <w:rFonts w:hint="eastAsia" w:ascii="宋体" w:hAnsi="宋体" w:cs="宋体"/>
                <w:color w:val="auto"/>
                <w:kern w:val="0"/>
                <w:sz w:val="22"/>
                <w:highlight w:val="none"/>
              </w:rPr>
              <w:t>检查风机运转状态，及时更换故障电机。</w:t>
            </w:r>
          </w:p>
          <w:p w14:paraId="34019043">
            <w:pPr>
              <w:rPr>
                <w:rFonts w:ascii="宋体" w:hAnsi="宋体" w:cs="宋体"/>
                <w:color w:val="auto"/>
                <w:kern w:val="0"/>
                <w:sz w:val="22"/>
                <w:highlight w:val="none"/>
              </w:rPr>
            </w:pPr>
            <w:r>
              <w:rPr>
                <w:rFonts w:hint="eastAsia" w:ascii="宋体" w:hAnsi="宋体" w:cs="宋体"/>
                <w:color w:val="auto"/>
                <w:kern w:val="0"/>
                <w:sz w:val="22"/>
                <w:highlight w:val="none"/>
              </w:rPr>
              <w:t>调节风门开度，确保箱内温度均匀性。</w:t>
            </w:r>
          </w:p>
          <w:p w14:paraId="3B0824E5">
            <w:pPr>
              <w:rPr>
                <w:rFonts w:ascii="宋体" w:hAnsi="宋体" w:cs="宋体"/>
                <w:color w:val="auto"/>
                <w:kern w:val="0"/>
                <w:sz w:val="22"/>
                <w:highlight w:val="none"/>
              </w:rPr>
            </w:pPr>
            <w:r>
              <w:rPr>
                <w:rFonts w:hint="eastAsia" w:ascii="宋体" w:hAnsi="宋体" w:cs="宋体"/>
                <w:color w:val="auto"/>
                <w:kern w:val="0"/>
                <w:sz w:val="22"/>
                <w:highlight w:val="none"/>
              </w:rPr>
              <w:t>二、故障排查（常见问题）</w:t>
            </w:r>
          </w:p>
          <w:p w14:paraId="427C34C4">
            <w:pPr>
              <w:rPr>
                <w:rFonts w:ascii="宋体" w:hAnsi="宋体" w:cs="宋体"/>
                <w:color w:val="auto"/>
                <w:kern w:val="0"/>
                <w:sz w:val="22"/>
                <w:highlight w:val="none"/>
              </w:rPr>
            </w:pPr>
            <w:r>
              <w:rPr>
                <w:rFonts w:hint="eastAsia" w:ascii="宋体" w:hAnsi="宋体" w:cs="宋体"/>
                <w:color w:val="auto"/>
                <w:kern w:val="0"/>
                <w:sz w:val="22"/>
                <w:highlight w:val="none"/>
              </w:rPr>
              <w:t>温度无法上升</w:t>
            </w:r>
          </w:p>
          <w:p w14:paraId="3201194C">
            <w:pPr>
              <w:rPr>
                <w:rFonts w:ascii="宋体" w:hAnsi="宋体" w:cs="宋体"/>
                <w:color w:val="auto"/>
                <w:kern w:val="0"/>
                <w:sz w:val="22"/>
                <w:highlight w:val="none"/>
              </w:rPr>
            </w:pPr>
            <w:r>
              <w:rPr>
                <w:rFonts w:hint="eastAsia" w:ascii="宋体" w:hAnsi="宋体" w:cs="宋体"/>
                <w:color w:val="auto"/>
                <w:kern w:val="0"/>
                <w:sz w:val="22"/>
                <w:highlight w:val="none"/>
              </w:rPr>
              <w:t>检查定时设定值是否超限，或风机是否故障。</w:t>
            </w:r>
          </w:p>
          <w:p w14:paraId="6F344722">
            <w:pPr>
              <w:rPr>
                <w:rFonts w:ascii="宋体" w:hAnsi="宋体" w:cs="宋体"/>
                <w:color w:val="auto"/>
                <w:kern w:val="0"/>
                <w:sz w:val="22"/>
                <w:highlight w:val="none"/>
              </w:rPr>
            </w:pPr>
            <w:r>
              <w:rPr>
                <w:rFonts w:hint="eastAsia" w:ascii="宋体" w:hAnsi="宋体" w:cs="宋体"/>
                <w:color w:val="auto"/>
                <w:kern w:val="0"/>
                <w:sz w:val="22"/>
                <w:highlight w:val="none"/>
              </w:rPr>
              <w:t>排查加热管断路、控温系统失灵等问题。</w:t>
            </w:r>
          </w:p>
          <w:p w14:paraId="4399CAFA">
            <w:pPr>
              <w:rPr>
                <w:rFonts w:ascii="宋体" w:hAnsi="宋体" w:cs="宋体"/>
                <w:color w:val="auto"/>
                <w:kern w:val="0"/>
                <w:sz w:val="22"/>
                <w:highlight w:val="none"/>
              </w:rPr>
            </w:pPr>
            <w:r>
              <w:rPr>
                <w:rFonts w:hint="eastAsia" w:ascii="宋体" w:hAnsi="宋体" w:cs="宋体"/>
                <w:color w:val="auto"/>
                <w:kern w:val="0"/>
                <w:sz w:val="22"/>
                <w:highlight w:val="none"/>
              </w:rPr>
              <w:t>加热异常</w:t>
            </w:r>
          </w:p>
          <w:p w14:paraId="7E0CBAC0">
            <w:pPr>
              <w:rPr>
                <w:rFonts w:ascii="宋体" w:hAnsi="宋体" w:cs="宋体"/>
                <w:color w:val="auto"/>
                <w:kern w:val="0"/>
                <w:sz w:val="22"/>
                <w:highlight w:val="none"/>
              </w:rPr>
            </w:pPr>
            <w:r>
              <w:rPr>
                <w:rFonts w:hint="eastAsia" w:ascii="宋体" w:hAnsi="宋体" w:cs="宋体"/>
                <w:color w:val="auto"/>
                <w:kern w:val="0"/>
                <w:sz w:val="22"/>
                <w:highlight w:val="none"/>
              </w:rPr>
              <w:t>若加热指示灯不亮，可能因灯泡损坏或继电器故障。</w:t>
            </w:r>
          </w:p>
          <w:p w14:paraId="49654119">
            <w:pPr>
              <w:rPr>
                <w:rFonts w:ascii="宋体" w:hAnsi="宋体" w:cs="宋体"/>
                <w:color w:val="auto"/>
                <w:kern w:val="0"/>
                <w:sz w:val="22"/>
                <w:highlight w:val="none"/>
              </w:rPr>
            </w:pPr>
            <w:r>
              <w:rPr>
                <w:rFonts w:hint="eastAsia" w:ascii="宋体" w:hAnsi="宋体" w:cs="宋体"/>
                <w:color w:val="auto"/>
                <w:kern w:val="0"/>
                <w:sz w:val="22"/>
                <w:highlight w:val="none"/>
              </w:rPr>
              <w:t>温度控制失灵时，需检测感温探头或更换热敏电阻。</w:t>
            </w:r>
          </w:p>
          <w:p w14:paraId="4C7F44E8">
            <w:pPr>
              <w:rPr>
                <w:rFonts w:ascii="宋体" w:hAnsi="宋体" w:cs="宋体"/>
                <w:color w:val="auto"/>
                <w:kern w:val="0"/>
                <w:sz w:val="22"/>
                <w:highlight w:val="none"/>
              </w:rPr>
            </w:pPr>
            <w:r>
              <w:rPr>
                <w:rFonts w:hint="eastAsia" w:ascii="宋体" w:hAnsi="宋体" w:cs="宋体"/>
                <w:color w:val="auto"/>
                <w:kern w:val="0"/>
                <w:sz w:val="22"/>
                <w:highlight w:val="none"/>
              </w:rPr>
              <w:t>设备无反应</w:t>
            </w:r>
          </w:p>
          <w:p w14:paraId="4983568A">
            <w:pPr>
              <w:rPr>
                <w:rFonts w:ascii="宋体" w:hAnsi="宋体" w:cs="宋体"/>
                <w:color w:val="auto"/>
                <w:kern w:val="0"/>
                <w:sz w:val="22"/>
                <w:highlight w:val="none"/>
              </w:rPr>
            </w:pPr>
            <w:r>
              <w:rPr>
                <w:rFonts w:hint="eastAsia" w:ascii="宋体" w:hAnsi="宋体" w:cs="宋体"/>
                <w:color w:val="auto"/>
                <w:kern w:val="0"/>
                <w:sz w:val="22"/>
                <w:highlight w:val="none"/>
              </w:rPr>
              <w:t>确认电源电压达标，检查电热管是否熔断或短路。</w:t>
            </w:r>
          </w:p>
        </w:tc>
      </w:tr>
      <w:tr w14:paraId="3983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4BEC51C3">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微生物培养箱</w:t>
            </w:r>
          </w:p>
        </w:tc>
        <w:tc>
          <w:tcPr>
            <w:tcW w:w="8426" w:type="dxa"/>
          </w:tcPr>
          <w:p w14:paraId="44098A2B">
            <w:pPr>
              <w:rPr>
                <w:rFonts w:ascii="宋体" w:hAnsi="宋体" w:cs="宋体"/>
                <w:color w:val="auto"/>
                <w:kern w:val="0"/>
                <w:sz w:val="22"/>
                <w:highlight w:val="none"/>
              </w:rPr>
            </w:pPr>
            <w:r>
              <w:rPr>
                <w:rFonts w:hint="eastAsia" w:ascii="宋体" w:hAnsi="宋体" w:cs="宋体"/>
                <w:color w:val="auto"/>
                <w:kern w:val="0"/>
                <w:sz w:val="22"/>
                <w:highlight w:val="none"/>
              </w:rPr>
              <w:t>一、清洁与消毒</w:t>
            </w:r>
          </w:p>
          <w:p w14:paraId="3D0675C7">
            <w:pPr>
              <w:rPr>
                <w:rFonts w:ascii="宋体" w:hAnsi="宋体" w:cs="宋体"/>
                <w:color w:val="auto"/>
                <w:kern w:val="0"/>
                <w:sz w:val="22"/>
                <w:highlight w:val="none"/>
              </w:rPr>
            </w:pPr>
            <w:r>
              <w:rPr>
                <w:rFonts w:hint="eastAsia" w:ascii="宋体" w:hAnsi="宋体" w:cs="宋体"/>
                <w:color w:val="auto"/>
                <w:kern w:val="0"/>
                <w:sz w:val="22"/>
                <w:highlight w:val="none"/>
              </w:rPr>
              <w:t>日常清洁</w:t>
            </w:r>
          </w:p>
          <w:p w14:paraId="3BE12B2F">
            <w:pPr>
              <w:rPr>
                <w:rFonts w:ascii="宋体" w:hAnsi="宋体" w:cs="宋体"/>
                <w:color w:val="auto"/>
                <w:kern w:val="0"/>
                <w:sz w:val="22"/>
                <w:highlight w:val="none"/>
              </w:rPr>
            </w:pPr>
            <w:r>
              <w:rPr>
                <w:rFonts w:hint="eastAsia" w:ascii="宋体" w:hAnsi="宋体" w:cs="宋体"/>
                <w:color w:val="auto"/>
                <w:kern w:val="0"/>
                <w:sz w:val="22"/>
                <w:highlight w:val="none"/>
              </w:rPr>
              <w:t>箱内表面用干布擦拭，禁用酸</w:t>
            </w:r>
            <w:r>
              <w:rPr>
                <w:rFonts w:ascii="宋体" w:hAnsi="宋体" w:cs="宋体"/>
                <w:color w:val="auto"/>
                <w:kern w:val="0"/>
                <w:sz w:val="22"/>
                <w:highlight w:val="none"/>
              </w:rPr>
              <w:t>/碱类腐蚀性清洁剂。</w:t>
            </w:r>
          </w:p>
          <w:p w14:paraId="48428663">
            <w:pPr>
              <w:rPr>
                <w:rFonts w:ascii="宋体" w:hAnsi="宋体" w:cs="宋体"/>
                <w:color w:val="auto"/>
                <w:kern w:val="0"/>
                <w:sz w:val="22"/>
                <w:highlight w:val="none"/>
              </w:rPr>
            </w:pPr>
            <w:r>
              <w:rPr>
                <w:rFonts w:hint="eastAsia" w:ascii="宋体" w:hAnsi="宋体" w:cs="宋体"/>
                <w:color w:val="auto"/>
                <w:kern w:val="0"/>
                <w:sz w:val="22"/>
                <w:highlight w:val="none"/>
              </w:rPr>
              <w:t>底部积水盘需定期倾倒冷凝水（尤其低温运行时）。</w:t>
            </w:r>
          </w:p>
          <w:p w14:paraId="3B2A556A">
            <w:pPr>
              <w:rPr>
                <w:rFonts w:ascii="宋体" w:hAnsi="宋体" w:cs="宋体"/>
                <w:color w:val="auto"/>
                <w:kern w:val="0"/>
                <w:sz w:val="22"/>
                <w:highlight w:val="none"/>
              </w:rPr>
            </w:pPr>
            <w:r>
              <w:rPr>
                <w:rFonts w:hint="eastAsia" w:ascii="宋体" w:hAnsi="宋体" w:cs="宋体"/>
                <w:color w:val="auto"/>
                <w:kern w:val="0"/>
                <w:sz w:val="22"/>
                <w:highlight w:val="none"/>
              </w:rPr>
              <w:t>深度消毒</w:t>
            </w:r>
          </w:p>
          <w:p w14:paraId="621B87FE">
            <w:pPr>
              <w:rPr>
                <w:rFonts w:ascii="宋体" w:hAnsi="宋体" w:cs="宋体"/>
                <w:color w:val="auto"/>
                <w:kern w:val="0"/>
                <w:sz w:val="22"/>
                <w:highlight w:val="none"/>
              </w:rPr>
            </w:pPr>
            <w:r>
              <w:rPr>
                <w:rFonts w:hint="eastAsia" w:ascii="宋体" w:hAnsi="宋体" w:cs="宋体"/>
                <w:color w:val="auto"/>
                <w:kern w:val="0"/>
                <w:sz w:val="22"/>
                <w:highlight w:val="none"/>
              </w:rPr>
              <w:t>使用纯化水彻底擦拭内壁后，用消毒剂（如</w:t>
            </w:r>
            <w:r>
              <w:rPr>
                <w:rFonts w:ascii="宋体" w:hAnsi="宋体" w:cs="宋体"/>
                <w:color w:val="auto"/>
                <w:kern w:val="0"/>
                <w:sz w:val="22"/>
                <w:highlight w:val="none"/>
              </w:rPr>
              <w:t>75%酒精）消毒，通风10分钟。</w:t>
            </w:r>
          </w:p>
          <w:p w14:paraId="553CF5DC">
            <w:pPr>
              <w:rPr>
                <w:rFonts w:ascii="宋体" w:hAnsi="宋体" w:cs="宋体"/>
                <w:color w:val="auto"/>
                <w:kern w:val="0"/>
                <w:sz w:val="22"/>
                <w:highlight w:val="none"/>
              </w:rPr>
            </w:pPr>
            <w:r>
              <w:rPr>
                <w:rFonts w:hint="eastAsia" w:ascii="宋体" w:hAnsi="宋体" w:cs="宋体"/>
                <w:color w:val="auto"/>
                <w:kern w:val="0"/>
                <w:sz w:val="22"/>
                <w:highlight w:val="none"/>
              </w:rPr>
              <w:t>停用超过</w:t>
            </w:r>
            <w:r>
              <w:rPr>
                <w:rFonts w:ascii="宋体" w:hAnsi="宋体" w:cs="宋体"/>
                <w:color w:val="auto"/>
                <w:kern w:val="0"/>
                <w:sz w:val="22"/>
                <w:highlight w:val="none"/>
              </w:rPr>
              <w:t>3天或固定清洁日，需开启紫外灯照射30分钟灭菌。</w:t>
            </w:r>
          </w:p>
          <w:p w14:paraId="1EB0E9EB">
            <w:pPr>
              <w:rPr>
                <w:rFonts w:ascii="宋体" w:hAnsi="宋体" w:cs="宋体"/>
                <w:color w:val="auto"/>
                <w:kern w:val="0"/>
                <w:sz w:val="22"/>
                <w:highlight w:val="none"/>
              </w:rPr>
            </w:pPr>
            <w:r>
              <w:rPr>
                <w:rFonts w:hint="eastAsia" w:ascii="宋体" w:hAnsi="宋体" w:cs="宋体"/>
                <w:color w:val="auto"/>
                <w:kern w:val="0"/>
                <w:sz w:val="22"/>
                <w:highlight w:val="none"/>
              </w:rPr>
              <w:t>部件维护</w:t>
            </w:r>
          </w:p>
          <w:p w14:paraId="040A8C8E">
            <w:pPr>
              <w:rPr>
                <w:rFonts w:ascii="宋体" w:hAnsi="宋体" w:cs="宋体"/>
                <w:color w:val="auto"/>
                <w:kern w:val="0"/>
                <w:sz w:val="22"/>
                <w:highlight w:val="none"/>
              </w:rPr>
            </w:pPr>
            <w:r>
              <w:rPr>
                <w:rFonts w:hint="eastAsia" w:ascii="宋体" w:hAnsi="宋体" w:cs="宋体"/>
                <w:color w:val="auto"/>
                <w:kern w:val="0"/>
                <w:sz w:val="22"/>
                <w:highlight w:val="none"/>
              </w:rPr>
              <w:t>每月清洁紫外灯表面灰尘（酒精棉球擦拭）。</w:t>
            </w:r>
          </w:p>
          <w:p w14:paraId="23BECF32">
            <w:pPr>
              <w:rPr>
                <w:rFonts w:ascii="宋体" w:hAnsi="宋体" w:cs="宋体"/>
                <w:color w:val="auto"/>
                <w:kern w:val="0"/>
                <w:sz w:val="22"/>
                <w:highlight w:val="none"/>
              </w:rPr>
            </w:pPr>
            <w:r>
              <w:rPr>
                <w:rFonts w:hint="eastAsia" w:ascii="宋体" w:hAnsi="宋体" w:cs="宋体"/>
                <w:color w:val="auto"/>
                <w:kern w:val="0"/>
                <w:sz w:val="22"/>
                <w:highlight w:val="none"/>
              </w:rPr>
              <w:t>每季度更换消毒剂类型，防止耐药菌产生。</w:t>
            </w:r>
          </w:p>
          <w:p w14:paraId="6A1F8010">
            <w:pPr>
              <w:rPr>
                <w:rFonts w:ascii="宋体" w:hAnsi="宋体" w:cs="宋体"/>
                <w:color w:val="auto"/>
                <w:kern w:val="0"/>
                <w:sz w:val="22"/>
                <w:highlight w:val="none"/>
              </w:rPr>
            </w:pPr>
            <w:r>
              <w:rPr>
                <w:rFonts w:hint="eastAsia" w:ascii="宋体" w:hAnsi="宋体" w:cs="宋体"/>
                <w:color w:val="auto"/>
                <w:kern w:val="0"/>
                <w:sz w:val="22"/>
                <w:highlight w:val="none"/>
              </w:rPr>
              <w:t>二、长期存放维护</w:t>
            </w:r>
          </w:p>
          <w:p w14:paraId="5580C9EA">
            <w:pPr>
              <w:rPr>
                <w:rFonts w:ascii="宋体" w:hAnsi="宋体" w:cs="宋体"/>
                <w:color w:val="auto"/>
                <w:kern w:val="0"/>
                <w:sz w:val="22"/>
                <w:highlight w:val="none"/>
              </w:rPr>
            </w:pPr>
            <w:r>
              <w:rPr>
                <w:rFonts w:hint="eastAsia" w:ascii="宋体" w:hAnsi="宋体" w:cs="宋体"/>
                <w:color w:val="auto"/>
                <w:kern w:val="0"/>
                <w:sz w:val="22"/>
                <w:highlight w:val="none"/>
              </w:rPr>
              <w:t>驱潮处理</w:t>
            </w:r>
          </w:p>
          <w:p w14:paraId="48CF099F">
            <w:pPr>
              <w:rPr>
                <w:rFonts w:ascii="宋体" w:hAnsi="宋体" w:cs="宋体"/>
                <w:color w:val="auto"/>
                <w:kern w:val="0"/>
                <w:sz w:val="22"/>
                <w:highlight w:val="none"/>
              </w:rPr>
            </w:pPr>
            <w:r>
              <w:rPr>
                <w:rFonts w:hint="eastAsia" w:ascii="宋体" w:hAnsi="宋体" w:cs="宋体"/>
                <w:color w:val="auto"/>
                <w:kern w:val="0"/>
                <w:sz w:val="22"/>
                <w:highlight w:val="none"/>
              </w:rPr>
              <w:t>清空积水盘，设定</w:t>
            </w:r>
            <w:r>
              <w:rPr>
                <w:rFonts w:ascii="宋体" w:hAnsi="宋体" w:cs="宋体"/>
                <w:color w:val="auto"/>
                <w:kern w:val="0"/>
                <w:sz w:val="22"/>
                <w:highlight w:val="none"/>
              </w:rPr>
              <w:t>42℃运行5小时，每隔2小时开门排潮，完成后断电。</w:t>
            </w:r>
          </w:p>
          <w:p w14:paraId="49B0FD04">
            <w:pPr>
              <w:rPr>
                <w:rFonts w:ascii="宋体" w:hAnsi="宋体" w:cs="宋体"/>
                <w:color w:val="auto"/>
                <w:kern w:val="0"/>
                <w:sz w:val="22"/>
                <w:highlight w:val="none"/>
              </w:rPr>
            </w:pPr>
            <w:r>
              <w:rPr>
                <w:rFonts w:hint="eastAsia" w:ascii="宋体" w:hAnsi="宋体" w:cs="宋体"/>
                <w:color w:val="auto"/>
                <w:kern w:val="0"/>
                <w:sz w:val="22"/>
                <w:highlight w:val="none"/>
              </w:rPr>
              <w:t>定期启动</w:t>
            </w:r>
          </w:p>
          <w:p w14:paraId="25E75DA5">
            <w:pPr>
              <w:rPr>
                <w:rFonts w:ascii="宋体" w:hAnsi="宋体" w:cs="宋体"/>
                <w:color w:val="auto"/>
                <w:kern w:val="0"/>
                <w:sz w:val="22"/>
                <w:highlight w:val="none"/>
              </w:rPr>
            </w:pPr>
            <w:r>
              <w:rPr>
                <w:rFonts w:hint="eastAsia" w:ascii="宋体" w:hAnsi="宋体" w:cs="宋体"/>
                <w:color w:val="auto"/>
                <w:kern w:val="0"/>
                <w:sz w:val="22"/>
                <w:highlight w:val="none"/>
              </w:rPr>
              <w:t>每季度通电运行</w:t>
            </w:r>
            <w:r>
              <w:rPr>
                <w:rFonts w:ascii="宋体" w:hAnsi="宋体" w:cs="宋体"/>
                <w:color w:val="auto"/>
                <w:kern w:val="0"/>
                <w:sz w:val="22"/>
                <w:highlight w:val="none"/>
              </w:rPr>
              <w:t>2-3天，驱除电器部件潮气。</w:t>
            </w:r>
          </w:p>
          <w:p w14:paraId="38003897">
            <w:pPr>
              <w:rPr>
                <w:rFonts w:ascii="宋体" w:hAnsi="宋体" w:cs="宋体"/>
                <w:color w:val="auto"/>
                <w:kern w:val="0"/>
                <w:sz w:val="22"/>
                <w:highlight w:val="none"/>
              </w:rPr>
            </w:pPr>
            <w:r>
              <w:rPr>
                <w:rFonts w:hint="eastAsia" w:ascii="宋体" w:hAnsi="宋体" w:cs="宋体"/>
                <w:color w:val="auto"/>
                <w:kern w:val="0"/>
                <w:sz w:val="22"/>
                <w:highlight w:val="none"/>
              </w:rPr>
              <w:t>三、故障处理与保养</w:t>
            </w:r>
          </w:p>
          <w:p w14:paraId="7B87D4CA">
            <w:pPr>
              <w:rPr>
                <w:rFonts w:ascii="宋体" w:hAnsi="宋体" w:cs="宋体"/>
                <w:color w:val="auto"/>
                <w:kern w:val="0"/>
                <w:sz w:val="22"/>
                <w:highlight w:val="none"/>
              </w:rPr>
            </w:pPr>
            <w:r>
              <w:rPr>
                <w:rFonts w:hint="eastAsia" w:ascii="宋体" w:hAnsi="宋体" w:cs="宋体"/>
                <w:color w:val="auto"/>
                <w:kern w:val="0"/>
                <w:sz w:val="22"/>
                <w:highlight w:val="none"/>
              </w:rPr>
              <w:t>常见问题</w:t>
            </w:r>
          </w:p>
          <w:p w14:paraId="24FB44B7">
            <w:pPr>
              <w:rPr>
                <w:rFonts w:ascii="宋体" w:hAnsi="宋体" w:cs="宋体"/>
                <w:color w:val="auto"/>
                <w:kern w:val="0"/>
                <w:sz w:val="22"/>
                <w:highlight w:val="none"/>
              </w:rPr>
            </w:pPr>
            <w:r>
              <w:rPr>
                <w:rFonts w:hint="eastAsia" w:ascii="宋体" w:hAnsi="宋体" w:cs="宋体"/>
                <w:color w:val="auto"/>
                <w:kern w:val="0"/>
                <w:sz w:val="22"/>
                <w:highlight w:val="none"/>
              </w:rPr>
              <w:t>异常报警</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：先检查电源、保险丝（</w:t>
            </w:r>
            <w:r>
              <w:rPr>
                <w:rFonts w:ascii="宋体" w:hAnsi="宋体" w:cs="宋体"/>
                <w:color w:val="auto"/>
                <w:kern w:val="0"/>
                <w:sz w:val="22"/>
                <w:highlight w:val="none"/>
              </w:rPr>
              <w:t>2A/8A型号分置于后部），再联系专业人员。</w:t>
            </w:r>
          </w:p>
          <w:p w14:paraId="5687F9B8">
            <w:pPr>
              <w:rPr>
                <w:rFonts w:ascii="宋体" w:hAnsi="宋体" w:cs="宋体"/>
                <w:color w:val="auto"/>
                <w:kern w:val="0"/>
                <w:sz w:val="22"/>
                <w:highlight w:val="none"/>
              </w:rPr>
            </w:pPr>
            <w:r>
              <w:rPr>
                <w:rFonts w:hint="eastAsia" w:ascii="宋体" w:hAnsi="宋体" w:cs="宋体"/>
                <w:color w:val="auto"/>
                <w:kern w:val="0"/>
                <w:sz w:val="22"/>
                <w:highlight w:val="none"/>
              </w:rPr>
              <w:t>不制冷</w:t>
            </w:r>
            <w:r>
              <w:rPr>
                <w:rFonts w:ascii="宋体" w:hAnsi="宋体" w:cs="宋体"/>
                <w:color w:val="auto"/>
                <w:kern w:val="0"/>
                <w:sz w:val="22"/>
                <w:highlight w:val="none"/>
              </w:rPr>
              <w:t xml:space="preserve">/加热 </w:t>
            </w:r>
            <w:r>
              <w:rPr>
                <w:rFonts w:hint="eastAsia" w:ascii="宋体" w:hAnsi="宋体" w:cs="宋体"/>
                <w:color w:val="auto"/>
                <w:kern w:val="0"/>
                <w:sz w:val="22"/>
                <w:highlight w:val="none"/>
              </w:rPr>
              <w:t>：检查压缩机</w:t>
            </w:r>
            <w:r>
              <w:rPr>
                <w:rFonts w:ascii="宋体" w:hAnsi="宋体" w:cs="宋体"/>
                <w:color w:val="auto"/>
                <w:kern w:val="0"/>
                <w:sz w:val="22"/>
                <w:highlight w:val="none"/>
              </w:rPr>
              <w:t>/加热器状态，确保散热器无灰尘堵塞。</w:t>
            </w:r>
          </w:p>
        </w:tc>
      </w:tr>
      <w:tr w14:paraId="7725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15615222">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马弗炉</w:t>
            </w:r>
          </w:p>
        </w:tc>
        <w:tc>
          <w:tcPr>
            <w:tcW w:w="8426" w:type="dxa"/>
          </w:tcPr>
          <w:p w14:paraId="5198AD94">
            <w:pPr>
              <w:rPr>
                <w:rFonts w:ascii="宋体" w:hAnsi="宋体" w:cs="宋体"/>
                <w:color w:val="auto"/>
                <w:kern w:val="0"/>
                <w:sz w:val="22"/>
                <w:highlight w:val="none"/>
              </w:rPr>
            </w:pPr>
            <w:r>
              <w:rPr>
                <w:rFonts w:hint="eastAsia" w:ascii="宋体" w:hAnsi="宋体" w:cs="宋体"/>
                <w:color w:val="auto"/>
                <w:kern w:val="0"/>
                <w:sz w:val="22"/>
                <w:highlight w:val="none"/>
              </w:rPr>
              <w:t>一、维护与保养流程</w:t>
            </w:r>
          </w:p>
          <w:p w14:paraId="6947EEB0">
            <w:pPr>
              <w:rPr>
                <w:rFonts w:ascii="宋体" w:hAnsi="宋体" w:cs="宋体"/>
                <w:color w:val="auto"/>
                <w:kern w:val="0"/>
                <w:sz w:val="22"/>
                <w:highlight w:val="none"/>
              </w:rPr>
            </w:pPr>
            <w:r>
              <w:rPr>
                <w:rFonts w:hint="eastAsia" w:ascii="宋体" w:hAnsi="宋体" w:cs="宋体"/>
                <w:color w:val="auto"/>
                <w:kern w:val="0"/>
                <w:sz w:val="22"/>
                <w:highlight w:val="none"/>
              </w:rPr>
              <w:t>清洁与检查</w:t>
            </w:r>
          </w:p>
          <w:p w14:paraId="079CD3AC">
            <w:pPr>
              <w:rPr>
                <w:rFonts w:ascii="宋体" w:hAnsi="宋体" w:cs="宋体"/>
                <w:color w:val="auto"/>
                <w:kern w:val="0"/>
                <w:sz w:val="22"/>
                <w:highlight w:val="none"/>
              </w:rPr>
            </w:pPr>
            <w:r>
              <w:rPr>
                <w:rFonts w:hint="eastAsia" w:ascii="宋体" w:hAnsi="宋体" w:cs="宋体"/>
                <w:color w:val="auto"/>
                <w:kern w:val="0"/>
                <w:sz w:val="22"/>
                <w:highlight w:val="none"/>
              </w:rPr>
              <w:t>炉膛清洁</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：每次使用后清除残留氧化物，每月深度清理一次。</w:t>
            </w:r>
          </w:p>
          <w:p w14:paraId="26711905">
            <w:pPr>
              <w:rPr>
                <w:rFonts w:ascii="宋体" w:hAnsi="宋体" w:cs="宋体"/>
                <w:color w:val="auto"/>
                <w:kern w:val="0"/>
                <w:sz w:val="22"/>
                <w:highlight w:val="none"/>
              </w:rPr>
            </w:pPr>
            <w:r>
              <w:rPr>
                <w:rFonts w:hint="eastAsia" w:ascii="宋体" w:hAnsi="宋体" w:cs="宋体"/>
                <w:color w:val="auto"/>
                <w:kern w:val="0"/>
                <w:sz w:val="22"/>
                <w:highlight w:val="none"/>
              </w:rPr>
              <w:t>表面清洁</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：每周用软布擦拭设备外壳，凹槽部位重点清理。</w:t>
            </w:r>
          </w:p>
          <w:p w14:paraId="5BD99CBF">
            <w:pPr>
              <w:rPr>
                <w:rFonts w:ascii="宋体" w:hAnsi="宋体" w:cs="宋体"/>
                <w:color w:val="auto"/>
                <w:kern w:val="0"/>
                <w:sz w:val="22"/>
                <w:highlight w:val="none"/>
              </w:rPr>
            </w:pPr>
            <w:r>
              <w:rPr>
                <w:rFonts w:hint="eastAsia" w:ascii="宋体" w:hAnsi="宋体" w:cs="宋体"/>
                <w:color w:val="auto"/>
                <w:kern w:val="0"/>
                <w:sz w:val="22"/>
                <w:highlight w:val="none"/>
              </w:rPr>
              <w:t>元件与接线检查</w:t>
            </w:r>
          </w:p>
          <w:p w14:paraId="465F339D">
            <w:pPr>
              <w:rPr>
                <w:rFonts w:ascii="宋体" w:hAnsi="宋体" w:cs="宋体"/>
                <w:color w:val="auto"/>
                <w:kern w:val="0"/>
                <w:sz w:val="22"/>
                <w:highlight w:val="none"/>
              </w:rPr>
            </w:pPr>
            <w:r>
              <w:rPr>
                <w:rFonts w:hint="eastAsia" w:ascii="宋体" w:hAnsi="宋体" w:cs="宋体"/>
                <w:color w:val="auto"/>
                <w:kern w:val="0"/>
                <w:sz w:val="22"/>
                <w:highlight w:val="none"/>
              </w:rPr>
              <w:t>每月检查电炉丝、硅碳棒</w:t>
            </w:r>
            <w:r>
              <w:rPr>
                <w:rFonts w:ascii="宋体" w:hAnsi="宋体" w:cs="宋体"/>
                <w:color w:val="auto"/>
                <w:kern w:val="0"/>
                <w:sz w:val="22"/>
                <w:highlight w:val="none"/>
              </w:rPr>
              <w:t>/硅钼棒连接是否牢固，发现断裂需整体更换。</w:t>
            </w:r>
          </w:p>
          <w:p w14:paraId="4D4BDAE9">
            <w:pPr>
              <w:rPr>
                <w:rFonts w:ascii="宋体" w:hAnsi="宋体" w:cs="宋体"/>
                <w:color w:val="auto"/>
                <w:kern w:val="0"/>
                <w:sz w:val="22"/>
                <w:highlight w:val="none"/>
              </w:rPr>
            </w:pPr>
            <w:r>
              <w:rPr>
                <w:rFonts w:hint="eastAsia" w:ascii="宋体" w:hAnsi="宋体" w:cs="宋体"/>
                <w:color w:val="auto"/>
                <w:kern w:val="0"/>
                <w:sz w:val="22"/>
                <w:highlight w:val="none"/>
              </w:rPr>
              <w:t>定期检查热电偶接线，确保金属保护管良好接地以减少显示误差。</w:t>
            </w:r>
          </w:p>
          <w:p w14:paraId="721A046B">
            <w:pPr>
              <w:rPr>
                <w:rFonts w:ascii="宋体" w:hAnsi="宋体" w:cs="宋体"/>
                <w:color w:val="auto"/>
                <w:kern w:val="0"/>
                <w:sz w:val="22"/>
                <w:highlight w:val="none"/>
              </w:rPr>
            </w:pPr>
            <w:r>
              <w:rPr>
                <w:rFonts w:hint="eastAsia" w:ascii="宋体" w:hAnsi="宋体" w:cs="宋体"/>
                <w:color w:val="auto"/>
                <w:kern w:val="0"/>
                <w:sz w:val="22"/>
                <w:highlight w:val="none"/>
              </w:rPr>
              <w:t>维护周期</w:t>
            </w:r>
          </w:p>
          <w:p w14:paraId="6B286CA9">
            <w:pPr>
              <w:rPr>
                <w:rFonts w:ascii="宋体" w:hAnsi="宋体" w:cs="宋体"/>
                <w:color w:val="auto"/>
                <w:kern w:val="0"/>
                <w:sz w:val="22"/>
                <w:highlight w:val="none"/>
              </w:rPr>
            </w:pPr>
            <w:r>
              <w:rPr>
                <w:rFonts w:hint="eastAsia" w:ascii="宋体" w:hAnsi="宋体" w:cs="宋体"/>
                <w:color w:val="auto"/>
                <w:kern w:val="0"/>
                <w:sz w:val="22"/>
                <w:highlight w:val="none"/>
              </w:rPr>
              <w:t>日常清洁：每次使用后。</w:t>
            </w:r>
          </w:p>
          <w:p w14:paraId="08DD8FE6">
            <w:pPr>
              <w:rPr>
                <w:rFonts w:ascii="宋体" w:hAnsi="宋体" w:cs="宋体"/>
                <w:color w:val="auto"/>
                <w:kern w:val="0"/>
                <w:sz w:val="22"/>
                <w:highlight w:val="none"/>
              </w:rPr>
            </w:pPr>
            <w:r>
              <w:rPr>
                <w:rFonts w:hint="eastAsia" w:ascii="宋体" w:hAnsi="宋体" w:cs="宋体"/>
                <w:color w:val="auto"/>
                <w:kern w:val="0"/>
                <w:sz w:val="22"/>
                <w:highlight w:val="none"/>
              </w:rPr>
              <w:t>月度维护：清洁炉膛、检查接线。</w:t>
            </w:r>
          </w:p>
          <w:p w14:paraId="36E631D0">
            <w:pPr>
              <w:rPr>
                <w:rFonts w:ascii="宋体" w:hAnsi="宋体" w:cs="宋体"/>
                <w:color w:val="auto"/>
                <w:kern w:val="0"/>
                <w:sz w:val="22"/>
                <w:highlight w:val="none"/>
              </w:rPr>
            </w:pPr>
            <w:r>
              <w:rPr>
                <w:rFonts w:hint="eastAsia" w:ascii="宋体" w:hAnsi="宋体" w:cs="宋体"/>
                <w:color w:val="auto"/>
                <w:kern w:val="0"/>
                <w:sz w:val="22"/>
                <w:highlight w:val="none"/>
              </w:rPr>
              <w:t>年度保养：全面检测加热元件及控制器精度。</w:t>
            </w:r>
          </w:p>
          <w:p w14:paraId="3811C870">
            <w:pPr>
              <w:rPr>
                <w:rFonts w:ascii="宋体" w:hAnsi="宋体" w:cs="宋体"/>
                <w:color w:val="auto"/>
                <w:kern w:val="0"/>
                <w:sz w:val="22"/>
                <w:highlight w:val="none"/>
              </w:rPr>
            </w:pPr>
            <w:r>
              <w:rPr>
                <w:rFonts w:hint="eastAsia" w:ascii="宋体" w:hAnsi="宋体" w:cs="宋体"/>
                <w:color w:val="auto"/>
                <w:kern w:val="0"/>
                <w:sz w:val="22"/>
                <w:highlight w:val="none"/>
              </w:rPr>
              <w:t>二、安全操作规程</w:t>
            </w:r>
          </w:p>
          <w:p w14:paraId="1D433C4B">
            <w:pPr>
              <w:rPr>
                <w:rFonts w:ascii="宋体" w:hAnsi="宋体" w:cs="宋体"/>
                <w:color w:val="auto"/>
                <w:kern w:val="0"/>
                <w:sz w:val="22"/>
                <w:highlight w:val="none"/>
              </w:rPr>
            </w:pPr>
            <w:r>
              <w:rPr>
                <w:rFonts w:hint="eastAsia" w:ascii="宋体" w:hAnsi="宋体" w:cs="宋体"/>
                <w:color w:val="auto"/>
                <w:kern w:val="0"/>
                <w:sz w:val="22"/>
                <w:highlight w:val="none"/>
              </w:rPr>
              <w:t>操作防护</w:t>
            </w:r>
          </w:p>
          <w:p w14:paraId="376CC74A">
            <w:pPr>
              <w:rPr>
                <w:rFonts w:ascii="宋体" w:hAnsi="宋体" w:cs="宋体"/>
                <w:color w:val="auto"/>
                <w:kern w:val="0"/>
                <w:sz w:val="22"/>
                <w:highlight w:val="none"/>
              </w:rPr>
            </w:pPr>
            <w:r>
              <w:rPr>
                <w:rFonts w:hint="eastAsia" w:ascii="宋体" w:hAnsi="宋体" w:cs="宋体"/>
                <w:color w:val="auto"/>
                <w:kern w:val="0"/>
                <w:sz w:val="22"/>
                <w:highlight w:val="none"/>
              </w:rPr>
              <w:t>装样</w:t>
            </w:r>
            <w:r>
              <w:rPr>
                <w:rFonts w:ascii="宋体" w:hAnsi="宋体" w:cs="宋体"/>
                <w:color w:val="auto"/>
                <w:kern w:val="0"/>
                <w:sz w:val="22"/>
                <w:highlight w:val="none"/>
              </w:rPr>
              <w:t>/取样时必须断电，戴隔热手套，避免烫伤。</w:t>
            </w:r>
          </w:p>
          <w:p w14:paraId="632624A4">
            <w:pPr>
              <w:rPr>
                <w:rFonts w:ascii="宋体" w:hAnsi="宋体" w:cs="宋体"/>
                <w:color w:val="auto"/>
                <w:kern w:val="0"/>
                <w:sz w:val="22"/>
                <w:highlight w:val="none"/>
              </w:rPr>
            </w:pPr>
            <w:r>
              <w:rPr>
                <w:rFonts w:hint="eastAsia" w:ascii="宋体" w:hAnsi="宋体" w:cs="宋体"/>
                <w:color w:val="auto"/>
                <w:kern w:val="0"/>
                <w:sz w:val="22"/>
                <w:highlight w:val="none"/>
              </w:rPr>
              <w:t>样品应置于炉膛中心，摆放整齐，避免触碰炉壁。</w:t>
            </w:r>
          </w:p>
          <w:p w14:paraId="4958A1B6">
            <w:pPr>
              <w:rPr>
                <w:rFonts w:ascii="宋体" w:hAnsi="宋体" w:cs="宋体"/>
                <w:color w:val="auto"/>
                <w:kern w:val="0"/>
                <w:sz w:val="22"/>
                <w:highlight w:val="none"/>
              </w:rPr>
            </w:pPr>
            <w:r>
              <w:rPr>
                <w:rFonts w:hint="eastAsia" w:ascii="宋体" w:hAnsi="宋体" w:cs="宋体"/>
                <w:color w:val="auto"/>
                <w:kern w:val="0"/>
                <w:sz w:val="22"/>
                <w:highlight w:val="none"/>
              </w:rPr>
              <w:t>异常处理</w:t>
            </w:r>
          </w:p>
          <w:p w14:paraId="68409FCD">
            <w:pPr>
              <w:rPr>
                <w:rFonts w:ascii="宋体" w:hAnsi="宋体" w:cs="宋体"/>
                <w:color w:val="auto"/>
                <w:kern w:val="0"/>
                <w:sz w:val="22"/>
                <w:highlight w:val="none"/>
              </w:rPr>
            </w:pPr>
            <w:r>
              <w:rPr>
                <w:rFonts w:hint="eastAsia" w:ascii="宋体" w:hAnsi="宋体" w:cs="宋体"/>
                <w:color w:val="auto"/>
                <w:kern w:val="0"/>
                <w:sz w:val="22"/>
                <w:highlight w:val="none"/>
              </w:rPr>
              <w:t>升温缓慢或炉膛亮度不均：检查加热元件是否老化，需更换整套炉丝。</w:t>
            </w:r>
          </w:p>
          <w:p w14:paraId="123F6FC4">
            <w:pPr>
              <w:rPr>
                <w:rFonts w:ascii="宋体" w:hAnsi="宋体" w:cs="宋体"/>
                <w:color w:val="auto"/>
                <w:kern w:val="0"/>
                <w:sz w:val="22"/>
                <w:highlight w:val="none"/>
              </w:rPr>
            </w:pPr>
            <w:r>
              <w:rPr>
                <w:rFonts w:hint="eastAsia" w:ascii="宋体" w:hAnsi="宋体" w:cs="宋体"/>
                <w:color w:val="auto"/>
                <w:kern w:val="0"/>
                <w:sz w:val="22"/>
                <w:highlight w:val="none"/>
              </w:rPr>
              <w:t>控制器显示异常：检查热电偶极性是否接反或线路接触不良。</w:t>
            </w:r>
          </w:p>
          <w:p w14:paraId="26AF6216">
            <w:pPr>
              <w:rPr>
                <w:rFonts w:ascii="宋体" w:hAnsi="宋体" w:cs="宋体"/>
                <w:color w:val="auto"/>
                <w:kern w:val="0"/>
                <w:sz w:val="22"/>
                <w:highlight w:val="none"/>
              </w:rPr>
            </w:pPr>
            <w:r>
              <w:rPr>
                <w:rFonts w:hint="eastAsia" w:ascii="宋体" w:hAnsi="宋体" w:cs="宋体"/>
                <w:color w:val="auto"/>
                <w:kern w:val="0"/>
                <w:sz w:val="22"/>
                <w:highlight w:val="none"/>
              </w:rPr>
              <w:t>四、特殊元件维护（硅碳棒</w:t>
            </w:r>
            <w:r>
              <w:rPr>
                <w:rFonts w:ascii="宋体" w:hAnsi="宋体" w:cs="宋体"/>
                <w:color w:val="auto"/>
                <w:kern w:val="0"/>
                <w:sz w:val="22"/>
                <w:highlight w:val="none"/>
              </w:rPr>
              <w:t>/硅钼棒）</w:t>
            </w:r>
          </w:p>
          <w:p w14:paraId="31529C17">
            <w:pPr>
              <w:rPr>
                <w:rFonts w:ascii="宋体" w:hAnsi="宋体" w:cs="宋体"/>
                <w:color w:val="auto"/>
                <w:kern w:val="0"/>
                <w:sz w:val="22"/>
                <w:highlight w:val="none"/>
              </w:rPr>
            </w:pPr>
            <w:r>
              <w:rPr>
                <w:rFonts w:hint="eastAsia" w:ascii="宋体" w:hAnsi="宋体" w:cs="宋体"/>
                <w:color w:val="auto"/>
                <w:kern w:val="0"/>
                <w:sz w:val="22"/>
                <w:highlight w:val="none"/>
              </w:rPr>
              <w:t>硅碳棒需定期紧固卡子，避免接触水蒸气或氯气。</w:t>
            </w:r>
          </w:p>
          <w:p w14:paraId="493AFDBD">
            <w:pPr>
              <w:rPr>
                <w:rFonts w:ascii="宋体" w:hAnsi="宋体" w:cs="宋体"/>
                <w:color w:val="auto"/>
                <w:kern w:val="0"/>
                <w:sz w:val="22"/>
                <w:highlight w:val="none"/>
              </w:rPr>
            </w:pPr>
            <w:r>
              <w:rPr>
                <w:rFonts w:hint="eastAsia" w:ascii="宋体" w:hAnsi="宋体" w:cs="宋体"/>
                <w:color w:val="auto"/>
                <w:kern w:val="0"/>
                <w:sz w:val="22"/>
                <w:highlight w:val="none"/>
              </w:rPr>
              <w:t>硅钼棒禁止在还原性气氛（如氢气）中使用，高温下避免骤冷骤热。</w:t>
            </w:r>
          </w:p>
        </w:tc>
      </w:tr>
      <w:tr w14:paraId="2F36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6606F20A">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磁力加热搅拌器</w:t>
            </w:r>
          </w:p>
        </w:tc>
        <w:tc>
          <w:tcPr>
            <w:tcW w:w="8426" w:type="dxa"/>
          </w:tcPr>
          <w:p w14:paraId="338053A8">
            <w:pPr>
              <w:rPr>
                <w:rFonts w:ascii="宋体" w:hAnsi="宋体" w:cs="宋体"/>
                <w:color w:val="auto"/>
                <w:kern w:val="0"/>
                <w:sz w:val="22"/>
                <w:highlight w:val="none"/>
              </w:rPr>
            </w:pPr>
            <w:r>
              <w:rPr>
                <w:rFonts w:hint="eastAsia" w:ascii="宋体" w:hAnsi="宋体" w:cs="宋体"/>
                <w:color w:val="auto"/>
                <w:kern w:val="0"/>
                <w:sz w:val="22"/>
                <w:highlight w:val="none"/>
              </w:rPr>
              <w:t>一、核心部件维护</w:t>
            </w:r>
          </w:p>
          <w:p w14:paraId="5D162EB1">
            <w:pPr>
              <w:rPr>
                <w:rFonts w:ascii="宋体" w:hAnsi="宋体" w:cs="宋体"/>
                <w:color w:val="auto"/>
                <w:kern w:val="0"/>
                <w:sz w:val="22"/>
                <w:highlight w:val="none"/>
              </w:rPr>
            </w:pPr>
            <w:r>
              <w:rPr>
                <w:rFonts w:hint="eastAsia" w:ascii="宋体" w:hAnsi="宋体" w:cs="宋体"/>
                <w:color w:val="auto"/>
                <w:kern w:val="0"/>
                <w:sz w:val="22"/>
                <w:highlight w:val="none"/>
              </w:rPr>
              <w:t>磁力搅拌子</w:t>
            </w:r>
          </w:p>
          <w:p w14:paraId="370A3443">
            <w:pPr>
              <w:rPr>
                <w:rFonts w:ascii="宋体" w:hAnsi="宋体" w:cs="宋体"/>
                <w:color w:val="auto"/>
                <w:kern w:val="0"/>
                <w:sz w:val="22"/>
                <w:highlight w:val="none"/>
              </w:rPr>
            </w:pPr>
            <w:r>
              <w:rPr>
                <w:rFonts w:hint="eastAsia" w:ascii="宋体" w:hAnsi="宋体" w:cs="宋体"/>
                <w:color w:val="auto"/>
                <w:kern w:val="0"/>
                <w:sz w:val="22"/>
                <w:highlight w:val="none"/>
              </w:rPr>
              <w:t>避免碰撞硬物，定期检查磁力强度及表面磨损，磁力减弱或划痕严重需更换。</w:t>
            </w:r>
          </w:p>
          <w:p w14:paraId="1D83C0C3">
            <w:pPr>
              <w:rPr>
                <w:rFonts w:ascii="宋体" w:hAnsi="宋体" w:cs="宋体"/>
                <w:color w:val="auto"/>
                <w:kern w:val="0"/>
                <w:sz w:val="22"/>
                <w:highlight w:val="none"/>
              </w:rPr>
            </w:pPr>
            <w:r>
              <w:rPr>
                <w:rFonts w:hint="eastAsia" w:ascii="宋体" w:hAnsi="宋体" w:cs="宋体"/>
                <w:color w:val="auto"/>
                <w:kern w:val="0"/>
                <w:sz w:val="22"/>
                <w:highlight w:val="none"/>
              </w:rPr>
              <w:t>清洗时用中和液浸泡后清水冲洗，塑料包膜破损需换新。</w:t>
            </w:r>
          </w:p>
          <w:p w14:paraId="6286CB2F">
            <w:pPr>
              <w:rPr>
                <w:rFonts w:ascii="宋体" w:hAnsi="宋体" w:cs="宋体"/>
                <w:color w:val="auto"/>
                <w:kern w:val="0"/>
                <w:sz w:val="22"/>
                <w:highlight w:val="none"/>
              </w:rPr>
            </w:pPr>
            <w:r>
              <w:rPr>
                <w:rFonts w:hint="eastAsia" w:ascii="宋体" w:hAnsi="宋体" w:cs="宋体"/>
                <w:color w:val="auto"/>
                <w:kern w:val="0"/>
                <w:sz w:val="22"/>
                <w:highlight w:val="none"/>
              </w:rPr>
              <w:t>加热盘维护</w:t>
            </w:r>
          </w:p>
          <w:p w14:paraId="682DBBD0">
            <w:pPr>
              <w:rPr>
                <w:rFonts w:ascii="宋体" w:hAnsi="宋体" w:cs="宋体"/>
                <w:color w:val="auto"/>
                <w:kern w:val="0"/>
                <w:sz w:val="22"/>
                <w:highlight w:val="none"/>
              </w:rPr>
            </w:pPr>
            <w:r>
              <w:rPr>
                <w:rFonts w:hint="eastAsia" w:ascii="宋体" w:hAnsi="宋体" w:cs="宋体"/>
                <w:color w:val="auto"/>
                <w:kern w:val="0"/>
                <w:sz w:val="22"/>
                <w:highlight w:val="none"/>
              </w:rPr>
              <w:t>清除表面残留物，避免放置超重或不平衡容器导致变形。</w:t>
            </w:r>
          </w:p>
          <w:p w14:paraId="3D8B106D">
            <w:pPr>
              <w:rPr>
                <w:rFonts w:ascii="宋体" w:hAnsi="宋体" w:cs="宋体"/>
                <w:color w:val="auto"/>
                <w:kern w:val="0"/>
                <w:sz w:val="22"/>
                <w:highlight w:val="none"/>
              </w:rPr>
            </w:pPr>
            <w:r>
              <w:rPr>
                <w:rFonts w:hint="eastAsia" w:ascii="宋体" w:hAnsi="宋体" w:cs="宋体"/>
                <w:color w:val="auto"/>
                <w:kern w:val="0"/>
                <w:sz w:val="22"/>
                <w:highlight w:val="none"/>
              </w:rPr>
              <w:t>禁止干烧，加热结束后先关闭加热功能，待降温后再关搅拌。</w:t>
            </w:r>
          </w:p>
          <w:p w14:paraId="1B01F4B9">
            <w:pPr>
              <w:rPr>
                <w:rFonts w:ascii="宋体" w:hAnsi="宋体" w:cs="宋体"/>
                <w:color w:val="auto"/>
                <w:kern w:val="0"/>
                <w:sz w:val="22"/>
                <w:highlight w:val="none"/>
              </w:rPr>
            </w:pPr>
            <w:r>
              <w:rPr>
                <w:rFonts w:hint="eastAsia" w:ascii="宋体" w:hAnsi="宋体" w:cs="宋体"/>
                <w:color w:val="auto"/>
                <w:kern w:val="0"/>
                <w:sz w:val="22"/>
                <w:highlight w:val="none"/>
              </w:rPr>
              <w:t>电机保护</w:t>
            </w:r>
          </w:p>
          <w:p w14:paraId="35162FDB">
            <w:pPr>
              <w:rPr>
                <w:rFonts w:ascii="宋体" w:hAnsi="宋体" w:cs="宋体"/>
                <w:color w:val="auto"/>
                <w:kern w:val="0"/>
                <w:sz w:val="22"/>
                <w:highlight w:val="none"/>
              </w:rPr>
            </w:pPr>
            <w:r>
              <w:rPr>
                <w:rFonts w:hint="eastAsia" w:ascii="宋体" w:hAnsi="宋体" w:cs="宋体"/>
                <w:color w:val="auto"/>
                <w:kern w:val="0"/>
                <w:sz w:val="22"/>
                <w:highlight w:val="none"/>
              </w:rPr>
              <w:t>定期用软布清洁电机外部灰尘，防止液体渗入引发短路。</w:t>
            </w:r>
          </w:p>
        </w:tc>
      </w:tr>
      <w:tr w14:paraId="6B0A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5E75EBCA">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超低温冰箱</w:t>
            </w:r>
          </w:p>
        </w:tc>
        <w:tc>
          <w:tcPr>
            <w:tcW w:w="8426" w:type="dxa"/>
          </w:tcPr>
          <w:p w14:paraId="6CE39B5E">
            <w:pPr>
              <w:rPr>
                <w:rFonts w:ascii="宋体" w:hAnsi="宋体" w:cs="宋体"/>
                <w:color w:val="auto"/>
                <w:kern w:val="0"/>
                <w:sz w:val="22"/>
                <w:highlight w:val="none"/>
              </w:rPr>
            </w:pPr>
            <w:r>
              <w:rPr>
                <w:rFonts w:hint="eastAsia" w:ascii="宋体" w:hAnsi="宋体" w:cs="宋体"/>
                <w:color w:val="auto"/>
                <w:kern w:val="0"/>
                <w:sz w:val="22"/>
                <w:highlight w:val="none"/>
              </w:rPr>
              <w:t>一、清洁与消毒</w:t>
            </w:r>
          </w:p>
          <w:p w14:paraId="72CC5011">
            <w:pPr>
              <w:rPr>
                <w:rFonts w:ascii="宋体" w:hAnsi="宋体" w:cs="宋体"/>
                <w:color w:val="auto"/>
                <w:kern w:val="0"/>
                <w:sz w:val="22"/>
                <w:highlight w:val="none"/>
              </w:rPr>
            </w:pPr>
            <w:r>
              <w:rPr>
                <w:rFonts w:hint="eastAsia" w:ascii="宋体" w:hAnsi="宋体" w:cs="宋体"/>
                <w:color w:val="auto"/>
                <w:kern w:val="0"/>
                <w:sz w:val="22"/>
                <w:highlight w:val="none"/>
              </w:rPr>
              <w:t>表面清洁</w:t>
            </w:r>
          </w:p>
          <w:p w14:paraId="2328A42C">
            <w:pPr>
              <w:rPr>
                <w:rFonts w:ascii="宋体" w:hAnsi="宋体" w:cs="宋体"/>
                <w:color w:val="auto"/>
                <w:kern w:val="0"/>
                <w:sz w:val="22"/>
                <w:highlight w:val="none"/>
              </w:rPr>
            </w:pPr>
            <w:r>
              <w:rPr>
                <w:rFonts w:hint="eastAsia" w:ascii="宋体" w:hAnsi="宋体" w:cs="宋体"/>
                <w:color w:val="auto"/>
                <w:kern w:val="0"/>
                <w:sz w:val="22"/>
                <w:highlight w:val="none"/>
              </w:rPr>
              <w:t>断电后使用中性清洁剂擦拭内外表面，严禁直接冲洗或使用腐蚀性试剂。</w:t>
            </w:r>
          </w:p>
          <w:p w14:paraId="692EF988">
            <w:pPr>
              <w:rPr>
                <w:rFonts w:ascii="宋体" w:hAnsi="宋体" w:cs="宋体"/>
                <w:color w:val="auto"/>
                <w:kern w:val="0"/>
                <w:sz w:val="22"/>
                <w:highlight w:val="none"/>
              </w:rPr>
            </w:pPr>
            <w:r>
              <w:rPr>
                <w:rFonts w:hint="eastAsia" w:ascii="宋体" w:hAnsi="宋体" w:cs="宋体"/>
                <w:color w:val="auto"/>
                <w:kern w:val="0"/>
                <w:sz w:val="22"/>
                <w:highlight w:val="none"/>
              </w:rPr>
              <w:t>门封条和内侧积霜需定期用除霜铲清理，并用干布擦净。</w:t>
            </w:r>
          </w:p>
          <w:p w14:paraId="4A27D689">
            <w:pPr>
              <w:rPr>
                <w:rFonts w:ascii="宋体" w:hAnsi="宋体" w:cs="宋体"/>
                <w:color w:val="auto"/>
                <w:kern w:val="0"/>
                <w:sz w:val="22"/>
                <w:highlight w:val="none"/>
              </w:rPr>
            </w:pPr>
            <w:r>
              <w:rPr>
                <w:rFonts w:hint="eastAsia" w:ascii="宋体" w:hAnsi="宋体" w:cs="宋体"/>
                <w:color w:val="auto"/>
                <w:kern w:val="0"/>
                <w:sz w:val="22"/>
                <w:highlight w:val="none"/>
              </w:rPr>
              <w:t>部件维护</w:t>
            </w:r>
          </w:p>
          <w:p w14:paraId="755E1078">
            <w:pPr>
              <w:rPr>
                <w:rFonts w:ascii="宋体" w:hAnsi="宋体" w:cs="宋体"/>
                <w:color w:val="auto"/>
                <w:kern w:val="0"/>
                <w:sz w:val="22"/>
                <w:highlight w:val="none"/>
              </w:rPr>
            </w:pPr>
            <w:r>
              <w:rPr>
                <w:rFonts w:hint="eastAsia" w:ascii="宋体" w:hAnsi="宋体" w:cs="宋体"/>
                <w:color w:val="auto"/>
                <w:kern w:val="0"/>
                <w:sz w:val="22"/>
                <w:highlight w:val="none"/>
              </w:rPr>
              <w:t>每月清洗滤网（清水冲洗后甩干复位）。</w:t>
            </w:r>
          </w:p>
          <w:p w14:paraId="34AACF78">
            <w:pPr>
              <w:rPr>
                <w:rFonts w:ascii="宋体" w:hAnsi="宋体" w:cs="宋体"/>
                <w:color w:val="auto"/>
                <w:kern w:val="0"/>
                <w:sz w:val="22"/>
                <w:highlight w:val="none"/>
              </w:rPr>
            </w:pPr>
            <w:r>
              <w:rPr>
                <w:rFonts w:hint="eastAsia" w:ascii="宋体" w:hAnsi="宋体" w:cs="宋体"/>
                <w:color w:val="auto"/>
                <w:kern w:val="0"/>
                <w:sz w:val="22"/>
                <w:highlight w:val="none"/>
              </w:rPr>
              <w:t>每两个月用软刷清除冷凝器灰尘，确保散热效果。</w:t>
            </w:r>
          </w:p>
          <w:p w14:paraId="17E5FC72">
            <w:pPr>
              <w:rPr>
                <w:rFonts w:ascii="宋体" w:hAnsi="宋体" w:cs="宋体"/>
                <w:color w:val="auto"/>
                <w:kern w:val="0"/>
                <w:sz w:val="22"/>
                <w:highlight w:val="none"/>
              </w:rPr>
            </w:pPr>
            <w:r>
              <w:rPr>
                <w:rFonts w:hint="eastAsia" w:ascii="宋体" w:hAnsi="宋体" w:cs="宋体"/>
                <w:color w:val="auto"/>
                <w:kern w:val="0"/>
                <w:sz w:val="22"/>
                <w:highlight w:val="none"/>
              </w:rPr>
              <w:t>二、定期检查与维护</w:t>
            </w:r>
          </w:p>
          <w:p w14:paraId="6D1270B0">
            <w:pPr>
              <w:rPr>
                <w:rFonts w:ascii="宋体" w:hAnsi="宋体" w:cs="宋体"/>
                <w:color w:val="auto"/>
                <w:kern w:val="0"/>
                <w:sz w:val="22"/>
                <w:highlight w:val="none"/>
              </w:rPr>
            </w:pPr>
            <w:r>
              <w:rPr>
                <w:rFonts w:hint="eastAsia" w:ascii="宋体" w:hAnsi="宋体" w:cs="宋体"/>
                <w:color w:val="auto"/>
                <w:kern w:val="0"/>
                <w:sz w:val="22"/>
                <w:highlight w:val="none"/>
              </w:rPr>
              <w:t>基础检查</w:t>
            </w:r>
          </w:p>
          <w:p w14:paraId="7779F084">
            <w:pPr>
              <w:rPr>
                <w:rFonts w:ascii="宋体" w:hAnsi="宋体" w:cs="宋体"/>
                <w:color w:val="auto"/>
                <w:kern w:val="0"/>
                <w:sz w:val="22"/>
                <w:highlight w:val="none"/>
              </w:rPr>
            </w:pPr>
            <w:r>
              <w:rPr>
                <w:rFonts w:hint="eastAsia" w:ascii="宋体" w:hAnsi="宋体" w:cs="宋体"/>
                <w:color w:val="auto"/>
                <w:kern w:val="0"/>
                <w:sz w:val="22"/>
                <w:highlight w:val="none"/>
              </w:rPr>
              <w:t>每月检查电源线路、接地线是否牢固，排查裸露或破损。</w:t>
            </w:r>
          </w:p>
          <w:p w14:paraId="1C0CFD67">
            <w:pPr>
              <w:rPr>
                <w:rFonts w:ascii="宋体" w:hAnsi="宋体" w:cs="宋体"/>
                <w:color w:val="auto"/>
                <w:kern w:val="0"/>
                <w:sz w:val="22"/>
                <w:highlight w:val="none"/>
              </w:rPr>
            </w:pPr>
            <w:r>
              <w:rPr>
                <w:rFonts w:hint="eastAsia" w:ascii="宋体" w:hAnsi="宋体" w:cs="宋体"/>
                <w:color w:val="auto"/>
                <w:kern w:val="0"/>
                <w:sz w:val="22"/>
                <w:highlight w:val="none"/>
              </w:rPr>
              <w:t>每季度清理设备外部灰尘，检查密封条老化情况并及时更换。</w:t>
            </w:r>
          </w:p>
          <w:p w14:paraId="39621F3A">
            <w:pPr>
              <w:rPr>
                <w:rFonts w:ascii="宋体" w:hAnsi="宋体" w:cs="宋体"/>
                <w:color w:val="auto"/>
                <w:kern w:val="0"/>
                <w:sz w:val="22"/>
                <w:highlight w:val="none"/>
              </w:rPr>
            </w:pPr>
            <w:r>
              <w:rPr>
                <w:rFonts w:hint="eastAsia" w:ascii="宋体" w:hAnsi="宋体" w:cs="宋体"/>
                <w:color w:val="auto"/>
                <w:kern w:val="0"/>
                <w:sz w:val="22"/>
                <w:highlight w:val="none"/>
              </w:rPr>
              <w:t>系统维护</w:t>
            </w:r>
          </w:p>
          <w:p w14:paraId="0454C080">
            <w:pPr>
              <w:rPr>
                <w:rFonts w:ascii="宋体" w:hAnsi="宋体" w:cs="宋体"/>
                <w:color w:val="auto"/>
                <w:kern w:val="0"/>
                <w:sz w:val="22"/>
                <w:highlight w:val="none"/>
              </w:rPr>
            </w:pPr>
            <w:r>
              <w:rPr>
                <w:rFonts w:hint="eastAsia" w:ascii="宋体" w:hAnsi="宋体" w:cs="宋体"/>
                <w:color w:val="auto"/>
                <w:kern w:val="0"/>
                <w:sz w:val="22"/>
                <w:highlight w:val="none"/>
              </w:rPr>
              <w:t>每半年检查制冷系统（冷凝器、压缩机等），确保运行正常。</w:t>
            </w:r>
          </w:p>
          <w:p w14:paraId="4269AC77">
            <w:pPr>
              <w:rPr>
                <w:rFonts w:ascii="宋体" w:hAnsi="宋体" w:cs="宋体"/>
                <w:color w:val="auto"/>
                <w:kern w:val="0"/>
                <w:sz w:val="22"/>
                <w:highlight w:val="none"/>
              </w:rPr>
            </w:pPr>
            <w:r>
              <w:rPr>
                <w:rFonts w:hint="eastAsia" w:ascii="宋体" w:hAnsi="宋体" w:cs="宋体"/>
                <w:color w:val="auto"/>
                <w:kern w:val="0"/>
                <w:sz w:val="22"/>
                <w:highlight w:val="none"/>
              </w:rPr>
              <w:t>每年对温度控制系统、报警功能进行全面检测。</w:t>
            </w:r>
          </w:p>
        </w:tc>
      </w:tr>
      <w:tr w14:paraId="58E4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tcPr>
          <w:p w14:paraId="016234DC">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酸度计</w:t>
            </w:r>
          </w:p>
        </w:tc>
        <w:tc>
          <w:tcPr>
            <w:tcW w:w="8426" w:type="dxa"/>
          </w:tcPr>
          <w:p w14:paraId="2F9291F2">
            <w:pPr>
              <w:rPr>
                <w:rFonts w:ascii="宋体" w:hAnsi="宋体" w:cs="宋体"/>
                <w:color w:val="auto"/>
                <w:kern w:val="0"/>
                <w:sz w:val="22"/>
                <w:highlight w:val="none"/>
              </w:rPr>
            </w:pPr>
            <w:r>
              <w:rPr>
                <w:rFonts w:hint="eastAsia" w:ascii="宋体" w:hAnsi="宋体" w:cs="宋体"/>
                <w:color w:val="auto"/>
                <w:kern w:val="0"/>
                <w:sz w:val="22"/>
                <w:highlight w:val="none"/>
              </w:rPr>
              <w:t>一、校准维护</w:t>
            </w:r>
          </w:p>
          <w:p w14:paraId="24F5C955">
            <w:pPr>
              <w:rPr>
                <w:rFonts w:ascii="宋体" w:hAnsi="宋体" w:cs="宋体"/>
                <w:color w:val="auto"/>
                <w:kern w:val="0"/>
                <w:sz w:val="22"/>
                <w:highlight w:val="none"/>
              </w:rPr>
            </w:pPr>
            <w:r>
              <w:rPr>
                <w:rFonts w:hint="eastAsia" w:ascii="宋体" w:hAnsi="宋体" w:cs="宋体"/>
                <w:color w:val="auto"/>
                <w:kern w:val="0"/>
                <w:sz w:val="22"/>
                <w:highlight w:val="none"/>
              </w:rPr>
              <w:t>校准方法选择</w:t>
            </w:r>
          </w:p>
          <w:p w14:paraId="04398DBF">
            <w:pPr>
              <w:rPr>
                <w:rFonts w:ascii="宋体" w:hAnsi="宋体" w:cs="宋体"/>
                <w:color w:val="auto"/>
                <w:kern w:val="0"/>
                <w:sz w:val="22"/>
                <w:highlight w:val="none"/>
              </w:rPr>
            </w:pPr>
            <w:r>
              <w:rPr>
                <w:rFonts w:hint="eastAsia" w:ascii="宋体" w:hAnsi="宋体" w:cs="宋体"/>
                <w:color w:val="auto"/>
                <w:kern w:val="0"/>
                <w:sz w:val="22"/>
                <w:highlight w:val="none"/>
              </w:rPr>
              <w:t>单点校准</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：适用于快速检测（如中性溶液），优先选用</w:t>
            </w:r>
            <w:r>
              <w:rPr>
                <w:rFonts w:ascii="宋体" w:hAnsi="宋体" w:cs="宋体"/>
                <w:color w:val="auto"/>
                <w:kern w:val="0"/>
                <w:sz w:val="22"/>
                <w:highlight w:val="none"/>
              </w:rPr>
              <w:t>pH7.0标准缓冲液，调节读数至标准值。</w:t>
            </w:r>
          </w:p>
          <w:p w14:paraId="2EFF9BA3">
            <w:pPr>
              <w:rPr>
                <w:rFonts w:ascii="宋体" w:hAnsi="宋体" w:cs="宋体"/>
                <w:color w:val="auto"/>
                <w:kern w:val="0"/>
                <w:sz w:val="22"/>
                <w:highlight w:val="none"/>
              </w:rPr>
            </w:pPr>
            <w:r>
              <w:rPr>
                <w:rFonts w:hint="eastAsia" w:ascii="宋体" w:hAnsi="宋体" w:cs="宋体"/>
                <w:color w:val="auto"/>
                <w:kern w:val="0"/>
                <w:sz w:val="22"/>
                <w:highlight w:val="none"/>
              </w:rPr>
              <w:t>两点校准</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：针对酸性（</w:t>
            </w:r>
            <w:r>
              <w:rPr>
                <w:rFonts w:ascii="宋体" w:hAnsi="宋体" w:cs="宋体"/>
                <w:color w:val="auto"/>
                <w:kern w:val="0"/>
                <w:sz w:val="22"/>
                <w:highlight w:val="none"/>
              </w:rPr>
              <w:t>pH4.0）或碱性（pH9.18/10.0）溶液，先校准pH7.0，再校准第二点并调整斜率旋钮。</w:t>
            </w:r>
          </w:p>
          <w:p w14:paraId="1F0283BC">
            <w:pPr>
              <w:rPr>
                <w:rFonts w:ascii="宋体" w:hAnsi="宋体" w:cs="宋体"/>
                <w:color w:val="auto"/>
                <w:kern w:val="0"/>
                <w:sz w:val="22"/>
                <w:highlight w:val="none"/>
              </w:rPr>
            </w:pPr>
            <w:r>
              <w:rPr>
                <w:rFonts w:hint="eastAsia" w:ascii="宋体" w:hAnsi="宋体" w:cs="宋体"/>
                <w:color w:val="auto"/>
                <w:kern w:val="0"/>
                <w:sz w:val="22"/>
                <w:highlight w:val="none"/>
              </w:rPr>
              <w:t>三点校准</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：高精度场景需覆盖酸性、中性、碱性三点校准，确保全量程准确性。</w:t>
            </w:r>
          </w:p>
          <w:p w14:paraId="3E849861">
            <w:pPr>
              <w:rPr>
                <w:rFonts w:ascii="宋体" w:hAnsi="宋体" w:cs="宋体"/>
                <w:color w:val="auto"/>
                <w:kern w:val="0"/>
                <w:sz w:val="22"/>
                <w:highlight w:val="none"/>
              </w:rPr>
            </w:pPr>
            <w:r>
              <w:rPr>
                <w:rFonts w:hint="eastAsia" w:ascii="宋体" w:hAnsi="宋体" w:cs="宋体"/>
                <w:color w:val="auto"/>
                <w:kern w:val="0"/>
                <w:sz w:val="22"/>
                <w:highlight w:val="none"/>
              </w:rPr>
              <w:t>校准步骤</w:t>
            </w:r>
          </w:p>
          <w:p w14:paraId="7FD69198">
            <w:pPr>
              <w:rPr>
                <w:rFonts w:ascii="宋体" w:hAnsi="宋体" w:cs="宋体"/>
                <w:color w:val="auto"/>
                <w:kern w:val="0"/>
                <w:sz w:val="22"/>
                <w:highlight w:val="none"/>
              </w:rPr>
            </w:pPr>
            <w:r>
              <w:rPr>
                <w:rFonts w:hint="eastAsia" w:ascii="宋体" w:hAnsi="宋体" w:cs="宋体"/>
                <w:color w:val="auto"/>
                <w:kern w:val="0"/>
                <w:sz w:val="22"/>
                <w:highlight w:val="none"/>
              </w:rPr>
              <w:t>预热</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：开机预热</w:t>
            </w:r>
            <w:r>
              <w:rPr>
                <w:rFonts w:ascii="宋体" w:hAnsi="宋体" w:cs="宋体"/>
                <w:color w:val="auto"/>
                <w:kern w:val="0"/>
                <w:sz w:val="22"/>
                <w:highlight w:val="none"/>
              </w:rPr>
              <w:t>30分钟以上。</w:t>
            </w:r>
          </w:p>
          <w:p w14:paraId="659C8055">
            <w:pPr>
              <w:rPr>
                <w:rFonts w:ascii="宋体" w:hAnsi="宋体" w:cs="宋体"/>
                <w:color w:val="auto"/>
                <w:kern w:val="0"/>
                <w:sz w:val="22"/>
                <w:highlight w:val="none"/>
              </w:rPr>
            </w:pPr>
            <w:r>
              <w:rPr>
                <w:rFonts w:hint="eastAsia" w:ascii="宋体" w:hAnsi="宋体" w:cs="宋体"/>
                <w:color w:val="auto"/>
                <w:kern w:val="0"/>
                <w:sz w:val="22"/>
                <w:highlight w:val="none"/>
              </w:rPr>
              <w:t>温度补偿</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：将温度补偿旋钮调至校准液实际温度。</w:t>
            </w:r>
          </w:p>
          <w:p w14:paraId="3FF4307E">
            <w:pPr>
              <w:rPr>
                <w:rFonts w:ascii="宋体" w:hAnsi="宋体" w:cs="宋体"/>
                <w:color w:val="auto"/>
                <w:kern w:val="0"/>
                <w:sz w:val="22"/>
                <w:highlight w:val="none"/>
              </w:rPr>
            </w:pPr>
            <w:r>
              <w:rPr>
                <w:rFonts w:hint="eastAsia" w:ascii="宋体" w:hAnsi="宋体" w:cs="宋体"/>
                <w:color w:val="auto"/>
                <w:kern w:val="0"/>
                <w:sz w:val="22"/>
                <w:highlight w:val="none"/>
              </w:rPr>
              <w:t>电极处理</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：用去离子水冲洗电极并甩干，避免残留液体干扰。</w:t>
            </w:r>
          </w:p>
          <w:p w14:paraId="15F53608">
            <w:pPr>
              <w:rPr>
                <w:rFonts w:ascii="宋体" w:hAnsi="宋体" w:cs="宋体"/>
                <w:color w:val="auto"/>
                <w:kern w:val="0"/>
                <w:sz w:val="22"/>
                <w:highlight w:val="none"/>
              </w:rPr>
            </w:pPr>
            <w:r>
              <w:rPr>
                <w:rFonts w:hint="eastAsia" w:ascii="宋体" w:hAnsi="宋体" w:cs="宋体"/>
                <w:color w:val="auto"/>
                <w:kern w:val="0"/>
                <w:sz w:val="22"/>
                <w:highlight w:val="none"/>
              </w:rPr>
              <w:t>校准操作</w:t>
            </w:r>
            <w:r>
              <w:rPr>
                <w:rFonts w:ascii="宋体" w:hAnsi="宋体" w:cs="宋体"/>
                <w:color w:val="auto"/>
                <w:kern w:val="0"/>
                <w:sz w:val="22"/>
                <w:highlight w:val="none"/>
              </w:rPr>
              <w:t xml:space="preserve"> </w:t>
            </w:r>
            <w:r>
              <w:rPr>
                <w:rFonts w:hint="eastAsia" w:ascii="宋体" w:hAnsi="宋体" w:cs="宋体"/>
                <w:color w:val="auto"/>
                <w:kern w:val="0"/>
                <w:sz w:val="22"/>
                <w:highlight w:val="none"/>
              </w:rPr>
              <w:t>：依次浸入校准液，待数值稳定后调整定位</w:t>
            </w:r>
            <w:r>
              <w:rPr>
                <w:rFonts w:ascii="宋体" w:hAnsi="宋体" w:cs="宋体"/>
                <w:color w:val="auto"/>
                <w:kern w:val="0"/>
                <w:sz w:val="22"/>
                <w:highlight w:val="none"/>
              </w:rPr>
              <w:t>/斜率旋钮至标准值，重复校准至误差≤0.02pH。</w:t>
            </w:r>
          </w:p>
          <w:p w14:paraId="7B2685BA">
            <w:pPr>
              <w:rPr>
                <w:rFonts w:ascii="宋体" w:hAnsi="宋体" w:cs="宋体"/>
                <w:color w:val="auto"/>
                <w:kern w:val="0"/>
                <w:sz w:val="22"/>
                <w:highlight w:val="none"/>
              </w:rPr>
            </w:pPr>
            <w:r>
              <w:rPr>
                <w:rFonts w:hint="eastAsia" w:ascii="宋体" w:hAnsi="宋体" w:cs="宋体"/>
                <w:color w:val="auto"/>
                <w:kern w:val="0"/>
                <w:sz w:val="22"/>
                <w:highlight w:val="none"/>
              </w:rPr>
              <w:t>校准周期</w:t>
            </w:r>
          </w:p>
          <w:p w14:paraId="0FE532F3">
            <w:pPr>
              <w:rPr>
                <w:rFonts w:ascii="宋体" w:hAnsi="宋体" w:cs="宋体"/>
                <w:color w:val="auto"/>
                <w:kern w:val="0"/>
                <w:sz w:val="22"/>
                <w:highlight w:val="none"/>
              </w:rPr>
            </w:pPr>
            <w:r>
              <w:rPr>
                <w:rFonts w:hint="eastAsia" w:ascii="宋体" w:hAnsi="宋体" w:cs="宋体"/>
                <w:color w:val="auto"/>
                <w:kern w:val="0"/>
                <w:sz w:val="22"/>
                <w:highlight w:val="none"/>
              </w:rPr>
              <w:t>常规使用：每周单点校准，每月两点校准。</w:t>
            </w:r>
          </w:p>
          <w:p w14:paraId="66E049D9">
            <w:pPr>
              <w:rPr>
                <w:rFonts w:ascii="宋体" w:hAnsi="宋体" w:cs="宋体"/>
                <w:color w:val="auto"/>
                <w:kern w:val="0"/>
                <w:sz w:val="22"/>
                <w:highlight w:val="none"/>
              </w:rPr>
            </w:pPr>
            <w:r>
              <w:rPr>
                <w:rFonts w:hint="eastAsia" w:ascii="宋体" w:hAnsi="宋体" w:cs="宋体"/>
                <w:color w:val="auto"/>
                <w:kern w:val="0"/>
                <w:sz w:val="22"/>
                <w:highlight w:val="none"/>
              </w:rPr>
              <w:t>高负荷或恶劣环境（高温</w:t>
            </w:r>
            <w:r>
              <w:rPr>
                <w:rFonts w:ascii="宋体" w:hAnsi="宋体" w:cs="宋体"/>
                <w:color w:val="auto"/>
                <w:kern w:val="0"/>
                <w:sz w:val="22"/>
                <w:highlight w:val="none"/>
              </w:rPr>
              <w:t>/高盐）：缩短至每周两点校准。</w:t>
            </w:r>
          </w:p>
          <w:p w14:paraId="457E052A">
            <w:pPr>
              <w:rPr>
                <w:rFonts w:ascii="宋体" w:hAnsi="宋体" w:cs="宋体"/>
                <w:color w:val="auto"/>
                <w:kern w:val="0"/>
                <w:sz w:val="22"/>
                <w:highlight w:val="none"/>
              </w:rPr>
            </w:pPr>
            <w:r>
              <w:rPr>
                <w:rFonts w:hint="eastAsia" w:ascii="宋体" w:hAnsi="宋体" w:cs="宋体"/>
                <w:color w:val="auto"/>
                <w:kern w:val="0"/>
                <w:sz w:val="22"/>
                <w:highlight w:val="none"/>
              </w:rPr>
              <w:t>二、电极保养</w:t>
            </w:r>
          </w:p>
          <w:p w14:paraId="0E98F55A">
            <w:pPr>
              <w:rPr>
                <w:rFonts w:ascii="宋体" w:hAnsi="宋体" w:cs="宋体"/>
                <w:color w:val="auto"/>
                <w:kern w:val="0"/>
                <w:sz w:val="22"/>
                <w:highlight w:val="none"/>
              </w:rPr>
            </w:pPr>
            <w:r>
              <w:rPr>
                <w:rFonts w:hint="eastAsia" w:ascii="宋体" w:hAnsi="宋体" w:cs="宋体"/>
                <w:color w:val="auto"/>
                <w:kern w:val="0"/>
                <w:sz w:val="22"/>
                <w:highlight w:val="none"/>
              </w:rPr>
              <w:t>清洁与存储</w:t>
            </w:r>
          </w:p>
          <w:p w14:paraId="1D09300D">
            <w:pPr>
              <w:rPr>
                <w:rFonts w:ascii="宋体" w:hAnsi="宋体" w:cs="宋体"/>
                <w:color w:val="auto"/>
                <w:kern w:val="0"/>
                <w:sz w:val="22"/>
                <w:highlight w:val="none"/>
              </w:rPr>
            </w:pPr>
            <w:r>
              <w:rPr>
                <w:rFonts w:hint="eastAsia" w:ascii="宋体" w:hAnsi="宋体" w:cs="宋体"/>
                <w:color w:val="auto"/>
                <w:kern w:val="0"/>
                <w:sz w:val="22"/>
                <w:highlight w:val="none"/>
              </w:rPr>
              <w:t>每次使用后立即用去离子水冲洗电极，避免化学试剂残留。</w:t>
            </w:r>
          </w:p>
          <w:p w14:paraId="0485189A">
            <w:pPr>
              <w:rPr>
                <w:rFonts w:ascii="宋体" w:hAnsi="宋体" w:cs="宋体"/>
                <w:color w:val="auto"/>
                <w:kern w:val="0"/>
                <w:sz w:val="22"/>
                <w:highlight w:val="none"/>
              </w:rPr>
            </w:pPr>
            <w:r>
              <w:rPr>
                <w:rFonts w:hint="eastAsia" w:ascii="宋体" w:hAnsi="宋体" w:cs="宋体"/>
                <w:color w:val="auto"/>
                <w:kern w:val="0"/>
                <w:sz w:val="22"/>
                <w:highlight w:val="none"/>
              </w:rPr>
              <w:t>长期存放时，将电极浸泡在专用存储液（如</w:t>
            </w:r>
            <w:r>
              <w:rPr>
                <w:rFonts w:ascii="宋体" w:hAnsi="宋体" w:cs="宋体"/>
                <w:color w:val="auto"/>
                <w:kern w:val="0"/>
                <w:sz w:val="22"/>
                <w:highlight w:val="none"/>
              </w:rPr>
              <w:t>3M KCl溶液）中，防止干燥损坏。</w:t>
            </w:r>
          </w:p>
          <w:p w14:paraId="010D7011">
            <w:pPr>
              <w:rPr>
                <w:rFonts w:ascii="宋体" w:hAnsi="宋体" w:cs="宋体"/>
                <w:color w:val="auto"/>
                <w:kern w:val="0"/>
                <w:sz w:val="22"/>
                <w:highlight w:val="none"/>
              </w:rPr>
            </w:pPr>
            <w:r>
              <w:rPr>
                <w:rFonts w:hint="eastAsia" w:ascii="宋体" w:hAnsi="宋体" w:cs="宋体"/>
                <w:color w:val="auto"/>
                <w:kern w:val="0"/>
                <w:sz w:val="22"/>
                <w:highlight w:val="none"/>
              </w:rPr>
              <w:t>电极状态检查</w:t>
            </w:r>
          </w:p>
          <w:p w14:paraId="7B90DE6A">
            <w:pPr>
              <w:rPr>
                <w:rFonts w:ascii="宋体" w:hAnsi="宋体" w:cs="宋体"/>
                <w:color w:val="auto"/>
                <w:kern w:val="0"/>
                <w:sz w:val="22"/>
                <w:highlight w:val="none"/>
              </w:rPr>
            </w:pPr>
            <w:r>
              <w:rPr>
                <w:rFonts w:hint="eastAsia" w:ascii="宋体" w:hAnsi="宋体" w:cs="宋体"/>
                <w:color w:val="auto"/>
                <w:kern w:val="0"/>
                <w:sz w:val="22"/>
                <w:highlight w:val="none"/>
              </w:rPr>
              <w:t>校准后观察斜率值，若低于</w:t>
            </w:r>
            <w:r>
              <w:rPr>
                <w:rFonts w:ascii="宋体" w:hAnsi="宋体" w:cs="宋体"/>
                <w:color w:val="auto"/>
                <w:kern w:val="0"/>
                <w:sz w:val="22"/>
                <w:highlight w:val="none"/>
              </w:rPr>
              <w:t>85%需清洁或更换电极（污染或老化）。</w:t>
            </w:r>
          </w:p>
          <w:p w14:paraId="7FB18915">
            <w:pPr>
              <w:rPr>
                <w:rFonts w:ascii="宋体" w:hAnsi="宋体" w:cs="宋体"/>
                <w:color w:val="auto"/>
                <w:kern w:val="0"/>
                <w:sz w:val="22"/>
                <w:highlight w:val="none"/>
              </w:rPr>
            </w:pPr>
            <w:r>
              <w:rPr>
                <w:rFonts w:hint="eastAsia" w:ascii="宋体" w:hAnsi="宋体" w:cs="宋体"/>
                <w:color w:val="auto"/>
                <w:kern w:val="0"/>
                <w:sz w:val="22"/>
                <w:highlight w:val="none"/>
              </w:rPr>
              <w:t>避免剧烈晃动或磕碰玻璃电极膜，防止破损。</w:t>
            </w:r>
          </w:p>
        </w:tc>
      </w:tr>
    </w:tbl>
    <w:p w14:paraId="610BFF62">
      <w:pPr>
        <w:pStyle w:val="43"/>
        <w:rPr>
          <w:color w:val="auto"/>
          <w:highlight w:val="none"/>
        </w:rPr>
      </w:pPr>
    </w:p>
    <w:p w14:paraId="24513B34">
      <w:pPr>
        <w:pStyle w:val="2"/>
        <w:spacing w:after="0" w:line="360" w:lineRule="exact"/>
        <w:ind w:firstLine="0" w:firstLineChars="0"/>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五、其他</w:t>
      </w:r>
    </w:p>
    <w:p w14:paraId="5B59033E">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14:paraId="00DE5B10">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2.带“▲且加下划线”的有关条款为实质性条款，投标人必须做出实质性响应，不允许低于采购要求（负偏离），出现负偏离的将导致投标无效</w:t>
      </w:r>
      <w:r>
        <w:rPr>
          <w:rFonts w:hint="eastAsia" w:ascii="宋体" w:hAnsi="宋体" w:cs="宋体"/>
          <w:b/>
          <w:bCs/>
          <w:color w:val="auto"/>
          <w:spacing w:val="-6"/>
          <w:sz w:val="22"/>
          <w:highlight w:val="none"/>
          <w:lang w:eastAsia="zh-CN"/>
        </w:rPr>
        <w:t>；带</w:t>
      </w:r>
      <w:r>
        <w:rPr>
          <w:rFonts w:hint="eastAsia" w:ascii="宋体" w:hAnsi="宋体" w:cs="宋体"/>
          <w:b/>
          <w:bCs/>
          <w:color w:val="auto"/>
          <w:spacing w:val="-6"/>
          <w:sz w:val="22"/>
          <w:highlight w:val="none"/>
          <w:shd w:val="clear"/>
        </w:rPr>
        <w:t>“★”</w:t>
      </w:r>
      <w:r>
        <w:rPr>
          <w:rFonts w:hint="eastAsia" w:ascii="宋体" w:hAnsi="宋体" w:cs="宋体"/>
          <w:b/>
          <w:bCs/>
          <w:color w:val="auto"/>
          <w:spacing w:val="-6"/>
          <w:sz w:val="22"/>
          <w:highlight w:val="none"/>
          <w:shd w:val="clear"/>
          <w:lang w:eastAsia="zh-CN"/>
        </w:rPr>
        <w:t>条款为重要条款负偏离按扣分处理。</w:t>
      </w:r>
    </w:p>
    <w:p w14:paraId="6D5819C0">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14:paraId="67E0C9A5">
      <w:pPr>
        <w:snapToGrid w:val="0"/>
        <w:spacing w:line="360" w:lineRule="exact"/>
        <w:ind w:firstLine="418" w:firstLineChars="200"/>
        <w:jc w:val="left"/>
        <w:rPr>
          <w:rFonts w:ascii="宋体" w:hAnsi="宋体" w:cs="宋体"/>
          <w:color w:val="auto"/>
          <w:spacing w:val="-6"/>
          <w:sz w:val="22"/>
          <w:highlight w:val="none"/>
        </w:rPr>
        <w:sectPr>
          <w:headerReference r:id="rId3" w:type="default"/>
          <w:footerReference r:id="rId4" w:type="default"/>
          <w:pgSz w:w="11906" w:h="16838"/>
          <w:pgMar w:top="1440" w:right="1080" w:bottom="1440" w:left="1080" w:header="851" w:footer="992" w:gutter="0"/>
          <w:cols w:space="720" w:num="1"/>
          <w:docGrid w:linePitch="312" w:charSpace="0"/>
        </w:sectPr>
      </w:pPr>
      <w:r>
        <w:rPr>
          <w:rFonts w:hint="eastAsia" w:ascii="宋体" w:hAnsi="宋体" w:cs="宋体"/>
          <w:b/>
          <w:bCs/>
          <w:color w:val="auto"/>
          <w:spacing w:val="-6"/>
          <w:sz w:val="22"/>
          <w:highlight w:val="none"/>
        </w:rPr>
        <w:t>4.技术部分中需要提供的证明材料有有效期的必须在有效期内，否则视为未提供。</w:t>
      </w:r>
    </w:p>
    <w:p w14:paraId="35A49DBA">
      <w:pPr>
        <w:snapToGrid w:val="0"/>
        <w:spacing w:line="400" w:lineRule="exact"/>
        <w:jc w:val="center"/>
        <w:outlineLvl w:val="0"/>
        <w:rPr>
          <w:rFonts w:ascii="宋体" w:hAnsi="宋体" w:cs="宋体"/>
          <w:b/>
          <w:color w:val="auto"/>
          <w:sz w:val="32"/>
          <w:highlight w:val="none"/>
        </w:rPr>
      </w:pPr>
      <w:bookmarkStart w:id="29" w:name="_Toc30540"/>
      <w:r>
        <w:rPr>
          <w:rFonts w:hint="eastAsia" w:ascii="宋体" w:hAnsi="宋体" w:cs="宋体"/>
          <w:b/>
          <w:color w:val="auto"/>
          <w:sz w:val="32"/>
          <w:highlight w:val="none"/>
        </w:rPr>
        <w:t>第六部分 评标原则及方法</w:t>
      </w:r>
      <w:bookmarkEnd w:id="29"/>
    </w:p>
    <w:p w14:paraId="0743B9CC">
      <w:pPr>
        <w:pStyle w:val="3"/>
        <w:adjustRightInd w:val="0"/>
        <w:snapToGrid w:val="0"/>
        <w:spacing w:after="0" w:line="36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根据《中华人民共和国政府采购法》等相关法规特制定以下评标办法。</w:t>
      </w:r>
    </w:p>
    <w:p w14:paraId="4C3B76B0">
      <w:pPr>
        <w:pStyle w:val="3"/>
        <w:adjustRightInd w:val="0"/>
        <w:snapToGrid w:val="0"/>
        <w:spacing w:after="0" w:line="360" w:lineRule="exact"/>
        <w:ind w:firstLine="442" w:firstLineChars="200"/>
        <w:jc w:val="left"/>
        <w:outlineLvl w:val="1"/>
        <w:rPr>
          <w:rFonts w:ascii="宋体" w:hAnsi="宋体" w:cs="宋体"/>
          <w:color w:val="auto"/>
          <w:sz w:val="22"/>
          <w:highlight w:val="none"/>
        </w:rPr>
      </w:pPr>
      <w:bookmarkStart w:id="30" w:name="_Toc24010"/>
      <w:r>
        <w:rPr>
          <w:rFonts w:hint="eastAsia" w:ascii="宋体" w:hAnsi="宋体" w:cs="宋体"/>
          <w:b/>
          <w:color w:val="auto"/>
          <w:sz w:val="22"/>
          <w:highlight w:val="none"/>
        </w:rPr>
        <w:t>一、</w:t>
      </w:r>
      <w:r>
        <w:rPr>
          <w:rFonts w:hint="eastAsia" w:ascii="宋体" w:hAnsi="宋体" w:cs="宋体"/>
          <w:color w:val="auto"/>
          <w:sz w:val="22"/>
          <w:highlight w:val="none"/>
        </w:rPr>
        <w:t>总  则</w:t>
      </w:r>
      <w:bookmarkEnd w:id="30"/>
    </w:p>
    <w:p w14:paraId="204524E4">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14:paraId="17A50856">
      <w:pPr>
        <w:spacing w:line="360" w:lineRule="exact"/>
        <w:ind w:firstLine="440" w:firstLineChars="200"/>
        <w:outlineLvl w:val="1"/>
        <w:rPr>
          <w:rFonts w:ascii="宋体" w:hAnsi="宋体" w:cs="宋体"/>
          <w:color w:val="auto"/>
          <w:sz w:val="22"/>
          <w:highlight w:val="none"/>
        </w:rPr>
      </w:pPr>
      <w:bookmarkStart w:id="31" w:name="_Toc18517"/>
      <w:r>
        <w:rPr>
          <w:rFonts w:hint="eastAsia" w:ascii="宋体" w:hAnsi="宋体" w:cs="宋体"/>
          <w:color w:val="auto"/>
          <w:sz w:val="22"/>
          <w:highlight w:val="none"/>
        </w:rPr>
        <w:t>二、评标组织</w:t>
      </w:r>
      <w:bookmarkEnd w:id="31"/>
    </w:p>
    <w:p w14:paraId="313D85FD">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评标工作由采购人依法组建的评审小组负责，评标全过程由有关部门指导监督。</w:t>
      </w:r>
    </w:p>
    <w:p w14:paraId="2049FDF9">
      <w:pPr>
        <w:spacing w:line="360" w:lineRule="exact"/>
        <w:ind w:firstLine="440" w:firstLineChars="200"/>
        <w:outlineLvl w:val="1"/>
        <w:rPr>
          <w:rFonts w:ascii="宋体" w:hAnsi="宋体" w:cs="宋体"/>
          <w:color w:val="auto"/>
          <w:sz w:val="22"/>
          <w:highlight w:val="none"/>
        </w:rPr>
      </w:pPr>
      <w:bookmarkStart w:id="32" w:name="_Toc8720"/>
      <w:r>
        <w:rPr>
          <w:rFonts w:hint="eastAsia" w:ascii="宋体" w:hAnsi="宋体" w:cs="宋体"/>
          <w:color w:val="auto"/>
          <w:sz w:val="22"/>
          <w:highlight w:val="none"/>
        </w:rPr>
        <w:t>三、评标程序</w:t>
      </w:r>
      <w:bookmarkEnd w:id="32"/>
    </w:p>
    <w:p w14:paraId="51A102BC">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采购人或者采购代理机构对各投标人的投标资格进行审查；然后评审小组对合格投标人进行符合性审查，对审查通过的商务和技术文件进行评审；商务和技术文件评审结束之后对报价文件评审，综合评审结果，提交评审报告。</w:t>
      </w:r>
    </w:p>
    <w:p w14:paraId="28F2D8DD">
      <w:pPr>
        <w:spacing w:line="360" w:lineRule="exact"/>
        <w:ind w:firstLine="440" w:firstLineChars="200"/>
        <w:outlineLvl w:val="1"/>
        <w:rPr>
          <w:rFonts w:ascii="宋体" w:hAnsi="宋体" w:cs="宋体"/>
          <w:color w:val="auto"/>
          <w:sz w:val="22"/>
          <w:highlight w:val="none"/>
        </w:rPr>
      </w:pPr>
      <w:bookmarkStart w:id="33" w:name="_Toc11894"/>
      <w:r>
        <w:rPr>
          <w:rFonts w:hint="eastAsia" w:ascii="宋体" w:hAnsi="宋体" w:cs="宋体"/>
          <w:color w:val="auto"/>
          <w:sz w:val="22"/>
          <w:highlight w:val="none"/>
        </w:rPr>
        <w:t>四、评标办法</w:t>
      </w:r>
      <w:bookmarkEnd w:id="33"/>
    </w:p>
    <w:p w14:paraId="077665B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本评标办法采用百分制综合评分法，商务和技术80分（商务和技术权值80%），报价20分（价格权值20%）。最大限度地满足招标文件中规定的各项综合评价标准且综合得分最高的投标人，将被推荐为中标候选人。</w:t>
      </w:r>
    </w:p>
    <w:p w14:paraId="6428BF4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评分细则</w:t>
      </w:r>
    </w:p>
    <w:p w14:paraId="0A3EB733">
      <w:pPr>
        <w:spacing w:line="360" w:lineRule="exact"/>
        <w:rPr>
          <w:rFonts w:ascii="宋体" w:hAnsi="宋体" w:cs="宋体"/>
          <w:color w:val="auto"/>
          <w:sz w:val="22"/>
          <w:highlight w:val="none"/>
        </w:rPr>
      </w:pPr>
      <w:r>
        <w:rPr>
          <w:rFonts w:hint="eastAsia" w:ascii="宋体" w:hAnsi="宋体" w:cs="宋体"/>
          <w:color w:val="auto"/>
          <w:sz w:val="22"/>
          <w:highlight w:val="none"/>
        </w:rPr>
        <w:t>1.商务和技术分的评定</w:t>
      </w:r>
    </w:p>
    <w:p w14:paraId="2306E00B">
      <w:pPr>
        <w:pStyle w:val="62"/>
        <w:spacing w:line="360" w:lineRule="exact"/>
        <w:ind w:firstLine="440"/>
        <w:rPr>
          <w:rFonts w:ascii="宋体" w:hAnsi="宋体" w:cs="宋体"/>
          <w:color w:val="auto"/>
          <w:sz w:val="22"/>
          <w:highlight w:val="none"/>
        </w:rPr>
      </w:pPr>
      <w:r>
        <w:rPr>
          <w:rFonts w:hint="eastAsia" w:ascii="宋体" w:hAnsi="宋体" w:cs="宋体"/>
          <w:color w:val="auto"/>
          <w:sz w:val="22"/>
          <w:highlight w:val="none"/>
        </w:rPr>
        <w:t>各评委成员按下列评分项目进行评判，每人一张评分计算票，并记名。投标文件各项评分内容由评审小组成员各自评分，如某张票的一个因素项目超过规定的范围，则该张票无效。各评审小组成员对各投标人的各项评分内容评分的合计算术平均值为各投标人商务和技术分得分（小数点后按四舍五入保留2位）。</w:t>
      </w:r>
    </w:p>
    <w:tbl>
      <w:tblPr>
        <w:tblStyle w:val="33"/>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648"/>
        <w:gridCol w:w="7186"/>
      </w:tblGrid>
      <w:tr w14:paraId="7042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Align w:val="center"/>
          </w:tcPr>
          <w:p w14:paraId="496095BE">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648" w:type="dxa"/>
            <w:vAlign w:val="center"/>
          </w:tcPr>
          <w:p w14:paraId="78AFE467">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7186" w:type="dxa"/>
            <w:vAlign w:val="center"/>
          </w:tcPr>
          <w:p w14:paraId="05A9968A">
            <w:pPr>
              <w:adjustRightInd w:val="0"/>
              <w:snapToGrid w:val="0"/>
              <w:spacing w:line="288" w:lineRule="auto"/>
              <w:jc w:val="center"/>
              <w:rPr>
                <w:rFonts w:ascii="宋体" w:hAnsi="宋体" w:cs="宋体"/>
                <w:color w:val="auto"/>
                <w:szCs w:val="21"/>
                <w:highlight w:val="none"/>
              </w:rPr>
            </w:pPr>
            <w:r>
              <w:rPr>
                <w:rFonts w:hint="eastAsia" w:ascii="宋体" w:hAnsi="宋体" w:cs="宋体"/>
                <w:color w:val="auto"/>
                <w:szCs w:val="21"/>
                <w:highlight w:val="none"/>
              </w:rPr>
              <w:t>评分细则</w:t>
            </w:r>
          </w:p>
        </w:tc>
      </w:tr>
      <w:tr w14:paraId="441B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Align w:val="center"/>
          </w:tcPr>
          <w:p w14:paraId="39BED692">
            <w:pPr>
              <w:adjustRightInd w:val="0"/>
              <w:snapToGrid w:val="0"/>
              <w:spacing w:line="440" w:lineRule="exact"/>
              <w:ind w:right="25" w:rightChars="12"/>
              <w:jc w:val="center"/>
              <w:rPr>
                <w:rFonts w:ascii="Times New Roman" w:hAnsi="Times New Roman" w:cs="宋体"/>
                <w:color w:val="auto"/>
                <w:kern w:val="0"/>
                <w:sz w:val="22"/>
                <w:highlight w:val="none"/>
              </w:rPr>
            </w:pPr>
            <w:r>
              <w:rPr>
                <w:rFonts w:hint="eastAsia" w:ascii="Times New Roman" w:hAnsi="Times New Roman" w:cs="宋体"/>
                <w:color w:val="auto"/>
                <w:kern w:val="0"/>
                <w:sz w:val="22"/>
                <w:highlight w:val="none"/>
              </w:rPr>
              <w:t>体系认证</w:t>
            </w:r>
          </w:p>
          <w:p w14:paraId="0F1E986C">
            <w:pPr>
              <w:spacing w:line="288" w:lineRule="auto"/>
              <w:jc w:val="center"/>
              <w:rPr>
                <w:rFonts w:ascii="宋体" w:hAnsi="宋体" w:cs="宋体"/>
                <w:color w:val="auto"/>
                <w:szCs w:val="21"/>
                <w:highlight w:val="none"/>
                <w:lang w:bidi="ar"/>
              </w:rPr>
            </w:pPr>
          </w:p>
        </w:tc>
        <w:tc>
          <w:tcPr>
            <w:tcW w:w="648" w:type="dxa"/>
            <w:vAlign w:val="center"/>
          </w:tcPr>
          <w:p w14:paraId="48033B32">
            <w:pPr>
              <w:spacing w:line="360" w:lineRule="exact"/>
              <w:jc w:val="center"/>
              <w:rPr>
                <w:rFonts w:ascii="宋体" w:hAnsi="宋体" w:cs="宋体"/>
                <w:color w:val="auto"/>
                <w:szCs w:val="21"/>
                <w:highlight w:val="none"/>
                <w:lang w:bidi="ar"/>
              </w:rPr>
            </w:pPr>
            <w:r>
              <w:rPr>
                <w:rFonts w:hint="eastAsia" w:ascii="宋体" w:hAnsi="宋体" w:cs="宋体"/>
                <w:color w:val="auto"/>
                <w:sz w:val="22"/>
                <w:highlight w:val="none"/>
              </w:rPr>
              <w:t>3</w:t>
            </w:r>
          </w:p>
        </w:tc>
        <w:tc>
          <w:tcPr>
            <w:tcW w:w="7186" w:type="dxa"/>
            <w:vAlign w:val="center"/>
          </w:tcPr>
          <w:p w14:paraId="60B3A00C">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【客观分】</w:t>
            </w:r>
          </w:p>
          <w:p w14:paraId="2474E2D1">
            <w:pPr>
              <w:widowControl/>
              <w:adjustRightInd w:val="0"/>
              <w:snapToGrid w:val="0"/>
              <w:textAlignment w:val="baseline"/>
              <w:rPr>
                <w:rFonts w:ascii="宋体" w:hAnsi="宋体" w:cs="宋体"/>
                <w:color w:val="auto"/>
                <w:sz w:val="22"/>
                <w:highlight w:val="none"/>
              </w:rPr>
            </w:pPr>
            <w:r>
              <w:rPr>
                <w:rFonts w:hint="eastAsia" w:ascii="宋体" w:hAnsi="宋体" w:cs="宋体"/>
                <w:color w:val="auto"/>
                <w:sz w:val="22"/>
                <w:highlight w:val="none"/>
              </w:rPr>
              <w:t>1、投标人具有有效的质量管理体系认证，得1分；</w:t>
            </w:r>
          </w:p>
          <w:p w14:paraId="0102D0BC">
            <w:pPr>
              <w:widowControl/>
              <w:adjustRightInd w:val="0"/>
              <w:snapToGrid w:val="0"/>
              <w:textAlignment w:val="baseline"/>
              <w:rPr>
                <w:color w:val="auto"/>
                <w:sz w:val="22"/>
                <w:highlight w:val="none"/>
              </w:rPr>
            </w:pPr>
            <w:r>
              <w:rPr>
                <w:rFonts w:hint="eastAsia" w:ascii="宋体" w:hAnsi="宋体" w:cs="宋体"/>
                <w:color w:val="auto"/>
                <w:sz w:val="22"/>
                <w:highlight w:val="none"/>
              </w:rPr>
              <w:t>2、投标人具有有效的</w:t>
            </w:r>
            <w:r>
              <w:rPr>
                <w:color w:val="auto"/>
                <w:sz w:val="22"/>
                <w:highlight w:val="none"/>
              </w:rPr>
              <w:t>职业健康安全管理体</w:t>
            </w:r>
            <w:r>
              <w:rPr>
                <w:rFonts w:hint="eastAsia"/>
                <w:color w:val="auto"/>
                <w:sz w:val="22"/>
                <w:highlight w:val="none"/>
              </w:rPr>
              <w:t>系认证</w:t>
            </w:r>
            <w:r>
              <w:rPr>
                <w:rFonts w:hint="eastAsia" w:ascii="宋体" w:hAnsi="宋体" w:cs="宋体"/>
                <w:color w:val="auto"/>
                <w:sz w:val="22"/>
                <w:highlight w:val="none"/>
              </w:rPr>
              <w:t>，得1分；</w:t>
            </w:r>
          </w:p>
          <w:p w14:paraId="688A5BCA">
            <w:pPr>
              <w:widowControl/>
              <w:adjustRightInd w:val="0"/>
              <w:snapToGrid w:val="0"/>
              <w:textAlignment w:val="baseline"/>
              <w:rPr>
                <w:color w:val="auto"/>
                <w:sz w:val="22"/>
                <w:highlight w:val="none"/>
              </w:rPr>
            </w:pPr>
            <w:r>
              <w:rPr>
                <w:rFonts w:hint="eastAsia" w:ascii="宋体" w:hAnsi="宋体" w:cs="宋体"/>
                <w:color w:val="auto"/>
                <w:sz w:val="22"/>
                <w:highlight w:val="none"/>
              </w:rPr>
              <w:t>3、投标人具有有效的</w:t>
            </w:r>
            <w:r>
              <w:rPr>
                <w:rFonts w:ascii="宋体" w:hAnsi="宋体"/>
                <w:color w:val="auto"/>
                <w:sz w:val="22"/>
                <w:highlight w:val="none"/>
              </w:rPr>
              <w:t>环境管理体系</w:t>
            </w:r>
            <w:r>
              <w:rPr>
                <w:rFonts w:hint="eastAsia" w:ascii="宋体" w:hAnsi="宋体"/>
                <w:color w:val="auto"/>
                <w:sz w:val="22"/>
                <w:highlight w:val="none"/>
              </w:rPr>
              <w:t>认证</w:t>
            </w:r>
            <w:r>
              <w:rPr>
                <w:rFonts w:hint="eastAsia" w:ascii="宋体" w:hAnsi="宋体" w:cs="宋体"/>
                <w:color w:val="auto"/>
                <w:sz w:val="22"/>
                <w:highlight w:val="none"/>
              </w:rPr>
              <w:t>，得1分；</w:t>
            </w:r>
          </w:p>
          <w:p w14:paraId="2ECD9CCB">
            <w:pPr>
              <w:spacing w:line="360" w:lineRule="exact"/>
              <w:jc w:val="left"/>
              <w:rPr>
                <w:rFonts w:ascii="宋体" w:hAnsi="宋体" w:cs="宋体"/>
                <w:color w:val="auto"/>
                <w:szCs w:val="21"/>
                <w:highlight w:val="none"/>
              </w:rPr>
            </w:pPr>
            <w:r>
              <w:rPr>
                <w:rFonts w:hint="eastAsia" w:ascii="宋体" w:hAnsi="宋体" w:cs="宋体"/>
                <w:color w:val="auto"/>
                <w:kern w:val="0"/>
                <w:sz w:val="22"/>
                <w:highlight w:val="none"/>
              </w:rPr>
              <w:t>注：</w:t>
            </w:r>
            <w:r>
              <w:rPr>
                <w:rFonts w:hint="eastAsia" w:ascii="宋体" w:hAnsi="宋体" w:cs="宋体"/>
                <w:color w:val="auto"/>
                <w:sz w:val="22"/>
                <w:highlight w:val="none"/>
              </w:rPr>
              <w:t>响应文件附有中国国家认证认可监督管理委员会查询平台（网址：http://www.cnca.gov.cn/）的相关查询记录及有效期内的证书复印件加盖投标人公章，不提供不得分，证书不在有效期内不得分。</w:t>
            </w:r>
          </w:p>
        </w:tc>
      </w:tr>
      <w:tr w14:paraId="0F82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Align w:val="center"/>
          </w:tcPr>
          <w:p w14:paraId="3B73F5B5">
            <w:pPr>
              <w:spacing w:line="288" w:lineRule="auto"/>
              <w:jc w:val="center"/>
              <w:rPr>
                <w:rFonts w:ascii="宋体" w:hAnsi="宋体" w:cs="宋体"/>
                <w:color w:val="auto"/>
                <w:szCs w:val="21"/>
                <w:highlight w:val="none"/>
              </w:rPr>
            </w:pPr>
            <w:r>
              <w:rPr>
                <w:rFonts w:hint="eastAsia" w:ascii="宋体" w:hAnsi="宋体" w:cs="宋体"/>
                <w:color w:val="auto"/>
                <w:szCs w:val="21"/>
                <w:highlight w:val="none"/>
                <w:lang w:bidi="ar"/>
              </w:rPr>
              <w:t>业绩</w:t>
            </w:r>
          </w:p>
        </w:tc>
        <w:tc>
          <w:tcPr>
            <w:tcW w:w="648" w:type="dxa"/>
            <w:vAlign w:val="center"/>
          </w:tcPr>
          <w:p w14:paraId="7DFF880E">
            <w:pPr>
              <w:spacing w:line="288" w:lineRule="auto"/>
              <w:jc w:val="center"/>
              <w:rPr>
                <w:rFonts w:ascii="宋体" w:hAnsi="宋体" w:cs="宋体"/>
                <w:color w:val="auto"/>
                <w:szCs w:val="21"/>
                <w:highlight w:val="none"/>
              </w:rPr>
            </w:pPr>
            <w:r>
              <w:rPr>
                <w:rFonts w:hint="eastAsia" w:ascii="宋体" w:hAnsi="宋体" w:cs="宋体"/>
                <w:color w:val="auto"/>
                <w:szCs w:val="21"/>
                <w:highlight w:val="none"/>
                <w:lang w:bidi="ar"/>
              </w:rPr>
              <w:t>2</w:t>
            </w:r>
          </w:p>
        </w:tc>
        <w:tc>
          <w:tcPr>
            <w:tcW w:w="7186" w:type="dxa"/>
            <w:vAlign w:val="center"/>
          </w:tcPr>
          <w:p w14:paraId="7B462993">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【客观分】</w:t>
            </w:r>
          </w:p>
          <w:p w14:paraId="17FF9CB8">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2023年1月1日以来（以合同签订日期为准）同类维保项目业绩，每提供一份项目业绩得0.5分，最高得2分。（提供项目业绩合同复印件，否则业绩将不被认可）。</w:t>
            </w:r>
          </w:p>
        </w:tc>
      </w:tr>
      <w:tr w14:paraId="09AC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781" w:type="dxa"/>
            <w:tcBorders>
              <w:top w:val="single" w:color="auto" w:sz="4" w:space="0"/>
              <w:left w:val="single" w:color="auto" w:sz="4" w:space="0"/>
              <w:right w:val="single" w:color="auto" w:sz="4" w:space="0"/>
            </w:tcBorders>
            <w:vAlign w:val="center"/>
          </w:tcPr>
          <w:p w14:paraId="525F5BB5">
            <w:pPr>
              <w:spacing w:line="288"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服务内容</w:t>
            </w:r>
          </w:p>
          <w:p w14:paraId="0C475EF0">
            <w:pPr>
              <w:spacing w:line="288" w:lineRule="auto"/>
              <w:jc w:val="center"/>
              <w:rPr>
                <w:rFonts w:ascii="宋体" w:hAnsi="宋体" w:cs="宋体"/>
                <w:color w:val="auto"/>
                <w:szCs w:val="21"/>
                <w:highlight w:val="none"/>
              </w:rPr>
            </w:pPr>
            <w:r>
              <w:rPr>
                <w:rFonts w:hint="eastAsia" w:ascii="宋体" w:hAnsi="宋体" w:cs="宋体"/>
                <w:color w:val="auto"/>
                <w:szCs w:val="21"/>
                <w:highlight w:val="none"/>
                <w:lang w:bidi="ar"/>
              </w:rPr>
              <w:t>满足情况</w:t>
            </w:r>
          </w:p>
        </w:tc>
        <w:tc>
          <w:tcPr>
            <w:tcW w:w="648" w:type="dxa"/>
            <w:tcBorders>
              <w:top w:val="single" w:color="auto" w:sz="4" w:space="0"/>
              <w:left w:val="single" w:color="auto" w:sz="4" w:space="0"/>
              <w:bottom w:val="single" w:color="auto" w:sz="4" w:space="0"/>
              <w:right w:val="single" w:color="auto" w:sz="4" w:space="0"/>
            </w:tcBorders>
            <w:vAlign w:val="center"/>
          </w:tcPr>
          <w:p w14:paraId="7AF16D97">
            <w:pPr>
              <w:spacing w:line="288" w:lineRule="auto"/>
              <w:jc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7186" w:type="dxa"/>
            <w:tcBorders>
              <w:top w:val="single" w:color="auto" w:sz="4" w:space="0"/>
              <w:left w:val="single" w:color="auto" w:sz="4" w:space="0"/>
              <w:bottom w:val="single" w:color="auto" w:sz="4" w:space="0"/>
              <w:right w:val="single" w:color="auto" w:sz="4" w:space="0"/>
            </w:tcBorders>
            <w:vAlign w:val="center"/>
          </w:tcPr>
          <w:p w14:paraId="3FB2279B">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【客观分】</w:t>
            </w:r>
          </w:p>
          <w:p w14:paraId="2AB0220D">
            <w:pPr>
              <w:spacing w:line="360" w:lineRule="exact"/>
              <w:rPr>
                <w:rFonts w:ascii="宋体" w:hAnsi="宋体" w:cs="宋体"/>
                <w:color w:val="auto"/>
                <w:sz w:val="22"/>
                <w:highlight w:val="none"/>
              </w:rPr>
            </w:pPr>
            <w:r>
              <w:rPr>
                <w:rFonts w:hint="eastAsia" w:ascii="宋体" w:hAnsi="宋体" w:cs="宋体"/>
                <w:color w:val="auto"/>
                <w:sz w:val="22"/>
                <w:highlight w:val="none"/>
              </w:rPr>
              <w:t>不符合（负偏离）技术要求中标注“▲且加下划线”条款（不可偏离）的投标无效。</w:t>
            </w:r>
          </w:p>
          <w:p w14:paraId="5549618C">
            <w:pPr>
              <w:adjustRightInd w:val="0"/>
              <w:spacing w:line="360" w:lineRule="exact"/>
              <w:rPr>
                <w:rFonts w:ascii="宋体" w:hAnsi="宋体" w:cs="宋体"/>
                <w:color w:val="auto"/>
                <w:sz w:val="22"/>
                <w:highlight w:val="none"/>
              </w:rPr>
            </w:pPr>
            <w:r>
              <w:rPr>
                <w:rFonts w:hint="eastAsia" w:ascii="宋体" w:hAnsi="宋体" w:cs="宋体"/>
                <w:color w:val="auto"/>
                <w:sz w:val="22"/>
                <w:highlight w:val="none"/>
              </w:rPr>
              <w:t>评标委员会根据参数应答情况进行评分，评分要求如下：</w:t>
            </w:r>
          </w:p>
          <w:p w14:paraId="792CA822">
            <w:pPr>
              <w:adjustRightInd w:val="0"/>
              <w:snapToGrid w:val="0"/>
              <w:spacing w:line="360" w:lineRule="exact"/>
              <w:rPr>
                <w:rFonts w:ascii="宋体" w:hAnsi="宋体" w:cs="宋体"/>
                <w:color w:val="auto"/>
                <w:szCs w:val="21"/>
                <w:highlight w:val="none"/>
              </w:rPr>
            </w:pPr>
            <w:r>
              <w:rPr>
                <w:rFonts w:hint="eastAsia" w:ascii="宋体" w:hAnsi="宋体" w:cs="宋体"/>
                <w:color w:val="auto"/>
                <w:sz w:val="22"/>
                <w:highlight w:val="none"/>
                <w:shd w:val="clear" w:color="auto" w:fill="FFFFFF"/>
              </w:rPr>
              <w:t>带“★”的要求为重要技术条款</w:t>
            </w:r>
            <w:r>
              <w:rPr>
                <w:rFonts w:hint="eastAsia" w:ascii="宋体" w:hAnsi="宋体" w:cs="宋体"/>
                <w:color w:val="auto"/>
                <w:kern w:val="0"/>
                <w:sz w:val="22"/>
                <w:highlight w:val="none"/>
              </w:rPr>
              <w:t>（相关条款须提供承诺书或相关证明文件，否则本条不得分）</w:t>
            </w:r>
            <w:r>
              <w:rPr>
                <w:rFonts w:hint="eastAsia" w:ascii="宋体" w:hAnsi="宋体" w:cs="宋体"/>
                <w:color w:val="auto"/>
                <w:sz w:val="22"/>
                <w:highlight w:val="none"/>
                <w:shd w:val="clear" w:color="auto" w:fill="FFFFFF"/>
              </w:rPr>
              <w:t>，负偏离的每条扣1分，15分扣完为止。</w:t>
            </w:r>
          </w:p>
        </w:tc>
      </w:tr>
      <w:tr w14:paraId="7BB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Merge w:val="restart"/>
            <w:tcBorders>
              <w:top w:val="single" w:color="auto" w:sz="4" w:space="0"/>
              <w:left w:val="single" w:color="auto" w:sz="4" w:space="0"/>
              <w:right w:val="single" w:color="auto" w:sz="4" w:space="0"/>
            </w:tcBorders>
            <w:vAlign w:val="center"/>
          </w:tcPr>
          <w:p w14:paraId="74F038EA">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项目需求理解及服务方案</w:t>
            </w:r>
          </w:p>
        </w:tc>
        <w:tc>
          <w:tcPr>
            <w:tcW w:w="648" w:type="dxa"/>
            <w:tcBorders>
              <w:top w:val="single" w:color="auto" w:sz="4" w:space="0"/>
              <w:left w:val="single" w:color="auto" w:sz="4" w:space="0"/>
              <w:bottom w:val="single" w:color="auto" w:sz="4" w:space="0"/>
              <w:right w:val="single" w:color="auto" w:sz="4" w:space="0"/>
            </w:tcBorders>
            <w:vAlign w:val="center"/>
          </w:tcPr>
          <w:p w14:paraId="370A70BE">
            <w:pPr>
              <w:spacing w:line="288"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5</w:t>
            </w:r>
          </w:p>
        </w:tc>
        <w:tc>
          <w:tcPr>
            <w:tcW w:w="7186" w:type="dxa"/>
            <w:tcBorders>
              <w:top w:val="single" w:color="auto" w:sz="4" w:space="0"/>
              <w:left w:val="single" w:color="auto" w:sz="4" w:space="0"/>
              <w:bottom w:val="single" w:color="auto" w:sz="4" w:space="0"/>
              <w:right w:val="single" w:color="auto" w:sz="4" w:space="0"/>
            </w:tcBorders>
            <w:vAlign w:val="center"/>
          </w:tcPr>
          <w:p w14:paraId="426928A8">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【主观分】</w:t>
            </w:r>
          </w:p>
          <w:p w14:paraId="448F77F5">
            <w:pPr>
              <w:pStyle w:val="3"/>
              <w:spacing w:after="0" w:line="288" w:lineRule="auto"/>
              <w:rPr>
                <w:rFonts w:ascii="宋体" w:hAnsi="宋体" w:cs="宋体"/>
                <w:color w:val="auto"/>
                <w:szCs w:val="21"/>
                <w:highlight w:val="none"/>
              </w:rPr>
            </w:pPr>
            <w:r>
              <w:rPr>
                <w:rFonts w:hint="eastAsia" w:ascii="宋体" w:hAnsi="宋体" w:cs="宋体"/>
                <w:color w:val="auto"/>
                <w:kern w:val="0"/>
                <w:szCs w:val="21"/>
                <w:highlight w:val="none"/>
              </w:rPr>
              <w:t>根据投标人对本项目背景、现状和详细的需求理解进行综合评审：针对采购需求及实际特点、有利于采购标的实现及合同履约（评分范围：5,4,3,2,1,0）</w:t>
            </w:r>
          </w:p>
        </w:tc>
      </w:tr>
      <w:tr w14:paraId="1A3F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Merge w:val="continue"/>
            <w:tcBorders>
              <w:left w:val="single" w:color="auto" w:sz="4" w:space="0"/>
              <w:right w:val="single" w:color="auto" w:sz="4" w:space="0"/>
            </w:tcBorders>
            <w:vAlign w:val="center"/>
          </w:tcPr>
          <w:p w14:paraId="0BD82E5B">
            <w:pPr>
              <w:spacing w:line="288" w:lineRule="auto"/>
              <w:jc w:val="center"/>
              <w:rPr>
                <w:rFonts w:ascii="宋体" w:hAnsi="宋体" w:cs="宋体"/>
                <w:color w:val="auto"/>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5908A2D1">
            <w:pPr>
              <w:spacing w:line="288" w:lineRule="auto"/>
              <w:jc w:val="center"/>
              <w:rPr>
                <w:rFonts w:hint="eastAsia" w:ascii="宋体" w:hAnsi="宋体" w:eastAsia="宋体" w:cs="宋体"/>
                <w:color w:val="auto"/>
                <w:szCs w:val="21"/>
                <w:highlight w:val="none"/>
                <w:lang w:eastAsia="zh-CN"/>
              </w:rPr>
            </w:pPr>
            <w:r>
              <w:rPr>
                <w:rFonts w:hint="eastAsia" w:ascii="宋体" w:hAnsi="宋体" w:cs="宋体"/>
                <w:color w:val="auto"/>
                <w:spacing w:val="-6"/>
                <w:szCs w:val="21"/>
                <w:highlight w:val="none"/>
                <w:lang w:val="en-US" w:eastAsia="zh-CN"/>
              </w:rPr>
              <w:t>4</w:t>
            </w:r>
          </w:p>
        </w:tc>
        <w:tc>
          <w:tcPr>
            <w:tcW w:w="7186" w:type="dxa"/>
            <w:tcBorders>
              <w:top w:val="single" w:color="auto" w:sz="4" w:space="0"/>
              <w:left w:val="single" w:color="auto" w:sz="4" w:space="0"/>
              <w:bottom w:val="single" w:color="auto" w:sz="4" w:space="0"/>
              <w:right w:val="single" w:color="auto" w:sz="4" w:space="0"/>
            </w:tcBorders>
            <w:vAlign w:val="center"/>
          </w:tcPr>
          <w:p w14:paraId="450D52AA">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【主观分】</w:t>
            </w:r>
          </w:p>
          <w:p w14:paraId="1B5CB988">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服务方案总体思路清晰、合理情况：针对采购需求及实际特点、有利于采购标的实现及合同履约（评分范围：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,3,2,1,0），未提供不得分。</w:t>
            </w:r>
          </w:p>
        </w:tc>
      </w:tr>
      <w:tr w14:paraId="5EEC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Merge w:val="continue"/>
            <w:tcBorders>
              <w:left w:val="single" w:color="auto" w:sz="4" w:space="0"/>
              <w:right w:val="single" w:color="auto" w:sz="4" w:space="0"/>
            </w:tcBorders>
            <w:vAlign w:val="center"/>
          </w:tcPr>
          <w:p w14:paraId="4226005E">
            <w:pPr>
              <w:spacing w:line="288" w:lineRule="auto"/>
              <w:jc w:val="center"/>
              <w:rPr>
                <w:rFonts w:ascii="宋体" w:hAnsi="宋体" w:cs="宋体"/>
                <w:color w:val="auto"/>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54E72869">
            <w:pPr>
              <w:spacing w:line="288" w:lineRule="auto"/>
              <w:jc w:val="center"/>
              <w:rPr>
                <w:rFonts w:ascii="宋体" w:hAnsi="宋体" w:cs="宋体"/>
                <w:color w:val="auto"/>
                <w:szCs w:val="21"/>
                <w:highlight w:val="none"/>
              </w:rPr>
            </w:pPr>
            <w:r>
              <w:rPr>
                <w:rFonts w:hint="eastAsia" w:ascii="宋体" w:hAnsi="宋体" w:cs="宋体"/>
                <w:color w:val="auto"/>
                <w:spacing w:val="-6"/>
                <w:szCs w:val="21"/>
                <w:highlight w:val="none"/>
              </w:rPr>
              <w:t>5</w:t>
            </w:r>
          </w:p>
        </w:tc>
        <w:tc>
          <w:tcPr>
            <w:tcW w:w="7186" w:type="dxa"/>
            <w:tcBorders>
              <w:top w:val="single" w:color="auto" w:sz="4" w:space="0"/>
              <w:left w:val="single" w:color="auto" w:sz="4" w:space="0"/>
              <w:bottom w:val="single" w:color="auto" w:sz="4" w:space="0"/>
              <w:right w:val="single" w:color="auto" w:sz="4" w:space="0"/>
            </w:tcBorders>
            <w:vAlign w:val="center"/>
          </w:tcPr>
          <w:p w14:paraId="49A0E16E">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【主观分】</w:t>
            </w:r>
          </w:p>
          <w:p w14:paraId="0F12393E">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项目实施解决方案（故障的响应、处理、调换等情况）的针对性、合理性、可行性：针对采购需求及实际特点、有利于采购标的实现及合同履约（评分范围：5,4,3,2,1,0），未提供不得分。</w:t>
            </w:r>
          </w:p>
        </w:tc>
      </w:tr>
      <w:tr w14:paraId="143C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Merge w:val="continue"/>
            <w:tcBorders>
              <w:left w:val="single" w:color="auto" w:sz="4" w:space="0"/>
              <w:right w:val="single" w:color="auto" w:sz="4" w:space="0"/>
            </w:tcBorders>
            <w:vAlign w:val="center"/>
          </w:tcPr>
          <w:p w14:paraId="18A2F848">
            <w:pPr>
              <w:spacing w:line="288" w:lineRule="auto"/>
              <w:jc w:val="center"/>
              <w:rPr>
                <w:rFonts w:ascii="宋体" w:hAnsi="宋体" w:cs="宋体"/>
                <w:color w:val="auto"/>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588032E1">
            <w:pPr>
              <w:spacing w:line="288" w:lineRule="auto"/>
              <w:jc w:val="center"/>
              <w:rPr>
                <w:rFonts w:ascii="宋体" w:hAnsi="宋体" w:cs="宋体"/>
                <w:color w:val="auto"/>
                <w:szCs w:val="21"/>
                <w:highlight w:val="none"/>
              </w:rPr>
            </w:pPr>
            <w:r>
              <w:rPr>
                <w:rFonts w:hint="eastAsia" w:ascii="宋体" w:hAnsi="宋体" w:cs="宋体"/>
                <w:color w:val="auto"/>
                <w:spacing w:val="-6"/>
                <w:szCs w:val="21"/>
                <w:highlight w:val="none"/>
              </w:rPr>
              <w:t>3</w:t>
            </w:r>
          </w:p>
        </w:tc>
        <w:tc>
          <w:tcPr>
            <w:tcW w:w="7186" w:type="dxa"/>
            <w:tcBorders>
              <w:top w:val="single" w:color="auto" w:sz="4" w:space="0"/>
              <w:left w:val="single" w:color="auto" w:sz="4" w:space="0"/>
              <w:bottom w:val="single" w:color="auto" w:sz="4" w:space="0"/>
              <w:right w:val="single" w:color="auto" w:sz="4" w:space="0"/>
            </w:tcBorders>
            <w:vAlign w:val="center"/>
          </w:tcPr>
          <w:p w14:paraId="20A79A3E">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【客观分】</w:t>
            </w:r>
          </w:p>
          <w:p w14:paraId="1BB4A8B5">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有明确的服务方式（包括但不限于技术支持服务、电话邮件咨询服务、上门故障处理服务等）且提供详细服务方案和服务流程的，每一项得1分，最高不超过3分。</w:t>
            </w:r>
          </w:p>
        </w:tc>
      </w:tr>
      <w:tr w14:paraId="7A87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Merge w:val="continue"/>
            <w:tcBorders>
              <w:left w:val="single" w:color="auto" w:sz="4" w:space="0"/>
              <w:right w:val="single" w:color="auto" w:sz="4" w:space="0"/>
            </w:tcBorders>
            <w:vAlign w:val="center"/>
          </w:tcPr>
          <w:p w14:paraId="376446FF">
            <w:pPr>
              <w:spacing w:line="288" w:lineRule="auto"/>
              <w:jc w:val="center"/>
              <w:rPr>
                <w:rFonts w:ascii="宋体" w:hAnsi="宋体" w:cs="宋体"/>
                <w:color w:val="auto"/>
                <w:szCs w:val="21"/>
                <w:highlight w:val="none"/>
              </w:rPr>
            </w:pPr>
            <w:bookmarkStart w:id="34" w:name="OLE_LINK9" w:colFirst="1" w:colLast="1"/>
          </w:p>
        </w:tc>
        <w:tc>
          <w:tcPr>
            <w:tcW w:w="648" w:type="dxa"/>
            <w:tcBorders>
              <w:top w:val="single" w:color="auto" w:sz="4" w:space="0"/>
              <w:left w:val="single" w:color="auto" w:sz="4" w:space="0"/>
              <w:bottom w:val="single" w:color="auto" w:sz="4" w:space="0"/>
              <w:right w:val="single" w:color="auto" w:sz="4" w:space="0"/>
            </w:tcBorders>
            <w:vAlign w:val="center"/>
          </w:tcPr>
          <w:p w14:paraId="627B1EBF">
            <w:pPr>
              <w:spacing w:line="288" w:lineRule="auto"/>
              <w:jc w:val="center"/>
              <w:rPr>
                <w:rFonts w:hint="eastAsia"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5</w:t>
            </w:r>
          </w:p>
        </w:tc>
        <w:tc>
          <w:tcPr>
            <w:tcW w:w="7186" w:type="dxa"/>
            <w:tcBorders>
              <w:top w:val="single" w:color="auto" w:sz="4" w:space="0"/>
              <w:left w:val="single" w:color="auto" w:sz="4" w:space="0"/>
              <w:bottom w:val="single" w:color="auto" w:sz="4" w:space="0"/>
              <w:right w:val="single" w:color="auto" w:sz="4" w:space="0"/>
            </w:tcBorders>
            <w:vAlign w:val="center"/>
          </w:tcPr>
          <w:p w14:paraId="46E6BF6B">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【主观分】</w:t>
            </w:r>
          </w:p>
          <w:p w14:paraId="08A34152">
            <w:pPr>
              <w:numPr>
                <w:ilvl w:val="0"/>
                <w:numId w:val="0"/>
              </w:numPr>
              <w:spacing w:line="288" w:lineRule="auto"/>
              <w:jc w:val="left"/>
              <w:rPr>
                <w:rFonts w:hint="eastAsia" w:ascii="宋体" w:hAnsi="宋体" w:cs="宋体"/>
                <w:color w:val="auto"/>
                <w:szCs w:val="21"/>
                <w:highlight w:val="none"/>
              </w:rPr>
            </w:pPr>
            <w:r>
              <w:rPr>
                <w:rFonts w:hint="eastAsia"/>
                <w:color w:val="auto"/>
                <w:highlight w:val="none"/>
              </w:rPr>
              <w:t>根据</w:t>
            </w:r>
            <w:r>
              <w:rPr>
                <w:rFonts w:hint="eastAsia"/>
                <w:color w:val="auto"/>
                <w:highlight w:val="none"/>
                <w:lang w:eastAsia="zh-CN"/>
              </w:rPr>
              <w:t>投标人</w:t>
            </w:r>
            <w:r>
              <w:rPr>
                <w:rFonts w:hint="eastAsia"/>
                <w:color w:val="auto"/>
                <w:highlight w:val="none"/>
              </w:rPr>
              <w:t>提供的应急处置方案的合理性进行评分（评分范围：</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4</w:t>
            </w:r>
            <w:r>
              <w:rPr>
                <w:rFonts w:hint="eastAsia"/>
                <w:color w:val="auto"/>
                <w:highlight w:val="none"/>
              </w:rPr>
              <w:t>,</w:t>
            </w:r>
            <w:r>
              <w:rPr>
                <w:color w:val="auto"/>
                <w:highlight w:val="none"/>
              </w:rPr>
              <w:t>3</w:t>
            </w:r>
            <w:r>
              <w:rPr>
                <w:rFonts w:hint="eastAsia"/>
                <w:color w:val="auto"/>
                <w:highlight w:val="none"/>
              </w:rPr>
              <w:t>,</w:t>
            </w:r>
            <w:r>
              <w:rPr>
                <w:color w:val="auto"/>
                <w:highlight w:val="none"/>
              </w:rPr>
              <w:t>2</w:t>
            </w:r>
            <w:r>
              <w:rPr>
                <w:rFonts w:hint="eastAsia"/>
                <w:color w:val="auto"/>
                <w:highlight w:val="none"/>
              </w:rPr>
              <w:t>,</w:t>
            </w:r>
            <w:r>
              <w:rPr>
                <w:color w:val="auto"/>
                <w:highlight w:val="none"/>
              </w:rPr>
              <w:t>1,0</w:t>
            </w:r>
            <w:r>
              <w:rPr>
                <w:rFonts w:hint="eastAsia"/>
                <w:color w:val="auto"/>
                <w:highlight w:val="none"/>
              </w:rPr>
              <w:t>）；</w:t>
            </w:r>
          </w:p>
        </w:tc>
      </w:tr>
      <w:tr w14:paraId="5798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81" w:type="dxa"/>
            <w:vMerge w:val="continue"/>
            <w:tcBorders>
              <w:left w:val="single" w:color="auto" w:sz="4" w:space="0"/>
              <w:right w:val="single" w:color="auto" w:sz="4" w:space="0"/>
            </w:tcBorders>
            <w:vAlign w:val="center"/>
          </w:tcPr>
          <w:p w14:paraId="29C85AE4">
            <w:pPr>
              <w:spacing w:line="288" w:lineRule="auto"/>
              <w:jc w:val="center"/>
              <w:rPr>
                <w:rFonts w:ascii="宋体" w:hAnsi="宋体" w:cs="宋体"/>
                <w:color w:val="auto"/>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5229675">
            <w:pPr>
              <w:spacing w:line="288" w:lineRule="auto"/>
              <w:jc w:val="center"/>
              <w:rPr>
                <w:rFonts w:hint="eastAsia"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5</w:t>
            </w:r>
          </w:p>
        </w:tc>
        <w:tc>
          <w:tcPr>
            <w:tcW w:w="7186" w:type="dxa"/>
            <w:tcBorders>
              <w:top w:val="single" w:color="auto" w:sz="4" w:space="0"/>
              <w:left w:val="single" w:color="auto" w:sz="4" w:space="0"/>
              <w:bottom w:val="single" w:color="auto" w:sz="4" w:space="0"/>
              <w:right w:val="single" w:color="auto" w:sz="4" w:space="0"/>
            </w:tcBorders>
            <w:vAlign w:val="center"/>
          </w:tcPr>
          <w:p w14:paraId="2E90D6DE">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【主观分】</w:t>
            </w:r>
          </w:p>
          <w:p w14:paraId="36443637">
            <w:pPr>
              <w:spacing w:line="288" w:lineRule="auto"/>
              <w:jc w:val="left"/>
              <w:rPr>
                <w:rFonts w:hint="eastAsia" w:ascii="宋体" w:hAnsi="宋体" w:cs="宋体"/>
                <w:color w:val="auto"/>
                <w:szCs w:val="21"/>
                <w:highlight w:val="none"/>
              </w:rPr>
            </w:pPr>
            <w:r>
              <w:rPr>
                <w:rFonts w:hint="eastAsia"/>
                <w:color w:val="auto"/>
                <w:highlight w:val="none"/>
              </w:rPr>
              <w:t>根据</w:t>
            </w:r>
            <w:r>
              <w:rPr>
                <w:rFonts w:hint="eastAsia"/>
                <w:color w:val="auto"/>
                <w:highlight w:val="none"/>
                <w:lang w:eastAsia="zh-CN"/>
              </w:rPr>
              <w:t>投标人</w:t>
            </w:r>
            <w:r>
              <w:rPr>
                <w:rFonts w:hint="eastAsia"/>
                <w:color w:val="auto"/>
                <w:highlight w:val="none"/>
              </w:rPr>
              <w:t>提供的日常巡检服务</w:t>
            </w:r>
            <w:r>
              <w:rPr>
                <w:rFonts w:hint="eastAsia"/>
                <w:color w:val="auto"/>
                <w:highlight w:val="none"/>
                <w:lang w:eastAsia="zh-CN"/>
              </w:rPr>
              <w:t>方</w:t>
            </w:r>
            <w:r>
              <w:rPr>
                <w:rFonts w:hint="eastAsia"/>
                <w:color w:val="auto"/>
                <w:highlight w:val="none"/>
              </w:rPr>
              <w:t>案的合理性进行评分（评分范围：</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4</w:t>
            </w:r>
            <w:r>
              <w:rPr>
                <w:rFonts w:hint="eastAsia"/>
                <w:color w:val="auto"/>
                <w:highlight w:val="none"/>
              </w:rPr>
              <w:t>,</w:t>
            </w:r>
            <w:r>
              <w:rPr>
                <w:color w:val="auto"/>
                <w:highlight w:val="none"/>
              </w:rPr>
              <w:t>3</w:t>
            </w:r>
            <w:r>
              <w:rPr>
                <w:rFonts w:hint="eastAsia"/>
                <w:color w:val="auto"/>
                <w:highlight w:val="none"/>
              </w:rPr>
              <w:t>,</w:t>
            </w:r>
            <w:r>
              <w:rPr>
                <w:color w:val="auto"/>
                <w:highlight w:val="none"/>
              </w:rPr>
              <w:t>2</w:t>
            </w:r>
            <w:r>
              <w:rPr>
                <w:rFonts w:hint="eastAsia"/>
                <w:color w:val="auto"/>
                <w:highlight w:val="none"/>
              </w:rPr>
              <w:t>,</w:t>
            </w:r>
            <w:r>
              <w:rPr>
                <w:color w:val="auto"/>
                <w:highlight w:val="none"/>
              </w:rPr>
              <w:t>1,0</w:t>
            </w:r>
            <w:r>
              <w:rPr>
                <w:rFonts w:hint="eastAsia"/>
                <w:color w:val="auto"/>
                <w:highlight w:val="none"/>
              </w:rPr>
              <w:t>）</w:t>
            </w:r>
          </w:p>
        </w:tc>
      </w:tr>
      <w:tr w14:paraId="6E92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81" w:type="dxa"/>
            <w:vMerge w:val="restart"/>
            <w:tcBorders>
              <w:left w:val="single" w:color="auto" w:sz="4" w:space="0"/>
              <w:right w:val="single" w:color="auto" w:sz="4" w:space="0"/>
            </w:tcBorders>
            <w:vAlign w:val="center"/>
          </w:tcPr>
          <w:p w14:paraId="7E126D4B">
            <w:pPr>
              <w:jc w:val="center"/>
              <w:rPr>
                <w:rFonts w:ascii="宋体" w:hAnsi="宋体" w:cs="宋体"/>
                <w:color w:val="auto"/>
                <w:szCs w:val="21"/>
                <w:highlight w:val="none"/>
              </w:rPr>
            </w:pPr>
            <w:r>
              <w:rPr>
                <w:rFonts w:hint="eastAsia" w:ascii="宋体" w:hAnsi="宋体" w:cs="宋体"/>
                <w:color w:val="auto"/>
                <w:szCs w:val="21"/>
                <w:highlight w:val="none"/>
              </w:rPr>
              <w:t>人员投入情况</w:t>
            </w:r>
          </w:p>
        </w:tc>
        <w:tc>
          <w:tcPr>
            <w:tcW w:w="648" w:type="dxa"/>
            <w:tcBorders>
              <w:top w:val="single" w:color="auto" w:sz="4" w:space="0"/>
              <w:left w:val="single" w:color="auto" w:sz="4" w:space="0"/>
              <w:bottom w:val="single" w:color="auto" w:sz="4" w:space="0"/>
              <w:right w:val="single" w:color="auto" w:sz="4" w:space="0"/>
            </w:tcBorders>
            <w:vAlign w:val="center"/>
          </w:tcPr>
          <w:p w14:paraId="18C24245">
            <w:pPr>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186" w:type="dxa"/>
            <w:tcBorders>
              <w:top w:val="single" w:color="auto" w:sz="4" w:space="0"/>
              <w:left w:val="single" w:color="auto" w:sz="4" w:space="0"/>
              <w:bottom w:val="single" w:color="auto" w:sz="4" w:space="0"/>
              <w:right w:val="single" w:color="auto" w:sz="4" w:space="0"/>
            </w:tcBorders>
            <w:vAlign w:val="center"/>
          </w:tcPr>
          <w:p w14:paraId="6685740B">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【主观分】</w:t>
            </w:r>
          </w:p>
          <w:p w14:paraId="345A61F8">
            <w:pPr>
              <w:pStyle w:val="11"/>
              <w:rPr>
                <w:rFonts w:ascii="宋体" w:hAnsi="宋体" w:cs="宋体"/>
                <w:color w:val="auto"/>
                <w:szCs w:val="21"/>
                <w:highlight w:val="none"/>
              </w:rPr>
            </w:pPr>
            <w:r>
              <w:rPr>
                <w:rFonts w:hint="eastAsia" w:ascii="宋体" w:hAnsi="宋体" w:cs="宋体"/>
                <w:color w:val="auto"/>
                <w:szCs w:val="21"/>
                <w:highlight w:val="none"/>
              </w:rPr>
              <w:t>根据投标人拟担任本项目驻场人员情况的专业素质、技术能力、实施经验、资质等情况：充足、明确、针对采购需求及实际特点、有利于采购标的实现及合同履约（评分范围：5,4,3,2,1,0）。</w:t>
            </w:r>
          </w:p>
          <w:p w14:paraId="2079681F">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注：提供相关证明材料</w:t>
            </w:r>
            <w:r>
              <w:rPr>
                <w:rFonts w:hint="eastAsia" w:ascii="宋体" w:hAnsi="宋体" w:cs="宋体"/>
                <w:color w:val="auto"/>
                <w:kern w:val="0"/>
                <w:sz w:val="22"/>
                <w:highlight w:val="none"/>
                <w:lang w:bidi="ar"/>
              </w:rPr>
              <w:t>（以上人员，须提供2025年1月至投标截止日内任意一个月投标人为其缴纳的社保证明，无提供不得分）。</w:t>
            </w:r>
          </w:p>
        </w:tc>
      </w:tr>
      <w:tr w14:paraId="16D4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81" w:type="dxa"/>
            <w:vMerge w:val="continue"/>
            <w:tcBorders>
              <w:left w:val="single" w:color="auto" w:sz="4" w:space="0"/>
              <w:right w:val="single" w:color="auto" w:sz="4" w:space="0"/>
            </w:tcBorders>
            <w:vAlign w:val="center"/>
          </w:tcPr>
          <w:p w14:paraId="6CD32432">
            <w:pPr>
              <w:jc w:val="center"/>
              <w:rPr>
                <w:rFonts w:ascii="宋体" w:hAnsi="宋体" w:cs="宋体"/>
                <w:color w:val="auto"/>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7FA6B48A">
            <w:pPr>
              <w:jc w:val="center"/>
              <w:rPr>
                <w:rFonts w:ascii="宋体" w:hAnsi="宋体" w:cs="宋体"/>
                <w:color w:val="auto"/>
                <w:spacing w:val="-6"/>
                <w:szCs w:val="21"/>
                <w:highlight w:val="none"/>
              </w:rPr>
            </w:pPr>
            <w:r>
              <w:rPr>
                <w:rFonts w:hint="eastAsia" w:ascii="宋体" w:hAnsi="宋体" w:cs="宋体"/>
                <w:color w:val="auto"/>
                <w:spacing w:val="-6"/>
                <w:szCs w:val="21"/>
                <w:highlight w:val="none"/>
              </w:rPr>
              <w:t>5</w:t>
            </w:r>
          </w:p>
        </w:tc>
        <w:tc>
          <w:tcPr>
            <w:tcW w:w="7186" w:type="dxa"/>
            <w:tcBorders>
              <w:top w:val="single" w:color="auto" w:sz="4" w:space="0"/>
              <w:left w:val="single" w:color="auto" w:sz="4" w:space="0"/>
              <w:bottom w:val="single" w:color="auto" w:sz="4" w:space="0"/>
              <w:right w:val="single" w:color="auto" w:sz="4" w:space="0"/>
            </w:tcBorders>
            <w:vAlign w:val="center"/>
          </w:tcPr>
          <w:p w14:paraId="11865C60">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【客观分】</w:t>
            </w:r>
          </w:p>
          <w:p w14:paraId="450F3DE8">
            <w:pPr>
              <w:spacing w:line="288"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项目组实施团队维保能力情况：</w:t>
            </w:r>
            <w:r>
              <w:rPr>
                <w:rFonts w:hint="eastAsia" w:ascii="宋体" w:hAnsi="宋体"/>
                <w:color w:val="auto"/>
                <w:spacing w:val="2"/>
                <w:kern w:val="0"/>
                <w:szCs w:val="21"/>
                <w:highlight w:val="none"/>
              </w:rPr>
              <w:t>拟派本项目团队成员具有电子仪器与电子测量，仪器仪表，设备，机械专业中级或以上技术职称的，每一个</w:t>
            </w:r>
            <w:r>
              <w:rPr>
                <w:rFonts w:hint="eastAsia" w:ascii="宋体" w:hAnsi="宋体"/>
                <w:color w:val="auto"/>
                <w:spacing w:val="2"/>
                <w:kern w:val="0"/>
                <w:szCs w:val="21"/>
                <w:highlight w:val="none"/>
                <w:lang w:eastAsia="zh-CN"/>
              </w:rPr>
              <w:t>证书</w:t>
            </w:r>
            <w:r>
              <w:rPr>
                <w:rFonts w:hint="eastAsia" w:ascii="宋体" w:hAnsi="宋体"/>
                <w:color w:val="auto"/>
                <w:spacing w:val="2"/>
                <w:kern w:val="0"/>
                <w:szCs w:val="21"/>
                <w:highlight w:val="none"/>
              </w:rPr>
              <w:t>得0</w:t>
            </w:r>
            <w:r>
              <w:rPr>
                <w:rFonts w:ascii="宋体" w:hAnsi="宋体"/>
                <w:color w:val="auto"/>
                <w:spacing w:val="2"/>
                <w:kern w:val="0"/>
                <w:szCs w:val="21"/>
                <w:highlight w:val="none"/>
              </w:rPr>
              <w:t>.5</w:t>
            </w:r>
            <w:r>
              <w:rPr>
                <w:rFonts w:hint="eastAsia" w:ascii="宋体" w:hAnsi="宋体"/>
                <w:color w:val="auto"/>
                <w:spacing w:val="2"/>
                <w:kern w:val="0"/>
                <w:szCs w:val="21"/>
                <w:highlight w:val="none"/>
              </w:rPr>
              <w:t>分，最高5分</w:t>
            </w:r>
            <w:r>
              <w:rPr>
                <w:rFonts w:hint="eastAsia" w:ascii="宋体" w:hAnsi="宋体"/>
                <w:color w:val="auto"/>
                <w:spacing w:val="2"/>
                <w:kern w:val="0"/>
                <w:szCs w:val="21"/>
                <w:highlight w:val="none"/>
                <w:lang w:val="en-US" w:eastAsia="zh-CN"/>
              </w:rPr>
              <w:t xml:space="preserve"> </w:t>
            </w:r>
          </w:p>
          <w:p w14:paraId="0763CBCE">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注：提供相关证书</w:t>
            </w:r>
            <w:r>
              <w:rPr>
                <w:rFonts w:hint="eastAsia" w:ascii="宋体" w:hAnsi="宋体" w:cs="宋体"/>
                <w:color w:val="auto"/>
                <w:kern w:val="0"/>
                <w:sz w:val="22"/>
                <w:highlight w:val="none"/>
                <w:lang w:bidi="ar"/>
              </w:rPr>
              <w:t>（以上人员，须提供2025年1月至投标截止日内任意一个月投标人为其缴纳的社保证明，无提供不得分）</w:t>
            </w:r>
            <w:r>
              <w:rPr>
                <w:rFonts w:hint="eastAsia" w:ascii="宋体" w:hAnsi="宋体" w:cs="宋体"/>
                <w:color w:val="auto"/>
                <w:szCs w:val="21"/>
                <w:highlight w:val="none"/>
              </w:rPr>
              <w:t>。</w:t>
            </w:r>
          </w:p>
        </w:tc>
      </w:tr>
      <w:bookmarkEnd w:id="34"/>
      <w:tr w14:paraId="433A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81" w:type="dxa"/>
            <w:tcBorders>
              <w:left w:val="single" w:color="auto" w:sz="4" w:space="0"/>
              <w:right w:val="single" w:color="auto" w:sz="4" w:space="0"/>
            </w:tcBorders>
            <w:vAlign w:val="center"/>
          </w:tcPr>
          <w:p w14:paraId="6FFDFA22">
            <w:pPr>
              <w:jc w:val="center"/>
              <w:rPr>
                <w:rFonts w:ascii="宋体" w:hAnsi="宋体" w:cs="宋体"/>
                <w:color w:val="auto"/>
                <w:szCs w:val="21"/>
                <w:highlight w:val="none"/>
                <w:lang w:bidi="ar"/>
              </w:rPr>
            </w:pPr>
            <w:r>
              <w:rPr>
                <w:rFonts w:hint="eastAsia" w:ascii="宋体" w:hAnsi="宋体" w:cs="宋体"/>
                <w:color w:val="auto"/>
                <w:szCs w:val="21"/>
                <w:highlight w:val="none"/>
              </w:rPr>
              <w:t>安全管理</w:t>
            </w:r>
          </w:p>
        </w:tc>
        <w:tc>
          <w:tcPr>
            <w:tcW w:w="648" w:type="dxa"/>
            <w:tcBorders>
              <w:top w:val="single" w:color="auto" w:sz="4" w:space="0"/>
              <w:left w:val="single" w:color="auto" w:sz="4" w:space="0"/>
              <w:bottom w:val="single" w:color="auto" w:sz="4" w:space="0"/>
              <w:right w:val="single" w:color="auto" w:sz="4" w:space="0"/>
            </w:tcBorders>
            <w:vAlign w:val="center"/>
          </w:tcPr>
          <w:p w14:paraId="4161B926">
            <w:pPr>
              <w:jc w:val="center"/>
              <w:rPr>
                <w:rFonts w:ascii="宋体" w:hAnsi="宋体" w:cs="宋体"/>
                <w:color w:val="auto"/>
                <w:szCs w:val="21"/>
                <w:highlight w:val="none"/>
                <w:lang w:bidi="ar"/>
              </w:rPr>
            </w:pPr>
            <w:r>
              <w:rPr>
                <w:rFonts w:hint="eastAsia" w:ascii="宋体" w:hAnsi="宋体" w:cs="宋体"/>
                <w:color w:val="auto"/>
                <w:spacing w:val="-6"/>
                <w:szCs w:val="21"/>
                <w:highlight w:val="none"/>
              </w:rPr>
              <w:t>5</w:t>
            </w:r>
          </w:p>
        </w:tc>
        <w:tc>
          <w:tcPr>
            <w:tcW w:w="7186" w:type="dxa"/>
            <w:tcBorders>
              <w:top w:val="single" w:color="auto" w:sz="4" w:space="0"/>
              <w:left w:val="single" w:color="auto" w:sz="4" w:space="0"/>
              <w:bottom w:val="single" w:color="auto" w:sz="4" w:space="0"/>
              <w:right w:val="single" w:color="auto" w:sz="4" w:space="0"/>
            </w:tcBorders>
            <w:vAlign w:val="center"/>
          </w:tcPr>
          <w:p w14:paraId="78277E46">
            <w:pPr>
              <w:pStyle w:val="3"/>
              <w:spacing w:after="0" w:line="288" w:lineRule="auto"/>
              <w:rPr>
                <w:rFonts w:ascii="宋体" w:hAnsi="宋体" w:cs="宋体"/>
                <w:color w:val="auto"/>
                <w:szCs w:val="21"/>
                <w:highlight w:val="none"/>
              </w:rPr>
            </w:pPr>
            <w:r>
              <w:rPr>
                <w:rFonts w:hint="eastAsia" w:ascii="宋体" w:hAnsi="宋体" w:cs="宋体"/>
                <w:color w:val="auto"/>
                <w:szCs w:val="21"/>
                <w:highlight w:val="none"/>
              </w:rPr>
              <w:t>【主观分】</w:t>
            </w:r>
          </w:p>
          <w:p w14:paraId="51F89F64">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安全保密方案（包括人员的安全管理、设备及数据安全管理等内容）：针对</w:t>
            </w:r>
            <w:r>
              <w:rPr>
                <w:rFonts w:hint="eastAsia" w:ascii="宋体" w:hAnsi="宋体" w:cs="宋体"/>
                <w:color w:val="auto"/>
                <w:szCs w:val="21"/>
                <w:highlight w:val="none"/>
                <w:lang w:eastAsia="zh-CN"/>
              </w:rPr>
              <w:t>根据</w:t>
            </w:r>
            <w:r>
              <w:rPr>
                <w:rFonts w:hint="eastAsia" w:ascii="宋体" w:hAnsi="宋体" w:cs="宋体"/>
                <w:color w:val="auto"/>
                <w:szCs w:val="21"/>
                <w:highlight w:val="none"/>
              </w:rPr>
              <w:t>采购需求及实际特点、有利于采购标的实现及合同履约（评分范围：5,4,3,2,1,0）。</w:t>
            </w:r>
          </w:p>
        </w:tc>
      </w:tr>
      <w:tr w14:paraId="43FE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81" w:type="dxa"/>
            <w:tcBorders>
              <w:left w:val="single" w:color="auto" w:sz="4" w:space="0"/>
              <w:right w:val="single" w:color="auto" w:sz="4" w:space="0"/>
            </w:tcBorders>
            <w:vAlign w:val="center"/>
          </w:tcPr>
          <w:p w14:paraId="3E364F89">
            <w:pPr>
              <w:jc w:val="center"/>
              <w:rPr>
                <w:rFonts w:ascii="宋体" w:hAnsi="宋体" w:cs="宋体"/>
                <w:color w:val="auto"/>
                <w:highlight w:val="none"/>
              </w:rPr>
            </w:pPr>
            <w:r>
              <w:rPr>
                <w:rFonts w:hint="eastAsia"/>
                <w:color w:val="auto"/>
                <w:highlight w:val="none"/>
              </w:rPr>
              <w:t>大型仪器综合服务能力</w:t>
            </w:r>
          </w:p>
        </w:tc>
        <w:tc>
          <w:tcPr>
            <w:tcW w:w="648" w:type="dxa"/>
            <w:tcBorders>
              <w:top w:val="single" w:color="auto" w:sz="4" w:space="0"/>
              <w:left w:val="single" w:color="auto" w:sz="4" w:space="0"/>
              <w:bottom w:val="single" w:color="auto" w:sz="4" w:space="0"/>
              <w:right w:val="single" w:color="auto" w:sz="4" w:space="0"/>
            </w:tcBorders>
            <w:vAlign w:val="center"/>
          </w:tcPr>
          <w:p w14:paraId="133BF46C">
            <w:pPr>
              <w:jc w:val="center"/>
              <w:rPr>
                <w:rFonts w:hint="default" w:ascii="宋体" w:hAnsi="宋体" w:eastAsia="宋体" w:cs="宋体"/>
                <w:color w:val="auto"/>
                <w:spacing w:val="-6"/>
                <w:szCs w:val="21"/>
                <w:highlight w:val="none"/>
                <w:lang w:val="en-US" w:eastAsia="zh-CN"/>
              </w:rPr>
            </w:pPr>
            <w:r>
              <w:rPr>
                <w:rFonts w:hint="eastAsia" w:ascii="宋体" w:hAnsi="宋体" w:cs="宋体"/>
                <w:color w:val="auto"/>
                <w:spacing w:val="-6"/>
                <w:szCs w:val="21"/>
                <w:highlight w:val="none"/>
                <w:lang w:val="en-US" w:eastAsia="zh-CN"/>
              </w:rPr>
              <w:t>12</w:t>
            </w:r>
          </w:p>
        </w:tc>
        <w:tc>
          <w:tcPr>
            <w:tcW w:w="7186" w:type="dxa"/>
            <w:tcBorders>
              <w:top w:val="single" w:color="auto" w:sz="4" w:space="0"/>
              <w:left w:val="single" w:color="auto" w:sz="4" w:space="0"/>
              <w:bottom w:val="single" w:color="auto" w:sz="4" w:space="0"/>
              <w:right w:val="single" w:color="auto" w:sz="4" w:space="0"/>
            </w:tcBorders>
            <w:vAlign w:val="center"/>
          </w:tcPr>
          <w:p w14:paraId="462E85E6">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【主观分】</w:t>
            </w:r>
          </w:p>
          <w:p w14:paraId="4E63FF21">
            <w:pPr>
              <w:spacing w:line="288" w:lineRule="auto"/>
              <w:jc w:val="left"/>
              <w:rPr>
                <w:color w:val="auto"/>
                <w:highlight w:val="none"/>
              </w:rPr>
            </w:pPr>
            <w:r>
              <w:rPr>
                <w:rFonts w:hint="eastAsia"/>
                <w:color w:val="auto"/>
                <w:highlight w:val="none"/>
              </w:rPr>
              <w:t>根据投标人提供的大型仪器维修服务能力证明情况进行打分（针对目前学校同类型设备软硬件维修服务能力提供具体证明材料）：</w:t>
            </w:r>
          </w:p>
          <w:p w14:paraId="46FD238D">
            <w:pPr>
              <w:numPr>
                <w:ilvl w:val="0"/>
                <w:numId w:val="17"/>
              </w:numPr>
              <w:spacing w:line="288" w:lineRule="auto"/>
              <w:jc w:val="left"/>
              <w:rPr>
                <w:color w:val="auto"/>
                <w:highlight w:val="none"/>
              </w:rPr>
            </w:pPr>
            <w:r>
              <w:rPr>
                <w:rFonts w:hint="eastAsia"/>
                <w:color w:val="auto"/>
                <w:highlight w:val="none"/>
              </w:rPr>
              <w:t>包含各类大型仪器原理、维修的</w:t>
            </w:r>
            <w:r>
              <w:rPr>
                <w:rFonts w:hint="eastAsia" w:ascii="宋体" w:hAnsi="宋体" w:cs="Arial"/>
                <w:color w:val="auto"/>
                <w:szCs w:val="21"/>
                <w:highlight w:val="none"/>
              </w:rPr>
              <w:t>基本技术规范等内容</w:t>
            </w:r>
            <w:r>
              <w:rPr>
                <w:rFonts w:hint="eastAsia"/>
                <w:color w:val="auto"/>
                <w:highlight w:val="none"/>
              </w:rPr>
              <w:t>（评分范围： 4,3,2,1,0）；</w:t>
            </w:r>
          </w:p>
          <w:p w14:paraId="77E59387">
            <w:pPr>
              <w:numPr>
                <w:ilvl w:val="0"/>
                <w:numId w:val="17"/>
              </w:numPr>
              <w:spacing w:line="288" w:lineRule="auto"/>
              <w:jc w:val="left"/>
              <w:rPr>
                <w:color w:val="auto"/>
                <w:highlight w:val="none"/>
              </w:rPr>
            </w:pPr>
            <w:r>
              <w:rPr>
                <w:rFonts w:hint="eastAsia"/>
                <w:color w:val="auto"/>
                <w:highlight w:val="none"/>
              </w:rPr>
              <w:t>各类大型仪器设备原厂技术支持力度（评分范围：4,3,2,1,0）；</w:t>
            </w:r>
          </w:p>
          <w:p w14:paraId="50E8B34B">
            <w:pPr>
              <w:numPr>
                <w:ilvl w:val="0"/>
                <w:numId w:val="17"/>
              </w:numPr>
              <w:spacing w:line="288" w:lineRule="auto"/>
              <w:jc w:val="left"/>
              <w:rPr>
                <w:rFonts w:hint="eastAsia"/>
                <w:color w:val="auto"/>
                <w:highlight w:val="none"/>
              </w:rPr>
            </w:pPr>
            <w:r>
              <w:rPr>
                <w:rFonts w:hint="eastAsia"/>
                <w:color w:val="auto"/>
                <w:highlight w:val="none"/>
              </w:rPr>
              <w:t>投标人针对学校各类大型仪器设备维修专业性的证明材料（评分范围：4,3,2,1,0）；</w:t>
            </w:r>
          </w:p>
        </w:tc>
      </w:tr>
      <w:tr w14:paraId="7D2A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781" w:type="dxa"/>
            <w:tcBorders>
              <w:left w:val="single" w:color="auto" w:sz="4" w:space="0"/>
              <w:right w:val="single" w:color="auto" w:sz="4" w:space="0"/>
            </w:tcBorders>
            <w:vAlign w:val="center"/>
          </w:tcPr>
          <w:p w14:paraId="7CD97184">
            <w:pPr>
              <w:jc w:val="center"/>
              <w:rPr>
                <w:color w:val="auto"/>
                <w:highlight w:val="none"/>
              </w:rPr>
            </w:pPr>
            <w:r>
              <w:rPr>
                <w:rFonts w:hint="eastAsia" w:ascii="宋体" w:hAnsi="宋体"/>
                <w:color w:val="auto"/>
                <w:kern w:val="0"/>
                <w:szCs w:val="21"/>
                <w:highlight w:val="none"/>
              </w:rPr>
              <w:t>维保维修保障能力</w:t>
            </w:r>
          </w:p>
        </w:tc>
        <w:tc>
          <w:tcPr>
            <w:tcW w:w="648" w:type="dxa"/>
            <w:tcBorders>
              <w:top w:val="single" w:color="auto" w:sz="4" w:space="0"/>
              <w:left w:val="single" w:color="auto" w:sz="4" w:space="0"/>
              <w:bottom w:val="single" w:color="auto" w:sz="4" w:space="0"/>
              <w:right w:val="single" w:color="auto" w:sz="4" w:space="0"/>
            </w:tcBorders>
            <w:vAlign w:val="center"/>
          </w:tcPr>
          <w:p w14:paraId="013EA91B">
            <w:pPr>
              <w:jc w:val="center"/>
              <w:rPr>
                <w:rFonts w:ascii="宋体" w:hAnsi="宋体" w:cs="宋体"/>
                <w:color w:val="auto"/>
                <w:spacing w:val="-6"/>
                <w:szCs w:val="21"/>
                <w:highlight w:val="none"/>
              </w:rPr>
            </w:pPr>
            <w:r>
              <w:rPr>
                <w:rFonts w:ascii="宋体" w:hAnsi="宋体" w:cs="宋体"/>
                <w:color w:val="auto"/>
                <w:spacing w:val="-6"/>
                <w:szCs w:val="21"/>
                <w:highlight w:val="none"/>
              </w:rPr>
              <w:t>6</w:t>
            </w:r>
          </w:p>
        </w:tc>
        <w:tc>
          <w:tcPr>
            <w:tcW w:w="7186" w:type="dxa"/>
            <w:tcBorders>
              <w:top w:val="single" w:color="auto" w:sz="4" w:space="0"/>
              <w:left w:val="single" w:color="auto" w:sz="4" w:space="0"/>
              <w:right w:val="single" w:color="auto" w:sz="4" w:space="0"/>
            </w:tcBorders>
            <w:vAlign w:val="center"/>
          </w:tcPr>
          <w:p w14:paraId="31D837A8">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【客观分】</w:t>
            </w:r>
          </w:p>
          <w:p w14:paraId="6775EAC2">
            <w:pPr>
              <w:numPr>
                <w:ilvl w:val="0"/>
                <w:numId w:val="18"/>
              </w:numPr>
              <w:spacing w:line="288" w:lineRule="auto"/>
              <w:jc w:val="left"/>
              <w:rPr>
                <w:rFonts w:hint="eastAsia"/>
                <w:color w:val="auto"/>
                <w:highlight w:val="none"/>
              </w:rPr>
            </w:pPr>
            <w:r>
              <w:rPr>
                <w:rFonts w:hint="eastAsia"/>
                <w:color w:val="auto"/>
                <w:highlight w:val="none"/>
              </w:rPr>
              <w:t>投标人具有备品备件仓库，提供配件仓库实景照片、产权证明（或租赁合同）能提供的得2分，没有不得分。</w:t>
            </w:r>
          </w:p>
          <w:p w14:paraId="7C4DFE20">
            <w:pPr>
              <w:spacing w:line="288" w:lineRule="auto"/>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主</w:t>
            </w:r>
            <w:r>
              <w:rPr>
                <w:rFonts w:hint="eastAsia" w:ascii="宋体" w:hAnsi="宋体" w:cs="宋体"/>
                <w:color w:val="auto"/>
                <w:szCs w:val="21"/>
                <w:highlight w:val="none"/>
              </w:rPr>
              <w:t>观分】</w:t>
            </w:r>
          </w:p>
          <w:p w14:paraId="3F802AE6">
            <w:pPr>
              <w:pStyle w:val="2"/>
              <w:ind w:firstLine="0" w:firstLineChars="0"/>
              <w:rPr>
                <w:rFonts w:hint="eastAsia"/>
                <w:color w:val="auto"/>
                <w:highlight w:val="none"/>
              </w:rPr>
            </w:pPr>
            <w:r>
              <w:rPr>
                <w:rFonts w:hint="eastAsia" w:ascii="Calibri"/>
                <w:b w:val="0"/>
                <w:color w:val="auto"/>
                <w:kern w:val="2"/>
                <w:sz w:val="21"/>
                <w:szCs w:val="22"/>
                <w:highlight w:val="none"/>
              </w:rPr>
              <w:t>2、根据投标人提供的维修备品备件情况（包括备品备件仓库储设备设施齐全性、本项目维保服务所需的正品厂家零配件、备品备件的来源、清单、储备及管理等）进行打分（评分范围：4,3</w:t>
            </w:r>
            <w:r>
              <w:rPr>
                <w:rFonts w:ascii="Calibri"/>
                <w:b w:val="0"/>
                <w:color w:val="auto"/>
                <w:kern w:val="2"/>
                <w:sz w:val="21"/>
                <w:szCs w:val="22"/>
                <w:highlight w:val="none"/>
              </w:rPr>
              <w:t>,2,1,</w:t>
            </w:r>
            <w:r>
              <w:rPr>
                <w:rFonts w:hint="eastAsia" w:ascii="Calibri"/>
                <w:b w:val="0"/>
                <w:color w:val="auto"/>
                <w:kern w:val="2"/>
                <w:sz w:val="21"/>
                <w:szCs w:val="22"/>
                <w:highlight w:val="none"/>
              </w:rPr>
              <w:t>0）</w:t>
            </w:r>
          </w:p>
        </w:tc>
      </w:tr>
    </w:tbl>
    <w:p w14:paraId="6C61C5A5">
      <w:pPr>
        <w:spacing w:line="360" w:lineRule="exact"/>
        <w:rPr>
          <w:rFonts w:ascii="宋体" w:hAnsi="宋体" w:cs="宋体"/>
          <w:color w:val="auto"/>
          <w:sz w:val="22"/>
          <w:highlight w:val="none"/>
        </w:rPr>
      </w:pPr>
      <w:r>
        <w:rPr>
          <w:rFonts w:hint="eastAsia" w:ascii="宋体" w:hAnsi="宋体" w:cs="宋体"/>
          <w:color w:val="auto"/>
          <w:sz w:val="22"/>
          <w:highlight w:val="none"/>
        </w:rPr>
        <w:t>2.报价评分（20分）：</w:t>
      </w:r>
    </w:p>
    <w:p w14:paraId="7DE83A95">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2.1资格及符合性审查通过的有效投标人进入商务报价评分。</w:t>
      </w:r>
    </w:p>
    <w:p w14:paraId="511C58D8">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报价评分采用低价优先法计算，即满足招标文件要求且评审价格最低的为评标基准价，其价格分为满分。其他投标人的报价分按照下列公式计算：</w:t>
      </w:r>
    </w:p>
    <w:p w14:paraId="478933E7">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报价分=（评标基准价/评审价格）×20。</w:t>
      </w:r>
    </w:p>
    <w:p w14:paraId="75991229">
      <w:pPr>
        <w:spacing w:line="3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注：以上四舍五入后保留小数2位</w:t>
      </w:r>
    </w:p>
    <w:p w14:paraId="0C5AA8A8">
      <w:pPr>
        <w:spacing w:line="36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投标如缺少须提供的一种功能或配置或服务，该价格将在其投标价的基础上加上其他投标人相应分项价格的最高价。如若中标，该缺漏项费用将由中标人自行承担，投标报价不做调整。</w:t>
      </w:r>
    </w:p>
    <w:p w14:paraId="0D04EEF4">
      <w:pPr>
        <w:spacing w:line="36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2.2</w:t>
      </w:r>
      <w:r>
        <w:rPr>
          <w:rFonts w:hint="eastAsia" w:ascii="宋体" w:hAnsi="宋体" w:cs="宋体"/>
          <w:color w:val="auto"/>
          <w:sz w:val="22"/>
          <w:highlight w:val="none"/>
        </w:rPr>
        <w:t>投标人的综合评分为“商务和技术分”和“报价分”的总计。</w:t>
      </w:r>
    </w:p>
    <w:sectPr>
      <w:pgSz w:w="11906" w:h="16838"/>
      <w:pgMar w:top="1134" w:right="1134"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KaiTi_GB2312">
    <w:altName w:val="Arial Unicode MS"/>
    <w:panose1 w:val="020B0604020202020204"/>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8D8ED">
    <w:pPr>
      <w:pStyle w:val="21"/>
      <w:ind w:right="359" w:rightChars="17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59105" cy="147955"/>
              <wp:effectExtent l="0" t="0" r="0" b="0"/>
              <wp:wrapNone/>
              <wp:docPr id="12" name="Quad Arrow 1"/>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a:effectLst/>
                    </wps:spPr>
                    <wps:txbx>
                      <w:txbxContent>
                        <w:p w14:paraId="2B6A6A8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1.65pt;width:36.15pt;mso-position-horizontal:center;mso-position-horizontal-relative:margin;mso-wrap-style:none;z-index:251663360;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JRAk3RAAAAAwEAAA8AAAAAAAAAAQAgAAAAIgAAAGRycy9kb3ducmV2Lnht&#10;bFBLAQIUABQAAAAIAIdO4kAsEcd1xwEAAKcDAAAOAAAAAAAAAAEAIAAAACABAABkcnMvZTJvRG9j&#10;LnhtbFBLBQYAAAAABgAGAFkBAABZBQAAAAA=&#10;">
              <v:fill on="f" focussize="0,0"/>
              <v:stroke on="f"/>
              <v:imagedata o:title=""/>
              <o:lock v:ext="edit" aspectratio="f"/>
              <v:textbox inset="0mm,0mm,0mm,0mm" style="mso-fit-shape-to-text:t;">
                <w:txbxContent>
                  <w:p w14:paraId="2B6A6A86">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4089F">
    <w:pPr>
      <w:pStyle w:val="22"/>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77B9"/>
    <w:multiLevelType w:val="singleLevel"/>
    <w:tmpl w:val="82E977B9"/>
    <w:lvl w:ilvl="0" w:tentative="0">
      <w:start w:val="1"/>
      <w:numFmt w:val="decimal"/>
      <w:suff w:val="nothing"/>
      <w:lvlText w:val="（%1）"/>
      <w:lvlJc w:val="left"/>
    </w:lvl>
  </w:abstractNum>
  <w:abstractNum w:abstractNumId="1">
    <w:nsid w:val="A81FCCBE"/>
    <w:multiLevelType w:val="singleLevel"/>
    <w:tmpl w:val="A81FCCBE"/>
    <w:lvl w:ilvl="0" w:tentative="0">
      <w:start w:val="1"/>
      <w:numFmt w:val="decimal"/>
      <w:lvlText w:val="%1."/>
      <w:lvlJc w:val="left"/>
      <w:pPr>
        <w:tabs>
          <w:tab w:val="left" w:pos="312"/>
        </w:tabs>
      </w:pPr>
    </w:lvl>
  </w:abstractNum>
  <w:abstractNum w:abstractNumId="2">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BB6616B5"/>
    <w:multiLevelType w:val="singleLevel"/>
    <w:tmpl w:val="BB6616B5"/>
    <w:lvl w:ilvl="0" w:tentative="0">
      <w:start w:val="1"/>
      <w:numFmt w:val="decimal"/>
      <w:lvlText w:val="(%1)"/>
      <w:lvlJc w:val="left"/>
      <w:pPr>
        <w:ind w:left="425" w:hanging="425"/>
      </w:pPr>
      <w:rPr>
        <w:rFonts w:hint="default"/>
      </w:rPr>
    </w:lvl>
  </w:abstractNum>
  <w:abstractNum w:abstractNumId="4">
    <w:nsid w:val="C8B16661"/>
    <w:multiLevelType w:val="singleLevel"/>
    <w:tmpl w:val="C8B16661"/>
    <w:lvl w:ilvl="0" w:tentative="0">
      <w:start w:val="1"/>
      <w:numFmt w:val="chineseCounting"/>
      <w:suff w:val="nothing"/>
      <w:lvlText w:val="%1、"/>
      <w:lvlJc w:val="left"/>
      <w:rPr>
        <w:rFonts w:hint="eastAsia"/>
      </w:rPr>
    </w:lvl>
  </w:abstractNum>
  <w:abstractNum w:abstractNumId="5">
    <w:nsid w:val="F530A711"/>
    <w:multiLevelType w:val="singleLevel"/>
    <w:tmpl w:val="F530A711"/>
    <w:lvl w:ilvl="0" w:tentative="0">
      <w:start w:val="1"/>
      <w:numFmt w:val="decimal"/>
      <w:suff w:val="nothing"/>
      <w:lvlText w:val="%1．"/>
      <w:lvlJc w:val="left"/>
      <w:pPr>
        <w:ind w:left="0" w:firstLine="400"/>
      </w:pPr>
      <w:rPr>
        <w:rFonts w:hint="default"/>
      </w:rPr>
    </w:lvl>
  </w:abstractNum>
  <w:abstractNum w:abstractNumId="6">
    <w:nsid w:val="02977C61"/>
    <w:multiLevelType w:val="multilevel"/>
    <w:tmpl w:val="02977C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C8E67E7"/>
    <w:multiLevelType w:val="multilevel"/>
    <w:tmpl w:val="0C8E67E7"/>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cs="Wingdings"/>
      </w:rPr>
    </w:lvl>
    <w:lvl w:ilvl="2" w:tentative="0">
      <w:start w:val="1"/>
      <w:numFmt w:val="bullet"/>
      <w:lvlText w:val=""/>
      <w:lvlJc w:val="left"/>
      <w:pPr>
        <w:ind w:left="2040" w:hanging="440"/>
      </w:pPr>
      <w:rPr>
        <w:rFonts w:hint="default" w:ascii="Wingdings" w:hAnsi="Wingdings" w:cs="Wingdings"/>
      </w:rPr>
    </w:lvl>
    <w:lvl w:ilvl="3" w:tentative="0">
      <w:start w:val="1"/>
      <w:numFmt w:val="bullet"/>
      <w:lvlText w:val=""/>
      <w:lvlJc w:val="left"/>
      <w:pPr>
        <w:ind w:left="2480" w:hanging="440"/>
      </w:pPr>
      <w:rPr>
        <w:rFonts w:hint="default" w:ascii="Wingdings" w:hAnsi="Wingdings" w:cs="Wingdings"/>
      </w:rPr>
    </w:lvl>
    <w:lvl w:ilvl="4" w:tentative="0">
      <w:start w:val="1"/>
      <w:numFmt w:val="bullet"/>
      <w:lvlText w:val=""/>
      <w:lvlJc w:val="left"/>
      <w:pPr>
        <w:ind w:left="2920" w:hanging="440"/>
      </w:pPr>
      <w:rPr>
        <w:rFonts w:hint="default" w:ascii="Wingdings" w:hAnsi="Wingdings" w:cs="Wingdings"/>
      </w:rPr>
    </w:lvl>
    <w:lvl w:ilvl="5" w:tentative="0">
      <w:start w:val="1"/>
      <w:numFmt w:val="bullet"/>
      <w:lvlText w:val=""/>
      <w:lvlJc w:val="left"/>
      <w:pPr>
        <w:ind w:left="3360" w:hanging="440"/>
      </w:pPr>
      <w:rPr>
        <w:rFonts w:hint="default" w:ascii="Wingdings" w:hAnsi="Wingdings" w:cs="Wingdings"/>
      </w:rPr>
    </w:lvl>
    <w:lvl w:ilvl="6" w:tentative="0">
      <w:start w:val="1"/>
      <w:numFmt w:val="bullet"/>
      <w:lvlText w:val=""/>
      <w:lvlJc w:val="left"/>
      <w:pPr>
        <w:ind w:left="3800" w:hanging="440"/>
      </w:pPr>
      <w:rPr>
        <w:rFonts w:hint="default" w:ascii="Wingdings" w:hAnsi="Wingdings" w:cs="Wingdings"/>
      </w:rPr>
    </w:lvl>
    <w:lvl w:ilvl="7" w:tentative="0">
      <w:start w:val="1"/>
      <w:numFmt w:val="bullet"/>
      <w:lvlText w:val=""/>
      <w:lvlJc w:val="left"/>
      <w:pPr>
        <w:ind w:left="4240" w:hanging="440"/>
      </w:pPr>
      <w:rPr>
        <w:rFonts w:hint="default" w:ascii="Wingdings" w:hAnsi="Wingdings" w:cs="Wingdings"/>
      </w:rPr>
    </w:lvl>
    <w:lvl w:ilvl="8" w:tentative="0">
      <w:start w:val="1"/>
      <w:numFmt w:val="bullet"/>
      <w:lvlText w:val=""/>
      <w:lvlJc w:val="left"/>
      <w:pPr>
        <w:ind w:left="4680" w:hanging="440"/>
      </w:pPr>
      <w:rPr>
        <w:rFonts w:hint="default" w:ascii="Wingdings" w:hAnsi="Wingdings" w:cs="Wingdings"/>
      </w:rPr>
    </w:lvl>
  </w:abstractNum>
  <w:abstractNum w:abstractNumId="8">
    <w:nsid w:val="14F81987"/>
    <w:multiLevelType w:val="multilevel"/>
    <w:tmpl w:val="14F81987"/>
    <w:lvl w:ilvl="0" w:tentative="0">
      <w:start w:val="1"/>
      <w:numFmt w:val="chineseCountingThousand"/>
      <w:lvlText w:val="(%1)"/>
      <w:lvlJc w:val="left"/>
      <w:pPr>
        <w:tabs>
          <w:tab w:val="left" w:pos="720"/>
        </w:tabs>
        <w:ind w:left="720" w:hanging="360"/>
      </w:pPr>
    </w:lvl>
    <w:lvl w:ilvl="1" w:tentative="0">
      <w:start w:val="0"/>
      <w:numFmt w:val="bullet"/>
      <w:lvlText w:val="-"/>
      <w:lvlJc w:val="left"/>
      <w:pPr>
        <w:ind w:left="1520" w:hanging="440"/>
      </w:pPr>
      <w:rPr>
        <w:rFonts w:hint="default" w:ascii="Times New Roman" w:hAnsi="Times New Roman" w:cs="Times New Roman" w:eastAsiaTheme="minorEastAsia"/>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B67B0C2"/>
    <w:multiLevelType w:val="singleLevel"/>
    <w:tmpl w:val="1B67B0C2"/>
    <w:lvl w:ilvl="0" w:tentative="0">
      <w:start w:val="1"/>
      <w:numFmt w:val="decimal"/>
      <w:suff w:val="nothing"/>
      <w:lvlText w:val="%1、"/>
      <w:lvlJc w:val="left"/>
    </w:lvl>
  </w:abstractNum>
  <w:abstractNum w:abstractNumId="10">
    <w:nsid w:val="2E357269"/>
    <w:multiLevelType w:val="multilevel"/>
    <w:tmpl w:val="2E357269"/>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cs="Wingdings"/>
      </w:rPr>
    </w:lvl>
    <w:lvl w:ilvl="2" w:tentative="0">
      <w:start w:val="1"/>
      <w:numFmt w:val="bullet"/>
      <w:lvlText w:val=""/>
      <w:lvlJc w:val="left"/>
      <w:pPr>
        <w:ind w:left="2040" w:hanging="440"/>
      </w:pPr>
      <w:rPr>
        <w:rFonts w:hint="default" w:ascii="Wingdings" w:hAnsi="Wingdings" w:cs="Wingdings"/>
      </w:rPr>
    </w:lvl>
    <w:lvl w:ilvl="3" w:tentative="0">
      <w:start w:val="1"/>
      <w:numFmt w:val="bullet"/>
      <w:lvlText w:val=""/>
      <w:lvlJc w:val="left"/>
      <w:pPr>
        <w:ind w:left="2480" w:hanging="440"/>
      </w:pPr>
      <w:rPr>
        <w:rFonts w:hint="default" w:ascii="Wingdings" w:hAnsi="Wingdings" w:cs="Wingdings"/>
      </w:rPr>
    </w:lvl>
    <w:lvl w:ilvl="4" w:tentative="0">
      <w:start w:val="1"/>
      <w:numFmt w:val="bullet"/>
      <w:lvlText w:val=""/>
      <w:lvlJc w:val="left"/>
      <w:pPr>
        <w:ind w:left="2920" w:hanging="440"/>
      </w:pPr>
      <w:rPr>
        <w:rFonts w:hint="default" w:ascii="Wingdings" w:hAnsi="Wingdings" w:cs="Wingdings"/>
      </w:rPr>
    </w:lvl>
    <w:lvl w:ilvl="5" w:tentative="0">
      <w:start w:val="1"/>
      <w:numFmt w:val="bullet"/>
      <w:lvlText w:val=""/>
      <w:lvlJc w:val="left"/>
      <w:pPr>
        <w:ind w:left="3360" w:hanging="440"/>
      </w:pPr>
      <w:rPr>
        <w:rFonts w:hint="default" w:ascii="Wingdings" w:hAnsi="Wingdings" w:cs="Wingdings"/>
      </w:rPr>
    </w:lvl>
    <w:lvl w:ilvl="6" w:tentative="0">
      <w:start w:val="1"/>
      <w:numFmt w:val="bullet"/>
      <w:lvlText w:val=""/>
      <w:lvlJc w:val="left"/>
      <w:pPr>
        <w:ind w:left="3800" w:hanging="440"/>
      </w:pPr>
      <w:rPr>
        <w:rFonts w:hint="default" w:ascii="Wingdings" w:hAnsi="Wingdings" w:cs="Wingdings"/>
      </w:rPr>
    </w:lvl>
    <w:lvl w:ilvl="7" w:tentative="0">
      <w:start w:val="1"/>
      <w:numFmt w:val="bullet"/>
      <w:lvlText w:val=""/>
      <w:lvlJc w:val="left"/>
      <w:pPr>
        <w:ind w:left="4240" w:hanging="440"/>
      </w:pPr>
      <w:rPr>
        <w:rFonts w:hint="default" w:ascii="Wingdings" w:hAnsi="Wingdings" w:cs="Wingdings"/>
      </w:rPr>
    </w:lvl>
    <w:lvl w:ilvl="8" w:tentative="0">
      <w:start w:val="1"/>
      <w:numFmt w:val="bullet"/>
      <w:lvlText w:val=""/>
      <w:lvlJc w:val="left"/>
      <w:pPr>
        <w:ind w:left="4680" w:hanging="440"/>
      </w:pPr>
      <w:rPr>
        <w:rFonts w:hint="default" w:ascii="Wingdings" w:hAnsi="Wingdings" w:cs="Wingdings"/>
      </w:rPr>
    </w:lvl>
  </w:abstractNum>
  <w:abstractNum w:abstractNumId="11">
    <w:nsid w:val="538AF1DD"/>
    <w:multiLevelType w:val="singleLevel"/>
    <w:tmpl w:val="538AF1DD"/>
    <w:lvl w:ilvl="0" w:tentative="0">
      <w:start w:val="1"/>
      <w:numFmt w:val="decimal"/>
      <w:suff w:val="space"/>
      <w:lvlText w:val="%1)"/>
      <w:lvlJc w:val="left"/>
    </w:lvl>
  </w:abstractNum>
  <w:abstractNum w:abstractNumId="12">
    <w:nsid w:val="557FD3DA"/>
    <w:multiLevelType w:val="singleLevel"/>
    <w:tmpl w:val="557FD3DA"/>
    <w:lvl w:ilvl="0" w:tentative="0">
      <w:start w:val="3"/>
      <w:numFmt w:val="chineseCounting"/>
      <w:suff w:val="nothing"/>
      <w:lvlText w:val="%1、"/>
      <w:lvlJc w:val="left"/>
      <w:rPr>
        <w:rFonts w:cs="Times New Roman"/>
      </w:rPr>
    </w:lvl>
  </w:abstractNum>
  <w:abstractNum w:abstractNumId="13">
    <w:nsid w:val="73293B92"/>
    <w:multiLevelType w:val="multilevel"/>
    <w:tmpl w:val="73293B9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82E5FC3"/>
    <w:multiLevelType w:val="multilevel"/>
    <w:tmpl w:val="782E5F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A2A6F06"/>
    <w:multiLevelType w:val="multilevel"/>
    <w:tmpl w:val="7A2A6F06"/>
    <w:lvl w:ilvl="0" w:tentative="0">
      <w:start w:val="1"/>
      <w:numFmt w:val="chineseCountingThousand"/>
      <w:lvlText w:val="(%1)"/>
      <w:lvlJc w:val="left"/>
      <w:pPr>
        <w:tabs>
          <w:tab w:val="left" w:pos="720"/>
        </w:tabs>
        <w:ind w:left="720" w:hanging="360"/>
      </w:pPr>
    </w:lvl>
    <w:lvl w:ilvl="1" w:tentative="0">
      <w:start w:val="0"/>
      <w:numFmt w:val="bullet"/>
      <w:lvlText w:val="-"/>
      <w:lvlJc w:val="left"/>
      <w:pPr>
        <w:ind w:left="1520" w:hanging="440"/>
      </w:pPr>
      <w:rPr>
        <w:rFonts w:hint="default" w:ascii="Times New Roman" w:hAnsi="Times New Roman" w:cs="Times New Roman" w:eastAsiaTheme="minorEastAsia"/>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A54F80D"/>
    <w:multiLevelType w:val="singleLevel"/>
    <w:tmpl w:val="7A54F80D"/>
    <w:lvl w:ilvl="0" w:tentative="0">
      <w:start w:val="1"/>
      <w:numFmt w:val="decimal"/>
      <w:suff w:val="nothing"/>
      <w:lvlText w:val="%1、"/>
      <w:lvlJc w:val="left"/>
    </w:lvl>
  </w:abstractNum>
  <w:abstractNum w:abstractNumId="17">
    <w:nsid w:val="7C4C3DE2"/>
    <w:multiLevelType w:val="multilevel"/>
    <w:tmpl w:val="7C4C3DE2"/>
    <w:lvl w:ilvl="0" w:tentative="0">
      <w:start w:val="1"/>
      <w:numFmt w:val="chineseCountingThousand"/>
      <w:lvlText w:val="(%1)"/>
      <w:lvlJc w:val="left"/>
      <w:pPr>
        <w:tabs>
          <w:tab w:val="left" w:pos="720"/>
        </w:tabs>
        <w:ind w:left="720" w:hanging="360"/>
      </w:pPr>
    </w:lvl>
    <w:lvl w:ilvl="1" w:tentative="0">
      <w:start w:val="0"/>
      <w:numFmt w:val="bullet"/>
      <w:lvlText w:val="-"/>
      <w:lvlJc w:val="left"/>
      <w:pPr>
        <w:ind w:left="1520" w:hanging="440"/>
      </w:pPr>
      <w:rPr>
        <w:rFonts w:hint="default" w:ascii="Times New Roman" w:hAnsi="Times New Roman" w:cs="Times New Roman" w:eastAsiaTheme="minorEastAsia"/>
      </w:rPr>
    </w:lvl>
    <w:lvl w:ilvl="2" w:tentative="0">
      <w:start w:val="1"/>
      <w:numFmt w:val="decimal"/>
      <w:lvlText w:val="%3，"/>
      <w:lvlJc w:val="left"/>
      <w:pPr>
        <w:ind w:left="2520" w:hanging="72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num>
  <w:num w:numId="4">
    <w:abstractNumId w:val="11"/>
  </w:num>
  <w:num w:numId="5">
    <w:abstractNumId w:val="5"/>
  </w:num>
  <w:num w:numId="6">
    <w:abstractNumId w:val="4"/>
  </w:num>
  <w:num w:numId="7">
    <w:abstractNumId w:val="12"/>
  </w:num>
  <w:num w:numId="8">
    <w:abstractNumId w:val="13"/>
  </w:num>
  <w:num w:numId="9">
    <w:abstractNumId w:val="15"/>
  </w:num>
  <w:num w:numId="10">
    <w:abstractNumId w:val="0"/>
  </w:num>
  <w:num w:numId="11">
    <w:abstractNumId w:val="17"/>
  </w:num>
  <w:num w:numId="12">
    <w:abstractNumId w:val="14"/>
  </w:num>
  <w:num w:numId="13">
    <w:abstractNumId w:val="8"/>
  </w:num>
  <w:num w:numId="14">
    <w:abstractNumId w:val="6"/>
  </w:num>
  <w:num w:numId="15">
    <w:abstractNumId w:val="10"/>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YWNlMDcxZGY3YmQzNTllNDAxMWNmYzg3NWNlNTUifQ=="/>
  </w:docVars>
  <w:rsids>
    <w:rsidRoot w:val="0077105C"/>
    <w:rsid w:val="00003A8E"/>
    <w:rsid w:val="00003B8B"/>
    <w:rsid w:val="00004ACA"/>
    <w:rsid w:val="00006C3A"/>
    <w:rsid w:val="00007F11"/>
    <w:rsid w:val="000104E3"/>
    <w:rsid w:val="00011DDF"/>
    <w:rsid w:val="000126A9"/>
    <w:rsid w:val="00012BEA"/>
    <w:rsid w:val="0002341D"/>
    <w:rsid w:val="00023928"/>
    <w:rsid w:val="00026748"/>
    <w:rsid w:val="00026DF1"/>
    <w:rsid w:val="00030840"/>
    <w:rsid w:val="00030AEC"/>
    <w:rsid w:val="00032251"/>
    <w:rsid w:val="00032287"/>
    <w:rsid w:val="000358F0"/>
    <w:rsid w:val="00040878"/>
    <w:rsid w:val="00041DB4"/>
    <w:rsid w:val="00043348"/>
    <w:rsid w:val="00043A6C"/>
    <w:rsid w:val="00043DC0"/>
    <w:rsid w:val="000457EF"/>
    <w:rsid w:val="000507FF"/>
    <w:rsid w:val="000545B7"/>
    <w:rsid w:val="0005663D"/>
    <w:rsid w:val="00056ADF"/>
    <w:rsid w:val="00057DF7"/>
    <w:rsid w:val="000602E9"/>
    <w:rsid w:val="00060469"/>
    <w:rsid w:val="00060F30"/>
    <w:rsid w:val="000612EF"/>
    <w:rsid w:val="00066845"/>
    <w:rsid w:val="000728B7"/>
    <w:rsid w:val="000730F9"/>
    <w:rsid w:val="000731FD"/>
    <w:rsid w:val="00074112"/>
    <w:rsid w:val="00080C9A"/>
    <w:rsid w:val="0008186D"/>
    <w:rsid w:val="00081A37"/>
    <w:rsid w:val="0008260D"/>
    <w:rsid w:val="00083CAF"/>
    <w:rsid w:val="00086D9D"/>
    <w:rsid w:val="00087EC6"/>
    <w:rsid w:val="00090DC1"/>
    <w:rsid w:val="00097A19"/>
    <w:rsid w:val="000A3D9E"/>
    <w:rsid w:val="000A4CA6"/>
    <w:rsid w:val="000A581B"/>
    <w:rsid w:val="000A5A7A"/>
    <w:rsid w:val="000B4A89"/>
    <w:rsid w:val="000B53F4"/>
    <w:rsid w:val="000B565E"/>
    <w:rsid w:val="000B6159"/>
    <w:rsid w:val="000B7DB9"/>
    <w:rsid w:val="000C25F3"/>
    <w:rsid w:val="000C28D0"/>
    <w:rsid w:val="000C2A04"/>
    <w:rsid w:val="000C3755"/>
    <w:rsid w:val="000C6819"/>
    <w:rsid w:val="000C6AE1"/>
    <w:rsid w:val="000C7072"/>
    <w:rsid w:val="000D021B"/>
    <w:rsid w:val="000D0620"/>
    <w:rsid w:val="000D6160"/>
    <w:rsid w:val="000E12FE"/>
    <w:rsid w:val="000E1320"/>
    <w:rsid w:val="000E1DF1"/>
    <w:rsid w:val="000E5828"/>
    <w:rsid w:val="000E583B"/>
    <w:rsid w:val="000F07CC"/>
    <w:rsid w:val="000F0EE3"/>
    <w:rsid w:val="000F3299"/>
    <w:rsid w:val="000F5270"/>
    <w:rsid w:val="000F568F"/>
    <w:rsid w:val="000F5B1D"/>
    <w:rsid w:val="000F5EA6"/>
    <w:rsid w:val="0010067A"/>
    <w:rsid w:val="00100B74"/>
    <w:rsid w:val="00101FE4"/>
    <w:rsid w:val="00105C9A"/>
    <w:rsid w:val="00105D7E"/>
    <w:rsid w:val="0011292B"/>
    <w:rsid w:val="001132E2"/>
    <w:rsid w:val="00113F54"/>
    <w:rsid w:val="00116D0D"/>
    <w:rsid w:val="001175AC"/>
    <w:rsid w:val="0011760F"/>
    <w:rsid w:val="001207CC"/>
    <w:rsid w:val="0012173F"/>
    <w:rsid w:val="0012268B"/>
    <w:rsid w:val="00122E4D"/>
    <w:rsid w:val="001260BB"/>
    <w:rsid w:val="0013237A"/>
    <w:rsid w:val="00132400"/>
    <w:rsid w:val="00132AAE"/>
    <w:rsid w:val="00133077"/>
    <w:rsid w:val="00134533"/>
    <w:rsid w:val="00136695"/>
    <w:rsid w:val="001404FE"/>
    <w:rsid w:val="00140D4A"/>
    <w:rsid w:val="0014331F"/>
    <w:rsid w:val="00143E1D"/>
    <w:rsid w:val="00144DEC"/>
    <w:rsid w:val="0014546A"/>
    <w:rsid w:val="00145D07"/>
    <w:rsid w:val="00147480"/>
    <w:rsid w:val="001506AB"/>
    <w:rsid w:val="0015078E"/>
    <w:rsid w:val="00150A0F"/>
    <w:rsid w:val="001518ED"/>
    <w:rsid w:val="00151DD4"/>
    <w:rsid w:val="00153CDA"/>
    <w:rsid w:val="001540A3"/>
    <w:rsid w:val="001555AD"/>
    <w:rsid w:val="001557C5"/>
    <w:rsid w:val="00156193"/>
    <w:rsid w:val="00156CCD"/>
    <w:rsid w:val="001570FE"/>
    <w:rsid w:val="001614B3"/>
    <w:rsid w:val="0016257C"/>
    <w:rsid w:val="00163F80"/>
    <w:rsid w:val="00165B2D"/>
    <w:rsid w:val="00165C61"/>
    <w:rsid w:val="0016770B"/>
    <w:rsid w:val="0017112C"/>
    <w:rsid w:val="001716F3"/>
    <w:rsid w:val="00172E78"/>
    <w:rsid w:val="0017476F"/>
    <w:rsid w:val="001768AD"/>
    <w:rsid w:val="00176FDF"/>
    <w:rsid w:val="001770A9"/>
    <w:rsid w:val="0018141D"/>
    <w:rsid w:val="00182127"/>
    <w:rsid w:val="001822F8"/>
    <w:rsid w:val="00182553"/>
    <w:rsid w:val="00183839"/>
    <w:rsid w:val="00183E40"/>
    <w:rsid w:val="00184429"/>
    <w:rsid w:val="00185425"/>
    <w:rsid w:val="00186A6C"/>
    <w:rsid w:val="00193285"/>
    <w:rsid w:val="00194CCA"/>
    <w:rsid w:val="0019571A"/>
    <w:rsid w:val="00196379"/>
    <w:rsid w:val="001A5952"/>
    <w:rsid w:val="001B0609"/>
    <w:rsid w:val="001B0883"/>
    <w:rsid w:val="001B0DFB"/>
    <w:rsid w:val="001B1203"/>
    <w:rsid w:val="001B32B4"/>
    <w:rsid w:val="001B5603"/>
    <w:rsid w:val="001C094A"/>
    <w:rsid w:val="001C1E7D"/>
    <w:rsid w:val="001C2259"/>
    <w:rsid w:val="001C636B"/>
    <w:rsid w:val="001C6DFA"/>
    <w:rsid w:val="001D16CC"/>
    <w:rsid w:val="001D3E24"/>
    <w:rsid w:val="001D4C20"/>
    <w:rsid w:val="001D599C"/>
    <w:rsid w:val="001E5864"/>
    <w:rsid w:val="001F0342"/>
    <w:rsid w:val="001F4FD4"/>
    <w:rsid w:val="001F56C4"/>
    <w:rsid w:val="001F6CF4"/>
    <w:rsid w:val="0020352C"/>
    <w:rsid w:val="00203EBC"/>
    <w:rsid w:val="002047B7"/>
    <w:rsid w:val="00204A26"/>
    <w:rsid w:val="00207187"/>
    <w:rsid w:val="0020787C"/>
    <w:rsid w:val="00211325"/>
    <w:rsid w:val="002132FC"/>
    <w:rsid w:val="00214A4F"/>
    <w:rsid w:val="00215B12"/>
    <w:rsid w:val="002168ED"/>
    <w:rsid w:val="0022235F"/>
    <w:rsid w:val="00222DDA"/>
    <w:rsid w:val="00222EE2"/>
    <w:rsid w:val="0022343A"/>
    <w:rsid w:val="0022418B"/>
    <w:rsid w:val="0022566E"/>
    <w:rsid w:val="00230F1E"/>
    <w:rsid w:val="002311D3"/>
    <w:rsid w:val="00231898"/>
    <w:rsid w:val="00232ECB"/>
    <w:rsid w:val="00234308"/>
    <w:rsid w:val="00241445"/>
    <w:rsid w:val="0024282A"/>
    <w:rsid w:val="00251544"/>
    <w:rsid w:val="00252945"/>
    <w:rsid w:val="00254A9E"/>
    <w:rsid w:val="00257A0C"/>
    <w:rsid w:val="00261663"/>
    <w:rsid w:val="002627AC"/>
    <w:rsid w:val="00263DBF"/>
    <w:rsid w:val="00263E40"/>
    <w:rsid w:val="002663A6"/>
    <w:rsid w:val="002671E3"/>
    <w:rsid w:val="002673EA"/>
    <w:rsid w:val="00270625"/>
    <w:rsid w:val="00270E15"/>
    <w:rsid w:val="00273C8A"/>
    <w:rsid w:val="00277773"/>
    <w:rsid w:val="00282BE2"/>
    <w:rsid w:val="00285FEB"/>
    <w:rsid w:val="00290109"/>
    <w:rsid w:val="00295D3C"/>
    <w:rsid w:val="00296423"/>
    <w:rsid w:val="00296F4B"/>
    <w:rsid w:val="002A39E4"/>
    <w:rsid w:val="002A5393"/>
    <w:rsid w:val="002A5E1E"/>
    <w:rsid w:val="002A72B8"/>
    <w:rsid w:val="002A7AF9"/>
    <w:rsid w:val="002A7B47"/>
    <w:rsid w:val="002B0010"/>
    <w:rsid w:val="002B023B"/>
    <w:rsid w:val="002B0C9A"/>
    <w:rsid w:val="002B2107"/>
    <w:rsid w:val="002C08E5"/>
    <w:rsid w:val="002C18B9"/>
    <w:rsid w:val="002C1CDB"/>
    <w:rsid w:val="002C3DB6"/>
    <w:rsid w:val="002C7DC6"/>
    <w:rsid w:val="002D20F6"/>
    <w:rsid w:val="002D3FF2"/>
    <w:rsid w:val="002D55A9"/>
    <w:rsid w:val="002D5D33"/>
    <w:rsid w:val="002E01C2"/>
    <w:rsid w:val="002E116F"/>
    <w:rsid w:val="002E3406"/>
    <w:rsid w:val="002E66B0"/>
    <w:rsid w:val="002F1748"/>
    <w:rsid w:val="002F18CE"/>
    <w:rsid w:val="002F65B3"/>
    <w:rsid w:val="002F71E5"/>
    <w:rsid w:val="002F72EB"/>
    <w:rsid w:val="00300AC5"/>
    <w:rsid w:val="00302FCF"/>
    <w:rsid w:val="00304644"/>
    <w:rsid w:val="003049DA"/>
    <w:rsid w:val="00304B9D"/>
    <w:rsid w:val="003054B4"/>
    <w:rsid w:val="00311197"/>
    <w:rsid w:val="003156B5"/>
    <w:rsid w:val="00317C20"/>
    <w:rsid w:val="0032028E"/>
    <w:rsid w:val="00320332"/>
    <w:rsid w:val="003213F8"/>
    <w:rsid w:val="00321468"/>
    <w:rsid w:val="0032251D"/>
    <w:rsid w:val="0032294B"/>
    <w:rsid w:val="003248FF"/>
    <w:rsid w:val="00324C6D"/>
    <w:rsid w:val="003256A3"/>
    <w:rsid w:val="00327E9A"/>
    <w:rsid w:val="003309CC"/>
    <w:rsid w:val="00330A87"/>
    <w:rsid w:val="00331413"/>
    <w:rsid w:val="00331D79"/>
    <w:rsid w:val="003320DE"/>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64D8F"/>
    <w:rsid w:val="00370589"/>
    <w:rsid w:val="00371EBD"/>
    <w:rsid w:val="003746C4"/>
    <w:rsid w:val="003747DD"/>
    <w:rsid w:val="00377953"/>
    <w:rsid w:val="00377FE3"/>
    <w:rsid w:val="00380C7B"/>
    <w:rsid w:val="0038190D"/>
    <w:rsid w:val="00381D15"/>
    <w:rsid w:val="00386472"/>
    <w:rsid w:val="003901CE"/>
    <w:rsid w:val="00391E22"/>
    <w:rsid w:val="00395767"/>
    <w:rsid w:val="0039640C"/>
    <w:rsid w:val="0039763B"/>
    <w:rsid w:val="003A1D8B"/>
    <w:rsid w:val="003A26DA"/>
    <w:rsid w:val="003A4570"/>
    <w:rsid w:val="003A5724"/>
    <w:rsid w:val="003B414E"/>
    <w:rsid w:val="003B70EB"/>
    <w:rsid w:val="003B723D"/>
    <w:rsid w:val="003B78AA"/>
    <w:rsid w:val="003B7C81"/>
    <w:rsid w:val="003B7EAA"/>
    <w:rsid w:val="003C0F30"/>
    <w:rsid w:val="003C21DC"/>
    <w:rsid w:val="003C775D"/>
    <w:rsid w:val="003D0502"/>
    <w:rsid w:val="003D0E1C"/>
    <w:rsid w:val="003D15A4"/>
    <w:rsid w:val="003D1C07"/>
    <w:rsid w:val="003D1F15"/>
    <w:rsid w:val="003D680D"/>
    <w:rsid w:val="003E13D9"/>
    <w:rsid w:val="003E15E7"/>
    <w:rsid w:val="003E2383"/>
    <w:rsid w:val="003E2999"/>
    <w:rsid w:val="003E301B"/>
    <w:rsid w:val="003E4080"/>
    <w:rsid w:val="003E413F"/>
    <w:rsid w:val="003E4760"/>
    <w:rsid w:val="003E5758"/>
    <w:rsid w:val="003E61F0"/>
    <w:rsid w:val="003F27BC"/>
    <w:rsid w:val="003F29FB"/>
    <w:rsid w:val="003F2C3E"/>
    <w:rsid w:val="003F6CCF"/>
    <w:rsid w:val="00403E9D"/>
    <w:rsid w:val="00403FA4"/>
    <w:rsid w:val="004040BA"/>
    <w:rsid w:val="00405C22"/>
    <w:rsid w:val="00414808"/>
    <w:rsid w:val="004151D4"/>
    <w:rsid w:val="00416AC0"/>
    <w:rsid w:val="00422EAC"/>
    <w:rsid w:val="00423493"/>
    <w:rsid w:val="00423D81"/>
    <w:rsid w:val="004240A8"/>
    <w:rsid w:val="00426155"/>
    <w:rsid w:val="004309FA"/>
    <w:rsid w:val="00432010"/>
    <w:rsid w:val="004324AB"/>
    <w:rsid w:val="0043495E"/>
    <w:rsid w:val="0043631A"/>
    <w:rsid w:val="00436647"/>
    <w:rsid w:val="0044081C"/>
    <w:rsid w:val="00440F7F"/>
    <w:rsid w:val="00441DD1"/>
    <w:rsid w:val="00442784"/>
    <w:rsid w:val="00443342"/>
    <w:rsid w:val="004441AB"/>
    <w:rsid w:val="00450BE2"/>
    <w:rsid w:val="004510A6"/>
    <w:rsid w:val="00452390"/>
    <w:rsid w:val="00453744"/>
    <w:rsid w:val="00453F41"/>
    <w:rsid w:val="00454184"/>
    <w:rsid w:val="00455FE4"/>
    <w:rsid w:val="0046063F"/>
    <w:rsid w:val="00463367"/>
    <w:rsid w:val="004648E3"/>
    <w:rsid w:val="0046550B"/>
    <w:rsid w:val="00466555"/>
    <w:rsid w:val="00467D8E"/>
    <w:rsid w:val="00470721"/>
    <w:rsid w:val="00472430"/>
    <w:rsid w:val="00472601"/>
    <w:rsid w:val="00472977"/>
    <w:rsid w:val="00473D55"/>
    <w:rsid w:val="004745D3"/>
    <w:rsid w:val="00474C58"/>
    <w:rsid w:val="00477002"/>
    <w:rsid w:val="00480C00"/>
    <w:rsid w:val="00480D49"/>
    <w:rsid w:val="00483C23"/>
    <w:rsid w:val="00485846"/>
    <w:rsid w:val="00490381"/>
    <w:rsid w:val="00493D9A"/>
    <w:rsid w:val="004951ED"/>
    <w:rsid w:val="004959F9"/>
    <w:rsid w:val="0049634D"/>
    <w:rsid w:val="004A07FB"/>
    <w:rsid w:val="004A11EC"/>
    <w:rsid w:val="004A19E1"/>
    <w:rsid w:val="004A2C9E"/>
    <w:rsid w:val="004A3D91"/>
    <w:rsid w:val="004A526B"/>
    <w:rsid w:val="004A5C3F"/>
    <w:rsid w:val="004A5D08"/>
    <w:rsid w:val="004A632C"/>
    <w:rsid w:val="004A6785"/>
    <w:rsid w:val="004A6F82"/>
    <w:rsid w:val="004B0E35"/>
    <w:rsid w:val="004B27F5"/>
    <w:rsid w:val="004B3A25"/>
    <w:rsid w:val="004B3EE8"/>
    <w:rsid w:val="004B566B"/>
    <w:rsid w:val="004B77F3"/>
    <w:rsid w:val="004C3D63"/>
    <w:rsid w:val="004C4F92"/>
    <w:rsid w:val="004C611B"/>
    <w:rsid w:val="004C768A"/>
    <w:rsid w:val="004D05FE"/>
    <w:rsid w:val="004D5CDE"/>
    <w:rsid w:val="004D7275"/>
    <w:rsid w:val="004D7CE2"/>
    <w:rsid w:val="004E096B"/>
    <w:rsid w:val="004E0F0C"/>
    <w:rsid w:val="004E2A3C"/>
    <w:rsid w:val="004F559F"/>
    <w:rsid w:val="004F674A"/>
    <w:rsid w:val="004F6ADB"/>
    <w:rsid w:val="004F7EFB"/>
    <w:rsid w:val="0050061C"/>
    <w:rsid w:val="00503552"/>
    <w:rsid w:val="00504F25"/>
    <w:rsid w:val="005077BF"/>
    <w:rsid w:val="0050792B"/>
    <w:rsid w:val="00511559"/>
    <w:rsid w:val="0051201B"/>
    <w:rsid w:val="00516CC2"/>
    <w:rsid w:val="005204A1"/>
    <w:rsid w:val="00520C55"/>
    <w:rsid w:val="00522C0C"/>
    <w:rsid w:val="00530C03"/>
    <w:rsid w:val="00532D11"/>
    <w:rsid w:val="00536411"/>
    <w:rsid w:val="00536C23"/>
    <w:rsid w:val="0053710F"/>
    <w:rsid w:val="005379B0"/>
    <w:rsid w:val="00540D43"/>
    <w:rsid w:val="00540E7C"/>
    <w:rsid w:val="005427B5"/>
    <w:rsid w:val="0054288D"/>
    <w:rsid w:val="005439E1"/>
    <w:rsid w:val="00543DD0"/>
    <w:rsid w:val="00545705"/>
    <w:rsid w:val="00546135"/>
    <w:rsid w:val="005475C6"/>
    <w:rsid w:val="005513BB"/>
    <w:rsid w:val="0055369D"/>
    <w:rsid w:val="00553BCB"/>
    <w:rsid w:val="00556E6D"/>
    <w:rsid w:val="00560CBB"/>
    <w:rsid w:val="00561C78"/>
    <w:rsid w:val="005624FC"/>
    <w:rsid w:val="005626D3"/>
    <w:rsid w:val="005630C8"/>
    <w:rsid w:val="00563435"/>
    <w:rsid w:val="0056470E"/>
    <w:rsid w:val="00567B73"/>
    <w:rsid w:val="00571AAB"/>
    <w:rsid w:val="00572049"/>
    <w:rsid w:val="00572EEE"/>
    <w:rsid w:val="005742B4"/>
    <w:rsid w:val="005760B3"/>
    <w:rsid w:val="0057676F"/>
    <w:rsid w:val="00576AD5"/>
    <w:rsid w:val="00582768"/>
    <w:rsid w:val="00591BD6"/>
    <w:rsid w:val="005922DF"/>
    <w:rsid w:val="00592D53"/>
    <w:rsid w:val="00593BBF"/>
    <w:rsid w:val="005963F3"/>
    <w:rsid w:val="00596948"/>
    <w:rsid w:val="0059696F"/>
    <w:rsid w:val="005A0BE8"/>
    <w:rsid w:val="005A13D4"/>
    <w:rsid w:val="005A3F25"/>
    <w:rsid w:val="005A58BB"/>
    <w:rsid w:val="005A66B8"/>
    <w:rsid w:val="005A6998"/>
    <w:rsid w:val="005A6CFB"/>
    <w:rsid w:val="005A76EC"/>
    <w:rsid w:val="005C3A03"/>
    <w:rsid w:val="005C4511"/>
    <w:rsid w:val="005D3FCC"/>
    <w:rsid w:val="005D4165"/>
    <w:rsid w:val="005D471C"/>
    <w:rsid w:val="005D7625"/>
    <w:rsid w:val="005E132B"/>
    <w:rsid w:val="005E34EE"/>
    <w:rsid w:val="005E6893"/>
    <w:rsid w:val="005E72FE"/>
    <w:rsid w:val="005E791B"/>
    <w:rsid w:val="005E79FF"/>
    <w:rsid w:val="005E7D83"/>
    <w:rsid w:val="005F153E"/>
    <w:rsid w:val="005F1A3B"/>
    <w:rsid w:val="005F22F0"/>
    <w:rsid w:val="005F23AD"/>
    <w:rsid w:val="005F463E"/>
    <w:rsid w:val="005F658D"/>
    <w:rsid w:val="005F680F"/>
    <w:rsid w:val="005F6B90"/>
    <w:rsid w:val="005F7262"/>
    <w:rsid w:val="005F7AED"/>
    <w:rsid w:val="00603F5E"/>
    <w:rsid w:val="0060579F"/>
    <w:rsid w:val="00606280"/>
    <w:rsid w:val="00606C57"/>
    <w:rsid w:val="006104D9"/>
    <w:rsid w:val="0061084C"/>
    <w:rsid w:val="006117CC"/>
    <w:rsid w:val="00612FB6"/>
    <w:rsid w:val="00617C4D"/>
    <w:rsid w:val="00623400"/>
    <w:rsid w:val="00633180"/>
    <w:rsid w:val="00634F4D"/>
    <w:rsid w:val="0063506D"/>
    <w:rsid w:val="006358CB"/>
    <w:rsid w:val="00635C4A"/>
    <w:rsid w:val="00636BC6"/>
    <w:rsid w:val="00641B84"/>
    <w:rsid w:val="0064338C"/>
    <w:rsid w:val="00646E09"/>
    <w:rsid w:val="006511C9"/>
    <w:rsid w:val="00651895"/>
    <w:rsid w:val="0065201B"/>
    <w:rsid w:val="006524F3"/>
    <w:rsid w:val="00653670"/>
    <w:rsid w:val="00654187"/>
    <w:rsid w:val="006564D3"/>
    <w:rsid w:val="006573B4"/>
    <w:rsid w:val="00662F26"/>
    <w:rsid w:val="00663A1E"/>
    <w:rsid w:val="00664C8A"/>
    <w:rsid w:val="00671537"/>
    <w:rsid w:val="00671FB5"/>
    <w:rsid w:val="00672FC4"/>
    <w:rsid w:val="00674397"/>
    <w:rsid w:val="00675851"/>
    <w:rsid w:val="00682698"/>
    <w:rsid w:val="00684BAC"/>
    <w:rsid w:val="00684F2E"/>
    <w:rsid w:val="0069034C"/>
    <w:rsid w:val="00690534"/>
    <w:rsid w:val="00696113"/>
    <w:rsid w:val="006A3DD1"/>
    <w:rsid w:val="006A6830"/>
    <w:rsid w:val="006B1563"/>
    <w:rsid w:val="006B1607"/>
    <w:rsid w:val="006B25DD"/>
    <w:rsid w:val="006B282E"/>
    <w:rsid w:val="006B29E3"/>
    <w:rsid w:val="006B4822"/>
    <w:rsid w:val="006C14BA"/>
    <w:rsid w:val="006C20F4"/>
    <w:rsid w:val="006C3030"/>
    <w:rsid w:val="006D1D49"/>
    <w:rsid w:val="006D2249"/>
    <w:rsid w:val="006D5BB8"/>
    <w:rsid w:val="006E04B7"/>
    <w:rsid w:val="006E13C3"/>
    <w:rsid w:val="006E2467"/>
    <w:rsid w:val="006E33F4"/>
    <w:rsid w:val="006E493D"/>
    <w:rsid w:val="006E66EB"/>
    <w:rsid w:val="006E76A8"/>
    <w:rsid w:val="006F0482"/>
    <w:rsid w:val="006F118C"/>
    <w:rsid w:val="006F19FA"/>
    <w:rsid w:val="006F2348"/>
    <w:rsid w:val="006F338B"/>
    <w:rsid w:val="006F5ADD"/>
    <w:rsid w:val="00701465"/>
    <w:rsid w:val="007015A5"/>
    <w:rsid w:val="00704C01"/>
    <w:rsid w:val="00704E14"/>
    <w:rsid w:val="00710827"/>
    <w:rsid w:val="007124F7"/>
    <w:rsid w:val="00715981"/>
    <w:rsid w:val="00715B86"/>
    <w:rsid w:val="0071666B"/>
    <w:rsid w:val="0072097C"/>
    <w:rsid w:val="00722218"/>
    <w:rsid w:val="00722285"/>
    <w:rsid w:val="00722CCE"/>
    <w:rsid w:val="00722E0E"/>
    <w:rsid w:val="00727797"/>
    <w:rsid w:val="0073174B"/>
    <w:rsid w:val="00731FD5"/>
    <w:rsid w:val="0073374B"/>
    <w:rsid w:val="00733A27"/>
    <w:rsid w:val="00733E26"/>
    <w:rsid w:val="007343DC"/>
    <w:rsid w:val="007350D9"/>
    <w:rsid w:val="00736DED"/>
    <w:rsid w:val="0074273F"/>
    <w:rsid w:val="007447FA"/>
    <w:rsid w:val="00745423"/>
    <w:rsid w:val="00745472"/>
    <w:rsid w:val="00746267"/>
    <w:rsid w:val="007465DC"/>
    <w:rsid w:val="00747A1A"/>
    <w:rsid w:val="007502D4"/>
    <w:rsid w:val="00750E06"/>
    <w:rsid w:val="007510BF"/>
    <w:rsid w:val="00752793"/>
    <w:rsid w:val="00752901"/>
    <w:rsid w:val="00753973"/>
    <w:rsid w:val="00754289"/>
    <w:rsid w:val="0075573C"/>
    <w:rsid w:val="0075650C"/>
    <w:rsid w:val="007573B6"/>
    <w:rsid w:val="00760554"/>
    <w:rsid w:val="007627AC"/>
    <w:rsid w:val="00766882"/>
    <w:rsid w:val="00766F11"/>
    <w:rsid w:val="007702EB"/>
    <w:rsid w:val="00770A3D"/>
    <w:rsid w:val="0077105C"/>
    <w:rsid w:val="007725AC"/>
    <w:rsid w:val="0077266A"/>
    <w:rsid w:val="00772770"/>
    <w:rsid w:val="00775591"/>
    <w:rsid w:val="007757BB"/>
    <w:rsid w:val="007774FC"/>
    <w:rsid w:val="00784974"/>
    <w:rsid w:val="00785A1A"/>
    <w:rsid w:val="0079269B"/>
    <w:rsid w:val="007955FD"/>
    <w:rsid w:val="007A01FA"/>
    <w:rsid w:val="007A380B"/>
    <w:rsid w:val="007B2A8E"/>
    <w:rsid w:val="007B310C"/>
    <w:rsid w:val="007B5508"/>
    <w:rsid w:val="007B5753"/>
    <w:rsid w:val="007B5D48"/>
    <w:rsid w:val="007C1C6D"/>
    <w:rsid w:val="007C2AD0"/>
    <w:rsid w:val="007C4620"/>
    <w:rsid w:val="007D06BB"/>
    <w:rsid w:val="007D0DE8"/>
    <w:rsid w:val="007D18E0"/>
    <w:rsid w:val="007D2ECF"/>
    <w:rsid w:val="007D36F1"/>
    <w:rsid w:val="007D3BF0"/>
    <w:rsid w:val="007D660B"/>
    <w:rsid w:val="007D6A53"/>
    <w:rsid w:val="007E04AB"/>
    <w:rsid w:val="007E1708"/>
    <w:rsid w:val="007E1FD2"/>
    <w:rsid w:val="007E209D"/>
    <w:rsid w:val="007E21DD"/>
    <w:rsid w:val="007E2F1C"/>
    <w:rsid w:val="007E414F"/>
    <w:rsid w:val="007E640F"/>
    <w:rsid w:val="007E65A2"/>
    <w:rsid w:val="007E6EAD"/>
    <w:rsid w:val="007E6FDD"/>
    <w:rsid w:val="007F5585"/>
    <w:rsid w:val="007F5696"/>
    <w:rsid w:val="008025E2"/>
    <w:rsid w:val="00804914"/>
    <w:rsid w:val="008061E2"/>
    <w:rsid w:val="008067B7"/>
    <w:rsid w:val="008069C3"/>
    <w:rsid w:val="008070F2"/>
    <w:rsid w:val="00807624"/>
    <w:rsid w:val="008122F5"/>
    <w:rsid w:val="0081267F"/>
    <w:rsid w:val="00813965"/>
    <w:rsid w:val="008166B5"/>
    <w:rsid w:val="008167F1"/>
    <w:rsid w:val="00824203"/>
    <w:rsid w:val="00824E71"/>
    <w:rsid w:val="00825164"/>
    <w:rsid w:val="00826E9A"/>
    <w:rsid w:val="008271A3"/>
    <w:rsid w:val="00827BC6"/>
    <w:rsid w:val="008309E3"/>
    <w:rsid w:val="00834D7F"/>
    <w:rsid w:val="00836FC9"/>
    <w:rsid w:val="008409F9"/>
    <w:rsid w:val="00841487"/>
    <w:rsid w:val="0084753D"/>
    <w:rsid w:val="00851BB8"/>
    <w:rsid w:val="00851E3C"/>
    <w:rsid w:val="00853618"/>
    <w:rsid w:val="00854EE7"/>
    <w:rsid w:val="00857374"/>
    <w:rsid w:val="00860156"/>
    <w:rsid w:val="008611A0"/>
    <w:rsid w:val="00862DC0"/>
    <w:rsid w:val="0086644D"/>
    <w:rsid w:val="00867595"/>
    <w:rsid w:val="00870137"/>
    <w:rsid w:val="00870B61"/>
    <w:rsid w:val="00871E2A"/>
    <w:rsid w:val="00873133"/>
    <w:rsid w:val="00873AB5"/>
    <w:rsid w:val="00876669"/>
    <w:rsid w:val="00877E68"/>
    <w:rsid w:val="0088214B"/>
    <w:rsid w:val="0088226E"/>
    <w:rsid w:val="00883D22"/>
    <w:rsid w:val="00885060"/>
    <w:rsid w:val="00885A37"/>
    <w:rsid w:val="00886215"/>
    <w:rsid w:val="008931FC"/>
    <w:rsid w:val="00893340"/>
    <w:rsid w:val="008944A3"/>
    <w:rsid w:val="008945C6"/>
    <w:rsid w:val="008953F8"/>
    <w:rsid w:val="008A0F56"/>
    <w:rsid w:val="008A130C"/>
    <w:rsid w:val="008A1BB2"/>
    <w:rsid w:val="008A4CE3"/>
    <w:rsid w:val="008A7713"/>
    <w:rsid w:val="008B0A1E"/>
    <w:rsid w:val="008B0F77"/>
    <w:rsid w:val="008B17D6"/>
    <w:rsid w:val="008B1B8C"/>
    <w:rsid w:val="008B2649"/>
    <w:rsid w:val="008B2947"/>
    <w:rsid w:val="008B2957"/>
    <w:rsid w:val="008B2B77"/>
    <w:rsid w:val="008B43BF"/>
    <w:rsid w:val="008B4A6F"/>
    <w:rsid w:val="008B72E8"/>
    <w:rsid w:val="008B73BD"/>
    <w:rsid w:val="008C0A8A"/>
    <w:rsid w:val="008C2580"/>
    <w:rsid w:val="008C2B3B"/>
    <w:rsid w:val="008C32B7"/>
    <w:rsid w:val="008C34BC"/>
    <w:rsid w:val="008C5CDA"/>
    <w:rsid w:val="008C72EE"/>
    <w:rsid w:val="008D146B"/>
    <w:rsid w:val="008D1E95"/>
    <w:rsid w:val="008D4038"/>
    <w:rsid w:val="008D6D00"/>
    <w:rsid w:val="008E1F8E"/>
    <w:rsid w:val="008E3395"/>
    <w:rsid w:val="008E4282"/>
    <w:rsid w:val="008E46A3"/>
    <w:rsid w:val="008E4818"/>
    <w:rsid w:val="008E48C1"/>
    <w:rsid w:val="008E71A9"/>
    <w:rsid w:val="00900EDC"/>
    <w:rsid w:val="009013C1"/>
    <w:rsid w:val="00901681"/>
    <w:rsid w:val="00902F6C"/>
    <w:rsid w:val="009034C6"/>
    <w:rsid w:val="00905199"/>
    <w:rsid w:val="00905382"/>
    <w:rsid w:val="00913DF5"/>
    <w:rsid w:val="009144F9"/>
    <w:rsid w:val="009145DE"/>
    <w:rsid w:val="00915F03"/>
    <w:rsid w:val="009161F6"/>
    <w:rsid w:val="00917EE1"/>
    <w:rsid w:val="009201F3"/>
    <w:rsid w:val="00920B3F"/>
    <w:rsid w:val="009221FB"/>
    <w:rsid w:val="009235E2"/>
    <w:rsid w:val="00927A68"/>
    <w:rsid w:val="00931D3E"/>
    <w:rsid w:val="00933477"/>
    <w:rsid w:val="009341E9"/>
    <w:rsid w:val="009343F9"/>
    <w:rsid w:val="00935CF8"/>
    <w:rsid w:val="00936276"/>
    <w:rsid w:val="00937198"/>
    <w:rsid w:val="00937994"/>
    <w:rsid w:val="00937B24"/>
    <w:rsid w:val="00937C7B"/>
    <w:rsid w:val="00942418"/>
    <w:rsid w:val="009434C2"/>
    <w:rsid w:val="00947646"/>
    <w:rsid w:val="00951BE0"/>
    <w:rsid w:val="009524E7"/>
    <w:rsid w:val="00953672"/>
    <w:rsid w:val="009537FB"/>
    <w:rsid w:val="00960FB4"/>
    <w:rsid w:val="0096287A"/>
    <w:rsid w:val="0096297E"/>
    <w:rsid w:val="00963B31"/>
    <w:rsid w:val="0096448A"/>
    <w:rsid w:val="00970259"/>
    <w:rsid w:val="009704A6"/>
    <w:rsid w:val="009704AA"/>
    <w:rsid w:val="009715D5"/>
    <w:rsid w:val="00971620"/>
    <w:rsid w:val="00972664"/>
    <w:rsid w:val="00972C9D"/>
    <w:rsid w:val="009755B0"/>
    <w:rsid w:val="0097598C"/>
    <w:rsid w:val="00976FEF"/>
    <w:rsid w:val="00977436"/>
    <w:rsid w:val="00977661"/>
    <w:rsid w:val="00977D75"/>
    <w:rsid w:val="009801EC"/>
    <w:rsid w:val="00981201"/>
    <w:rsid w:val="00982389"/>
    <w:rsid w:val="009823BD"/>
    <w:rsid w:val="00983F6E"/>
    <w:rsid w:val="00986727"/>
    <w:rsid w:val="00991ADF"/>
    <w:rsid w:val="00991F0C"/>
    <w:rsid w:val="00992903"/>
    <w:rsid w:val="00993742"/>
    <w:rsid w:val="00994BB6"/>
    <w:rsid w:val="009A031F"/>
    <w:rsid w:val="009A0480"/>
    <w:rsid w:val="009A06CB"/>
    <w:rsid w:val="009A37A8"/>
    <w:rsid w:val="009A3906"/>
    <w:rsid w:val="009A4BC6"/>
    <w:rsid w:val="009A500B"/>
    <w:rsid w:val="009B41F6"/>
    <w:rsid w:val="009C204D"/>
    <w:rsid w:val="009C56FD"/>
    <w:rsid w:val="009D1541"/>
    <w:rsid w:val="009D1BA6"/>
    <w:rsid w:val="009D2A6B"/>
    <w:rsid w:val="009D49F0"/>
    <w:rsid w:val="009D4A5B"/>
    <w:rsid w:val="009D56E5"/>
    <w:rsid w:val="009D67ED"/>
    <w:rsid w:val="009D7C02"/>
    <w:rsid w:val="009E1B04"/>
    <w:rsid w:val="009E1DF8"/>
    <w:rsid w:val="009E4D8B"/>
    <w:rsid w:val="009E72D3"/>
    <w:rsid w:val="009F048C"/>
    <w:rsid w:val="009F21FC"/>
    <w:rsid w:val="009F23C0"/>
    <w:rsid w:val="009F3ED1"/>
    <w:rsid w:val="009F5A37"/>
    <w:rsid w:val="009F5B96"/>
    <w:rsid w:val="009F7C44"/>
    <w:rsid w:val="00A01A0E"/>
    <w:rsid w:val="00A0237C"/>
    <w:rsid w:val="00A1099B"/>
    <w:rsid w:val="00A11A6B"/>
    <w:rsid w:val="00A13441"/>
    <w:rsid w:val="00A15D13"/>
    <w:rsid w:val="00A16B45"/>
    <w:rsid w:val="00A177F9"/>
    <w:rsid w:val="00A2015E"/>
    <w:rsid w:val="00A22B4D"/>
    <w:rsid w:val="00A24A00"/>
    <w:rsid w:val="00A30646"/>
    <w:rsid w:val="00A30F0E"/>
    <w:rsid w:val="00A31942"/>
    <w:rsid w:val="00A31F2E"/>
    <w:rsid w:val="00A35556"/>
    <w:rsid w:val="00A356DC"/>
    <w:rsid w:val="00A357B7"/>
    <w:rsid w:val="00A35A72"/>
    <w:rsid w:val="00A402CC"/>
    <w:rsid w:val="00A433B3"/>
    <w:rsid w:val="00A434DD"/>
    <w:rsid w:val="00A44E88"/>
    <w:rsid w:val="00A476CE"/>
    <w:rsid w:val="00A50675"/>
    <w:rsid w:val="00A50C5F"/>
    <w:rsid w:val="00A51E1E"/>
    <w:rsid w:val="00A5245C"/>
    <w:rsid w:val="00A549E3"/>
    <w:rsid w:val="00A55BCF"/>
    <w:rsid w:val="00A5682C"/>
    <w:rsid w:val="00A6002C"/>
    <w:rsid w:val="00A604A4"/>
    <w:rsid w:val="00A63CBD"/>
    <w:rsid w:val="00A640D8"/>
    <w:rsid w:val="00A6569E"/>
    <w:rsid w:val="00A6599E"/>
    <w:rsid w:val="00A674CA"/>
    <w:rsid w:val="00A70319"/>
    <w:rsid w:val="00A70BD7"/>
    <w:rsid w:val="00A716AD"/>
    <w:rsid w:val="00A72E7C"/>
    <w:rsid w:val="00A73AD7"/>
    <w:rsid w:val="00A73F4C"/>
    <w:rsid w:val="00A75AF1"/>
    <w:rsid w:val="00A770E3"/>
    <w:rsid w:val="00A8036F"/>
    <w:rsid w:val="00A82CC5"/>
    <w:rsid w:val="00A83BAC"/>
    <w:rsid w:val="00A86B79"/>
    <w:rsid w:val="00A87928"/>
    <w:rsid w:val="00A87D46"/>
    <w:rsid w:val="00A913C6"/>
    <w:rsid w:val="00A93780"/>
    <w:rsid w:val="00A9449A"/>
    <w:rsid w:val="00A94DC1"/>
    <w:rsid w:val="00A95A22"/>
    <w:rsid w:val="00A95C2C"/>
    <w:rsid w:val="00AA3B5C"/>
    <w:rsid w:val="00AA4306"/>
    <w:rsid w:val="00AA5144"/>
    <w:rsid w:val="00AB076C"/>
    <w:rsid w:val="00AB2053"/>
    <w:rsid w:val="00AB395A"/>
    <w:rsid w:val="00AB4661"/>
    <w:rsid w:val="00AB76EC"/>
    <w:rsid w:val="00AB7FC6"/>
    <w:rsid w:val="00AC0190"/>
    <w:rsid w:val="00AC2457"/>
    <w:rsid w:val="00AC3D2A"/>
    <w:rsid w:val="00AC3DFC"/>
    <w:rsid w:val="00AC446B"/>
    <w:rsid w:val="00AC6A48"/>
    <w:rsid w:val="00AD281B"/>
    <w:rsid w:val="00AD641A"/>
    <w:rsid w:val="00AD6820"/>
    <w:rsid w:val="00AE5895"/>
    <w:rsid w:val="00AF149F"/>
    <w:rsid w:val="00AF1809"/>
    <w:rsid w:val="00AF3567"/>
    <w:rsid w:val="00AF3CA1"/>
    <w:rsid w:val="00AF3D82"/>
    <w:rsid w:val="00AF6A40"/>
    <w:rsid w:val="00B01B36"/>
    <w:rsid w:val="00B021A0"/>
    <w:rsid w:val="00B049D3"/>
    <w:rsid w:val="00B05BBD"/>
    <w:rsid w:val="00B05E56"/>
    <w:rsid w:val="00B05F74"/>
    <w:rsid w:val="00B0642C"/>
    <w:rsid w:val="00B06E15"/>
    <w:rsid w:val="00B07206"/>
    <w:rsid w:val="00B072A3"/>
    <w:rsid w:val="00B078DF"/>
    <w:rsid w:val="00B10013"/>
    <w:rsid w:val="00B10E32"/>
    <w:rsid w:val="00B11D56"/>
    <w:rsid w:val="00B1290E"/>
    <w:rsid w:val="00B143FC"/>
    <w:rsid w:val="00B17116"/>
    <w:rsid w:val="00B177F8"/>
    <w:rsid w:val="00B17A7E"/>
    <w:rsid w:val="00B2094E"/>
    <w:rsid w:val="00B24DC2"/>
    <w:rsid w:val="00B24E69"/>
    <w:rsid w:val="00B32351"/>
    <w:rsid w:val="00B368E9"/>
    <w:rsid w:val="00B37E59"/>
    <w:rsid w:val="00B400A4"/>
    <w:rsid w:val="00B45592"/>
    <w:rsid w:val="00B45CB7"/>
    <w:rsid w:val="00B45F21"/>
    <w:rsid w:val="00B479A9"/>
    <w:rsid w:val="00B52A64"/>
    <w:rsid w:val="00B54D0F"/>
    <w:rsid w:val="00B54D36"/>
    <w:rsid w:val="00B552A5"/>
    <w:rsid w:val="00B55535"/>
    <w:rsid w:val="00B55CA8"/>
    <w:rsid w:val="00B60CB1"/>
    <w:rsid w:val="00B61E79"/>
    <w:rsid w:val="00B6210E"/>
    <w:rsid w:val="00B62450"/>
    <w:rsid w:val="00B64D48"/>
    <w:rsid w:val="00B65B38"/>
    <w:rsid w:val="00B66EC1"/>
    <w:rsid w:val="00B67886"/>
    <w:rsid w:val="00B70D47"/>
    <w:rsid w:val="00B71985"/>
    <w:rsid w:val="00B742BA"/>
    <w:rsid w:val="00B75E5D"/>
    <w:rsid w:val="00B8128E"/>
    <w:rsid w:val="00B81613"/>
    <w:rsid w:val="00B81895"/>
    <w:rsid w:val="00B81D30"/>
    <w:rsid w:val="00B869DA"/>
    <w:rsid w:val="00B91822"/>
    <w:rsid w:val="00B91921"/>
    <w:rsid w:val="00B91FD0"/>
    <w:rsid w:val="00B93C27"/>
    <w:rsid w:val="00B93CBE"/>
    <w:rsid w:val="00B94581"/>
    <w:rsid w:val="00B94715"/>
    <w:rsid w:val="00B971FF"/>
    <w:rsid w:val="00B97D6F"/>
    <w:rsid w:val="00B97DEA"/>
    <w:rsid w:val="00B97EE9"/>
    <w:rsid w:val="00BA098F"/>
    <w:rsid w:val="00BA0A8D"/>
    <w:rsid w:val="00BA0FB6"/>
    <w:rsid w:val="00BA2509"/>
    <w:rsid w:val="00BA382A"/>
    <w:rsid w:val="00BA49B1"/>
    <w:rsid w:val="00BA63ED"/>
    <w:rsid w:val="00BA7B27"/>
    <w:rsid w:val="00BB2A32"/>
    <w:rsid w:val="00BB39C9"/>
    <w:rsid w:val="00BB46CD"/>
    <w:rsid w:val="00BB4A93"/>
    <w:rsid w:val="00BB548C"/>
    <w:rsid w:val="00BB75F1"/>
    <w:rsid w:val="00BC0A28"/>
    <w:rsid w:val="00BC1DB5"/>
    <w:rsid w:val="00BC2425"/>
    <w:rsid w:val="00BC3F6D"/>
    <w:rsid w:val="00BC6651"/>
    <w:rsid w:val="00BC74DD"/>
    <w:rsid w:val="00BC7C5E"/>
    <w:rsid w:val="00BD2220"/>
    <w:rsid w:val="00BD3986"/>
    <w:rsid w:val="00BD3B0C"/>
    <w:rsid w:val="00BD5735"/>
    <w:rsid w:val="00BD7AA0"/>
    <w:rsid w:val="00BE22AB"/>
    <w:rsid w:val="00BE5F5D"/>
    <w:rsid w:val="00BF0FEE"/>
    <w:rsid w:val="00BF343A"/>
    <w:rsid w:val="00BF3486"/>
    <w:rsid w:val="00BF6920"/>
    <w:rsid w:val="00C02585"/>
    <w:rsid w:val="00C051ED"/>
    <w:rsid w:val="00C05DE7"/>
    <w:rsid w:val="00C06A27"/>
    <w:rsid w:val="00C07D71"/>
    <w:rsid w:val="00C13269"/>
    <w:rsid w:val="00C135E5"/>
    <w:rsid w:val="00C15440"/>
    <w:rsid w:val="00C15523"/>
    <w:rsid w:val="00C207E7"/>
    <w:rsid w:val="00C20E45"/>
    <w:rsid w:val="00C22E88"/>
    <w:rsid w:val="00C232CA"/>
    <w:rsid w:val="00C2540C"/>
    <w:rsid w:val="00C27701"/>
    <w:rsid w:val="00C279F8"/>
    <w:rsid w:val="00C3103F"/>
    <w:rsid w:val="00C31DD7"/>
    <w:rsid w:val="00C349B7"/>
    <w:rsid w:val="00C35FC9"/>
    <w:rsid w:val="00C37F96"/>
    <w:rsid w:val="00C406EA"/>
    <w:rsid w:val="00C43F9A"/>
    <w:rsid w:val="00C447D2"/>
    <w:rsid w:val="00C4593D"/>
    <w:rsid w:val="00C4614F"/>
    <w:rsid w:val="00C47D1C"/>
    <w:rsid w:val="00C50B72"/>
    <w:rsid w:val="00C530E8"/>
    <w:rsid w:val="00C53869"/>
    <w:rsid w:val="00C54125"/>
    <w:rsid w:val="00C54D99"/>
    <w:rsid w:val="00C55BFB"/>
    <w:rsid w:val="00C56109"/>
    <w:rsid w:val="00C60FB5"/>
    <w:rsid w:val="00C61FA3"/>
    <w:rsid w:val="00C6218A"/>
    <w:rsid w:val="00C6289F"/>
    <w:rsid w:val="00C663EA"/>
    <w:rsid w:val="00C70AD1"/>
    <w:rsid w:val="00C70C1C"/>
    <w:rsid w:val="00C71F6A"/>
    <w:rsid w:val="00C72A10"/>
    <w:rsid w:val="00C74E5A"/>
    <w:rsid w:val="00C75E55"/>
    <w:rsid w:val="00C777A7"/>
    <w:rsid w:val="00C802FF"/>
    <w:rsid w:val="00C808BC"/>
    <w:rsid w:val="00C8155E"/>
    <w:rsid w:val="00C83A40"/>
    <w:rsid w:val="00C83B7F"/>
    <w:rsid w:val="00C84133"/>
    <w:rsid w:val="00C84925"/>
    <w:rsid w:val="00C9105C"/>
    <w:rsid w:val="00C92E08"/>
    <w:rsid w:val="00C96721"/>
    <w:rsid w:val="00C9686B"/>
    <w:rsid w:val="00C97A95"/>
    <w:rsid w:val="00CA2429"/>
    <w:rsid w:val="00CA2C2D"/>
    <w:rsid w:val="00CA454D"/>
    <w:rsid w:val="00CA5E7A"/>
    <w:rsid w:val="00CA7CBC"/>
    <w:rsid w:val="00CB1090"/>
    <w:rsid w:val="00CB369C"/>
    <w:rsid w:val="00CB7C72"/>
    <w:rsid w:val="00CC05C3"/>
    <w:rsid w:val="00CC1279"/>
    <w:rsid w:val="00CC3FEF"/>
    <w:rsid w:val="00CC58B2"/>
    <w:rsid w:val="00CD0D1A"/>
    <w:rsid w:val="00CD2EF9"/>
    <w:rsid w:val="00CE13D0"/>
    <w:rsid w:val="00CE13E7"/>
    <w:rsid w:val="00CE18E7"/>
    <w:rsid w:val="00CE33E2"/>
    <w:rsid w:val="00CE49C7"/>
    <w:rsid w:val="00CF03D6"/>
    <w:rsid w:val="00CF0731"/>
    <w:rsid w:val="00CF0816"/>
    <w:rsid w:val="00CF27C9"/>
    <w:rsid w:val="00CF45B2"/>
    <w:rsid w:val="00CF6A5D"/>
    <w:rsid w:val="00D0056C"/>
    <w:rsid w:val="00D03026"/>
    <w:rsid w:val="00D03FF7"/>
    <w:rsid w:val="00D0783C"/>
    <w:rsid w:val="00D10729"/>
    <w:rsid w:val="00D10A18"/>
    <w:rsid w:val="00D11E1C"/>
    <w:rsid w:val="00D142C1"/>
    <w:rsid w:val="00D14F91"/>
    <w:rsid w:val="00D1527F"/>
    <w:rsid w:val="00D15FA1"/>
    <w:rsid w:val="00D16E0D"/>
    <w:rsid w:val="00D225A2"/>
    <w:rsid w:val="00D2310D"/>
    <w:rsid w:val="00D254A7"/>
    <w:rsid w:val="00D273F6"/>
    <w:rsid w:val="00D27A0A"/>
    <w:rsid w:val="00D31327"/>
    <w:rsid w:val="00D31376"/>
    <w:rsid w:val="00D3537A"/>
    <w:rsid w:val="00D36571"/>
    <w:rsid w:val="00D368A8"/>
    <w:rsid w:val="00D36DBA"/>
    <w:rsid w:val="00D37A55"/>
    <w:rsid w:val="00D4040A"/>
    <w:rsid w:val="00D42A3D"/>
    <w:rsid w:val="00D42DED"/>
    <w:rsid w:val="00D45ACA"/>
    <w:rsid w:val="00D460A1"/>
    <w:rsid w:val="00D46949"/>
    <w:rsid w:val="00D50118"/>
    <w:rsid w:val="00D513B3"/>
    <w:rsid w:val="00D5377F"/>
    <w:rsid w:val="00D54291"/>
    <w:rsid w:val="00D57961"/>
    <w:rsid w:val="00D57C93"/>
    <w:rsid w:val="00D60F6E"/>
    <w:rsid w:val="00D61DB8"/>
    <w:rsid w:val="00D63B17"/>
    <w:rsid w:val="00D63B5A"/>
    <w:rsid w:val="00D64259"/>
    <w:rsid w:val="00D659E6"/>
    <w:rsid w:val="00D70B59"/>
    <w:rsid w:val="00D70FA0"/>
    <w:rsid w:val="00D734C3"/>
    <w:rsid w:val="00D73703"/>
    <w:rsid w:val="00D7566B"/>
    <w:rsid w:val="00D80E74"/>
    <w:rsid w:val="00D8330D"/>
    <w:rsid w:val="00D840ED"/>
    <w:rsid w:val="00D90432"/>
    <w:rsid w:val="00D9125A"/>
    <w:rsid w:val="00D91979"/>
    <w:rsid w:val="00D91B09"/>
    <w:rsid w:val="00D9364B"/>
    <w:rsid w:val="00D94DD5"/>
    <w:rsid w:val="00D95FE8"/>
    <w:rsid w:val="00D979F2"/>
    <w:rsid w:val="00DA1766"/>
    <w:rsid w:val="00DA23AC"/>
    <w:rsid w:val="00DA29A4"/>
    <w:rsid w:val="00DA4201"/>
    <w:rsid w:val="00DA4965"/>
    <w:rsid w:val="00DA6990"/>
    <w:rsid w:val="00DA6A5A"/>
    <w:rsid w:val="00DA7100"/>
    <w:rsid w:val="00DB0D20"/>
    <w:rsid w:val="00DB0E1B"/>
    <w:rsid w:val="00DB2CE2"/>
    <w:rsid w:val="00DB4CBD"/>
    <w:rsid w:val="00DB4DB2"/>
    <w:rsid w:val="00DB5AB6"/>
    <w:rsid w:val="00DB7052"/>
    <w:rsid w:val="00DC0218"/>
    <w:rsid w:val="00DC1366"/>
    <w:rsid w:val="00DC415D"/>
    <w:rsid w:val="00DC6FA3"/>
    <w:rsid w:val="00DC7B93"/>
    <w:rsid w:val="00DC7C1D"/>
    <w:rsid w:val="00DD3703"/>
    <w:rsid w:val="00DD4479"/>
    <w:rsid w:val="00DD593C"/>
    <w:rsid w:val="00DE12AB"/>
    <w:rsid w:val="00DE53FB"/>
    <w:rsid w:val="00DE67DE"/>
    <w:rsid w:val="00DE7269"/>
    <w:rsid w:val="00DE7B0B"/>
    <w:rsid w:val="00DF082B"/>
    <w:rsid w:val="00DF1FC2"/>
    <w:rsid w:val="00DF5B3B"/>
    <w:rsid w:val="00E00F37"/>
    <w:rsid w:val="00E0179D"/>
    <w:rsid w:val="00E04FAE"/>
    <w:rsid w:val="00E065CD"/>
    <w:rsid w:val="00E10415"/>
    <w:rsid w:val="00E105C7"/>
    <w:rsid w:val="00E10C19"/>
    <w:rsid w:val="00E10D9E"/>
    <w:rsid w:val="00E11792"/>
    <w:rsid w:val="00E11B81"/>
    <w:rsid w:val="00E120B6"/>
    <w:rsid w:val="00E1328E"/>
    <w:rsid w:val="00E15797"/>
    <w:rsid w:val="00E16206"/>
    <w:rsid w:val="00E17E1A"/>
    <w:rsid w:val="00E24BFF"/>
    <w:rsid w:val="00E24EB1"/>
    <w:rsid w:val="00E25BE9"/>
    <w:rsid w:val="00E2617B"/>
    <w:rsid w:val="00E3127E"/>
    <w:rsid w:val="00E31F1D"/>
    <w:rsid w:val="00E3318A"/>
    <w:rsid w:val="00E3761B"/>
    <w:rsid w:val="00E401F5"/>
    <w:rsid w:val="00E40880"/>
    <w:rsid w:val="00E40B2F"/>
    <w:rsid w:val="00E41FE5"/>
    <w:rsid w:val="00E42201"/>
    <w:rsid w:val="00E42479"/>
    <w:rsid w:val="00E43960"/>
    <w:rsid w:val="00E44063"/>
    <w:rsid w:val="00E50D52"/>
    <w:rsid w:val="00E567CE"/>
    <w:rsid w:val="00E57D7D"/>
    <w:rsid w:val="00E6033F"/>
    <w:rsid w:val="00E61611"/>
    <w:rsid w:val="00E62ACF"/>
    <w:rsid w:val="00E633A0"/>
    <w:rsid w:val="00E66803"/>
    <w:rsid w:val="00E67891"/>
    <w:rsid w:val="00E67E11"/>
    <w:rsid w:val="00E71531"/>
    <w:rsid w:val="00E72FF8"/>
    <w:rsid w:val="00E76AF7"/>
    <w:rsid w:val="00E77389"/>
    <w:rsid w:val="00E77DB3"/>
    <w:rsid w:val="00E815D8"/>
    <w:rsid w:val="00E81755"/>
    <w:rsid w:val="00E827C8"/>
    <w:rsid w:val="00E83491"/>
    <w:rsid w:val="00E84105"/>
    <w:rsid w:val="00E8617B"/>
    <w:rsid w:val="00E90CDB"/>
    <w:rsid w:val="00E91318"/>
    <w:rsid w:val="00E92F8D"/>
    <w:rsid w:val="00E94DD5"/>
    <w:rsid w:val="00E964E0"/>
    <w:rsid w:val="00E97689"/>
    <w:rsid w:val="00E97F1B"/>
    <w:rsid w:val="00EA0D87"/>
    <w:rsid w:val="00EB1962"/>
    <w:rsid w:val="00EB37F8"/>
    <w:rsid w:val="00EB3A37"/>
    <w:rsid w:val="00EB494B"/>
    <w:rsid w:val="00EC1939"/>
    <w:rsid w:val="00EC1FDD"/>
    <w:rsid w:val="00EC4E22"/>
    <w:rsid w:val="00EC5179"/>
    <w:rsid w:val="00EC6B3D"/>
    <w:rsid w:val="00EC7C2C"/>
    <w:rsid w:val="00ED07CB"/>
    <w:rsid w:val="00ED2A02"/>
    <w:rsid w:val="00ED2D9E"/>
    <w:rsid w:val="00ED3DF9"/>
    <w:rsid w:val="00ED45C3"/>
    <w:rsid w:val="00ED4657"/>
    <w:rsid w:val="00ED63B9"/>
    <w:rsid w:val="00ED6D26"/>
    <w:rsid w:val="00EE3156"/>
    <w:rsid w:val="00EE4354"/>
    <w:rsid w:val="00EE5470"/>
    <w:rsid w:val="00EE612D"/>
    <w:rsid w:val="00EF1CF3"/>
    <w:rsid w:val="00EF2A61"/>
    <w:rsid w:val="00EF5878"/>
    <w:rsid w:val="00F029F6"/>
    <w:rsid w:val="00F03168"/>
    <w:rsid w:val="00F05042"/>
    <w:rsid w:val="00F05A18"/>
    <w:rsid w:val="00F061E5"/>
    <w:rsid w:val="00F072B0"/>
    <w:rsid w:val="00F10386"/>
    <w:rsid w:val="00F11672"/>
    <w:rsid w:val="00F12540"/>
    <w:rsid w:val="00F12FE4"/>
    <w:rsid w:val="00F13CAA"/>
    <w:rsid w:val="00F16E22"/>
    <w:rsid w:val="00F203F1"/>
    <w:rsid w:val="00F212B6"/>
    <w:rsid w:val="00F22810"/>
    <w:rsid w:val="00F23454"/>
    <w:rsid w:val="00F23784"/>
    <w:rsid w:val="00F25409"/>
    <w:rsid w:val="00F26310"/>
    <w:rsid w:val="00F27265"/>
    <w:rsid w:val="00F27BEA"/>
    <w:rsid w:val="00F32037"/>
    <w:rsid w:val="00F351C8"/>
    <w:rsid w:val="00F40A3F"/>
    <w:rsid w:val="00F41898"/>
    <w:rsid w:val="00F437FC"/>
    <w:rsid w:val="00F45F68"/>
    <w:rsid w:val="00F4756C"/>
    <w:rsid w:val="00F477F6"/>
    <w:rsid w:val="00F51603"/>
    <w:rsid w:val="00F516AF"/>
    <w:rsid w:val="00F52C96"/>
    <w:rsid w:val="00F540E5"/>
    <w:rsid w:val="00F55763"/>
    <w:rsid w:val="00F55A7E"/>
    <w:rsid w:val="00F57882"/>
    <w:rsid w:val="00F57BA7"/>
    <w:rsid w:val="00F667B2"/>
    <w:rsid w:val="00F70075"/>
    <w:rsid w:val="00F702A1"/>
    <w:rsid w:val="00F71C4B"/>
    <w:rsid w:val="00F721FB"/>
    <w:rsid w:val="00F727AB"/>
    <w:rsid w:val="00F73DAE"/>
    <w:rsid w:val="00F74C3A"/>
    <w:rsid w:val="00F750BF"/>
    <w:rsid w:val="00F762B3"/>
    <w:rsid w:val="00F76B45"/>
    <w:rsid w:val="00F77735"/>
    <w:rsid w:val="00F77F63"/>
    <w:rsid w:val="00F830E5"/>
    <w:rsid w:val="00F83EB0"/>
    <w:rsid w:val="00F851FC"/>
    <w:rsid w:val="00F85562"/>
    <w:rsid w:val="00F867EE"/>
    <w:rsid w:val="00F9073D"/>
    <w:rsid w:val="00F91337"/>
    <w:rsid w:val="00F924D7"/>
    <w:rsid w:val="00F93901"/>
    <w:rsid w:val="00FA0DC1"/>
    <w:rsid w:val="00FA3045"/>
    <w:rsid w:val="00FA38EF"/>
    <w:rsid w:val="00FA501F"/>
    <w:rsid w:val="00FA63A2"/>
    <w:rsid w:val="00FA7D89"/>
    <w:rsid w:val="00FB0917"/>
    <w:rsid w:val="00FB0C2D"/>
    <w:rsid w:val="00FB22FB"/>
    <w:rsid w:val="00FB239A"/>
    <w:rsid w:val="00FB2F50"/>
    <w:rsid w:val="00FB3CEC"/>
    <w:rsid w:val="00FB62F5"/>
    <w:rsid w:val="00FC28CC"/>
    <w:rsid w:val="00FC3E2B"/>
    <w:rsid w:val="00FC5852"/>
    <w:rsid w:val="00FC5A5F"/>
    <w:rsid w:val="00FD1F48"/>
    <w:rsid w:val="00FD2066"/>
    <w:rsid w:val="00FD3D6C"/>
    <w:rsid w:val="00FD44C8"/>
    <w:rsid w:val="00FE18B4"/>
    <w:rsid w:val="00FE1FB8"/>
    <w:rsid w:val="00FE2106"/>
    <w:rsid w:val="00FE28D5"/>
    <w:rsid w:val="00FE67CB"/>
    <w:rsid w:val="00FE750A"/>
    <w:rsid w:val="00FF0515"/>
    <w:rsid w:val="00FF4E6E"/>
    <w:rsid w:val="00FF536E"/>
    <w:rsid w:val="00FF65D0"/>
    <w:rsid w:val="00FF74F7"/>
    <w:rsid w:val="0108524A"/>
    <w:rsid w:val="010A29DC"/>
    <w:rsid w:val="010A478A"/>
    <w:rsid w:val="010C0502"/>
    <w:rsid w:val="01244F9C"/>
    <w:rsid w:val="012D0479"/>
    <w:rsid w:val="01361677"/>
    <w:rsid w:val="01390BCC"/>
    <w:rsid w:val="013C6B15"/>
    <w:rsid w:val="0144054E"/>
    <w:rsid w:val="017126E0"/>
    <w:rsid w:val="0174421B"/>
    <w:rsid w:val="017F5A80"/>
    <w:rsid w:val="018362EB"/>
    <w:rsid w:val="018717BE"/>
    <w:rsid w:val="01A73D87"/>
    <w:rsid w:val="01AD5116"/>
    <w:rsid w:val="01BD06D2"/>
    <w:rsid w:val="01BE7323"/>
    <w:rsid w:val="01BF097B"/>
    <w:rsid w:val="01C17EA7"/>
    <w:rsid w:val="01CC7C92"/>
    <w:rsid w:val="01D105CE"/>
    <w:rsid w:val="01E52FAF"/>
    <w:rsid w:val="01E73C24"/>
    <w:rsid w:val="01EE2499"/>
    <w:rsid w:val="02017B58"/>
    <w:rsid w:val="021A76DB"/>
    <w:rsid w:val="021E7106"/>
    <w:rsid w:val="023A0E29"/>
    <w:rsid w:val="023A5CED"/>
    <w:rsid w:val="023B2304"/>
    <w:rsid w:val="02497F4C"/>
    <w:rsid w:val="02551A35"/>
    <w:rsid w:val="025657AD"/>
    <w:rsid w:val="025B1344"/>
    <w:rsid w:val="02766999"/>
    <w:rsid w:val="02781179"/>
    <w:rsid w:val="02791447"/>
    <w:rsid w:val="029662B0"/>
    <w:rsid w:val="029C58B6"/>
    <w:rsid w:val="02B577A9"/>
    <w:rsid w:val="02BC18B0"/>
    <w:rsid w:val="02E56AB9"/>
    <w:rsid w:val="02F04CA6"/>
    <w:rsid w:val="02F07097"/>
    <w:rsid w:val="02F20765"/>
    <w:rsid w:val="02FA559D"/>
    <w:rsid w:val="03217B69"/>
    <w:rsid w:val="032A0016"/>
    <w:rsid w:val="033243A8"/>
    <w:rsid w:val="033C4F4D"/>
    <w:rsid w:val="034B4BE6"/>
    <w:rsid w:val="035442EC"/>
    <w:rsid w:val="0356161D"/>
    <w:rsid w:val="03564F29"/>
    <w:rsid w:val="035B707C"/>
    <w:rsid w:val="035E700F"/>
    <w:rsid w:val="037126EF"/>
    <w:rsid w:val="03773C2D"/>
    <w:rsid w:val="0386205B"/>
    <w:rsid w:val="03AA5705"/>
    <w:rsid w:val="03B4363B"/>
    <w:rsid w:val="03B66B9F"/>
    <w:rsid w:val="03BE58C8"/>
    <w:rsid w:val="03E73237"/>
    <w:rsid w:val="03EE5F1E"/>
    <w:rsid w:val="04017C6E"/>
    <w:rsid w:val="040D4AEF"/>
    <w:rsid w:val="042711AF"/>
    <w:rsid w:val="04310280"/>
    <w:rsid w:val="043C5E11"/>
    <w:rsid w:val="044E0B67"/>
    <w:rsid w:val="047343F5"/>
    <w:rsid w:val="0475016D"/>
    <w:rsid w:val="04820ADC"/>
    <w:rsid w:val="04870DDC"/>
    <w:rsid w:val="049031F8"/>
    <w:rsid w:val="049F57FE"/>
    <w:rsid w:val="04A113A5"/>
    <w:rsid w:val="04AB1DE0"/>
    <w:rsid w:val="04B067CA"/>
    <w:rsid w:val="04B7013D"/>
    <w:rsid w:val="04BB3243"/>
    <w:rsid w:val="04BB69A1"/>
    <w:rsid w:val="04BF5738"/>
    <w:rsid w:val="04CC1D57"/>
    <w:rsid w:val="04ED23F9"/>
    <w:rsid w:val="04EE55EA"/>
    <w:rsid w:val="04EF3205"/>
    <w:rsid w:val="050140F6"/>
    <w:rsid w:val="051E6A56"/>
    <w:rsid w:val="05213A64"/>
    <w:rsid w:val="0549108E"/>
    <w:rsid w:val="05502A1B"/>
    <w:rsid w:val="05524952"/>
    <w:rsid w:val="055443E3"/>
    <w:rsid w:val="05622BC6"/>
    <w:rsid w:val="056525BA"/>
    <w:rsid w:val="056563FC"/>
    <w:rsid w:val="056D178C"/>
    <w:rsid w:val="05744508"/>
    <w:rsid w:val="05774CFD"/>
    <w:rsid w:val="0599432F"/>
    <w:rsid w:val="05A3216A"/>
    <w:rsid w:val="05B66C8F"/>
    <w:rsid w:val="05B92DB0"/>
    <w:rsid w:val="05D617AA"/>
    <w:rsid w:val="05ED7B89"/>
    <w:rsid w:val="06007F0A"/>
    <w:rsid w:val="0601511F"/>
    <w:rsid w:val="06025689"/>
    <w:rsid w:val="060B54D3"/>
    <w:rsid w:val="06102D2E"/>
    <w:rsid w:val="06122914"/>
    <w:rsid w:val="063B2D6C"/>
    <w:rsid w:val="06503F20"/>
    <w:rsid w:val="06506B03"/>
    <w:rsid w:val="068C6142"/>
    <w:rsid w:val="069627A6"/>
    <w:rsid w:val="06A14ED9"/>
    <w:rsid w:val="06AA7299"/>
    <w:rsid w:val="06B56F46"/>
    <w:rsid w:val="06B92375"/>
    <w:rsid w:val="06C91DA5"/>
    <w:rsid w:val="06CF225A"/>
    <w:rsid w:val="06D118A6"/>
    <w:rsid w:val="06D93E5D"/>
    <w:rsid w:val="06DB44D3"/>
    <w:rsid w:val="06E426D9"/>
    <w:rsid w:val="06F33957"/>
    <w:rsid w:val="06F86FDF"/>
    <w:rsid w:val="06FB7278"/>
    <w:rsid w:val="07012726"/>
    <w:rsid w:val="07096A30"/>
    <w:rsid w:val="07097292"/>
    <w:rsid w:val="07155AF2"/>
    <w:rsid w:val="071D449A"/>
    <w:rsid w:val="072E6CF9"/>
    <w:rsid w:val="073014CF"/>
    <w:rsid w:val="07307513"/>
    <w:rsid w:val="074C5E25"/>
    <w:rsid w:val="075D7207"/>
    <w:rsid w:val="07660E57"/>
    <w:rsid w:val="076F1972"/>
    <w:rsid w:val="07794418"/>
    <w:rsid w:val="07927288"/>
    <w:rsid w:val="079C0106"/>
    <w:rsid w:val="079C6989"/>
    <w:rsid w:val="07AB216C"/>
    <w:rsid w:val="07BB67DE"/>
    <w:rsid w:val="07C139DE"/>
    <w:rsid w:val="07C67765"/>
    <w:rsid w:val="07DB0C2F"/>
    <w:rsid w:val="07DE064D"/>
    <w:rsid w:val="07E25679"/>
    <w:rsid w:val="07EA463D"/>
    <w:rsid w:val="07F10452"/>
    <w:rsid w:val="080F6B2A"/>
    <w:rsid w:val="081863AA"/>
    <w:rsid w:val="082F0F7A"/>
    <w:rsid w:val="084C5688"/>
    <w:rsid w:val="08504C31"/>
    <w:rsid w:val="08525629"/>
    <w:rsid w:val="08591333"/>
    <w:rsid w:val="08597DA5"/>
    <w:rsid w:val="085E75C3"/>
    <w:rsid w:val="0870518C"/>
    <w:rsid w:val="087F1B50"/>
    <w:rsid w:val="088722D5"/>
    <w:rsid w:val="089867F5"/>
    <w:rsid w:val="089E0931"/>
    <w:rsid w:val="08A7269C"/>
    <w:rsid w:val="08AE1E9F"/>
    <w:rsid w:val="08BA553A"/>
    <w:rsid w:val="08BB5CE2"/>
    <w:rsid w:val="08BE70FF"/>
    <w:rsid w:val="08C543EB"/>
    <w:rsid w:val="08C90A87"/>
    <w:rsid w:val="08EE7A25"/>
    <w:rsid w:val="08F100D7"/>
    <w:rsid w:val="08F43C68"/>
    <w:rsid w:val="08F55D20"/>
    <w:rsid w:val="08FA50E4"/>
    <w:rsid w:val="08FB0BD0"/>
    <w:rsid w:val="08FC2CF9"/>
    <w:rsid w:val="08FD0FC1"/>
    <w:rsid w:val="09141087"/>
    <w:rsid w:val="09182DAF"/>
    <w:rsid w:val="092255F6"/>
    <w:rsid w:val="093476F1"/>
    <w:rsid w:val="093F51ED"/>
    <w:rsid w:val="09420CC2"/>
    <w:rsid w:val="09437AA9"/>
    <w:rsid w:val="094457E8"/>
    <w:rsid w:val="095306DD"/>
    <w:rsid w:val="095347F5"/>
    <w:rsid w:val="0967449F"/>
    <w:rsid w:val="096802A0"/>
    <w:rsid w:val="09695409"/>
    <w:rsid w:val="096A15E2"/>
    <w:rsid w:val="096B21BB"/>
    <w:rsid w:val="096F2833"/>
    <w:rsid w:val="09717093"/>
    <w:rsid w:val="097C1EFD"/>
    <w:rsid w:val="0993275B"/>
    <w:rsid w:val="099A3A0C"/>
    <w:rsid w:val="09AD65FB"/>
    <w:rsid w:val="09AE43B9"/>
    <w:rsid w:val="09AE6768"/>
    <w:rsid w:val="09DF2389"/>
    <w:rsid w:val="09EE5A33"/>
    <w:rsid w:val="09F33BC2"/>
    <w:rsid w:val="09F9093D"/>
    <w:rsid w:val="0A005A8E"/>
    <w:rsid w:val="0A005B38"/>
    <w:rsid w:val="0A012F12"/>
    <w:rsid w:val="0A014251"/>
    <w:rsid w:val="0A46002E"/>
    <w:rsid w:val="0A4B39C1"/>
    <w:rsid w:val="0A5847B8"/>
    <w:rsid w:val="0A59542B"/>
    <w:rsid w:val="0A5A21CE"/>
    <w:rsid w:val="0A600644"/>
    <w:rsid w:val="0A63046B"/>
    <w:rsid w:val="0A652A31"/>
    <w:rsid w:val="0A655977"/>
    <w:rsid w:val="0A6F30BC"/>
    <w:rsid w:val="0A714A90"/>
    <w:rsid w:val="0A7E6C48"/>
    <w:rsid w:val="0A8670D2"/>
    <w:rsid w:val="0A887557"/>
    <w:rsid w:val="0A8A6649"/>
    <w:rsid w:val="0A8D0F9E"/>
    <w:rsid w:val="0A93759F"/>
    <w:rsid w:val="0A96271E"/>
    <w:rsid w:val="0AA60D06"/>
    <w:rsid w:val="0AAA3E13"/>
    <w:rsid w:val="0AB440F8"/>
    <w:rsid w:val="0AC94A97"/>
    <w:rsid w:val="0AD2601C"/>
    <w:rsid w:val="0AD84D58"/>
    <w:rsid w:val="0AFA123A"/>
    <w:rsid w:val="0B085950"/>
    <w:rsid w:val="0B095AB3"/>
    <w:rsid w:val="0B0D0CC4"/>
    <w:rsid w:val="0B212BCE"/>
    <w:rsid w:val="0B283234"/>
    <w:rsid w:val="0B2E3B34"/>
    <w:rsid w:val="0B397ABC"/>
    <w:rsid w:val="0B446FEB"/>
    <w:rsid w:val="0B454985"/>
    <w:rsid w:val="0B4921D2"/>
    <w:rsid w:val="0B4D3D37"/>
    <w:rsid w:val="0B756CA4"/>
    <w:rsid w:val="0B80322F"/>
    <w:rsid w:val="0B811AED"/>
    <w:rsid w:val="0B8D0492"/>
    <w:rsid w:val="0B903ADE"/>
    <w:rsid w:val="0B914FAE"/>
    <w:rsid w:val="0B963D2B"/>
    <w:rsid w:val="0B9948AC"/>
    <w:rsid w:val="0B9E7162"/>
    <w:rsid w:val="0BAD6DE0"/>
    <w:rsid w:val="0BB76F1A"/>
    <w:rsid w:val="0BBC2B25"/>
    <w:rsid w:val="0BBD289A"/>
    <w:rsid w:val="0BBF2615"/>
    <w:rsid w:val="0BC35643"/>
    <w:rsid w:val="0BC6115D"/>
    <w:rsid w:val="0BCB720C"/>
    <w:rsid w:val="0BCF2858"/>
    <w:rsid w:val="0BD939C5"/>
    <w:rsid w:val="0BF76D62"/>
    <w:rsid w:val="0BFE4036"/>
    <w:rsid w:val="0C0E0E49"/>
    <w:rsid w:val="0C0F3E0E"/>
    <w:rsid w:val="0C232562"/>
    <w:rsid w:val="0C2506CA"/>
    <w:rsid w:val="0C2A0C91"/>
    <w:rsid w:val="0C2F5309"/>
    <w:rsid w:val="0C3B6140"/>
    <w:rsid w:val="0C41302A"/>
    <w:rsid w:val="0C421DAC"/>
    <w:rsid w:val="0C4A1EDF"/>
    <w:rsid w:val="0C5A518D"/>
    <w:rsid w:val="0C6F15EF"/>
    <w:rsid w:val="0C922C74"/>
    <w:rsid w:val="0C931AD8"/>
    <w:rsid w:val="0C9807F7"/>
    <w:rsid w:val="0C9C13C4"/>
    <w:rsid w:val="0CA35D27"/>
    <w:rsid w:val="0CD56D9C"/>
    <w:rsid w:val="0CFD7333"/>
    <w:rsid w:val="0D060C4A"/>
    <w:rsid w:val="0D1261B4"/>
    <w:rsid w:val="0D2145EC"/>
    <w:rsid w:val="0D244E26"/>
    <w:rsid w:val="0D40004C"/>
    <w:rsid w:val="0D496472"/>
    <w:rsid w:val="0D6D5D30"/>
    <w:rsid w:val="0D7370A6"/>
    <w:rsid w:val="0D7E5526"/>
    <w:rsid w:val="0D8867AE"/>
    <w:rsid w:val="0D8E5096"/>
    <w:rsid w:val="0D9F31D6"/>
    <w:rsid w:val="0DB638CD"/>
    <w:rsid w:val="0DBD1C30"/>
    <w:rsid w:val="0DC70E1E"/>
    <w:rsid w:val="0DD37DB4"/>
    <w:rsid w:val="0DDE1AC1"/>
    <w:rsid w:val="0DE242A5"/>
    <w:rsid w:val="0E1409F6"/>
    <w:rsid w:val="0E220B89"/>
    <w:rsid w:val="0E3039A1"/>
    <w:rsid w:val="0E3259B6"/>
    <w:rsid w:val="0E333E3A"/>
    <w:rsid w:val="0E3D2E6B"/>
    <w:rsid w:val="0E401B23"/>
    <w:rsid w:val="0E850CF5"/>
    <w:rsid w:val="0E8A18A4"/>
    <w:rsid w:val="0E8A7F6C"/>
    <w:rsid w:val="0E9E19FC"/>
    <w:rsid w:val="0E9E3EDE"/>
    <w:rsid w:val="0EB04152"/>
    <w:rsid w:val="0EC30B46"/>
    <w:rsid w:val="0EC518EB"/>
    <w:rsid w:val="0ECF454E"/>
    <w:rsid w:val="0EE22D8A"/>
    <w:rsid w:val="0EE9384E"/>
    <w:rsid w:val="0EEC1973"/>
    <w:rsid w:val="0EF600FC"/>
    <w:rsid w:val="0EF735EC"/>
    <w:rsid w:val="0EF9511D"/>
    <w:rsid w:val="0F03003B"/>
    <w:rsid w:val="0F127DDC"/>
    <w:rsid w:val="0F225395"/>
    <w:rsid w:val="0F29227F"/>
    <w:rsid w:val="0F2A7991"/>
    <w:rsid w:val="0F31231F"/>
    <w:rsid w:val="0F450599"/>
    <w:rsid w:val="0F4A0448"/>
    <w:rsid w:val="0F5341AC"/>
    <w:rsid w:val="0F57276C"/>
    <w:rsid w:val="0F7A251E"/>
    <w:rsid w:val="0F7B2B4A"/>
    <w:rsid w:val="0FAE55CB"/>
    <w:rsid w:val="0FBC10A0"/>
    <w:rsid w:val="0FBC37E4"/>
    <w:rsid w:val="0FCE1438"/>
    <w:rsid w:val="0FDA7A1E"/>
    <w:rsid w:val="0FF33AF6"/>
    <w:rsid w:val="0FF52AA9"/>
    <w:rsid w:val="100E0CEE"/>
    <w:rsid w:val="10233173"/>
    <w:rsid w:val="102B2027"/>
    <w:rsid w:val="102B2962"/>
    <w:rsid w:val="103C5FE2"/>
    <w:rsid w:val="10594DE6"/>
    <w:rsid w:val="105E772A"/>
    <w:rsid w:val="10736542"/>
    <w:rsid w:val="10737E0E"/>
    <w:rsid w:val="107C0EC7"/>
    <w:rsid w:val="10864BC6"/>
    <w:rsid w:val="10915532"/>
    <w:rsid w:val="109A0F5B"/>
    <w:rsid w:val="10A71E01"/>
    <w:rsid w:val="10BA0075"/>
    <w:rsid w:val="10CC21FA"/>
    <w:rsid w:val="10D95F27"/>
    <w:rsid w:val="10E072B6"/>
    <w:rsid w:val="10EA4AB2"/>
    <w:rsid w:val="10EC2887"/>
    <w:rsid w:val="10F72164"/>
    <w:rsid w:val="11021117"/>
    <w:rsid w:val="110D5CB2"/>
    <w:rsid w:val="11112249"/>
    <w:rsid w:val="111E393A"/>
    <w:rsid w:val="113413B0"/>
    <w:rsid w:val="11482A5A"/>
    <w:rsid w:val="114E14F4"/>
    <w:rsid w:val="115E3F3F"/>
    <w:rsid w:val="116A035F"/>
    <w:rsid w:val="116A6B46"/>
    <w:rsid w:val="117D68B3"/>
    <w:rsid w:val="11823EC9"/>
    <w:rsid w:val="11834E46"/>
    <w:rsid w:val="11837DFF"/>
    <w:rsid w:val="11875444"/>
    <w:rsid w:val="11970C4B"/>
    <w:rsid w:val="119F4A7B"/>
    <w:rsid w:val="11A95278"/>
    <w:rsid w:val="11AC0F46"/>
    <w:rsid w:val="11AF44DF"/>
    <w:rsid w:val="11BB40A7"/>
    <w:rsid w:val="11C852FC"/>
    <w:rsid w:val="11CD7C78"/>
    <w:rsid w:val="11EA322C"/>
    <w:rsid w:val="11F72CE6"/>
    <w:rsid w:val="122951DD"/>
    <w:rsid w:val="12323B41"/>
    <w:rsid w:val="12356DF0"/>
    <w:rsid w:val="123B7DDD"/>
    <w:rsid w:val="12543AB7"/>
    <w:rsid w:val="12633CFA"/>
    <w:rsid w:val="12696FBC"/>
    <w:rsid w:val="127E28E2"/>
    <w:rsid w:val="128123D2"/>
    <w:rsid w:val="1299424E"/>
    <w:rsid w:val="12AB56A1"/>
    <w:rsid w:val="12CF0657"/>
    <w:rsid w:val="12DE1A1A"/>
    <w:rsid w:val="12E4798B"/>
    <w:rsid w:val="12E95249"/>
    <w:rsid w:val="12EC7F09"/>
    <w:rsid w:val="12F1671E"/>
    <w:rsid w:val="12F44FF7"/>
    <w:rsid w:val="12FE2ECF"/>
    <w:rsid w:val="13022D63"/>
    <w:rsid w:val="13113756"/>
    <w:rsid w:val="1312127D"/>
    <w:rsid w:val="13135FA9"/>
    <w:rsid w:val="13196AAF"/>
    <w:rsid w:val="13200CAC"/>
    <w:rsid w:val="13426006"/>
    <w:rsid w:val="134C3F41"/>
    <w:rsid w:val="134E40D7"/>
    <w:rsid w:val="13511013"/>
    <w:rsid w:val="135A08C9"/>
    <w:rsid w:val="135C3DD4"/>
    <w:rsid w:val="135C7002"/>
    <w:rsid w:val="1376180B"/>
    <w:rsid w:val="137B5074"/>
    <w:rsid w:val="137D7A57"/>
    <w:rsid w:val="13840695"/>
    <w:rsid w:val="13962258"/>
    <w:rsid w:val="13A94038"/>
    <w:rsid w:val="13AF13FA"/>
    <w:rsid w:val="13AF2F6F"/>
    <w:rsid w:val="13B32A60"/>
    <w:rsid w:val="13BD3CAF"/>
    <w:rsid w:val="13BD568C"/>
    <w:rsid w:val="13C62793"/>
    <w:rsid w:val="13CB7DA9"/>
    <w:rsid w:val="13D223DD"/>
    <w:rsid w:val="13DA5DE9"/>
    <w:rsid w:val="13E470BD"/>
    <w:rsid w:val="13E7075D"/>
    <w:rsid w:val="13F33946"/>
    <w:rsid w:val="14042263"/>
    <w:rsid w:val="140B63F8"/>
    <w:rsid w:val="141745DC"/>
    <w:rsid w:val="141C5347"/>
    <w:rsid w:val="144925CA"/>
    <w:rsid w:val="14644770"/>
    <w:rsid w:val="146855F8"/>
    <w:rsid w:val="147142B4"/>
    <w:rsid w:val="14725E70"/>
    <w:rsid w:val="14832432"/>
    <w:rsid w:val="148E0ACB"/>
    <w:rsid w:val="149F31A0"/>
    <w:rsid w:val="14B118C5"/>
    <w:rsid w:val="14B415E1"/>
    <w:rsid w:val="14BE16BC"/>
    <w:rsid w:val="14C333C2"/>
    <w:rsid w:val="14C94E53"/>
    <w:rsid w:val="14D43BDB"/>
    <w:rsid w:val="14E40FC0"/>
    <w:rsid w:val="14E46C49"/>
    <w:rsid w:val="14E8137A"/>
    <w:rsid w:val="14F57E7D"/>
    <w:rsid w:val="15152C81"/>
    <w:rsid w:val="151B44F0"/>
    <w:rsid w:val="152E2DCC"/>
    <w:rsid w:val="153017B9"/>
    <w:rsid w:val="153B570B"/>
    <w:rsid w:val="153D79E2"/>
    <w:rsid w:val="15511CF9"/>
    <w:rsid w:val="15574E0D"/>
    <w:rsid w:val="15643BA8"/>
    <w:rsid w:val="15657D89"/>
    <w:rsid w:val="15787ABD"/>
    <w:rsid w:val="15914050"/>
    <w:rsid w:val="159D5775"/>
    <w:rsid w:val="15B90181"/>
    <w:rsid w:val="15C56A7A"/>
    <w:rsid w:val="15C90318"/>
    <w:rsid w:val="15DB44F0"/>
    <w:rsid w:val="15F1546C"/>
    <w:rsid w:val="15F829AC"/>
    <w:rsid w:val="160547D6"/>
    <w:rsid w:val="160E0421"/>
    <w:rsid w:val="161A5018"/>
    <w:rsid w:val="161C40B5"/>
    <w:rsid w:val="16287BB0"/>
    <w:rsid w:val="162D462E"/>
    <w:rsid w:val="163634D4"/>
    <w:rsid w:val="16404216"/>
    <w:rsid w:val="16445414"/>
    <w:rsid w:val="16467CC8"/>
    <w:rsid w:val="165D579D"/>
    <w:rsid w:val="165F2BDF"/>
    <w:rsid w:val="16606B2E"/>
    <w:rsid w:val="16720653"/>
    <w:rsid w:val="16730A7D"/>
    <w:rsid w:val="167A2080"/>
    <w:rsid w:val="168E46B6"/>
    <w:rsid w:val="168F7E12"/>
    <w:rsid w:val="169326D4"/>
    <w:rsid w:val="1693642B"/>
    <w:rsid w:val="16A50D85"/>
    <w:rsid w:val="16A87CE1"/>
    <w:rsid w:val="16AA639C"/>
    <w:rsid w:val="16AB5C70"/>
    <w:rsid w:val="16B0277B"/>
    <w:rsid w:val="16B7318B"/>
    <w:rsid w:val="16D36629"/>
    <w:rsid w:val="16D63A02"/>
    <w:rsid w:val="16E021C2"/>
    <w:rsid w:val="16EA7343"/>
    <w:rsid w:val="17082F16"/>
    <w:rsid w:val="17213D1A"/>
    <w:rsid w:val="172C4239"/>
    <w:rsid w:val="174D3358"/>
    <w:rsid w:val="175956CC"/>
    <w:rsid w:val="176214A7"/>
    <w:rsid w:val="176A780D"/>
    <w:rsid w:val="1780366E"/>
    <w:rsid w:val="17845DA0"/>
    <w:rsid w:val="179E277E"/>
    <w:rsid w:val="17A27073"/>
    <w:rsid w:val="17A74C5B"/>
    <w:rsid w:val="17BC177E"/>
    <w:rsid w:val="17BE3B1C"/>
    <w:rsid w:val="17E02D31"/>
    <w:rsid w:val="17EC76E6"/>
    <w:rsid w:val="17F14C98"/>
    <w:rsid w:val="18061007"/>
    <w:rsid w:val="18063514"/>
    <w:rsid w:val="18074726"/>
    <w:rsid w:val="18080A9E"/>
    <w:rsid w:val="18195144"/>
    <w:rsid w:val="18296253"/>
    <w:rsid w:val="18395DE4"/>
    <w:rsid w:val="187521F8"/>
    <w:rsid w:val="187A0744"/>
    <w:rsid w:val="1881312C"/>
    <w:rsid w:val="188C387F"/>
    <w:rsid w:val="18994219"/>
    <w:rsid w:val="18A56142"/>
    <w:rsid w:val="18AD3F21"/>
    <w:rsid w:val="18AF38AF"/>
    <w:rsid w:val="18BE6B9D"/>
    <w:rsid w:val="18C354F3"/>
    <w:rsid w:val="18C72EE1"/>
    <w:rsid w:val="18D32287"/>
    <w:rsid w:val="18D71B4A"/>
    <w:rsid w:val="18E46AD6"/>
    <w:rsid w:val="18E47F7A"/>
    <w:rsid w:val="18ED538B"/>
    <w:rsid w:val="18F06F9F"/>
    <w:rsid w:val="18FC3FD1"/>
    <w:rsid w:val="18FF73A6"/>
    <w:rsid w:val="19144AA9"/>
    <w:rsid w:val="19161879"/>
    <w:rsid w:val="191A45C5"/>
    <w:rsid w:val="19210749"/>
    <w:rsid w:val="19266DE4"/>
    <w:rsid w:val="192F2566"/>
    <w:rsid w:val="193F7065"/>
    <w:rsid w:val="194E0081"/>
    <w:rsid w:val="195B397D"/>
    <w:rsid w:val="195F6609"/>
    <w:rsid w:val="19697608"/>
    <w:rsid w:val="196A6E19"/>
    <w:rsid w:val="196D1903"/>
    <w:rsid w:val="197624BA"/>
    <w:rsid w:val="19AF15A8"/>
    <w:rsid w:val="19C01739"/>
    <w:rsid w:val="19C07C84"/>
    <w:rsid w:val="19CC4C5A"/>
    <w:rsid w:val="19D83035"/>
    <w:rsid w:val="19D87710"/>
    <w:rsid w:val="19EF7068"/>
    <w:rsid w:val="1A101888"/>
    <w:rsid w:val="1A2A3728"/>
    <w:rsid w:val="1A512009"/>
    <w:rsid w:val="1A566CC7"/>
    <w:rsid w:val="1A6149DF"/>
    <w:rsid w:val="1A69031C"/>
    <w:rsid w:val="1A6D5C1B"/>
    <w:rsid w:val="1A73397C"/>
    <w:rsid w:val="1A8644CD"/>
    <w:rsid w:val="1A870F73"/>
    <w:rsid w:val="1AA569B7"/>
    <w:rsid w:val="1AAB190A"/>
    <w:rsid w:val="1AAE000B"/>
    <w:rsid w:val="1AB3650A"/>
    <w:rsid w:val="1ACB1C1D"/>
    <w:rsid w:val="1ADA6788"/>
    <w:rsid w:val="1ADE3009"/>
    <w:rsid w:val="1AFA2B1C"/>
    <w:rsid w:val="1AFC4CEC"/>
    <w:rsid w:val="1B261D1F"/>
    <w:rsid w:val="1B481CDF"/>
    <w:rsid w:val="1B68216E"/>
    <w:rsid w:val="1B6F77A7"/>
    <w:rsid w:val="1B704CD6"/>
    <w:rsid w:val="1B78673F"/>
    <w:rsid w:val="1B79633D"/>
    <w:rsid w:val="1B817D0B"/>
    <w:rsid w:val="1B84582A"/>
    <w:rsid w:val="1B8721E3"/>
    <w:rsid w:val="1B8A054A"/>
    <w:rsid w:val="1B8B6070"/>
    <w:rsid w:val="1B9A2198"/>
    <w:rsid w:val="1BAD12C5"/>
    <w:rsid w:val="1BB8267A"/>
    <w:rsid w:val="1BBB4BA7"/>
    <w:rsid w:val="1BD05A6D"/>
    <w:rsid w:val="1BD208B0"/>
    <w:rsid w:val="1BD6575E"/>
    <w:rsid w:val="1BD85D3B"/>
    <w:rsid w:val="1BE029A8"/>
    <w:rsid w:val="1BEC24FB"/>
    <w:rsid w:val="1C0804E7"/>
    <w:rsid w:val="1C1029DA"/>
    <w:rsid w:val="1C134F27"/>
    <w:rsid w:val="1C1B04AC"/>
    <w:rsid w:val="1C1E24F0"/>
    <w:rsid w:val="1C252021"/>
    <w:rsid w:val="1C4E77C9"/>
    <w:rsid w:val="1C5115AF"/>
    <w:rsid w:val="1C59360F"/>
    <w:rsid w:val="1C5A616E"/>
    <w:rsid w:val="1C5B0F48"/>
    <w:rsid w:val="1C711744"/>
    <w:rsid w:val="1C7F44D1"/>
    <w:rsid w:val="1C816553"/>
    <w:rsid w:val="1C8975D9"/>
    <w:rsid w:val="1C8A6A1B"/>
    <w:rsid w:val="1C8F393E"/>
    <w:rsid w:val="1C976597"/>
    <w:rsid w:val="1CA069B8"/>
    <w:rsid w:val="1CA70C88"/>
    <w:rsid w:val="1CBA44B6"/>
    <w:rsid w:val="1CBC6A50"/>
    <w:rsid w:val="1CC15E4F"/>
    <w:rsid w:val="1CC655B2"/>
    <w:rsid w:val="1CD32386"/>
    <w:rsid w:val="1CE71497"/>
    <w:rsid w:val="1CF51751"/>
    <w:rsid w:val="1D1F1166"/>
    <w:rsid w:val="1D230BA2"/>
    <w:rsid w:val="1D271DC8"/>
    <w:rsid w:val="1D372DD4"/>
    <w:rsid w:val="1D386B0A"/>
    <w:rsid w:val="1D39665B"/>
    <w:rsid w:val="1D3D790D"/>
    <w:rsid w:val="1D453B92"/>
    <w:rsid w:val="1D475A45"/>
    <w:rsid w:val="1D49325F"/>
    <w:rsid w:val="1D494DEE"/>
    <w:rsid w:val="1D54432D"/>
    <w:rsid w:val="1D646B79"/>
    <w:rsid w:val="1D7066B8"/>
    <w:rsid w:val="1D781AB8"/>
    <w:rsid w:val="1D81675B"/>
    <w:rsid w:val="1D873EC6"/>
    <w:rsid w:val="1DA427DB"/>
    <w:rsid w:val="1DA444AF"/>
    <w:rsid w:val="1DB06DBB"/>
    <w:rsid w:val="1DB4365C"/>
    <w:rsid w:val="1DC33119"/>
    <w:rsid w:val="1DC71769"/>
    <w:rsid w:val="1DD4347C"/>
    <w:rsid w:val="1DD866A7"/>
    <w:rsid w:val="1DEC0FD1"/>
    <w:rsid w:val="1DFD218F"/>
    <w:rsid w:val="1E055F60"/>
    <w:rsid w:val="1E1F64E2"/>
    <w:rsid w:val="1E325108"/>
    <w:rsid w:val="1E4273A0"/>
    <w:rsid w:val="1E4708BE"/>
    <w:rsid w:val="1E5368CC"/>
    <w:rsid w:val="1E5B402C"/>
    <w:rsid w:val="1E6A37E9"/>
    <w:rsid w:val="1E72251E"/>
    <w:rsid w:val="1E7F3375"/>
    <w:rsid w:val="1E960FB4"/>
    <w:rsid w:val="1E9C0FD7"/>
    <w:rsid w:val="1EA00409"/>
    <w:rsid w:val="1EA27733"/>
    <w:rsid w:val="1EA71441"/>
    <w:rsid w:val="1EBB6C6C"/>
    <w:rsid w:val="1EC624AA"/>
    <w:rsid w:val="1ED72E5B"/>
    <w:rsid w:val="1EDB57B8"/>
    <w:rsid w:val="1EFC5DB5"/>
    <w:rsid w:val="1EFE18F2"/>
    <w:rsid w:val="1F272EF3"/>
    <w:rsid w:val="1F474417"/>
    <w:rsid w:val="1F603B68"/>
    <w:rsid w:val="1F6410B2"/>
    <w:rsid w:val="1F7801F4"/>
    <w:rsid w:val="1F7C1DF0"/>
    <w:rsid w:val="1F861028"/>
    <w:rsid w:val="1FA051B1"/>
    <w:rsid w:val="1FA90B83"/>
    <w:rsid w:val="1FBC5A21"/>
    <w:rsid w:val="1FBF278C"/>
    <w:rsid w:val="1FD56418"/>
    <w:rsid w:val="1FE01BF2"/>
    <w:rsid w:val="1FF05A00"/>
    <w:rsid w:val="1FF103F0"/>
    <w:rsid w:val="1FFD700C"/>
    <w:rsid w:val="20005C3E"/>
    <w:rsid w:val="200C1FD7"/>
    <w:rsid w:val="202723CD"/>
    <w:rsid w:val="202A0BEF"/>
    <w:rsid w:val="204A7D65"/>
    <w:rsid w:val="204C078D"/>
    <w:rsid w:val="205151BA"/>
    <w:rsid w:val="20676614"/>
    <w:rsid w:val="206A094A"/>
    <w:rsid w:val="207672EF"/>
    <w:rsid w:val="20780877"/>
    <w:rsid w:val="20784E15"/>
    <w:rsid w:val="20852A38"/>
    <w:rsid w:val="208F1E42"/>
    <w:rsid w:val="209155CF"/>
    <w:rsid w:val="20A80DDA"/>
    <w:rsid w:val="20B1574E"/>
    <w:rsid w:val="20B87907"/>
    <w:rsid w:val="20BB3BCD"/>
    <w:rsid w:val="20BC3659"/>
    <w:rsid w:val="20BD49E5"/>
    <w:rsid w:val="20C02A8E"/>
    <w:rsid w:val="20C12A4D"/>
    <w:rsid w:val="20C938C2"/>
    <w:rsid w:val="20CD5313"/>
    <w:rsid w:val="20D719F1"/>
    <w:rsid w:val="20DA787E"/>
    <w:rsid w:val="20DE6FD6"/>
    <w:rsid w:val="20DF4E94"/>
    <w:rsid w:val="20F14BC7"/>
    <w:rsid w:val="21030E7D"/>
    <w:rsid w:val="210466A8"/>
    <w:rsid w:val="21066A24"/>
    <w:rsid w:val="21210FCF"/>
    <w:rsid w:val="212906CA"/>
    <w:rsid w:val="212E3396"/>
    <w:rsid w:val="213A4563"/>
    <w:rsid w:val="21400B25"/>
    <w:rsid w:val="21466CC1"/>
    <w:rsid w:val="214967B1"/>
    <w:rsid w:val="214F070A"/>
    <w:rsid w:val="21504889"/>
    <w:rsid w:val="21511091"/>
    <w:rsid w:val="215858E8"/>
    <w:rsid w:val="215A451A"/>
    <w:rsid w:val="216A59FA"/>
    <w:rsid w:val="21716238"/>
    <w:rsid w:val="217355DC"/>
    <w:rsid w:val="21871088"/>
    <w:rsid w:val="21893052"/>
    <w:rsid w:val="218D304A"/>
    <w:rsid w:val="219915D3"/>
    <w:rsid w:val="219C4B33"/>
    <w:rsid w:val="219D08AB"/>
    <w:rsid w:val="219D45B2"/>
    <w:rsid w:val="219E2400"/>
    <w:rsid w:val="21A672A2"/>
    <w:rsid w:val="21B92F19"/>
    <w:rsid w:val="21BC28A6"/>
    <w:rsid w:val="21C329A3"/>
    <w:rsid w:val="21E56FBC"/>
    <w:rsid w:val="21FA005D"/>
    <w:rsid w:val="21FA5CFD"/>
    <w:rsid w:val="21FB12EC"/>
    <w:rsid w:val="220137C3"/>
    <w:rsid w:val="220A1BC8"/>
    <w:rsid w:val="221A1C96"/>
    <w:rsid w:val="22317E84"/>
    <w:rsid w:val="22387A21"/>
    <w:rsid w:val="224F6446"/>
    <w:rsid w:val="22513B6F"/>
    <w:rsid w:val="225861FF"/>
    <w:rsid w:val="226C4FAD"/>
    <w:rsid w:val="226E1C86"/>
    <w:rsid w:val="22714212"/>
    <w:rsid w:val="22737F8A"/>
    <w:rsid w:val="229323DA"/>
    <w:rsid w:val="22943A5C"/>
    <w:rsid w:val="229F47AE"/>
    <w:rsid w:val="22A07A2E"/>
    <w:rsid w:val="22A27797"/>
    <w:rsid w:val="22C205C9"/>
    <w:rsid w:val="22C22251"/>
    <w:rsid w:val="22C8691D"/>
    <w:rsid w:val="22D3233B"/>
    <w:rsid w:val="22E25839"/>
    <w:rsid w:val="22E720B4"/>
    <w:rsid w:val="22FF181D"/>
    <w:rsid w:val="231A6657"/>
    <w:rsid w:val="231B23CF"/>
    <w:rsid w:val="231C1D57"/>
    <w:rsid w:val="231F40E3"/>
    <w:rsid w:val="23274461"/>
    <w:rsid w:val="23287BBD"/>
    <w:rsid w:val="232C7632"/>
    <w:rsid w:val="2333170A"/>
    <w:rsid w:val="234A2DC3"/>
    <w:rsid w:val="235A6F13"/>
    <w:rsid w:val="23726DB6"/>
    <w:rsid w:val="237F1E99"/>
    <w:rsid w:val="23B56380"/>
    <w:rsid w:val="23BC6D45"/>
    <w:rsid w:val="23CF103A"/>
    <w:rsid w:val="23D438D3"/>
    <w:rsid w:val="23DC005E"/>
    <w:rsid w:val="23DE19DE"/>
    <w:rsid w:val="23FC16C5"/>
    <w:rsid w:val="23FC3FAF"/>
    <w:rsid w:val="23FD21A6"/>
    <w:rsid w:val="23FF15A7"/>
    <w:rsid w:val="24096C1E"/>
    <w:rsid w:val="240B41F2"/>
    <w:rsid w:val="241124F4"/>
    <w:rsid w:val="24247062"/>
    <w:rsid w:val="24305A06"/>
    <w:rsid w:val="2432073F"/>
    <w:rsid w:val="2435301D"/>
    <w:rsid w:val="243C084F"/>
    <w:rsid w:val="24415E66"/>
    <w:rsid w:val="2442787A"/>
    <w:rsid w:val="24493ED0"/>
    <w:rsid w:val="244D3EC4"/>
    <w:rsid w:val="247450BF"/>
    <w:rsid w:val="248458D3"/>
    <w:rsid w:val="248C2B1F"/>
    <w:rsid w:val="249B11DF"/>
    <w:rsid w:val="24AC7DB8"/>
    <w:rsid w:val="24AF30EF"/>
    <w:rsid w:val="24B959FC"/>
    <w:rsid w:val="24C2088B"/>
    <w:rsid w:val="24C31ACA"/>
    <w:rsid w:val="24C37822"/>
    <w:rsid w:val="24C979B7"/>
    <w:rsid w:val="24CD065E"/>
    <w:rsid w:val="24D228AC"/>
    <w:rsid w:val="24DE282F"/>
    <w:rsid w:val="24EF141E"/>
    <w:rsid w:val="24F1062F"/>
    <w:rsid w:val="24F365D4"/>
    <w:rsid w:val="24F42ED8"/>
    <w:rsid w:val="2502156D"/>
    <w:rsid w:val="250234C2"/>
    <w:rsid w:val="250B5C95"/>
    <w:rsid w:val="250D579E"/>
    <w:rsid w:val="2516370B"/>
    <w:rsid w:val="2533755C"/>
    <w:rsid w:val="25427164"/>
    <w:rsid w:val="25445C0D"/>
    <w:rsid w:val="254C6870"/>
    <w:rsid w:val="25525D92"/>
    <w:rsid w:val="25527D56"/>
    <w:rsid w:val="25577714"/>
    <w:rsid w:val="25583467"/>
    <w:rsid w:val="255B191F"/>
    <w:rsid w:val="2560231B"/>
    <w:rsid w:val="2563572A"/>
    <w:rsid w:val="25637736"/>
    <w:rsid w:val="25876A82"/>
    <w:rsid w:val="25A71CF8"/>
    <w:rsid w:val="25AC31DE"/>
    <w:rsid w:val="25AE478C"/>
    <w:rsid w:val="25B06DFF"/>
    <w:rsid w:val="25B90919"/>
    <w:rsid w:val="25C44658"/>
    <w:rsid w:val="25CB59E7"/>
    <w:rsid w:val="25E45D48"/>
    <w:rsid w:val="26063061"/>
    <w:rsid w:val="26103D41"/>
    <w:rsid w:val="26152813"/>
    <w:rsid w:val="263B2C60"/>
    <w:rsid w:val="26411C1D"/>
    <w:rsid w:val="265453C2"/>
    <w:rsid w:val="26567ACD"/>
    <w:rsid w:val="265C2D1D"/>
    <w:rsid w:val="26705B30"/>
    <w:rsid w:val="267C5888"/>
    <w:rsid w:val="268813BB"/>
    <w:rsid w:val="268F2EB8"/>
    <w:rsid w:val="269D649F"/>
    <w:rsid w:val="26A175D7"/>
    <w:rsid w:val="26B464FA"/>
    <w:rsid w:val="26BB11A1"/>
    <w:rsid w:val="26BC301B"/>
    <w:rsid w:val="26C94FDE"/>
    <w:rsid w:val="26CE67B8"/>
    <w:rsid w:val="26D3098E"/>
    <w:rsid w:val="26E50D2A"/>
    <w:rsid w:val="26EA5725"/>
    <w:rsid w:val="26EF599B"/>
    <w:rsid w:val="2714160F"/>
    <w:rsid w:val="271E227A"/>
    <w:rsid w:val="2724421E"/>
    <w:rsid w:val="272D5531"/>
    <w:rsid w:val="272F1AD3"/>
    <w:rsid w:val="2741315F"/>
    <w:rsid w:val="274F0899"/>
    <w:rsid w:val="27623966"/>
    <w:rsid w:val="27642550"/>
    <w:rsid w:val="277125BE"/>
    <w:rsid w:val="277A6660"/>
    <w:rsid w:val="279B1B14"/>
    <w:rsid w:val="27A249CA"/>
    <w:rsid w:val="27B510F4"/>
    <w:rsid w:val="27B64475"/>
    <w:rsid w:val="27C77490"/>
    <w:rsid w:val="27E93443"/>
    <w:rsid w:val="27EE0BF0"/>
    <w:rsid w:val="27F64177"/>
    <w:rsid w:val="27F81D1A"/>
    <w:rsid w:val="27FD16ED"/>
    <w:rsid w:val="28046D84"/>
    <w:rsid w:val="281169CD"/>
    <w:rsid w:val="281F64BE"/>
    <w:rsid w:val="283006CB"/>
    <w:rsid w:val="284D4FC9"/>
    <w:rsid w:val="28687E65"/>
    <w:rsid w:val="286B5532"/>
    <w:rsid w:val="287624DB"/>
    <w:rsid w:val="287F6F5C"/>
    <w:rsid w:val="288F52D5"/>
    <w:rsid w:val="28A60778"/>
    <w:rsid w:val="28AF35C6"/>
    <w:rsid w:val="28C55E0E"/>
    <w:rsid w:val="28CA3E69"/>
    <w:rsid w:val="28E5527A"/>
    <w:rsid w:val="28ED18FB"/>
    <w:rsid w:val="28ED30E6"/>
    <w:rsid w:val="28F01CEB"/>
    <w:rsid w:val="28F811E9"/>
    <w:rsid w:val="29053906"/>
    <w:rsid w:val="290C07F0"/>
    <w:rsid w:val="29162571"/>
    <w:rsid w:val="29193321"/>
    <w:rsid w:val="291D38AE"/>
    <w:rsid w:val="2920429C"/>
    <w:rsid w:val="29216A36"/>
    <w:rsid w:val="29225D1F"/>
    <w:rsid w:val="29234A57"/>
    <w:rsid w:val="292C0D62"/>
    <w:rsid w:val="29321FE3"/>
    <w:rsid w:val="293607E6"/>
    <w:rsid w:val="29476C8B"/>
    <w:rsid w:val="294E725A"/>
    <w:rsid w:val="29526C4F"/>
    <w:rsid w:val="29551B41"/>
    <w:rsid w:val="295558E1"/>
    <w:rsid w:val="29572E0D"/>
    <w:rsid w:val="29654128"/>
    <w:rsid w:val="29803570"/>
    <w:rsid w:val="298A7BDE"/>
    <w:rsid w:val="298D54D2"/>
    <w:rsid w:val="29A21154"/>
    <w:rsid w:val="29AC3EFF"/>
    <w:rsid w:val="29B95570"/>
    <w:rsid w:val="29C810F2"/>
    <w:rsid w:val="29CF4CDE"/>
    <w:rsid w:val="29E25984"/>
    <w:rsid w:val="29E40114"/>
    <w:rsid w:val="29EE601C"/>
    <w:rsid w:val="29FF7627"/>
    <w:rsid w:val="2A1060BE"/>
    <w:rsid w:val="2A141291"/>
    <w:rsid w:val="2A1425C1"/>
    <w:rsid w:val="2A17665E"/>
    <w:rsid w:val="2A2E1A72"/>
    <w:rsid w:val="2A3519F9"/>
    <w:rsid w:val="2A35592E"/>
    <w:rsid w:val="2A3C19BB"/>
    <w:rsid w:val="2A492B17"/>
    <w:rsid w:val="2A5B2F22"/>
    <w:rsid w:val="2A5F5F98"/>
    <w:rsid w:val="2A677CA8"/>
    <w:rsid w:val="2A7279D5"/>
    <w:rsid w:val="2A7B5DC7"/>
    <w:rsid w:val="2A862EB1"/>
    <w:rsid w:val="2AAA6513"/>
    <w:rsid w:val="2AAE0992"/>
    <w:rsid w:val="2ACB1A84"/>
    <w:rsid w:val="2ACB7330"/>
    <w:rsid w:val="2AD479BA"/>
    <w:rsid w:val="2AD970ED"/>
    <w:rsid w:val="2ADC41F2"/>
    <w:rsid w:val="2ADE440E"/>
    <w:rsid w:val="2ADE7F6A"/>
    <w:rsid w:val="2AE17A5A"/>
    <w:rsid w:val="2AEA3820"/>
    <w:rsid w:val="2AEC01AB"/>
    <w:rsid w:val="2AEDA948"/>
    <w:rsid w:val="2B06250A"/>
    <w:rsid w:val="2B451595"/>
    <w:rsid w:val="2B474184"/>
    <w:rsid w:val="2B4B5F54"/>
    <w:rsid w:val="2B533EAE"/>
    <w:rsid w:val="2B5D3585"/>
    <w:rsid w:val="2B5F65B7"/>
    <w:rsid w:val="2B6762B5"/>
    <w:rsid w:val="2B78175F"/>
    <w:rsid w:val="2B7D23A6"/>
    <w:rsid w:val="2B7F799F"/>
    <w:rsid w:val="2B874C0D"/>
    <w:rsid w:val="2B9039C7"/>
    <w:rsid w:val="2BB10653"/>
    <w:rsid w:val="2BB41EF3"/>
    <w:rsid w:val="2BB91316"/>
    <w:rsid w:val="2BC359F4"/>
    <w:rsid w:val="2BD6027D"/>
    <w:rsid w:val="2BEC2B5B"/>
    <w:rsid w:val="2BFA65AF"/>
    <w:rsid w:val="2BFF422E"/>
    <w:rsid w:val="2C0954BB"/>
    <w:rsid w:val="2C2119A9"/>
    <w:rsid w:val="2C315922"/>
    <w:rsid w:val="2C3A38C6"/>
    <w:rsid w:val="2C3B063C"/>
    <w:rsid w:val="2C3E228B"/>
    <w:rsid w:val="2C487112"/>
    <w:rsid w:val="2C51791C"/>
    <w:rsid w:val="2C5626FE"/>
    <w:rsid w:val="2C5F5E45"/>
    <w:rsid w:val="2C666469"/>
    <w:rsid w:val="2C6D06DB"/>
    <w:rsid w:val="2C7122F5"/>
    <w:rsid w:val="2C815D81"/>
    <w:rsid w:val="2C9841CC"/>
    <w:rsid w:val="2C9D7CDC"/>
    <w:rsid w:val="2CA04AAC"/>
    <w:rsid w:val="2CA1763D"/>
    <w:rsid w:val="2CA74D32"/>
    <w:rsid w:val="2CB847EB"/>
    <w:rsid w:val="2CD37E94"/>
    <w:rsid w:val="2CDF46B1"/>
    <w:rsid w:val="2CE455E0"/>
    <w:rsid w:val="2CF15EED"/>
    <w:rsid w:val="2CF319CD"/>
    <w:rsid w:val="2CF871C7"/>
    <w:rsid w:val="2D10337C"/>
    <w:rsid w:val="2D106A69"/>
    <w:rsid w:val="2D3044ED"/>
    <w:rsid w:val="2D366C12"/>
    <w:rsid w:val="2D406CBA"/>
    <w:rsid w:val="2D4A2971"/>
    <w:rsid w:val="2D4A7B39"/>
    <w:rsid w:val="2D5269EE"/>
    <w:rsid w:val="2D5B265D"/>
    <w:rsid w:val="2D7C3A6A"/>
    <w:rsid w:val="2D8F14A1"/>
    <w:rsid w:val="2D8F3AF9"/>
    <w:rsid w:val="2D94069C"/>
    <w:rsid w:val="2DA5032C"/>
    <w:rsid w:val="2DA60EEA"/>
    <w:rsid w:val="2DB103EB"/>
    <w:rsid w:val="2DB15E0A"/>
    <w:rsid w:val="2DB43712"/>
    <w:rsid w:val="2DB7125F"/>
    <w:rsid w:val="2DD51E07"/>
    <w:rsid w:val="2DE735DA"/>
    <w:rsid w:val="2DF43E01"/>
    <w:rsid w:val="2DFB7085"/>
    <w:rsid w:val="2DFC2B75"/>
    <w:rsid w:val="2E03773F"/>
    <w:rsid w:val="2E166E98"/>
    <w:rsid w:val="2E187C37"/>
    <w:rsid w:val="2E1E299A"/>
    <w:rsid w:val="2E336E30"/>
    <w:rsid w:val="2E402CEA"/>
    <w:rsid w:val="2E4C168F"/>
    <w:rsid w:val="2E505623"/>
    <w:rsid w:val="2E552C39"/>
    <w:rsid w:val="2E586EFC"/>
    <w:rsid w:val="2E5909BE"/>
    <w:rsid w:val="2E6C063D"/>
    <w:rsid w:val="2E701821"/>
    <w:rsid w:val="2E731A57"/>
    <w:rsid w:val="2E772BB0"/>
    <w:rsid w:val="2E901932"/>
    <w:rsid w:val="2E9077CD"/>
    <w:rsid w:val="2E912D20"/>
    <w:rsid w:val="2ECB3349"/>
    <w:rsid w:val="2EDC20CB"/>
    <w:rsid w:val="2EE23DA1"/>
    <w:rsid w:val="2EEB70FA"/>
    <w:rsid w:val="2F1F0B51"/>
    <w:rsid w:val="2F235B39"/>
    <w:rsid w:val="2F236C79"/>
    <w:rsid w:val="2F2B5748"/>
    <w:rsid w:val="2F2D3DF4"/>
    <w:rsid w:val="2F302550"/>
    <w:rsid w:val="2F324D29"/>
    <w:rsid w:val="2F40068F"/>
    <w:rsid w:val="2F4319EA"/>
    <w:rsid w:val="2F45327D"/>
    <w:rsid w:val="2F4B75B1"/>
    <w:rsid w:val="2F552BEB"/>
    <w:rsid w:val="2F603644"/>
    <w:rsid w:val="2F714D22"/>
    <w:rsid w:val="2F716EE2"/>
    <w:rsid w:val="2F735768"/>
    <w:rsid w:val="2F7610B9"/>
    <w:rsid w:val="2F7964B4"/>
    <w:rsid w:val="2F823576"/>
    <w:rsid w:val="2F963509"/>
    <w:rsid w:val="2FA808A6"/>
    <w:rsid w:val="2FAD4710"/>
    <w:rsid w:val="2FBB7BA1"/>
    <w:rsid w:val="2FC75471"/>
    <w:rsid w:val="2FD00080"/>
    <w:rsid w:val="2FD0497E"/>
    <w:rsid w:val="2FD25B53"/>
    <w:rsid w:val="2FD6409B"/>
    <w:rsid w:val="2FDC6A42"/>
    <w:rsid w:val="2FEE50F3"/>
    <w:rsid w:val="30010B58"/>
    <w:rsid w:val="30076FDF"/>
    <w:rsid w:val="300A56D7"/>
    <w:rsid w:val="30133F8A"/>
    <w:rsid w:val="30197C97"/>
    <w:rsid w:val="301E4C05"/>
    <w:rsid w:val="302774A3"/>
    <w:rsid w:val="302C79CA"/>
    <w:rsid w:val="303A0349"/>
    <w:rsid w:val="303A11D8"/>
    <w:rsid w:val="30470360"/>
    <w:rsid w:val="30494DA4"/>
    <w:rsid w:val="304D7F03"/>
    <w:rsid w:val="30556F21"/>
    <w:rsid w:val="30566F21"/>
    <w:rsid w:val="30710A41"/>
    <w:rsid w:val="30790154"/>
    <w:rsid w:val="308B6CE7"/>
    <w:rsid w:val="30937A49"/>
    <w:rsid w:val="30AE38E8"/>
    <w:rsid w:val="30AE767C"/>
    <w:rsid w:val="30C3638E"/>
    <w:rsid w:val="30D620CF"/>
    <w:rsid w:val="30DC0F43"/>
    <w:rsid w:val="30ED7159"/>
    <w:rsid w:val="30F23983"/>
    <w:rsid w:val="311E37B6"/>
    <w:rsid w:val="31314B0F"/>
    <w:rsid w:val="31443D36"/>
    <w:rsid w:val="314A1D82"/>
    <w:rsid w:val="314A464F"/>
    <w:rsid w:val="31611217"/>
    <w:rsid w:val="317E4255"/>
    <w:rsid w:val="318159BF"/>
    <w:rsid w:val="3195152F"/>
    <w:rsid w:val="319544E8"/>
    <w:rsid w:val="31975348"/>
    <w:rsid w:val="31993A22"/>
    <w:rsid w:val="319A0EEB"/>
    <w:rsid w:val="319C62F4"/>
    <w:rsid w:val="31A75761"/>
    <w:rsid w:val="31AA48F6"/>
    <w:rsid w:val="31AC796C"/>
    <w:rsid w:val="31B47C77"/>
    <w:rsid w:val="31C01998"/>
    <w:rsid w:val="31C559E0"/>
    <w:rsid w:val="31CA749A"/>
    <w:rsid w:val="31D66C4B"/>
    <w:rsid w:val="31E77F3D"/>
    <w:rsid w:val="32005610"/>
    <w:rsid w:val="320209E2"/>
    <w:rsid w:val="32020D32"/>
    <w:rsid w:val="320414AA"/>
    <w:rsid w:val="3204479C"/>
    <w:rsid w:val="32125567"/>
    <w:rsid w:val="32182B20"/>
    <w:rsid w:val="32226669"/>
    <w:rsid w:val="32261F27"/>
    <w:rsid w:val="32360019"/>
    <w:rsid w:val="3250264F"/>
    <w:rsid w:val="3250281F"/>
    <w:rsid w:val="325A73CA"/>
    <w:rsid w:val="325B5EFE"/>
    <w:rsid w:val="32703589"/>
    <w:rsid w:val="32726352"/>
    <w:rsid w:val="32755658"/>
    <w:rsid w:val="327F2033"/>
    <w:rsid w:val="328533C1"/>
    <w:rsid w:val="32902492"/>
    <w:rsid w:val="32A36BD3"/>
    <w:rsid w:val="32B36180"/>
    <w:rsid w:val="32BD0DAD"/>
    <w:rsid w:val="32C1089D"/>
    <w:rsid w:val="32CC3B66"/>
    <w:rsid w:val="32D40438"/>
    <w:rsid w:val="32DE682A"/>
    <w:rsid w:val="32EA227A"/>
    <w:rsid w:val="32EC5DF3"/>
    <w:rsid w:val="32F26CE9"/>
    <w:rsid w:val="32FB415D"/>
    <w:rsid w:val="33087DC1"/>
    <w:rsid w:val="330E191A"/>
    <w:rsid w:val="33114C55"/>
    <w:rsid w:val="331533CF"/>
    <w:rsid w:val="33156AA8"/>
    <w:rsid w:val="33207E7D"/>
    <w:rsid w:val="332335D3"/>
    <w:rsid w:val="332B5D17"/>
    <w:rsid w:val="33304B62"/>
    <w:rsid w:val="333472C1"/>
    <w:rsid w:val="333D05DA"/>
    <w:rsid w:val="334212B2"/>
    <w:rsid w:val="33483B2E"/>
    <w:rsid w:val="337101A0"/>
    <w:rsid w:val="337E770A"/>
    <w:rsid w:val="33875D9F"/>
    <w:rsid w:val="33896EE1"/>
    <w:rsid w:val="338B56E0"/>
    <w:rsid w:val="339F6079"/>
    <w:rsid w:val="33A8769E"/>
    <w:rsid w:val="33AA066F"/>
    <w:rsid w:val="33AD0E22"/>
    <w:rsid w:val="33B026C0"/>
    <w:rsid w:val="33B60C44"/>
    <w:rsid w:val="33BA52ED"/>
    <w:rsid w:val="33C06DA7"/>
    <w:rsid w:val="33D952B5"/>
    <w:rsid w:val="33E46573"/>
    <w:rsid w:val="33E95046"/>
    <w:rsid w:val="33F968D8"/>
    <w:rsid w:val="3406659D"/>
    <w:rsid w:val="34066F3C"/>
    <w:rsid w:val="340B4EF1"/>
    <w:rsid w:val="341D068F"/>
    <w:rsid w:val="34316959"/>
    <w:rsid w:val="343432F1"/>
    <w:rsid w:val="343706EB"/>
    <w:rsid w:val="34473024"/>
    <w:rsid w:val="344E2731"/>
    <w:rsid w:val="345B6BC1"/>
    <w:rsid w:val="34621C0C"/>
    <w:rsid w:val="34685AE6"/>
    <w:rsid w:val="347831DE"/>
    <w:rsid w:val="347A51A8"/>
    <w:rsid w:val="34880F47"/>
    <w:rsid w:val="34882FB8"/>
    <w:rsid w:val="348A2F11"/>
    <w:rsid w:val="34AB3B17"/>
    <w:rsid w:val="34AD7C43"/>
    <w:rsid w:val="34B15BC4"/>
    <w:rsid w:val="34B306BA"/>
    <w:rsid w:val="34B95D31"/>
    <w:rsid w:val="34C34162"/>
    <w:rsid w:val="34C703FC"/>
    <w:rsid w:val="34CA77B1"/>
    <w:rsid w:val="34CC1FC6"/>
    <w:rsid w:val="34DE1EC7"/>
    <w:rsid w:val="35183915"/>
    <w:rsid w:val="35192255"/>
    <w:rsid w:val="352769B2"/>
    <w:rsid w:val="35287FAE"/>
    <w:rsid w:val="353E11C4"/>
    <w:rsid w:val="35581B81"/>
    <w:rsid w:val="356035C6"/>
    <w:rsid w:val="356130B4"/>
    <w:rsid w:val="356E2833"/>
    <w:rsid w:val="357B7805"/>
    <w:rsid w:val="357D65D2"/>
    <w:rsid w:val="35896F5C"/>
    <w:rsid w:val="35933EA8"/>
    <w:rsid w:val="35AC6D6C"/>
    <w:rsid w:val="35AF555C"/>
    <w:rsid w:val="35AF70D3"/>
    <w:rsid w:val="35C0308E"/>
    <w:rsid w:val="35C13050"/>
    <w:rsid w:val="35E429BA"/>
    <w:rsid w:val="35F33030"/>
    <w:rsid w:val="35F44AE6"/>
    <w:rsid w:val="35FE4C86"/>
    <w:rsid w:val="363362DB"/>
    <w:rsid w:val="363870C8"/>
    <w:rsid w:val="363912A5"/>
    <w:rsid w:val="363E657D"/>
    <w:rsid w:val="36510EAD"/>
    <w:rsid w:val="36592B9B"/>
    <w:rsid w:val="366A5161"/>
    <w:rsid w:val="366E4E09"/>
    <w:rsid w:val="366F1AE0"/>
    <w:rsid w:val="36706BB8"/>
    <w:rsid w:val="3674012D"/>
    <w:rsid w:val="367852F0"/>
    <w:rsid w:val="368E39AF"/>
    <w:rsid w:val="368E4F3A"/>
    <w:rsid w:val="36910587"/>
    <w:rsid w:val="36930C84"/>
    <w:rsid w:val="369436F4"/>
    <w:rsid w:val="369A304A"/>
    <w:rsid w:val="369F433B"/>
    <w:rsid w:val="36B87C32"/>
    <w:rsid w:val="36CE3589"/>
    <w:rsid w:val="36D04A11"/>
    <w:rsid w:val="36E032BC"/>
    <w:rsid w:val="36F275DB"/>
    <w:rsid w:val="36F823B4"/>
    <w:rsid w:val="37093120"/>
    <w:rsid w:val="370B658B"/>
    <w:rsid w:val="37134BE4"/>
    <w:rsid w:val="371723A5"/>
    <w:rsid w:val="371948C9"/>
    <w:rsid w:val="371A057C"/>
    <w:rsid w:val="371A3C18"/>
    <w:rsid w:val="373321D9"/>
    <w:rsid w:val="37403A90"/>
    <w:rsid w:val="374D44BF"/>
    <w:rsid w:val="375A0A59"/>
    <w:rsid w:val="37691FF5"/>
    <w:rsid w:val="376B4967"/>
    <w:rsid w:val="376C0D7B"/>
    <w:rsid w:val="377E4B13"/>
    <w:rsid w:val="3788775C"/>
    <w:rsid w:val="37887BDC"/>
    <w:rsid w:val="37906A90"/>
    <w:rsid w:val="379762ED"/>
    <w:rsid w:val="37A22AA5"/>
    <w:rsid w:val="37B958CC"/>
    <w:rsid w:val="37BD53AB"/>
    <w:rsid w:val="37C849B6"/>
    <w:rsid w:val="37E33064"/>
    <w:rsid w:val="37F0752F"/>
    <w:rsid w:val="37F61973"/>
    <w:rsid w:val="37F62926"/>
    <w:rsid w:val="37F74366"/>
    <w:rsid w:val="37FEB1B5"/>
    <w:rsid w:val="380720FD"/>
    <w:rsid w:val="38376F0C"/>
    <w:rsid w:val="384D4981"/>
    <w:rsid w:val="385B1ACA"/>
    <w:rsid w:val="386C755C"/>
    <w:rsid w:val="386F0D9D"/>
    <w:rsid w:val="389B032D"/>
    <w:rsid w:val="38A01DEE"/>
    <w:rsid w:val="38AA793D"/>
    <w:rsid w:val="38B277DA"/>
    <w:rsid w:val="38BD1295"/>
    <w:rsid w:val="38BE5301"/>
    <w:rsid w:val="38C42E95"/>
    <w:rsid w:val="38DC1FD6"/>
    <w:rsid w:val="38FC4711"/>
    <w:rsid w:val="390069EE"/>
    <w:rsid w:val="390239BE"/>
    <w:rsid w:val="3925145A"/>
    <w:rsid w:val="393C288A"/>
    <w:rsid w:val="394D47A6"/>
    <w:rsid w:val="39525455"/>
    <w:rsid w:val="39551D3F"/>
    <w:rsid w:val="3961704A"/>
    <w:rsid w:val="3988529E"/>
    <w:rsid w:val="398D24B2"/>
    <w:rsid w:val="398E34A3"/>
    <w:rsid w:val="399A1496"/>
    <w:rsid w:val="39B42F70"/>
    <w:rsid w:val="39BA1BA2"/>
    <w:rsid w:val="39BA54EA"/>
    <w:rsid w:val="39C96F8E"/>
    <w:rsid w:val="39D52796"/>
    <w:rsid w:val="39D6051A"/>
    <w:rsid w:val="39EB1191"/>
    <w:rsid w:val="39FA28E7"/>
    <w:rsid w:val="39FC65CC"/>
    <w:rsid w:val="39FE6F59"/>
    <w:rsid w:val="3A103EB8"/>
    <w:rsid w:val="3A146E69"/>
    <w:rsid w:val="3A4526F1"/>
    <w:rsid w:val="3A4B615A"/>
    <w:rsid w:val="3A701AE7"/>
    <w:rsid w:val="3A750E6E"/>
    <w:rsid w:val="3A7D670E"/>
    <w:rsid w:val="3A941C32"/>
    <w:rsid w:val="3AA54601"/>
    <w:rsid w:val="3AA83C87"/>
    <w:rsid w:val="3AAA751A"/>
    <w:rsid w:val="3AB23981"/>
    <w:rsid w:val="3AB64A60"/>
    <w:rsid w:val="3AB67AB0"/>
    <w:rsid w:val="3AC628CD"/>
    <w:rsid w:val="3AD603BE"/>
    <w:rsid w:val="3ADF3C25"/>
    <w:rsid w:val="3AEE244B"/>
    <w:rsid w:val="3AEF76EC"/>
    <w:rsid w:val="3AF216A6"/>
    <w:rsid w:val="3AF2384C"/>
    <w:rsid w:val="3B002605"/>
    <w:rsid w:val="3B0E070B"/>
    <w:rsid w:val="3B0E7276"/>
    <w:rsid w:val="3B5027D3"/>
    <w:rsid w:val="3B5A0033"/>
    <w:rsid w:val="3B660234"/>
    <w:rsid w:val="3B6E3567"/>
    <w:rsid w:val="3B744E3E"/>
    <w:rsid w:val="3B7B1C49"/>
    <w:rsid w:val="3B8A2A10"/>
    <w:rsid w:val="3B90709B"/>
    <w:rsid w:val="3B96663F"/>
    <w:rsid w:val="3BA34E54"/>
    <w:rsid w:val="3BAD45C9"/>
    <w:rsid w:val="3BBE3A81"/>
    <w:rsid w:val="3BC27434"/>
    <w:rsid w:val="3BC477EF"/>
    <w:rsid w:val="3BD54ECE"/>
    <w:rsid w:val="3BDA7FB9"/>
    <w:rsid w:val="3BE26336"/>
    <w:rsid w:val="3BF71CBE"/>
    <w:rsid w:val="3C136345"/>
    <w:rsid w:val="3C260152"/>
    <w:rsid w:val="3C2F4ACA"/>
    <w:rsid w:val="3C475ECD"/>
    <w:rsid w:val="3C4F3ADC"/>
    <w:rsid w:val="3C5C187A"/>
    <w:rsid w:val="3C63698A"/>
    <w:rsid w:val="3C7A02EA"/>
    <w:rsid w:val="3C7F4555"/>
    <w:rsid w:val="3C9963E7"/>
    <w:rsid w:val="3C9B5744"/>
    <w:rsid w:val="3CA36B67"/>
    <w:rsid w:val="3CBF57B3"/>
    <w:rsid w:val="3CC276DE"/>
    <w:rsid w:val="3CCA0042"/>
    <w:rsid w:val="3CEF41BB"/>
    <w:rsid w:val="3CF32FDE"/>
    <w:rsid w:val="3CF570D5"/>
    <w:rsid w:val="3CFF78D5"/>
    <w:rsid w:val="3D053F47"/>
    <w:rsid w:val="3D17740C"/>
    <w:rsid w:val="3D1D0DC6"/>
    <w:rsid w:val="3D1F4B70"/>
    <w:rsid w:val="3D3706E1"/>
    <w:rsid w:val="3D3B671A"/>
    <w:rsid w:val="3D3F3B51"/>
    <w:rsid w:val="3D440462"/>
    <w:rsid w:val="3D453DEE"/>
    <w:rsid w:val="3D4A629D"/>
    <w:rsid w:val="3D4C5425"/>
    <w:rsid w:val="3D6562C9"/>
    <w:rsid w:val="3D6A1E76"/>
    <w:rsid w:val="3D791FE5"/>
    <w:rsid w:val="3D7B789B"/>
    <w:rsid w:val="3D944C04"/>
    <w:rsid w:val="3DA908AC"/>
    <w:rsid w:val="3DAC5CA6"/>
    <w:rsid w:val="3DB14E75"/>
    <w:rsid w:val="3DC47494"/>
    <w:rsid w:val="3DCB6A74"/>
    <w:rsid w:val="3DD00851"/>
    <w:rsid w:val="3DD97882"/>
    <w:rsid w:val="3DF31B27"/>
    <w:rsid w:val="3DF5589F"/>
    <w:rsid w:val="3DF862BE"/>
    <w:rsid w:val="3E016DE0"/>
    <w:rsid w:val="3E043D34"/>
    <w:rsid w:val="3E0D45D4"/>
    <w:rsid w:val="3E1F0B6E"/>
    <w:rsid w:val="3E2524B0"/>
    <w:rsid w:val="3E2717D1"/>
    <w:rsid w:val="3E2F589B"/>
    <w:rsid w:val="3E362984"/>
    <w:rsid w:val="3E3B7B31"/>
    <w:rsid w:val="3E500D27"/>
    <w:rsid w:val="3E510229"/>
    <w:rsid w:val="3E522CC8"/>
    <w:rsid w:val="3E5C192C"/>
    <w:rsid w:val="3E646581"/>
    <w:rsid w:val="3E6C53A7"/>
    <w:rsid w:val="3E826A0A"/>
    <w:rsid w:val="3E935747"/>
    <w:rsid w:val="3E974BA8"/>
    <w:rsid w:val="3EB06511"/>
    <w:rsid w:val="3EB40CEE"/>
    <w:rsid w:val="3EBC1C11"/>
    <w:rsid w:val="3ECB1B04"/>
    <w:rsid w:val="3ECC2AA4"/>
    <w:rsid w:val="3EDDF4FA"/>
    <w:rsid w:val="3EDF3E59"/>
    <w:rsid w:val="3EE8198D"/>
    <w:rsid w:val="3EF6D5F8"/>
    <w:rsid w:val="3F001701"/>
    <w:rsid w:val="3F01199F"/>
    <w:rsid w:val="3F0561CC"/>
    <w:rsid w:val="3F2921F0"/>
    <w:rsid w:val="3F593C0C"/>
    <w:rsid w:val="3F650802"/>
    <w:rsid w:val="3F7B1879"/>
    <w:rsid w:val="3F8C0042"/>
    <w:rsid w:val="3FA47313"/>
    <w:rsid w:val="3FA473F1"/>
    <w:rsid w:val="3FB07CE1"/>
    <w:rsid w:val="3FC24032"/>
    <w:rsid w:val="3FC65BAD"/>
    <w:rsid w:val="3FCD4E02"/>
    <w:rsid w:val="3FE0008D"/>
    <w:rsid w:val="3FE23C01"/>
    <w:rsid w:val="3FE27F44"/>
    <w:rsid w:val="3FE44DB0"/>
    <w:rsid w:val="3FFE17C0"/>
    <w:rsid w:val="4000052B"/>
    <w:rsid w:val="40007A90"/>
    <w:rsid w:val="400611FF"/>
    <w:rsid w:val="402428D4"/>
    <w:rsid w:val="40295C55"/>
    <w:rsid w:val="402B1A4C"/>
    <w:rsid w:val="40461D6E"/>
    <w:rsid w:val="404F327E"/>
    <w:rsid w:val="405F7FCA"/>
    <w:rsid w:val="406B3BF6"/>
    <w:rsid w:val="406B5A06"/>
    <w:rsid w:val="406D7DF0"/>
    <w:rsid w:val="406F1751"/>
    <w:rsid w:val="40764F3C"/>
    <w:rsid w:val="408C2677"/>
    <w:rsid w:val="40BB07EC"/>
    <w:rsid w:val="40C75330"/>
    <w:rsid w:val="40CA7613"/>
    <w:rsid w:val="40E02836"/>
    <w:rsid w:val="40EA6776"/>
    <w:rsid w:val="40ED7B88"/>
    <w:rsid w:val="40F40090"/>
    <w:rsid w:val="40F90A7D"/>
    <w:rsid w:val="41073F33"/>
    <w:rsid w:val="4119401A"/>
    <w:rsid w:val="41255FCE"/>
    <w:rsid w:val="4134318C"/>
    <w:rsid w:val="41346947"/>
    <w:rsid w:val="413B5CBF"/>
    <w:rsid w:val="414420D7"/>
    <w:rsid w:val="41497185"/>
    <w:rsid w:val="414B6138"/>
    <w:rsid w:val="414C3521"/>
    <w:rsid w:val="414F52C6"/>
    <w:rsid w:val="416B7C26"/>
    <w:rsid w:val="416C7A6E"/>
    <w:rsid w:val="41780CC1"/>
    <w:rsid w:val="417D70A3"/>
    <w:rsid w:val="418740B0"/>
    <w:rsid w:val="41962EF5"/>
    <w:rsid w:val="419844D8"/>
    <w:rsid w:val="41986C6D"/>
    <w:rsid w:val="41A2034E"/>
    <w:rsid w:val="41A5138A"/>
    <w:rsid w:val="41A979CC"/>
    <w:rsid w:val="41B240A7"/>
    <w:rsid w:val="41BD0482"/>
    <w:rsid w:val="41BD4926"/>
    <w:rsid w:val="41D536E3"/>
    <w:rsid w:val="41D91034"/>
    <w:rsid w:val="41D95FE8"/>
    <w:rsid w:val="41E11CA7"/>
    <w:rsid w:val="41EA08B5"/>
    <w:rsid w:val="41F1648E"/>
    <w:rsid w:val="41F8600A"/>
    <w:rsid w:val="41FF7556"/>
    <w:rsid w:val="420014A1"/>
    <w:rsid w:val="420039B6"/>
    <w:rsid w:val="421F738E"/>
    <w:rsid w:val="4222323A"/>
    <w:rsid w:val="422D2160"/>
    <w:rsid w:val="42396A7D"/>
    <w:rsid w:val="423A0CFF"/>
    <w:rsid w:val="423A69AA"/>
    <w:rsid w:val="42580183"/>
    <w:rsid w:val="426D552C"/>
    <w:rsid w:val="42761FD0"/>
    <w:rsid w:val="42894808"/>
    <w:rsid w:val="429101D8"/>
    <w:rsid w:val="42A67946"/>
    <w:rsid w:val="42B06238"/>
    <w:rsid w:val="42B51AA1"/>
    <w:rsid w:val="42C03D90"/>
    <w:rsid w:val="42D27F5D"/>
    <w:rsid w:val="42DA5063"/>
    <w:rsid w:val="42E47C90"/>
    <w:rsid w:val="42EB101F"/>
    <w:rsid w:val="42EC7954"/>
    <w:rsid w:val="42F9254F"/>
    <w:rsid w:val="42FD43DD"/>
    <w:rsid w:val="43034564"/>
    <w:rsid w:val="43090FD9"/>
    <w:rsid w:val="430D0D7E"/>
    <w:rsid w:val="43313A24"/>
    <w:rsid w:val="433D10E2"/>
    <w:rsid w:val="43416A49"/>
    <w:rsid w:val="434E5862"/>
    <w:rsid w:val="435C75F3"/>
    <w:rsid w:val="43675823"/>
    <w:rsid w:val="43715308"/>
    <w:rsid w:val="43947908"/>
    <w:rsid w:val="43AA5F6D"/>
    <w:rsid w:val="43B05954"/>
    <w:rsid w:val="43B97DAC"/>
    <w:rsid w:val="43BB6864"/>
    <w:rsid w:val="43E01243"/>
    <w:rsid w:val="43EC504E"/>
    <w:rsid w:val="43F00510"/>
    <w:rsid w:val="44133386"/>
    <w:rsid w:val="441D624B"/>
    <w:rsid w:val="442858E1"/>
    <w:rsid w:val="4431474F"/>
    <w:rsid w:val="44321313"/>
    <w:rsid w:val="443C4228"/>
    <w:rsid w:val="4446320E"/>
    <w:rsid w:val="444E0CFB"/>
    <w:rsid w:val="44501949"/>
    <w:rsid w:val="445304A3"/>
    <w:rsid w:val="445A2900"/>
    <w:rsid w:val="446C6E24"/>
    <w:rsid w:val="447A6AFE"/>
    <w:rsid w:val="447E2A0F"/>
    <w:rsid w:val="448A411E"/>
    <w:rsid w:val="44915828"/>
    <w:rsid w:val="44957494"/>
    <w:rsid w:val="449A30DE"/>
    <w:rsid w:val="44A2505D"/>
    <w:rsid w:val="44A47695"/>
    <w:rsid w:val="44AD3E9E"/>
    <w:rsid w:val="44B6565C"/>
    <w:rsid w:val="44B71B00"/>
    <w:rsid w:val="44BE666B"/>
    <w:rsid w:val="44D426B2"/>
    <w:rsid w:val="44D9550F"/>
    <w:rsid w:val="44EB3558"/>
    <w:rsid w:val="4509045F"/>
    <w:rsid w:val="450918B6"/>
    <w:rsid w:val="45132AAF"/>
    <w:rsid w:val="452717E6"/>
    <w:rsid w:val="45280308"/>
    <w:rsid w:val="452F4F26"/>
    <w:rsid w:val="453E5D7D"/>
    <w:rsid w:val="453F45E2"/>
    <w:rsid w:val="45405345"/>
    <w:rsid w:val="45463295"/>
    <w:rsid w:val="45473E68"/>
    <w:rsid w:val="454B3C35"/>
    <w:rsid w:val="45551EB3"/>
    <w:rsid w:val="455F3B0C"/>
    <w:rsid w:val="456A4DC4"/>
    <w:rsid w:val="45766101"/>
    <w:rsid w:val="457A6B35"/>
    <w:rsid w:val="45836B71"/>
    <w:rsid w:val="45875321"/>
    <w:rsid w:val="4588590C"/>
    <w:rsid w:val="458D5615"/>
    <w:rsid w:val="4594599D"/>
    <w:rsid w:val="45987C50"/>
    <w:rsid w:val="45A100BA"/>
    <w:rsid w:val="45AB5E98"/>
    <w:rsid w:val="45C33153"/>
    <w:rsid w:val="45C513B0"/>
    <w:rsid w:val="45C861FB"/>
    <w:rsid w:val="45E71F71"/>
    <w:rsid w:val="46014259"/>
    <w:rsid w:val="461C5622"/>
    <w:rsid w:val="46222FA9"/>
    <w:rsid w:val="462678CF"/>
    <w:rsid w:val="46602401"/>
    <w:rsid w:val="4664056C"/>
    <w:rsid w:val="4668035E"/>
    <w:rsid w:val="46690BD8"/>
    <w:rsid w:val="466C691A"/>
    <w:rsid w:val="4685487C"/>
    <w:rsid w:val="46883415"/>
    <w:rsid w:val="46886011"/>
    <w:rsid w:val="468F73FE"/>
    <w:rsid w:val="469A0BA6"/>
    <w:rsid w:val="46A4761C"/>
    <w:rsid w:val="46B54C5E"/>
    <w:rsid w:val="46BD0001"/>
    <w:rsid w:val="46CE0FBB"/>
    <w:rsid w:val="46CF3BB8"/>
    <w:rsid w:val="46E6047B"/>
    <w:rsid w:val="46F62080"/>
    <w:rsid w:val="46FC4F20"/>
    <w:rsid w:val="47234906"/>
    <w:rsid w:val="47246A79"/>
    <w:rsid w:val="47270310"/>
    <w:rsid w:val="473D0A63"/>
    <w:rsid w:val="474412BE"/>
    <w:rsid w:val="474749AC"/>
    <w:rsid w:val="47596E9F"/>
    <w:rsid w:val="476B55EA"/>
    <w:rsid w:val="477517FF"/>
    <w:rsid w:val="47872571"/>
    <w:rsid w:val="478E4E27"/>
    <w:rsid w:val="47953C4F"/>
    <w:rsid w:val="47A45B98"/>
    <w:rsid w:val="47B570E5"/>
    <w:rsid w:val="47BD2B2E"/>
    <w:rsid w:val="47CC29CB"/>
    <w:rsid w:val="47CC540F"/>
    <w:rsid w:val="47F34334"/>
    <w:rsid w:val="48042B34"/>
    <w:rsid w:val="48150631"/>
    <w:rsid w:val="481F6480"/>
    <w:rsid w:val="482228FB"/>
    <w:rsid w:val="48284AC3"/>
    <w:rsid w:val="48304BEE"/>
    <w:rsid w:val="48524B0F"/>
    <w:rsid w:val="48733AF6"/>
    <w:rsid w:val="488B752C"/>
    <w:rsid w:val="488F4366"/>
    <w:rsid w:val="489542F3"/>
    <w:rsid w:val="48A85595"/>
    <w:rsid w:val="48AB4AFF"/>
    <w:rsid w:val="48AE321A"/>
    <w:rsid w:val="48B85E47"/>
    <w:rsid w:val="48C66FAD"/>
    <w:rsid w:val="48CD3B39"/>
    <w:rsid w:val="48D86719"/>
    <w:rsid w:val="48F32F3B"/>
    <w:rsid w:val="490259A8"/>
    <w:rsid w:val="490C0FD4"/>
    <w:rsid w:val="4910358D"/>
    <w:rsid w:val="49105C83"/>
    <w:rsid w:val="49132D3B"/>
    <w:rsid w:val="49213FFC"/>
    <w:rsid w:val="4935600E"/>
    <w:rsid w:val="49492299"/>
    <w:rsid w:val="49555444"/>
    <w:rsid w:val="497425E1"/>
    <w:rsid w:val="49767270"/>
    <w:rsid w:val="498116C1"/>
    <w:rsid w:val="49816239"/>
    <w:rsid w:val="499F1C25"/>
    <w:rsid w:val="49AC50DE"/>
    <w:rsid w:val="49AD702E"/>
    <w:rsid w:val="49B101C9"/>
    <w:rsid w:val="49C05A4A"/>
    <w:rsid w:val="49DE7B2F"/>
    <w:rsid w:val="49E36EF3"/>
    <w:rsid w:val="49E4340C"/>
    <w:rsid w:val="49EF5898"/>
    <w:rsid w:val="49F673AD"/>
    <w:rsid w:val="4A171FDA"/>
    <w:rsid w:val="4A1F34F0"/>
    <w:rsid w:val="4A203CA4"/>
    <w:rsid w:val="4A2A2D74"/>
    <w:rsid w:val="4A3E1DFE"/>
    <w:rsid w:val="4A4C4345"/>
    <w:rsid w:val="4A4F3F3B"/>
    <w:rsid w:val="4A557DC9"/>
    <w:rsid w:val="4A571D1F"/>
    <w:rsid w:val="4A5859B6"/>
    <w:rsid w:val="4A5E5A7F"/>
    <w:rsid w:val="4A6F5CAB"/>
    <w:rsid w:val="4A7B361B"/>
    <w:rsid w:val="4A8C4CFE"/>
    <w:rsid w:val="4A8E24A5"/>
    <w:rsid w:val="4A912830"/>
    <w:rsid w:val="4A951FC0"/>
    <w:rsid w:val="4AA85AA1"/>
    <w:rsid w:val="4AAC3CC5"/>
    <w:rsid w:val="4AB074A4"/>
    <w:rsid w:val="4AB4263E"/>
    <w:rsid w:val="4AB859D6"/>
    <w:rsid w:val="4ABD1BD3"/>
    <w:rsid w:val="4ACE54AE"/>
    <w:rsid w:val="4ADC18E8"/>
    <w:rsid w:val="4AEF530D"/>
    <w:rsid w:val="4B012F2C"/>
    <w:rsid w:val="4B3012BB"/>
    <w:rsid w:val="4B3E2E80"/>
    <w:rsid w:val="4B4F2A61"/>
    <w:rsid w:val="4B6206BA"/>
    <w:rsid w:val="4B62209A"/>
    <w:rsid w:val="4B64437E"/>
    <w:rsid w:val="4B665058"/>
    <w:rsid w:val="4B6E6C91"/>
    <w:rsid w:val="4B700C5B"/>
    <w:rsid w:val="4B8E3F04"/>
    <w:rsid w:val="4BA14318"/>
    <w:rsid w:val="4BA91933"/>
    <w:rsid w:val="4BBD1C23"/>
    <w:rsid w:val="4BC75FB4"/>
    <w:rsid w:val="4BCD4F56"/>
    <w:rsid w:val="4BD73EC3"/>
    <w:rsid w:val="4BDE0179"/>
    <w:rsid w:val="4BE15EC5"/>
    <w:rsid w:val="4BF52F0E"/>
    <w:rsid w:val="4BF5731E"/>
    <w:rsid w:val="4C0D3812"/>
    <w:rsid w:val="4C145A9B"/>
    <w:rsid w:val="4C1A3F26"/>
    <w:rsid w:val="4C3B48FD"/>
    <w:rsid w:val="4C457A46"/>
    <w:rsid w:val="4C4A00F0"/>
    <w:rsid w:val="4C4A5008"/>
    <w:rsid w:val="4C527899"/>
    <w:rsid w:val="4C57618A"/>
    <w:rsid w:val="4C5F0A9F"/>
    <w:rsid w:val="4C5F34F9"/>
    <w:rsid w:val="4C6C1422"/>
    <w:rsid w:val="4C76404F"/>
    <w:rsid w:val="4C7C718B"/>
    <w:rsid w:val="4C87625C"/>
    <w:rsid w:val="4CB4245A"/>
    <w:rsid w:val="4CB75AA4"/>
    <w:rsid w:val="4CBA0D3E"/>
    <w:rsid w:val="4CBD6FDE"/>
    <w:rsid w:val="4CBF2C13"/>
    <w:rsid w:val="4CD82614"/>
    <w:rsid w:val="4CE87073"/>
    <w:rsid w:val="4CEF759A"/>
    <w:rsid w:val="4CF71222"/>
    <w:rsid w:val="4D140B3D"/>
    <w:rsid w:val="4D2D61FC"/>
    <w:rsid w:val="4D5679DC"/>
    <w:rsid w:val="4D5B4FF3"/>
    <w:rsid w:val="4D600014"/>
    <w:rsid w:val="4D857F0A"/>
    <w:rsid w:val="4D896B49"/>
    <w:rsid w:val="4D956F49"/>
    <w:rsid w:val="4D9661D8"/>
    <w:rsid w:val="4D97655C"/>
    <w:rsid w:val="4D9F06AB"/>
    <w:rsid w:val="4DA70238"/>
    <w:rsid w:val="4DB45FFA"/>
    <w:rsid w:val="4DB72B71"/>
    <w:rsid w:val="4DC261D4"/>
    <w:rsid w:val="4DD62336"/>
    <w:rsid w:val="4DE107E9"/>
    <w:rsid w:val="4DE72A77"/>
    <w:rsid w:val="4DE91067"/>
    <w:rsid w:val="4DEB5A29"/>
    <w:rsid w:val="4DEE5E67"/>
    <w:rsid w:val="4DF74D1B"/>
    <w:rsid w:val="4E144BA8"/>
    <w:rsid w:val="4E16235D"/>
    <w:rsid w:val="4E163B5A"/>
    <w:rsid w:val="4E324158"/>
    <w:rsid w:val="4E332FE3"/>
    <w:rsid w:val="4E4E1DF8"/>
    <w:rsid w:val="4E57075F"/>
    <w:rsid w:val="4E6B6CEB"/>
    <w:rsid w:val="4E717CB1"/>
    <w:rsid w:val="4E790FA8"/>
    <w:rsid w:val="4E7E543D"/>
    <w:rsid w:val="4E846B0F"/>
    <w:rsid w:val="4E9A4715"/>
    <w:rsid w:val="4E9F1C96"/>
    <w:rsid w:val="4EA01857"/>
    <w:rsid w:val="4EA62F7D"/>
    <w:rsid w:val="4EAD77FE"/>
    <w:rsid w:val="4EAF0CD3"/>
    <w:rsid w:val="4EB4138B"/>
    <w:rsid w:val="4EB52D03"/>
    <w:rsid w:val="4EBB6166"/>
    <w:rsid w:val="4ECF7C1D"/>
    <w:rsid w:val="4ED17C62"/>
    <w:rsid w:val="4EE5527D"/>
    <w:rsid w:val="4EE96D5A"/>
    <w:rsid w:val="4EF76B75"/>
    <w:rsid w:val="4EFC2ACA"/>
    <w:rsid w:val="4F027E1C"/>
    <w:rsid w:val="4F1A33B7"/>
    <w:rsid w:val="4F1C2DC4"/>
    <w:rsid w:val="4F307F99"/>
    <w:rsid w:val="4F3A5808"/>
    <w:rsid w:val="4F5712D6"/>
    <w:rsid w:val="4F606DC8"/>
    <w:rsid w:val="4F61758B"/>
    <w:rsid w:val="4F62325F"/>
    <w:rsid w:val="4F6B3C13"/>
    <w:rsid w:val="4F6F18D7"/>
    <w:rsid w:val="4F7F321A"/>
    <w:rsid w:val="4F876573"/>
    <w:rsid w:val="4F902A05"/>
    <w:rsid w:val="4FAC4E9B"/>
    <w:rsid w:val="4FAD422B"/>
    <w:rsid w:val="4FB34964"/>
    <w:rsid w:val="4FB355BA"/>
    <w:rsid w:val="4FB9185A"/>
    <w:rsid w:val="4FE02CC7"/>
    <w:rsid w:val="4FE35DF0"/>
    <w:rsid w:val="4FE94B64"/>
    <w:rsid w:val="50153B7F"/>
    <w:rsid w:val="50195818"/>
    <w:rsid w:val="501C56B7"/>
    <w:rsid w:val="504546F1"/>
    <w:rsid w:val="50487AB0"/>
    <w:rsid w:val="50530BC8"/>
    <w:rsid w:val="505446A7"/>
    <w:rsid w:val="506F39D9"/>
    <w:rsid w:val="507B60D8"/>
    <w:rsid w:val="508C01A9"/>
    <w:rsid w:val="50940F47"/>
    <w:rsid w:val="50A32F39"/>
    <w:rsid w:val="50A54FE5"/>
    <w:rsid w:val="50AD025B"/>
    <w:rsid w:val="50B0253B"/>
    <w:rsid w:val="50C15033"/>
    <w:rsid w:val="50D8235D"/>
    <w:rsid w:val="50DD469C"/>
    <w:rsid w:val="50FA20DB"/>
    <w:rsid w:val="510370A2"/>
    <w:rsid w:val="510D2AA8"/>
    <w:rsid w:val="51187221"/>
    <w:rsid w:val="511F5AA4"/>
    <w:rsid w:val="5131350C"/>
    <w:rsid w:val="51330760"/>
    <w:rsid w:val="513C2EDD"/>
    <w:rsid w:val="514F30C0"/>
    <w:rsid w:val="51833443"/>
    <w:rsid w:val="51856AE2"/>
    <w:rsid w:val="51906B62"/>
    <w:rsid w:val="51991247"/>
    <w:rsid w:val="519949CA"/>
    <w:rsid w:val="5199796C"/>
    <w:rsid w:val="51AB2DA8"/>
    <w:rsid w:val="51B746A8"/>
    <w:rsid w:val="51BB4F4F"/>
    <w:rsid w:val="51C4585C"/>
    <w:rsid w:val="51CE2A8B"/>
    <w:rsid w:val="51D4703A"/>
    <w:rsid w:val="51DE196A"/>
    <w:rsid w:val="51DF61F2"/>
    <w:rsid w:val="51E273BE"/>
    <w:rsid w:val="51E61FD0"/>
    <w:rsid w:val="51EF26CD"/>
    <w:rsid w:val="52244CE0"/>
    <w:rsid w:val="522A03F2"/>
    <w:rsid w:val="523227C6"/>
    <w:rsid w:val="52341AFD"/>
    <w:rsid w:val="523B5CD2"/>
    <w:rsid w:val="52541547"/>
    <w:rsid w:val="52597C66"/>
    <w:rsid w:val="525A1D1D"/>
    <w:rsid w:val="526E7576"/>
    <w:rsid w:val="52762C3B"/>
    <w:rsid w:val="527D5F5A"/>
    <w:rsid w:val="52847CC6"/>
    <w:rsid w:val="528F40DE"/>
    <w:rsid w:val="529D3D17"/>
    <w:rsid w:val="52A758EB"/>
    <w:rsid w:val="52AC63CA"/>
    <w:rsid w:val="52B17872"/>
    <w:rsid w:val="52BA0C9C"/>
    <w:rsid w:val="52C06C9F"/>
    <w:rsid w:val="52D1554D"/>
    <w:rsid w:val="52DC0984"/>
    <w:rsid w:val="52DE64AA"/>
    <w:rsid w:val="52EA12F3"/>
    <w:rsid w:val="53074673"/>
    <w:rsid w:val="5312029A"/>
    <w:rsid w:val="53187152"/>
    <w:rsid w:val="532410DC"/>
    <w:rsid w:val="532B17C9"/>
    <w:rsid w:val="53356930"/>
    <w:rsid w:val="5349236F"/>
    <w:rsid w:val="534C5B64"/>
    <w:rsid w:val="534D7F42"/>
    <w:rsid w:val="53515CAE"/>
    <w:rsid w:val="53570112"/>
    <w:rsid w:val="535D4D1B"/>
    <w:rsid w:val="536107A3"/>
    <w:rsid w:val="536E3CD2"/>
    <w:rsid w:val="537F44F8"/>
    <w:rsid w:val="538240B5"/>
    <w:rsid w:val="538E7ED0"/>
    <w:rsid w:val="53971B86"/>
    <w:rsid w:val="53A800FC"/>
    <w:rsid w:val="53A92F5C"/>
    <w:rsid w:val="53AD440C"/>
    <w:rsid w:val="53AF2F87"/>
    <w:rsid w:val="53B412EE"/>
    <w:rsid w:val="53BA6B1C"/>
    <w:rsid w:val="53C71634"/>
    <w:rsid w:val="53DE163D"/>
    <w:rsid w:val="53E61ABA"/>
    <w:rsid w:val="540A651D"/>
    <w:rsid w:val="54113579"/>
    <w:rsid w:val="541455EA"/>
    <w:rsid w:val="542303F8"/>
    <w:rsid w:val="54387E3C"/>
    <w:rsid w:val="54442C85"/>
    <w:rsid w:val="54444A33"/>
    <w:rsid w:val="544E4CEE"/>
    <w:rsid w:val="54534C76"/>
    <w:rsid w:val="545615C5"/>
    <w:rsid w:val="545D2753"/>
    <w:rsid w:val="545F186C"/>
    <w:rsid w:val="54604F80"/>
    <w:rsid w:val="54612EE1"/>
    <w:rsid w:val="546200C7"/>
    <w:rsid w:val="546209B4"/>
    <w:rsid w:val="54666D10"/>
    <w:rsid w:val="546F3220"/>
    <w:rsid w:val="54712252"/>
    <w:rsid w:val="5478407C"/>
    <w:rsid w:val="5481397B"/>
    <w:rsid w:val="5490425F"/>
    <w:rsid w:val="54961B6C"/>
    <w:rsid w:val="54967355"/>
    <w:rsid w:val="54BB2F47"/>
    <w:rsid w:val="54D43C2D"/>
    <w:rsid w:val="54EC26DD"/>
    <w:rsid w:val="55051CE9"/>
    <w:rsid w:val="55067F3A"/>
    <w:rsid w:val="55090217"/>
    <w:rsid w:val="55091125"/>
    <w:rsid w:val="550D249D"/>
    <w:rsid w:val="550D2661"/>
    <w:rsid w:val="551A29AD"/>
    <w:rsid w:val="551B1F9C"/>
    <w:rsid w:val="551C4A2E"/>
    <w:rsid w:val="55230AEC"/>
    <w:rsid w:val="55337340"/>
    <w:rsid w:val="55344AA7"/>
    <w:rsid w:val="55364E1B"/>
    <w:rsid w:val="55437EFB"/>
    <w:rsid w:val="55711857"/>
    <w:rsid w:val="55805F3E"/>
    <w:rsid w:val="55844014"/>
    <w:rsid w:val="55846FDD"/>
    <w:rsid w:val="55911EF9"/>
    <w:rsid w:val="55983288"/>
    <w:rsid w:val="55AC05AB"/>
    <w:rsid w:val="55C34E73"/>
    <w:rsid w:val="55D50038"/>
    <w:rsid w:val="55F304BE"/>
    <w:rsid w:val="55FC2402"/>
    <w:rsid w:val="55FC6482"/>
    <w:rsid w:val="55FD2356"/>
    <w:rsid w:val="56004FDC"/>
    <w:rsid w:val="561624E4"/>
    <w:rsid w:val="564002FE"/>
    <w:rsid w:val="56433506"/>
    <w:rsid w:val="564451BE"/>
    <w:rsid w:val="56445968"/>
    <w:rsid w:val="56617DD7"/>
    <w:rsid w:val="567535C9"/>
    <w:rsid w:val="567D5FDA"/>
    <w:rsid w:val="56813D1C"/>
    <w:rsid w:val="568238F3"/>
    <w:rsid w:val="5685552E"/>
    <w:rsid w:val="56903F5F"/>
    <w:rsid w:val="56A31EE4"/>
    <w:rsid w:val="56AB71DB"/>
    <w:rsid w:val="56BD2924"/>
    <w:rsid w:val="56C66CC8"/>
    <w:rsid w:val="56CD51B3"/>
    <w:rsid w:val="56D71B8E"/>
    <w:rsid w:val="56E04EE6"/>
    <w:rsid w:val="56E0560F"/>
    <w:rsid w:val="56FF219B"/>
    <w:rsid w:val="570046B2"/>
    <w:rsid w:val="57085EE4"/>
    <w:rsid w:val="570B3E02"/>
    <w:rsid w:val="571BFF49"/>
    <w:rsid w:val="573BFCE9"/>
    <w:rsid w:val="573F5101"/>
    <w:rsid w:val="57560D05"/>
    <w:rsid w:val="576D25C2"/>
    <w:rsid w:val="576D37A4"/>
    <w:rsid w:val="577D2735"/>
    <w:rsid w:val="577E46FF"/>
    <w:rsid w:val="577E4A64"/>
    <w:rsid w:val="578E65D4"/>
    <w:rsid w:val="57A32F85"/>
    <w:rsid w:val="57B049BA"/>
    <w:rsid w:val="57B958F8"/>
    <w:rsid w:val="57C05CCD"/>
    <w:rsid w:val="57C2639A"/>
    <w:rsid w:val="57C413A5"/>
    <w:rsid w:val="57CA34A1"/>
    <w:rsid w:val="57CE11E3"/>
    <w:rsid w:val="57DB7DE8"/>
    <w:rsid w:val="57E767A6"/>
    <w:rsid w:val="57EE3484"/>
    <w:rsid w:val="57F80C60"/>
    <w:rsid w:val="58215AB6"/>
    <w:rsid w:val="5825158A"/>
    <w:rsid w:val="582B0154"/>
    <w:rsid w:val="583F4C58"/>
    <w:rsid w:val="58465D90"/>
    <w:rsid w:val="58566410"/>
    <w:rsid w:val="585941E3"/>
    <w:rsid w:val="585F534A"/>
    <w:rsid w:val="586F0B38"/>
    <w:rsid w:val="58705DF6"/>
    <w:rsid w:val="58847AF3"/>
    <w:rsid w:val="58862B72"/>
    <w:rsid w:val="588A5AE9"/>
    <w:rsid w:val="58900C95"/>
    <w:rsid w:val="589736BA"/>
    <w:rsid w:val="589B05E0"/>
    <w:rsid w:val="589C50B7"/>
    <w:rsid w:val="589D2963"/>
    <w:rsid w:val="589E625B"/>
    <w:rsid w:val="58B101BD"/>
    <w:rsid w:val="58B20AEC"/>
    <w:rsid w:val="58BF52A9"/>
    <w:rsid w:val="58D87F55"/>
    <w:rsid w:val="58DF4FEC"/>
    <w:rsid w:val="58E14F46"/>
    <w:rsid w:val="58FE49B7"/>
    <w:rsid w:val="58FEAF7A"/>
    <w:rsid w:val="59021FD2"/>
    <w:rsid w:val="59084281"/>
    <w:rsid w:val="59091DA7"/>
    <w:rsid w:val="591A3FB4"/>
    <w:rsid w:val="59267B33"/>
    <w:rsid w:val="592B4373"/>
    <w:rsid w:val="59615283"/>
    <w:rsid w:val="596662A5"/>
    <w:rsid w:val="596F4300"/>
    <w:rsid w:val="59902F35"/>
    <w:rsid w:val="5994238E"/>
    <w:rsid w:val="5995052F"/>
    <w:rsid w:val="599B0BFE"/>
    <w:rsid w:val="59A82101"/>
    <w:rsid w:val="59A87812"/>
    <w:rsid w:val="59AA358A"/>
    <w:rsid w:val="59BE5287"/>
    <w:rsid w:val="59C7413C"/>
    <w:rsid w:val="59D165F0"/>
    <w:rsid w:val="59DA1C68"/>
    <w:rsid w:val="59E04505"/>
    <w:rsid w:val="59E85E60"/>
    <w:rsid w:val="59F215E6"/>
    <w:rsid w:val="59FA3177"/>
    <w:rsid w:val="5A0709DC"/>
    <w:rsid w:val="5A08070A"/>
    <w:rsid w:val="5A0C7744"/>
    <w:rsid w:val="5A121A9D"/>
    <w:rsid w:val="5A143B8D"/>
    <w:rsid w:val="5A1F51DD"/>
    <w:rsid w:val="5A2D57DD"/>
    <w:rsid w:val="5A3410A5"/>
    <w:rsid w:val="5A355900"/>
    <w:rsid w:val="5A3A0AA5"/>
    <w:rsid w:val="5A461504"/>
    <w:rsid w:val="5A477E06"/>
    <w:rsid w:val="5A4C73F4"/>
    <w:rsid w:val="5A4F554A"/>
    <w:rsid w:val="5A506F3E"/>
    <w:rsid w:val="5A5B1E6E"/>
    <w:rsid w:val="5A7526C4"/>
    <w:rsid w:val="5A8B5893"/>
    <w:rsid w:val="5A940D72"/>
    <w:rsid w:val="5A9D4E9D"/>
    <w:rsid w:val="5AB41DB0"/>
    <w:rsid w:val="5AB521E6"/>
    <w:rsid w:val="5ABA20FF"/>
    <w:rsid w:val="5ABE6409"/>
    <w:rsid w:val="5AC95C92"/>
    <w:rsid w:val="5AD34E9F"/>
    <w:rsid w:val="5AD732CB"/>
    <w:rsid w:val="5AE810CE"/>
    <w:rsid w:val="5AF46232"/>
    <w:rsid w:val="5B0024BF"/>
    <w:rsid w:val="5B2A59BC"/>
    <w:rsid w:val="5B405D31"/>
    <w:rsid w:val="5B411CCC"/>
    <w:rsid w:val="5B490B80"/>
    <w:rsid w:val="5B506E2B"/>
    <w:rsid w:val="5B6130D8"/>
    <w:rsid w:val="5B6441D3"/>
    <w:rsid w:val="5B6B430D"/>
    <w:rsid w:val="5B6B49DA"/>
    <w:rsid w:val="5B70610D"/>
    <w:rsid w:val="5B7B31A9"/>
    <w:rsid w:val="5B81031A"/>
    <w:rsid w:val="5B815166"/>
    <w:rsid w:val="5B83592D"/>
    <w:rsid w:val="5B877085"/>
    <w:rsid w:val="5B8E0F4E"/>
    <w:rsid w:val="5BA33C64"/>
    <w:rsid w:val="5BA34EAC"/>
    <w:rsid w:val="5BB97AB4"/>
    <w:rsid w:val="5BC6762F"/>
    <w:rsid w:val="5BDD7F38"/>
    <w:rsid w:val="5BE84759"/>
    <w:rsid w:val="5C047B83"/>
    <w:rsid w:val="5C0512D7"/>
    <w:rsid w:val="5C1D4690"/>
    <w:rsid w:val="5C267747"/>
    <w:rsid w:val="5C367AC8"/>
    <w:rsid w:val="5C414134"/>
    <w:rsid w:val="5C4C0928"/>
    <w:rsid w:val="5C4D667C"/>
    <w:rsid w:val="5C62014C"/>
    <w:rsid w:val="5C806818"/>
    <w:rsid w:val="5C842471"/>
    <w:rsid w:val="5C8E01AF"/>
    <w:rsid w:val="5C900707"/>
    <w:rsid w:val="5C9A3C1D"/>
    <w:rsid w:val="5C9F6CAA"/>
    <w:rsid w:val="5CA7BEF0"/>
    <w:rsid w:val="5CB36BF9"/>
    <w:rsid w:val="5CC24565"/>
    <w:rsid w:val="5CC77665"/>
    <w:rsid w:val="5CD37506"/>
    <w:rsid w:val="5CDA23D8"/>
    <w:rsid w:val="5CE172C2"/>
    <w:rsid w:val="5CE75F8B"/>
    <w:rsid w:val="5CEC1798"/>
    <w:rsid w:val="5D0442B4"/>
    <w:rsid w:val="5D050023"/>
    <w:rsid w:val="5D077BAE"/>
    <w:rsid w:val="5D1B4EFD"/>
    <w:rsid w:val="5D232C38"/>
    <w:rsid w:val="5D276BDB"/>
    <w:rsid w:val="5D2E7780"/>
    <w:rsid w:val="5D5419F5"/>
    <w:rsid w:val="5D577585"/>
    <w:rsid w:val="5D5A745E"/>
    <w:rsid w:val="5D6C1B5E"/>
    <w:rsid w:val="5D779D4D"/>
    <w:rsid w:val="5D787B8A"/>
    <w:rsid w:val="5D7A40F6"/>
    <w:rsid w:val="5D93642D"/>
    <w:rsid w:val="5D956205"/>
    <w:rsid w:val="5D983E4F"/>
    <w:rsid w:val="5DB449D7"/>
    <w:rsid w:val="5DCB48EE"/>
    <w:rsid w:val="5DCF5602"/>
    <w:rsid w:val="5DCF6BE5"/>
    <w:rsid w:val="5DD92B49"/>
    <w:rsid w:val="5DE4329A"/>
    <w:rsid w:val="5DEB2C25"/>
    <w:rsid w:val="5DED4AD9"/>
    <w:rsid w:val="5DF448E5"/>
    <w:rsid w:val="5E2C3A7D"/>
    <w:rsid w:val="5E390CAF"/>
    <w:rsid w:val="5E3C6D30"/>
    <w:rsid w:val="5E47584B"/>
    <w:rsid w:val="5E4C188C"/>
    <w:rsid w:val="5E4E37AD"/>
    <w:rsid w:val="5E5D157D"/>
    <w:rsid w:val="5E5F5EF7"/>
    <w:rsid w:val="5E631F59"/>
    <w:rsid w:val="5E697D49"/>
    <w:rsid w:val="5E6D720A"/>
    <w:rsid w:val="5E7F4FE5"/>
    <w:rsid w:val="5E824AD5"/>
    <w:rsid w:val="5E9E7B40"/>
    <w:rsid w:val="5E9F5687"/>
    <w:rsid w:val="5EA72B70"/>
    <w:rsid w:val="5EB23E2B"/>
    <w:rsid w:val="5EBB3B43"/>
    <w:rsid w:val="5EC5386C"/>
    <w:rsid w:val="5ED55185"/>
    <w:rsid w:val="5EDA419A"/>
    <w:rsid w:val="5EE51AE4"/>
    <w:rsid w:val="5EF048AB"/>
    <w:rsid w:val="5EFE4714"/>
    <w:rsid w:val="5F036FBE"/>
    <w:rsid w:val="5F0A15F3"/>
    <w:rsid w:val="5F1E20CE"/>
    <w:rsid w:val="5F2C4F82"/>
    <w:rsid w:val="5F433247"/>
    <w:rsid w:val="5F45258B"/>
    <w:rsid w:val="5F506981"/>
    <w:rsid w:val="5F5226F9"/>
    <w:rsid w:val="5F5A15AE"/>
    <w:rsid w:val="5F5C1C5B"/>
    <w:rsid w:val="5F5D5201"/>
    <w:rsid w:val="5F690130"/>
    <w:rsid w:val="5F723A40"/>
    <w:rsid w:val="5F73BD68"/>
    <w:rsid w:val="5F87675C"/>
    <w:rsid w:val="5F963A27"/>
    <w:rsid w:val="5F966E18"/>
    <w:rsid w:val="5F970059"/>
    <w:rsid w:val="5F9A70E8"/>
    <w:rsid w:val="5FAD1249"/>
    <w:rsid w:val="5FB0093D"/>
    <w:rsid w:val="5FD72BFF"/>
    <w:rsid w:val="5FD87942"/>
    <w:rsid w:val="5FDA624B"/>
    <w:rsid w:val="5FE65556"/>
    <w:rsid w:val="5FF06501"/>
    <w:rsid w:val="5FF91E73"/>
    <w:rsid w:val="601E660F"/>
    <w:rsid w:val="60235E44"/>
    <w:rsid w:val="603363E4"/>
    <w:rsid w:val="60457B68"/>
    <w:rsid w:val="604A49A2"/>
    <w:rsid w:val="60597AB8"/>
    <w:rsid w:val="606D5D36"/>
    <w:rsid w:val="60766FD7"/>
    <w:rsid w:val="608D150F"/>
    <w:rsid w:val="6094289E"/>
    <w:rsid w:val="609C218E"/>
    <w:rsid w:val="609C6B9A"/>
    <w:rsid w:val="60A54AAB"/>
    <w:rsid w:val="60B52778"/>
    <w:rsid w:val="60D90292"/>
    <w:rsid w:val="60F021CA"/>
    <w:rsid w:val="61022FB1"/>
    <w:rsid w:val="61031113"/>
    <w:rsid w:val="610D4A3C"/>
    <w:rsid w:val="610E2650"/>
    <w:rsid w:val="6113529D"/>
    <w:rsid w:val="61166383"/>
    <w:rsid w:val="611A0FF5"/>
    <w:rsid w:val="613A080B"/>
    <w:rsid w:val="613A6A65"/>
    <w:rsid w:val="613A7352"/>
    <w:rsid w:val="613B0E5A"/>
    <w:rsid w:val="613B0F6B"/>
    <w:rsid w:val="613D732D"/>
    <w:rsid w:val="614A63D5"/>
    <w:rsid w:val="614B4412"/>
    <w:rsid w:val="6155317E"/>
    <w:rsid w:val="615F1B75"/>
    <w:rsid w:val="61620180"/>
    <w:rsid w:val="6162299C"/>
    <w:rsid w:val="617D7BD4"/>
    <w:rsid w:val="618F4EB2"/>
    <w:rsid w:val="61976268"/>
    <w:rsid w:val="619E0691"/>
    <w:rsid w:val="61AB7E9F"/>
    <w:rsid w:val="61BB2FCE"/>
    <w:rsid w:val="61BE3267"/>
    <w:rsid w:val="61D57BE4"/>
    <w:rsid w:val="61DA7B4A"/>
    <w:rsid w:val="61E0223F"/>
    <w:rsid w:val="61E75A1E"/>
    <w:rsid w:val="61F41846"/>
    <w:rsid w:val="61FB59F5"/>
    <w:rsid w:val="6200214A"/>
    <w:rsid w:val="621041A6"/>
    <w:rsid w:val="62151FC7"/>
    <w:rsid w:val="622E70A1"/>
    <w:rsid w:val="622F4B23"/>
    <w:rsid w:val="623D5568"/>
    <w:rsid w:val="62521141"/>
    <w:rsid w:val="62541342"/>
    <w:rsid w:val="62566B55"/>
    <w:rsid w:val="627C0B43"/>
    <w:rsid w:val="62820A69"/>
    <w:rsid w:val="6285231D"/>
    <w:rsid w:val="629A0A03"/>
    <w:rsid w:val="62A102F6"/>
    <w:rsid w:val="62A15832"/>
    <w:rsid w:val="62A872C5"/>
    <w:rsid w:val="62AA45FB"/>
    <w:rsid w:val="62B84231"/>
    <w:rsid w:val="62C236F2"/>
    <w:rsid w:val="62C448B5"/>
    <w:rsid w:val="62C47FC5"/>
    <w:rsid w:val="62CD2097"/>
    <w:rsid w:val="62D31681"/>
    <w:rsid w:val="62D43425"/>
    <w:rsid w:val="62D50185"/>
    <w:rsid w:val="62D87F39"/>
    <w:rsid w:val="62DF110A"/>
    <w:rsid w:val="62F449E2"/>
    <w:rsid w:val="630E388B"/>
    <w:rsid w:val="631F7A4D"/>
    <w:rsid w:val="63203565"/>
    <w:rsid w:val="63360D48"/>
    <w:rsid w:val="63516ABE"/>
    <w:rsid w:val="636B3D8A"/>
    <w:rsid w:val="63813D88"/>
    <w:rsid w:val="6381535B"/>
    <w:rsid w:val="63896059"/>
    <w:rsid w:val="639130C5"/>
    <w:rsid w:val="63A75A25"/>
    <w:rsid w:val="63AA056F"/>
    <w:rsid w:val="63B81E84"/>
    <w:rsid w:val="63C60FC0"/>
    <w:rsid w:val="63CB4828"/>
    <w:rsid w:val="63D153F7"/>
    <w:rsid w:val="63D65836"/>
    <w:rsid w:val="63EA73A4"/>
    <w:rsid w:val="63FA14BE"/>
    <w:rsid w:val="63FC67EE"/>
    <w:rsid w:val="640516EE"/>
    <w:rsid w:val="641877E7"/>
    <w:rsid w:val="64257378"/>
    <w:rsid w:val="64284B5D"/>
    <w:rsid w:val="642E3C6C"/>
    <w:rsid w:val="643853E8"/>
    <w:rsid w:val="64407704"/>
    <w:rsid w:val="644C3123"/>
    <w:rsid w:val="645C0C48"/>
    <w:rsid w:val="645E4092"/>
    <w:rsid w:val="64732602"/>
    <w:rsid w:val="647629E6"/>
    <w:rsid w:val="647641DF"/>
    <w:rsid w:val="64801276"/>
    <w:rsid w:val="64945730"/>
    <w:rsid w:val="64A15589"/>
    <w:rsid w:val="64B97A50"/>
    <w:rsid w:val="64BC7EC9"/>
    <w:rsid w:val="64C85EB7"/>
    <w:rsid w:val="64D12312"/>
    <w:rsid w:val="64E04C97"/>
    <w:rsid w:val="64E472EC"/>
    <w:rsid w:val="64E82452"/>
    <w:rsid w:val="64EF2799"/>
    <w:rsid w:val="64F1387C"/>
    <w:rsid w:val="64F97173"/>
    <w:rsid w:val="64FD041F"/>
    <w:rsid w:val="64FE097F"/>
    <w:rsid w:val="64FE7D01"/>
    <w:rsid w:val="64FF55AF"/>
    <w:rsid w:val="65037FF2"/>
    <w:rsid w:val="6510166A"/>
    <w:rsid w:val="6510790A"/>
    <w:rsid w:val="6511382D"/>
    <w:rsid w:val="65206C7A"/>
    <w:rsid w:val="652F2B95"/>
    <w:rsid w:val="654153AA"/>
    <w:rsid w:val="655407CC"/>
    <w:rsid w:val="655D5D1D"/>
    <w:rsid w:val="656071F2"/>
    <w:rsid w:val="65641D13"/>
    <w:rsid w:val="65674A08"/>
    <w:rsid w:val="65684079"/>
    <w:rsid w:val="65797E7F"/>
    <w:rsid w:val="657F4530"/>
    <w:rsid w:val="65847FCB"/>
    <w:rsid w:val="658630FD"/>
    <w:rsid w:val="658D6CC0"/>
    <w:rsid w:val="659912BC"/>
    <w:rsid w:val="65B732B6"/>
    <w:rsid w:val="65C25218"/>
    <w:rsid w:val="65CC6636"/>
    <w:rsid w:val="65D35C16"/>
    <w:rsid w:val="65D47B95"/>
    <w:rsid w:val="65E850A7"/>
    <w:rsid w:val="65EC34E1"/>
    <w:rsid w:val="65F22F16"/>
    <w:rsid w:val="65F31E15"/>
    <w:rsid w:val="66081D64"/>
    <w:rsid w:val="660B715E"/>
    <w:rsid w:val="66205162"/>
    <w:rsid w:val="6623094C"/>
    <w:rsid w:val="662704FC"/>
    <w:rsid w:val="662B29CB"/>
    <w:rsid w:val="663C214A"/>
    <w:rsid w:val="664B3CD4"/>
    <w:rsid w:val="66561A04"/>
    <w:rsid w:val="66577444"/>
    <w:rsid w:val="66630D48"/>
    <w:rsid w:val="666770BE"/>
    <w:rsid w:val="666A2BB2"/>
    <w:rsid w:val="666B550A"/>
    <w:rsid w:val="66763171"/>
    <w:rsid w:val="667D28FE"/>
    <w:rsid w:val="668A491E"/>
    <w:rsid w:val="66BC2B4E"/>
    <w:rsid w:val="66CC6427"/>
    <w:rsid w:val="66E66872"/>
    <w:rsid w:val="670D0578"/>
    <w:rsid w:val="67255D99"/>
    <w:rsid w:val="672701F0"/>
    <w:rsid w:val="672F50CE"/>
    <w:rsid w:val="67397CFB"/>
    <w:rsid w:val="67467301"/>
    <w:rsid w:val="674A015A"/>
    <w:rsid w:val="67512BB0"/>
    <w:rsid w:val="675D5843"/>
    <w:rsid w:val="675F3DC5"/>
    <w:rsid w:val="67661064"/>
    <w:rsid w:val="676952A1"/>
    <w:rsid w:val="676B24FB"/>
    <w:rsid w:val="67786092"/>
    <w:rsid w:val="67967A99"/>
    <w:rsid w:val="67A96F9E"/>
    <w:rsid w:val="67AB04A7"/>
    <w:rsid w:val="67AE1DF4"/>
    <w:rsid w:val="67B13D35"/>
    <w:rsid w:val="67B51A77"/>
    <w:rsid w:val="67C174B3"/>
    <w:rsid w:val="67CC0B6F"/>
    <w:rsid w:val="67E5095C"/>
    <w:rsid w:val="67ED6B38"/>
    <w:rsid w:val="67F105D6"/>
    <w:rsid w:val="67FB3202"/>
    <w:rsid w:val="68040309"/>
    <w:rsid w:val="681A2772"/>
    <w:rsid w:val="681E5132"/>
    <w:rsid w:val="6838538E"/>
    <w:rsid w:val="68421E34"/>
    <w:rsid w:val="684C208C"/>
    <w:rsid w:val="686C57C8"/>
    <w:rsid w:val="68831B76"/>
    <w:rsid w:val="68971E68"/>
    <w:rsid w:val="68982479"/>
    <w:rsid w:val="68AA5354"/>
    <w:rsid w:val="68AB5D80"/>
    <w:rsid w:val="68B02F4E"/>
    <w:rsid w:val="68B735CD"/>
    <w:rsid w:val="68D4417F"/>
    <w:rsid w:val="68E0239E"/>
    <w:rsid w:val="68E82796"/>
    <w:rsid w:val="68EC55F7"/>
    <w:rsid w:val="690540BF"/>
    <w:rsid w:val="69054339"/>
    <w:rsid w:val="690560DF"/>
    <w:rsid w:val="69075C34"/>
    <w:rsid w:val="6909007C"/>
    <w:rsid w:val="691A5EE6"/>
    <w:rsid w:val="691E5013"/>
    <w:rsid w:val="69341349"/>
    <w:rsid w:val="693F23B7"/>
    <w:rsid w:val="694B04DD"/>
    <w:rsid w:val="694E7EFD"/>
    <w:rsid w:val="6956398A"/>
    <w:rsid w:val="696370F4"/>
    <w:rsid w:val="696809E7"/>
    <w:rsid w:val="69692B1A"/>
    <w:rsid w:val="696C0310"/>
    <w:rsid w:val="6971698D"/>
    <w:rsid w:val="69845C64"/>
    <w:rsid w:val="69B144C0"/>
    <w:rsid w:val="69B247C8"/>
    <w:rsid w:val="69C2047C"/>
    <w:rsid w:val="69C64714"/>
    <w:rsid w:val="69CA4852"/>
    <w:rsid w:val="69CC56B4"/>
    <w:rsid w:val="69DA348A"/>
    <w:rsid w:val="69E91EAC"/>
    <w:rsid w:val="69EF59B1"/>
    <w:rsid w:val="6A050368"/>
    <w:rsid w:val="6A0631E6"/>
    <w:rsid w:val="6A0700E9"/>
    <w:rsid w:val="6A1709C7"/>
    <w:rsid w:val="6A220F1A"/>
    <w:rsid w:val="6A2B02B0"/>
    <w:rsid w:val="6A327563"/>
    <w:rsid w:val="6A392C22"/>
    <w:rsid w:val="6A3A2708"/>
    <w:rsid w:val="6A4109EA"/>
    <w:rsid w:val="6A4C7071"/>
    <w:rsid w:val="6A4E60B2"/>
    <w:rsid w:val="6A7259FE"/>
    <w:rsid w:val="6A8B4D12"/>
    <w:rsid w:val="6AA81420"/>
    <w:rsid w:val="6AAA1233"/>
    <w:rsid w:val="6AAB7162"/>
    <w:rsid w:val="6AAF33C0"/>
    <w:rsid w:val="6ABB6531"/>
    <w:rsid w:val="6AC57894"/>
    <w:rsid w:val="6AD448AF"/>
    <w:rsid w:val="6ADA4440"/>
    <w:rsid w:val="6AEB6DE2"/>
    <w:rsid w:val="6AF209A7"/>
    <w:rsid w:val="6AF74155"/>
    <w:rsid w:val="6B1B388E"/>
    <w:rsid w:val="6B1E16E2"/>
    <w:rsid w:val="6B305546"/>
    <w:rsid w:val="6B3525B5"/>
    <w:rsid w:val="6B39476E"/>
    <w:rsid w:val="6B397FBC"/>
    <w:rsid w:val="6B3B6738"/>
    <w:rsid w:val="6B421F06"/>
    <w:rsid w:val="6B4337DD"/>
    <w:rsid w:val="6B452B0C"/>
    <w:rsid w:val="6B5B3A72"/>
    <w:rsid w:val="6B6932A5"/>
    <w:rsid w:val="6B6B20DC"/>
    <w:rsid w:val="6B6D5FC2"/>
    <w:rsid w:val="6B7632CC"/>
    <w:rsid w:val="6B8B50DE"/>
    <w:rsid w:val="6B976218"/>
    <w:rsid w:val="6BA674B7"/>
    <w:rsid w:val="6BC229B5"/>
    <w:rsid w:val="6BD07049"/>
    <w:rsid w:val="6BDE07CA"/>
    <w:rsid w:val="6BF82044"/>
    <w:rsid w:val="6C171503"/>
    <w:rsid w:val="6C1A7210"/>
    <w:rsid w:val="6C1B6850"/>
    <w:rsid w:val="6C225448"/>
    <w:rsid w:val="6C2947E2"/>
    <w:rsid w:val="6C2B055A"/>
    <w:rsid w:val="6C2C6080"/>
    <w:rsid w:val="6C350AD4"/>
    <w:rsid w:val="6C3D028D"/>
    <w:rsid w:val="6C6920F9"/>
    <w:rsid w:val="6C933EFE"/>
    <w:rsid w:val="6C9C5BD4"/>
    <w:rsid w:val="6CA251B2"/>
    <w:rsid w:val="6CB0280D"/>
    <w:rsid w:val="6CB76C88"/>
    <w:rsid w:val="6CCB691F"/>
    <w:rsid w:val="6CD56718"/>
    <w:rsid w:val="6CE60925"/>
    <w:rsid w:val="6CE70265"/>
    <w:rsid w:val="6CEB1A97"/>
    <w:rsid w:val="6CF272CA"/>
    <w:rsid w:val="6CF42ABF"/>
    <w:rsid w:val="6D0173C6"/>
    <w:rsid w:val="6D0F67F9"/>
    <w:rsid w:val="6D194857"/>
    <w:rsid w:val="6D1C298A"/>
    <w:rsid w:val="6D216851"/>
    <w:rsid w:val="6D317D6D"/>
    <w:rsid w:val="6D323B6A"/>
    <w:rsid w:val="6D480C98"/>
    <w:rsid w:val="6D48513C"/>
    <w:rsid w:val="6D5E2905"/>
    <w:rsid w:val="6D633D24"/>
    <w:rsid w:val="6D7875A9"/>
    <w:rsid w:val="6D827B16"/>
    <w:rsid w:val="6D8E1695"/>
    <w:rsid w:val="6D9222C1"/>
    <w:rsid w:val="6D9803A2"/>
    <w:rsid w:val="6DB86E0B"/>
    <w:rsid w:val="6DCD28E3"/>
    <w:rsid w:val="6DE63790"/>
    <w:rsid w:val="6DEA4F8E"/>
    <w:rsid w:val="6DF710C0"/>
    <w:rsid w:val="6DFE7A4F"/>
    <w:rsid w:val="6E056B89"/>
    <w:rsid w:val="6E0C0136"/>
    <w:rsid w:val="6E130DE5"/>
    <w:rsid w:val="6E194716"/>
    <w:rsid w:val="6E25722B"/>
    <w:rsid w:val="6E437F76"/>
    <w:rsid w:val="6E5A1A5A"/>
    <w:rsid w:val="6E6C37E0"/>
    <w:rsid w:val="6E6E31FD"/>
    <w:rsid w:val="6E7206C2"/>
    <w:rsid w:val="6E7962F9"/>
    <w:rsid w:val="6E843F52"/>
    <w:rsid w:val="6EAE2137"/>
    <w:rsid w:val="6EAE650B"/>
    <w:rsid w:val="6EB011EB"/>
    <w:rsid w:val="6EB221A0"/>
    <w:rsid w:val="6EB44823"/>
    <w:rsid w:val="6EB8444E"/>
    <w:rsid w:val="6ECF300F"/>
    <w:rsid w:val="6EEE712E"/>
    <w:rsid w:val="6EF54E4F"/>
    <w:rsid w:val="6F010C33"/>
    <w:rsid w:val="6F046E40"/>
    <w:rsid w:val="6F1E6154"/>
    <w:rsid w:val="6F2C6E51"/>
    <w:rsid w:val="6F3275E5"/>
    <w:rsid w:val="6F370FC4"/>
    <w:rsid w:val="6F431348"/>
    <w:rsid w:val="6F58000D"/>
    <w:rsid w:val="6F5D7020"/>
    <w:rsid w:val="6F741517"/>
    <w:rsid w:val="6F7C77BD"/>
    <w:rsid w:val="6F7DC595"/>
    <w:rsid w:val="6F7E7354"/>
    <w:rsid w:val="6F7F1B4B"/>
    <w:rsid w:val="6F9A4163"/>
    <w:rsid w:val="6F9A5386"/>
    <w:rsid w:val="6F9D176F"/>
    <w:rsid w:val="6FAA5C3A"/>
    <w:rsid w:val="6FAC7C04"/>
    <w:rsid w:val="6FAD572A"/>
    <w:rsid w:val="6FAF361C"/>
    <w:rsid w:val="6FB645DF"/>
    <w:rsid w:val="6FC6216F"/>
    <w:rsid w:val="6FCC6066"/>
    <w:rsid w:val="6FCD1A6E"/>
    <w:rsid w:val="6FD77A28"/>
    <w:rsid w:val="6FF35895"/>
    <w:rsid w:val="6FFF5A7F"/>
    <w:rsid w:val="700370F8"/>
    <w:rsid w:val="700804DA"/>
    <w:rsid w:val="701557A9"/>
    <w:rsid w:val="701E0731"/>
    <w:rsid w:val="70291C46"/>
    <w:rsid w:val="70335C2F"/>
    <w:rsid w:val="70341DAC"/>
    <w:rsid w:val="70343755"/>
    <w:rsid w:val="70350C60"/>
    <w:rsid w:val="7075685A"/>
    <w:rsid w:val="70A30A11"/>
    <w:rsid w:val="70A64653"/>
    <w:rsid w:val="70AB7EBB"/>
    <w:rsid w:val="70AC2981"/>
    <w:rsid w:val="70AE52B6"/>
    <w:rsid w:val="70B7547C"/>
    <w:rsid w:val="70BB1D85"/>
    <w:rsid w:val="70C04C1F"/>
    <w:rsid w:val="70CE4C96"/>
    <w:rsid w:val="70CF0B3D"/>
    <w:rsid w:val="70D6480D"/>
    <w:rsid w:val="70E1568B"/>
    <w:rsid w:val="70F57AB4"/>
    <w:rsid w:val="70FC24C5"/>
    <w:rsid w:val="71233EF6"/>
    <w:rsid w:val="712D267F"/>
    <w:rsid w:val="71354387"/>
    <w:rsid w:val="714317DD"/>
    <w:rsid w:val="71431EA2"/>
    <w:rsid w:val="7148570A"/>
    <w:rsid w:val="715116D2"/>
    <w:rsid w:val="7162408D"/>
    <w:rsid w:val="71625915"/>
    <w:rsid w:val="71772542"/>
    <w:rsid w:val="718477E3"/>
    <w:rsid w:val="718C7D8D"/>
    <w:rsid w:val="718F6E95"/>
    <w:rsid w:val="71922610"/>
    <w:rsid w:val="71AF7711"/>
    <w:rsid w:val="71B21069"/>
    <w:rsid w:val="71C535A3"/>
    <w:rsid w:val="71CA73EC"/>
    <w:rsid w:val="71CC3CC0"/>
    <w:rsid w:val="71D23DFB"/>
    <w:rsid w:val="71DB24DA"/>
    <w:rsid w:val="71E37A5C"/>
    <w:rsid w:val="71F633F8"/>
    <w:rsid w:val="71F744F2"/>
    <w:rsid w:val="71FA6D8D"/>
    <w:rsid w:val="72126C7F"/>
    <w:rsid w:val="7218415A"/>
    <w:rsid w:val="721F5CC8"/>
    <w:rsid w:val="72450106"/>
    <w:rsid w:val="724703AA"/>
    <w:rsid w:val="7251239D"/>
    <w:rsid w:val="726C71D7"/>
    <w:rsid w:val="729C3F60"/>
    <w:rsid w:val="72A33D69"/>
    <w:rsid w:val="72AA7CFF"/>
    <w:rsid w:val="72C9455B"/>
    <w:rsid w:val="72D41674"/>
    <w:rsid w:val="72DE9038"/>
    <w:rsid w:val="73041B05"/>
    <w:rsid w:val="730F3394"/>
    <w:rsid w:val="73127508"/>
    <w:rsid w:val="731A697D"/>
    <w:rsid w:val="73203EAB"/>
    <w:rsid w:val="732E0930"/>
    <w:rsid w:val="733D4CBA"/>
    <w:rsid w:val="733E6DC5"/>
    <w:rsid w:val="73410663"/>
    <w:rsid w:val="734819F2"/>
    <w:rsid w:val="735A2220"/>
    <w:rsid w:val="737722D7"/>
    <w:rsid w:val="73793F92"/>
    <w:rsid w:val="73855D46"/>
    <w:rsid w:val="739764D5"/>
    <w:rsid w:val="73A3444C"/>
    <w:rsid w:val="73AA6208"/>
    <w:rsid w:val="73AB3D2F"/>
    <w:rsid w:val="73C300B5"/>
    <w:rsid w:val="73D03795"/>
    <w:rsid w:val="73D83477"/>
    <w:rsid w:val="73E43E5B"/>
    <w:rsid w:val="73F676A0"/>
    <w:rsid w:val="73FB2F08"/>
    <w:rsid w:val="74026044"/>
    <w:rsid w:val="741B3C37"/>
    <w:rsid w:val="742C30C1"/>
    <w:rsid w:val="74327CB2"/>
    <w:rsid w:val="743B2BB7"/>
    <w:rsid w:val="7459071E"/>
    <w:rsid w:val="74650F79"/>
    <w:rsid w:val="74687F8F"/>
    <w:rsid w:val="74746816"/>
    <w:rsid w:val="747924D5"/>
    <w:rsid w:val="748D443D"/>
    <w:rsid w:val="749F7D37"/>
    <w:rsid w:val="74A521EF"/>
    <w:rsid w:val="74B63C4A"/>
    <w:rsid w:val="74BD0FFF"/>
    <w:rsid w:val="74BF0839"/>
    <w:rsid w:val="74BFAF04"/>
    <w:rsid w:val="74CF6187"/>
    <w:rsid w:val="74D30D95"/>
    <w:rsid w:val="74F62207"/>
    <w:rsid w:val="74FA0D7E"/>
    <w:rsid w:val="750D788E"/>
    <w:rsid w:val="7524023C"/>
    <w:rsid w:val="752A5775"/>
    <w:rsid w:val="75355FA6"/>
    <w:rsid w:val="753A15D7"/>
    <w:rsid w:val="7544268D"/>
    <w:rsid w:val="754906F8"/>
    <w:rsid w:val="75497CA3"/>
    <w:rsid w:val="754A4575"/>
    <w:rsid w:val="754E350B"/>
    <w:rsid w:val="755328D0"/>
    <w:rsid w:val="7564688B"/>
    <w:rsid w:val="75705F24"/>
    <w:rsid w:val="75745F30"/>
    <w:rsid w:val="75790588"/>
    <w:rsid w:val="758331B5"/>
    <w:rsid w:val="75835778"/>
    <w:rsid w:val="75847BE3"/>
    <w:rsid w:val="7589387E"/>
    <w:rsid w:val="759158DC"/>
    <w:rsid w:val="75927911"/>
    <w:rsid w:val="75AF764E"/>
    <w:rsid w:val="75C335B1"/>
    <w:rsid w:val="75CC5684"/>
    <w:rsid w:val="75D52C2D"/>
    <w:rsid w:val="75EB3544"/>
    <w:rsid w:val="76021F59"/>
    <w:rsid w:val="760807B1"/>
    <w:rsid w:val="760A7B8A"/>
    <w:rsid w:val="760B4F58"/>
    <w:rsid w:val="761262E7"/>
    <w:rsid w:val="761C0F14"/>
    <w:rsid w:val="7626345C"/>
    <w:rsid w:val="76432944"/>
    <w:rsid w:val="765B1419"/>
    <w:rsid w:val="76611A76"/>
    <w:rsid w:val="76652961"/>
    <w:rsid w:val="766A1C7F"/>
    <w:rsid w:val="766F7295"/>
    <w:rsid w:val="7671275F"/>
    <w:rsid w:val="767D7C04"/>
    <w:rsid w:val="76944369"/>
    <w:rsid w:val="76971CDF"/>
    <w:rsid w:val="76984A3E"/>
    <w:rsid w:val="769D4069"/>
    <w:rsid w:val="76A60379"/>
    <w:rsid w:val="76A86409"/>
    <w:rsid w:val="76AA5144"/>
    <w:rsid w:val="76AC1D52"/>
    <w:rsid w:val="76BD0685"/>
    <w:rsid w:val="76C70E7F"/>
    <w:rsid w:val="76DF0815"/>
    <w:rsid w:val="76E12D18"/>
    <w:rsid w:val="76E56A8E"/>
    <w:rsid w:val="76F83B54"/>
    <w:rsid w:val="76F91B7B"/>
    <w:rsid w:val="773125E2"/>
    <w:rsid w:val="77334767"/>
    <w:rsid w:val="773D2804"/>
    <w:rsid w:val="77446974"/>
    <w:rsid w:val="7757678B"/>
    <w:rsid w:val="7762504C"/>
    <w:rsid w:val="777032C5"/>
    <w:rsid w:val="7770353A"/>
    <w:rsid w:val="77770AF7"/>
    <w:rsid w:val="777F5BFE"/>
    <w:rsid w:val="778B4ADE"/>
    <w:rsid w:val="77905715"/>
    <w:rsid w:val="77967123"/>
    <w:rsid w:val="779BF821"/>
    <w:rsid w:val="779E36AD"/>
    <w:rsid w:val="779E4561"/>
    <w:rsid w:val="77AC0674"/>
    <w:rsid w:val="77B91110"/>
    <w:rsid w:val="77BA7C86"/>
    <w:rsid w:val="77CC7198"/>
    <w:rsid w:val="77CD7F4B"/>
    <w:rsid w:val="77CE2B57"/>
    <w:rsid w:val="77DA3A95"/>
    <w:rsid w:val="77E43DD2"/>
    <w:rsid w:val="77E447F5"/>
    <w:rsid w:val="77F04DA7"/>
    <w:rsid w:val="77F6075E"/>
    <w:rsid w:val="77FB5427"/>
    <w:rsid w:val="77FF081E"/>
    <w:rsid w:val="780D0A8D"/>
    <w:rsid w:val="78151A26"/>
    <w:rsid w:val="78286AF7"/>
    <w:rsid w:val="782D3663"/>
    <w:rsid w:val="783A446D"/>
    <w:rsid w:val="783F0EE9"/>
    <w:rsid w:val="7843265A"/>
    <w:rsid w:val="785D745C"/>
    <w:rsid w:val="78660C22"/>
    <w:rsid w:val="78680440"/>
    <w:rsid w:val="7868379A"/>
    <w:rsid w:val="786F7A21"/>
    <w:rsid w:val="787C3EEC"/>
    <w:rsid w:val="788829E6"/>
    <w:rsid w:val="789B7702"/>
    <w:rsid w:val="78A214CE"/>
    <w:rsid w:val="78A74CC3"/>
    <w:rsid w:val="78B8391E"/>
    <w:rsid w:val="78BA03C6"/>
    <w:rsid w:val="78BE5F5A"/>
    <w:rsid w:val="78C805A7"/>
    <w:rsid w:val="78CA224D"/>
    <w:rsid w:val="78E11465"/>
    <w:rsid w:val="78EA354B"/>
    <w:rsid w:val="78F47D2D"/>
    <w:rsid w:val="78F64552"/>
    <w:rsid w:val="78F6798A"/>
    <w:rsid w:val="792067C5"/>
    <w:rsid w:val="79323DC9"/>
    <w:rsid w:val="793331D2"/>
    <w:rsid w:val="793C5C50"/>
    <w:rsid w:val="795B7FA5"/>
    <w:rsid w:val="79624AAB"/>
    <w:rsid w:val="7969517F"/>
    <w:rsid w:val="796C0923"/>
    <w:rsid w:val="79795F5A"/>
    <w:rsid w:val="798D0AD2"/>
    <w:rsid w:val="79A32902"/>
    <w:rsid w:val="79A41C7C"/>
    <w:rsid w:val="79D30C83"/>
    <w:rsid w:val="79D57D57"/>
    <w:rsid w:val="79D7411E"/>
    <w:rsid w:val="79DF1B4D"/>
    <w:rsid w:val="79E56A30"/>
    <w:rsid w:val="79F04002"/>
    <w:rsid w:val="79F81E12"/>
    <w:rsid w:val="79FC1788"/>
    <w:rsid w:val="7A010B4C"/>
    <w:rsid w:val="7A101951"/>
    <w:rsid w:val="7A1328EF"/>
    <w:rsid w:val="7A170370"/>
    <w:rsid w:val="7A1C65EB"/>
    <w:rsid w:val="7A1F2CF9"/>
    <w:rsid w:val="7A4F18B8"/>
    <w:rsid w:val="7A60175F"/>
    <w:rsid w:val="7A7022C9"/>
    <w:rsid w:val="7A7D7E7C"/>
    <w:rsid w:val="7A8928E3"/>
    <w:rsid w:val="7A925C48"/>
    <w:rsid w:val="7A936904"/>
    <w:rsid w:val="7A951FC7"/>
    <w:rsid w:val="7A9809E2"/>
    <w:rsid w:val="7A9B68AB"/>
    <w:rsid w:val="7AA51E6E"/>
    <w:rsid w:val="7AAC02BA"/>
    <w:rsid w:val="7AAD6B20"/>
    <w:rsid w:val="7AAE2396"/>
    <w:rsid w:val="7AB31DBA"/>
    <w:rsid w:val="7AC22341"/>
    <w:rsid w:val="7AC32B52"/>
    <w:rsid w:val="7AC871C7"/>
    <w:rsid w:val="7ACC1665"/>
    <w:rsid w:val="7AD34637"/>
    <w:rsid w:val="7AD54C34"/>
    <w:rsid w:val="7AD7365B"/>
    <w:rsid w:val="7AD87858"/>
    <w:rsid w:val="7ADC3F30"/>
    <w:rsid w:val="7AED3CEE"/>
    <w:rsid w:val="7AEF4A13"/>
    <w:rsid w:val="7AFF41CC"/>
    <w:rsid w:val="7B000E04"/>
    <w:rsid w:val="7B020435"/>
    <w:rsid w:val="7B103C8D"/>
    <w:rsid w:val="7B116B6D"/>
    <w:rsid w:val="7B14665D"/>
    <w:rsid w:val="7B214B9C"/>
    <w:rsid w:val="7B265465"/>
    <w:rsid w:val="7B292324"/>
    <w:rsid w:val="7B3D9FA7"/>
    <w:rsid w:val="7B445833"/>
    <w:rsid w:val="7B4B5852"/>
    <w:rsid w:val="7B5B428C"/>
    <w:rsid w:val="7B5F3D7C"/>
    <w:rsid w:val="7B7C3B4A"/>
    <w:rsid w:val="7B7D212A"/>
    <w:rsid w:val="7BA41D67"/>
    <w:rsid w:val="7BA831B4"/>
    <w:rsid w:val="7BA86FCC"/>
    <w:rsid w:val="7BE2051A"/>
    <w:rsid w:val="7BF000D4"/>
    <w:rsid w:val="7BF01892"/>
    <w:rsid w:val="7BFC02C5"/>
    <w:rsid w:val="7C190E27"/>
    <w:rsid w:val="7C273E90"/>
    <w:rsid w:val="7C28417F"/>
    <w:rsid w:val="7C362405"/>
    <w:rsid w:val="7C3C5E6C"/>
    <w:rsid w:val="7C4518F1"/>
    <w:rsid w:val="7C49114F"/>
    <w:rsid w:val="7C632338"/>
    <w:rsid w:val="7C691EE7"/>
    <w:rsid w:val="7C7D7BB2"/>
    <w:rsid w:val="7C7E7DC7"/>
    <w:rsid w:val="7C9308D2"/>
    <w:rsid w:val="7CA05A4B"/>
    <w:rsid w:val="7CA254F1"/>
    <w:rsid w:val="7CA94B23"/>
    <w:rsid w:val="7CB20432"/>
    <w:rsid w:val="7CB26258"/>
    <w:rsid w:val="7CC40EDF"/>
    <w:rsid w:val="7CC70BC5"/>
    <w:rsid w:val="7CDC31AB"/>
    <w:rsid w:val="7CE3278B"/>
    <w:rsid w:val="7CE33D99"/>
    <w:rsid w:val="7CE75026"/>
    <w:rsid w:val="7CEC6459"/>
    <w:rsid w:val="7CED5A7E"/>
    <w:rsid w:val="7D017254"/>
    <w:rsid w:val="7D1E5C9A"/>
    <w:rsid w:val="7D2233F9"/>
    <w:rsid w:val="7D2801DA"/>
    <w:rsid w:val="7D384885"/>
    <w:rsid w:val="7D3A306F"/>
    <w:rsid w:val="7D3E3E65"/>
    <w:rsid w:val="7D4166AE"/>
    <w:rsid w:val="7D432D4D"/>
    <w:rsid w:val="7D4B7628"/>
    <w:rsid w:val="7D513B99"/>
    <w:rsid w:val="7D585054"/>
    <w:rsid w:val="7D7B26FD"/>
    <w:rsid w:val="7D850C65"/>
    <w:rsid w:val="7DA0067C"/>
    <w:rsid w:val="7DA00BB7"/>
    <w:rsid w:val="7DA74434"/>
    <w:rsid w:val="7DAF5004"/>
    <w:rsid w:val="7DB3215D"/>
    <w:rsid w:val="7DBA7990"/>
    <w:rsid w:val="7DBE58DA"/>
    <w:rsid w:val="7DC557DE"/>
    <w:rsid w:val="7DEE4DFB"/>
    <w:rsid w:val="7DF1189C"/>
    <w:rsid w:val="7DFD7EC1"/>
    <w:rsid w:val="7E0B73A9"/>
    <w:rsid w:val="7E0E3838"/>
    <w:rsid w:val="7E0F7639"/>
    <w:rsid w:val="7E156974"/>
    <w:rsid w:val="7E197D90"/>
    <w:rsid w:val="7E21461F"/>
    <w:rsid w:val="7E29605A"/>
    <w:rsid w:val="7E553358"/>
    <w:rsid w:val="7E615386"/>
    <w:rsid w:val="7E63219A"/>
    <w:rsid w:val="7E6478FC"/>
    <w:rsid w:val="7E6C0FC8"/>
    <w:rsid w:val="7E6E2BF3"/>
    <w:rsid w:val="7E8B30DA"/>
    <w:rsid w:val="7E8D29AE"/>
    <w:rsid w:val="7E8F4979"/>
    <w:rsid w:val="7E8F68F6"/>
    <w:rsid w:val="7E953069"/>
    <w:rsid w:val="7EA72608"/>
    <w:rsid w:val="7EA832D9"/>
    <w:rsid w:val="7EA85A3A"/>
    <w:rsid w:val="7EB40296"/>
    <w:rsid w:val="7EB919F5"/>
    <w:rsid w:val="7EBAEAA8"/>
    <w:rsid w:val="7EBE525E"/>
    <w:rsid w:val="7EBF0A54"/>
    <w:rsid w:val="7EC31904"/>
    <w:rsid w:val="7ECF5D68"/>
    <w:rsid w:val="7EFF4B02"/>
    <w:rsid w:val="7F192FBE"/>
    <w:rsid w:val="7F1A0FA4"/>
    <w:rsid w:val="7F1B2FB1"/>
    <w:rsid w:val="7F363046"/>
    <w:rsid w:val="7F3F008D"/>
    <w:rsid w:val="7F417AF2"/>
    <w:rsid w:val="7F4A5B5D"/>
    <w:rsid w:val="7F4BB895"/>
    <w:rsid w:val="7F4C0ABC"/>
    <w:rsid w:val="7F525799"/>
    <w:rsid w:val="7F5D65DE"/>
    <w:rsid w:val="7F5E16DE"/>
    <w:rsid w:val="7F61630B"/>
    <w:rsid w:val="7F714AE8"/>
    <w:rsid w:val="7F7C1FD7"/>
    <w:rsid w:val="7F913F52"/>
    <w:rsid w:val="7F9401F5"/>
    <w:rsid w:val="7F97111B"/>
    <w:rsid w:val="7F99375C"/>
    <w:rsid w:val="7F9A1E17"/>
    <w:rsid w:val="7FA24B44"/>
    <w:rsid w:val="7FAF7D48"/>
    <w:rsid w:val="7FBD3767"/>
    <w:rsid w:val="7FC07C01"/>
    <w:rsid w:val="7FCC20B0"/>
    <w:rsid w:val="7FD77662"/>
    <w:rsid w:val="7FDD9412"/>
    <w:rsid w:val="7FE04BEF"/>
    <w:rsid w:val="7FE93D77"/>
    <w:rsid w:val="7FF06011"/>
    <w:rsid w:val="7FF07699"/>
    <w:rsid w:val="7FFC956A"/>
    <w:rsid w:val="7FFD1D74"/>
    <w:rsid w:val="7FFE4638"/>
    <w:rsid w:val="7FFF9244"/>
    <w:rsid w:val="9FBCEFEF"/>
    <w:rsid w:val="9FFFEEA9"/>
    <w:rsid w:val="A7EF19A3"/>
    <w:rsid w:val="B756443B"/>
    <w:rsid w:val="B7AFA605"/>
    <w:rsid w:val="B9D735BB"/>
    <w:rsid w:val="BBE88D54"/>
    <w:rsid w:val="BDDDBE5F"/>
    <w:rsid w:val="BDEA80E2"/>
    <w:rsid w:val="BE1F382C"/>
    <w:rsid w:val="BFCFF0FE"/>
    <w:rsid w:val="BFDFF4A1"/>
    <w:rsid w:val="BFED499C"/>
    <w:rsid w:val="C73F8DD9"/>
    <w:rsid w:val="CF1F4758"/>
    <w:rsid w:val="D9FFEB83"/>
    <w:rsid w:val="DB57264C"/>
    <w:rsid w:val="DBFF2C18"/>
    <w:rsid w:val="DC7E0118"/>
    <w:rsid w:val="DEB5E111"/>
    <w:rsid w:val="DF77B095"/>
    <w:rsid w:val="E7DDD554"/>
    <w:rsid w:val="EDFE5D15"/>
    <w:rsid w:val="EDFF0F34"/>
    <w:rsid w:val="EE7DBB0F"/>
    <w:rsid w:val="F3DA4BD6"/>
    <w:rsid w:val="F755205E"/>
    <w:rsid w:val="F7B3F94B"/>
    <w:rsid w:val="F7EF331C"/>
    <w:rsid w:val="F9FE33CD"/>
    <w:rsid w:val="FBDB6B59"/>
    <w:rsid w:val="FBE715E6"/>
    <w:rsid w:val="FD9FF8E1"/>
    <w:rsid w:val="FDF11AFE"/>
    <w:rsid w:val="FEFEBAF5"/>
    <w:rsid w:val="FF5F5589"/>
    <w:rsid w:val="FF7EC9C5"/>
    <w:rsid w:val="FF8F10A3"/>
    <w:rsid w:val="FFCAD2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nhideWhenUsed="0" w:uiPriority="99" w:semiHidden="0" w:name="toc 2"/>
    <w:lsdException w:uiPriority="0" w:name="toc 3"/>
    <w:lsdException w:qFormat="1" w:uiPriority="39" w:semiHidden="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2" w:lineRule="auto"/>
      <w:outlineLvl w:val="4"/>
    </w:pPr>
    <w:rPr>
      <w:rFonts w:ascii="FangSong_GB2312" w:hAnsi="Tahoma"/>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ind w:firstLine="420" w:firstLineChars="100"/>
      <w:jc w:val="left"/>
    </w:pPr>
    <w:rPr>
      <w:rFonts w:ascii="FangSong_GB2312"/>
      <w:b/>
      <w:kern w:val="0"/>
      <w:sz w:val="32"/>
      <w:szCs w:val="32"/>
    </w:rPr>
  </w:style>
  <w:style w:type="paragraph" w:styleId="3">
    <w:name w:val="Body Text"/>
    <w:basedOn w:val="1"/>
    <w:qFormat/>
    <w:uiPriority w:val="0"/>
    <w:pPr>
      <w:spacing w:after="120"/>
    </w:pPr>
  </w:style>
  <w:style w:type="paragraph" w:styleId="9">
    <w:name w:val="Normal Indent"/>
    <w:basedOn w:val="1"/>
    <w:qFormat/>
    <w:uiPriority w:val="0"/>
    <w:pPr>
      <w:adjustRightInd w:val="0"/>
      <w:spacing w:line="312" w:lineRule="atLeast"/>
      <w:ind w:firstLine="420"/>
      <w:textAlignment w:val="baseline"/>
    </w:pPr>
    <w:rPr>
      <w:rFonts w:ascii="宋体" w:hAnsi="Courier New"/>
      <w:kern w:val="0"/>
    </w:rPr>
  </w:style>
  <w:style w:type="paragraph" w:styleId="10">
    <w:name w:val="toa heading"/>
    <w:basedOn w:val="1"/>
    <w:next w:val="1"/>
    <w:qFormat/>
    <w:uiPriority w:val="99"/>
    <w:rPr>
      <w:rFonts w:ascii="Arial" w:hAnsi="Arial"/>
      <w:sz w:val="24"/>
    </w:rPr>
  </w:style>
  <w:style w:type="paragraph" w:styleId="11">
    <w:name w:val="annotation text"/>
    <w:basedOn w:val="1"/>
    <w:link w:val="74"/>
    <w:qFormat/>
    <w:uiPriority w:val="0"/>
    <w:pPr>
      <w:jc w:val="left"/>
    </w:pPr>
    <w:rPr>
      <w:rFonts w:ascii="Times New Roman" w:hAnsi="Times New Roman"/>
    </w:rPr>
  </w:style>
  <w:style w:type="paragraph" w:styleId="12">
    <w:name w:val="Body Text Indent"/>
    <w:basedOn w:val="1"/>
    <w:next w:val="13"/>
    <w:link w:val="80"/>
    <w:qFormat/>
    <w:uiPriority w:val="0"/>
    <w:pPr>
      <w:ind w:left="480" w:hanging="480" w:hangingChars="200"/>
    </w:pPr>
    <w:rPr>
      <w:sz w:val="24"/>
    </w:rPr>
  </w:style>
  <w:style w:type="paragraph" w:styleId="13">
    <w:name w:val="envelope return"/>
    <w:basedOn w:val="1"/>
    <w:qFormat/>
    <w:uiPriority w:val="0"/>
    <w:pPr>
      <w:snapToGrid w:val="0"/>
    </w:pPr>
    <w:rPr>
      <w:rFonts w:ascii="Arial" w:hAnsi="Arial"/>
    </w:rPr>
  </w:style>
  <w:style w:type="paragraph" w:styleId="14">
    <w:name w:val="List 2"/>
    <w:basedOn w:val="1"/>
    <w:qFormat/>
    <w:uiPriority w:val="99"/>
    <w:pPr>
      <w:ind w:left="100" w:leftChars="200" w:hanging="200" w:hangingChars="200"/>
    </w:pPr>
    <w:rPr>
      <w:sz w:val="28"/>
      <w:szCs w:val="28"/>
    </w:rPr>
  </w:style>
  <w:style w:type="paragraph" w:styleId="15">
    <w:name w:val="Block Text"/>
    <w:basedOn w:val="1"/>
    <w:qFormat/>
    <w:uiPriority w:val="99"/>
    <w:pPr>
      <w:spacing w:after="120"/>
      <w:ind w:left="1440" w:leftChars="700" w:right="1440" w:rightChars="700"/>
    </w:pPr>
  </w:style>
  <w:style w:type="paragraph" w:styleId="16">
    <w:name w:val="index 4"/>
    <w:basedOn w:val="1"/>
    <w:next w:val="1"/>
    <w:qFormat/>
    <w:uiPriority w:val="0"/>
    <w:pPr>
      <w:ind w:left="600" w:leftChars="600"/>
    </w:pPr>
  </w:style>
  <w:style w:type="paragraph" w:styleId="17">
    <w:name w:val="Plain Text"/>
    <w:basedOn w:val="1"/>
    <w:link w:val="76"/>
    <w:qFormat/>
    <w:uiPriority w:val="0"/>
    <w:pPr>
      <w:widowControl/>
      <w:overflowPunct w:val="0"/>
      <w:autoSpaceDE w:val="0"/>
      <w:autoSpaceDN w:val="0"/>
      <w:adjustRightInd w:val="0"/>
      <w:jc w:val="left"/>
      <w:textAlignment w:val="baseline"/>
    </w:pPr>
    <w:rPr>
      <w:rFonts w:ascii="宋体" w:hAnsi="Courier New"/>
      <w:sz w:val="24"/>
    </w:rPr>
  </w:style>
  <w:style w:type="paragraph" w:styleId="18">
    <w:name w:val="Date"/>
    <w:basedOn w:val="1"/>
    <w:next w:val="1"/>
    <w:qFormat/>
    <w:uiPriority w:val="0"/>
    <w:pPr>
      <w:ind w:left="2500" w:leftChars="2500"/>
    </w:pPr>
    <w:rPr>
      <w:rFonts w:eastAsia="KaiTi_GB2312"/>
      <w:sz w:val="32"/>
      <w:szCs w:val="20"/>
    </w:rPr>
  </w:style>
  <w:style w:type="paragraph" w:styleId="19">
    <w:name w:val="Body Text Indent 2"/>
    <w:basedOn w:val="1"/>
    <w:unhideWhenUsed/>
    <w:qFormat/>
    <w:uiPriority w:val="99"/>
    <w:pPr>
      <w:spacing w:after="120" w:line="480" w:lineRule="auto"/>
      <w:ind w:left="420" w:leftChars="200"/>
    </w:pPr>
  </w:style>
  <w:style w:type="paragraph" w:styleId="20">
    <w:name w:val="Balloon Text"/>
    <w:basedOn w:val="1"/>
    <w:link w:val="77"/>
    <w:qFormat/>
    <w:uiPriority w:val="0"/>
    <w:rPr>
      <w:rFonts w:ascii="Times New Roman" w:hAnsi="Times New Roman"/>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unhideWhenUsed/>
    <w:qFormat/>
    <w:uiPriority w:val="0"/>
    <w:rPr>
      <w:rFonts w:ascii="Times New Roman" w:hAnsi="Times New Roman"/>
    </w:rPr>
  </w:style>
  <w:style w:type="paragraph" w:styleId="24">
    <w:name w:val="toc 4"/>
    <w:basedOn w:val="1"/>
    <w:next w:val="1"/>
    <w:unhideWhenUsed/>
    <w:qFormat/>
    <w:uiPriority w:val="39"/>
    <w:pPr>
      <w:ind w:left="1260" w:leftChars="600"/>
    </w:pPr>
  </w:style>
  <w:style w:type="paragraph" w:styleId="25">
    <w:name w:val="Subtitle"/>
    <w:basedOn w:val="1"/>
    <w:next w:val="1"/>
    <w:qFormat/>
    <w:uiPriority w:val="11"/>
    <w:pPr>
      <w:spacing w:before="240" w:after="60" w:line="312" w:lineRule="auto"/>
      <w:jc w:val="center"/>
      <w:outlineLvl w:val="1"/>
    </w:pPr>
    <w:rPr>
      <w:b/>
      <w:bCs/>
      <w:kern w:val="28"/>
      <w:sz w:val="32"/>
      <w:szCs w:val="32"/>
    </w:rPr>
  </w:style>
  <w:style w:type="paragraph" w:styleId="26">
    <w:name w:val="List"/>
    <w:basedOn w:val="1"/>
    <w:qFormat/>
    <w:uiPriority w:val="0"/>
    <w:pPr>
      <w:ind w:left="200" w:hanging="200" w:hangingChars="200"/>
    </w:pPr>
  </w:style>
  <w:style w:type="paragraph" w:styleId="27">
    <w:name w:val="footnote text"/>
    <w:basedOn w:val="1"/>
    <w:link w:val="79"/>
    <w:qFormat/>
    <w:uiPriority w:val="99"/>
    <w:pPr>
      <w:snapToGrid w:val="0"/>
      <w:jc w:val="left"/>
    </w:pPr>
    <w:rPr>
      <w:sz w:val="18"/>
    </w:rPr>
  </w:style>
  <w:style w:type="paragraph" w:styleId="28">
    <w:name w:val="toc 6"/>
    <w:basedOn w:val="1"/>
    <w:next w:val="1"/>
    <w:qFormat/>
    <w:uiPriority w:val="0"/>
    <w:pPr>
      <w:spacing w:line="360" w:lineRule="auto"/>
      <w:ind w:left="1200" w:firstLine="200" w:firstLineChars="200"/>
      <w:jc w:val="left"/>
    </w:pPr>
    <w:rPr>
      <w:rFonts w:cs="Calibri"/>
      <w:sz w:val="18"/>
      <w:szCs w:val="18"/>
    </w:rPr>
  </w:style>
  <w:style w:type="paragraph" w:styleId="29">
    <w:name w:val="toc 2"/>
    <w:basedOn w:val="1"/>
    <w:next w:val="1"/>
    <w:qFormat/>
    <w:uiPriority w:val="99"/>
    <w:pPr>
      <w:tabs>
        <w:tab w:val="right" w:leader="dot" w:pos="8302"/>
      </w:tabs>
      <w:ind w:left="200" w:leftChars="200"/>
    </w:pPr>
    <w:rPr>
      <w:b/>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annotation subject"/>
    <w:basedOn w:val="11"/>
    <w:next w:val="11"/>
    <w:link w:val="78"/>
    <w:qFormat/>
    <w:uiPriority w:val="0"/>
    <w:rPr>
      <w:b/>
      <w:bCs/>
    </w:rPr>
  </w:style>
  <w:style w:type="paragraph" w:styleId="32">
    <w:name w:val="Body Text First Indent 2"/>
    <w:basedOn w:val="12"/>
    <w:unhideWhenUsed/>
    <w:qFormat/>
    <w:uiPriority w:val="99"/>
    <w:pPr>
      <w:ind w:firstLine="420"/>
    </w:p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22"/>
    <w:rPr>
      <w:b/>
    </w:rPr>
  </w:style>
  <w:style w:type="character" w:styleId="37">
    <w:name w:val="page number"/>
    <w:basedOn w:val="35"/>
    <w:unhideWhenUsed/>
    <w:qFormat/>
    <w:uiPriority w:val="0"/>
  </w:style>
  <w:style w:type="character" w:styleId="38">
    <w:name w:val="Emphasis"/>
    <w:basedOn w:val="35"/>
    <w:qFormat/>
    <w:uiPriority w:val="20"/>
    <w:rPr>
      <w:i/>
      <w:iCs/>
    </w:rPr>
  </w:style>
  <w:style w:type="character" w:styleId="39">
    <w:name w:val="Hyperlink"/>
    <w:basedOn w:val="35"/>
    <w:qFormat/>
    <w:uiPriority w:val="0"/>
  </w:style>
  <w:style w:type="character" w:styleId="40">
    <w:name w:val="annotation reference"/>
    <w:basedOn w:val="35"/>
    <w:qFormat/>
    <w:uiPriority w:val="99"/>
    <w:rPr>
      <w:sz w:val="21"/>
      <w:szCs w:val="21"/>
    </w:rPr>
  </w:style>
  <w:style w:type="character" w:styleId="41">
    <w:name w:val="footnote reference"/>
    <w:basedOn w:val="35"/>
    <w:qFormat/>
    <w:uiPriority w:val="99"/>
    <w:rPr>
      <w:rFonts w:cs="Times New Roman"/>
      <w:vertAlign w:val="superscript"/>
    </w:rPr>
  </w:style>
  <w:style w:type="character" w:styleId="42">
    <w:name w:val="HTML Sample"/>
    <w:basedOn w:val="35"/>
    <w:qFormat/>
    <w:uiPriority w:val="0"/>
    <w:rPr>
      <w:rFonts w:ascii="Courier New" w:hAnsi="Courier New"/>
    </w:rPr>
  </w:style>
  <w:style w:type="paragraph" w:customStyle="1" w:styleId="43">
    <w:name w:val="Normal Indent1"/>
    <w:basedOn w:val="1"/>
    <w:autoRedefine/>
    <w:qFormat/>
    <w:uiPriority w:val="0"/>
    <w:pPr>
      <w:ind w:firstLine="420" w:firstLineChars="200"/>
    </w:pPr>
  </w:style>
  <w:style w:type="paragraph" w:customStyle="1" w:styleId="44">
    <w:name w:val="Default"/>
    <w:next w:val="4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46">
    <w:name w:val="DAS正文"/>
    <w:basedOn w:val="1"/>
    <w:qFormat/>
    <w:uiPriority w:val="0"/>
    <w:pPr>
      <w:spacing w:line="360" w:lineRule="auto"/>
      <w:ind w:right="181" w:firstLine="480"/>
    </w:pPr>
    <w:rPr>
      <w:rFonts w:ascii="Verdana" w:hAnsi="Verdana"/>
      <w:szCs w:val="24"/>
    </w:rPr>
  </w:style>
  <w:style w:type="paragraph" w:customStyle="1" w:styleId="47">
    <w:name w:val="[Normal]"/>
    <w:qFormat/>
    <w:uiPriority w:val="99"/>
    <w:rPr>
      <w:rFonts w:ascii="宋体" w:hAnsi="宋体" w:eastAsia="宋体" w:cs="Times New Roman"/>
      <w:sz w:val="24"/>
      <w:szCs w:val="22"/>
      <w:lang w:val="zh-CN" w:eastAsia="zh-CN" w:bidi="ar-SA"/>
    </w:rPr>
  </w:style>
  <w:style w:type="paragraph" w:customStyle="1" w:styleId="48">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表格文字"/>
    <w:basedOn w:val="1"/>
    <w:next w:val="3"/>
    <w:qFormat/>
    <w:uiPriority w:val="0"/>
    <w:pPr>
      <w:adjustRightInd w:val="0"/>
      <w:spacing w:line="420" w:lineRule="atLeast"/>
      <w:jc w:val="left"/>
      <w:textAlignment w:val="baseline"/>
    </w:pPr>
    <w:rPr>
      <w:kern w:val="0"/>
      <w:szCs w:val="24"/>
    </w:rPr>
  </w:style>
  <w:style w:type="paragraph" w:customStyle="1" w:styleId="50">
    <w:name w:val="正文1"/>
    <w:basedOn w:val="1"/>
    <w:qFormat/>
    <w:uiPriority w:val="0"/>
    <w:rPr>
      <w:rFonts w:ascii="宋体" w:hAnsi="宋体" w:cs="宋体"/>
    </w:rPr>
  </w:style>
  <w:style w:type="paragraph" w:customStyle="1" w:styleId="51">
    <w:name w:val="正文2"/>
    <w:basedOn w:val="1"/>
    <w:qFormat/>
    <w:uiPriority w:val="0"/>
    <w:pPr>
      <w:spacing w:before="156" w:line="360" w:lineRule="auto"/>
      <w:ind w:firstLine="510" w:firstLineChars="200"/>
    </w:pPr>
    <w:rPr>
      <w:sz w:val="24"/>
      <w:szCs w:val="20"/>
    </w:rPr>
  </w:style>
  <w:style w:type="paragraph" w:customStyle="1" w:styleId="52">
    <w:name w:val="列表段落1"/>
    <w:basedOn w:val="1"/>
    <w:qFormat/>
    <w:uiPriority w:val="34"/>
    <w:pPr>
      <w:widowControl/>
      <w:ind w:firstLine="420" w:firstLineChars="200"/>
      <w:jc w:val="left"/>
    </w:pPr>
    <w:rPr>
      <w:rFonts w:eastAsia="微软雅黑"/>
      <w:szCs w:val="20"/>
    </w:rPr>
  </w:style>
  <w:style w:type="paragraph" w:customStyle="1" w:styleId="53">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54">
    <w:name w:val="样式1"/>
    <w:basedOn w:val="4"/>
    <w:qFormat/>
    <w:uiPriority w:val="0"/>
    <w:pPr>
      <w:tabs>
        <w:tab w:val="left" w:pos="425"/>
      </w:tabs>
      <w:spacing w:beforeLines="50" w:line="240" w:lineRule="auto"/>
      <w:jc w:val="center"/>
    </w:pPr>
    <w:rPr>
      <w:rFonts w:ascii="宋体" w:hAnsi="宋体"/>
      <w:sz w:val="21"/>
      <w:szCs w:val="36"/>
    </w:rPr>
  </w:style>
  <w:style w:type="paragraph" w:customStyle="1" w:styleId="55">
    <w:name w:val="正文，段落，小四，22磅行距"/>
    <w:basedOn w:val="1"/>
    <w:qFormat/>
    <w:uiPriority w:val="0"/>
    <w:pPr>
      <w:spacing w:line="440" w:lineRule="exact"/>
      <w:ind w:firstLine="420"/>
    </w:pPr>
    <w:rPr>
      <w:kern w:val="0"/>
      <w:sz w:val="24"/>
      <w:szCs w:val="24"/>
    </w:rPr>
  </w:style>
  <w:style w:type="paragraph" w:customStyle="1" w:styleId="56">
    <w:name w:val="列出段落2"/>
    <w:basedOn w:val="1"/>
    <w:qFormat/>
    <w:uiPriority w:val="34"/>
    <w:pPr>
      <w:widowControl/>
      <w:ind w:firstLine="420" w:firstLineChars="200"/>
      <w:jc w:val="left"/>
    </w:pPr>
    <w:rPr>
      <w:rFonts w:eastAsia="微软雅黑"/>
      <w:szCs w:val="20"/>
    </w:rPr>
  </w:style>
  <w:style w:type="paragraph" w:customStyle="1" w:styleId="57">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58">
    <w:name w:val="偏离表"/>
    <w:basedOn w:val="1"/>
    <w:qFormat/>
    <w:uiPriority w:val="0"/>
    <w:pPr>
      <w:jc w:val="center"/>
    </w:pPr>
    <w:rPr>
      <w:sz w:val="18"/>
    </w:rPr>
  </w:style>
  <w:style w:type="paragraph" w:customStyle="1" w:styleId="59">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表内文字"/>
    <w:basedOn w:val="1"/>
    <w:qFormat/>
    <w:uiPriority w:val="0"/>
    <w:pPr>
      <w:tabs>
        <w:tab w:val="left" w:pos="1418"/>
      </w:tabs>
      <w:spacing w:line="360" w:lineRule="auto"/>
      <w:jc w:val="center"/>
    </w:pPr>
    <w:rPr>
      <w:rFonts w:hint="eastAsia" w:ascii="FangSong_GB2312" w:eastAsia="FangSong_GB2312"/>
      <w:spacing w:val="-20"/>
      <w:kern w:val="0"/>
      <w:sz w:val="24"/>
    </w:rPr>
  </w:style>
  <w:style w:type="paragraph" w:customStyle="1" w:styleId="61">
    <w:name w:val="默认段落字体 Para Char Char Char Char Char Char Char Char Char1 Char Char Char Char"/>
    <w:basedOn w:val="1"/>
    <w:qFormat/>
    <w:uiPriority w:val="99"/>
    <w:rPr>
      <w:rFonts w:ascii="Tahoma" w:hAnsi="Tahoma" w:cs="Tahoma"/>
      <w:sz w:val="24"/>
      <w:szCs w:val="24"/>
    </w:rPr>
  </w:style>
  <w:style w:type="paragraph" w:customStyle="1" w:styleId="62">
    <w:name w:val="列出段落1"/>
    <w:basedOn w:val="1"/>
    <w:qFormat/>
    <w:uiPriority w:val="99"/>
    <w:pPr>
      <w:ind w:firstLine="420" w:firstLineChars="200"/>
    </w:pPr>
  </w:style>
  <w:style w:type="paragraph" w:customStyle="1" w:styleId="63">
    <w:name w:val="首行缩进"/>
    <w:basedOn w:val="1"/>
    <w:qFormat/>
    <w:uiPriority w:val="0"/>
    <w:pPr>
      <w:spacing w:line="360" w:lineRule="auto"/>
      <w:ind w:firstLine="420"/>
    </w:pPr>
    <w:rPr>
      <w:rFonts w:cs="宋体"/>
      <w:szCs w:val="20"/>
    </w:rPr>
  </w:style>
  <w:style w:type="paragraph" w:customStyle="1" w:styleId="64">
    <w:name w:val="纯文本2"/>
    <w:basedOn w:val="65"/>
    <w:qFormat/>
    <w:uiPriority w:val="0"/>
    <w:pPr>
      <w:widowControl/>
      <w:jc w:val="left"/>
    </w:pPr>
    <w:rPr>
      <w:rFonts w:ascii="宋体" w:hAnsi="Courier New"/>
    </w:rPr>
  </w:style>
  <w:style w:type="paragraph" w:customStyle="1" w:styleId="65">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67">
    <w:name w:val="Plain Text1"/>
    <w:basedOn w:val="68"/>
    <w:qFormat/>
    <w:uiPriority w:val="0"/>
    <w:pPr>
      <w:adjustRightInd w:val="0"/>
    </w:pPr>
    <w:rPr>
      <w:rFonts w:hint="eastAsia" w:ascii="宋体" w:hAnsi="Courier New" w:eastAsia="KaiTi_GB2312"/>
      <w:sz w:val="28"/>
    </w:rPr>
  </w:style>
  <w:style w:type="paragraph" w:customStyle="1" w:styleId="68">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文字3"/>
    <w:basedOn w:val="3"/>
    <w:qFormat/>
    <w:uiPriority w:val="0"/>
    <w:pPr>
      <w:spacing w:after="0"/>
    </w:pPr>
  </w:style>
  <w:style w:type="paragraph" w:customStyle="1" w:styleId="70">
    <w:name w:val="xl25"/>
    <w:basedOn w:val="1"/>
    <w:qFormat/>
    <w:uiPriority w:val="0"/>
    <w:pPr>
      <w:widowControl/>
      <w:spacing w:before="100" w:beforeAutospacing="1" w:after="100" w:afterAutospacing="1"/>
      <w:jc w:val="center"/>
      <w:textAlignment w:val="center"/>
    </w:pPr>
    <w:rPr>
      <w:rFonts w:hint="eastAsia" w:ascii="KaiTi_GB2312" w:hAnsi="宋体" w:eastAsia="KaiTi_GB2312"/>
      <w:kern w:val="0"/>
      <w:sz w:val="24"/>
    </w:rPr>
  </w:style>
  <w:style w:type="paragraph" w:customStyle="1" w:styleId="71">
    <w:name w:val="正文文本 21"/>
    <w:basedOn w:val="1"/>
    <w:qFormat/>
    <w:uiPriority w:val="0"/>
    <w:pPr>
      <w:adjustRightInd w:val="0"/>
      <w:spacing w:line="300" w:lineRule="auto"/>
      <w:jc w:val="center"/>
    </w:pPr>
    <w:rPr>
      <w:rFonts w:ascii="宋体" w:hAnsi="宋体"/>
      <w:sz w:val="24"/>
    </w:rPr>
  </w:style>
  <w:style w:type="paragraph" w:customStyle="1" w:styleId="72">
    <w:name w:val="Body text|3"/>
    <w:basedOn w:val="1"/>
    <w:qFormat/>
    <w:uiPriority w:val="0"/>
    <w:pPr>
      <w:spacing w:after="380"/>
      <w:jc w:val="center"/>
    </w:pPr>
    <w:rPr>
      <w:rFonts w:ascii="宋体" w:hAnsi="宋体" w:cs="宋体"/>
      <w:sz w:val="26"/>
      <w:szCs w:val="26"/>
      <w:lang w:val="zh-TW" w:eastAsia="zh-TW" w:bidi="zh-TW"/>
    </w:rPr>
  </w:style>
  <w:style w:type="paragraph" w:customStyle="1" w:styleId="73">
    <w:name w:val="Body text|1"/>
    <w:basedOn w:val="1"/>
    <w:qFormat/>
    <w:uiPriority w:val="0"/>
    <w:pPr>
      <w:spacing w:line="360" w:lineRule="auto"/>
      <w:ind w:firstLine="400"/>
    </w:pPr>
    <w:rPr>
      <w:rFonts w:ascii="宋体" w:hAnsi="宋体" w:cs="宋体"/>
      <w:sz w:val="22"/>
      <w:lang w:val="zh-TW" w:eastAsia="zh-TW" w:bidi="zh-TW"/>
    </w:rPr>
  </w:style>
  <w:style w:type="character" w:customStyle="1" w:styleId="74">
    <w:name w:val="Comment Text Char"/>
    <w:link w:val="11"/>
    <w:qFormat/>
    <w:uiPriority w:val="0"/>
    <w:rPr>
      <w:rFonts w:ascii="Times New Roman" w:hAnsi="Times New Roman" w:eastAsia="宋体" w:cs="Times New Roman"/>
      <w:kern w:val="2"/>
      <w:sz w:val="21"/>
      <w:szCs w:val="22"/>
    </w:rPr>
  </w:style>
  <w:style w:type="character" w:customStyle="1" w:styleId="75">
    <w:name w:val="font11"/>
    <w:basedOn w:val="35"/>
    <w:qFormat/>
    <w:uiPriority w:val="0"/>
    <w:rPr>
      <w:rFonts w:hint="default" w:ascii="FangSong_GB2312" w:eastAsia="FangSong_GB2312" w:cs="FangSong_GB2312"/>
      <w:color w:val="000000"/>
      <w:sz w:val="24"/>
      <w:szCs w:val="24"/>
      <w:u w:val="none"/>
    </w:rPr>
  </w:style>
  <w:style w:type="character" w:customStyle="1" w:styleId="76">
    <w:name w:val="Plain Text Char"/>
    <w:link w:val="17"/>
    <w:qFormat/>
    <w:uiPriority w:val="0"/>
    <w:rPr>
      <w:rFonts w:ascii="宋体" w:hAnsi="Courier New"/>
      <w:kern w:val="2"/>
      <w:sz w:val="24"/>
      <w:szCs w:val="22"/>
    </w:rPr>
  </w:style>
  <w:style w:type="character" w:customStyle="1" w:styleId="77">
    <w:name w:val="Balloon Text Char"/>
    <w:link w:val="20"/>
    <w:qFormat/>
    <w:uiPriority w:val="0"/>
    <w:rPr>
      <w:kern w:val="2"/>
      <w:sz w:val="18"/>
      <w:szCs w:val="18"/>
    </w:rPr>
  </w:style>
  <w:style w:type="character" w:customStyle="1" w:styleId="78">
    <w:name w:val="Comment Subject Char"/>
    <w:basedOn w:val="74"/>
    <w:link w:val="31"/>
    <w:qFormat/>
    <w:uiPriority w:val="0"/>
    <w:rPr>
      <w:rFonts w:ascii="Times New Roman" w:hAnsi="Times New Roman" w:eastAsia="宋体" w:cs="Times New Roman"/>
      <w:kern w:val="2"/>
      <w:sz w:val="21"/>
      <w:szCs w:val="22"/>
    </w:rPr>
  </w:style>
  <w:style w:type="character" w:customStyle="1" w:styleId="79">
    <w:name w:val="Footnote Text Char"/>
    <w:basedOn w:val="35"/>
    <w:link w:val="27"/>
    <w:qFormat/>
    <w:uiPriority w:val="99"/>
    <w:rPr>
      <w:rFonts w:ascii="Calibri" w:hAnsi="Calibri"/>
      <w:kern w:val="2"/>
      <w:sz w:val="18"/>
      <w:szCs w:val="22"/>
    </w:rPr>
  </w:style>
  <w:style w:type="character" w:customStyle="1" w:styleId="80">
    <w:name w:val="Body Text Indent Char"/>
    <w:basedOn w:val="35"/>
    <w:link w:val="12"/>
    <w:qFormat/>
    <w:uiPriority w:val="0"/>
    <w:rPr>
      <w:rFonts w:hint="default" w:ascii="Calibri" w:hAnsi="Calibri" w:cs="Calibri"/>
      <w:kern w:val="2"/>
      <w:sz w:val="21"/>
      <w:szCs w:val="22"/>
    </w:rPr>
  </w:style>
  <w:style w:type="character" w:customStyle="1" w:styleId="81">
    <w:name w:val="bookmark-item"/>
    <w:basedOn w:val="35"/>
    <w:qFormat/>
    <w:uiPriority w:val="0"/>
  </w:style>
  <w:style w:type="paragraph" w:styleId="82">
    <w:name w:val="List Paragraph"/>
    <w:basedOn w:val="1"/>
    <w:qFormat/>
    <w:uiPriority w:val="34"/>
    <w:pPr>
      <w:ind w:firstLine="420" w:firstLineChars="200"/>
    </w:pPr>
  </w:style>
  <w:style w:type="character" w:customStyle="1" w:styleId="83">
    <w:name w:val="NormalCharacter"/>
    <w:semiHidden/>
    <w:qFormat/>
    <w:uiPriority w:val="0"/>
  </w:style>
  <w:style w:type="paragraph" w:customStyle="1" w:styleId="84">
    <w:name w:val="BodyText1I2"/>
    <w:basedOn w:val="85"/>
    <w:qFormat/>
    <w:uiPriority w:val="0"/>
    <w:pPr>
      <w:ind w:firstLine="420" w:firstLineChars="200"/>
    </w:pPr>
  </w:style>
  <w:style w:type="paragraph" w:customStyle="1" w:styleId="85">
    <w:name w:val="BodyTextIndent"/>
    <w:basedOn w:val="1"/>
    <w:qFormat/>
    <w:uiPriority w:val="0"/>
    <w:pPr>
      <w:spacing w:after="120"/>
      <w:ind w:left="420" w:leftChars="200"/>
    </w:pPr>
  </w:style>
  <w:style w:type="paragraph" w:styleId="8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87">
    <w:name w:val="正文正"/>
    <w:basedOn w:val="1"/>
    <w:qFormat/>
    <w:uiPriority w:val="0"/>
    <w:pPr>
      <w:spacing w:line="560" w:lineRule="exact"/>
      <w:ind w:firstLine="561"/>
    </w:pPr>
    <w:rPr>
      <w:sz w:val="28"/>
      <w:szCs w:val="28"/>
    </w:rPr>
  </w:style>
  <w:style w:type="paragraph" w:customStyle="1" w:styleId="88">
    <w:name w:val="UserStyle_8"/>
    <w:qFormat/>
    <w:uiPriority w:val="99"/>
    <w:pPr>
      <w:jc w:val="both"/>
      <w:textAlignment w:val="baseline"/>
    </w:pPr>
    <w:rPr>
      <w:rFonts w:ascii="Calibri" w:hAnsi="Calibri" w:eastAsia="宋体" w:cs="Times New Roman"/>
      <w:kern w:val="2"/>
      <w:sz w:val="21"/>
      <w:szCs w:val="24"/>
      <w:lang w:val="en-US" w:eastAsia="zh-CN" w:bidi="ar-SA"/>
    </w:rPr>
  </w:style>
  <w:style w:type="character" w:customStyle="1" w:styleId="89">
    <w:name w:val="apple-converted-space"/>
    <w:qFormat/>
    <w:uiPriority w:val="0"/>
    <w:rPr>
      <w:rFonts w:ascii="Times New Roman" w:hAnsi="Times New Roman" w:eastAsia="宋体" w:cs="Times New Roman"/>
    </w:rPr>
  </w:style>
  <w:style w:type="character" w:customStyle="1" w:styleId="90">
    <w:name w:val="font21"/>
    <w:basedOn w:val="35"/>
    <w:qFormat/>
    <w:uiPriority w:val="0"/>
    <w:rPr>
      <w:rFonts w:hint="eastAsia" w:ascii="宋体" w:hAnsi="宋体" w:eastAsia="宋体" w:cs="宋体"/>
      <w:color w:val="000000"/>
      <w:sz w:val="21"/>
      <w:szCs w:val="21"/>
      <w:u w:val="none"/>
    </w:rPr>
  </w:style>
  <w:style w:type="character" w:customStyle="1" w:styleId="91">
    <w:name w:val="font41"/>
    <w:basedOn w:val="35"/>
    <w:qFormat/>
    <w:uiPriority w:val="0"/>
    <w:rPr>
      <w:rFonts w:hint="eastAsia" w:ascii="宋体" w:hAnsi="宋体" w:eastAsia="宋体" w:cs="宋体"/>
      <w:color w:val="FF0000"/>
      <w:sz w:val="20"/>
      <w:szCs w:val="20"/>
      <w:u w:val="none"/>
    </w:rPr>
  </w:style>
  <w:style w:type="character" w:customStyle="1" w:styleId="92">
    <w:name w:val="font31"/>
    <w:basedOn w:val="35"/>
    <w:qFormat/>
    <w:uiPriority w:val="0"/>
    <w:rPr>
      <w:rFonts w:hint="eastAsia" w:ascii="宋体" w:hAnsi="宋体" w:eastAsia="宋体" w:cs="宋体"/>
      <w:b/>
      <w:bCs/>
      <w:color w:val="000000"/>
      <w:sz w:val="22"/>
      <w:szCs w:val="22"/>
      <w:u w:val="none"/>
    </w:rPr>
  </w:style>
  <w:style w:type="paragraph" w:customStyle="1" w:styleId="93">
    <w:name w:val="_Style 1"/>
    <w:basedOn w:val="1"/>
    <w:qFormat/>
    <w:uiPriority w:val="34"/>
    <w:pPr>
      <w:widowControl/>
      <w:spacing w:before="100" w:beforeAutospacing="1" w:after="100" w:afterAutospacing="1" w:line="360" w:lineRule="auto"/>
      <w:ind w:left="57" w:firstLine="420" w:firstLineChars="200"/>
      <w:jc w:val="left"/>
    </w:pPr>
    <w:rPr>
      <w:rFonts w:ascii="Arial" w:hAnsi="Arial" w:cs="Arial"/>
      <w:bCs/>
      <w:iCs/>
      <w:kern w:val="0"/>
      <w:sz w:val="18"/>
      <w:szCs w:val="28"/>
    </w:rPr>
  </w:style>
  <w:style w:type="character" w:customStyle="1" w:styleId="94">
    <w:name w:val="font81"/>
    <w:basedOn w:val="35"/>
    <w:qFormat/>
    <w:uiPriority w:val="0"/>
    <w:rPr>
      <w:rFonts w:hint="default" w:ascii="FangSong_GB2312" w:eastAsia="FangSong_GB2312" w:cs="FangSong_GB2312"/>
      <w:color w:val="000000"/>
      <w:sz w:val="22"/>
      <w:szCs w:val="22"/>
      <w:u w:val="none"/>
    </w:rPr>
  </w:style>
  <w:style w:type="paragraph" w:customStyle="1" w:styleId="95">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96">
    <w:name w:val="font121"/>
    <w:basedOn w:val="35"/>
    <w:qFormat/>
    <w:uiPriority w:val="0"/>
    <w:rPr>
      <w:rFonts w:hint="eastAsia" w:ascii="微软雅黑" w:hAnsi="微软雅黑" w:eastAsia="微软雅黑" w:cs="微软雅黑"/>
      <w:color w:val="000000"/>
      <w:sz w:val="18"/>
      <w:szCs w:val="18"/>
      <w:u w:val="none"/>
    </w:rPr>
  </w:style>
  <w:style w:type="table" w:customStyle="1" w:styleId="97">
    <w:name w:val="Table Normal1"/>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9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paragraph" w:customStyle="1" w:styleId="99">
    <w:name w:val="WPSOffice手动目录 1"/>
    <w:qFormat/>
    <w:uiPriority w:val="0"/>
    <w:rPr>
      <w:rFonts w:ascii="Times New Roman" w:hAnsi="Times New Roman" w:eastAsia="宋体" w:cs="Times New Roman"/>
      <w:lang w:val="en-US" w:eastAsia="zh-CN" w:bidi="ar-SA"/>
    </w:rPr>
  </w:style>
  <w:style w:type="paragraph" w:customStyle="1" w:styleId="10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1">
    <w:name w:val="font16"/>
    <w:basedOn w:val="35"/>
    <w:qFormat/>
    <w:uiPriority w:val="0"/>
    <w:rPr>
      <w:rFonts w:hint="eastAsia" w:ascii="宋体" w:hAnsi="宋体" w:eastAsia="宋体" w:cs="宋体"/>
      <w:color w:val="000000"/>
      <w:sz w:val="22"/>
      <w:szCs w:val="22"/>
      <w:u w:val="none"/>
    </w:rPr>
  </w:style>
  <w:style w:type="paragraph" w:customStyle="1" w:styleId="102">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3">
    <w:name w:val="p0"/>
    <w:basedOn w:val="1"/>
    <w:qFormat/>
    <w:uiPriority w:val="0"/>
    <w:rPr>
      <w:rFonts w:cs="宋体"/>
      <w:szCs w:val="21"/>
    </w:rPr>
  </w:style>
  <w:style w:type="character" w:customStyle="1" w:styleId="104">
    <w:name w:val="font51"/>
    <w:basedOn w:val="35"/>
    <w:qFormat/>
    <w:uiPriority w:val="0"/>
    <w:rPr>
      <w:rFonts w:hint="eastAsia" w:ascii="宋体" w:hAnsi="宋体" w:eastAsia="宋体" w:cs="宋体"/>
      <w:color w:val="000000"/>
      <w:sz w:val="22"/>
      <w:szCs w:val="22"/>
      <w:u w:val="none"/>
    </w:rPr>
  </w:style>
  <w:style w:type="character" w:customStyle="1" w:styleId="105">
    <w:name w:val="font71"/>
    <w:basedOn w:val="35"/>
    <w:qFormat/>
    <w:uiPriority w:val="0"/>
    <w:rPr>
      <w:rFonts w:hint="eastAsia" w:ascii="宋体" w:hAnsi="宋体" w:eastAsia="宋体" w:cs="宋体"/>
      <w:strike/>
      <w:color w:val="000000"/>
      <w:sz w:val="22"/>
      <w:szCs w:val="22"/>
    </w:rPr>
  </w:style>
  <w:style w:type="character" w:customStyle="1" w:styleId="106">
    <w:name w:val="font91"/>
    <w:basedOn w:val="35"/>
    <w:qFormat/>
    <w:uiPriority w:val="0"/>
    <w:rPr>
      <w:rFonts w:hint="eastAsia" w:ascii="宋体" w:hAnsi="宋体" w:eastAsia="宋体" w:cs="宋体"/>
      <w:color w:val="000000"/>
      <w:sz w:val="22"/>
      <w:szCs w:val="22"/>
      <w:u w:val="none"/>
    </w:rPr>
  </w:style>
  <w:style w:type="table" w:customStyle="1" w:styleId="107">
    <w:name w:val="网格型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73</Pages>
  <Words>15118</Words>
  <Characters>16041</Characters>
  <Lines>390</Lines>
  <Paragraphs>110</Paragraphs>
  <TotalTime>0</TotalTime>
  <ScaleCrop>false</ScaleCrop>
  <LinksUpToDate>false</LinksUpToDate>
  <CharactersWithSpaces>16231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2025-05-21T06:33:00Z</dcterms:created>
  <dc:creator>Administrator</dc:creator>
  <cp:lastModifiedBy>博文</cp:lastModifiedBy>
  <cp:lastPrinted>2025-04-09T01:53:00Z</cp:lastPrinted>
  <dcterms:modified xsi:type="dcterms:W3CDTF">2025-06-13T01:47:26Z</dcterms:modified>
  <dc:title>浙江省政府(分散)采购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53F13493AF9340D98780CB8983F24D17_13</vt:lpwstr>
  </property>
  <property fmtid="{D5CDD505-2E9C-101B-9397-08002B2CF9AE}" pid="4" name="commondata">
    <vt:lpwstr>eyJoZGlkIjoiYjQ5YWNlMDcxZGY3YmQzNTllNDAxMWNmYzg3NWNlNTUifQ==</vt:lpwstr>
  </property>
  <property fmtid="{D5CDD505-2E9C-101B-9397-08002B2CF9AE}" pid="5" name="KSOTemplateDocerSaveRecord">
    <vt:lpwstr>eyJoZGlkIjoiMzM5MWJhYWQ4M2M4N2RhMTM0YTg1OGJjZWZmNjAxODIiLCJ1c2VySWQiOiI4OTY0OTM2NzUifQ==</vt:lpwstr>
  </property>
</Properties>
</file>