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E8F7">
      <w:pPr>
        <w:spacing w:line="360" w:lineRule="auto"/>
        <w:jc w:val="center"/>
        <w:rPr>
          <w:rFonts w:hint="eastAsia" w:ascii="仿宋" w:hAnsi="仿宋" w:cs="仿宋"/>
          <w:b/>
          <w:color w:val="auto"/>
          <w:highlight w:val="none"/>
        </w:rPr>
      </w:pPr>
    </w:p>
    <w:p w14:paraId="33B689AB">
      <w:pPr>
        <w:adjustRightInd/>
        <w:spacing w:line="360" w:lineRule="auto"/>
        <w:rPr>
          <w:rFonts w:hint="eastAsia" w:ascii="仿宋" w:hAnsi="仿宋" w:cs="仿宋"/>
          <w:b/>
          <w:color w:val="auto"/>
          <w:sz w:val="48"/>
          <w:szCs w:val="48"/>
          <w:highlight w:val="none"/>
        </w:rPr>
      </w:pPr>
    </w:p>
    <w:p w14:paraId="30163904">
      <w:pPr>
        <w:adjustRightInd/>
        <w:spacing w:line="360" w:lineRule="auto"/>
        <w:jc w:val="center"/>
        <w:rPr>
          <w:rFonts w:hint="eastAsia" w:ascii="仿宋" w:hAnsi="仿宋" w:cs="仿宋"/>
          <w:color w:val="auto"/>
          <w:spacing w:val="40"/>
          <w:w w:val="80"/>
          <w:sz w:val="96"/>
          <w:szCs w:val="96"/>
          <w:highlight w:val="none"/>
          <w:lang w:bidi="th-TH"/>
        </w:rPr>
      </w:pPr>
      <w:r>
        <w:rPr>
          <w:rFonts w:hint="eastAsia" w:ascii="仿宋" w:hAnsi="仿宋" w:cs="仿宋"/>
          <w:b/>
          <w:bCs/>
          <w:color w:val="auto"/>
          <w:w w:val="80"/>
          <w:sz w:val="48"/>
          <w:szCs w:val="48"/>
          <w:highlight w:val="none"/>
          <w:lang w:bidi="th-TH"/>
        </w:rPr>
        <w:t>杭州市萧山区海塘安澜工程（七甲船闸至赭山湾闸段海塘—省管段）项目建议书及堤脚冲刷研究</w:t>
      </w:r>
    </w:p>
    <w:p w14:paraId="2EE00CC7">
      <w:pPr>
        <w:adjustRightInd/>
        <w:spacing w:line="360" w:lineRule="auto"/>
        <w:jc w:val="center"/>
        <w:rPr>
          <w:rFonts w:hint="eastAsia" w:ascii="仿宋" w:hAnsi="仿宋" w:cs="仿宋"/>
          <w:color w:val="auto"/>
          <w:spacing w:val="40"/>
          <w:w w:val="80"/>
          <w:sz w:val="96"/>
          <w:szCs w:val="96"/>
          <w:highlight w:val="none"/>
          <w:lang w:bidi="th-TH"/>
        </w:rPr>
      </w:pPr>
    </w:p>
    <w:p w14:paraId="294BA2F5">
      <w:pPr>
        <w:adjustRightInd/>
        <w:spacing w:line="360" w:lineRule="auto"/>
        <w:jc w:val="center"/>
        <w:rPr>
          <w:rFonts w:hint="eastAsia" w:ascii="仿宋" w:hAnsi="仿宋" w:cs="仿宋"/>
          <w:color w:val="auto"/>
          <w:sz w:val="48"/>
          <w:szCs w:val="48"/>
          <w:highlight w:val="none"/>
        </w:rPr>
      </w:pPr>
      <w:r>
        <w:rPr>
          <w:rFonts w:hint="eastAsia" w:ascii="仿宋" w:hAnsi="仿宋" w:cs="仿宋"/>
          <w:color w:val="auto"/>
          <w:spacing w:val="40"/>
          <w:w w:val="80"/>
          <w:sz w:val="96"/>
          <w:szCs w:val="96"/>
          <w:highlight w:val="none"/>
          <w:lang w:bidi="th-TH"/>
        </w:rPr>
        <w:t>招 标 文 件</w:t>
      </w:r>
    </w:p>
    <w:p w14:paraId="5725F0C8">
      <w:pPr>
        <w:adjustRightInd/>
        <w:spacing w:line="360" w:lineRule="auto"/>
        <w:jc w:val="center"/>
        <w:rPr>
          <w:rFonts w:hint="eastAsia" w:ascii="仿宋" w:hAnsi="仿宋" w:cs="仿宋"/>
          <w:color w:val="auto"/>
          <w:w w:val="80"/>
          <w:sz w:val="48"/>
          <w:szCs w:val="48"/>
          <w:highlight w:val="none"/>
          <w:lang w:bidi="th-TH"/>
        </w:rPr>
      </w:pPr>
      <w:r>
        <w:rPr>
          <w:rFonts w:hint="eastAsia" w:ascii="仿宋" w:hAnsi="仿宋" w:cs="仿宋"/>
          <w:color w:val="auto"/>
          <w:w w:val="80"/>
          <w:sz w:val="48"/>
          <w:szCs w:val="48"/>
          <w:highlight w:val="none"/>
          <w:lang w:bidi="th-TH"/>
        </w:rPr>
        <w:t>（电子招投标）</w:t>
      </w:r>
    </w:p>
    <w:p w14:paraId="1D49788F">
      <w:pPr>
        <w:adjustRightInd/>
        <w:spacing w:line="360" w:lineRule="auto"/>
        <w:jc w:val="center"/>
        <w:rPr>
          <w:rFonts w:hint="eastAsia" w:ascii="仿宋" w:hAnsi="仿宋" w:cs="仿宋"/>
          <w:color w:val="auto"/>
          <w:w w:val="80"/>
          <w:sz w:val="30"/>
          <w:szCs w:val="30"/>
          <w:highlight w:val="none"/>
          <w:lang w:bidi="th-TH"/>
        </w:rPr>
      </w:pPr>
      <w:r>
        <w:rPr>
          <w:rFonts w:hint="eastAsia" w:ascii="仿宋" w:hAnsi="仿宋" w:cs="仿宋"/>
          <w:color w:val="auto"/>
          <w:w w:val="80"/>
          <w:sz w:val="30"/>
          <w:szCs w:val="30"/>
          <w:highlight w:val="none"/>
          <w:lang w:bidi="th-TH"/>
        </w:rPr>
        <w:t>项目编号:ZJZJ20250221</w:t>
      </w:r>
    </w:p>
    <w:p w14:paraId="3A9D5E94">
      <w:pPr>
        <w:spacing w:line="360" w:lineRule="auto"/>
        <w:rPr>
          <w:rFonts w:hint="eastAsia" w:ascii="仿宋" w:hAnsi="仿宋" w:cs="仿宋"/>
          <w:b/>
          <w:color w:val="auto"/>
          <w:sz w:val="44"/>
          <w:szCs w:val="44"/>
          <w:highlight w:val="none"/>
        </w:rPr>
      </w:pPr>
    </w:p>
    <w:p w14:paraId="594F4309">
      <w:pPr>
        <w:rPr>
          <w:rFonts w:hint="eastAsia" w:ascii="仿宋" w:hAnsi="仿宋" w:cs="仿宋"/>
          <w:color w:val="auto"/>
          <w:highlight w:val="none"/>
        </w:rPr>
      </w:pPr>
    </w:p>
    <w:p w14:paraId="21F6BF31">
      <w:pPr>
        <w:rPr>
          <w:rFonts w:hint="eastAsia" w:ascii="仿宋" w:hAnsi="仿宋" w:cs="仿宋"/>
          <w:color w:val="auto"/>
          <w:highlight w:val="none"/>
        </w:rPr>
      </w:pPr>
    </w:p>
    <w:tbl>
      <w:tblPr>
        <w:tblStyle w:val="62"/>
        <w:tblW w:w="7321" w:type="dxa"/>
        <w:jc w:val="center"/>
        <w:tblLayout w:type="fixed"/>
        <w:tblCellMar>
          <w:top w:w="0" w:type="dxa"/>
          <w:left w:w="108" w:type="dxa"/>
          <w:bottom w:w="0" w:type="dxa"/>
          <w:right w:w="108" w:type="dxa"/>
        </w:tblCellMar>
      </w:tblPr>
      <w:tblGrid>
        <w:gridCol w:w="2032"/>
        <w:gridCol w:w="516"/>
        <w:gridCol w:w="4773"/>
      </w:tblGrid>
      <w:tr w14:paraId="4743C43D">
        <w:tblPrEx>
          <w:tblCellMar>
            <w:top w:w="0" w:type="dxa"/>
            <w:left w:w="108" w:type="dxa"/>
            <w:bottom w:w="0" w:type="dxa"/>
            <w:right w:w="108" w:type="dxa"/>
          </w:tblCellMar>
        </w:tblPrEx>
        <w:trPr>
          <w:trHeight w:val="680" w:hRule="atLeast"/>
          <w:jc w:val="center"/>
        </w:trPr>
        <w:tc>
          <w:tcPr>
            <w:tcW w:w="2032" w:type="dxa"/>
            <w:vAlign w:val="center"/>
          </w:tcPr>
          <w:p w14:paraId="7EABFD12">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采购人</w:t>
            </w:r>
          </w:p>
        </w:tc>
        <w:tc>
          <w:tcPr>
            <w:tcW w:w="516" w:type="dxa"/>
            <w:vAlign w:val="center"/>
          </w:tcPr>
          <w:p w14:paraId="6CBAE7AE">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w:t>
            </w:r>
          </w:p>
        </w:tc>
        <w:tc>
          <w:tcPr>
            <w:tcW w:w="4773" w:type="dxa"/>
            <w:vAlign w:val="center"/>
          </w:tcPr>
          <w:p w14:paraId="3470A9DF">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浙江省钱塘江流域中心</w:t>
            </w:r>
          </w:p>
        </w:tc>
      </w:tr>
      <w:tr w14:paraId="39EF1228">
        <w:tblPrEx>
          <w:tblCellMar>
            <w:top w:w="0" w:type="dxa"/>
            <w:left w:w="108" w:type="dxa"/>
            <w:bottom w:w="0" w:type="dxa"/>
            <w:right w:w="108" w:type="dxa"/>
          </w:tblCellMar>
        </w:tblPrEx>
        <w:trPr>
          <w:trHeight w:val="297" w:hRule="atLeast"/>
          <w:jc w:val="center"/>
        </w:trPr>
        <w:tc>
          <w:tcPr>
            <w:tcW w:w="2032" w:type="dxa"/>
            <w:vAlign w:val="center"/>
          </w:tcPr>
          <w:p w14:paraId="7B8198B0">
            <w:pPr>
              <w:jc w:val="left"/>
              <w:rPr>
                <w:rFonts w:hint="eastAsia" w:ascii="仿宋" w:hAnsi="仿宋" w:cs="仿宋"/>
                <w:color w:val="auto"/>
                <w:szCs w:val="21"/>
                <w:highlight w:val="none"/>
              </w:rPr>
            </w:pPr>
          </w:p>
        </w:tc>
        <w:tc>
          <w:tcPr>
            <w:tcW w:w="516" w:type="dxa"/>
            <w:vAlign w:val="center"/>
          </w:tcPr>
          <w:p w14:paraId="5A8B6471">
            <w:pPr>
              <w:jc w:val="left"/>
              <w:rPr>
                <w:rFonts w:hint="eastAsia" w:ascii="仿宋" w:hAnsi="仿宋" w:cs="仿宋"/>
                <w:color w:val="auto"/>
                <w:szCs w:val="21"/>
                <w:highlight w:val="none"/>
              </w:rPr>
            </w:pPr>
          </w:p>
        </w:tc>
        <w:tc>
          <w:tcPr>
            <w:tcW w:w="4773" w:type="dxa"/>
            <w:vAlign w:val="center"/>
          </w:tcPr>
          <w:p w14:paraId="3B0A583A">
            <w:pPr>
              <w:jc w:val="left"/>
              <w:rPr>
                <w:rFonts w:hint="eastAsia" w:ascii="仿宋" w:hAnsi="仿宋" w:cs="仿宋"/>
                <w:color w:val="auto"/>
                <w:szCs w:val="21"/>
                <w:highlight w:val="none"/>
              </w:rPr>
            </w:pPr>
          </w:p>
        </w:tc>
      </w:tr>
      <w:tr w14:paraId="17A83378">
        <w:tblPrEx>
          <w:tblCellMar>
            <w:top w:w="0" w:type="dxa"/>
            <w:left w:w="108" w:type="dxa"/>
            <w:bottom w:w="0" w:type="dxa"/>
            <w:right w:w="108" w:type="dxa"/>
          </w:tblCellMar>
        </w:tblPrEx>
        <w:trPr>
          <w:trHeight w:val="680" w:hRule="atLeast"/>
          <w:jc w:val="center"/>
        </w:trPr>
        <w:tc>
          <w:tcPr>
            <w:tcW w:w="2032" w:type="dxa"/>
            <w:vAlign w:val="center"/>
          </w:tcPr>
          <w:p w14:paraId="599C5B96">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采购代理机构</w:t>
            </w:r>
          </w:p>
        </w:tc>
        <w:tc>
          <w:tcPr>
            <w:tcW w:w="516" w:type="dxa"/>
            <w:vAlign w:val="center"/>
          </w:tcPr>
          <w:p w14:paraId="0F505418">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w:t>
            </w:r>
          </w:p>
        </w:tc>
        <w:tc>
          <w:tcPr>
            <w:tcW w:w="4773" w:type="dxa"/>
            <w:vAlign w:val="center"/>
          </w:tcPr>
          <w:p w14:paraId="507B25F5">
            <w:pPr>
              <w:jc w:val="left"/>
              <w:rPr>
                <w:rFonts w:hint="eastAsia" w:ascii="仿宋" w:hAnsi="仿宋" w:cs="仿宋"/>
                <w:color w:val="auto"/>
                <w:sz w:val="30"/>
                <w:szCs w:val="30"/>
                <w:highlight w:val="none"/>
              </w:rPr>
            </w:pPr>
            <w:r>
              <w:rPr>
                <w:rFonts w:hint="eastAsia" w:ascii="仿宋" w:hAnsi="仿宋" w:cs="仿宋"/>
                <w:color w:val="auto"/>
                <w:sz w:val="30"/>
                <w:szCs w:val="30"/>
                <w:highlight w:val="none"/>
              </w:rPr>
              <w:t>浙江中际工程项目管理有限公司</w:t>
            </w:r>
          </w:p>
        </w:tc>
      </w:tr>
      <w:tr w14:paraId="5FBFD306">
        <w:tblPrEx>
          <w:tblCellMar>
            <w:top w:w="0" w:type="dxa"/>
            <w:left w:w="108" w:type="dxa"/>
            <w:bottom w:w="0" w:type="dxa"/>
            <w:right w:w="108" w:type="dxa"/>
          </w:tblCellMar>
        </w:tblPrEx>
        <w:trPr>
          <w:trHeight w:val="680" w:hRule="atLeast"/>
          <w:jc w:val="center"/>
        </w:trPr>
        <w:tc>
          <w:tcPr>
            <w:tcW w:w="7321" w:type="dxa"/>
            <w:gridSpan w:val="3"/>
            <w:vAlign w:val="bottom"/>
          </w:tcPr>
          <w:p w14:paraId="642ADF96">
            <w:pPr>
              <w:jc w:val="center"/>
              <w:rPr>
                <w:rFonts w:hint="eastAsia" w:ascii="仿宋" w:hAnsi="仿宋" w:cs="仿宋"/>
                <w:color w:val="auto"/>
                <w:sz w:val="30"/>
                <w:szCs w:val="30"/>
                <w:highlight w:val="none"/>
              </w:rPr>
            </w:pPr>
            <w:r>
              <w:rPr>
                <w:rFonts w:hint="eastAsia" w:ascii="仿宋" w:hAnsi="仿宋" w:cs="仿宋"/>
                <w:color w:val="auto"/>
                <w:sz w:val="30"/>
                <w:szCs w:val="30"/>
                <w:highlight w:val="none"/>
              </w:rPr>
              <w:t>2025年0</w:t>
            </w:r>
            <w:r>
              <w:rPr>
                <w:rFonts w:hint="eastAsia" w:ascii="仿宋" w:hAnsi="仿宋" w:cs="仿宋"/>
                <w:color w:val="auto"/>
                <w:sz w:val="30"/>
                <w:szCs w:val="30"/>
                <w:highlight w:val="none"/>
                <w:lang w:val="en-US" w:eastAsia="zh-CN"/>
              </w:rPr>
              <w:t>6</w:t>
            </w:r>
            <w:r>
              <w:rPr>
                <w:rFonts w:hint="eastAsia" w:ascii="仿宋" w:hAnsi="仿宋" w:cs="仿宋"/>
                <w:color w:val="auto"/>
                <w:sz w:val="30"/>
                <w:szCs w:val="30"/>
                <w:highlight w:val="none"/>
              </w:rPr>
              <w:t>月</w:t>
            </w:r>
          </w:p>
        </w:tc>
      </w:tr>
    </w:tbl>
    <w:p w14:paraId="6A98087B">
      <w:pPr>
        <w:spacing w:line="360" w:lineRule="auto"/>
        <w:jc w:val="center"/>
        <w:rPr>
          <w:rFonts w:hint="eastAsia" w:ascii="仿宋" w:hAnsi="仿宋" w:cs="仿宋"/>
          <w:color w:val="auto"/>
          <w:highlight w:val="none"/>
        </w:rPr>
      </w:pPr>
    </w:p>
    <w:p w14:paraId="1F72AA80">
      <w:pPr>
        <w:rPr>
          <w:rFonts w:hint="eastAsia" w:ascii="仿宋" w:hAnsi="仿宋" w:cs="仿宋"/>
          <w:b/>
          <w:color w:val="auto"/>
          <w:sz w:val="48"/>
          <w:szCs w:val="48"/>
          <w:highlight w:val="none"/>
        </w:rPr>
      </w:pPr>
      <w:bookmarkStart w:id="0" w:name="_Hlt67893495"/>
      <w:bookmarkEnd w:id="0"/>
      <w:r>
        <w:rPr>
          <w:rFonts w:hint="eastAsia" w:ascii="仿宋" w:hAnsi="仿宋" w:cs="仿宋"/>
          <w:b/>
          <w:color w:val="auto"/>
          <w:sz w:val="48"/>
          <w:szCs w:val="48"/>
          <w:highlight w:val="none"/>
        </w:rPr>
        <w:br w:type="page"/>
      </w:r>
    </w:p>
    <w:p w14:paraId="2D32F09D">
      <w:pPr>
        <w:spacing w:line="360" w:lineRule="auto"/>
        <w:jc w:val="center"/>
        <w:rPr>
          <w:rFonts w:hint="eastAsia" w:ascii="仿宋" w:hAnsi="仿宋" w:cs="仿宋"/>
          <w:b/>
          <w:color w:val="auto"/>
          <w:sz w:val="48"/>
          <w:szCs w:val="48"/>
          <w:highlight w:val="none"/>
        </w:rPr>
      </w:pPr>
    </w:p>
    <w:p w14:paraId="2049F834">
      <w:pPr>
        <w:spacing w:line="360" w:lineRule="auto"/>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目录</w:t>
      </w:r>
    </w:p>
    <w:p w14:paraId="7A3583BA">
      <w:pPr>
        <w:spacing w:line="360" w:lineRule="auto"/>
        <w:rPr>
          <w:rFonts w:hint="eastAsia" w:ascii="仿宋" w:hAnsi="仿宋" w:cs="仿宋"/>
          <w:color w:val="auto"/>
          <w:sz w:val="32"/>
          <w:szCs w:val="32"/>
          <w:highlight w:val="none"/>
        </w:rPr>
      </w:pPr>
    </w:p>
    <w:p w14:paraId="78F92582">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第一部分  招标公告</w:t>
      </w:r>
    </w:p>
    <w:p w14:paraId="68EC08D5">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第二部分  投标人须知</w:t>
      </w:r>
    </w:p>
    <w:p w14:paraId="6DDE74F3">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第三部分  采购需求</w:t>
      </w:r>
    </w:p>
    <w:p w14:paraId="532DE967">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第四部分  评标办法</w:t>
      </w:r>
    </w:p>
    <w:p w14:paraId="555FE471">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第五部分  拟签订的合同文本</w:t>
      </w:r>
    </w:p>
    <w:p w14:paraId="38577CC1">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第六部分  应提交的有关格式范例</w:t>
      </w:r>
    </w:p>
    <w:p w14:paraId="0B326E1C">
      <w:pPr>
        <w:spacing w:line="360" w:lineRule="auto"/>
        <w:ind w:firstLine="549" w:firstLineChars="229"/>
        <w:rPr>
          <w:rFonts w:hint="eastAsia" w:ascii="仿宋" w:hAnsi="仿宋" w:cs="仿宋"/>
          <w:color w:val="auto"/>
          <w:highlight w:val="none"/>
        </w:rPr>
      </w:pPr>
      <w:bookmarkStart w:id="1" w:name="_Hlt91233176"/>
      <w:bookmarkEnd w:id="1"/>
      <w:bookmarkStart w:id="2" w:name="_Toc91899869"/>
    </w:p>
    <w:p w14:paraId="5DA1745F">
      <w:pPr>
        <w:spacing w:line="360" w:lineRule="auto"/>
        <w:ind w:firstLine="549" w:firstLineChars="229"/>
        <w:rPr>
          <w:rFonts w:hint="eastAsia" w:ascii="仿宋" w:hAnsi="仿宋" w:cs="仿宋"/>
          <w:color w:val="auto"/>
          <w:highlight w:val="none"/>
        </w:rPr>
      </w:pPr>
    </w:p>
    <w:p w14:paraId="6863F7BD">
      <w:pPr>
        <w:spacing w:line="360" w:lineRule="auto"/>
        <w:ind w:firstLine="549" w:firstLineChars="229"/>
        <w:rPr>
          <w:rFonts w:hint="eastAsia" w:ascii="仿宋" w:hAnsi="仿宋" w:cs="仿宋"/>
          <w:color w:val="auto"/>
          <w:highlight w:val="none"/>
        </w:rPr>
      </w:pPr>
    </w:p>
    <w:p w14:paraId="4CE4857A">
      <w:pPr>
        <w:spacing w:line="360" w:lineRule="auto"/>
        <w:ind w:firstLine="549" w:firstLineChars="229"/>
        <w:rPr>
          <w:rFonts w:hint="eastAsia" w:ascii="仿宋" w:hAnsi="仿宋" w:cs="仿宋"/>
          <w:color w:val="auto"/>
          <w:highlight w:val="none"/>
        </w:rPr>
      </w:pPr>
    </w:p>
    <w:p w14:paraId="1926A116">
      <w:pPr>
        <w:spacing w:line="360" w:lineRule="auto"/>
        <w:ind w:firstLine="549" w:firstLineChars="229"/>
        <w:rPr>
          <w:rFonts w:hint="eastAsia" w:ascii="仿宋" w:hAnsi="仿宋" w:cs="仿宋"/>
          <w:color w:val="auto"/>
          <w:highlight w:val="none"/>
        </w:rPr>
      </w:pPr>
    </w:p>
    <w:p w14:paraId="2567F6AD">
      <w:pPr>
        <w:spacing w:line="360" w:lineRule="auto"/>
        <w:ind w:firstLine="549" w:firstLineChars="229"/>
        <w:rPr>
          <w:rFonts w:hint="eastAsia" w:ascii="仿宋" w:hAnsi="仿宋" w:cs="仿宋"/>
          <w:color w:val="auto"/>
          <w:highlight w:val="none"/>
        </w:rPr>
      </w:pPr>
    </w:p>
    <w:p w14:paraId="57996832">
      <w:pPr>
        <w:spacing w:line="360" w:lineRule="auto"/>
        <w:ind w:firstLine="549" w:firstLineChars="229"/>
        <w:rPr>
          <w:rFonts w:hint="eastAsia" w:ascii="仿宋" w:hAnsi="仿宋" w:cs="仿宋"/>
          <w:color w:val="auto"/>
          <w:highlight w:val="none"/>
        </w:rPr>
      </w:pPr>
    </w:p>
    <w:p w14:paraId="4202FA4C">
      <w:pPr>
        <w:spacing w:line="360" w:lineRule="auto"/>
        <w:ind w:firstLine="549" w:firstLineChars="229"/>
        <w:rPr>
          <w:rFonts w:hint="eastAsia" w:ascii="仿宋" w:hAnsi="仿宋" w:cs="仿宋"/>
          <w:color w:val="auto"/>
          <w:highlight w:val="none"/>
        </w:rPr>
      </w:pPr>
    </w:p>
    <w:p w14:paraId="50913402">
      <w:pPr>
        <w:spacing w:line="360" w:lineRule="auto"/>
        <w:ind w:firstLine="549" w:firstLineChars="229"/>
        <w:rPr>
          <w:rFonts w:hint="eastAsia" w:ascii="仿宋" w:hAnsi="仿宋" w:cs="仿宋"/>
          <w:color w:val="auto"/>
          <w:highlight w:val="none"/>
        </w:rPr>
      </w:pPr>
    </w:p>
    <w:p w14:paraId="3EC9C3F6">
      <w:pPr>
        <w:spacing w:line="360" w:lineRule="auto"/>
        <w:ind w:firstLine="549" w:firstLineChars="229"/>
        <w:rPr>
          <w:rFonts w:hint="eastAsia" w:ascii="仿宋" w:hAnsi="仿宋" w:cs="仿宋"/>
          <w:color w:val="auto"/>
          <w:highlight w:val="none"/>
        </w:rPr>
      </w:pPr>
    </w:p>
    <w:p w14:paraId="6B695699">
      <w:pPr>
        <w:spacing w:line="360" w:lineRule="auto"/>
        <w:ind w:firstLine="549" w:firstLineChars="229"/>
        <w:rPr>
          <w:rFonts w:hint="eastAsia" w:ascii="仿宋" w:hAnsi="仿宋" w:cs="仿宋"/>
          <w:color w:val="auto"/>
          <w:highlight w:val="none"/>
        </w:rPr>
      </w:pPr>
    </w:p>
    <w:p w14:paraId="708A2751">
      <w:pPr>
        <w:spacing w:line="360" w:lineRule="auto"/>
        <w:ind w:firstLine="549" w:firstLineChars="229"/>
        <w:rPr>
          <w:rFonts w:hint="eastAsia" w:ascii="仿宋" w:hAnsi="仿宋" w:cs="仿宋"/>
          <w:color w:val="auto"/>
          <w:highlight w:val="none"/>
        </w:rPr>
      </w:pPr>
    </w:p>
    <w:p w14:paraId="5F2CCE85">
      <w:pPr>
        <w:spacing w:line="360" w:lineRule="auto"/>
        <w:ind w:firstLine="549" w:firstLineChars="229"/>
        <w:rPr>
          <w:rFonts w:hint="eastAsia" w:ascii="仿宋" w:hAnsi="仿宋" w:cs="仿宋"/>
          <w:color w:val="auto"/>
          <w:highlight w:val="none"/>
        </w:rPr>
      </w:pPr>
    </w:p>
    <w:p w14:paraId="477F5B82">
      <w:pPr>
        <w:spacing w:line="360" w:lineRule="auto"/>
        <w:rPr>
          <w:rFonts w:hint="eastAsia" w:ascii="仿宋" w:hAnsi="仿宋" w:cs="仿宋"/>
          <w:color w:val="auto"/>
          <w:highlight w:val="none"/>
        </w:rPr>
      </w:pPr>
    </w:p>
    <w:p w14:paraId="1278D458">
      <w:pPr>
        <w:adjustRightInd/>
        <w:spacing w:line="360" w:lineRule="auto"/>
        <w:jc w:val="center"/>
        <w:outlineLvl w:val="0"/>
        <w:rPr>
          <w:rFonts w:hint="eastAsia" w:ascii="仿宋" w:hAnsi="仿宋" w:cs="仿宋"/>
          <w:b/>
          <w:color w:val="auto"/>
          <w:sz w:val="36"/>
          <w:szCs w:val="20"/>
          <w:highlight w:val="none"/>
        </w:rPr>
      </w:pPr>
      <w:bookmarkStart w:id="3" w:name="第一部分"/>
      <w:r>
        <w:rPr>
          <w:rFonts w:hint="eastAsia" w:ascii="仿宋" w:hAnsi="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color w:val="auto"/>
          <w:sz w:val="36"/>
          <w:szCs w:val="20"/>
          <w:highlight w:val="none"/>
        </w:rPr>
        <w:t>第一部分  招标公告</w:t>
      </w:r>
      <w:bookmarkEnd w:id="8"/>
    </w:p>
    <w:p w14:paraId="59877C90">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color w:val="auto"/>
          <w:highlight w:val="none"/>
        </w:rPr>
      </w:pPr>
      <w:r>
        <w:rPr>
          <w:rFonts w:hint="eastAsia" w:ascii="仿宋" w:hAnsi="仿宋" w:cs="仿宋"/>
          <w:color w:val="auto"/>
          <w:highlight w:val="none"/>
        </w:rPr>
        <w:t>项目概况</w:t>
      </w:r>
    </w:p>
    <w:p w14:paraId="172C99F0">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color w:val="auto"/>
          <w:highlight w:val="none"/>
          <w:u w:val="single"/>
        </w:rPr>
      </w:pPr>
      <w:r>
        <w:rPr>
          <w:rFonts w:hint="eastAsia" w:ascii="仿宋" w:hAnsi="仿宋" w:cs="仿宋"/>
          <w:color w:val="auto"/>
          <w:highlight w:val="none"/>
          <w:u w:val="single"/>
        </w:rPr>
        <w:t>杭州市萧山区海塘安澜工程（七甲船闸至赭山湾闸段海塘—省管段）项目建议书及堤脚冲刷研究</w:t>
      </w:r>
      <w:r>
        <w:rPr>
          <w:rFonts w:hint="eastAsia" w:ascii="仿宋" w:hAnsi="仿宋" w:cs="仿宋"/>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"https://www.zcygov.cn/）获取（下载）招标文件，并于2023年10月XX日09点00分00秒"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cs="仿宋"/>
          <w:snapToGrid/>
          <w:color w:val="auto"/>
          <w:kern w:val="2"/>
          <w:sz w:val="24"/>
          <w:szCs w:val="24"/>
          <w:highlight w:val="none"/>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7月22日9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黑体"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黑体" w:cs="仿宋"/>
          <w:snapToGrid/>
          <w:color w:val="auto"/>
          <w:kern w:val="2"/>
          <w:sz w:val="24"/>
          <w:szCs w:val="24"/>
          <w:highlight w:val="none"/>
          <w:lang w:val="en-US" w:eastAsia="zh-CN"/>
        </w:rPr>
        <w:t>00</w:t>
      </w:r>
      <w:r>
        <w:rPr>
          <w:rStyle w:val="76"/>
          <w:rFonts w:hint="eastAsia" w:ascii="仿宋" w:hAnsi="仿宋" w:eastAsia="仿宋" w:cs="仿宋"/>
          <w:bCs/>
          <w:snapToGrid/>
          <w:color w:val="auto"/>
          <w:kern w:val="2"/>
          <w:sz w:val="24"/>
          <w:szCs w:val="24"/>
          <w:highlight w:val="none"/>
        </w:rPr>
        <w:t>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cs="仿宋"/>
          <w:bCs/>
          <w:color w:val="auto"/>
          <w:highlight w:val="none"/>
        </w:rPr>
        <w:t>（北京时间）前</w:t>
      </w:r>
      <w:r>
        <w:rPr>
          <w:rFonts w:hint="eastAsia" w:ascii="仿宋" w:hAnsi="仿宋" w:cs="仿宋"/>
          <w:color w:val="auto"/>
          <w:highlight w:val="none"/>
        </w:rPr>
        <w:t>递交（上传）投标文件。</w:t>
      </w:r>
    </w:p>
    <w:p w14:paraId="6C598010">
      <w:pPr>
        <w:rPr>
          <w:rFonts w:hint="eastAsia" w:ascii="仿宋" w:hAnsi="仿宋" w:cs="仿宋"/>
          <w:b/>
          <w:color w:val="auto"/>
          <w:highlight w:val="none"/>
        </w:rPr>
      </w:pPr>
    </w:p>
    <w:p w14:paraId="42E931F4">
      <w:pPr>
        <w:rPr>
          <w:rFonts w:hint="eastAsia" w:ascii="仿宋" w:hAnsi="仿宋" w:cs="仿宋"/>
          <w:b/>
          <w:color w:val="auto"/>
          <w:highlight w:val="none"/>
        </w:rPr>
      </w:pPr>
      <w:r>
        <w:rPr>
          <w:rFonts w:hint="eastAsia" w:ascii="仿宋" w:hAnsi="仿宋" w:cs="仿宋"/>
          <w:b/>
          <w:color w:val="auto"/>
          <w:highlight w:val="none"/>
        </w:rPr>
        <w:t>一、项目基本情况</w:t>
      </w:r>
    </w:p>
    <w:p w14:paraId="5ED1C586">
      <w:pPr>
        <w:rPr>
          <w:rFonts w:hint="eastAsia" w:ascii="仿宋" w:hAnsi="仿宋" w:cs="仿宋"/>
          <w:color w:val="auto"/>
          <w:highlight w:val="none"/>
        </w:rPr>
      </w:pPr>
      <w:r>
        <w:rPr>
          <w:rFonts w:hint="eastAsia" w:ascii="仿宋" w:hAnsi="仿宋" w:cs="仿宋"/>
          <w:b/>
          <w:color w:val="auto"/>
          <w:highlight w:val="none"/>
        </w:rPr>
        <w:t>项目编号：ZJZJ20250221</w:t>
      </w:r>
    </w:p>
    <w:p w14:paraId="4A532BBD">
      <w:pPr>
        <w:rPr>
          <w:rFonts w:hint="eastAsia" w:ascii="仿宋" w:hAnsi="仿宋" w:cs="仿宋"/>
          <w:color w:val="auto"/>
          <w:highlight w:val="none"/>
        </w:rPr>
      </w:pPr>
      <w:r>
        <w:rPr>
          <w:rFonts w:hint="eastAsia" w:ascii="仿宋" w:hAnsi="仿宋" w:cs="仿宋"/>
          <w:b/>
          <w:color w:val="auto"/>
          <w:highlight w:val="none"/>
        </w:rPr>
        <w:t>项目名称：</w:t>
      </w:r>
      <w:r>
        <w:rPr>
          <w:rFonts w:hint="eastAsia" w:ascii="仿宋" w:hAnsi="仿宋" w:cs="仿宋"/>
          <w:color w:val="auto"/>
          <w:highlight w:val="none"/>
        </w:rPr>
        <w:t>杭州市萧山区海塘安澜工程（七甲船闸至赭山湾闸段海塘—省管段）项目建议书及堤脚冲刷研究</w:t>
      </w:r>
    </w:p>
    <w:p w14:paraId="10DAFF56">
      <w:pPr>
        <w:rPr>
          <w:rFonts w:hint="default" w:ascii="仿宋" w:hAnsi="仿宋" w:eastAsia="仿宋" w:cs="仿宋"/>
          <w:color w:val="auto"/>
          <w:highlight w:val="none"/>
          <w:lang w:val="en-US" w:eastAsia="zh-CN"/>
        </w:rPr>
      </w:pPr>
      <w:r>
        <w:rPr>
          <w:rFonts w:hint="eastAsia" w:ascii="仿宋" w:hAnsi="仿宋" w:cs="仿宋"/>
          <w:b/>
          <w:color w:val="auto"/>
          <w:highlight w:val="none"/>
        </w:rPr>
        <w:t>预算金额（元）：</w:t>
      </w:r>
      <w:r>
        <w:rPr>
          <w:rFonts w:hint="eastAsia" w:ascii="仿宋" w:hAnsi="仿宋" w:cs="仿宋"/>
          <w:b/>
          <w:color w:val="auto"/>
          <w:highlight w:val="none"/>
          <w:lang w:val="en-US" w:eastAsia="zh-CN"/>
        </w:rPr>
        <w:t>2046000</w:t>
      </w:r>
    </w:p>
    <w:p w14:paraId="2B3CDC46">
      <w:pPr>
        <w:pStyle w:val="17"/>
        <w:spacing w:line="312" w:lineRule="auto"/>
        <w:ind w:firstLine="0"/>
        <w:rPr>
          <w:rFonts w:hint="default" w:ascii="仿宋" w:hAnsi="仿宋" w:eastAsia="仿宋" w:cs="仿宋"/>
          <w:b/>
          <w:color w:val="auto"/>
          <w:sz w:val="24"/>
          <w:highlight w:val="none"/>
          <w:lang w:val="en-US" w:eastAsia="zh-CN"/>
        </w:rPr>
      </w:pPr>
      <w:r>
        <w:rPr>
          <w:rFonts w:hint="eastAsia" w:ascii="仿宋" w:hAnsi="仿宋" w:cs="仿宋"/>
          <w:b/>
          <w:color w:val="auto"/>
          <w:sz w:val="24"/>
          <w:highlight w:val="none"/>
        </w:rPr>
        <w:t>最高限价（元）：</w:t>
      </w:r>
      <w:r>
        <w:rPr>
          <w:rFonts w:hint="eastAsia" w:ascii="仿宋" w:hAnsi="仿宋" w:cs="仿宋"/>
          <w:b/>
          <w:color w:val="auto"/>
          <w:sz w:val="24"/>
          <w:highlight w:val="none"/>
          <w:lang w:val="en-US" w:eastAsia="zh-CN"/>
        </w:rPr>
        <w:t>2046000</w:t>
      </w:r>
    </w:p>
    <w:p w14:paraId="3A400F86">
      <w:pPr>
        <w:pStyle w:val="17"/>
        <w:spacing w:line="312" w:lineRule="auto"/>
        <w:rPr>
          <w:rFonts w:hint="eastAsia" w:ascii="仿宋" w:hAnsi="仿宋" w:eastAsia="仿宋" w:cs="仿宋"/>
          <w:color w:val="auto"/>
          <w:kern w:val="2"/>
          <w:highlight w:val="none"/>
        </w:rPr>
      </w:pPr>
      <w:r>
        <w:rPr>
          <w:rFonts w:hint="eastAsia" w:ascii="仿宋" w:hAnsi="仿宋" w:cs="仿宋"/>
          <w:b/>
          <w:color w:val="auto"/>
          <w:sz w:val="24"/>
          <w:highlight w:val="none"/>
        </w:rPr>
        <w:t>采购需求：</w:t>
      </w:r>
    </w:p>
    <w:p w14:paraId="06E0BD5B">
      <w:pPr>
        <w:pStyle w:val="87"/>
        <w:spacing w:line="360" w:lineRule="auto"/>
        <w:ind w:firstLine="480"/>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标项名称:杭州市萧山区海塘安澜工程（七甲船闸至赭山湾闸段海塘—省管段）项目建议书及堤脚冲刷研究    </w:t>
      </w:r>
    </w:p>
    <w:p w14:paraId="610EEEAA">
      <w:pPr>
        <w:pStyle w:val="87"/>
        <w:spacing w:line="360" w:lineRule="auto"/>
        <w:ind w:firstLine="480"/>
        <w:rPr>
          <w:rFonts w:hint="eastAsia" w:ascii="仿宋" w:hAnsi="仿宋" w:eastAsia="仿宋" w:cs="仿宋"/>
          <w:color w:val="auto"/>
          <w:kern w:val="2"/>
          <w:highlight w:val="none"/>
        </w:rPr>
      </w:pPr>
      <w:r>
        <w:rPr>
          <w:rFonts w:hint="eastAsia" w:ascii="仿宋" w:hAnsi="仿宋" w:eastAsia="仿宋" w:cs="仿宋"/>
          <w:color w:val="auto"/>
          <w:kern w:val="2"/>
          <w:highlight w:val="none"/>
        </w:rPr>
        <w:t>数量:1项</w:t>
      </w:r>
    </w:p>
    <w:p w14:paraId="3A30BA2C">
      <w:pPr>
        <w:pStyle w:val="87"/>
        <w:spacing w:line="360" w:lineRule="auto"/>
        <w:rPr>
          <w:rFonts w:hint="default" w:ascii="仿宋" w:hAnsi="仿宋" w:eastAsia="仿宋" w:cs="仿宋"/>
          <w:color w:val="auto"/>
          <w:kern w:val="2"/>
          <w:highlight w:val="none"/>
          <w:lang w:val="en-US" w:eastAsia="zh-CN"/>
        </w:rPr>
      </w:pPr>
      <w:r>
        <w:rPr>
          <w:rFonts w:hint="eastAsia" w:ascii="仿宋" w:hAnsi="仿宋" w:eastAsia="仿宋" w:cs="仿宋"/>
          <w:color w:val="auto"/>
          <w:kern w:val="2"/>
          <w:highlight w:val="none"/>
        </w:rPr>
        <w:t xml:space="preserve">    预算金额（元）: </w:t>
      </w:r>
      <w:r>
        <w:rPr>
          <w:rFonts w:hint="eastAsia" w:ascii="仿宋" w:hAnsi="仿宋" w:eastAsia="仿宋" w:cs="仿宋"/>
          <w:color w:val="auto"/>
          <w:kern w:val="2"/>
          <w:highlight w:val="none"/>
          <w:lang w:val="en-US" w:eastAsia="zh-CN"/>
        </w:rPr>
        <w:t>2046000</w:t>
      </w:r>
    </w:p>
    <w:p w14:paraId="3E052BDB">
      <w:pPr>
        <w:pStyle w:val="87"/>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    简要规格描述或项目基本概况介绍、用途：</w:t>
      </w:r>
      <w:bookmarkStart w:id="12" w:name="OLE_LINK4"/>
      <w:r>
        <w:rPr>
          <w:rFonts w:hint="eastAsia" w:ascii="仿宋" w:hAnsi="仿宋" w:eastAsia="仿宋" w:cs="仿宋"/>
          <w:color w:val="auto"/>
          <w:kern w:val="2"/>
          <w:highlight w:val="none"/>
        </w:rPr>
        <w:t>详见采购文件第三部分要求。</w:t>
      </w:r>
      <w:bookmarkEnd w:id="12"/>
    </w:p>
    <w:p w14:paraId="329E5A4B">
      <w:pPr>
        <w:pStyle w:val="87"/>
        <w:spacing w:line="360" w:lineRule="auto"/>
        <w:rPr>
          <w:rFonts w:hint="eastAsia" w:ascii="仿宋" w:hAnsi="仿宋" w:cs="仿宋"/>
          <w:b/>
          <w:color w:val="auto"/>
          <w:sz w:val="24"/>
          <w:highlight w:val="none"/>
        </w:rPr>
      </w:pPr>
      <w:r>
        <w:rPr>
          <w:rFonts w:hint="eastAsia" w:ascii="仿宋" w:hAnsi="仿宋" w:eastAsia="仿宋" w:cs="仿宋"/>
          <w:color w:val="auto"/>
          <w:kern w:val="2"/>
          <w:highlight w:val="none"/>
        </w:rPr>
        <w:t xml:space="preserve">    备注： </w:t>
      </w:r>
    </w:p>
    <w:p w14:paraId="6E65A1DB">
      <w:pPr>
        <w:pStyle w:val="17"/>
        <w:spacing w:line="312" w:lineRule="auto"/>
        <w:ind w:firstLine="480"/>
        <w:rPr>
          <w:rFonts w:hint="eastAsia" w:ascii="仿宋" w:hAnsi="仿宋" w:cs="仿宋"/>
          <w:b/>
          <w:color w:val="auto"/>
          <w:sz w:val="24"/>
          <w:highlight w:val="none"/>
        </w:rPr>
      </w:pPr>
      <w:r>
        <w:rPr>
          <w:rFonts w:hint="eastAsia" w:ascii="仿宋" w:hAnsi="仿宋" w:cs="仿宋"/>
          <w:b/>
          <w:color w:val="auto"/>
          <w:sz w:val="24"/>
          <w:highlight w:val="none"/>
        </w:rPr>
        <w:t>合同履约期限：</w:t>
      </w:r>
      <w:bookmarkStart w:id="13" w:name="OLE_LINK6"/>
      <w:r>
        <w:rPr>
          <w:rFonts w:hint="eastAsia" w:ascii="仿宋" w:hAnsi="仿宋" w:cs="仿宋"/>
          <w:b/>
          <w:color w:val="auto"/>
          <w:sz w:val="24"/>
          <w:highlight w:val="none"/>
        </w:rPr>
        <w:t>2025年9月底</w:t>
      </w:r>
      <w:r>
        <w:rPr>
          <w:rFonts w:hint="eastAsia" w:ascii="仿宋" w:hAnsi="仿宋" w:cs="仿宋"/>
          <w:b/>
          <w:color w:val="auto"/>
          <w:sz w:val="24"/>
          <w:highlight w:val="none"/>
          <w:lang w:val="en-US" w:eastAsia="zh-CN"/>
        </w:rPr>
        <w:t>提交项建书及相关专题报告</w:t>
      </w:r>
    </w:p>
    <w:bookmarkEnd w:id="13"/>
    <w:p w14:paraId="37EAC686">
      <w:pPr>
        <w:pStyle w:val="17"/>
        <w:spacing w:line="312" w:lineRule="auto"/>
        <w:ind w:firstLine="480"/>
        <w:rPr>
          <w:rFonts w:hint="eastAsia" w:ascii="仿宋" w:hAnsi="仿宋" w:cs="仿宋"/>
          <w:color w:val="auto"/>
          <w:kern w:val="0"/>
          <w:sz w:val="24"/>
          <w:highlight w:val="none"/>
        </w:rPr>
      </w:pPr>
      <w:r>
        <w:rPr>
          <w:rFonts w:hint="eastAsia" w:ascii="仿宋" w:hAnsi="仿宋" w:cs="仿宋"/>
          <w:b/>
          <w:color w:val="auto"/>
          <w:sz w:val="24"/>
          <w:highlight w:val="none"/>
        </w:rPr>
        <w:t>本项目接受联合体投标：</w:t>
      </w:r>
      <w:sdt>
        <w:sdtPr>
          <w:rPr>
            <w:rFonts w:hint="eastAsia" w:ascii="仿宋" w:hAnsi="仿宋" w:cs="仿宋"/>
            <w:color w:val="auto"/>
            <w:kern w:val="0"/>
            <w:sz w:val="24"/>
            <w:highlight w:val="none"/>
          </w:rPr>
          <w:id w:val="2035453831"/>
        </w:sdtPr>
        <w:sdtEndPr>
          <w:rPr>
            <w:rFonts w:hint="eastAsia" w:ascii="仿宋" w:hAnsi="仿宋" w:cs="仿宋"/>
            <w:color w:val="auto"/>
            <w:kern w:val="0"/>
            <w:sz w:val="24"/>
            <w:highlight w:val="none"/>
          </w:rPr>
        </w:sdtEndPr>
        <w:sdtContent>
          <w:r>
            <w:rPr>
              <w:rFonts w:hint="eastAsia" w:ascii="仿宋" w:hAnsi="仿宋" w:cs="仿宋"/>
              <w:color w:val="auto"/>
              <w:kern w:val="0"/>
              <w:sz w:val="24"/>
              <w:highlight w:val="none"/>
            </w:rPr>
            <w:t>■</w:t>
          </w:r>
        </w:sdtContent>
      </w:sdt>
      <w:r>
        <w:rPr>
          <w:rFonts w:hint="eastAsia" w:ascii="仿宋" w:hAnsi="仿宋" w:cs="仿宋"/>
          <w:b/>
          <w:color w:val="auto"/>
          <w:sz w:val="24"/>
          <w:highlight w:val="none"/>
        </w:rPr>
        <w:t>是，</w:t>
      </w:r>
      <w:sdt>
        <w:sdtPr>
          <w:rPr>
            <w:rFonts w:hint="eastAsia" w:ascii="仿宋" w:hAnsi="仿宋" w:cs="仿宋"/>
            <w:color w:val="auto"/>
            <w:kern w:val="0"/>
            <w:sz w:val="24"/>
            <w:highlight w:val="none"/>
          </w:rPr>
          <w:id w:val="-1765526721"/>
        </w:sdtPr>
        <w:sdtEndPr>
          <w:rPr>
            <w:rFonts w:hint="eastAsia" w:ascii="仿宋" w:hAnsi="仿宋" w:cs="仿宋"/>
            <w:color w:val="auto"/>
            <w:kern w:val="0"/>
            <w:sz w:val="24"/>
            <w:highlight w:val="none"/>
          </w:rPr>
        </w:sdtEndPr>
        <w:sdtContent>
          <w:r>
            <w:rPr>
              <w:rFonts w:hint="eastAsia" w:ascii="仿宋" w:hAnsi="仿宋" w:cs="仿宋"/>
              <w:color w:val="auto"/>
              <w:kern w:val="0"/>
              <w:sz w:val="24"/>
              <w:highlight w:val="none"/>
            </w:rPr>
            <w:t>☐</w:t>
          </w:r>
        </w:sdtContent>
      </w:sdt>
      <w:r>
        <w:rPr>
          <w:rFonts w:hint="eastAsia" w:ascii="仿宋" w:hAnsi="仿宋" w:cs="仿宋"/>
          <w:b/>
          <w:color w:val="auto"/>
          <w:sz w:val="24"/>
          <w:highlight w:val="none"/>
        </w:rPr>
        <w:t>否</w:t>
      </w:r>
      <w:r>
        <w:rPr>
          <w:rFonts w:hint="eastAsia" w:ascii="仿宋" w:hAnsi="仿宋" w:cs="仿宋"/>
          <w:color w:val="auto"/>
          <w:kern w:val="0"/>
          <w:sz w:val="24"/>
          <w:highlight w:val="none"/>
        </w:rPr>
        <w:t>。</w:t>
      </w:r>
    </w:p>
    <w:p w14:paraId="31240B2C">
      <w:pPr>
        <w:spacing w:line="360" w:lineRule="auto"/>
        <w:rPr>
          <w:rFonts w:hint="eastAsia" w:ascii="仿宋" w:hAnsi="仿宋" w:cs="仿宋"/>
          <w:b/>
          <w:color w:val="auto"/>
          <w:highlight w:val="none"/>
        </w:rPr>
      </w:pPr>
      <w:r>
        <w:rPr>
          <w:rFonts w:hint="eastAsia" w:ascii="仿宋" w:hAnsi="仿宋" w:cs="仿宋"/>
          <w:b/>
          <w:color w:val="auto"/>
          <w:highlight w:val="none"/>
        </w:rPr>
        <w:t>二、申请人的资格要求：</w:t>
      </w:r>
    </w:p>
    <w:p w14:paraId="03C81845">
      <w:pPr>
        <w:spacing w:line="360" w:lineRule="auto"/>
        <w:ind w:firstLine="480"/>
        <w:rPr>
          <w:rFonts w:hint="eastAsia" w:ascii="仿宋" w:hAnsi="仿宋" w:cs="仿宋"/>
          <w:snapToGrid w:val="0"/>
          <w:color w:val="auto"/>
          <w:kern w:val="28"/>
          <w:szCs w:val="20"/>
          <w:highlight w:val="none"/>
        </w:rPr>
      </w:pPr>
      <w:r>
        <w:rPr>
          <w:rFonts w:hint="eastAsia" w:ascii="仿宋" w:hAnsi="仿宋" w:cs="仿宋"/>
          <w:snapToGrid w:val="0"/>
          <w:color w:val="auto"/>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C60FA1">
      <w:pPr>
        <w:spacing w:line="360" w:lineRule="auto"/>
        <w:ind w:firstLine="480" w:firstLineChars="200"/>
        <w:rPr>
          <w:rFonts w:hint="eastAsia" w:ascii="宋体" w:hAnsi="宋体" w:cs="宋体"/>
          <w:snapToGrid w:val="0"/>
          <w:color w:val="auto"/>
          <w:kern w:val="28"/>
          <w:szCs w:val="20"/>
          <w:highlight w:val="none"/>
        </w:rPr>
      </w:pPr>
      <w:r>
        <w:rPr>
          <w:rFonts w:hint="eastAsia" w:ascii="仿宋" w:hAnsi="仿宋" w:cs="仿宋"/>
          <w:snapToGrid w:val="0"/>
          <w:color w:val="auto"/>
          <w:kern w:val="28"/>
          <w:szCs w:val="20"/>
          <w:highlight w:val="none"/>
        </w:rPr>
        <w:t>2.</w:t>
      </w:r>
      <w:r>
        <w:rPr>
          <w:rFonts w:hint="eastAsia" w:ascii="宋体" w:hAnsi="宋体" w:cs="宋体"/>
          <w:snapToGrid w:val="0"/>
          <w:color w:val="auto"/>
          <w:kern w:val="28"/>
          <w:szCs w:val="20"/>
          <w:highlight w:val="none"/>
        </w:rPr>
        <w:t>以联合体形式投标的，提供联合协议(本项目不接受联合体投标或者投标人不以联合体形式投标的，则不需要提供) ；</w:t>
      </w:r>
    </w:p>
    <w:p w14:paraId="31BABF38">
      <w:pPr>
        <w:spacing w:line="360" w:lineRule="auto"/>
        <w:ind w:firstLine="480" w:firstLineChars="200"/>
        <w:rPr>
          <w:rFonts w:hint="eastAsia" w:ascii="宋体" w:hAnsi="宋体" w:cs="宋体"/>
          <w:snapToGrid w:val="0"/>
          <w:color w:val="auto"/>
          <w:kern w:val="28"/>
          <w:szCs w:val="20"/>
          <w:highlight w:val="none"/>
        </w:rPr>
      </w:pPr>
      <w:r>
        <w:rPr>
          <w:rFonts w:ascii="宋体" w:hAnsi="宋体" w:cs="宋体"/>
          <w:snapToGrid w:val="0"/>
          <w:color w:val="auto"/>
          <w:kern w:val="28"/>
          <w:szCs w:val="20"/>
          <w:highlight w:val="none"/>
        </w:rPr>
        <w:t>3</w:t>
      </w:r>
      <w:r>
        <w:rPr>
          <w:rFonts w:hint="eastAsia" w:ascii="宋体" w:hAnsi="宋体" w:cs="宋体"/>
          <w:snapToGrid w:val="0"/>
          <w:color w:val="auto"/>
          <w:kern w:val="28"/>
          <w:szCs w:val="20"/>
          <w:highlight w:val="none"/>
        </w:rPr>
        <w:t>.落实政府采购政策需满足的资格要求：</w:t>
      </w:r>
    </w:p>
    <w:p w14:paraId="3DA6CFC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FA7484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919292F">
      <w:pPr>
        <w:numPr>
          <w:ilvl w:val="0"/>
          <w:numId w:val="1"/>
        </w:numPr>
        <w:spacing w:line="360" w:lineRule="auto"/>
        <w:ind w:firstLine="480" w:firstLineChars="200"/>
        <w:rPr>
          <w:rFonts w:hint="eastAsia"/>
        </w:rPr>
      </w:pPr>
      <w:r>
        <w:rPr>
          <w:rFonts w:hint="eastAsia" w:ascii="仿宋" w:hAnsi="仿宋" w:cs="仿宋"/>
          <w:snapToGrid w:val="0"/>
          <w:color w:val="auto"/>
          <w:kern w:val="28"/>
          <w:szCs w:val="20"/>
          <w:highlight w:val="none"/>
        </w:rPr>
        <w:t>本项目的特定资格要求：</w:t>
      </w:r>
      <w:r>
        <w:rPr>
          <w:rFonts w:hint="eastAsia" w:ascii="宋体" w:hAnsi="宋体" w:eastAsia="宋体" w:cs="宋体"/>
          <w:snapToGrid w:val="0"/>
          <w:color w:val="auto"/>
          <w:kern w:val="28"/>
          <w:szCs w:val="20"/>
          <w:highlight w:val="none"/>
          <w:lang w:val="en-US" w:eastAsia="zh-CN"/>
        </w:rPr>
        <w:t>①</w:t>
      </w:r>
      <w:r>
        <w:rPr>
          <w:rFonts w:hint="eastAsia" w:ascii="仿宋_GB2312" w:hAnsi="仿宋_GB2312" w:cs="ˎ̥"/>
          <w:color w:val="auto"/>
          <w:kern w:val="0"/>
          <w:highlight w:val="none"/>
        </w:rPr>
        <w:t>工程设计综合甲级资质或水利行业工程设计甲级资质或水利行业（河道整治）专业甲级</w:t>
      </w:r>
      <w:r>
        <w:rPr>
          <w:rFonts w:hint="eastAsia" w:ascii="仿宋" w:hAnsi="仿宋" w:cs="仿宋"/>
          <w:snapToGrid w:val="0"/>
          <w:color w:val="auto"/>
          <w:kern w:val="28"/>
          <w:szCs w:val="20"/>
          <w:highlight w:val="none"/>
        </w:rPr>
        <w:t>；</w:t>
      </w:r>
      <w:r>
        <w:rPr>
          <w:rFonts w:hint="eastAsia" w:ascii="宋体" w:hAnsi="宋体" w:eastAsia="宋体" w:cs="宋体"/>
        </w:rPr>
        <w:t>②</w:t>
      </w:r>
      <w:r>
        <w:rPr>
          <w:rFonts w:hint="eastAsia"/>
        </w:rPr>
        <w:t>公益一类事业单位、使用事业编制且由财政拨款保障的群团组织，不属于政府购</w:t>
      </w:r>
      <w:bookmarkStart w:id="625" w:name="_GoBack"/>
      <w:bookmarkEnd w:id="625"/>
      <w:r>
        <w:rPr>
          <w:rFonts w:hint="eastAsia"/>
        </w:rPr>
        <w:t>买服务的承接主体，不得参与承接购买服务。</w:t>
      </w:r>
    </w:p>
    <w:p w14:paraId="4BBECCA7">
      <w:pPr>
        <w:spacing w:line="360" w:lineRule="auto"/>
        <w:ind w:firstLine="480" w:firstLineChars="200"/>
        <w:rPr>
          <w:color w:val="auto"/>
          <w:highlight w:val="none"/>
        </w:rPr>
      </w:pPr>
      <w:r>
        <w:rPr>
          <w:rFonts w:ascii="宋体" w:hAnsi="宋体" w:cs="宋体"/>
          <w:color w:val="auto"/>
          <w:highlight w:val="none"/>
        </w:rPr>
        <w:t>5</w:t>
      </w:r>
      <w:r>
        <w:rPr>
          <w:rFonts w:hint="eastAsia" w:ascii="宋体" w:hAnsi="宋体" w:cs="宋体"/>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2DBCC5">
      <w:pPr>
        <w:spacing w:line="360" w:lineRule="auto"/>
        <w:rPr>
          <w:rFonts w:hint="eastAsia" w:ascii="仿宋" w:hAnsi="仿宋" w:cs="仿宋"/>
          <w:b/>
          <w:color w:val="auto"/>
          <w:highlight w:val="none"/>
        </w:rPr>
      </w:pPr>
      <w:r>
        <w:rPr>
          <w:rFonts w:hint="eastAsia" w:ascii="仿宋" w:hAnsi="仿宋" w:cs="仿宋"/>
          <w:b/>
          <w:color w:val="auto"/>
          <w:highlight w:val="none"/>
        </w:rPr>
        <w:t>三、获取招标文件</w:t>
      </w:r>
    </w:p>
    <w:p w14:paraId="507D8998">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时间：</w:t>
      </w:r>
      <w:r>
        <w:rPr>
          <w:rFonts w:hint="eastAsia" w:ascii="仿宋" w:hAnsi="仿宋" w:cs="仿宋"/>
          <w:color w:val="auto"/>
          <w:highlight w:val="none"/>
        </w:rPr>
        <w:t>/至</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7</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22</w:t>
      </w:r>
      <w:r>
        <w:rPr>
          <w:rFonts w:hint="eastAsia" w:ascii="仿宋" w:hAnsi="仿宋" w:cs="仿宋"/>
          <w:color w:val="auto"/>
          <w:highlight w:val="none"/>
          <w:u w:val="single"/>
        </w:rPr>
        <w:t>日</w:t>
      </w:r>
      <w:r>
        <w:rPr>
          <w:rFonts w:hint="eastAsia" w:ascii="仿宋" w:hAnsi="仿宋" w:cs="仿宋"/>
          <w:color w:val="auto"/>
          <w:highlight w:val="none"/>
          <w:u w:val="single"/>
          <w:lang w:val="en-US" w:eastAsia="zh-CN"/>
        </w:rPr>
        <w:t>9</w:t>
      </w:r>
      <w:r>
        <w:rPr>
          <w:rFonts w:hint="eastAsia" w:ascii="仿宋" w:hAnsi="仿宋" w:cs="仿宋"/>
          <w:color w:val="auto"/>
          <w:highlight w:val="none"/>
          <w:u w:val="single"/>
        </w:rPr>
        <w:t>点</w:t>
      </w:r>
      <w:r>
        <w:rPr>
          <w:rFonts w:hint="eastAsia" w:ascii="仿宋" w:hAnsi="仿宋" w:cs="仿宋"/>
          <w:color w:val="auto"/>
          <w:highlight w:val="none"/>
          <w:u w:val="single"/>
          <w:lang w:val="en-US" w:eastAsia="zh-CN"/>
        </w:rPr>
        <w:t>30</w:t>
      </w:r>
      <w:r>
        <w:rPr>
          <w:rFonts w:hint="eastAsia" w:ascii="仿宋" w:hAnsi="仿宋" w:cs="仿宋"/>
          <w:color w:val="auto"/>
          <w:highlight w:val="none"/>
          <w:u w:val="single"/>
        </w:rPr>
        <w:t>分</w:t>
      </w:r>
      <w:r>
        <w:rPr>
          <w:rFonts w:hint="eastAsia" w:ascii="仿宋" w:hAnsi="仿宋" w:cs="仿宋"/>
          <w:color w:val="auto"/>
          <w:highlight w:val="none"/>
        </w:rPr>
        <w:t>，每天上午00:00至12:00 ，下午12:00至23:59（北京时间，线上获取法定节假日均可，线下获取文件法定节假日除外）</w:t>
      </w:r>
    </w:p>
    <w:p w14:paraId="2B4B8AEB">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地点（网址）：</w:t>
      </w:r>
      <w:bookmarkStart w:id="14" w:name="OLE_LINK15"/>
      <w:r>
        <w:rPr>
          <w:rFonts w:hint="eastAsia" w:ascii="仿宋" w:hAnsi="仿宋" w:cs="仿宋"/>
          <w:color w:val="auto"/>
          <w:highlight w:val="none"/>
        </w:rPr>
        <w:t xml:space="preserve">政采云平台（https://www.zcygov.cn/） </w:t>
      </w:r>
      <w:bookmarkEnd w:id="14"/>
    </w:p>
    <w:p w14:paraId="1DF5F37F">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方式：</w:t>
      </w:r>
      <w:bookmarkStart w:id="15" w:name="OLE_LINK16"/>
      <w:r>
        <w:rPr>
          <w:rFonts w:hint="eastAsia" w:ascii="仿宋" w:hAnsi="仿宋" w:cs="仿宋"/>
          <w:color w:val="auto"/>
          <w:highlight w:val="none"/>
        </w:rPr>
        <w:t xml:space="preserve">供应商登录政采云平台https://www.zcygov.cn/在线申请获取采购文件（进入“项目采购”应用，在获取采购文件菜单中选择项目，申请获取采购文件）。 </w:t>
      </w:r>
    </w:p>
    <w:bookmarkEnd w:id="15"/>
    <w:p w14:paraId="70C111E8">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售价（元）：</w:t>
      </w:r>
      <w:r>
        <w:rPr>
          <w:rFonts w:hint="eastAsia" w:ascii="仿宋" w:hAnsi="仿宋" w:cs="仿宋"/>
          <w:color w:val="auto"/>
          <w:highlight w:val="none"/>
        </w:rPr>
        <w:t>0</w:t>
      </w:r>
    </w:p>
    <w:p w14:paraId="5D68698A">
      <w:pPr>
        <w:spacing w:line="360" w:lineRule="auto"/>
        <w:rPr>
          <w:rFonts w:hint="eastAsia" w:ascii="仿宋" w:hAnsi="仿宋" w:cs="仿宋"/>
          <w:b/>
          <w:color w:val="auto"/>
          <w:highlight w:val="none"/>
        </w:rPr>
      </w:pPr>
      <w:r>
        <w:rPr>
          <w:rFonts w:hint="eastAsia" w:ascii="仿宋" w:hAnsi="仿宋" w:cs="仿宋"/>
          <w:b/>
          <w:color w:val="auto"/>
          <w:highlight w:val="none"/>
        </w:rPr>
        <w:t>四、提交投标文件截止时间、开标时间和地点</w:t>
      </w:r>
    </w:p>
    <w:p w14:paraId="6C8C3D61">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提交投标文件截止时间：</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7月22日9</w:t>
      </w:r>
      <w:r>
        <w:rPr>
          <w:rFonts w:hint="eastAsia" w:ascii="仿宋" w:hAnsi="仿宋" w:cs="仿宋"/>
          <w:color w:val="auto"/>
          <w:highlight w:val="none"/>
          <w:u w:val="single"/>
        </w:rPr>
        <w:t>点</w:t>
      </w:r>
      <w:r>
        <w:rPr>
          <w:rFonts w:hint="eastAsia" w:ascii="仿宋" w:hAnsi="仿宋" w:cs="仿宋"/>
          <w:color w:val="auto"/>
          <w:highlight w:val="none"/>
          <w:u w:val="single"/>
          <w:lang w:val="en-US" w:eastAsia="zh-CN"/>
        </w:rPr>
        <w:t>30</w:t>
      </w:r>
      <w:r>
        <w:rPr>
          <w:rFonts w:hint="eastAsia" w:ascii="仿宋" w:hAnsi="仿宋" w:cs="仿宋"/>
          <w:color w:val="auto"/>
          <w:highlight w:val="none"/>
          <w:u w:val="single"/>
        </w:rPr>
        <w:t>分</w:t>
      </w:r>
      <w:r>
        <w:rPr>
          <w:rFonts w:hint="eastAsia" w:ascii="仿宋" w:hAnsi="仿宋" w:cs="仿宋"/>
          <w:color w:val="auto"/>
          <w:highlight w:val="none"/>
        </w:rPr>
        <w:t>（北京时间）</w:t>
      </w:r>
    </w:p>
    <w:p w14:paraId="651362DF">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投标地点（网址）：</w:t>
      </w:r>
      <w:bookmarkStart w:id="16" w:name="OLE_LINK9"/>
      <w:bookmarkStart w:id="17" w:name="OLE_LINK10"/>
      <w:r>
        <w:rPr>
          <w:rFonts w:hint="eastAsia" w:ascii="仿宋" w:hAnsi="仿宋" w:cs="仿宋"/>
          <w:color w:val="auto"/>
          <w:highlight w:val="none"/>
        </w:rPr>
        <w:t>政采云平台（https://www.zcygov.cn/）</w:t>
      </w:r>
      <w:bookmarkEnd w:id="16"/>
      <w:r>
        <w:rPr>
          <w:rFonts w:hint="eastAsia" w:ascii="仿宋" w:hAnsi="仿宋" w:cs="仿宋"/>
          <w:color w:val="auto"/>
          <w:highlight w:val="none"/>
        </w:rPr>
        <w:t xml:space="preserve"> </w:t>
      </w:r>
      <w:bookmarkEnd w:id="17"/>
    </w:p>
    <w:p w14:paraId="517F8633">
      <w:pPr>
        <w:spacing w:line="360" w:lineRule="auto"/>
        <w:ind w:firstLine="482" w:firstLineChars="200"/>
        <w:rPr>
          <w:rFonts w:hint="eastAsia" w:ascii="仿宋" w:hAnsi="仿宋" w:cs="仿宋"/>
          <w:bCs/>
          <w:color w:val="auto"/>
          <w:highlight w:val="none"/>
          <w:u w:val="single"/>
        </w:rPr>
      </w:pPr>
      <w:r>
        <w:rPr>
          <w:rFonts w:hint="eastAsia" w:ascii="仿宋" w:hAnsi="仿宋" w:cs="仿宋"/>
          <w:b/>
          <w:color w:val="auto"/>
          <w:highlight w:val="none"/>
        </w:rPr>
        <w:t>开标时间：：</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7月22日9</w:t>
      </w:r>
      <w:r>
        <w:rPr>
          <w:rFonts w:hint="eastAsia" w:ascii="仿宋" w:hAnsi="仿宋" w:cs="仿宋"/>
          <w:color w:val="auto"/>
          <w:highlight w:val="none"/>
          <w:u w:val="single"/>
        </w:rPr>
        <w:t>点</w:t>
      </w:r>
      <w:r>
        <w:rPr>
          <w:rFonts w:hint="eastAsia" w:ascii="仿宋" w:hAnsi="仿宋" w:cs="仿宋"/>
          <w:color w:val="auto"/>
          <w:highlight w:val="none"/>
          <w:u w:val="single"/>
          <w:lang w:val="en-US" w:eastAsia="zh-CN"/>
        </w:rPr>
        <w:t>30</w:t>
      </w:r>
      <w:r>
        <w:rPr>
          <w:rFonts w:hint="eastAsia" w:ascii="仿宋" w:hAnsi="仿宋" w:cs="仿宋"/>
          <w:color w:val="auto"/>
          <w:highlight w:val="none"/>
          <w:u w:val="single"/>
        </w:rPr>
        <w:t>分</w:t>
      </w:r>
    </w:p>
    <w:p w14:paraId="4068464D">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开标地点（网址）：</w:t>
      </w:r>
      <w:bookmarkStart w:id="18" w:name="OLE_LINK8"/>
      <w:r>
        <w:rPr>
          <w:rFonts w:hint="eastAsia" w:ascii="仿宋" w:hAnsi="仿宋" w:cs="仿宋"/>
          <w:color w:val="auto"/>
          <w:highlight w:val="none"/>
        </w:rPr>
        <w:t>政采云平台（https://www.zcygov.cn/）</w:t>
      </w:r>
      <w:bookmarkEnd w:id="18"/>
    </w:p>
    <w:p w14:paraId="06A68AB6">
      <w:pPr>
        <w:spacing w:line="360" w:lineRule="auto"/>
        <w:rPr>
          <w:rFonts w:hint="eastAsia" w:ascii="仿宋" w:hAnsi="仿宋" w:cs="仿宋"/>
          <w:color w:val="auto"/>
          <w:highlight w:val="none"/>
        </w:rPr>
      </w:pPr>
      <w:r>
        <w:rPr>
          <w:rFonts w:hint="eastAsia" w:ascii="仿宋" w:hAnsi="仿宋" w:cs="仿宋"/>
          <w:b/>
          <w:color w:val="auto"/>
          <w:highlight w:val="none"/>
        </w:rPr>
        <w:t>五、公告期限</w:t>
      </w:r>
    </w:p>
    <w:p w14:paraId="4115214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自本公告发布之日起5个工作日。</w:t>
      </w:r>
    </w:p>
    <w:p w14:paraId="60D5ED44">
      <w:pPr>
        <w:spacing w:line="360" w:lineRule="auto"/>
        <w:rPr>
          <w:rFonts w:hint="eastAsia" w:ascii="仿宋" w:hAnsi="仿宋" w:cs="仿宋"/>
          <w:b/>
          <w:color w:val="auto"/>
          <w:highlight w:val="none"/>
        </w:rPr>
      </w:pPr>
      <w:r>
        <w:rPr>
          <w:rFonts w:hint="eastAsia" w:ascii="仿宋" w:hAnsi="仿宋" w:cs="仿宋"/>
          <w:b/>
          <w:color w:val="auto"/>
          <w:highlight w:val="none"/>
        </w:rPr>
        <w:t>六、其他补充事宜</w:t>
      </w:r>
    </w:p>
    <w:p w14:paraId="566F528E">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EF9DDB">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C65B9D">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40C4A9">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4.其他事项：</w:t>
      </w:r>
      <w:bookmarkStart w:id="19" w:name="OLE_LINK17"/>
      <w:r>
        <w:rPr>
          <w:rFonts w:hint="eastAsia" w:ascii="仿宋" w:hAnsi="仿宋" w:cs="仿宋"/>
          <w:color w:val="auto"/>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9"/>
    <w:p w14:paraId="3217D2BD">
      <w:pPr>
        <w:spacing w:line="360" w:lineRule="auto"/>
        <w:rPr>
          <w:rFonts w:hint="eastAsia" w:ascii="仿宋" w:hAnsi="仿宋" w:cs="仿宋"/>
          <w:b/>
          <w:color w:val="auto"/>
          <w:highlight w:val="none"/>
        </w:rPr>
      </w:pPr>
      <w:r>
        <w:rPr>
          <w:rFonts w:hint="eastAsia" w:ascii="仿宋" w:hAnsi="仿宋" w:cs="仿宋"/>
          <w:b/>
          <w:color w:val="auto"/>
          <w:highlight w:val="none"/>
        </w:rPr>
        <w:t>七、对本次采购提出询问、质疑、投诉，请按以下方式联系</w:t>
      </w:r>
    </w:p>
    <w:p w14:paraId="21B670F2">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1.采购人信息</w:t>
      </w:r>
    </w:p>
    <w:p w14:paraId="749B30B6">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名称：浙江省钱塘江流域中心</w:t>
      </w:r>
    </w:p>
    <w:p w14:paraId="50F2ACED">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地址：浙江省杭州市清江路185号</w:t>
      </w:r>
    </w:p>
    <w:p w14:paraId="425822A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项目联系人（询问）：张工</w:t>
      </w:r>
    </w:p>
    <w:p w14:paraId="72E5C2B7">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项目联系方式（询问）：0571</w:t>
      </w:r>
      <w:r>
        <w:rPr>
          <w:rFonts w:hint="eastAsia" w:ascii="仿宋" w:hAnsi="仿宋" w:cs="仿宋"/>
          <w:color w:val="auto"/>
          <w:highlight w:val="none"/>
          <w:lang w:val="en-US" w:eastAsia="zh-CN"/>
        </w:rPr>
        <w:t>-</w:t>
      </w:r>
      <w:r>
        <w:rPr>
          <w:rFonts w:hint="eastAsia" w:ascii="仿宋" w:hAnsi="仿宋" w:cs="仿宋"/>
          <w:color w:val="auto"/>
          <w:highlight w:val="none"/>
        </w:rPr>
        <w:t>86522395</w:t>
      </w:r>
    </w:p>
    <w:p w14:paraId="0F0D759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质疑联系人：叶工</w:t>
      </w:r>
    </w:p>
    <w:p w14:paraId="32E3733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质疑联系方式：0571</w:t>
      </w:r>
      <w:r>
        <w:rPr>
          <w:rFonts w:hint="eastAsia" w:ascii="仿宋" w:hAnsi="仿宋" w:cs="仿宋"/>
          <w:color w:val="auto"/>
          <w:highlight w:val="none"/>
          <w:lang w:val="en-US" w:eastAsia="zh-CN"/>
        </w:rPr>
        <w:t>-</w:t>
      </w:r>
      <w:r>
        <w:rPr>
          <w:rFonts w:hint="eastAsia" w:ascii="仿宋" w:hAnsi="仿宋" w:cs="仿宋"/>
          <w:color w:val="auto"/>
          <w:highlight w:val="none"/>
        </w:rPr>
        <w:t>86733489</w:t>
      </w:r>
    </w:p>
    <w:p w14:paraId="74D858A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2.采购代理机构信息</w:t>
      </w:r>
    </w:p>
    <w:p w14:paraId="5627FBE3">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名称：浙江中际工程项目管理有限公司</w:t>
      </w:r>
    </w:p>
    <w:p w14:paraId="14434A6D">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地址：浙江省杭州市上城区华成国际发展大厦8楼</w:t>
      </w:r>
    </w:p>
    <w:p w14:paraId="0C6F12C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传真：/</w:t>
      </w:r>
    </w:p>
    <w:p w14:paraId="33656C11">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项目联系人（询问）：吴素均</w:t>
      </w:r>
    </w:p>
    <w:p w14:paraId="0C58CDF2">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项目联系方式（询问）：15824491413</w:t>
      </w:r>
    </w:p>
    <w:p w14:paraId="654ABA79">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质疑联系人：戴程龙</w:t>
      </w:r>
    </w:p>
    <w:p w14:paraId="196E9A61">
      <w:pPr>
        <w:spacing w:line="360" w:lineRule="auto"/>
        <w:ind w:firstLine="480" w:firstLineChars="200"/>
        <w:rPr>
          <w:rFonts w:hint="eastAsia" w:ascii="仿宋" w:hAnsi="仿宋" w:eastAsia="仿宋" w:cs="仿宋"/>
          <w:color w:val="auto"/>
          <w:highlight w:val="none"/>
          <w:lang w:eastAsia="zh-CN"/>
        </w:rPr>
      </w:pPr>
      <w:r>
        <w:rPr>
          <w:rFonts w:hint="eastAsia" w:ascii="仿宋" w:hAnsi="仿宋" w:cs="仿宋"/>
          <w:color w:val="auto"/>
          <w:highlight w:val="none"/>
        </w:rPr>
        <w:t>质疑联系方式：</w:t>
      </w:r>
      <w:r>
        <w:rPr>
          <w:rFonts w:hint="eastAsia" w:ascii="仿宋" w:hAnsi="仿宋" w:cs="仿宋"/>
          <w:color w:val="auto"/>
          <w:highlight w:val="none"/>
          <w:lang w:eastAsia="zh-CN"/>
        </w:rPr>
        <w:t>15557121532</w:t>
      </w:r>
    </w:p>
    <w:p w14:paraId="31F479CB">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3.同级政府采购监督管理部门</w:t>
      </w:r>
    </w:p>
    <w:p w14:paraId="4914FDA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名称：浙江省政府采购行政裁决服务中心（杭州市上城区清泰街549号城建综合大楼11楼）</w:t>
      </w:r>
    </w:p>
    <w:p w14:paraId="2A3A20FD">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地址：杭州市上城区清泰街549号城建综合大楼11楼</w:t>
      </w:r>
    </w:p>
    <w:p w14:paraId="516396A9">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传真：/</w:t>
      </w:r>
    </w:p>
    <w:p w14:paraId="4FEF1D15">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联系人：朱老师、王老师、匡老师</w:t>
      </w:r>
    </w:p>
    <w:p w14:paraId="4787E82E">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监督投诉电话：057187800218、87227671、87227986</w:t>
      </w:r>
    </w:p>
    <w:p w14:paraId="7649DE05">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政策咨询：何一平、冯华，0571-87058424、87055741</w:t>
      </w:r>
    </w:p>
    <w:p w14:paraId="5A382AB8">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预算金额未达100万元的采购项目，由采购人处理采购争议。</w:t>
      </w:r>
    </w:p>
    <w:p w14:paraId="0A39F145">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79D6BC46">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CA问题联系电话（人工）：汇信CA 400-888-4636；天谷CA 400-087-8198。</w:t>
      </w:r>
    </w:p>
    <w:p w14:paraId="4667721F">
      <w:pPr>
        <w:adjustRightInd/>
        <w:spacing w:line="360" w:lineRule="auto"/>
        <w:jc w:val="center"/>
        <w:outlineLvl w:val="0"/>
        <w:rPr>
          <w:rFonts w:hint="eastAsia" w:ascii="仿宋" w:hAnsi="仿宋" w:cs="仿宋"/>
          <w:b/>
          <w:color w:val="auto"/>
          <w:sz w:val="36"/>
          <w:szCs w:val="20"/>
          <w:highlight w:val="none"/>
        </w:rPr>
      </w:pPr>
      <w:r>
        <w:rPr>
          <w:rFonts w:hint="eastAsia" w:ascii="仿宋" w:hAnsi="仿宋" w:cs="仿宋"/>
          <w:b/>
          <w:color w:val="auto"/>
          <w:sz w:val="36"/>
          <w:szCs w:val="20"/>
          <w:highlight w:val="none"/>
        </w:rPr>
        <w:br w:type="page"/>
      </w:r>
      <w:bookmarkStart w:id="20" w:name="_Toc11261"/>
      <w:r>
        <w:rPr>
          <w:rFonts w:hint="eastAsia" w:ascii="仿宋" w:hAnsi="仿宋" w:cs="仿宋"/>
          <w:b/>
          <w:color w:val="auto"/>
          <w:sz w:val="36"/>
          <w:szCs w:val="20"/>
          <w:highlight w:val="none"/>
        </w:rPr>
        <w:t>第二部分</w:t>
      </w:r>
      <w:bookmarkEnd w:id="9"/>
      <w:r>
        <w:rPr>
          <w:rFonts w:hint="eastAsia" w:ascii="仿宋" w:hAnsi="仿宋" w:cs="仿宋"/>
          <w:b/>
          <w:color w:val="auto"/>
          <w:sz w:val="36"/>
          <w:szCs w:val="20"/>
          <w:highlight w:val="none"/>
        </w:rPr>
        <w:t xml:space="preserve">  投标人须知</w:t>
      </w:r>
      <w:bookmarkEnd w:id="10"/>
      <w:bookmarkEnd w:id="20"/>
    </w:p>
    <w:p w14:paraId="4113F639">
      <w:pPr>
        <w:spacing w:line="360" w:lineRule="auto"/>
        <w:jc w:val="center"/>
        <w:rPr>
          <w:rFonts w:hint="eastAsia" w:ascii="仿宋" w:hAnsi="仿宋" w:cs="仿宋"/>
          <w:b/>
          <w:color w:val="auto"/>
          <w:sz w:val="32"/>
          <w:szCs w:val="20"/>
          <w:highlight w:val="none"/>
        </w:rPr>
      </w:pPr>
      <w:r>
        <w:rPr>
          <w:rFonts w:hint="eastAsia" w:ascii="仿宋" w:hAnsi="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9411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18288502">
            <w:pPr>
              <w:spacing w:line="288" w:lineRule="auto"/>
              <w:jc w:val="center"/>
              <w:rPr>
                <w:rFonts w:hint="eastAsia" w:ascii="仿宋" w:hAnsi="仿宋" w:cs="仿宋"/>
                <w:b/>
                <w:color w:val="auto"/>
                <w:highlight w:val="none"/>
              </w:rPr>
            </w:pPr>
            <w:r>
              <w:rPr>
                <w:rFonts w:hint="eastAsia" w:ascii="仿宋" w:hAnsi="仿宋" w:cs="仿宋"/>
                <w:b/>
                <w:color w:val="auto"/>
                <w:highlight w:val="none"/>
              </w:rPr>
              <w:t>序号</w:t>
            </w:r>
          </w:p>
        </w:tc>
        <w:tc>
          <w:tcPr>
            <w:tcW w:w="1843" w:type="dxa"/>
            <w:tcBorders>
              <w:tl2br w:val="nil"/>
              <w:tr2bl w:val="nil"/>
            </w:tcBorders>
            <w:vAlign w:val="center"/>
          </w:tcPr>
          <w:p w14:paraId="45662A88">
            <w:pPr>
              <w:spacing w:line="288" w:lineRule="auto"/>
              <w:jc w:val="center"/>
              <w:rPr>
                <w:rFonts w:hint="eastAsia" w:ascii="仿宋" w:hAnsi="仿宋" w:cs="仿宋"/>
                <w:b/>
                <w:color w:val="auto"/>
                <w:highlight w:val="none"/>
              </w:rPr>
            </w:pPr>
            <w:r>
              <w:rPr>
                <w:rFonts w:hint="eastAsia" w:ascii="仿宋" w:hAnsi="仿宋" w:cs="仿宋"/>
                <w:b/>
                <w:color w:val="auto"/>
                <w:highlight w:val="none"/>
              </w:rPr>
              <w:t>事项</w:t>
            </w:r>
          </w:p>
        </w:tc>
        <w:tc>
          <w:tcPr>
            <w:tcW w:w="6095" w:type="dxa"/>
            <w:tcBorders>
              <w:tl2br w:val="nil"/>
              <w:tr2bl w:val="nil"/>
            </w:tcBorders>
            <w:vAlign w:val="center"/>
          </w:tcPr>
          <w:p w14:paraId="11F3478B">
            <w:pPr>
              <w:spacing w:line="288" w:lineRule="auto"/>
              <w:jc w:val="center"/>
              <w:rPr>
                <w:rFonts w:hint="eastAsia" w:ascii="仿宋" w:hAnsi="仿宋" w:cs="仿宋"/>
                <w:b/>
                <w:color w:val="auto"/>
                <w:highlight w:val="none"/>
              </w:rPr>
            </w:pPr>
            <w:r>
              <w:rPr>
                <w:rFonts w:hint="eastAsia" w:ascii="仿宋" w:hAnsi="仿宋" w:cs="仿宋"/>
                <w:b/>
                <w:color w:val="auto"/>
                <w:highlight w:val="none"/>
              </w:rPr>
              <w:t>本项目的特别规定</w:t>
            </w:r>
          </w:p>
        </w:tc>
      </w:tr>
      <w:tr w14:paraId="7DEA8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3329543">
            <w:pPr>
              <w:spacing w:line="288" w:lineRule="auto"/>
              <w:jc w:val="center"/>
              <w:rPr>
                <w:rFonts w:hint="eastAsia" w:ascii="仿宋" w:hAnsi="仿宋" w:cs="仿宋"/>
                <w:color w:val="auto"/>
                <w:highlight w:val="none"/>
              </w:rPr>
            </w:pPr>
            <w:r>
              <w:rPr>
                <w:rFonts w:hint="eastAsia" w:ascii="仿宋" w:hAnsi="仿宋" w:cs="仿宋"/>
                <w:color w:val="auto"/>
                <w:highlight w:val="none"/>
              </w:rPr>
              <w:t>1</w:t>
            </w:r>
          </w:p>
        </w:tc>
        <w:tc>
          <w:tcPr>
            <w:tcW w:w="1843" w:type="dxa"/>
            <w:tcBorders>
              <w:tl2br w:val="nil"/>
              <w:tr2bl w:val="nil"/>
            </w:tcBorders>
            <w:vAlign w:val="center"/>
          </w:tcPr>
          <w:p w14:paraId="16416D7C">
            <w:pPr>
              <w:spacing w:line="288" w:lineRule="auto"/>
              <w:jc w:val="center"/>
              <w:rPr>
                <w:rFonts w:hint="eastAsia" w:ascii="仿宋" w:hAnsi="仿宋" w:cs="仿宋"/>
                <w:b/>
                <w:color w:val="auto"/>
                <w:highlight w:val="none"/>
              </w:rPr>
            </w:pPr>
            <w:r>
              <w:rPr>
                <w:rFonts w:hint="eastAsia" w:ascii="仿宋" w:hAnsi="仿宋" w:cs="仿宋"/>
                <w:b/>
                <w:color w:val="auto"/>
                <w:highlight w:val="none"/>
              </w:rPr>
              <w:t>项目属性</w:t>
            </w:r>
          </w:p>
        </w:tc>
        <w:tc>
          <w:tcPr>
            <w:tcW w:w="6095" w:type="dxa"/>
            <w:tcBorders>
              <w:tl2br w:val="nil"/>
              <w:tr2bl w:val="nil"/>
            </w:tcBorders>
            <w:vAlign w:val="center"/>
          </w:tcPr>
          <w:p w14:paraId="5A2AC446">
            <w:pPr>
              <w:spacing w:line="288" w:lineRule="auto"/>
              <w:rPr>
                <w:rFonts w:hint="eastAsia" w:ascii="仿宋" w:hAnsi="仿宋" w:cs="仿宋"/>
                <w:color w:val="auto"/>
                <w:highlight w:val="none"/>
              </w:rPr>
            </w:pPr>
            <w:r>
              <w:rPr>
                <w:rFonts w:hint="eastAsia" w:ascii="仿宋" w:hAnsi="仿宋" w:cs="仿宋"/>
                <w:color w:val="auto"/>
                <w:highlight w:val="none"/>
              </w:rPr>
              <w:t xml:space="preserve">服务类。 </w:t>
            </w:r>
          </w:p>
        </w:tc>
      </w:tr>
      <w:tr w14:paraId="35342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7DFFEBE">
            <w:pPr>
              <w:spacing w:line="288" w:lineRule="auto"/>
              <w:jc w:val="center"/>
              <w:rPr>
                <w:rFonts w:hint="eastAsia" w:ascii="仿宋" w:hAnsi="仿宋" w:cs="仿宋"/>
                <w:color w:val="auto"/>
                <w:highlight w:val="none"/>
              </w:rPr>
            </w:pPr>
            <w:r>
              <w:rPr>
                <w:rFonts w:hint="eastAsia" w:ascii="仿宋" w:hAnsi="仿宋" w:cs="仿宋"/>
                <w:color w:val="auto"/>
                <w:highlight w:val="none"/>
              </w:rPr>
              <w:t>2</w:t>
            </w:r>
          </w:p>
        </w:tc>
        <w:tc>
          <w:tcPr>
            <w:tcW w:w="1843" w:type="dxa"/>
            <w:tcBorders>
              <w:tl2br w:val="nil"/>
              <w:tr2bl w:val="nil"/>
            </w:tcBorders>
            <w:vAlign w:val="center"/>
          </w:tcPr>
          <w:p w14:paraId="657C9DD5">
            <w:pPr>
              <w:spacing w:line="288" w:lineRule="auto"/>
              <w:rPr>
                <w:rFonts w:hint="eastAsia" w:ascii="仿宋" w:hAnsi="仿宋" w:cs="仿宋"/>
                <w:color w:val="auto"/>
                <w:highlight w:val="none"/>
              </w:rPr>
            </w:pPr>
            <w:r>
              <w:rPr>
                <w:rFonts w:hint="eastAsia" w:ascii="仿宋" w:hAnsi="仿宋" w:cs="仿宋"/>
                <w:color w:val="auto"/>
                <w:highlight w:val="none"/>
              </w:rPr>
              <w:t>采购标的对应的中小企业划分标准所属行业</w:t>
            </w:r>
          </w:p>
        </w:tc>
        <w:tc>
          <w:tcPr>
            <w:tcW w:w="6095" w:type="dxa"/>
            <w:tcBorders>
              <w:tl2br w:val="nil"/>
              <w:tr2bl w:val="nil"/>
            </w:tcBorders>
            <w:vAlign w:val="center"/>
          </w:tcPr>
          <w:p w14:paraId="122FFE9C">
            <w:pPr>
              <w:pStyle w:val="2"/>
              <w:rPr>
                <w:rFonts w:hint="eastAsia" w:ascii="仿宋" w:hAnsi="仿宋" w:cs="仿宋"/>
                <w:color w:val="auto"/>
                <w:highlight w:val="none"/>
              </w:rPr>
            </w:pPr>
            <w:r>
              <w:rPr>
                <w:rFonts w:hint="eastAsia" w:ascii="仿宋" w:hAnsi="仿宋" w:cs="仿宋"/>
                <w:color w:val="auto"/>
                <w:highlight w:val="none"/>
              </w:rPr>
              <w:t>标的：</w:t>
            </w:r>
            <w:r>
              <w:rPr>
                <w:rFonts w:hint="eastAsia" w:ascii="仿宋" w:hAnsi="仿宋" w:cs="仿宋"/>
                <w:color w:val="auto"/>
                <w:highlight w:val="none"/>
                <w:u w:val="single"/>
              </w:rPr>
              <w:t>杭州市萧山区海塘安澜工程（七甲船闸至赭山湾闸段海塘—省管段）项目建议书及堤脚冲刷研究</w:t>
            </w:r>
            <w:r>
              <w:rPr>
                <w:rFonts w:hint="eastAsia" w:ascii="仿宋" w:hAnsi="仿宋" w:cs="仿宋"/>
                <w:color w:val="auto"/>
                <w:highlight w:val="none"/>
              </w:rPr>
              <w:t>，属于</w:t>
            </w:r>
            <w:r>
              <w:rPr>
                <w:rFonts w:hint="eastAsia" w:ascii="仿宋" w:hAnsi="仿宋" w:cs="仿宋"/>
                <w:color w:val="auto"/>
                <w:highlight w:val="none"/>
                <w:u w:val="single"/>
                <w:lang w:val="en-US"/>
              </w:rPr>
              <w:t>其他未列明行业</w:t>
            </w:r>
            <w:r>
              <w:rPr>
                <w:rFonts w:hint="eastAsia" w:ascii="仿宋" w:hAnsi="仿宋" w:cs="仿宋"/>
                <w:color w:val="auto"/>
                <w:highlight w:val="none"/>
              </w:rPr>
              <w:t>。从业人员300人以下的为中小微型企业。其中，从业人员100人及以上的为中型企业；从业人员10人及以上的为小型企业；从业人员10人以下的为微型企业。</w:t>
            </w:r>
          </w:p>
        </w:tc>
      </w:tr>
      <w:tr w14:paraId="1B341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FC41696">
            <w:pPr>
              <w:spacing w:line="288" w:lineRule="auto"/>
              <w:jc w:val="center"/>
              <w:rPr>
                <w:rFonts w:hint="eastAsia" w:ascii="仿宋" w:hAnsi="仿宋" w:cs="仿宋"/>
                <w:color w:val="auto"/>
                <w:highlight w:val="none"/>
              </w:rPr>
            </w:pPr>
            <w:r>
              <w:rPr>
                <w:rFonts w:hint="eastAsia" w:ascii="仿宋" w:hAnsi="仿宋" w:cs="仿宋"/>
                <w:color w:val="auto"/>
                <w:highlight w:val="none"/>
              </w:rPr>
              <w:t>3</w:t>
            </w:r>
          </w:p>
        </w:tc>
        <w:tc>
          <w:tcPr>
            <w:tcW w:w="1843" w:type="dxa"/>
            <w:tcBorders>
              <w:tl2br w:val="nil"/>
              <w:tr2bl w:val="nil"/>
            </w:tcBorders>
            <w:vAlign w:val="center"/>
          </w:tcPr>
          <w:p w14:paraId="5497584B">
            <w:pPr>
              <w:spacing w:line="288" w:lineRule="auto"/>
              <w:jc w:val="center"/>
              <w:rPr>
                <w:rFonts w:hint="eastAsia" w:ascii="仿宋" w:hAnsi="仿宋" w:cs="仿宋"/>
                <w:b/>
                <w:color w:val="auto"/>
                <w:highlight w:val="none"/>
              </w:rPr>
            </w:pPr>
            <w:r>
              <w:rPr>
                <w:rFonts w:hint="eastAsia" w:ascii="仿宋" w:hAnsi="仿宋" w:cs="仿宋"/>
                <w:b/>
                <w:color w:val="auto"/>
                <w:highlight w:val="none"/>
              </w:rPr>
              <w:t>是否允许采购进口产品</w:t>
            </w:r>
          </w:p>
        </w:tc>
        <w:tc>
          <w:tcPr>
            <w:tcW w:w="6095" w:type="dxa"/>
            <w:tcBorders>
              <w:tl2br w:val="nil"/>
              <w:tr2bl w:val="nil"/>
            </w:tcBorders>
            <w:vAlign w:val="center"/>
          </w:tcPr>
          <w:p w14:paraId="024750E6">
            <w:pPr>
              <w:spacing w:line="288" w:lineRule="auto"/>
              <w:rPr>
                <w:rFonts w:hint="eastAsia" w:ascii="仿宋" w:hAnsi="仿宋" w:cs="仿宋"/>
                <w:color w:val="auto"/>
                <w:kern w:val="0"/>
                <w:highlight w:val="none"/>
              </w:rPr>
            </w:pPr>
            <w:sdt>
              <w:sdtPr>
                <w:rPr>
                  <w:rFonts w:hint="eastAsia" w:ascii="仿宋" w:hAnsi="仿宋" w:cs="仿宋"/>
                  <w:color w:val="auto"/>
                  <w:kern w:val="0"/>
                  <w:highlight w:val="none"/>
                </w:rPr>
                <w:id w:val="-1828425707"/>
                <w:showingPlcHdr/>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本项目不允许采购进口产品。</w:t>
            </w:r>
          </w:p>
          <w:p w14:paraId="78335DA2">
            <w:pPr>
              <w:spacing w:line="288" w:lineRule="auto"/>
              <w:rPr>
                <w:rFonts w:hint="eastAsia" w:ascii="仿宋" w:hAnsi="仿宋" w:cs="仿宋"/>
                <w:color w:val="auto"/>
                <w:highlight w:val="none"/>
              </w:rPr>
            </w:pPr>
            <w:sdt>
              <w:sdtPr>
                <w:rPr>
                  <w:rFonts w:hint="eastAsia" w:ascii="仿宋" w:hAnsi="仿宋" w:cs="仿宋"/>
                  <w:color w:val="auto"/>
                  <w:kern w:val="0"/>
                  <w:highlight w:val="none"/>
                </w:rPr>
                <w:id w:val="-52852824"/>
                <w:showingPlcHdr/>
              </w:sdtPr>
              <w:sdtEndPr>
                <w:rPr>
                  <w:rFonts w:hint="eastAsia" w:ascii="仿宋" w:hAnsi="仿宋" w:cs="仿宋"/>
                  <w:color w:val="auto"/>
                  <w:kern w:val="0"/>
                  <w:highlight w:val="none"/>
                </w:rPr>
              </w:sdtEndPr>
              <w:sdtContent/>
            </w:sdt>
            <w:r>
              <w:rPr>
                <w:rFonts w:hint="eastAsia" w:ascii="仿宋" w:hAnsi="仿宋" w:cs="仿宋"/>
                <w:color w:val="auto"/>
                <w:kern w:val="0"/>
                <w:highlight w:val="none"/>
              </w:rPr>
              <w:t>☐可以就采购进口产品。</w:t>
            </w:r>
          </w:p>
        </w:tc>
      </w:tr>
      <w:tr w14:paraId="223DF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0A54B9D">
            <w:pPr>
              <w:spacing w:line="288" w:lineRule="auto"/>
              <w:jc w:val="center"/>
              <w:rPr>
                <w:rFonts w:hint="eastAsia" w:ascii="仿宋" w:hAnsi="仿宋" w:cs="仿宋"/>
                <w:color w:val="auto"/>
                <w:highlight w:val="none"/>
              </w:rPr>
            </w:pPr>
            <w:r>
              <w:rPr>
                <w:rFonts w:hint="eastAsia" w:ascii="仿宋" w:hAnsi="仿宋" w:cs="仿宋"/>
                <w:color w:val="auto"/>
                <w:highlight w:val="none"/>
              </w:rPr>
              <w:t>4</w:t>
            </w:r>
          </w:p>
        </w:tc>
        <w:tc>
          <w:tcPr>
            <w:tcW w:w="1843" w:type="dxa"/>
            <w:tcBorders>
              <w:tl2br w:val="nil"/>
              <w:tr2bl w:val="nil"/>
            </w:tcBorders>
            <w:vAlign w:val="center"/>
          </w:tcPr>
          <w:p w14:paraId="19920D55">
            <w:pPr>
              <w:spacing w:line="288" w:lineRule="auto"/>
              <w:jc w:val="center"/>
              <w:rPr>
                <w:rFonts w:hint="eastAsia" w:ascii="仿宋" w:hAnsi="仿宋" w:cs="仿宋"/>
                <w:b/>
                <w:color w:val="auto"/>
                <w:highlight w:val="none"/>
              </w:rPr>
            </w:pPr>
            <w:r>
              <w:rPr>
                <w:rFonts w:hint="eastAsia" w:ascii="仿宋" w:hAnsi="仿宋" w:cs="仿宋"/>
                <w:b/>
                <w:color w:val="auto"/>
                <w:highlight w:val="none"/>
              </w:rPr>
              <w:t>分包</w:t>
            </w:r>
          </w:p>
        </w:tc>
        <w:tc>
          <w:tcPr>
            <w:tcW w:w="6095" w:type="dxa"/>
            <w:tcBorders>
              <w:tl2br w:val="nil"/>
              <w:tr2bl w:val="nil"/>
            </w:tcBorders>
            <w:vAlign w:val="center"/>
          </w:tcPr>
          <w:p w14:paraId="0443E168">
            <w:pPr>
              <w:spacing w:line="288" w:lineRule="auto"/>
              <w:rPr>
                <w:rFonts w:hint="eastAsia" w:ascii="仿宋" w:hAnsi="仿宋" w:cs="仿宋"/>
                <w:color w:val="auto"/>
                <w:highlight w:val="none"/>
              </w:rPr>
            </w:pPr>
            <w:sdt>
              <w:sdtPr>
                <w:rPr>
                  <w:rFonts w:hint="eastAsia" w:ascii="仿宋" w:hAnsi="仿宋" w:cs="仿宋"/>
                  <w:color w:val="auto"/>
                  <w:kern w:val="0"/>
                  <w:highlight w:val="none"/>
                </w:rPr>
                <w:id w:val="147478965"/>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47472105"/>
                    <w:showingPlcHdr/>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sdtContent>
            </w:sdt>
            <w:r>
              <w:rPr>
                <w:rFonts w:hint="eastAsia" w:ascii="仿宋" w:hAnsi="仿宋" w:cs="仿宋"/>
                <w:color w:val="auto"/>
                <w:kern w:val="0"/>
                <w:highlight w:val="none"/>
              </w:rPr>
              <w:t>A</w:t>
            </w:r>
            <w:r>
              <w:rPr>
                <w:rFonts w:hint="eastAsia" w:ascii="仿宋" w:hAnsi="仿宋" w:cs="仿宋"/>
                <w:color w:val="auto"/>
                <w:highlight w:val="none"/>
              </w:rPr>
              <w:t>同意将非主体、非关键性的</w:t>
            </w:r>
            <w:r>
              <w:rPr>
                <w:rFonts w:hint="eastAsia" w:ascii="仿宋" w:hAnsi="仿宋" w:cs="仿宋"/>
                <w:color w:val="auto"/>
                <w:highlight w:val="none"/>
                <w:u w:val="single"/>
              </w:rPr>
              <w:t xml:space="preserve"> 堤脚冲刷</w:t>
            </w:r>
            <w:r>
              <w:rPr>
                <w:rFonts w:hint="eastAsia" w:ascii="仿宋" w:hAnsi="仿宋" w:cs="仿宋"/>
                <w:color w:val="auto"/>
                <w:highlight w:val="none"/>
                <w:u w:val="single"/>
                <w:lang w:val="en-US" w:eastAsia="zh-CN"/>
              </w:rPr>
              <w:t>专题研究、交叉建筑物调查评估专题研究、陆域地形测量</w:t>
            </w:r>
            <w:r>
              <w:rPr>
                <w:rFonts w:hint="eastAsia" w:ascii="仿宋" w:hAnsi="仿宋" w:cs="仿宋"/>
                <w:color w:val="auto"/>
                <w:highlight w:val="none"/>
                <w:u w:val="single"/>
              </w:rPr>
              <w:t xml:space="preserve"> </w:t>
            </w:r>
            <w:r>
              <w:rPr>
                <w:rFonts w:hint="eastAsia" w:ascii="仿宋" w:hAnsi="仿宋" w:cs="仿宋"/>
                <w:color w:val="auto"/>
                <w:highlight w:val="none"/>
              </w:rPr>
              <w:t>工作分包。</w:t>
            </w:r>
          </w:p>
          <w:p w14:paraId="74E3195B">
            <w:pPr>
              <w:spacing w:line="288" w:lineRule="auto"/>
              <w:rPr>
                <w:rFonts w:hint="eastAsia" w:ascii="仿宋" w:hAnsi="仿宋" w:cs="仿宋"/>
                <w:color w:val="auto"/>
                <w:highlight w:val="none"/>
              </w:rPr>
            </w:pPr>
            <w:sdt>
              <w:sdtPr>
                <w:rPr>
                  <w:rFonts w:hint="eastAsia" w:ascii="仿宋" w:hAnsi="仿宋" w:cs="仿宋"/>
                  <w:color w:val="auto"/>
                  <w:kern w:val="0"/>
                  <w:highlight w:val="none"/>
                </w:rPr>
                <w:id w:val="-1276331357"/>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47458041"/>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sdtContent>
            </w:sdt>
            <w:r>
              <w:rPr>
                <w:rFonts w:hint="eastAsia" w:ascii="仿宋" w:hAnsi="仿宋" w:cs="仿宋"/>
                <w:color w:val="auto"/>
                <w:kern w:val="0"/>
                <w:highlight w:val="none"/>
              </w:rPr>
              <w:t>B</w:t>
            </w:r>
            <w:r>
              <w:rPr>
                <w:rFonts w:hint="eastAsia" w:ascii="仿宋" w:hAnsi="仿宋" w:cs="仿宋"/>
                <w:color w:val="auto"/>
                <w:highlight w:val="none"/>
              </w:rPr>
              <w:t>不同意分包。</w:t>
            </w:r>
          </w:p>
          <w:p w14:paraId="0470CD6F">
            <w:pPr>
              <w:spacing w:line="288" w:lineRule="auto"/>
              <w:rPr>
                <w:rFonts w:hint="eastAsia" w:ascii="仿宋" w:hAnsi="仿宋" w:cs="仿宋"/>
                <w:color w:val="auto"/>
                <w:highlight w:val="none"/>
              </w:rPr>
            </w:pPr>
            <w:r>
              <w:rPr>
                <w:rFonts w:hint="eastAsia" w:ascii="仿宋" w:hAnsi="仿宋" w:cs="仿宋"/>
                <w:color w:val="auto"/>
                <w:highlight w:val="none"/>
              </w:rPr>
              <w:t>注：不得限制大中型企业向小微企业合理分包。</w:t>
            </w:r>
          </w:p>
        </w:tc>
      </w:tr>
      <w:tr w14:paraId="5E083D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0AE4C09">
            <w:pPr>
              <w:spacing w:line="288" w:lineRule="auto"/>
              <w:jc w:val="center"/>
              <w:rPr>
                <w:rFonts w:hint="eastAsia" w:ascii="仿宋" w:hAnsi="仿宋" w:cs="仿宋"/>
                <w:color w:val="auto"/>
                <w:highlight w:val="none"/>
              </w:rPr>
            </w:pPr>
            <w:r>
              <w:rPr>
                <w:rFonts w:hint="eastAsia" w:ascii="仿宋" w:hAnsi="仿宋" w:cs="仿宋"/>
                <w:color w:val="auto"/>
                <w:highlight w:val="none"/>
              </w:rPr>
              <w:t>5</w:t>
            </w:r>
          </w:p>
        </w:tc>
        <w:tc>
          <w:tcPr>
            <w:tcW w:w="1843" w:type="dxa"/>
            <w:tcBorders>
              <w:tl2br w:val="nil"/>
              <w:tr2bl w:val="nil"/>
            </w:tcBorders>
            <w:vAlign w:val="center"/>
          </w:tcPr>
          <w:p w14:paraId="12884F5A">
            <w:pPr>
              <w:spacing w:line="288" w:lineRule="auto"/>
              <w:jc w:val="center"/>
              <w:rPr>
                <w:rFonts w:hint="eastAsia" w:ascii="仿宋" w:hAnsi="仿宋" w:cs="仿宋"/>
                <w:b/>
                <w:color w:val="auto"/>
                <w:highlight w:val="none"/>
              </w:rPr>
            </w:pPr>
            <w:r>
              <w:rPr>
                <w:rFonts w:hint="eastAsia" w:ascii="仿宋" w:hAnsi="仿宋" w:cs="仿宋"/>
                <w:b/>
                <w:color w:val="auto"/>
                <w:highlight w:val="none"/>
              </w:rPr>
              <w:t>开标前答疑会或现场考察</w:t>
            </w:r>
          </w:p>
        </w:tc>
        <w:tc>
          <w:tcPr>
            <w:tcW w:w="6095" w:type="dxa"/>
            <w:tcBorders>
              <w:tl2br w:val="nil"/>
              <w:tr2bl w:val="nil"/>
            </w:tcBorders>
            <w:vAlign w:val="center"/>
          </w:tcPr>
          <w:p w14:paraId="50ACF99F">
            <w:pPr>
              <w:spacing w:line="288" w:lineRule="auto"/>
              <w:rPr>
                <w:rFonts w:hint="eastAsia" w:ascii="仿宋" w:hAnsi="仿宋" w:cs="仿宋"/>
                <w:color w:val="auto"/>
                <w:highlight w:val="none"/>
              </w:rPr>
            </w:pPr>
            <w:sdt>
              <w:sdtPr>
                <w:rPr>
                  <w:rFonts w:hint="eastAsia" w:ascii="仿宋" w:hAnsi="仿宋" w:cs="仿宋"/>
                  <w:color w:val="auto"/>
                  <w:kern w:val="0"/>
                  <w:highlight w:val="none"/>
                </w:rPr>
                <w:id w:val="-999802974"/>
                <w:showingPlcHdr/>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A</w:t>
            </w:r>
            <w:r>
              <w:rPr>
                <w:rFonts w:hint="eastAsia" w:ascii="仿宋" w:hAnsi="仿宋" w:cs="仿宋"/>
                <w:color w:val="auto"/>
                <w:highlight w:val="none"/>
              </w:rPr>
              <w:t>不组织。</w:t>
            </w:r>
          </w:p>
          <w:p w14:paraId="0704EC91">
            <w:pPr>
              <w:spacing w:line="288" w:lineRule="auto"/>
              <w:rPr>
                <w:rFonts w:hint="eastAsia" w:ascii="仿宋" w:hAnsi="仿宋" w:cs="仿宋"/>
                <w:color w:val="auto"/>
                <w:sz w:val="24"/>
                <w:szCs w:val="24"/>
                <w:highlight w:val="none"/>
              </w:rPr>
            </w:pPr>
            <w:r>
              <w:rPr>
                <w:rFonts w:hint="eastAsia" w:ascii="仿宋" w:hAnsi="仿宋" w:cs="仿宋"/>
                <w:color w:val="auto"/>
                <w:kern w:val="2"/>
                <w:sz w:val="24"/>
                <w:highlight w:val="none"/>
              </w:rPr>
              <w:t>☐B组织，</w:t>
            </w:r>
            <w:r>
              <w:rPr>
                <w:rFonts w:hint="eastAsia" w:ascii="仿宋" w:hAnsi="仿宋" w:cs="仿宋"/>
                <w:color w:val="auto"/>
                <w:sz w:val="24"/>
                <w:highlight w:val="none"/>
              </w:rPr>
              <w:t>时间：</w:t>
            </w:r>
            <w:r>
              <w:rPr>
                <w:rFonts w:hint="eastAsia" w:ascii="仿宋" w:hAnsi="仿宋" w:cs="仿宋"/>
                <w:color w:val="auto"/>
                <w:sz w:val="24"/>
                <w:highlight w:val="none"/>
                <w:u w:val="none"/>
              </w:rPr>
              <w:t xml:space="preserve">      </w:t>
            </w:r>
            <w:r>
              <w:rPr>
                <w:rFonts w:hint="eastAsia" w:ascii="仿宋" w:hAnsi="仿宋" w:cs="仿宋"/>
                <w:color w:val="auto"/>
                <w:sz w:val="24"/>
                <w:highlight w:val="none"/>
              </w:rPr>
              <w:t>,地点：</w:t>
            </w:r>
            <w:r>
              <w:rPr>
                <w:rFonts w:hint="eastAsia" w:ascii="仿宋" w:hAnsi="仿宋" w:cs="仿宋"/>
                <w:color w:val="auto"/>
                <w:sz w:val="24"/>
                <w:highlight w:val="none"/>
                <w:u w:val="none"/>
              </w:rPr>
              <w:t xml:space="preserve">      </w:t>
            </w:r>
            <w:r>
              <w:rPr>
                <w:rFonts w:hint="eastAsia" w:ascii="仿宋" w:hAnsi="仿宋" w:cs="仿宋"/>
                <w:color w:val="auto"/>
                <w:sz w:val="24"/>
                <w:highlight w:val="none"/>
              </w:rPr>
              <w:t>，联系人：</w:t>
            </w:r>
            <w:r>
              <w:rPr>
                <w:rFonts w:hint="eastAsia" w:ascii="仿宋" w:hAnsi="仿宋" w:cs="仿宋"/>
                <w:color w:val="auto"/>
                <w:sz w:val="24"/>
                <w:highlight w:val="none"/>
                <w:u w:val="none"/>
              </w:rPr>
              <w:t xml:space="preserve">      </w:t>
            </w:r>
            <w:r>
              <w:rPr>
                <w:rFonts w:hint="eastAsia" w:ascii="仿宋" w:hAnsi="仿宋" w:cs="仿宋"/>
                <w:color w:val="auto"/>
                <w:sz w:val="24"/>
                <w:highlight w:val="none"/>
              </w:rPr>
              <w:t>，联系方式：</w:t>
            </w:r>
            <w:r>
              <w:rPr>
                <w:rFonts w:hint="eastAsia" w:ascii="仿宋" w:hAnsi="仿宋" w:cs="仿宋"/>
                <w:color w:val="auto"/>
                <w:sz w:val="24"/>
                <w:highlight w:val="none"/>
                <w:u w:val="none"/>
              </w:rPr>
              <w:t xml:space="preserve">      </w:t>
            </w:r>
            <w:r>
              <w:rPr>
                <w:rFonts w:hint="eastAsia" w:ascii="仿宋" w:hAnsi="仿宋" w:cs="仿宋"/>
                <w:color w:val="auto"/>
                <w:sz w:val="24"/>
                <w:szCs w:val="24"/>
                <w:highlight w:val="none"/>
              </w:rPr>
              <w:t>。</w:t>
            </w:r>
          </w:p>
          <w:p w14:paraId="5BACD8EA">
            <w:pPr>
              <w:spacing w:line="288" w:lineRule="auto"/>
              <w:rPr>
                <w:rFonts w:hint="eastAsia" w:ascii="仿宋" w:hAnsi="仿宋" w:cs="仿宋"/>
                <w:color w:val="auto"/>
                <w:szCs w:val="20"/>
                <w:highlight w:val="none"/>
              </w:rPr>
            </w:pPr>
            <w:r>
              <w:rPr>
                <w:rFonts w:hint="eastAsia" w:ascii="仿宋" w:hAnsi="仿宋" w:eastAsia="仿宋" w:cs="仿宋"/>
                <w:color w:val="auto"/>
                <w:kern w:val="2"/>
                <w:sz w:val="24"/>
                <w:szCs w:val="24"/>
                <w:highlight w:val="none"/>
                <w:lang w:val="en-US" w:eastAsia="zh-CN" w:bidi="ar-SA"/>
              </w:rPr>
              <w:t>☐C不统一组织，供应商在获取采购文件后，自行至项目现场考察。地点： ，联系人： ，联系方式： 。</w:t>
            </w:r>
          </w:p>
        </w:tc>
      </w:tr>
      <w:tr w14:paraId="5CD48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B20DE35">
            <w:pPr>
              <w:spacing w:line="288" w:lineRule="auto"/>
              <w:jc w:val="center"/>
              <w:rPr>
                <w:rFonts w:hint="eastAsia" w:ascii="仿宋" w:hAnsi="仿宋" w:cs="仿宋"/>
                <w:color w:val="auto"/>
                <w:highlight w:val="none"/>
              </w:rPr>
            </w:pPr>
            <w:r>
              <w:rPr>
                <w:rFonts w:hint="eastAsia" w:ascii="仿宋" w:hAnsi="仿宋" w:cs="仿宋"/>
                <w:color w:val="auto"/>
                <w:highlight w:val="none"/>
              </w:rPr>
              <w:t>6</w:t>
            </w:r>
          </w:p>
        </w:tc>
        <w:tc>
          <w:tcPr>
            <w:tcW w:w="1843" w:type="dxa"/>
            <w:tcBorders>
              <w:tl2br w:val="nil"/>
              <w:tr2bl w:val="nil"/>
            </w:tcBorders>
            <w:vAlign w:val="center"/>
          </w:tcPr>
          <w:p w14:paraId="76DC5BBF">
            <w:pPr>
              <w:spacing w:line="288" w:lineRule="auto"/>
              <w:jc w:val="center"/>
              <w:rPr>
                <w:rFonts w:hint="eastAsia" w:ascii="仿宋" w:hAnsi="仿宋" w:cs="仿宋"/>
                <w:b/>
                <w:color w:val="auto"/>
                <w:highlight w:val="none"/>
              </w:rPr>
            </w:pPr>
            <w:r>
              <w:rPr>
                <w:rFonts w:hint="eastAsia" w:ascii="仿宋" w:hAnsi="仿宋" w:cs="仿宋"/>
                <w:b/>
                <w:color w:val="auto"/>
                <w:highlight w:val="none"/>
              </w:rPr>
              <w:t>样品提供</w:t>
            </w:r>
          </w:p>
        </w:tc>
        <w:tc>
          <w:tcPr>
            <w:tcW w:w="6095" w:type="dxa"/>
            <w:tcBorders>
              <w:tl2br w:val="nil"/>
              <w:tr2bl w:val="nil"/>
            </w:tcBorders>
            <w:vAlign w:val="center"/>
          </w:tcPr>
          <w:p w14:paraId="469E6AEC">
            <w:pPr>
              <w:spacing w:line="288" w:lineRule="auto"/>
              <w:rPr>
                <w:rFonts w:hint="eastAsia" w:ascii="仿宋" w:hAnsi="仿宋" w:cs="仿宋"/>
                <w:color w:val="auto"/>
                <w:highlight w:val="none"/>
              </w:rPr>
            </w:pPr>
            <w:sdt>
              <w:sdtPr>
                <w:rPr>
                  <w:rFonts w:hint="eastAsia" w:ascii="仿宋" w:hAnsi="仿宋" w:cs="仿宋"/>
                  <w:color w:val="auto"/>
                  <w:kern w:val="0"/>
                  <w:highlight w:val="none"/>
                </w:rPr>
                <w:id w:val="-1639946486"/>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A</w:t>
            </w:r>
            <w:r>
              <w:rPr>
                <w:rFonts w:hint="eastAsia" w:ascii="仿宋" w:hAnsi="仿宋" w:cs="仿宋"/>
                <w:color w:val="auto"/>
                <w:highlight w:val="none"/>
              </w:rPr>
              <w:t>不要求提供。</w:t>
            </w:r>
          </w:p>
          <w:p w14:paraId="7CAFE20E">
            <w:pPr>
              <w:spacing w:line="288" w:lineRule="auto"/>
              <w:rPr>
                <w:rFonts w:hint="eastAsia" w:ascii="仿宋" w:hAnsi="仿宋" w:cs="仿宋"/>
                <w:color w:val="auto"/>
                <w:kern w:val="0"/>
                <w:highlight w:val="none"/>
              </w:rPr>
            </w:pPr>
            <w:sdt>
              <w:sdtPr>
                <w:rPr>
                  <w:rFonts w:hint="eastAsia" w:ascii="仿宋" w:hAnsi="仿宋" w:cs="仿宋"/>
                  <w:color w:val="auto"/>
                  <w:kern w:val="0"/>
                  <w:highlight w:val="none"/>
                </w:rPr>
                <w:id w:val="1026831988"/>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B要求提供，</w:t>
            </w:r>
          </w:p>
          <w:p w14:paraId="0A0692C8">
            <w:pPr>
              <w:numPr>
                <w:ilvl w:val="0"/>
                <w:numId w:val="2"/>
              </w:numPr>
              <w:spacing w:line="288" w:lineRule="auto"/>
              <w:ind w:left="0" w:firstLine="0"/>
              <w:rPr>
                <w:rFonts w:hint="eastAsia" w:ascii="仿宋" w:hAnsi="仿宋" w:cs="仿宋"/>
                <w:color w:val="auto"/>
                <w:kern w:val="0"/>
                <w:highlight w:val="none"/>
              </w:rPr>
            </w:pPr>
            <w:r>
              <w:rPr>
                <w:rFonts w:hint="eastAsia" w:ascii="仿宋" w:hAnsi="仿宋" w:cs="仿宋"/>
                <w:snapToGrid w:val="0"/>
                <w:color w:val="auto"/>
                <w:kern w:val="28"/>
                <w:highlight w:val="none"/>
              </w:rPr>
              <w:t>样品：/</w:t>
            </w:r>
            <w:r>
              <w:rPr>
                <w:rFonts w:hint="eastAsia" w:ascii="仿宋" w:hAnsi="仿宋" w:cs="仿宋"/>
                <w:color w:val="auto"/>
                <w:kern w:val="0"/>
                <w:highlight w:val="none"/>
              </w:rPr>
              <w:t>；</w:t>
            </w:r>
          </w:p>
          <w:p w14:paraId="79EA7E36">
            <w:pPr>
              <w:numPr>
                <w:ilvl w:val="0"/>
                <w:numId w:val="2"/>
              </w:numPr>
              <w:spacing w:line="288" w:lineRule="auto"/>
              <w:ind w:left="0" w:firstLine="0"/>
              <w:rPr>
                <w:rFonts w:hint="eastAsia" w:ascii="仿宋" w:hAnsi="仿宋" w:cs="仿宋"/>
                <w:color w:val="auto"/>
                <w:kern w:val="0"/>
                <w:highlight w:val="none"/>
              </w:rPr>
            </w:pPr>
            <w:r>
              <w:rPr>
                <w:rFonts w:hint="eastAsia" w:ascii="仿宋" w:hAnsi="仿宋" w:cs="仿宋"/>
                <w:snapToGrid w:val="0"/>
                <w:color w:val="auto"/>
                <w:kern w:val="28"/>
                <w:highlight w:val="none"/>
              </w:rPr>
              <w:t>样品制作的标准和要求：</w:t>
            </w:r>
            <w:r>
              <w:rPr>
                <w:rFonts w:hint="eastAsia" w:ascii="仿宋" w:hAnsi="仿宋" w:cs="仿宋"/>
                <w:color w:val="auto"/>
                <w:kern w:val="0"/>
                <w:highlight w:val="none"/>
              </w:rPr>
              <w:t>；</w:t>
            </w:r>
          </w:p>
          <w:p w14:paraId="6229B9D8">
            <w:pPr>
              <w:numPr>
                <w:ilvl w:val="0"/>
                <w:numId w:val="2"/>
              </w:numPr>
              <w:spacing w:line="288" w:lineRule="auto"/>
              <w:ind w:left="0" w:firstLine="0"/>
              <w:rPr>
                <w:rFonts w:hint="eastAsia" w:ascii="仿宋" w:hAnsi="仿宋" w:cs="仿宋"/>
                <w:color w:val="auto"/>
                <w:kern w:val="0"/>
                <w:highlight w:val="none"/>
              </w:rPr>
            </w:pPr>
            <w:r>
              <w:rPr>
                <w:rFonts w:hint="eastAsia" w:ascii="仿宋" w:hAnsi="仿宋" w:cs="仿宋"/>
                <w:color w:val="auto"/>
                <w:kern w:val="0"/>
                <w:highlight w:val="none"/>
              </w:rPr>
              <w:t>样品的评审方法以及评审标准</w:t>
            </w:r>
            <w:r>
              <w:rPr>
                <w:rFonts w:hint="eastAsia" w:ascii="仿宋" w:hAnsi="仿宋" w:cs="仿宋"/>
                <w:snapToGrid w:val="0"/>
                <w:color w:val="auto"/>
                <w:kern w:val="28"/>
                <w:highlight w:val="none"/>
              </w:rPr>
              <w:t>：详见</w:t>
            </w:r>
            <w:r>
              <w:rPr>
                <w:rFonts w:hint="eastAsia" w:ascii="仿宋" w:hAnsi="仿宋" w:cs="仿宋"/>
                <w:color w:val="auto"/>
                <w:highlight w:val="none"/>
                <w:u w:val="single"/>
              </w:rPr>
              <w:t>评标办法</w:t>
            </w:r>
            <w:r>
              <w:rPr>
                <w:rFonts w:hint="eastAsia" w:ascii="仿宋" w:hAnsi="仿宋" w:cs="仿宋"/>
                <w:color w:val="auto"/>
                <w:kern w:val="0"/>
                <w:highlight w:val="none"/>
              </w:rPr>
              <w:t>；</w:t>
            </w:r>
          </w:p>
          <w:p w14:paraId="793F9DAE">
            <w:pPr>
              <w:numPr>
                <w:ilvl w:val="0"/>
                <w:numId w:val="2"/>
              </w:numPr>
              <w:spacing w:line="288" w:lineRule="auto"/>
              <w:ind w:left="0" w:firstLine="0"/>
              <w:rPr>
                <w:rFonts w:hint="eastAsia" w:ascii="仿宋" w:hAnsi="仿宋" w:cs="仿宋"/>
                <w:color w:val="auto"/>
                <w:kern w:val="0"/>
                <w:highlight w:val="none"/>
              </w:rPr>
            </w:pPr>
            <w:r>
              <w:rPr>
                <w:rFonts w:hint="eastAsia" w:ascii="仿宋" w:hAnsi="仿宋" w:cs="仿宋"/>
                <w:color w:val="auto"/>
                <w:kern w:val="0"/>
                <w:highlight w:val="none"/>
              </w:rPr>
              <w:t>是否需要随样品提交检测报告：</w:t>
            </w:r>
            <w:sdt>
              <w:sdtPr>
                <w:rPr>
                  <w:rFonts w:hint="eastAsia" w:ascii="仿宋" w:hAnsi="仿宋" w:cs="仿宋"/>
                  <w:color w:val="auto"/>
                  <w:kern w:val="0"/>
                  <w:highlight w:val="none"/>
                </w:rPr>
                <w:id w:val="1303421454"/>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否；</w:t>
            </w:r>
            <w:sdt>
              <w:sdtPr>
                <w:rPr>
                  <w:rFonts w:hint="eastAsia" w:ascii="仿宋" w:hAnsi="仿宋" w:cs="仿宋"/>
                  <w:color w:val="auto"/>
                  <w:kern w:val="0"/>
                  <w:highlight w:val="none"/>
                </w:rPr>
                <w:id w:val="1621728433"/>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kern w:val="0"/>
                <w:highlight w:val="none"/>
              </w:rPr>
              <w:t>是，检测机构的要求</w:t>
            </w:r>
            <w:r>
              <w:rPr>
                <w:rFonts w:hint="eastAsia" w:ascii="仿宋" w:hAnsi="仿宋" w:cs="仿宋"/>
                <w:color w:val="auto"/>
                <w:highlight w:val="none"/>
              </w:rPr>
              <w:t>：</w:t>
            </w:r>
            <w:r>
              <w:rPr>
                <w:rFonts w:hint="eastAsia" w:ascii="仿宋" w:hAnsi="仿宋" w:cs="仿宋"/>
                <w:color w:val="auto"/>
                <w:kern w:val="0"/>
                <w:highlight w:val="none"/>
              </w:rPr>
              <w:t>；检测内容</w:t>
            </w:r>
            <w:r>
              <w:rPr>
                <w:rFonts w:hint="eastAsia" w:ascii="仿宋" w:hAnsi="仿宋" w:cs="仿宋"/>
                <w:color w:val="auto"/>
                <w:highlight w:val="none"/>
              </w:rPr>
              <w:t>：</w:t>
            </w:r>
            <w:r>
              <w:rPr>
                <w:rFonts w:hint="eastAsia" w:ascii="仿宋" w:hAnsi="仿宋" w:cs="仿宋"/>
                <w:color w:val="auto"/>
                <w:kern w:val="0"/>
                <w:highlight w:val="none"/>
              </w:rPr>
              <w:t>。</w:t>
            </w:r>
          </w:p>
          <w:p w14:paraId="0E88005C">
            <w:pPr>
              <w:numPr>
                <w:ilvl w:val="0"/>
                <w:numId w:val="2"/>
              </w:numPr>
              <w:spacing w:line="288" w:lineRule="auto"/>
              <w:ind w:left="0" w:firstLine="0"/>
              <w:rPr>
                <w:rFonts w:hint="eastAsia" w:ascii="仿宋" w:hAnsi="仿宋" w:cs="仿宋"/>
                <w:color w:val="auto"/>
                <w:highlight w:val="none"/>
              </w:rPr>
            </w:pPr>
            <w:r>
              <w:rPr>
                <w:rFonts w:hint="eastAsia" w:ascii="仿宋" w:hAnsi="仿宋" w:cs="仿宋"/>
                <w:color w:val="auto"/>
                <w:highlight w:val="none"/>
              </w:rPr>
              <w:t>提供样品的时间：</w:t>
            </w:r>
            <w:r>
              <w:rPr>
                <w:rFonts w:hint="eastAsia" w:ascii="仿宋" w:hAnsi="仿宋" w:cs="仿宋"/>
                <w:color w:val="auto"/>
                <w:kern w:val="0"/>
                <w:highlight w:val="none"/>
              </w:rPr>
              <w:t>；地点：；联系人</w:t>
            </w:r>
            <w:r>
              <w:rPr>
                <w:rFonts w:hint="eastAsia" w:ascii="仿宋" w:hAnsi="仿宋" w:cs="仿宋"/>
                <w:color w:val="auto"/>
                <w:highlight w:val="none"/>
              </w:rPr>
              <w:t>：，</w:t>
            </w:r>
            <w:r>
              <w:rPr>
                <w:rFonts w:hint="eastAsia" w:ascii="仿宋" w:hAnsi="仿宋" w:cs="仿宋"/>
                <w:color w:val="auto"/>
                <w:kern w:val="28"/>
                <w:highlight w:val="none"/>
              </w:rPr>
              <w:t>联系电话：</w:t>
            </w:r>
            <w:r>
              <w:rPr>
                <w:rFonts w:hint="eastAsia" w:ascii="仿宋" w:hAnsi="仿宋" w:cs="仿宋"/>
                <w:color w:val="auto"/>
                <w:highlight w:val="none"/>
              </w:rPr>
              <w:t>。请投标人在上述时间内提供样品并按规定位置安装完毕。超过截止时间的，采购人或采购代理机构将不予接收，并将清场并封闭样品现场。</w:t>
            </w:r>
          </w:p>
          <w:p w14:paraId="60DEAB13">
            <w:pPr>
              <w:numPr>
                <w:ilvl w:val="0"/>
                <w:numId w:val="2"/>
              </w:numPr>
              <w:spacing w:line="288" w:lineRule="auto"/>
              <w:ind w:left="0" w:firstLine="0"/>
              <w:rPr>
                <w:rFonts w:hint="eastAsia" w:ascii="仿宋" w:hAnsi="仿宋" w:cs="仿宋"/>
                <w:b/>
                <w:color w:val="auto"/>
                <w:highlight w:val="none"/>
              </w:rPr>
            </w:pPr>
            <w:r>
              <w:rPr>
                <w:rFonts w:hint="eastAsia" w:ascii="仿宋" w:hAnsi="仿宋" w:cs="仿宋"/>
                <w:color w:val="auto"/>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F4E35C">
            <w:pPr>
              <w:numPr>
                <w:ilvl w:val="0"/>
                <w:numId w:val="2"/>
              </w:numPr>
              <w:spacing w:line="288" w:lineRule="auto"/>
              <w:ind w:left="0" w:firstLine="0"/>
              <w:rPr>
                <w:rFonts w:hint="eastAsia" w:ascii="仿宋" w:hAnsi="仿宋" w:cs="仿宋"/>
                <w:b/>
                <w:color w:val="auto"/>
                <w:highlight w:val="none"/>
              </w:rPr>
            </w:pPr>
            <w:r>
              <w:rPr>
                <w:rFonts w:hint="eastAsia" w:ascii="仿宋" w:hAnsi="仿宋" w:cs="仿宋"/>
                <w:color w:val="auto"/>
                <w:highlight w:val="none"/>
              </w:rPr>
              <w:t>制作、运输、安装和保管样品所发生的一切费用由投标人自理。</w:t>
            </w:r>
          </w:p>
        </w:tc>
      </w:tr>
      <w:tr w14:paraId="2C319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1813EA9">
            <w:pPr>
              <w:spacing w:line="288" w:lineRule="auto"/>
              <w:jc w:val="center"/>
              <w:rPr>
                <w:rFonts w:hint="eastAsia" w:ascii="仿宋" w:hAnsi="仿宋" w:cs="仿宋"/>
                <w:color w:val="auto"/>
                <w:highlight w:val="none"/>
              </w:rPr>
            </w:pPr>
            <w:r>
              <w:rPr>
                <w:rFonts w:hint="eastAsia" w:ascii="仿宋" w:hAnsi="仿宋" w:cs="仿宋"/>
                <w:color w:val="auto"/>
                <w:highlight w:val="none"/>
              </w:rPr>
              <w:t>7</w:t>
            </w:r>
          </w:p>
        </w:tc>
        <w:tc>
          <w:tcPr>
            <w:tcW w:w="1843" w:type="dxa"/>
            <w:tcBorders>
              <w:tl2br w:val="nil"/>
              <w:tr2bl w:val="nil"/>
            </w:tcBorders>
            <w:vAlign w:val="center"/>
          </w:tcPr>
          <w:p w14:paraId="092CB3B6">
            <w:pPr>
              <w:spacing w:line="288" w:lineRule="auto"/>
              <w:jc w:val="center"/>
              <w:rPr>
                <w:rFonts w:hint="eastAsia" w:ascii="仿宋" w:hAnsi="仿宋" w:cs="仿宋"/>
                <w:bCs/>
                <w:color w:val="auto"/>
                <w:highlight w:val="none"/>
              </w:rPr>
            </w:pPr>
            <w:r>
              <w:rPr>
                <w:rFonts w:hint="eastAsia" w:ascii="仿宋" w:hAnsi="仿宋" w:cs="仿宋"/>
                <w:b/>
                <w:color w:val="auto"/>
                <w:highlight w:val="none"/>
              </w:rPr>
              <w:t>方案讲解演示</w:t>
            </w:r>
          </w:p>
        </w:tc>
        <w:tc>
          <w:tcPr>
            <w:tcW w:w="6095" w:type="dxa"/>
            <w:tcBorders>
              <w:tl2br w:val="nil"/>
              <w:tr2bl w:val="nil"/>
            </w:tcBorders>
            <w:vAlign w:val="center"/>
          </w:tcPr>
          <w:p w14:paraId="405750A0">
            <w:pPr>
              <w:spacing w:line="288" w:lineRule="auto"/>
              <w:rPr>
                <w:color w:val="auto"/>
                <w:highlight w:val="none"/>
              </w:rPr>
            </w:pPr>
            <w:sdt>
              <w:sdtPr>
                <w:rPr>
                  <w:rFonts w:hint="eastAsia"/>
                  <w:color w:val="auto"/>
                  <w:highlight w:val="none"/>
                </w:rPr>
                <w:id w:val="-1859348549"/>
              </w:sdtPr>
              <w:sdtEndPr>
                <w:rPr>
                  <w:rFonts w:hint="eastAsia"/>
                  <w:color w:val="auto"/>
                  <w:highlight w:val="none"/>
                </w:rPr>
              </w:sdtEndPr>
              <w:sdtContent/>
            </w:sdt>
            <w:sdt>
              <w:sdtPr>
                <w:rPr>
                  <w:rFonts w:hint="eastAsia"/>
                  <w:color w:val="auto"/>
                  <w:highlight w:val="none"/>
                </w:rPr>
                <w:id w:val="-1337920974"/>
              </w:sdtPr>
              <w:sdtEndPr>
                <w:rPr>
                  <w:rFonts w:hint="eastAsia"/>
                  <w:color w:val="auto"/>
                  <w:highlight w:val="none"/>
                </w:rPr>
              </w:sdtEndPr>
              <w:sdtContent>
                <w:r>
                  <w:rPr>
                    <w:rFonts w:hint="eastAsia"/>
                    <w:color w:val="auto"/>
                    <w:highlight w:val="none"/>
                  </w:rPr>
                  <w:t>■</w:t>
                </w:r>
              </w:sdtContent>
            </w:sdt>
            <w:r>
              <w:rPr>
                <w:rFonts w:hint="eastAsia"/>
                <w:color w:val="auto"/>
                <w:highlight w:val="none"/>
              </w:rPr>
              <w:t>A不组织。</w:t>
            </w:r>
          </w:p>
          <w:p w14:paraId="69C375C1">
            <w:pPr>
              <w:spacing w:line="288" w:lineRule="auto"/>
              <w:rPr>
                <w:color w:val="auto"/>
                <w:highlight w:val="none"/>
                <w:lang w:val="zh-CN"/>
              </w:rPr>
            </w:pPr>
            <w:sdt>
              <w:sdtPr>
                <w:rPr>
                  <w:rFonts w:hint="eastAsia"/>
                  <w:color w:val="auto"/>
                  <w:highlight w:val="none"/>
                </w:rPr>
                <w:id w:val="1174071719"/>
                <w:showingPlcHdr/>
              </w:sdtPr>
              <w:sdtEndPr>
                <w:rPr>
                  <w:rFonts w:hint="eastAsia"/>
                  <w:color w:val="auto"/>
                  <w:highlight w:val="none"/>
                </w:rPr>
              </w:sdtEndPr>
              <w:sdtContent/>
            </w:sdt>
            <w:sdt>
              <w:sdtPr>
                <w:rPr>
                  <w:rFonts w:hint="eastAsia"/>
                  <w:color w:val="auto"/>
                  <w:highlight w:val="none"/>
                </w:rPr>
                <w:id w:val="-712193410"/>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w:t>
            </w:r>
          </w:p>
        </w:tc>
      </w:tr>
      <w:tr w14:paraId="5EEA9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051355CA">
            <w:pPr>
              <w:spacing w:line="288" w:lineRule="auto"/>
              <w:jc w:val="center"/>
              <w:rPr>
                <w:rFonts w:hint="eastAsia" w:ascii="仿宋" w:hAnsi="仿宋" w:cs="仿宋"/>
                <w:color w:val="auto"/>
                <w:highlight w:val="none"/>
              </w:rPr>
            </w:pPr>
            <w:r>
              <w:rPr>
                <w:rFonts w:hint="eastAsia" w:ascii="仿宋" w:hAnsi="仿宋" w:cs="仿宋"/>
                <w:color w:val="auto"/>
                <w:highlight w:val="none"/>
              </w:rPr>
              <w:t>8</w:t>
            </w:r>
          </w:p>
        </w:tc>
        <w:tc>
          <w:tcPr>
            <w:tcW w:w="1843" w:type="dxa"/>
            <w:vMerge w:val="restart"/>
            <w:tcBorders>
              <w:tl2br w:val="nil"/>
              <w:tr2bl w:val="nil"/>
            </w:tcBorders>
            <w:vAlign w:val="center"/>
          </w:tcPr>
          <w:p w14:paraId="414E7D16">
            <w:pPr>
              <w:spacing w:line="288" w:lineRule="auto"/>
              <w:jc w:val="center"/>
              <w:rPr>
                <w:rFonts w:hint="eastAsia" w:ascii="仿宋" w:hAnsi="仿宋" w:cs="仿宋"/>
                <w:b/>
                <w:color w:val="auto"/>
                <w:highlight w:val="none"/>
              </w:rPr>
            </w:pPr>
            <w:r>
              <w:rPr>
                <w:rFonts w:hint="eastAsia" w:ascii="仿宋" w:hAnsi="仿宋" w:cs="仿宋"/>
                <w:b/>
                <w:color w:val="auto"/>
                <w:highlight w:val="none"/>
              </w:rPr>
              <w:t>投标人应当提供的资格、资信证明文件</w:t>
            </w:r>
          </w:p>
        </w:tc>
        <w:tc>
          <w:tcPr>
            <w:tcW w:w="6095" w:type="dxa"/>
            <w:tcBorders>
              <w:tl2br w:val="nil"/>
              <w:tr2bl w:val="nil"/>
            </w:tcBorders>
            <w:vAlign w:val="center"/>
          </w:tcPr>
          <w:p w14:paraId="1B6222F9">
            <w:pPr>
              <w:spacing w:line="288" w:lineRule="auto"/>
              <w:rPr>
                <w:rFonts w:hint="eastAsia" w:ascii="仿宋" w:hAnsi="仿宋" w:cs="仿宋"/>
                <w:color w:val="auto"/>
                <w:highlight w:val="none"/>
              </w:rPr>
            </w:pPr>
            <w:r>
              <w:rPr>
                <w:rFonts w:hint="eastAsia" w:ascii="仿宋" w:hAnsi="仿宋" w:cs="仿宋"/>
                <w:color w:val="auto"/>
                <w:highlight w:val="none"/>
              </w:rPr>
              <w:t>（1）资格证明文件：见招标文件第二部分11.1。</w:t>
            </w:r>
          </w:p>
          <w:p w14:paraId="342E28BD">
            <w:pPr>
              <w:spacing w:line="288" w:lineRule="auto"/>
              <w:rPr>
                <w:rFonts w:hint="eastAsia" w:ascii="仿宋" w:hAnsi="仿宋" w:cs="仿宋"/>
                <w:snapToGrid w:val="0"/>
                <w:color w:val="auto"/>
                <w:kern w:val="0"/>
                <w:szCs w:val="21"/>
                <w:highlight w:val="none"/>
              </w:rPr>
            </w:pPr>
            <w:r>
              <w:rPr>
                <w:rFonts w:hint="eastAsia" w:ascii="仿宋" w:hAnsi="仿宋" w:cs="仿宋"/>
                <w:color w:val="auto"/>
                <w:kern w:val="0"/>
                <w:highlight w:val="none"/>
                <w:lang w:val="zh-CN"/>
              </w:rPr>
              <w:t>投标人未提供有效的资格证明文件的，视为投标人不具备招标文件中规定的资格要求，投标无效。</w:t>
            </w:r>
          </w:p>
        </w:tc>
      </w:tr>
      <w:tr w14:paraId="2DC27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47D73C24">
            <w:pPr>
              <w:spacing w:line="288" w:lineRule="auto"/>
              <w:jc w:val="center"/>
              <w:rPr>
                <w:rFonts w:hint="eastAsia" w:ascii="仿宋" w:hAnsi="仿宋" w:cs="仿宋"/>
                <w:color w:val="auto"/>
                <w:highlight w:val="none"/>
              </w:rPr>
            </w:pPr>
          </w:p>
        </w:tc>
        <w:tc>
          <w:tcPr>
            <w:tcW w:w="1843" w:type="dxa"/>
            <w:vMerge w:val="continue"/>
            <w:tcBorders>
              <w:tl2br w:val="nil"/>
              <w:tr2bl w:val="nil"/>
            </w:tcBorders>
            <w:vAlign w:val="center"/>
          </w:tcPr>
          <w:p w14:paraId="07C76F0F">
            <w:pPr>
              <w:spacing w:line="288" w:lineRule="auto"/>
              <w:jc w:val="center"/>
              <w:rPr>
                <w:rFonts w:hint="eastAsia" w:ascii="仿宋" w:hAnsi="仿宋" w:cs="仿宋"/>
                <w:b/>
                <w:color w:val="auto"/>
                <w:highlight w:val="none"/>
              </w:rPr>
            </w:pPr>
          </w:p>
        </w:tc>
        <w:tc>
          <w:tcPr>
            <w:tcW w:w="6095" w:type="dxa"/>
            <w:tcBorders>
              <w:tl2br w:val="nil"/>
              <w:tr2bl w:val="nil"/>
            </w:tcBorders>
            <w:vAlign w:val="center"/>
          </w:tcPr>
          <w:p w14:paraId="09597E1A">
            <w:pPr>
              <w:spacing w:line="288" w:lineRule="auto"/>
              <w:rPr>
                <w:rFonts w:hint="eastAsia" w:ascii="仿宋" w:hAnsi="仿宋" w:cs="仿宋"/>
                <w:color w:val="auto"/>
                <w:highlight w:val="none"/>
              </w:rPr>
            </w:pPr>
            <w:r>
              <w:rPr>
                <w:rFonts w:hint="eastAsia" w:ascii="仿宋" w:hAnsi="仿宋" w:cs="仿宋"/>
                <w:color w:val="auto"/>
                <w:highlight w:val="none"/>
              </w:rPr>
              <w:t>（2）资信证明文件：根据招标文件第四部分评标标准提供。</w:t>
            </w:r>
          </w:p>
        </w:tc>
      </w:tr>
      <w:tr w14:paraId="5E1BB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190C1DE">
            <w:pPr>
              <w:spacing w:line="288" w:lineRule="auto"/>
              <w:jc w:val="center"/>
              <w:rPr>
                <w:rFonts w:hint="eastAsia" w:ascii="仿宋" w:hAnsi="仿宋" w:cs="仿宋"/>
                <w:color w:val="auto"/>
                <w:highlight w:val="none"/>
              </w:rPr>
            </w:pPr>
            <w:r>
              <w:rPr>
                <w:rFonts w:hint="eastAsia" w:ascii="仿宋" w:hAnsi="仿宋" w:cs="仿宋"/>
                <w:color w:val="auto"/>
                <w:highlight w:val="none"/>
              </w:rPr>
              <w:t>9</w:t>
            </w:r>
          </w:p>
        </w:tc>
        <w:tc>
          <w:tcPr>
            <w:tcW w:w="1843" w:type="dxa"/>
            <w:tcBorders>
              <w:tl2br w:val="nil"/>
              <w:tr2bl w:val="nil"/>
            </w:tcBorders>
            <w:vAlign w:val="center"/>
          </w:tcPr>
          <w:p w14:paraId="08921B5D">
            <w:pPr>
              <w:spacing w:line="288" w:lineRule="auto"/>
              <w:jc w:val="center"/>
              <w:rPr>
                <w:rFonts w:hint="eastAsia" w:ascii="仿宋" w:hAnsi="仿宋" w:cs="仿宋"/>
                <w:b/>
                <w:color w:val="auto"/>
                <w:highlight w:val="none"/>
              </w:rPr>
            </w:pPr>
            <w:r>
              <w:rPr>
                <w:rFonts w:hint="eastAsia" w:ascii="仿宋" w:hAnsi="仿宋" w:cs="仿宋"/>
                <w:b/>
                <w:color w:val="auto"/>
                <w:highlight w:val="none"/>
              </w:rPr>
              <w:t>节能产品、环境标志产品</w:t>
            </w:r>
          </w:p>
        </w:tc>
        <w:tc>
          <w:tcPr>
            <w:tcW w:w="6095" w:type="dxa"/>
            <w:tcBorders>
              <w:tl2br w:val="nil"/>
              <w:tr2bl w:val="nil"/>
            </w:tcBorders>
            <w:vAlign w:val="center"/>
          </w:tcPr>
          <w:p w14:paraId="428823E6">
            <w:pPr>
              <w:spacing w:line="288" w:lineRule="auto"/>
              <w:rPr>
                <w:rFonts w:hint="eastAsia" w:ascii="仿宋" w:hAnsi="仿宋" w:cs="仿宋"/>
                <w:color w:val="auto"/>
                <w:kern w:val="0"/>
                <w:highlight w:val="none"/>
              </w:rPr>
            </w:pPr>
            <w:r>
              <w:rPr>
                <w:rFonts w:hint="eastAsia" w:ascii="仿宋" w:hAnsi="仿宋" w:cs="仿宋"/>
                <w:color w:val="auto"/>
                <w:kern w:val="0"/>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p w14:paraId="3B841211">
            <w:pPr>
              <w:pStyle w:val="7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☐强制采购。产品：    </w:t>
            </w:r>
          </w:p>
          <w:p w14:paraId="0AC05875">
            <w:pPr>
              <w:pStyle w:val="7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□优先采购节能产品。产品：   </w:t>
            </w:r>
          </w:p>
          <w:p w14:paraId="6B5FF94B">
            <w:pPr>
              <w:pStyle w:val="7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□优先采购环保产品。产品：    </w:t>
            </w:r>
          </w:p>
          <w:p w14:paraId="3A44154C">
            <w:pPr>
              <w:pStyle w:val="79"/>
              <w:rPr>
                <w:color w:val="auto"/>
                <w:highlight w:val="none"/>
              </w:rPr>
            </w:pPr>
            <w:r>
              <w:rPr>
                <w:rFonts w:hint="eastAsia" w:ascii="仿宋" w:hAnsi="仿宋" w:eastAsia="仿宋" w:cs="仿宋"/>
                <w:color w:val="auto"/>
                <w:kern w:val="0"/>
                <w:sz w:val="24"/>
                <w:szCs w:val="24"/>
                <w:highlight w:val="none"/>
                <w:lang w:val="en-US" w:eastAsia="zh-CN" w:bidi="ar-SA"/>
              </w:rPr>
              <w:t>□无</w:t>
            </w:r>
          </w:p>
        </w:tc>
      </w:tr>
      <w:tr w14:paraId="4A2DC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8325529">
            <w:pPr>
              <w:spacing w:line="288" w:lineRule="auto"/>
              <w:jc w:val="center"/>
              <w:rPr>
                <w:rFonts w:hint="eastAsia" w:ascii="仿宋" w:hAnsi="仿宋" w:cs="仿宋"/>
                <w:color w:val="auto"/>
                <w:highlight w:val="none"/>
              </w:rPr>
            </w:pPr>
            <w:r>
              <w:rPr>
                <w:rFonts w:hint="eastAsia" w:ascii="仿宋" w:hAnsi="仿宋" w:cs="仿宋"/>
                <w:color w:val="auto"/>
                <w:highlight w:val="none"/>
              </w:rPr>
              <w:t>10</w:t>
            </w:r>
          </w:p>
        </w:tc>
        <w:tc>
          <w:tcPr>
            <w:tcW w:w="1843" w:type="dxa"/>
            <w:tcBorders>
              <w:tl2br w:val="nil"/>
              <w:tr2bl w:val="nil"/>
            </w:tcBorders>
            <w:vAlign w:val="center"/>
          </w:tcPr>
          <w:p w14:paraId="6C9498D8">
            <w:pPr>
              <w:spacing w:line="288" w:lineRule="auto"/>
              <w:jc w:val="center"/>
              <w:rPr>
                <w:rFonts w:hint="eastAsia" w:ascii="仿宋" w:hAnsi="仿宋" w:cs="仿宋"/>
                <w:b/>
                <w:color w:val="auto"/>
                <w:highlight w:val="none"/>
              </w:rPr>
            </w:pPr>
            <w:r>
              <w:rPr>
                <w:rFonts w:hint="eastAsia" w:ascii="仿宋" w:hAnsi="仿宋" w:cs="仿宋"/>
                <w:b/>
                <w:color w:val="auto"/>
                <w:highlight w:val="none"/>
              </w:rPr>
              <w:t>报价要求</w:t>
            </w:r>
          </w:p>
        </w:tc>
        <w:tc>
          <w:tcPr>
            <w:tcW w:w="6095" w:type="dxa"/>
            <w:tcBorders>
              <w:tl2br w:val="nil"/>
              <w:tr2bl w:val="nil"/>
            </w:tcBorders>
            <w:vAlign w:val="center"/>
          </w:tcPr>
          <w:p w14:paraId="7BAA9320">
            <w:pPr>
              <w:spacing w:line="288" w:lineRule="auto"/>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有关本项目实施所需的所有费用（含税费）均计入报价。</w:t>
            </w:r>
            <w:r>
              <w:rPr>
                <w:rFonts w:hint="eastAsia" w:ascii="仿宋" w:hAnsi="仿宋" w:cs="仿宋"/>
                <w:b/>
                <w:bCs/>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color w:val="auto"/>
                <w:highlight w:val="none"/>
              </w:rPr>
              <w:t>。</w:t>
            </w:r>
            <w:r>
              <w:rPr>
                <w:rFonts w:hint="eastAsia" w:ascii="仿宋" w:hAnsi="仿宋" w:cs="仿宋"/>
                <w:color w:val="auto"/>
                <w:kern w:val="0"/>
                <w:highlight w:val="none"/>
                <w:lang w:val="zh-CN"/>
              </w:rPr>
              <w:t>投标文件中价格全部采用人民币报价。招标文件未列明，而投标人认为必需的费用也需列入报价。</w:t>
            </w:r>
          </w:p>
          <w:p w14:paraId="1A6EAB9C">
            <w:pPr>
              <w:spacing w:line="288" w:lineRule="auto"/>
              <w:jc w:val="left"/>
              <w:rPr>
                <w:rFonts w:hint="eastAsia" w:ascii="仿宋" w:hAnsi="仿宋" w:cs="仿宋"/>
                <w:b/>
                <w:color w:val="auto"/>
                <w:kern w:val="0"/>
                <w:highlight w:val="none"/>
                <w:lang w:val="zh-CN"/>
              </w:rPr>
            </w:pPr>
            <w:r>
              <w:rPr>
                <w:rFonts w:hint="eastAsia" w:ascii="仿宋" w:hAnsi="仿宋" w:cs="仿宋"/>
                <w:b/>
                <w:color w:val="auto"/>
                <w:kern w:val="0"/>
                <w:highlight w:val="none"/>
                <w:lang w:val="zh-CN"/>
              </w:rPr>
              <w:t>投标报价出现下列情形的，投标无效：</w:t>
            </w:r>
          </w:p>
          <w:p w14:paraId="2CAA8B39">
            <w:pPr>
              <w:numPr>
                <w:ilvl w:val="0"/>
                <w:numId w:val="3"/>
              </w:numPr>
              <w:spacing w:line="288" w:lineRule="auto"/>
              <w:ind w:left="0" w:firstLine="0"/>
              <w:jc w:val="left"/>
              <w:rPr>
                <w:rFonts w:hint="eastAsia" w:ascii="仿宋" w:hAnsi="仿宋" w:cs="仿宋"/>
                <w:b/>
                <w:color w:val="auto"/>
                <w:kern w:val="0"/>
                <w:highlight w:val="none"/>
                <w:lang w:val="zh-CN"/>
              </w:rPr>
            </w:pPr>
            <w:r>
              <w:rPr>
                <w:rFonts w:hint="eastAsia" w:ascii="仿宋" w:hAnsi="仿宋" w:cs="仿宋"/>
                <w:b/>
                <w:color w:val="auto"/>
                <w:kern w:val="0"/>
                <w:highlight w:val="none"/>
                <w:lang w:val="zh-CN"/>
              </w:rPr>
              <w:t>投标文件出现不是唯一的、有选择性投标报价的；</w:t>
            </w:r>
          </w:p>
          <w:p w14:paraId="6B8F05E4">
            <w:pPr>
              <w:numPr>
                <w:ilvl w:val="0"/>
                <w:numId w:val="3"/>
              </w:numPr>
              <w:spacing w:line="288" w:lineRule="auto"/>
              <w:ind w:left="0" w:firstLine="0"/>
              <w:jc w:val="left"/>
              <w:rPr>
                <w:rFonts w:hint="eastAsia" w:ascii="仿宋" w:hAnsi="仿宋" w:cs="仿宋"/>
                <w:b/>
                <w:color w:val="auto"/>
                <w:kern w:val="0"/>
                <w:highlight w:val="none"/>
                <w:lang w:val="zh-CN"/>
              </w:rPr>
            </w:pPr>
            <w:r>
              <w:rPr>
                <w:rFonts w:hint="eastAsia" w:ascii="仿宋" w:hAnsi="仿宋" w:cs="仿宋"/>
                <w:b/>
                <w:color w:val="auto"/>
                <w:kern w:val="0"/>
                <w:highlight w:val="none"/>
                <w:lang w:val="zh-CN"/>
              </w:rPr>
              <w:t>投标报价超过招标文件中规定的预算金额或者最高限价的;</w:t>
            </w:r>
          </w:p>
          <w:p w14:paraId="0F5F0700">
            <w:pPr>
              <w:numPr>
                <w:ilvl w:val="0"/>
                <w:numId w:val="3"/>
              </w:numPr>
              <w:spacing w:line="288" w:lineRule="auto"/>
              <w:ind w:left="0" w:firstLine="0"/>
              <w:jc w:val="left"/>
              <w:rPr>
                <w:rFonts w:hint="eastAsia" w:ascii="仿宋" w:hAnsi="仿宋" w:cs="仿宋"/>
                <w:b/>
                <w:color w:val="auto"/>
                <w:kern w:val="0"/>
                <w:highlight w:val="none"/>
                <w:lang w:val="zh-CN"/>
              </w:rPr>
            </w:pPr>
            <w:r>
              <w:rPr>
                <w:rFonts w:hint="eastAsia" w:ascii="仿宋" w:hAnsi="仿宋" w:cs="仿宋"/>
                <w:b/>
                <w:color w:val="auto"/>
                <w:kern w:val="0"/>
                <w:highlight w:val="none"/>
                <w:lang w:val="zh-CN"/>
              </w:rPr>
              <w:t>报价明显低于其他通过符合性审查投标人的报价，有可能影响产品质量或者不能诚信履约的，未能按要求提供书面说明或者提交相关证明材料证明其报价合理性的;</w:t>
            </w:r>
          </w:p>
          <w:p w14:paraId="322F6438">
            <w:pPr>
              <w:numPr>
                <w:ilvl w:val="0"/>
                <w:numId w:val="3"/>
              </w:numPr>
              <w:spacing w:line="288" w:lineRule="auto"/>
              <w:ind w:left="0" w:firstLine="0"/>
              <w:jc w:val="left"/>
              <w:rPr>
                <w:rFonts w:hint="eastAsia" w:ascii="仿宋" w:hAnsi="仿宋" w:cs="仿宋"/>
                <w:color w:val="auto"/>
                <w:highlight w:val="none"/>
              </w:rPr>
            </w:pPr>
            <w:r>
              <w:rPr>
                <w:rFonts w:hint="eastAsia" w:ascii="仿宋" w:hAnsi="仿宋" w:cs="仿宋"/>
                <w:b/>
                <w:color w:val="auto"/>
                <w:kern w:val="0"/>
                <w:highlight w:val="none"/>
                <w:lang w:val="zh-CN"/>
              </w:rPr>
              <w:t>投标人对根</w:t>
            </w:r>
            <w:r>
              <w:rPr>
                <w:rFonts w:hint="eastAsia" w:ascii="仿宋" w:hAnsi="仿宋" w:cs="仿宋"/>
                <w:b/>
                <w:color w:val="auto"/>
                <w:kern w:val="0"/>
                <w:highlight w:val="none"/>
              </w:rPr>
              <w:t>据修正原则修正后的报价不确认的。</w:t>
            </w:r>
          </w:p>
        </w:tc>
      </w:tr>
      <w:tr w14:paraId="5B24ED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2612C8B">
            <w:pPr>
              <w:spacing w:line="288" w:lineRule="auto"/>
              <w:jc w:val="center"/>
              <w:rPr>
                <w:rFonts w:hint="eastAsia" w:ascii="仿宋" w:hAnsi="仿宋" w:cs="仿宋"/>
                <w:color w:val="auto"/>
                <w:highlight w:val="none"/>
              </w:rPr>
            </w:pPr>
            <w:r>
              <w:rPr>
                <w:rFonts w:hint="eastAsia" w:ascii="仿宋" w:hAnsi="仿宋" w:cs="仿宋"/>
                <w:color w:val="auto"/>
                <w:highlight w:val="none"/>
              </w:rPr>
              <w:t>11</w:t>
            </w:r>
          </w:p>
        </w:tc>
        <w:tc>
          <w:tcPr>
            <w:tcW w:w="1843" w:type="dxa"/>
            <w:tcBorders>
              <w:tl2br w:val="nil"/>
              <w:tr2bl w:val="nil"/>
            </w:tcBorders>
            <w:vAlign w:val="center"/>
          </w:tcPr>
          <w:p w14:paraId="0EDE7A4A">
            <w:pPr>
              <w:spacing w:line="288" w:lineRule="auto"/>
              <w:jc w:val="center"/>
              <w:rPr>
                <w:rFonts w:hint="eastAsia" w:ascii="仿宋" w:hAnsi="仿宋" w:cs="仿宋"/>
                <w:b/>
                <w:color w:val="auto"/>
                <w:highlight w:val="none"/>
              </w:rPr>
            </w:pPr>
            <w:r>
              <w:rPr>
                <w:rFonts w:hint="eastAsia" w:ascii="仿宋" w:hAnsi="仿宋" w:cs="仿宋"/>
                <w:b/>
                <w:color w:val="auto"/>
                <w:highlight w:val="none"/>
              </w:rPr>
              <w:t>中小企业信用融资</w:t>
            </w:r>
          </w:p>
        </w:tc>
        <w:tc>
          <w:tcPr>
            <w:tcW w:w="6095" w:type="dxa"/>
            <w:tcBorders>
              <w:tl2br w:val="nil"/>
              <w:tr2bl w:val="nil"/>
            </w:tcBorders>
            <w:vAlign w:val="center"/>
          </w:tcPr>
          <w:p w14:paraId="1FF48EE4">
            <w:pPr>
              <w:spacing w:line="288" w:lineRule="auto"/>
              <w:rPr>
                <w:rFonts w:hint="eastAsia" w:ascii="仿宋" w:hAnsi="仿宋" w:cs="仿宋"/>
                <w:b/>
                <w:color w:val="auto"/>
                <w:kern w:val="0"/>
                <w:highlight w:val="none"/>
              </w:rPr>
            </w:pPr>
            <w:r>
              <w:rPr>
                <w:rFonts w:hint="eastAsia" w:ascii="仿宋" w:hAnsi="仿宋" w:cs="仿宋"/>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F2A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90AC7B9">
            <w:pPr>
              <w:spacing w:line="288" w:lineRule="auto"/>
              <w:jc w:val="center"/>
              <w:rPr>
                <w:rFonts w:hint="eastAsia" w:ascii="仿宋" w:hAnsi="仿宋" w:cs="仿宋"/>
                <w:color w:val="auto"/>
                <w:highlight w:val="none"/>
              </w:rPr>
            </w:pPr>
            <w:r>
              <w:rPr>
                <w:rFonts w:hint="eastAsia" w:ascii="仿宋" w:hAnsi="仿宋" w:cs="仿宋"/>
                <w:color w:val="auto"/>
                <w:highlight w:val="none"/>
              </w:rPr>
              <w:t>12</w:t>
            </w:r>
          </w:p>
        </w:tc>
        <w:tc>
          <w:tcPr>
            <w:tcW w:w="1843" w:type="dxa"/>
            <w:tcBorders>
              <w:tl2br w:val="nil"/>
              <w:tr2bl w:val="nil"/>
            </w:tcBorders>
            <w:vAlign w:val="center"/>
          </w:tcPr>
          <w:p w14:paraId="06F1C107">
            <w:pPr>
              <w:spacing w:line="288" w:lineRule="auto"/>
              <w:jc w:val="center"/>
              <w:rPr>
                <w:rFonts w:hint="eastAsia" w:ascii="仿宋" w:hAnsi="仿宋" w:cs="仿宋"/>
                <w:b/>
                <w:color w:val="auto"/>
                <w:highlight w:val="none"/>
              </w:rPr>
            </w:pPr>
            <w:r>
              <w:rPr>
                <w:rFonts w:hint="eastAsia" w:ascii="仿宋" w:hAnsi="仿宋" w:cs="仿宋"/>
                <w:b/>
                <w:color w:val="auto"/>
                <w:highlight w:val="none"/>
              </w:rPr>
              <w:t xml:space="preserve">备份投标文件送达地点和签收人员 </w:t>
            </w:r>
          </w:p>
        </w:tc>
        <w:tc>
          <w:tcPr>
            <w:tcW w:w="6095" w:type="dxa"/>
            <w:tcBorders>
              <w:tl2br w:val="nil"/>
              <w:tr2bl w:val="nil"/>
            </w:tcBorders>
            <w:vAlign w:val="center"/>
          </w:tcPr>
          <w:p w14:paraId="7F330FDF">
            <w:pPr>
              <w:pStyle w:val="34"/>
              <w:spacing w:line="288" w:lineRule="auto"/>
              <w:rPr>
                <w:rFonts w:hint="eastAsia" w:ascii="仿宋" w:hAnsi="仿宋" w:cs="仿宋"/>
                <w:color w:val="auto"/>
                <w:kern w:val="28"/>
                <w:szCs w:val="24"/>
                <w:highlight w:val="none"/>
              </w:rPr>
            </w:pPr>
            <w:r>
              <w:rPr>
                <w:rFonts w:hint="eastAsia" w:ascii="仿宋" w:hAnsi="仿宋" w:cs="仿宋"/>
                <w:color w:val="auto"/>
                <w:kern w:val="28"/>
                <w:szCs w:val="24"/>
                <w:highlight w:val="none"/>
              </w:rPr>
              <w:t>备份投标文件送达地点：</w:t>
            </w:r>
            <w:r>
              <w:rPr>
                <w:rFonts w:hint="eastAsia" w:ascii="仿宋" w:hAnsi="仿宋" w:cs="仿宋"/>
                <w:color w:val="auto"/>
                <w:highlight w:val="none"/>
                <w:u w:val="single"/>
              </w:rPr>
              <w:t>浙江省杭州市上城区华成国际发展大厦8楼319室</w:t>
            </w:r>
            <w:r>
              <w:rPr>
                <w:rFonts w:hint="eastAsia" w:ascii="仿宋" w:hAnsi="仿宋" w:cs="仿宋"/>
                <w:color w:val="auto"/>
                <w:kern w:val="28"/>
                <w:szCs w:val="24"/>
                <w:highlight w:val="none"/>
              </w:rPr>
              <w:t>；</w:t>
            </w:r>
          </w:p>
          <w:p w14:paraId="59598B25">
            <w:pPr>
              <w:pStyle w:val="34"/>
              <w:spacing w:line="288" w:lineRule="auto"/>
              <w:rPr>
                <w:rFonts w:hint="eastAsia" w:ascii="仿宋" w:hAnsi="仿宋" w:cs="仿宋"/>
                <w:color w:val="auto"/>
                <w:szCs w:val="24"/>
                <w:highlight w:val="none"/>
              </w:rPr>
            </w:pPr>
            <w:r>
              <w:rPr>
                <w:rFonts w:hint="eastAsia" w:ascii="仿宋" w:hAnsi="仿宋" w:cs="仿宋"/>
                <w:color w:val="auto"/>
                <w:kern w:val="28"/>
                <w:szCs w:val="24"/>
                <w:highlight w:val="none"/>
              </w:rPr>
              <w:t>备份投标文件签收联系人：</w:t>
            </w:r>
            <w:r>
              <w:rPr>
                <w:rFonts w:hint="eastAsia" w:ascii="仿宋" w:hAnsi="仿宋" w:cs="仿宋"/>
                <w:color w:val="auto"/>
                <w:kern w:val="28"/>
                <w:szCs w:val="24"/>
                <w:highlight w:val="none"/>
                <w:u w:val="single"/>
              </w:rPr>
              <w:t>吴素均</w:t>
            </w:r>
            <w:r>
              <w:rPr>
                <w:rFonts w:hint="eastAsia" w:ascii="仿宋" w:hAnsi="仿宋" w:cs="仿宋"/>
                <w:color w:val="auto"/>
                <w:kern w:val="28"/>
                <w:szCs w:val="24"/>
                <w:highlight w:val="none"/>
              </w:rPr>
              <w:t>；联系电话：</w:t>
            </w:r>
            <w:r>
              <w:rPr>
                <w:rFonts w:hint="eastAsia" w:ascii="仿宋" w:hAnsi="仿宋" w:cs="仿宋"/>
                <w:color w:val="auto"/>
                <w:highlight w:val="none"/>
                <w:u w:val="single"/>
              </w:rPr>
              <w:t xml:space="preserve"> 15824491413 </w:t>
            </w:r>
            <w:r>
              <w:rPr>
                <w:rFonts w:hint="eastAsia" w:ascii="仿宋" w:hAnsi="仿宋" w:cs="仿宋"/>
                <w:color w:val="auto"/>
                <w:szCs w:val="24"/>
                <w:highlight w:val="none"/>
              </w:rPr>
              <w:t>。</w:t>
            </w:r>
          </w:p>
          <w:p w14:paraId="4D36EB12">
            <w:pPr>
              <w:pStyle w:val="34"/>
              <w:spacing w:line="288" w:lineRule="auto"/>
              <w:rPr>
                <w:rFonts w:hint="eastAsia" w:ascii="仿宋" w:hAnsi="仿宋" w:cs="仿宋"/>
                <w:color w:val="auto"/>
                <w:kern w:val="28"/>
                <w:highlight w:val="none"/>
              </w:rPr>
            </w:pPr>
            <w:r>
              <w:rPr>
                <w:rFonts w:hint="eastAsia" w:ascii="仿宋" w:hAnsi="仿宋" w:cs="仿宋"/>
                <w:b/>
                <w:color w:val="auto"/>
                <w:szCs w:val="24"/>
                <w:highlight w:val="none"/>
              </w:rPr>
              <w:t>采购人、采购代理机构不强制或变相强制投标人提交备份投标文件。</w:t>
            </w:r>
          </w:p>
        </w:tc>
      </w:tr>
      <w:tr w14:paraId="49CED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F6057C0">
            <w:pPr>
              <w:spacing w:line="288" w:lineRule="auto"/>
              <w:jc w:val="center"/>
              <w:rPr>
                <w:rFonts w:hint="eastAsia" w:ascii="仿宋" w:hAnsi="仿宋" w:cs="仿宋"/>
                <w:color w:val="auto"/>
                <w:highlight w:val="none"/>
              </w:rPr>
            </w:pPr>
            <w:r>
              <w:rPr>
                <w:rFonts w:hint="eastAsia" w:ascii="仿宋" w:hAnsi="仿宋" w:cs="仿宋"/>
                <w:color w:val="auto"/>
                <w:highlight w:val="none"/>
              </w:rPr>
              <w:t>13</w:t>
            </w:r>
          </w:p>
        </w:tc>
        <w:tc>
          <w:tcPr>
            <w:tcW w:w="1843" w:type="dxa"/>
            <w:tcBorders>
              <w:tl2br w:val="nil"/>
              <w:tr2bl w:val="nil"/>
            </w:tcBorders>
            <w:vAlign w:val="center"/>
          </w:tcPr>
          <w:p w14:paraId="700D81FD">
            <w:pPr>
              <w:spacing w:line="288" w:lineRule="auto"/>
              <w:jc w:val="center"/>
              <w:rPr>
                <w:rFonts w:hint="eastAsia" w:ascii="仿宋" w:hAnsi="仿宋" w:cs="仿宋"/>
                <w:b/>
                <w:color w:val="auto"/>
                <w:highlight w:val="none"/>
              </w:rPr>
            </w:pPr>
            <w:r>
              <w:rPr>
                <w:rFonts w:hint="eastAsia" w:ascii="仿宋" w:hAnsi="仿宋" w:cs="仿宋"/>
                <w:b/>
                <w:color w:val="auto"/>
                <w:highlight w:val="none"/>
              </w:rPr>
              <w:t>采购代理服务费</w:t>
            </w:r>
          </w:p>
        </w:tc>
        <w:tc>
          <w:tcPr>
            <w:tcW w:w="6095" w:type="dxa"/>
            <w:tcBorders>
              <w:tl2br w:val="nil"/>
              <w:tr2bl w:val="nil"/>
            </w:tcBorders>
            <w:vAlign w:val="center"/>
          </w:tcPr>
          <w:p w14:paraId="3ADC7B66">
            <w:pPr>
              <w:spacing w:line="288" w:lineRule="auto"/>
              <w:rPr>
                <w:rFonts w:hint="eastAsia" w:ascii="仿宋" w:hAnsi="仿宋" w:cs="仿宋"/>
                <w:snapToGrid w:val="0"/>
                <w:color w:val="auto"/>
                <w:kern w:val="0"/>
                <w:highlight w:val="none"/>
              </w:rPr>
            </w:pPr>
            <w:bookmarkStart w:id="21" w:name="OLE_LINK24"/>
            <w:r>
              <w:rPr>
                <w:rFonts w:hint="eastAsia" w:ascii="仿宋" w:hAnsi="仿宋" w:cs="仿宋"/>
                <w:snapToGrid w:val="0"/>
                <w:color w:val="auto"/>
                <w:kern w:val="0"/>
                <w:highlight w:val="none"/>
              </w:rPr>
              <w:t>本项目的采购代理费由中标人支付。计费标准：</w:t>
            </w:r>
          </w:p>
          <w:p w14:paraId="25D7F7F8">
            <w:pPr>
              <w:spacing w:line="320" w:lineRule="exact"/>
              <w:rPr>
                <w:rFonts w:hint="eastAsia" w:ascii="宋体" w:hAnsi="宋体" w:cs="宋体"/>
                <w:snapToGrid w:val="0"/>
                <w:color w:val="auto"/>
                <w:kern w:val="0"/>
                <w:szCs w:val="21"/>
                <w:highlight w:val="none"/>
              </w:rPr>
            </w:pPr>
            <w:r>
              <w:rPr>
                <w:rFonts w:ascii="宋体" w:hAnsi="宋体" w:cs="宋体"/>
                <w:snapToGrid w:val="0"/>
                <w:color w:val="auto"/>
                <w:kern w:val="0"/>
                <w:szCs w:val="21"/>
                <w:highlight w:val="none"/>
              </w:rPr>
              <w:t>1、中标服务费以</w:t>
            </w:r>
            <w:r>
              <w:rPr>
                <w:rFonts w:hint="eastAsia" w:ascii="宋体" w:hAnsi="宋体" w:cs="宋体"/>
                <w:snapToGrid w:val="0"/>
                <w:color w:val="auto"/>
                <w:kern w:val="0"/>
                <w:szCs w:val="21"/>
                <w:highlight w:val="none"/>
              </w:rPr>
              <w:t>预算</w:t>
            </w:r>
            <w:r>
              <w:rPr>
                <w:rFonts w:ascii="宋体" w:hAnsi="宋体" w:cs="宋体"/>
                <w:snapToGrid w:val="0"/>
                <w:color w:val="auto"/>
                <w:kern w:val="0"/>
                <w:szCs w:val="21"/>
                <w:highlight w:val="none"/>
              </w:rPr>
              <w:t>金额为计费基准，按《计价格［2002］1980号》及《发改办价格［2003］857号》规定的</w:t>
            </w:r>
            <w:r>
              <w:rPr>
                <w:rFonts w:hint="eastAsia" w:ascii="宋体" w:hAnsi="宋体" w:cs="宋体"/>
                <w:snapToGrid w:val="0"/>
                <w:color w:val="auto"/>
                <w:kern w:val="0"/>
                <w:szCs w:val="21"/>
                <w:highlight w:val="none"/>
              </w:rPr>
              <w:t>服务</w:t>
            </w:r>
            <w:r>
              <w:rPr>
                <w:rFonts w:ascii="宋体" w:hAnsi="宋体" w:cs="宋体"/>
                <w:snapToGrid w:val="0"/>
                <w:color w:val="auto"/>
                <w:kern w:val="0"/>
                <w:szCs w:val="21"/>
                <w:highlight w:val="none"/>
              </w:rPr>
              <w:t>类收费标准</w:t>
            </w:r>
            <w:r>
              <w:rPr>
                <w:rFonts w:hint="eastAsia" w:ascii="宋体" w:hAnsi="宋体" w:cs="宋体"/>
                <w:snapToGrid w:val="0"/>
                <w:color w:val="auto"/>
                <w:kern w:val="0"/>
                <w:szCs w:val="21"/>
                <w:highlight w:val="none"/>
                <w:lang w:val="en-US" w:eastAsia="zh-CN"/>
              </w:rPr>
              <w:t>的80%</w:t>
            </w:r>
            <w:r>
              <w:rPr>
                <w:rFonts w:ascii="宋体" w:hAnsi="宋体" w:cs="宋体"/>
                <w:snapToGrid w:val="0"/>
                <w:color w:val="auto"/>
                <w:kern w:val="0"/>
                <w:szCs w:val="21"/>
                <w:highlight w:val="none"/>
              </w:rPr>
              <w:t>计取。</w:t>
            </w:r>
            <w:bookmarkEnd w:id="21"/>
            <w:r>
              <w:rPr>
                <w:rFonts w:ascii="宋体" w:hAnsi="宋体" w:cs="宋体"/>
                <w:snapToGrid w:val="0"/>
                <w:color w:val="auto"/>
                <w:kern w:val="0"/>
                <w:szCs w:val="21"/>
                <w:highlight w:val="none"/>
              </w:rPr>
              <w:t>即：</w:t>
            </w:r>
          </w:p>
          <w:p w14:paraId="1E70699C">
            <w:pPr>
              <w:spacing w:line="288" w:lineRule="auto"/>
              <w:rPr>
                <w:rFonts w:hint="eastAsia" w:ascii="仿宋" w:hAnsi="仿宋" w:cs="仿宋"/>
                <w:snapToGrid w:val="0"/>
                <w:color w:val="auto"/>
                <w:kern w:val="0"/>
                <w:highlight w:val="none"/>
              </w:rPr>
            </w:pPr>
            <w:bookmarkStart w:id="22" w:name="OLE_LINK25"/>
            <w:r>
              <w:rPr>
                <w:rFonts w:hint="eastAsia" w:ascii="仿宋" w:hAnsi="仿宋" w:cs="仿宋"/>
                <w:snapToGrid w:val="0"/>
                <w:color w:val="auto"/>
                <w:kern w:val="0"/>
                <w:highlight w:val="none"/>
              </w:rPr>
              <w:t>2、结算方式及时间为：中标结果公告发出后5个工作日内，中标人将中标服务费缴纳至如下账号：</w:t>
            </w:r>
          </w:p>
          <w:p w14:paraId="582541A8">
            <w:pPr>
              <w:spacing w:line="288" w:lineRule="auto"/>
              <w:rPr>
                <w:rFonts w:hint="eastAsia" w:ascii="仿宋" w:hAnsi="仿宋" w:cs="仿宋"/>
                <w:snapToGrid w:val="0"/>
                <w:color w:val="auto"/>
                <w:kern w:val="0"/>
                <w:highlight w:val="none"/>
              </w:rPr>
            </w:pPr>
            <w:r>
              <w:rPr>
                <w:rFonts w:hint="eastAsia" w:ascii="仿宋" w:hAnsi="仿宋" w:cs="仿宋"/>
                <w:snapToGrid w:val="0"/>
                <w:color w:val="auto"/>
                <w:kern w:val="0"/>
                <w:highlight w:val="none"/>
              </w:rPr>
              <w:t>（1）收 款 人：浙江中际工程项目管理有限公司</w:t>
            </w:r>
          </w:p>
          <w:p w14:paraId="3DB5C474">
            <w:pPr>
              <w:spacing w:line="288" w:lineRule="auto"/>
              <w:rPr>
                <w:rFonts w:hint="eastAsia" w:ascii="仿宋" w:hAnsi="仿宋" w:cs="仿宋"/>
                <w:snapToGrid w:val="0"/>
                <w:color w:val="auto"/>
                <w:kern w:val="0"/>
                <w:highlight w:val="none"/>
              </w:rPr>
            </w:pPr>
            <w:r>
              <w:rPr>
                <w:rFonts w:hint="eastAsia" w:ascii="仿宋" w:hAnsi="仿宋" w:cs="仿宋"/>
                <w:snapToGrid w:val="0"/>
                <w:color w:val="auto"/>
                <w:kern w:val="0"/>
                <w:highlight w:val="none"/>
              </w:rPr>
              <w:t>（2）开户银行：</w:t>
            </w:r>
            <w:r>
              <w:rPr>
                <w:rFonts w:hint="eastAsia" w:ascii="仿宋" w:hAnsi="仿宋" w:eastAsia="仿宋" w:cs="仿宋"/>
                <w:snapToGrid w:val="0"/>
                <w:color w:val="auto"/>
                <w:kern w:val="0"/>
                <w:sz w:val="24"/>
                <w:szCs w:val="24"/>
                <w:highlight w:val="none"/>
              </w:rPr>
              <w:t>中国银行杭州城东支行</w:t>
            </w:r>
          </w:p>
          <w:p w14:paraId="41483032">
            <w:pPr>
              <w:spacing w:line="288" w:lineRule="auto"/>
              <w:rPr>
                <w:rFonts w:hint="eastAsia" w:ascii="仿宋" w:hAnsi="仿宋" w:cs="仿宋"/>
                <w:snapToGrid w:val="0"/>
                <w:color w:val="auto"/>
                <w:kern w:val="0"/>
                <w:highlight w:val="none"/>
              </w:rPr>
            </w:pPr>
            <w:r>
              <w:rPr>
                <w:rFonts w:hint="eastAsia" w:ascii="仿宋" w:hAnsi="仿宋" w:cs="仿宋"/>
                <w:snapToGrid w:val="0"/>
                <w:color w:val="auto"/>
                <w:kern w:val="0"/>
                <w:highlight w:val="none"/>
              </w:rPr>
              <w:t>（3）账    号：</w:t>
            </w:r>
            <w:bookmarkEnd w:id="22"/>
            <w:r>
              <w:rPr>
                <w:rFonts w:hint="eastAsia" w:ascii="仿宋" w:hAnsi="仿宋" w:cs="仿宋"/>
                <w:snapToGrid w:val="0"/>
                <w:color w:val="auto"/>
                <w:kern w:val="0"/>
                <w:highlight w:val="none"/>
              </w:rPr>
              <w:t>4013 5832 7200</w:t>
            </w:r>
          </w:p>
          <w:p w14:paraId="0F08C8B6">
            <w:pPr>
              <w:spacing w:line="288" w:lineRule="auto"/>
              <w:rPr>
                <w:rFonts w:hint="eastAsia" w:ascii="仿宋" w:hAnsi="仿宋" w:cs="仿宋"/>
                <w:snapToGrid w:val="0"/>
                <w:color w:val="auto"/>
                <w:kern w:val="0"/>
                <w:highlight w:val="none"/>
              </w:rPr>
            </w:pPr>
            <w:r>
              <w:rPr>
                <w:rFonts w:hint="eastAsia" w:ascii="仿宋" w:hAnsi="仿宋" w:cs="仿宋"/>
                <w:snapToGrid w:val="0"/>
                <w:color w:val="auto"/>
                <w:kern w:val="0"/>
                <w:highlight w:val="none"/>
              </w:rPr>
              <w:t>（</w:t>
            </w:r>
            <w:r>
              <w:rPr>
                <w:rFonts w:hint="eastAsia" w:ascii="仿宋" w:hAnsi="仿宋" w:cs="仿宋"/>
                <w:snapToGrid w:val="0"/>
                <w:color w:val="auto"/>
                <w:kern w:val="0"/>
                <w:highlight w:val="none"/>
                <w:lang w:val="en-US" w:eastAsia="zh-CN"/>
              </w:rPr>
              <w:t>4</w:t>
            </w:r>
            <w:r>
              <w:rPr>
                <w:rFonts w:hint="eastAsia" w:ascii="仿宋" w:hAnsi="仿宋" w:cs="仿宋"/>
                <w:snapToGrid w:val="0"/>
                <w:color w:val="auto"/>
                <w:kern w:val="0"/>
                <w:highlight w:val="none"/>
              </w:rPr>
              <w:t>）</w:t>
            </w:r>
            <w:r>
              <w:rPr>
                <w:rFonts w:hint="eastAsia" w:ascii="仿宋" w:hAnsi="仿宋" w:eastAsia="仿宋" w:cs="仿宋"/>
                <w:snapToGrid w:val="0"/>
                <w:color w:val="auto"/>
                <w:kern w:val="0"/>
                <w:sz w:val="24"/>
                <w:szCs w:val="24"/>
                <w:highlight w:val="none"/>
              </w:rPr>
              <w:t>联 行 号104331050285</w:t>
            </w:r>
          </w:p>
        </w:tc>
      </w:tr>
      <w:tr w14:paraId="5C20D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536EDBE3">
            <w:pPr>
              <w:spacing w:line="288" w:lineRule="auto"/>
              <w:jc w:val="center"/>
              <w:rPr>
                <w:rFonts w:hint="eastAsia" w:ascii="仿宋" w:hAnsi="仿宋" w:cs="仿宋"/>
                <w:color w:val="auto"/>
                <w:highlight w:val="none"/>
              </w:rPr>
            </w:pPr>
            <w:r>
              <w:rPr>
                <w:rFonts w:hint="eastAsia" w:ascii="仿宋" w:hAnsi="仿宋" w:cs="仿宋"/>
                <w:color w:val="auto"/>
                <w:highlight w:val="none"/>
              </w:rPr>
              <w:t>14</w:t>
            </w:r>
          </w:p>
        </w:tc>
        <w:tc>
          <w:tcPr>
            <w:tcW w:w="1843" w:type="dxa"/>
            <w:vMerge w:val="restart"/>
            <w:tcBorders>
              <w:tl2br w:val="nil"/>
              <w:tr2bl w:val="nil"/>
            </w:tcBorders>
            <w:vAlign w:val="center"/>
          </w:tcPr>
          <w:p w14:paraId="4392E115">
            <w:pPr>
              <w:spacing w:line="288" w:lineRule="auto"/>
              <w:jc w:val="center"/>
              <w:rPr>
                <w:rFonts w:hint="eastAsia" w:ascii="仿宋" w:hAnsi="仿宋" w:cs="仿宋"/>
                <w:b/>
                <w:color w:val="auto"/>
                <w:highlight w:val="none"/>
              </w:rPr>
            </w:pPr>
            <w:r>
              <w:rPr>
                <w:rFonts w:hint="eastAsia" w:ascii="仿宋" w:hAnsi="仿宋" w:cs="仿宋"/>
                <w:b/>
                <w:color w:val="auto"/>
                <w:highlight w:val="none"/>
              </w:rPr>
              <w:t>联合体投标说明</w:t>
            </w:r>
          </w:p>
        </w:tc>
        <w:tc>
          <w:tcPr>
            <w:tcW w:w="6095" w:type="dxa"/>
            <w:tcBorders>
              <w:tl2br w:val="nil"/>
              <w:tr2bl w:val="nil"/>
            </w:tcBorders>
            <w:vAlign w:val="center"/>
          </w:tcPr>
          <w:p w14:paraId="05FE64CE">
            <w:pPr>
              <w:spacing w:line="360" w:lineRule="auto"/>
              <w:rPr>
                <w:rFonts w:hint="eastAsia" w:ascii="仿宋" w:hAnsi="仿宋" w:cs="仿宋"/>
                <w:snapToGrid w:val="0"/>
                <w:color w:val="auto"/>
                <w:kern w:val="28"/>
                <w:szCs w:val="24"/>
                <w:highlight w:val="none"/>
              </w:rPr>
            </w:pPr>
            <w:r>
              <w:rPr>
                <w:rFonts w:hint="eastAsia" w:ascii="仿宋" w:hAnsi="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397F1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C2BDA58">
            <w:pPr>
              <w:spacing w:line="288" w:lineRule="auto"/>
              <w:jc w:val="center"/>
              <w:rPr>
                <w:rFonts w:hint="eastAsia" w:ascii="仿宋" w:hAnsi="仿宋" w:cs="仿宋"/>
                <w:color w:val="auto"/>
                <w:highlight w:val="none"/>
              </w:rPr>
            </w:pPr>
          </w:p>
        </w:tc>
        <w:tc>
          <w:tcPr>
            <w:tcW w:w="1843" w:type="dxa"/>
            <w:vMerge w:val="continue"/>
            <w:tcBorders>
              <w:tl2br w:val="nil"/>
              <w:tr2bl w:val="nil"/>
            </w:tcBorders>
            <w:vAlign w:val="center"/>
          </w:tcPr>
          <w:p w14:paraId="03AEB681">
            <w:pPr>
              <w:spacing w:line="288" w:lineRule="auto"/>
              <w:jc w:val="center"/>
              <w:rPr>
                <w:rFonts w:hint="eastAsia" w:ascii="仿宋" w:hAnsi="仿宋" w:cs="仿宋"/>
                <w:b/>
                <w:color w:val="auto"/>
                <w:highlight w:val="none"/>
              </w:rPr>
            </w:pPr>
          </w:p>
        </w:tc>
        <w:tc>
          <w:tcPr>
            <w:tcW w:w="6095" w:type="dxa"/>
            <w:tcBorders>
              <w:tl2br w:val="nil"/>
              <w:tr2bl w:val="nil"/>
            </w:tcBorders>
            <w:vAlign w:val="center"/>
          </w:tcPr>
          <w:p w14:paraId="34A5DF35">
            <w:pPr>
              <w:spacing w:line="288" w:lineRule="auto"/>
              <w:rPr>
                <w:rFonts w:hint="eastAsia" w:ascii="仿宋" w:hAnsi="仿宋" w:cs="仿宋"/>
                <w:snapToGrid w:val="0"/>
                <w:color w:val="auto"/>
                <w:kern w:val="28"/>
                <w:sz w:val="24"/>
                <w:highlight w:val="none"/>
              </w:rPr>
            </w:pPr>
            <w:r>
              <w:rPr>
                <w:rFonts w:hint="eastAsia" w:ascii="仿宋" w:hAnsi="仿宋" w:eastAsia="仿宋" w:cs="仿宋"/>
                <w:snapToGrid w:val="0"/>
                <w:color w:val="auto"/>
                <w:kern w:val="28"/>
                <w:sz w:val="24"/>
                <w:highlight w:val="none"/>
              </w:rPr>
              <w:t>☐</w:t>
            </w:r>
            <w:r>
              <w:rPr>
                <w:rFonts w:hint="eastAsia" w:ascii="仿宋" w:hAnsi="仿宋" w:cs="仿宋"/>
                <w:snapToGrid w:val="0"/>
                <w:color w:val="auto"/>
                <w:kern w:val="28"/>
                <w:sz w:val="24"/>
                <w:highlight w:val="none"/>
              </w:rPr>
              <w:t>联合体投标的，联合体各方均需按招标文件第四部分评标标准要求提供资信证明文件，否则视为不符合相关要求。</w:t>
            </w:r>
          </w:p>
          <w:p w14:paraId="515C5568">
            <w:pPr>
              <w:spacing w:line="288" w:lineRule="auto"/>
              <w:rPr>
                <w:rFonts w:hint="eastAsia" w:ascii="仿宋" w:hAnsi="仿宋" w:cs="仿宋"/>
                <w:snapToGrid w:val="0"/>
                <w:color w:val="auto"/>
                <w:kern w:val="28"/>
                <w:szCs w:val="24"/>
                <w:highlight w:val="none"/>
              </w:rPr>
            </w:pPr>
            <w:r>
              <w:rPr>
                <w:rFonts w:hint="eastAsia" w:ascii="仿宋" w:hAnsi="仿宋" w:eastAsia="仿宋" w:cs="仿宋"/>
                <w:snapToGrid w:val="0"/>
                <w:color w:val="auto"/>
                <w:kern w:val="28"/>
                <w:sz w:val="24"/>
                <w:highlight w:val="none"/>
              </w:rPr>
              <w:sym w:font="Wingdings" w:char="F0FE"/>
            </w:r>
            <w:r>
              <w:rPr>
                <w:rFonts w:hint="eastAsia" w:ascii="仿宋" w:hAnsi="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0DCE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shd w:val="clear" w:color="auto" w:fill="auto"/>
            <w:vAlign w:val="center"/>
          </w:tcPr>
          <w:p w14:paraId="233040E7">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highlight w:val="none"/>
              </w:rPr>
              <w:t>15</w:t>
            </w:r>
          </w:p>
        </w:tc>
        <w:tc>
          <w:tcPr>
            <w:tcW w:w="1843" w:type="dxa"/>
            <w:tcBorders>
              <w:tl2br w:val="nil"/>
              <w:tr2bl w:val="nil"/>
            </w:tcBorders>
            <w:vAlign w:val="center"/>
          </w:tcPr>
          <w:p w14:paraId="3DB1677B">
            <w:pPr>
              <w:snapToGrid w:val="0"/>
              <w:spacing w:line="360" w:lineRule="auto"/>
              <w:jc w:val="center"/>
              <w:rPr>
                <w:rFonts w:hint="eastAsia" w:ascii="仿宋" w:hAnsi="仿宋" w:cs="仿宋"/>
                <w:b/>
                <w:color w:val="auto"/>
                <w:highlight w:val="none"/>
              </w:rPr>
            </w:pPr>
            <w:r>
              <w:rPr>
                <w:rFonts w:hint="eastAsia" w:ascii="仿宋" w:hAnsi="仿宋" w:eastAsia="仿宋" w:cs="仿宋"/>
                <w:b/>
                <w:color w:val="auto"/>
                <w:sz w:val="24"/>
                <w:highlight w:val="none"/>
                <w:lang w:val="en" w:eastAsia="zh-CN"/>
              </w:rPr>
              <w:t>中标候选人数量</w:t>
            </w:r>
          </w:p>
        </w:tc>
        <w:tc>
          <w:tcPr>
            <w:tcW w:w="6095" w:type="dxa"/>
            <w:tcBorders>
              <w:tl2br w:val="nil"/>
              <w:tr2bl w:val="nil"/>
            </w:tcBorders>
            <w:vAlign w:val="center"/>
          </w:tcPr>
          <w:p w14:paraId="3EFEC3D6">
            <w:pPr>
              <w:spacing w:line="360" w:lineRule="auto"/>
              <w:rPr>
                <w:rFonts w:hint="eastAsia" w:ascii="仿宋" w:hAnsi="仿宋" w:cs="仿宋"/>
                <w:snapToGrid w:val="0"/>
                <w:color w:val="auto"/>
                <w:kern w:val="28"/>
                <w:szCs w:val="24"/>
                <w:highlight w:val="none"/>
              </w:rPr>
            </w:pPr>
            <w:r>
              <w:rPr>
                <w:rFonts w:hint="eastAsia" w:ascii="仿宋" w:hAnsi="仿宋" w:eastAsia="仿宋" w:cs="仿宋"/>
                <w:snapToGrid w:val="0"/>
                <w:color w:val="auto"/>
                <w:kern w:val="28"/>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0B955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shd w:val="clear" w:color="auto" w:fill="auto"/>
            <w:vAlign w:val="center"/>
          </w:tcPr>
          <w:p w14:paraId="7FAD0335">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highlight w:val="none"/>
              </w:rPr>
              <w:t>16</w:t>
            </w:r>
          </w:p>
        </w:tc>
        <w:tc>
          <w:tcPr>
            <w:tcW w:w="1843" w:type="dxa"/>
            <w:tcBorders>
              <w:tl2br w:val="nil"/>
              <w:tr2bl w:val="nil"/>
            </w:tcBorders>
            <w:vAlign w:val="center"/>
          </w:tcPr>
          <w:p w14:paraId="0BD987E5">
            <w:pPr>
              <w:spacing w:line="288" w:lineRule="auto"/>
              <w:jc w:val="center"/>
              <w:rPr>
                <w:rFonts w:hint="eastAsia" w:ascii="仿宋" w:hAnsi="仿宋" w:cs="仿宋"/>
                <w:b/>
                <w:color w:val="auto"/>
                <w:highlight w:val="none"/>
              </w:rPr>
            </w:pPr>
            <w:r>
              <w:rPr>
                <w:rFonts w:hint="eastAsia" w:ascii="仿宋" w:hAnsi="仿宋" w:cs="仿宋"/>
                <w:b/>
                <w:color w:val="auto"/>
                <w:highlight w:val="none"/>
              </w:rPr>
              <w:t>特别说明</w:t>
            </w:r>
          </w:p>
        </w:tc>
        <w:tc>
          <w:tcPr>
            <w:tcW w:w="6095" w:type="dxa"/>
            <w:tcBorders>
              <w:tl2br w:val="nil"/>
              <w:tr2bl w:val="nil"/>
            </w:tcBorders>
            <w:vAlign w:val="center"/>
          </w:tcPr>
          <w:p w14:paraId="3B534D85">
            <w:pPr>
              <w:spacing w:line="288" w:lineRule="auto"/>
              <w:rPr>
                <w:rFonts w:hint="eastAsia" w:ascii="仿宋" w:hAnsi="仿宋" w:cs="仿宋"/>
                <w:snapToGrid w:val="0"/>
                <w:color w:val="auto"/>
                <w:kern w:val="28"/>
                <w:highlight w:val="none"/>
                <w:u w:val="single"/>
              </w:rPr>
            </w:pPr>
            <w:r>
              <w:rPr>
                <w:rFonts w:hint="eastAsia" w:ascii="仿宋" w:hAnsi="仿宋" w:cs="仿宋"/>
                <w:b/>
                <w:bCs/>
                <w:color w:val="auto"/>
                <w:kern w:val="0"/>
                <w:highlight w:val="none"/>
              </w:rPr>
              <w:t>■</w:t>
            </w:r>
            <w:r>
              <w:rPr>
                <w:rFonts w:hint="eastAsia" w:ascii="仿宋" w:hAnsi="仿宋" w:cs="仿宋"/>
                <w:snapToGrid w:val="0"/>
                <w:color w:val="auto"/>
                <w:kern w:val="28"/>
                <w:highlight w:val="none"/>
              </w:rPr>
              <w:t>有，中标供应商放弃中标资格导致重新采购的，应当承担支付代理费和专家评审费等费用在内的赔偿责任。</w:t>
            </w:r>
          </w:p>
          <w:p w14:paraId="11825F6A">
            <w:pPr>
              <w:pStyle w:val="2"/>
              <w:autoSpaceDE/>
              <w:autoSpaceDN/>
              <w:spacing w:line="288" w:lineRule="auto"/>
              <w:rPr>
                <w:rFonts w:hint="eastAsia" w:ascii="仿宋" w:hAnsi="仿宋" w:cs="仿宋"/>
                <w:color w:val="auto"/>
                <w:highlight w:val="none"/>
              </w:rPr>
            </w:pPr>
            <w:r>
              <w:rPr>
                <w:rFonts w:hint="eastAsia" w:ascii="仿宋" w:hAnsi="仿宋" w:cs="仿宋"/>
                <w:color w:val="auto"/>
                <w:kern w:val="28"/>
                <w:highlight w:val="none"/>
              </w:rPr>
              <w:sym w:font="Wingdings 2" w:char="00A3"/>
            </w:r>
            <w:r>
              <w:rPr>
                <w:rFonts w:hint="eastAsia" w:ascii="仿宋" w:hAnsi="仿宋" w:cs="仿宋"/>
                <w:color w:val="auto"/>
                <w:kern w:val="28"/>
                <w:highlight w:val="none"/>
              </w:rPr>
              <w:t>无</w:t>
            </w:r>
            <w:r>
              <w:rPr>
                <w:rFonts w:hint="eastAsia" w:ascii="仿宋" w:hAnsi="仿宋" w:cs="仿宋"/>
                <w:b/>
                <w:color w:val="auto"/>
                <w:kern w:val="0"/>
                <w:highlight w:val="none"/>
              </w:rPr>
              <w:t>。</w:t>
            </w:r>
          </w:p>
        </w:tc>
      </w:tr>
      <w:tr w14:paraId="778B6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A96A11F">
            <w:pPr>
              <w:spacing w:line="288" w:lineRule="auto"/>
              <w:jc w:val="center"/>
              <w:rPr>
                <w:rFonts w:hint="default" w:ascii="仿宋" w:hAnsi="仿宋" w:eastAsia="仿宋" w:cs="仿宋"/>
                <w:color w:val="auto"/>
                <w:highlight w:val="none"/>
                <w:lang w:val="en-US" w:eastAsia="zh-CN"/>
              </w:rPr>
            </w:pPr>
            <w:r>
              <w:rPr>
                <w:rFonts w:hint="eastAsia" w:ascii="仿宋" w:hAnsi="仿宋" w:cs="仿宋"/>
                <w:color w:val="auto"/>
                <w:highlight w:val="none"/>
                <w:lang w:val="en-US" w:eastAsia="zh-CN"/>
              </w:rPr>
              <w:t>17</w:t>
            </w:r>
          </w:p>
        </w:tc>
        <w:tc>
          <w:tcPr>
            <w:tcW w:w="1843" w:type="dxa"/>
            <w:tcBorders>
              <w:tl2br w:val="nil"/>
              <w:tr2bl w:val="nil"/>
            </w:tcBorders>
            <w:vAlign w:val="center"/>
          </w:tcPr>
          <w:p w14:paraId="76F20061">
            <w:pPr>
              <w:spacing w:line="288" w:lineRule="auto"/>
              <w:jc w:val="center"/>
              <w:rPr>
                <w:rFonts w:hint="eastAsia" w:ascii="仿宋" w:hAnsi="仿宋" w:cs="仿宋"/>
                <w:b/>
                <w:color w:val="auto"/>
                <w:highlight w:val="none"/>
              </w:rPr>
            </w:pPr>
            <w:r>
              <w:rPr>
                <w:rFonts w:hint="eastAsia" w:ascii="仿宋" w:hAnsi="仿宋" w:cs="仿宋"/>
                <w:b/>
                <w:color w:val="auto"/>
                <w:highlight w:val="none"/>
              </w:rPr>
              <w:t>特别提醒</w:t>
            </w:r>
          </w:p>
        </w:tc>
        <w:tc>
          <w:tcPr>
            <w:tcW w:w="6095" w:type="dxa"/>
            <w:tcBorders>
              <w:tl2br w:val="nil"/>
              <w:tr2bl w:val="nil"/>
            </w:tcBorders>
            <w:vAlign w:val="center"/>
          </w:tcPr>
          <w:p w14:paraId="69D4CE80">
            <w:pPr>
              <w:pStyle w:val="2"/>
              <w:autoSpaceDE/>
              <w:autoSpaceDN/>
              <w:spacing w:line="288" w:lineRule="auto"/>
              <w:rPr>
                <w:rFonts w:hint="eastAsia" w:ascii="仿宋" w:hAnsi="仿宋" w:cs="仿宋"/>
                <w:color w:val="auto"/>
                <w:kern w:val="28"/>
                <w:highlight w:val="none"/>
              </w:rPr>
            </w:pPr>
            <w:r>
              <w:rPr>
                <w:rFonts w:hint="eastAsia" w:ascii="仿宋" w:hAnsi="仿宋" w:cs="仿宋"/>
                <w:b/>
                <w:bCs/>
                <w:color w:val="auto"/>
                <w:kern w:val="0"/>
                <w:highlight w:val="none"/>
              </w:rPr>
              <w:t>如发现供应商之间IP地址、MAC地址或设备硬件号信息相同的，相关供应商均投标无效。</w:t>
            </w:r>
          </w:p>
        </w:tc>
      </w:tr>
    </w:tbl>
    <w:p w14:paraId="6CAD930E">
      <w:pPr>
        <w:spacing w:line="360" w:lineRule="auto"/>
        <w:rPr>
          <w:rFonts w:hint="eastAsia" w:ascii="仿宋" w:hAnsi="仿宋" w:cs="仿宋"/>
          <w:b/>
          <w:color w:val="auto"/>
          <w:sz w:val="32"/>
          <w:szCs w:val="20"/>
          <w:highlight w:val="none"/>
        </w:rPr>
      </w:pPr>
    </w:p>
    <w:bookmarkEnd w:id="11"/>
    <w:p w14:paraId="18F4402F">
      <w:pPr>
        <w:rPr>
          <w:rFonts w:hint="eastAsia" w:ascii="仿宋" w:hAnsi="仿宋" w:cs="仿宋"/>
          <w:b/>
          <w:color w:val="auto"/>
          <w:sz w:val="32"/>
          <w:szCs w:val="20"/>
          <w:highlight w:val="none"/>
        </w:rPr>
      </w:pPr>
      <w:bookmarkStart w:id="23" w:name="第三部分"/>
      <w:bookmarkStart w:id="24" w:name="_Toc164416483"/>
      <w:r>
        <w:rPr>
          <w:rFonts w:hint="eastAsia" w:ascii="仿宋" w:hAnsi="仿宋" w:cs="仿宋"/>
          <w:b/>
          <w:color w:val="auto"/>
          <w:sz w:val="32"/>
          <w:szCs w:val="20"/>
          <w:highlight w:val="none"/>
        </w:rPr>
        <w:br w:type="page"/>
      </w:r>
    </w:p>
    <w:p w14:paraId="776A867D">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一、总则</w:t>
      </w:r>
    </w:p>
    <w:p w14:paraId="7DD94C9E">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适用范围</w:t>
      </w:r>
    </w:p>
    <w:p w14:paraId="5AC99BC8">
      <w:pPr>
        <w:ind w:firstLine="480" w:firstLineChars="200"/>
        <w:jc w:val="left"/>
        <w:rPr>
          <w:rFonts w:hint="eastAsia" w:ascii="仿宋" w:hAnsi="仿宋" w:cs="仿宋"/>
          <w:color w:val="auto"/>
          <w:highlight w:val="none"/>
        </w:rPr>
      </w:pPr>
      <w:r>
        <w:rPr>
          <w:rFonts w:hint="eastAsia" w:ascii="仿宋" w:hAnsi="仿宋" w:cs="仿宋"/>
          <w:color w:val="auto"/>
          <w:highlight w:val="none"/>
        </w:rPr>
        <w:t>本招标文件适用于该项目的招标、投标、开标、资格审查及信用信息查询、评标、定标、合同、验收等行为（法律、法规另有规定的，从其规定）。</w:t>
      </w:r>
    </w:p>
    <w:p w14:paraId="494724AA">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定义</w:t>
      </w:r>
    </w:p>
    <w:p w14:paraId="3D176E15">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“采购人”系指招标公告中载明的本项目的采购人。</w:t>
      </w:r>
    </w:p>
    <w:p w14:paraId="2C2249FD">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“采购代理机构”系指招标公告中载明的本项目的采购代理机构。</w:t>
      </w:r>
    </w:p>
    <w:p w14:paraId="4FBA44F0">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“投标人”系指响应招标、参加投标竞争的法人、其他组织或者自然人。</w:t>
      </w:r>
    </w:p>
    <w:p w14:paraId="75FC1ACA">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“负责人”系指法人企业的法定负责人，或其他组织为法律、行政法规规定代表单位行使职权的主要负责人，或自然人本人。</w:t>
      </w:r>
    </w:p>
    <w:p w14:paraId="6E3F1156">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0933A3">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“电子交易平台”是指本项目政府采购活动所依托的政府采购云平台（https://www.zcygov.cn/）。</w:t>
      </w:r>
    </w:p>
    <w:p w14:paraId="6C36224F">
      <w:pPr>
        <w:numPr>
          <w:ilvl w:val="1"/>
          <w:numId w:val="4"/>
        </w:numPr>
        <w:ind w:left="0" w:firstLine="480" w:firstLineChars="200"/>
        <w:rPr>
          <w:rFonts w:hint="eastAsia" w:ascii="仿宋" w:hAnsi="仿宋" w:cs="仿宋"/>
          <w:b/>
          <w:color w:val="auto"/>
          <w:highlight w:val="none"/>
        </w:rPr>
      </w:pPr>
      <w:r>
        <w:rPr>
          <w:rFonts w:hint="eastAsia" w:ascii="仿宋" w:hAnsi="仿宋" w:cs="仿宋"/>
          <w:color w:val="auto"/>
          <w:highlight w:val="none"/>
        </w:rPr>
        <w:t>“▲”系指实质性要求条款，“■”或“</w:t>
      </w:r>
      <w:sdt>
        <w:sdtPr>
          <w:rPr>
            <w:rFonts w:hint="eastAsia" w:ascii="仿宋_GB2312" w:hAnsi="仿宋" w:eastAsia="仿宋_GB2312" w:cs="Arial"/>
            <w:b/>
            <w:bCs/>
            <w:color w:val="auto"/>
            <w:kern w:val="0"/>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highlight w:val="none"/>
          </w:rPr>
        </w:sdtEndPr>
        <w:sdtContent>
          <w:r>
            <w:rPr>
              <w:rFonts w:ascii="Wingdings" w:hAnsi="Wingdings" w:eastAsia="仿宋_GB2312" w:cs="Arial"/>
              <w:b/>
              <w:bCs/>
              <w:color w:val="auto"/>
              <w:kern w:val="0"/>
              <w:highlight w:val="none"/>
            </w:rPr>
            <w:t></w:t>
          </w:r>
        </w:sdtContent>
      </w:sdt>
      <w:r>
        <w:rPr>
          <w:rFonts w:hint="eastAsia" w:ascii="仿宋" w:hAnsi="仿宋" w:cs="仿宋"/>
          <w:color w:val="auto"/>
          <w:highlight w:val="none"/>
        </w:rPr>
        <w:t>”系指适用本项目的要求，“</w:t>
      </w:r>
      <w:sdt>
        <w:sdtPr>
          <w:rPr>
            <w:rFonts w:hint="eastAsia" w:ascii="仿宋" w:hAnsi="仿宋" w:cs="仿宋"/>
            <w:color w:val="auto"/>
            <w:kern w:val="0"/>
            <w:highlight w:val="none"/>
          </w:rPr>
          <w:id w:val="404888855"/>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highlight w:val="none"/>
        </w:rPr>
        <w:t>”系指不适用本项目的要求。</w:t>
      </w:r>
    </w:p>
    <w:p w14:paraId="4D17F74D">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采购项目需要落实的政府采购政策</w:t>
      </w:r>
    </w:p>
    <w:p w14:paraId="32C96131">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25C059D">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支持绿色发展</w:t>
      </w:r>
    </w:p>
    <w:p w14:paraId="234E02D2">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5029503">
      <w:pPr>
        <w:ind w:firstLine="480" w:firstLineChars="200"/>
        <w:rPr>
          <w:rFonts w:hint="eastAsia" w:ascii="仿宋" w:hAnsi="仿宋" w:cs="仿宋"/>
          <w:b/>
          <w:color w:val="auto"/>
          <w:highlight w:val="none"/>
        </w:rPr>
      </w:pPr>
      <w:r>
        <w:rPr>
          <w:rFonts w:hint="eastAsia" w:ascii="仿宋" w:hAnsi="仿宋" w:cs="仿宋"/>
          <w:color w:val="auto"/>
          <w:highlight w:val="none"/>
        </w:rPr>
        <w:t>▲</w:t>
      </w:r>
      <w:r>
        <w:rPr>
          <w:rFonts w:hint="eastAsia" w:ascii="仿宋" w:hAnsi="仿宋" w:cs="仿宋"/>
          <w:b/>
          <w:color w:val="auto"/>
          <w:highlight w:val="none"/>
        </w:rPr>
        <w:t>采购人拟采购的产品属于政府强制采购的节能产品品目清单范围的，投标人未按招标文件要求提供国家确定的认证机构出具的、处于有效期之内的节能产品认证证书的，投标无效（本项目不适用）。</w:t>
      </w:r>
    </w:p>
    <w:p w14:paraId="2A63FEB5">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修缮、装修类项目采购建材的，采购人应将绿色建筑和绿色建材性能、指标等作为实质性条件纳入招标文件和合同。</w:t>
      </w:r>
    </w:p>
    <w:p w14:paraId="41FDE5B2">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F8AC63">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鼓励供应商开展绿色设计、选择绿色材料、打造绿色制造工艺、开展绿色运输、做好废弃产品回收处理，实现产品全周期的绿色环保。</w:t>
      </w:r>
      <w:r>
        <w:rPr>
          <w:rFonts w:hint="eastAsia" w:ascii="宋体" w:hAnsi="宋体" w:cs="宋体"/>
          <w:color w:val="auto"/>
          <w:sz w:val="24"/>
          <w:highlight w:val="none"/>
        </w:rPr>
        <w:t>鼓励采购单位对其提高预付款比例、免收履约保证金。</w:t>
      </w:r>
    </w:p>
    <w:p w14:paraId="5F14BBC6">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支持中小企业发展</w:t>
      </w:r>
    </w:p>
    <w:p w14:paraId="14BA606F">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3BA6EB">
      <w:pPr>
        <w:ind w:firstLine="480" w:firstLineChars="200"/>
        <w:rPr>
          <w:rFonts w:hint="eastAsia" w:ascii="仿宋" w:hAnsi="仿宋" w:cs="仿宋"/>
          <w:color w:val="auto"/>
          <w:highlight w:val="none"/>
        </w:rPr>
      </w:pPr>
      <w:r>
        <w:rPr>
          <w:rFonts w:hint="eastAsia" w:ascii="仿宋" w:hAnsi="仿宋" w:cs="仿宋"/>
          <w:color w:val="auto"/>
          <w:highlight w:val="none"/>
        </w:rPr>
        <w:t>符合中小企业划分标准的个体工商户，在政府采购活动中视同中小企业。</w:t>
      </w:r>
    </w:p>
    <w:p w14:paraId="24E171D8">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AA7AE52">
      <w:pPr>
        <w:widowControl/>
        <w:ind w:firstLine="480" w:firstLineChars="200"/>
        <w:jc w:val="left"/>
        <w:rPr>
          <w:rFonts w:hint="eastAsia" w:ascii="仿宋" w:hAnsi="仿宋" w:cs="仿宋"/>
          <w:color w:val="auto"/>
          <w:kern w:val="0"/>
          <w:highlight w:val="none"/>
        </w:rPr>
      </w:pPr>
      <w:r>
        <w:rPr>
          <w:rFonts w:hint="eastAsia" w:ascii="仿宋" w:hAnsi="仿宋" w:cs="仿宋"/>
          <w:color w:val="auto"/>
          <w:kern w:val="0"/>
          <w:highlight w:val="none"/>
        </w:rPr>
        <w:t>以联合体形式参加政府采购活动，联合体各方均为中小企业的，联合体视同中小企业。其中，联合体各方均为小微企业的，联合体视同小微企业。</w:t>
      </w:r>
    </w:p>
    <w:p w14:paraId="1D250920">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对于未预留份额专门面向中小企业的政府采购服务项目，以及预留份额政府采购服务项目中的非预留部分标项，对小型和微型企业的投标报价给予</w:t>
      </w:r>
      <w:r>
        <w:rPr>
          <w:rFonts w:hint="eastAsia" w:ascii="仿宋" w:hAnsi="仿宋" w:cs="仿宋"/>
          <w:b/>
          <w:bCs/>
          <w:color w:val="auto"/>
          <w:highlight w:val="none"/>
        </w:rPr>
        <w:t>10%</w:t>
      </w:r>
      <w:r>
        <w:rPr>
          <w:rFonts w:hint="eastAsia" w:ascii="仿宋" w:hAnsi="仿宋" w:cs="仿宋"/>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b/>
          <w:bCs/>
          <w:color w:val="auto"/>
          <w:highlight w:val="none"/>
        </w:rPr>
        <w:t>4%</w:t>
      </w:r>
      <w:r>
        <w:rPr>
          <w:rFonts w:hint="eastAsia" w:ascii="仿宋" w:hAnsi="仿宋" w:cs="仿宋"/>
          <w:color w:val="auto"/>
          <w:highlight w:val="none"/>
        </w:rPr>
        <w:t>的扣除，用扣除后的价格参加评审。组成联合体或者接受分包的小微企业与联合体内其他企业、分包企业之间存在直接控股、管理关系的，不享受价格扣除优惠政策。</w:t>
      </w:r>
    </w:p>
    <w:p w14:paraId="372AFDDD">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符合《关于促进残疾人就业政府采购政策的通知》（财库〔2017〕141号）规定的条件并提供《残疾人福利性单位声明函》（附件1）的残疾人福利性单位视同小型、微型企业。</w:t>
      </w:r>
    </w:p>
    <w:p w14:paraId="38F38389">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C72E5DA">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C57C10">
      <w:pPr>
        <w:numPr>
          <w:ilvl w:val="2"/>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中小企业享受扶持政策获得政府采购合同的，小微企业不得将合同分包给大中型企业，中型企业不得将合同分包给大型企业。</w:t>
      </w:r>
    </w:p>
    <w:p w14:paraId="32F9EC3C">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支持创新发展</w:t>
      </w:r>
    </w:p>
    <w:p w14:paraId="6071EF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331B282">
      <w:pPr>
        <w:numPr>
          <w:ilvl w:val="-1"/>
          <w:numId w:val="0"/>
        </w:numPr>
        <w:ind w:left="0" w:leftChars="0" w:firstLine="480" w:firstLineChars="200"/>
        <w:rPr>
          <w:rFonts w:hint="eastAsia" w:ascii="仿宋" w:hAnsi="仿宋" w:cs="仿宋"/>
          <w:color w:val="auto"/>
          <w:highlight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87FD713">
      <w:pPr>
        <w:numPr>
          <w:ilvl w:val="1"/>
          <w:numId w:val="4"/>
        </w:numPr>
        <w:ind w:left="0" w:firstLine="480" w:firstLineChars="200"/>
        <w:rPr>
          <w:rFonts w:hint="eastAsia" w:ascii="仿宋" w:hAnsi="仿宋" w:cs="仿宋"/>
          <w:color w:val="auto"/>
          <w:highlight w:val="none"/>
        </w:rPr>
      </w:pPr>
      <w:r>
        <w:rPr>
          <w:rFonts w:hint="eastAsia" w:ascii="仿宋" w:hAnsi="仿宋" w:cs="仿宋"/>
          <w:color w:val="auto"/>
          <w:highlight w:val="none"/>
        </w:rPr>
        <w:t>平等对待内外资企业和符合条件的破产重整企业</w:t>
      </w:r>
    </w:p>
    <w:p w14:paraId="71F00AE3">
      <w:pPr>
        <w:ind w:firstLine="480" w:firstLineChars="200"/>
        <w:rPr>
          <w:rFonts w:hint="eastAsia" w:ascii="仿宋" w:hAnsi="仿宋" w:cs="仿宋"/>
          <w:color w:val="auto"/>
          <w:highlight w:val="none"/>
        </w:rPr>
      </w:pPr>
      <w:r>
        <w:rPr>
          <w:rFonts w:hint="eastAsia" w:ascii="仿宋" w:hAnsi="仿宋" w:cs="仿宋"/>
          <w:color w:val="auto"/>
          <w:highlight w:val="none"/>
        </w:rPr>
        <w:t>平等对待内外资企业和符合条件的破产重整企业，切实保障企业公平竞争，平等维护企业的合法利益。</w:t>
      </w:r>
    </w:p>
    <w:p w14:paraId="6274A094">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询问、质疑、投诉</w:t>
      </w:r>
    </w:p>
    <w:p w14:paraId="01A7C5F4">
      <w:pPr>
        <w:numPr>
          <w:ilvl w:val="1"/>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在线询问、质疑、投诉</w:t>
      </w:r>
    </w:p>
    <w:p w14:paraId="2D534BCD">
      <w:pPr>
        <w:ind w:firstLine="480" w:firstLineChars="200"/>
        <w:rPr>
          <w:rFonts w:hint="eastAsia" w:ascii="仿宋" w:hAnsi="仿宋" w:cs="仿宋"/>
          <w:color w:val="auto"/>
          <w:highlight w:val="none"/>
          <w:lang w:val="zh-CN"/>
        </w:rPr>
      </w:pPr>
      <w:r>
        <w:rPr>
          <w:rFonts w:hint="eastAsia" w:ascii="仿宋" w:hAnsi="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1ACF78">
      <w:pPr>
        <w:numPr>
          <w:ilvl w:val="1"/>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供应商询问</w:t>
      </w:r>
    </w:p>
    <w:p w14:paraId="2BB569D9">
      <w:pPr>
        <w:autoSpaceDE w:val="0"/>
        <w:autoSpaceDN w:val="0"/>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2A6EAE">
      <w:pPr>
        <w:numPr>
          <w:ilvl w:val="1"/>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供应商质疑</w:t>
      </w:r>
    </w:p>
    <w:p w14:paraId="26F2679C">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提出质疑的供应商应当是参与所质疑项目采购活动的供应商。潜在供应商已依法获取其可质疑的招标文件的，可以对该文件提出质疑。</w:t>
      </w:r>
    </w:p>
    <w:p w14:paraId="7A25B2A1">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F0DACF">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对招标文件提出质疑的，质疑期限为供应商获得招标文件之日或者招标文件公告期限届满之日起计算。</w:t>
      </w:r>
    </w:p>
    <w:p w14:paraId="3EFD1EEB">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对采购过程提出质疑的，质疑期限为各采购程序环节结束之日起计算。</w:t>
      </w:r>
    </w:p>
    <w:p w14:paraId="580A2A5F">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对采购结果提出质疑的，质疑期限自采购结果公告期限届满之日起计算。</w:t>
      </w:r>
    </w:p>
    <w:p w14:paraId="536B0DFF">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供应商提出质疑应当提交质疑函和必要的证明材料。质疑函应当包括下列内容：</w:t>
      </w:r>
    </w:p>
    <w:p w14:paraId="6508C43B">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供应商的姓名或者名称、地址、邮编、联系人及联系电话；</w:t>
      </w:r>
    </w:p>
    <w:p w14:paraId="2786B69B">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质疑项目的名称、编号；</w:t>
      </w:r>
    </w:p>
    <w:p w14:paraId="534A7BA9">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具体、明确的质疑事项和与质疑事项相关的请求；</w:t>
      </w:r>
    </w:p>
    <w:p w14:paraId="54B6BB31">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事实依据；</w:t>
      </w:r>
    </w:p>
    <w:p w14:paraId="5EA06869">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必要的法律依据；</w:t>
      </w:r>
    </w:p>
    <w:p w14:paraId="3437B6F3">
      <w:pPr>
        <w:numPr>
          <w:ilvl w:val="3"/>
          <w:numId w:val="4"/>
        </w:numPr>
        <w:tabs>
          <w:tab w:val="left" w:pos="210"/>
          <w:tab w:val="left" w:pos="105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提出质疑的日期。</w:t>
      </w:r>
    </w:p>
    <w:p w14:paraId="7C98FDCC">
      <w:pPr>
        <w:tabs>
          <w:tab w:val="left" w:pos="210"/>
        </w:tabs>
        <w:ind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808707F">
      <w:pPr>
        <w:tabs>
          <w:tab w:val="left" w:pos="210"/>
        </w:tabs>
        <w:ind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质疑函范本及制作说明详见附件2。</w:t>
      </w:r>
    </w:p>
    <w:p w14:paraId="12B63642">
      <w:pPr>
        <w:numPr>
          <w:ilvl w:val="2"/>
          <w:numId w:val="4"/>
        </w:numPr>
        <w:tabs>
          <w:tab w:val="left" w:pos="210"/>
          <w:tab w:val="left" w:pos="840"/>
        </w:tabs>
        <w:spacing w:line="360" w:lineRule="auto"/>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对同一采购程序环节的质疑，供应商须在法定质疑期内一次性提出。</w:t>
      </w:r>
    </w:p>
    <w:p w14:paraId="7309F6C8">
      <w:pPr>
        <w:numPr>
          <w:ilvl w:val="2"/>
          <w:numId w:val="4"/>
        </w:numPr>
        <w:tabs>
          <w:tab w:val="left" w:pos="210"/>
          <w:tab w:val="left" w:pos="840"/>
        </w:tabs>
        <w:spacing w:line="360" w:lineRule="auto"/>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6A252CB">
      <w:pPr>
        <w:pStyle w:val="79"/>
        <w:spacing w:line="360" w:lineRule="auto"/>
        <w:rPr>
          <w:rFonts w:hint="eastAsia" w:ascii="仿宋" w:hAnsi="仿宋" w:eastAsia="仿宋" w:cs="仿宋"/>
          <w:bCs/>
          <w:color w:val="auto"/>
          <w:kern w:val="2"/>
          <w:sz w:val="24"/>
          <w:szCs w:val="24"/>
          <w:highlight w:val="none"/>
          <w:lang w:val="zh-CN"/>
        </w:rPr>
      </w:pPr>
      <w:r>
        <w:rPr>
          <w:rFonts w:hint="eastAsia" w:ascii="仿宋" w:hAnsi="仿宋" w:eastAsia="仿宋" w:cs="仿宋"/>
          <w:bCs/>
          <w:color w:val="auto"/>
          <w:kern w:val="2"/>
          <w:sz w:val="24"/>
          <w:szCs w:val="24"/>
          <w:highlight w:val="none"/>
          <w:lang w:val="zh-CN"/>
        </w:rPr>
        <w:t>4.3.6询问或者质疑事项可能影响采购结果的，采购人应当暂停签订合同，已经签订合同的，应当中止履行合同。</w:t>
      </w:r>
    </w:p>
    <w:p w14:paraId="4EBBED7A">
      <w:pPr>
        <w:numPr>
          <w:ilvl w:val="1"/>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供应商投诉</w:t>
      </w:r>
    </w:p>
    <w:p w14:paraId="075DCEED">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508915F7">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供应商投诉的事项不得超出已质疑事项的范围，基于质疑答复内容提出的投诉事项除外。</w:t>
      </w:r>
    </w:p>
    <w:p w14:paraId="765C009C">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供应商投诉应当有明确的请求和必要的证明材料。</w:t>
      </w:r>
    </w:p>
    <w:p w14:paraId="503936AC">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以联合体形式参加政府采购活动的，其投诉应当由组成联合体的所有供应商共同提出。</w:t>
      </w:r>
    </w:p>
    <w:p w14:paraId="0E8A36D8">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68E8686C">
      <w:pPr>
        <w:tabs>
          <w:tab w:val="left" w:pos="210"/>
        </w:tabs>
        <w:ind w:left="480" w:left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投诉书范本及制作说明详见附件3。</w:t>
      </w:r>
    </w:p>
    <w:p w14:paraId="2FC37129">
      <w:pPr>
        <w:pStyle w:val="26"/>
        <w:ind w:left="480" w:firstLine="420"/>
        <w:rPr>
          <w:rFonts w:hint="eastAsia"/>
          <w:color w:val="auto"/>
          <w:highlight w:val="none"/>
          <w:lang w:val="zh-CN"/>
        </w:rPr>
      </w:pPr>
    </w:p>
    <w:p w14:paraId="7AF25A13">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二、招标文件的构成、澄清、修改</w:t>
      </w:r>
    </w:p>
    <w:p w14:paraId="191A466E">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招标文件的构成</w:t>
      </w:r>
    </w:p>
    <w:p w14:paraId="6FB5525C">
      <w:pPr>
        <w:numPr>
          <w:ilvl w:val="1"/>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招标文件包括下列文件及附件：</w:t>
      </w:r>
    </w:p>
    <w:p w14:paraId="5FF59CEF">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招标公告；</w:t>
      </w:r>
    </w:p>
    <w:p w14:paraId="48B02128">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投标人须知；</w:t>
      </w:r>
    </w:p>
    <w:p w14:paraId="6E6E3FCB">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采购需求；</w:t>
      </w:r>
    </w:p>
    <w:p w14:paraId="20FEB5CA">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评标办法；</w:t>
      </w:r>
    </w:p>
    <w:p w14:paraId="064E22E7">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拟签订的合同文本；</w:t>
      </w:r>
    </w:p>
    <w:p w14:paraId="7AEA328D">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应提交的有关格式范例。</w:t>
      </w:r>
    </w:p>
    <w:p w14:paraId="6B22ADDD">
      <w:pPr>
        <w:numPr>
          <w:ilvl w:val="1"/>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与本项目有关的澄清或者修改的内容为招标文件的组成部分。</w:t>
      </w:r>
    </w:p>
    <w:p w14:paraId="034B1124">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招标文件的澄清、修改</w:t>
      </w:r>
    </w:p>
    <w:p w14:paraId="23E402CE">
      <w:pPr>
        <w:numPr>
          <w:ilvl w:val="1"/>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已获取招标文件的潜在投标人，若有问题需要澄清，应于投标截止时间前，以书面形式向采购代理机构提出。</w:t>
      </w:r>
    </w:p>
    <w:p w14:paraId="59B8CF19">
      <w:pPr>
        <w:numPr>
          <w:ilvl w:val="1"/>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F80342">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三、投标</w:t>
      </w:r>
    </w:p>
    <w:p w14:paraId="075539B6">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招标文件的获取</w:t>
      </w:r>
    </w:p>
    <w:p w14:paraId="3BBF6FE7">
      <w:pPr>
        <w:pStyle w:val="34"/>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详见招标公告中获取招标文件的时间期限、地点、方式及招标文件售价。</w:t>
      </w:r>
    </w:p>
    <w:p w14:paraId="3AEFD6E7">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开标前答疑会或现场考察</w:t>
      </w:r>
    </w:p>
    <w:p w14:paraId="1C86B478">
      <w:pPr>
        <w:pStyle w:val="34"/>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采购人组织潜在投标人现场考察或者召开开标前答疑会的，潜在投标人按第二部分投标人须知前附表的规定参加现场考察或者开标前答疑会。</w:t>
      </w:r>
    </w:p>
    <w:p w14:paraId="2EE2A2DF">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投标保证金</w:t>
      </w:r>
    </w:p>
    <w:p w14:paraId="4721E58D">
      <w:pPr>
        <w:pStyle w:val="34"/>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本项目不需缴纳投标保证金。</w:t>
      </w:r>
    </w:p>
    <w:p w14:paraId="46105E88">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投标文件的语言</w:t>
      </w:r>
    </w:p>
    <w:p w14:paraId="44C2386B">
      <w:pPr>
        <w:pStyle w:val="34"/>
        <w:ind w:firstLine="480" w:firstLineChars="200"/>
        <w:rPr>
          <w:rFonts w:hint="eastAsia" w:ascii="仿宋" w:hAnsi="仿宋" w:cs="仿宋"/>
          <w:color w:val="auto"/>
          <w:szCs w:val="24"/>
          <w:highlight w:val="none"/>
          <w:lang w:val="zh-CN"/>
        </w:rPr>
      </w:pPr>
      <w:r>
        <w:rPr>
          <w:rFonts w:hint="eastAsia" w:ascii="仿宋" w:hAnsi="仿宋" w:cs="仿宋"/>
          <w:color w:val="auto"/>
          <w:szCs w:val="24"/>
          <w:highlight w:val="none"/>
        </w:rPr>
        <w:t>投标文件及投标人与采购有关的来往通知、函件和文件均应使用中文。</w:t>
      </w:r>
    </w:p>
    <w:p w14:paraId="4AEAFABA">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投标文件的组成</w:t>
      </w:r>
    </w:p>
    <w:p w14:paraId="1B0DA3A9">
      <w:pPr>
        <w:numPr>
          <w:ilvl w:val="1"/>
          <w:numId w:val="4"/>
        </w:numPr>
        <w:tabs>
          <w:tab w:val="left" w:pos="210"/>
          <w:tab w:val="left" w:pos="630"/>
          <w:tab w:val="left" w:pos="840"/>
        </w:tabs>
        <w:spacing w:line="360" w:lineRule="auto"/>
        <w:ind w:left="0" w:firstLine="482" w:firstLineChars="200"/>
        <w:jc w:val="left"/>
        <w:rPr>
          <w:rFonts w:hint="eastAsia" w:ascii="仿宋" w:hAnsi="仿宋" w:cs="仿宋"/>
          <w:b/>
          <w:color w:val="auto"/>
          <w:highlight w:val="none"/>
        </w:rPr>
      </w:pPr>
      <w:r>
        <w:rPr>
          <w:rFonts w:hint="eastAsia" w:ascii="仿宋" w:hAnsi="仿宋" w:cs="仿宋"/>
          <w:b/>
          <w:color w:val="auto"/>
          <w:highlight w:val="none"/>
        </w:rPr>
        <w:t>资格文件：</w:t>
      </w:r>
    </w:p>
    <w:p w14:paraId="07A21BE5">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符合参加政府采购活动应当具备的一般条件的承诺函；</w:t>
      </w:r>
    </w:p>
    <w:p w14:paraId="591C901F">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联合协议（如果有）；</w:t>
      </w:r>
    </w:p>
    <w:p w14:paraId="5446D9A8">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落实政府采购政策需满足的资格要求：无（注：不得限制大中型企业与小微企业组成联合体参与投标）。</w:t>
      </w:r>
    </w:p>
    <w:p w14:paraId="37E92BE6">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本项目的特定资格要求：</w:t>
      </w:r>
      <w:r>
        <w:rPr>
          <w:rFonts w:hint="eastAsia" w:ascii="仿宋_GB2312" w:hAnsi="仿宋_GB2312" w:cs="ˎ̥"/>
          <w:color w:val="auto"/>
          <w:kern w:val="0"/>
          <w:highlight w:val="none"/>
        </w:rPr>
        <w:t>工程设计综合甲级资质或水利行业工程设计甲级资质或水利行业（河道整治）专业甲级</w:t>
      </w:r>
      <w:r>
        <w:rPr>
          <w:rFonts w:hint="eastAsia" w:ascii="仿宋" w:hAnsi="仿宋" w:cs="仿宋"/>
          <w:bCs/>
          <w:color w:val="auto"/>
          <w:highlight w:val="none"/>
        </w:rPr>
        <w:t>。</w:t>
      </w:r>
    </w:p>
    <w:p w14:paraId="365E7661">
      <w:pPr>
        <w:numPr>
          <w:ilvl w:val="1"/>
          <w:numId w:val="4"/>
        </w:numPr>
        <w:tabs>
          <w:tab w:val="left" w:pos="210"/>
          <w:tab w:val="left" w:pos="630"/>
          <w:tab w:val="left" w:pos="840"/>
        </w:tabs>
        <w:ind w:left="0" w:firstLine="482" w:firstLineChars="200"/>
        <w:jc w:val="left"/>
        <w:rPr>
          <w:rFonts w:hint="eastAsia" w:ascii="仿宋" w:hAnsi="仿宋" w:cs="仿宋"/>
          <w:b/>
          <w:color w:val="auto"/>
          <w:highlight w:val="none"/>
          <w:lang w:val="zh-CN"/>
        </w:rPr>
      </w:pPr>
      <w:r>
        <w:rPr>
          <w:rFonts w:hint="eastAsia" w:ascii="仿宋" w:hAnsi="仿宋" w:cs="仿宋"/>
          <w:b/>
          <w:color w:val="auto"/>
          <w:highlight w:val="none"/>
        </w:rPr>
        <w:t>商务技术</w:t>
      </w:r>
      <w:r>
        <w:rPr>
          <w:rFonts w:hint="eastAsia" w:ascii="仿宋" w:hAnsi="仿宋" w:cs="仿宋"/>
          <w:b/>
          <w:color w:val="auto"/>
          <w:highlight w:val="none"/>
          <w:lang w:val="zh-CN"/>
        </w:rPr>
        <w:t>文件：</w:t>
      </w:r>
    </w:p>
    <w:p w14:paraId="4518BFC2">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投标函；</w:t>
      </w:r>
    </w:p>
    <w:p w14:paraId="4DA36D26">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授权委托书或法定代表人（单位负责人、自然人本人）身份证明；</w:t>
      </w:r>
    </w:p>
    <w:p w14:paraId="5EE2239F">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授权代表近一个月内在投标单位缴纳社保的参保证明（适用于法定代表人授权代表参加投标活动）；</w:t>
      </w:r>
    </w:p>
    <w:p w14:paraId="6E0B379D">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分包意向协议（如果有）；</w:t>
      </w:r>
    </w:p>
    <w:p w14:paraId="454A0B32">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符合性审查资料；</w:t>
      </w:r>
    </w:p>
    <w:p w14:paraId="1169B01A">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评标标准相应的商务技术资料；</w:t>
      </w:r>
    </w:p>
    <w:p w14:paraId="5D2FBC29">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商务技术偏离表；</w:t>
      </w:r>
    </w:p>
    <w:p w14:paraId="6F7CEFF6">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政府采购供应商廉洁自律承诺书。</w:t>
      </w:r>
    </w:p>
    <w:p w14:paraId="78701FE9">
      <w:pPr>
        <w:numPr>
          <w:ilvl w:val="1"/>
          <w:numId w:val="4"/>
        </w:numPr>
        <w:tabs>
          <w:tab w:val="left" w:pos="210"/>
          <w:tab w:val="left" w:pos="630"/>
          <w:tab w:val="left" w:pos="840"/>
        </w:tabs>
        <w:ind w:left="0" w:firstLine="482" w:firstLineChars="200"/>
        <w:jc w:val="left"/>
        <w:rPr>
          <w:rFonts w:hint="eastAsia" w:ascii="仿宋" w:hAnsi="仿宋" w:cs="仿宋"/>
          <w:b/>
          <w:color w:val="auto"/>
          <w:highlight w:val="none"/>
          <w:lang w:val="zh-CN"/>
        </w:rPr>
      </w:pPr>
      <w:r>
        <w:rPr>
          <w:rFonts w:hint="eastAsia" w:ascii="仿宋" w:hAnsi="仿宋" w:cs="仿宋"/>
          <w:b/>
          <w:color w:val="auto"/>
          <w:highlight w:val="none"/>
        </w:rPr>
        <w:t xml:space="preserve">报价文件： </w:t>
      </w:r>
    </w:p>
    <w:p w14:paraId="1D365523">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开标一览表（报价表）；</w:t>
      </w:r>
    </w:p>
    <w:p w14:paraId="3CEAAB32">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中小企业声明函（如果有）；</w:t>
      </w:r>
    </w:p>
    <w:p w14:paraId="00D30BE2">
      <w:pPr>
        <w:numPr>
          <w:ilvl w:val="2"/>
          <w:numId w:val="4"/>
        </w:numPr>
        <w:tabs>
          <w:tab w:val="left" w:pos="210"/>
          <w:tab w:val="left" w:pos="630"/>
          <w:tab w:val="left" w:pos="8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中标服务费支付承诺书和中标服务费结算信息表。</w:t>
      </w:r>
    </w:p>
    <w:p w14:paraId="3756C1AC">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投标文件含有采购人不能接受的附加条件的，投标无效；</w:t>
      </w:r>
    </w:p>
    <w:p w14:paraId="7CB7BDDF">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投标人提供虚假材料投标的，投标无效。</w:t>
      </w:r>
    </w:p>
    <w:p w14:paraId="0FF15BC2">
      <w:pPr>
        <w:pStyle w:val="79"/>
        <w:spacing w:line="360" w:lineRule="auto"/>
        <w:rPr>
          <w:rFonts w:hint="eastAsia" w:ascii="仿宋" w:hAnsi="仿宋" w:eastAsia="仿宋" w:cs="仿宋"/>
          <w:bCs/>
          <w:color w:val="auto"/>
          <w:kern w:val="2"/>
          <w:sz w:val="24"/>
          <w:szCs w:val="24"/>
          <w:highlight w:val="none"/>
          <w:lang w:val="zh-CN"/>
        </w:rPr>
      </w:pPr>
      <w:r>
        <w:rPr>
          <w:rFonts w:hint="eastAsia" w:ascii="仿宋" w:hAnsi="仿宋" w:eastAsia="仿宋" w:cs="仿宋"/>
          <w:bCs/>
          <w:color w:val="auto"/>
          <w:kern w:val="2"/>
          <w:sz w:val="24"/>
          <w:szCs w:val="24"/>
          <w:highlight w:val="none"/>
          <w:shd w:val="clear" w:color="auto" w:fill="auto"/>
          <w:lang w:val="zh-CN" w:eastAsia="zh-CN"/>
        </w:rPr>
        <w:t>投标人应对投标文件中材料的真实性、合法性负责。投标人可事先在公开官网查询、核对相关证书和报告内容，确保投标（响应）文件资料准确无误。</w:t>
      </w:r>
    </w:p>
    <w:p w14:paraId="5F38DA72">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投标文件的编制</w:t>
      </w:r>
    </w:p>
    <w:p w14:paraId="6E6713A9">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2CA5A7">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9C5DA0A">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使用“政采云电子交易客户端”需要提前申领CA数字证书，申领流程请自行前往“浙江政府采购网-下载专区-电子交易客户端-CA驱动和申领流程”进行查阅。</w:t>
      </w:r>
    </w:p>
    <w:p w14:paraId="77D91BE4">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投标文件的签署、盖章</w:t>
      </w:r>
    </w:p>
    <w:p w14:paraId="7B00E782">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投标文件按照招标文件第六部分格式要求进行签署、盖章。</w:t>
      </w:r>
    </w:p>
    <w:p w14:paraId="7286C239">
      <w:pPr>
        <w:pStyle w:val="140"/>
        <w:spacing w:before="0" w:line="312" w:lineRule="auto"/>
        <w:ind w:firstLine="482"/>
        <w:rPr>
          <w:rFonts w:hint="eastAsia" w:ascii="仿宋" w:hAnsi="仿宋" w:cs="仿宋"/>
          <w:b/>
          <w:color w:val="auto"/>
          <w:highlight w:val="none"/>
        </w:rPr>
      </w:pPr>
      <w:r>
        <w:rPr>
          <w:rFonts w:hint="eastAsia" w:ascii="仿宋" w:hAnsi="仿宋" w:cs="仿宋"/>
          <w:b/>
          <w:color w:val="auto"/>
          <w:highlight w:val="none"/>
        </w:rPr>
        <w:t>▲投标人的投标文件未按照招标文件要求签署、盖章的，其投标无效</w:t>
      </w:r>
      <w:r>
        <w:rPr>
          <w:rFonts w:hint="eastAsia" w:ascii="仿宋" w:hAnsi="仿宋" w:cs="仿宋"/>
          <w:color w:val="auto"/>
          <w:szCs w:val="24"/>
          <w:highlight w:val="none"/>
        </w:rPr>
        <w:t>。</w:t>
      </w:r>
    </w:p>
    <w:p w14:paraId="27F65D0F">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为确保网上操作合法、有效和安全，投标人应当在投标截止时间前完成在“政府采购云平台”的身份认证，确保在电子投标过程中能够对相关数据电文进行加密和使用电子签名。</w:t>
      </w:r>
    </w:p>
    <w:p w14:paraId="25FBC786">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招标文件对投标文件签署、盖章的要求适用于电子签名。</w:t>
      </w:r>
    </w:p>
    <w:p w14:paraId="710CDC42">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投标文件的提交、补充、修改、撤回</w:t>
      </w:r>
    </w:p>
    <w:p w14:paraId="5319CD40">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918925">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568F65FB">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43FE9CDF">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备份投标文件</w:t>
      </w:r>
    </w:p>
    <w:p w14:paraId="45241819">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投标人在电子交易平台传输递交投标文件后，还可以在投标截止时间前直接提交或者以邮政快递方式递交备份投标文件1份，</w:t>
      </w:r>
      <w:r>
        <w:rPr>
          <w:rFonts w:hint="eastAsia" w:ascii="仿宋" w:hAnsi="仿宋" w:cs="仿宋"/>
          <w:b/>
          <w:color w:val="auto"/>
          <w:highlight w:val="none"/>
        </w:rPr>
        <w:t>但采购人、采购代理机构不强制或变相强制投标人提交备份投标文件</w:t>
      </w:r>
      <w:r>
        <w:rPr>
          <w:rFonts w:hint="eastAsia" w:ascii="仿宋" w:hAnsi="仿宋" w:cs="仿宋"/>
          <w:bCs/>
          <w:color w:val="auto"/>
          <w:highlight w:val="none"/>
        </w:rPr>
        <w:t>。</w:t>
      </w:r>
    </w:p>
    <w:p w14:paraId="3C6D8B9E">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color w:val="auto"/>
          <w:highlight w:val="none"/>
        </w:rPr>
        <w:t>不符合上述制作、存储、密封规定的备份投标文件将被视为无效或者被拒绝接收。</w:t>
      </w:r>
    </w:p>
    <w:p w14:paraId="62A8AA8A">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直接提交备份投标文件的，投标人应于投标截止时间前在招标公告中载明的开标地点将备份投标文件提交给采购代理机构，</w:t>
      </w:r>
      <w:r>
        <w:rPr>
          <w:rFonts w:hint="eastAsia" w:ascii="仿宋" w:hAnsi="仿宋" w:cs="仿宋"/>
          <w:b/>
          <w:color w:val="auto"/>
          <w:highlight w:val="none"/>
        </w:rPr>
        <w:t>采购代理机构将拒绝接受逾期送达的备份投标文件</w:t>
      </w:r>
      <w:r>
        <w:rPr>
          <w:rFonts w:hint="eastAsia" w:ascii="仿宋" w:hAnsi="仿宋" w:cs="仿宋"/>
          <w:bCs/>
          <w:color w:val="auto"/>
          <w:highlight w:val="none"/>
        </w:rPr>
        <w:t>。</w:t>
      </w:r>
    </w:p>
    <w:p w14:paraId="47169C02">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7F8BC17">
      <w:pPr>
        <w:numPr>
          <w:ilvl w:val="1"/>
          <w:numId w:val="4"/>
        </w:numPr>
        <w:tabs>
          <w:tab w:val="left" w:pos="210"/>
          <w:tab w:val="left" w:pos="640"/>
        </w:tabs>
        <w:ind w:left="0" w:firstLine="482" w:firstLineChars="200"/>
        <w:jc w:val="left"/>
        <w:rPr>
          <w:rFonts w:hint="eastAsia" w:ascii="仿宋" w:hAnsi="仿宋" w:cs="仿宋"/>
          <w:b/>
          <w:color w:val="auto"/>
          <w:highlight w:val="none"/>
        </w:rPr>
      </w:pPr>
      <w:r>
        <w:rPr>
          <w:rFonts w:hint="eastAsia" w:ascii="仿宋" w:hAnsi="仿宋" w:cs="仿宋"/>
          <w:b/>
          <w:color w:val="auto"/>
          <w:highlight w:val="none"/>
        </w:rPr>
        <w:t>投标人仅提交备份投标文件，未在电子交易平台传输递交投标文件的，投标无效。</w:t>
      </w:r>
    </w:p>
    <w:p w14:paraId="0433FAFB">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投标文件的无效处理</w:t>
      </w:r>
    </w:p>
    <w:p w14:paraId="4CD30742">
      <w:pPr>
        <w:pStyle w:val="25"/>
        <w:spacing w:line="360" w:lineRule="auto"/>
        <w:rPr>
          <w:rFonts w:hint="eastAsia" w:ascii="仿宋" w:hAnsi="仿宋" w:cs="仿宋"/>
          <w:color w:val="auto"/>
          <w:szCs w:val="21"/>
          <w:highlight w:val="none"/>
        </w:rPr>
      </w:pPr>
      <w:r>
        <w:rPr>
          <w:rFonts w:hint="eastAsia" w:ascii="仿宋" w:hAnsi="仿宋" w:cs="仿宋"/>
          <w:color w:val="auto"/>
          <w:szCs w:val="21"/>
          <w:highlight w:val="none"/>
        </w:rPr>
        <w:t>有招标文件第四部分</w:t>
      </w:r>
      <w:r>
        <w:rPr>
          <w:rFonts w:hint="eastAsia" w:ascii="仿宋" w:hAnsi="仿宋" w:cs="仿宋"/>
          <w:color w:val="auto"/>
          <w:highlight w:val="none"/>
        </w:rPr>
        <w:t>第4.2项规定</w:t>
      </w:r>
      <w:r>
        <w:rPr>
          <w:rFonts w:hint="eastAsia" w:ascii="仿宋" w:hAnsi="仿宋" w:cs="仿宋"/>
          <w:color w:val="auto"/>
          <w:szCs w:val="21"/>
          <w:highlight w:val="none"/>
        </w:rPr>
        <w:t>的情形之一的，投标无效：</w:t>
      </w:r>
    </w:p>
    <w:p w14:paraId="1E257C31">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投标有效期</w:t>
      </w:r>
    </w:p>
    <w:p w14:paraId="1BA9F229">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投标有效期为从提交投标文件的截止之日起90天。</w:t>
      </w:r>
    </w:p>
    <w:p w14:paraId="30DD35AE">
      <w:pPr>
        <w:ind w:firstLine="480" w:firstLineChars="200"/>
        <w:rPr>
          <w:rFonts w:hint="eastAsia" w:ascii="仿宋" w:hAnsi="仿宋" w:cs="仿宋"/>
          <w:b/>
          <w:color w:val="auto"/>
          <w:szCs w:val="21"/>
          <w:highlight w:val="none"/>
        </w:rPr>
      </w:pPr>
      <w:r>
        <w:rPr>
          <w:rFonts w:hint="eastAsia" w:ascii="仿宋" w:hAnsi="仿宋" w:cs="仿宋"/>
          <w:color w:val="auto"/>
          <w:szCs w:val="20"/>
          <w:highlight w:val="none"/>
        </w:rPr>
        <w:t>▲</w:t>
      </w:r>
      <w:r>
        <w:rPr>
          <w:rFonts w:hint="eastAsia" w:ascii="仿宋" w:hAnsi="仿宋" w:cs="仿宋"/>
          <w:b/>
          <w:color w:val="auto"/>
          <w:szCs w:val="20"/>
          <w:highlight w:val="none"/>
        </w:rPr>
        <w:t>投标人的投标文件中承</w:t>
      </w:r>
      <w:r>
        <w:rPr>
          <w:rFonts w:hint="eastAsia" w:ascii="仿宋" w:hAnsi="仿宋" w:cs="仿宋"/>
          <w:b/>
          <w:color w:val="auto"/>
          <w:szCs w:val="21"/>
          <w:highlight w:val="none"/>
        </w:rPr>
        <w:t>诺的投标有效期少于招标文件中载明的投标有效期的，投标无效。</w:t>
      </w:r>
    </w:p>
    <w:p w14:paraId="715B03A1">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投标文件合格投递后，自投标截止日期起，在投标有效期内有效。</w:t>
      </w:r>
    </w:p>
    <w:p w14:paraId="4A03DA03">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833D6B1">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四、开标、资格审查与信用信息查询</w:t>
      </w:r>
    </w:p>
    <w:p w14:paraId="1EFAE025">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 xml:space="preserve">开标 </w:t>
      </w:r>
    </w:p>
    <w:p w14:paraId="1D809E5C">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采购代理机构按照招标文件规定的时间通过电子交易平台组织开标，所有投标人均应当准时在线参加。投标人不足3家的，不得开标。</w:t>
      </w:r>
    </w:p>
    <w:p w14:paraId="1BE5A15B">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开标时，电子交易平台按开标时间自动提取所有投标文件。采购代理机构依托电子交易平台发起开始解密指令，投标人按照平台提示和招标文件的规定在半小时内完成在线解密。</w:t>
      </w:r>
    </w:p>
    <w:p w14:paraId="3C925C2A">
      <w:pPr>
        <w:numPr>
          <w:ilvl w:val="1"/>
          <w:numId w:val="4"/>
        </w:numPr>
        <w:tabs>
          <w:tab w:val="left" w:pos="210"/>
          <w:tab w:val="left" w:pos="640"/>
        </w:tabs>
        <w:ind w:left="0" w:firstLine="482" w:firstLineChars="200"/>
        <w:jc w:val="left"/>
        <w:rPr>
          <w:rFonts w:hint="eastAsia" w:ascii="仿宋" w:hAnsi="仿宋" w:cs="仿宋"/>
          <w:b/>
          <w:color w:val="auto"/>
          <w:highlight w:val="none"/>
        </w:rPr>
      </w:pPr>
      <w:r>
        <w:rPr>
          <w:rFonts w:hint="eastAsia" w:ascii="仿宋" w:hAnsi="仿宋" w:cs="仿宋"/>
          <w:b/>
          <w:color w:val="auto"/>
          <w:highlight w:val="none"/>
        </w:rPr>
        <w:t>投标文件未按时解密，投标人提供了备份投标文件的，以备份投标文件作为依据，否则视为投标文件撤回。投标文件已按时解密的，备份投标文件自动失效。</w:t>
      </w:r>
    </w:p>
    <w:p w14:paraId="1259E878">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资格审查</w:t>
      </w:r>
    </w:p>
    <w:p w14:paraId="4E25068D">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采购人或采购代理机构依据法律法规和招标文件的规定，对投标人的资格进行审查。</w:t>
      </w:r>
    </w:p>
    <w:p w14:paraId="1BD4425C">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投标人未按照招标文件要求提供与资格条件相应的有效资格证明材料的，视为投标人不具备招标文件中规定的资格要求，其投标无效。</w:t>
      </w:r>
    </w:p>
    <w:p w14:paraId="66B0D5CE">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对未通过资格审查的投标人，采购人或采购代理机构告知其未通过的原因。</w:t>
      </w:r>
    </w:p>
    <w:p w14:paraId="7ED661B9">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合格投标人不足3家的，不再评标。</w:t>
      </w:r>
    </w:p>
    <w:p w14:paraId="64F53DFF">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信用信息查询</w:t>
      </w:r>
    </w:p>
    <w:p w14:paraId="12006C49">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信用信息查询渠道及截止时间：采购代理机构将通过“信用中国”网站(www.creditchina.gov.cn)、中国政府采购网(www.ccgp.gov.cn)渠道查询投标人投标截止时间当天的信用记录。</w:t>
      </w:r>
    </w:p>
    <w:p w14:paraId="4DCE8710">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信用信息查询记录和证据留存的具体方式：现场查询的投标人的信用记录、查询结果经确认后将与采购文件一起存档。</w:t>
      </w:r>
    </w:p>
    <w:p w14:paraId="0F1DFDE7">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信用信息的使用规则：经查询列入失信被执行人名单、重大税收违法案件当事人名单、政府采购严重违法失信行为记录名单的投标人将被拒绝参与政府采购活动。</w:t>
      </w:r>
    </w:p>
    <w:p w14:paraId="60B530CE">
      <w:pPr>
        <w:numPr>
          <w:ilvl w:val="1"/>
          <w:numId w:val="4"/>
        </w:numPr>
        <w:tabs>
          <w:tab w:val="left" w:pos="210"/>
          <w:tab w:val="left" w:pos="640"/>
        </w:tabs>
        <w:ind w:left="0" w:firstLine="480" w:firstLineChars="200"/>
        <w:jc w:val="left"/>
        <w:rPr>
          <w:rFonts w:hint="eastAsia" w:ascii="仿宋" w:hAnsi="仿宋" w:cs="仿宋"/>
          <w:color w:val="auto"/>
          <w:kern w:val="0"/>
          <w:highlight w:val="none"/>
        </w:rPr>
      </w:pPr>
      <w:r>
        <w:rPr>
          <w:rFonts w:hint="eastAsia" w:ascii="仿宋" w:hAnsi="仿宋" w:cs="仿宋"/>
          <w:bCs/>
          <w:color w:val="auto"/>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C55131">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五、评标</w:t>
      </w:r>
    </w:p>
    <w:p w14:paraId="58729918">
      <w:pPr>
        <w:numPr>
          <w:ilvl w:val="0"/>
          <w:numId w:val="4"/>
        </w:numPr>
        <w:tabs>
          <w:tab w:val="left" w:pos="210"/>
        </w:tabs>
        <w:spacing w:line="360" w:lineRule="auto"/>
        <w:ind w:left="0" w:firstLine="0"/>
        <w:jc w:val="left"/>
        <w:outlineLvl w:val="2"/>
        <w:rPr>
          <w:rFonts w:hint="eastAsia" w:ascii="仿宋" w:hAnsi="仿宋" w:cs="仿宋"/>
          <w:b/>
          <w:color w:val="auto"/>
          <w:highlight w:val="none"/>
        </w:rPr>
      </w:pPr>
      <w:bookmarkStart w:id="25" w:name="_Toc91899903"/>
      <w:r>
        <w:rPr>
          <w:rFonts w:hint="eastAsia" w:ascii="仿宋" w:hAnsi="仿宋" w:cs="仿宋"/>
          <w:b/>
          <w:color w:val="auto"/>
          <w:highlight w:val="none"/>
        </w:rPr>
        <w:t>评标</w:t>
      </w:r>
    </w:p>
    <w:p w14:paraId="15BEC278">
      <w:pPr>
        <w:ind w:firstLine="480" w:firstLineChars="200"/>
        <w:rPr>
          <w:rFonts w:hint="eastAsia" w:ascii="仿宋" w:hAnsi="仿宋" w:cs="仿宋"/>
          <w:b/>
          <w:color w:val="auto"/>
          <w:highlight w:val="none"/>
        </w:rPr>
      </w:pPr>
      <w:r>
        <w:rPr>
          <w:rFonts w:hint="eastAsia" w:ascii="仿宋" w:hAnsi="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color w:val="auto"/>
          <w:highlight w:val="none"/>
        </w:rPr>
        <w:t>详见招标文件第四部分评标办法。</w:t>
      </w:r>
    </w:p>
    <w:p w14:paraId="487B1E0A">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六、定标</w:t>
      </w:r>
    </w:p>
    <w:p w14:paraId="5DC0F0F1">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确定中标供应商</w:t>
      </w:r>
    </w:p>
    <w:p w14:paraId="24159BF5">
      <w:pPr>
        <w:pStyle w:val="140"/>
        <w:spacing w:before="0" w:line="312" w:lineRule="auto"/>
        <w:ind w:firstLine="480"/>
        <w:rPr>
          <w:rFonts w:hint="eastAsia" w:ascii="仿宋" w:hAnsi="仿宋" w:cs="仿宋"/>
          <w:b/>
          <w:color w:val="auto"/>
          <w:szCs w:val="24"/>
          <w:highlight w:val="none"/>
        </w:rPr>
      </w:pPr>
      <w:r>
        <w:rPr>
          <w:rFonts w:hint="eastAsia" w:ascii="仿宋" w:hAnsi="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31C2C56D">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中标通知与中标结果公告</w:t>
      </w:r>
    </w:p>
    <w:p w14:paraId="6723950B">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自中标人确定之日起2个工作日内，采购代理机构通过电子交易平台向中标人发出中标通知书，同时编制发布采购结果公告。采购代理机构也可以以纸质形式进行中标通知。</w:t>
      </w:r>
    </w:p>
    <w:p w14:paraId="16B5816A">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1CE9D91">
      <w:pPr>
        <w:numPr>
          <w:ilvl w:val="1"/>
          <w:numId w:val="4"/>
        </w:numPr>
        <w:tabs>
          <w:tab w:val="left" w:pos="210"/>
          <w:tab w:val="left" w:pos="640"/>
        </w:tabs>
        <w:ind w:left="0" w:firstLine="480" w:firstLineChars="200"/>
        <w:jc w:val="left"/>
        <w:rPr>
          <w:rFonts w:hint="eastAsia" w:ascii="仿宋" w:hAnsi="仿宋" w:cs="仿宋"/>
          <w:color w:val="auto"/>
          <w:highlight w:val="none"/>
        </w:rPr>
      </w:pPr>
      <w:r>
        <w:rPr>
          <w:rFonts w:hint="eastAsia" w:ascii="仿宋" w:hAnsi="仿宋" w:cs="仿宋"/>
          <w:bCs/>
          <w:color w:val="auto"/>
          <w:highlight w:val="none"/>
        </w:rPr>
        <w:t>公告期限为1个工作日。</w:t>
      </w:r>
    </w:p>
    <w:p w14:paraId="0CEEA128">
      <w:pPr>
        <w:numPr>
          <w:ilvl w:val="1"/>
          <w:numId w:val="4"/>
        </w:numPr>
        <w:tabs>
          <w:tab w:val="left" w:pos="210"/>
        </w:tabs>
        <w:ind w:left="0" w:firstLine="480"/>
        <w:rPr>
          <w:rFonts w:hint="eastAsia" w:ascii="仿宋" w:hAnsi="仿宋" w:cs="仿宋"/>
          <w:bCs/>
          <w:color w:val="auto"/>
          <w:highlight w:val="none"/>
        </w:rPr>
      </w:pPr>
      <w:r>
        <w:rPr>
          <w:rFonts w:hint="eastAsia" w:ascii="仿宋" w:hAnsi="仿宋" w:cs="仿宋"/>
          <w:b w:val="0"/>
          <w:bCs/>
          <w:color w:val="auto"/>
          <w:szCs w:val="24"/>
          <w:highlight w:val="none"/>
          <w:lang w:val="en-US" w:eastAsia="zh-CN"/>
        </w:rPr>
        <w:t xml:space="preserve"> </w:t>
      </w:r>
      <w:r>
        <w:rPr>
          <w:rFonts w:hint="eastAsia" w:ascii="仿宋" w:hAnsi="仿宋" w:cs="仿宋"/>
          <w:b w:val="0"/>
          <w:bCs/>
          <w:color w:val="auto"/>
          <w:szCs w:val="24"/>
          <w:highlight w:val="none"/>
        </w:rPr>
        <w:t>由于</w:t>
      </w:r>
      <w:r>
        <w:rPr>
          <w:rFonts w:hint="eastAsia" w:ascii="仿宋" w:hAnsi="仿宋" w:cs="仿宋"/>
          <w:bCs/>
          <w:color w:val="auto"/>
          <w:szCs w:val="24"/>
          <w:highlight w:val="none"/>
        </w:rPr>
        <w:t>中标、成交供应商原因导致重新采购的，应当承担支付代理费和专家评审费等费用在内的赔偿责任。</w:t>
      </w:r>
    </w:p>
    <w:p w14:paraId="65807B3E">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七、合同授予</w:t>
      </w:r>
    </w:p>
    <w:p w14:paraId="42C9B471">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合同授予</w:t>
      </w:r>
    </w:p>
    <w:p w14:paraId="08B94473">
      <w:pPr>
        <w:widowControl/>
        <w:ind w:firstLine="480" w:firstLineChars="200"/>
        <w:jc w:val="left"/>
        <w:rPr>
          <w:rFonts w:hint="eastAsia" w:ascii="仿宋" w:hAnsi="仿宋" w:cs="仿宋"/>
          <w:color w:val="auto"/>
          <w:highlight w:val="none"/>
        </w:rPr>
      </w:pPr>
      <w:r>
        <w:rPr>
          <w:rFonts w:hint="eastAsia" w:ascii="仿宋" w:hAnsi="仿宋" w:cs="仿宋"/>
          <w:color w:val="auto"/>
          <w:highlight w:val="none"/>
        </w:rPr>
        <w:t>合同主要条款详见第五部分拟签订的合同文本。</w:t>
      </w:r>
    </w:p>
    <w:p w14:paraId="0B33EE5A">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合同的签订</w:t>
      </w:r>
    </w:p>
    <w:p w14:paraId="67BB6FD1">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rPr>
        <w:t>采购人与中标人应当在中标通知书发出之日起三十日内，按照招标文件确定的事项签订政府采购合同，并在签订之日起2个工作日内将政府采购合同在浙江政府采购网上公告。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8F20DB">
      <w:pPr>
        <w:numPr>
          <w:ilvl w:val="1"/>
          <w:numId w:val="4"/>
        </w:numPr>
        <w:tabs>
          <w:tab w:val="left" w:pos="210"/>
          <w:tab w:val="left" w:pos="64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FA5188D">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如签订合同并生效后，供应商无故拒绝或延期，除按照合同条款处理外，列入不良行为记录一次，并给予通报。</w:t>
      </w:r>
    </w:p>
    <w:p w14:paraId="316ED87B">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中标供应商拒绝与采购人签订合同的，采购人可以按照评审报告推荐的中标或者成交候选人名单排序，确定下一候选人为中标供应商，也可以重新开展政府采购活动。</w:t>
      </w:r>
    </w:p>
    <w:p w14:paraId="7711D30C">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履约保证金</w:t>
      </w:r>
    </w:p>
    <w:p w14:paraId="621F3224">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9A781F1">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w:t>
      </w:r>
      <w:r>
        <w:rPr>
          <w:rFonts w:hint="eastAsia" w:ascii="仿宋" w:hAnsi="仿宋" w:cs="仿宋"/>
          <w:bCs/>
          <w:color w:val="auto"/>
          <w:highlight w:val="none"/>
        </w:rPr>
        <w:t>可</w:t>
      </w:r>
      <w:r>
        <w:rPr>
          <w:rFonts w:hint="eastAsia" w:ascii="仿宋" w:hAnsi="仿宋" w:cs="仿宋"/>
          <w:bCs/>
          <w:color w:val="auto"/>
          <w:highlight w:val="none"/>
          <w:lang w:val="zh-CN"/>
        </w:rPr>
        <w:t>登录政采云平台-【金融服务】—【我的项目】—【已备案合同】以保函形式提供：</w:t>
      </w:r>
    </w:p>
    <w:p w14:paraId="11E18531">
      <w:pPr>
        <w:numPr>
          <w:ilvl w:val="2"/>
          <w:numId w:val="4"/>
        </w:numPr>
        <w:tabs>
          <w:tab w:val="left" w:pos="21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供应商在合同列表选择需要投保的合同，点击【保函推荐】。</w:t>
      </w:r>
    </w:p>
    <w:p w14:paraId="5393B86B">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lang w:val="zh-CN"/>
        </w:rPr>
        <w:t>在弹框里查看推荐的保函产品，供应商自行选择保函产品，点击【立即申请】。</w:t>
      </w:r>
    </w:p>
    <w:p w14:paraId="1E2C11DE">
      <w:pPr>
        <w:numPr>
          <w:ilvl w:val="2"/>
          <w:numId w:val="4"/>
        </w:numPr>
        <w:tabs>
          <w:tab w:val="left" w:pos="210"/>
        </w:tabs>
        <w:ind w:left="0" w:firstLine="480" w:firstLineChars="200"/>
        <w:jc w:val="left"/>
        <w:rPr>
          <w:rFonts w:hint="eastAsia" w:ascii="仿宋" w:hAnsi="仿宋" w:cs="仿宋"/>
          <w:bCs/>
          <w:color w:val="auto"/>
          <w:highlight w:val="none"/>
        </w:rPr>
      </w:pPr>
      <w:r>
        <w:rPr>
          <w:rFonts w:hint="eastAsia" w:ascii="仿宋" w:hAnsi="仿宋" w:cs="仿宋"/>
          <w:bCs/>
          <w:color w:val="auto"/>
          <w:highlight w:val="none"/>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bCs/>
          <w:color w:val="auto"/>
          <w:highlight w:val="none"/>
          <w:lang w:val="zh-CN" w:eastAsia="zh-CN"/>
        </w:rPr>
        <w:t>95763</w:t>
      </w:r>
      <w:r>
        <w:rPr>
          <w:rFonts w:hint="eastAsia" w:ascii="仿宋" w:hAnsi="仿宋" w:cs="仿宋"/>
          <w:bCs/>
          <w:color w:val="auto"/>
          <w:highlight w:val="none"/>
          <w:lang w:val="zh-CN"/>
        </w:rPr>
        <w:t>。</w:t>
      </w:r>
    </w:p>
    <w:p w14:paraId="481294CB">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预付款</w:t>
      </w:r>
    </w:p>
    <w:p w14:paraId="4419B701">
      <w:pPr>
        <w:pStyle w:val="25"/>
        <w:spacing w:line="312" w:lineRule="auto"/>
        <w:rPr>
          <w:rFonts w:hint="eastAsia" w:ascii="仿宋" w:hAnsi="仿宋" w:cs="仿宋"/>
          <w:color w:val="auto"/>
          <w:highlight w:val="none"/>
        </w:rPr>
      </w:pPr>
      <w:r>
        <w:rPr>
          <w:rFonts w:hint="eastAsia" w:ascii="仿宋" w:hAnsi="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olor w:val="auto"/>
          <w:sz w:val="24"/>
          <w:highlight w:val="none"/>
          <w:lang w:val="en-US" w:eastAsia="zh-CN"/>
        </w:rPr>
        <w:t>95763</w:t>
      </w:r>
      <w:r>
        <w:rPr>
          <w:rFonts w:hint="eastAsia" w:ascii="仿宋" w:hAnsi="仿宋" w:cs="仿宋"/>
          <w:bCs/>
          <w:color w:val="auto"/>
          <w:highlight w:val="none"/>
          <w:lang w:val="zh-CN"/>
        </w:rPr>
        <w:t>。</w:t>
      </w:r>
    </w:p>
    <w:p w14:paraId="44145AF3">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八、电子交易活动的中止</w:t>
      </w:r>
    </w:p>
    <w:p w14:paraId="2F96EA83">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电子交易活动的中止</w:t>
      </w:r>
    </w:p>
    <w:p w14:paraId="585A1DBB">
      <w:pPr>
        <w:pStyle w:val="140"/>
        <w:spacing w:before="0" w:line="312" w:lineRule="auto"/>
        <w:ind w:firstLine="480"/>
        <w:jc w:val="left"/>
        <w:rPr>
          <w:rFonts w:hint="eastAsia" w:ascii="仿宋" w:hAnsi="仿宋" w:cs="仿宋"/>
          <w:color w:val="auto"/>
          <w:highlight w:val="none"/>
        </w:rPr>
      </w:pPr>
      <w:r>
        <w:rPr>
          <w:rFonts w:hint="eastAsia" w:ascii="仿宋" w:hAnsi="仿宋" w:cs="仿宋"/>
          <w:color w:val="auto"/>
          <w:highlight w:val="none"/>
        </w:rPr>
        <w:t>采购过程中出现以下情形，导致电子交易平台无法正常运行，或者无法保证电子交易的公平、公正和安全时，采购代理机构可中止电子交易活动：</w:t>
      </w:r>
    </w:p>
    <w:p w14:paraId="203F1A43">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 xml:space="preserve">电子交易平台发生故障而无法登录访问的； </w:t>
      </w:r>
    </w:p>
    <w:p w14:paraId="5F3D2043">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电子交易平台应用或数据库出现错误，不能进行正常操作的；</w:t>
      </w:r>
    </w:p>
    <w:p w14:paraId="25CDE0AC">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电子交易平台发现严重安全漏洞，有潜在泄密危险的；</w:t>
      </w:r>
    </w:p>
    <w:p w14:paraId="02EDC844">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 xml:space="preserve">病毒发作导致不能进行正常操作的； </w:t>
      </w:r>
    </w:p>
    <w:p w14:paraId="1BE3AC57">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其他无法保证电子交易的公平、公正和安全的情况。</w:t>
      </w:r>
    </w:p>
    <w:p w14:paraId="115A2EAE">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9631F16">
      <w:pPr>
        <w:adjustRightInd/>
        <w:spacing w:line="360" w:lineRule="auto"/>
        <w:jc w:val="center"/>
        <w:outlineLvl w:val="1"/>
        <w:rPr>
          <w:rFonts w:hint="eastAsia" w:ascii="仿宋" w:hAnsi="仿宋" w:cs="仿宋"/>
          <w:b/>
          <w:color w:val="auto"/>
          <w:sz w:val="32"/>
          <w:szCs w:val="20"/>
          <w:highlight w:val="none"/>
        </w:rPr>
      </w:pPr>
      <w:r>
        <w:rPr>
          <w:rFonts w:hint="eastAsia" w:ascii="仿宋" w:hAnsi="仿宋" w:cs="仿宋"/>
          <w:b/>
          <w:color w:val="auto"/>
          <w:sz w:val="32"/>
          <w:szCs w:val="20"/>
          <w:highlight w:val="none"/>
        </w:rPr>
        <w:t>九、验收</w:t>
      </w:r>
    </w:p>
    <w:p w14:paraId="7557B839">
      <w:pPr>
        <w:numPr>
          <w:ilvl w:val="0"/>
          <w:numId w:val="4"/>
        </w:numPr>
        <w:tabs>
          <w:tab w:val="left" w:pos="210"/>
        </w:tabs>
        <w:spacing w:line="360" w:lineRule="auto"/>
        <w:ind w:left="0" w:firstLine="0"/>
        <w:jc w:val="left"/>
        <w:outlineLvl w:val="2"/>
        <w:rPr>
          <w:rFonts w:hint="eastAsia" w:ascii="仿宋" w:hAnsi="仿宋" w:cs="仿宋"/>
          <w:b/>
          <w:color w:val="auto"/>
          <w:highlight w:val="none"/>
        </w:rPr>
      </w:pPr>
      <w:r>
        <w:rPr>
          <w:rFonts w:hint="eastAsia" w:ascii="仿宋" w:hAnsi="仿宋" w:cs="仿宋"/>
          <w:b/>
          <w:color w:val="auto"/>
          <w:highlight w:val="none"/>
        </w:rPr>
        <w:t>验收</w:t>
      </w:r>
    </w:p>
    <w:p w14:paraId="57C4CE6C">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354F62">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采购人可以邀请参加本项目的其他投标人或者第三方机构参与验收。参与验收的投标人或者第三方机构的意见作为验收书的参考资料一并存档。</w:t>
      </w:r>
    </w:p>
    <w:p w14:paraId="66B5C20F">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A5B1EC">
      <w:pPr>
        <w:numPr>
          <w:ilvl w:val="1"/>
          <w:numId w:val="4"/>
        </w:numPr>
        <w:tabs>
          <w:tab w:val="left" w:pos="210"/>
          <w:tab w:val="left" w:pos="640"/>
        </w:tabs>
        <w:ind w:left="0" w:firstLine="480" w:firstLineChars="200"/>
        <w:jc w:val="left"/>
        <w:rPr>
          <w:rFonts w:hint="eastAsia" w:ascii="仿宋" w:hAnsi="仿宋" w:cs="仿宋"/>
          <w:bCs/>
          <w:color w:val="auto"/>
          <w:highlight w:val="none"/>
          <w:lang w:val="zh-CN"/>
        </w:rPr>
      </w:pPr>
      <w:r>
        <w:rPr>
          <w:rFonts w:hint="eastAsia" w:ascii="仿宋" w:hAnsi="仿宋" w:cs="仿宋"/>
          <w:bCs/>
          <w:color w:val="auto"/>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694DA0">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仿宋" w:hAnsi="仿宋" w:eastAsia="仿宋" w:cs="仿宋"/>
          <w:b w:val="0"/>
          <w:bCs/>
          <w:color w:val="auto"/>
          <w:kern w:val="2"/>
          <w:sz w:val="24"/>
          <w:szCs w:val="24"/>
          <w:highlight w:val="none"/>
          <w:lang w:val="zh-CN"/>
        </w:rPr>
        <w:t>30.5 对于满足合同约定的采购资金支付条件的，供应商可通过政采云平台提起在线支付申请、查询支付结果，路径为政采云-我的工作台-</w:t>
      </w:r>
      <w:r>
        <w:rPr>
          <w:rFonts w:hint="eastAsia" w:ascii="仿宋" w:hAnsi="仿宋" w:eastAsia="仿宋" w:cs="仿宋"/>
          <w:b w:val="0"/>
          <w:bCs/>
          <w:color w:val="auto"/>
          <w:kern w:val="2"/>
          <w:sz w:val="24"/>
          <w:szCs w:val="24"/>
          <w:highlight w:val="none"/>
          <w:lang w:val="zh-CN" w:eastAsia="zh-CN"/>
        </w:rPr>
        <w:t>合同管理</w:t>
      </w:r>
      <w:r>
        <w:rPr>
          <w:rFonts w:hint="eastAsia" w:ascii="仿宋" w:hAnsi="仿宋" w:eastAsia="仿宋" w:cs="仿宋"/>
          <w:b w:val="0"/>
          <w:bCs/>
          <w:color w:val="auto"/>
          <w:kern w:val="2"/>
          <w:sz w:val="24"/>
          <w:szCs w:val="24"/>
          <w:highlight w:val="none"/>
          <w:lang w:val="zh-CN"/>
        </w:rPr>
        <w:t>-支付管理。对于供应商提起在线支付申请的，采购</w:t>
      </w:r>
      <w:r>
        <w:rPr>
          <w:rFonts w:hint="eastAsia" w:ascii="仿宋" w:hAnsi="仿宋" w:eastAsia="仿宋" w:cs="仿宋"/>
          <w:b w:val="0"/>
          <w:bCs/>
          <w:color w:val="auto"/>
          <w:kern w:val="2"/>
          <w:sz w:val="24"/>
          <w:szCs w:val="24"/>
          <w:highlight w:val="none"/>
          <w:lang w:val="zh-CN" w:eastAsia="zh-CN"/>
        </w:rPr>
        <w:t>人</w:t>
      </w:r>
      <w:r>
        <w:rPr>
          <w:rFonts w:hint="eastAsia" w:ascii="仿宋" w:hAnsi="仿宋" w:eastAsia="仿宋" w:cs="仿宋"/>
          <w:b w:val="0"/>
          <w:bCs/>
          <w:color w:val="auto"/>
          <w:kern w:val="2"/>
          <w:sz w:val="24"/>
          <w:szCs w:val="24"/>
          <w:highlight w:val="none"/>
          <w:lang w:val="zh-CN"/>
        </w:rPr>
        <w:t>应当</w:t>
      </w:r>
      <w:r>
        <w:rPr>
          <w:rFonts w:hint="eastAsia" w:ascii="仿宋" w:hAnsi="仿宋" w:eastAsia="仿宋" w:cs="仿宋"/>
          <w:b w:val="0"/>
          <w:bCs/>
          <w:color w:val="auto"/>
          <w:kern w:val="2"/>
          <w:sz w:val="24"/>
          <w:szCs w:val="24"/>
          <w:highlight w:val="none"/>
          <w:lang w:val="zh-CN" w:eastAsia="zh-CN"/>
        </w:rPr>
        <w:t>按规定</w:t>
      </w:r>
      <w:r>
        <w:rPr>
          <w:rFonts w:hint="eastAsia" w:ascii="仿宋" w:hAnsi="仿宋" w:eastAsia="仿宋" w:cs="仿宋"/>
          <w:b w:val="0"/>
          <w:bCs/>
          <w:color w:val="auto"/>
          <w:kern w:val="2"/>
          <w:sz w:val="24"/>
          <w:szCs w:val="24"/>
          <w:highlight w:val="none"/>
          <w:lang w:val="zh-CN"/>
        </w:rPr>
        <w:t>做好审核并完成支付。</w:t>
      </w:r>
    </w:p>
    <w:p w14:paraId="0CC2653F">
      <w:pPr>
        <w:pStyle w:val="79"/>
        <w:rPr>
          <w:rFonts w:hint="eastAsia"/>
          <w:color w:val="auto"/>
          <w:highlight w:val="none"/>
          <w:lang w:val="zh-CN"/>
        </w:rPr>
      </w:pPr>
    </w:p>
    <w:bookmarkEnd w:id="25"/>
    <w:p w14:paraId="2D08F867">
      <w:pPr>
        <w:pStyle w:val="140"/>
        <w:spacing w:before="0"/>
        <w:ind w:firstLine="480"/>
        <w:rPr>
          <w:rFonts w:hint="eastAsia" w:ascii="仿宋" w:hAnsi="仿宋" w:cs="仿宋"/>
          <w:color w:val="auto"/>
          <w:highlight w:val="none"/>
        </w:rPr>
      </w:pPr>
      <w:bookmarkStart w:id="26" w:name="_Hlt75236101"/>
      <w:bookmarkEnd w:id="26"/>
      <w:bookmarkStart w:id="27" w:name="_Hlt68403820"/>
      <w:bookmarkEnd w:id="27"/>
      <w:bookmarkStart w:id="28" w:name="_Hlt68072998"/>
      <w:bookmarkEnd w:id="28"/>
      <w:bookmarkStart w:id="29" w:name="_Hlt75236011"/>
      <w:bookmarkEnd w:id="29"/>
      <w:bookmarkStart w:id="30" w:name="_Hlt74729768"/>
      <w:bookmarkEnd w:id="30"/>
      <w:bookmarkStart w:id="31" w:name="_Hlt74730295"/>
      <w:bookmarkEnd w:id="31"/>
      <w:bookmarkStart w:id="32" w:name="_Hlt68057669"/>
      <w:bookmarkEnd w:id="32"/>
      <w:bookmarkStart w:id="33" w:name="_Hlt74714665"/>
      <w:bookmarkEnd w:id="33"/>
      <w:bookmarkStart w:id="34" w:name="_Hlt68073093"/>
      <w:bookmarkEnd w:id="34"/>
      <w:bookmarkStart w:id="35" w:name="_Hlt75236290"/>
      <w:bookmarkEnd w:id="35"/>
      <w:bookmarkStart w:id="36" w:name="_Hlt68072990"/>
      <w:bookmarkEnd w:id="36"/>
      <w:bookmarkStart w:id="37" w:name="_Hlt74707468"/>
      <w:bookmarkEnd w:id="37"/>
    </w:p>
    <w:p w14:paraId="3FFD08B4">
      <w:pPr>
        <w:rPr>
          <w:rFonts w:hint="eastAsia" w:ascii="仿宋" w:hAnsi="仿宋" w:cs="仿宋"/>
          <w:color w:val="auto"/>
          <w:highlight w:val="none"/>
        </w:rPr>
      </w:pPr>
      <w:r>
        <w:rPr>
          <w:rFonts w:hint="eastAsia" w:ascii="仿宋" w:hAnsi="仿宋" w:cs="仿宋"/>
          <w:color w:val="auto"/>
          <w:highlight w:val="none"/>
        </w:rPr>
        <w:br w:type="page"/>
      </w:r>
    </w:p>
    <w:p w14:paraId="3B397A7D">
      <w:pPr>
        <w:pStyle w:val="140"/>
        <w:spacing w:before="0"/>
        <w:ind w:firstLine="480"/>
        <w:rPr>
          <w:rFonts w:hint="eastAsia" w:ascii="仿宋" w:hAnsi="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23"/>
    <w:bookmarkEnd w:id="24"/>
    <w:p w14:paraId="581E3A63">
      <w:pPr>
        <w:numPr>
          <w:ilvl w:val="0"/>
          <w:numId w:val="5"/>
        </w:numPr>
        <w:adjustRightInd/>
        <w:spacing w:line="360" w:lineRule="auto"/>
        <w:jc w:val="center"/>
        <w:outlineLvl w:val="0"/>
        <w:rPr>
          <w:rFonts w:hint="eastAsia" w:ascii="仿宋" w:hAnsi="仿宋" w:cs="仿宋"/>
          <w:b/>
          <w:color w:val="auto"/>
          <w:sz w:val="36"/>
          <w:szCs w:val="20"/>
          <w:highlight w:val="none"/>
        </w:rPr>
      </w:pPr>
      <w:bookmarkStart w:id="38" w:name="_Toc5571"/>
      <w:bookmarkStart w:id="39" w:name="第四部分"/>
      <w:r>
        <w:rPr>
          <w:rFonts w:hint="eastAsia" w:ascii="仿宋" w:hAnsi="仿宋" w:cs="仿宋"/>
          <w:b/>
          <w:color w:val="auto"/>
          <w:sz w:val="36"/>
          <w:szCs w:val="20"/>
          <w:highlight w:val="none"/>
        </w:rPr>
        <w:t xml:space="preserve"> 采购需求</w:t>
      </w:r>
      <w:bookmarkEnd w:id="38"/>
    </w:p>
    <w:p w14:paraId="050658D2">
      <w:pPr>
        <w:pStyle w:val="5"/>
        <w:ind w:firstLine="48"/>
        <w:rPr>
          <w:rFonts w:hint="eastAsia" w:ascii="仿宋" w:eastAsia="仿宋" w:cs="仿宋"/>
          <w:color w:val="auto"/>
          <w:highlight w:val="none"/>
        </w:rPr>
      </w:pPr>
      <w:bookmarkStart w:id="40" w:name="_Toc14467"/>
      <w:bookmarkStart w:id="41" w:name="_Toc468650634"/>
      <w:bookmarkStart w:id="42" w:name="_Toc22010"/>
      <w:bookmarkStart w:id="43" w:name="_Toc25660917"/>
      <w:bookmarkStart w:id="44" w:name="_Toc4670"/>
      <w:r>
        <w:rPr>
          <w:rFonts w:hint="eastAsia" w:ascii="仿宋" w:eastAsia="仿宋" w:cs="仿宋"/>
          <w:color w:val="auto"/>
          <w:highlight w:val="none"/>
        </w:rPr>
        <w:t>一、 采购内容</w:t>
      </w:r>
      <w:bookmarkEnd w:id="40"/>
      <w:bookmarkEnd w:id="41"/>
      <w:bookmarkEnd w:id="42"/>
      <w:bookmarkEnd w:id="43"/>
      <w:bookmarkEnd w:id="44"/>
    </w:p>
    <w:tbl>
      <w:tblPr>
        <w:tblStyle w:val="62"/>
        <w:tblW w:w="8310"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4673"/>
        <w:gridCol w:w="1047"/>
        <w:gridCol w:w="895"/>
        <w:gridCol w:w="960"/>
      </w:tblGrid>
      <w:tr w14:paraId="19C9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35" w:type="dxa"/>
            <w:vAlign w:val="center"/>
          </w:tcPr>
          <w:p w14:paraId="73BEB755">
            <w:pPr>
              <w:pStyle w:val="957"/>
              <w:spacing w:line="360" w:lineRule="auto"/>
              <w:jc w:val="center"/>
              <w:rPr>
                <w:rFonts w:hint="eastAsia" w:ascii="仿宋" w:hAnsi="仿宋" w:cs="仿宋"/>
                <w:b/>
                <w:bCs/>
                <w:color w:val="auto"/>
                <w:highlight w:val="none"/>
              </w:rPr>
            </w:pPr>
            <w:r>
              <w:rPr>
                <w:rFonts w:hint="eastAsia" w:ascii="仿宋" w:hAnsi="仿宋" w:cs="仿宋"/>
                <w:b/>
                <w:bCs/>
                <w:color w:val="auto"/>
                <w:highlight w:val="none"/>
              </w:rPr>
              <w:t>标项号</w:t>
            </w:r>
          </w:p>
        </w:tc>
        <w:tc>
          <w:tcPr>
            <w:tcW w:w="4673" w:type="dxa"/>
            <w:vAlign w:val="center"/>
          </w:tcPr>
          <w:p w14:paraId="445E3216">
            <w:pPr>
              <w:pStyle w:val="957"/>
              <w:spacing w:line="360" w:lineRule="auto"/>
              <w:jc w:val="center"/>
              <w:rPr>
                <w:rFonts w:hint="eastAsia" w:ascii="仿宋" w:hAnsi="仿宋" w:cs="仿宋"/>
                <w:b/>
                <w:bCs/>
                <w:color w:val="auto"/>
                <w:highlight w:val="none"/>
              </w:rPr>
            </w:pPr>
            <w:r>
              <w:rPr>
                <w:rFonts w:hint="eastAsia" w:ascii="仿宋" w:hAnsi="仿宋" w:cs="仿宋"/>
                <w:b/>
                <w:bCs/>
                <w:color w:val="auto"/>
                <w:highlight w:val="none"/>
              </w:rPr>
              <w:t>标项内容</w:t>
            </w:r>
          </w:p>
        </w:tc>
        <w:tc>
          <w:tcPr>
            <w:tcW w:w="1047" w:type="dxa"/>
            <w:vAlign w:val="center"/>
          </w:tcPr>
          <w:p w14:paraId="328DACF4">
            <w:pPr>
              <w:pStyle w:val="957"/>
              <w:spacing w:line="360" w:lineRule="auto"/>
              <w:jc w:val="center"/>
              <w:rPr>
                <w:rFonts w:hint="eastAsia" w:ascii="仿宋" w:hAnsi="仿宋" w:cs="仿宋"/>
                <w:b/>
                <w:bCs/>
                <w:color w:val="auto"/>
                <w:highlight w:val="none"/>
              </w:rPr>
            </w:pPr>
            <w:r>
              <w:rPr>
                <w:rFonts w:hint="eastAsia" w:ascii="仿宋" w:hAnsi="仿宋" w:cs="仿宋"/>
                <w:b/>
                <w:bCs/>
                <w:color w:val="auto"/>
                <w:highlight w:val="none"/>
              </w:rPr>
              <w:t>单位</w:t>
            </w:r>
          </w:p>
        </w:tc>
        <w:tc>
          <w:tcPr>
            <w:tcW w:w="895" w:type="dxa"/>
            <w:vAlign w:val="center"/>
          </w:tcPr>
          <w:p w14:paraId="4E2A501D">
            <w:pPr>
              <w:pStyle w:val="957"/>
              <w:spacing w:line="360" w:lineRule="auto"/>
              <w:jc w:val="center"/>
              <w:rPr>
                <w:rFonts w:hint="eastAsia" w:ascii="仿宋" w:hAnsi="仿宋" w:cs="仿宋"/>
                <w:b/>
                <w:bCs/>
                <w:color w:val="auto"/>
                <w:highlight w:val="none"/>
              </w:rPr>
            </w:pPr>
            <w:r>
              <w:rPr>
                <w:rFonts w:hint="eastAsia" w:ascii="仿宋" w:hAnsi="仿宋" w:cs="仿宋"/>
                <w:b/>
                <w:bCs/>
                <w:color w:val="auto"/>
                <w:highlight w:val="none"/>
              </w:rPr>
              <w:t>数量</w:t>
            </w:r>
          </w:p>
        </w:tc>
        <w:tc>
          <w:tcPr>
            <w:tcW w:w="960" w:type="dxa"/>
            <w:vAlign w:val="center"/>
          </w:tcPr>
          <w:p w14:paraId="5EE3B1C9">
            <w:pPr>
              <w:spacing w:line="360" w:lineRule="auto"/>
              <w:jc w:val="center"/>
              <w:rPr>
                <w:rFonts w:hint="eastAsia" w:ascii="仿宋" w:hAnsi="仿宋" w:cs="仿宋"/>
                <w:b/>
                <w:bCs/>
                <w:color w:val="auto"/>
                <w:kern w:val="0"/>
                <w:highlight w:val="none"/>
              </w:rPr>
            </w:pPr>
            <w:r>
              <w:rPr>
                <w:rFonts w:hint="eastAsia" w:ascii="仿宋" w:hAnsi="仿宋" w:cs="仿宋"/>
                <w:b/>
                <w:bCs/>
                <w:color w:val="auto"/>
                <w:kern w:val="0"/>
                <w:highlight w:val="none"/>
              </w:rPr>
              <w:t>备注</w:t>
            </w:r>
          </w:p>
        </w:tc>
      </w:tr>
      <w:tr w14:paraId="643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35" w:type="dxa"/>
            <w:vAlign w:val="center"/>
          </w:tcPr>
          <w:p w14:paraId="69A34733">
            <w:pPr>
              <w:pStyle w:val="957"/>
              <w:spacing w:line="360" w:lineRule="auto"/>
              <w:ind w:firstLine="372"/>
              <w:jc w:val="left"/>
              <w:rPr>
                <w:rFonts w:hint="eastAsia" w:ascii="仿宋" w:hAnsi="仿宋" w:cs="仿宋"/>
                <w:b/>
                <w:color w:val="auto"/>
                <w:w w:val="89"/>
                <w:highlight w:val="none"/>
              </w:rPr>
            </w:pPr>
            <w:r>
              <w:rPr>
                <w:rFonts w:hint="eastAsia" w:ascii="仿宋" w:hAnsi="仿宋" w:cs="仿宋"/>
                <w:b/>
                <w:color w:val="auto"/>
                <w:w w:val="89"/>
                <w:highlight w:val="none"/>
              </w:rPr>
              <w:t>1</w:t>
            </w:r>
          </w:p>
        </w:tc>
        <w:tc>
          <w:tcPr>
            <w:tcW w:w="4673" w:type="dxa"/>
            <w:vAlign w:val="center"/>
          </w:tcPr>
          <w:p w14:paraId="69892014">
            <w:pPr>
              <w:pStyle w:val="957"/>
              <w:spacing w:line="360" w:lineRule="auto"/>
              <w:jc w:val="left"/>
              <w:rPr>
                <w:rFonts w:hint="eastAsia" w:ascii="仿宋" w:hAnsi="仿宋" w:cs="仿宋"/>
                <w:b/>
                <w:color w:val="auto"/>
                <w:highlight w:val="none"/>
                <w:lang w:eastAsia="zh-CN"/>
              </w:rPr>
            </w:pPr>
            <w:r>
              <w:rPr>
                <w:rFonts w:hint="eastAsia" w:ascii="仿宋" w:hAnsi="仿宋" w:cs="仿宋"/>
                <w:b/>
                <w:color w:val="auto"/>
                <w:highlight w:val="none"/>
                <w:lang w:eastAsia="zh-CN"/>
              </w:rPr>
              <w:t>杭州市萧山区海塘安澜工程（七甲船闸至赭山湾闸段海塘—省管段）项目建议书及堤脚冲刷研究</w:t>
            </w:r>
          </w:p>
        </w:tc>
        <w:tc>
          <w:tcPr>
            <w:tcW w:w="1047" w:type="dxa"/>
            <w:vAlign w:val="center"/>
          </w:tcPr>
          <w:p w14:paraId="75DC91F8">
            <w:pPr>
              <w:pStyle w:val="957"/>
              <w:spacing w:line="360" w:lineRule="auto"/>
              <w:jc w:val="center"/>
              <w:rPr>
                <w:rFonts w:hint="eastAsia" w:ascii="仿宋" w:hAnsi="仿宋" w:cs="仿宋"/>
                <w:b/>
                <w:color w:val="auto"/>
                <w:w w:val="89"/>
                <w:highlight w:val="none"/>
              </w:rPr>
            </w:pPr>
            <w:r>
              <w:rPr>
                <w:rFonts w:hint="eastAsia" w:ascii="仿宋" w:hAnsi="仿宋" w:cs="仿宋"/>
                <w:b/>
                <w:color w:val="auto"/>
                <w:w w:val="89"/>
                <w:highlight w:val="none"/>
              </w:rPr>
              <w:t>项</w:t>
            </w:r>
          </w:p>
        </w:tc>
        <w:tc>
          <w:tcPr>
            <w:tcW w:w="895" w:type="dxa"/>
            <w:vAlign w:val="center"/>
          </w:tcPr>
          <w:p w14:paraId="5845098A">
            <w:pPr>
              <w:pStyle w:val="957"/>
              <w:spacing w:line="360" w:lineRule="auto"/>
              <w:jc w:val="center"/>
              <w:rPr>
                <w:rFonts w:hint="eastAsia" w:ascii="仿宋" w:hAnsi="仿宋" w:cs="仿宋"/>
                <w:b/>
                <w:color w:val="auto"/>
                <w:highlight w:val="none"/>
              </w:rPr>
            </w:pPr>
            <w:r>
              <w:rPr>
                <w:rFonts w:hint="eastAsia" w:ascii="仿宋" w:hAnsi="仿宋" w:cs="仿宋"/>
                <w:b/>
                <w:color w:val="auto"/>
                <w:highlight w:val="none"/>
              </w:rPr>
              <w:t>1</w:t>
            </w:r>
          </w:p>
        </w:tc>
        <w:tc>
          <w:tcPr>
            <w:tcW w:w="960" w:type="dxa"/>
            <w:vAlign w:val="center"/>
          </w:tcPr>
          <w:p w14:paraId="0F3B0E9E">
            <w:pPr>
              <w:spacing w:line="360" w:lineRule="auto"/>
              <w:ind w:firstLine="420"/>
              <w:jc w:val="center"/>
              <w:rPr>
                <w:rFonts w:hint="eastAsia" w:ascii="仿宋" w:hAnsi="仿宋" w:cs="仿宋"/>
                <w:color w:val="auto"/>
                <w:highlight w:val="none"/>
              </w:rPr>
            </w:pPr>
          </w:p>
        </w:tc>
      </w:tr>
    </w:tbl>
    <w:p w14:paraId="5BDB5725">
      <w:pPr>
        <w:pStyle w:val="5"/>
        <w:numPr>
          <w:ilvl w:val="0"/>
          <w:numId w:val="6"/>
        </w:numPr>
        <w:ind w:left="425" w:firstLine="55"/>
        <w:rPr>
          <w:rFonts w:hint="eastAsia" w:ascii="仿宋" w:eastAsia="仿宋" w:cs="仿宋"/>
          <w:color w:val="auto"/>
          <w:highlight w:val="none"/>
        </w:rPr>
      </w:pPr>
      <w:bookmarkStart w:id="45" w:name="_Toc22774"/>
      <w:bookmarkStart w:id="46" w:name="_Toc32498"/>
      <w:bookmarkStart w:id="47" w:name="_Toc22893"/>
      <w:bookmarkStart w:id="48" w:name="_Toc25660918"/>
      <w:bookmarkStart w:id="49" w:name="_Toc468650635"/>
      <w:r>
        <w:rPr>
          <w:rFonts w:hint="eastAsia" w:ascii="仿宋" w:eastAsia="仿宋" w:cs="仿宋"/>
          <w:color w:val="auto"/>
          <w:highlight w:val="none"/>
        </w:rPr>
        <w:t>工作范围</w:t>
      </w:r>
      <w:bookmarkEnd w:id="45"/>
      <w:bookmarkEnd w:id="46"/>
      <w:bookmarkEnd w:id="47"/>
      <w:bookmarkEnd w:id="48"/>
      <w:bookmarkEnd w:id="49"/>
    </w:p>
    <w:p w14:paraId="5012BB38">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本项目的下列内容：</w:t>
      </w:r>
    </w:p>
    <w:p w14:paraId="77A76066">
      <w:pPr>
        <w:numPr>
          <w:ilvl w:val="0"/>
          <w:numId w:val="7"/>
        </w:numPr>
        <w:adjustRightInd/>
        <w:snapToGrid/>
        <w:spacing w:before="0" w:beforeLines="0" w:after="0" w:afterLines="0" w:line="360" w:lineRule="auto"/>
        <w:ind w:left="0" w:leftChars="0" w:firstLine="480" w:firstLineChars="20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）项目建议书编制</w:t>
      </w:r>
      <w:r>
        <w:rPr>
          <w:rFonts w:hint="eastAsia" w:ascii="仿宋" w:hAnsi="仿宋" w:cs="仿宋"/>
          <w:color w:val="auto"/>
          <w:highlight w:val="none"/>
          <w:lang w:val="en-US" w:eastAsia="zh-CN"/>
        </w:rPr>
        <w:t>及后续服务</w:t>
      </w:r>
      <w:r>
        <w:rPr>
          <w:rFonts w:hint="eastAsia" w:ascii="仿宋" w:hAnsi="仿宋" w:cs="仿宋"/>
          <w:color w:val="auto"/>
          <w:highlight w:val="none"/>
        </w:rPr>
        <w:t>；</w:t>
      </w:r>
    </w:p>
    <w:p w14:paraId="4A1FE7B3">
      <w:pPr>
        <w:numPr>
          <w:ilvl w:val="0"/>
          <w:numId w:val="7"/>
        </w:numPr>
        <w:adjustRightInd/>
        <w:snapToGrid/>
        <w:spacing w:before="0" w:beforeLines="0" w:after="0" w:afterLines="0" w:line="360" w:lineRule="auto"/>
        <w:ind w:left="0" w:leftChars="0" w:firstLine="480" w:firstLineChars="20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）堤脚冲刷专题研究；</w:t>
      </w:r>
    </w:p>
    <w:p w14:paraId="7E6A60EE">
      <w:pPr>
        <w:numPr>
          <w:ilvl w:val="0"/>
          <w:numId w:val="7"/>
        </w:numPr>
        <w:adjustRightInd/>
        <w:snapToGrid/>
        <w:spacing w:before="0" w:beforeLines="0" w:after="0" w:afterLines="0" w:line="360" w:lineRule="auto"/>
        <w:ind w:left="0" w:leftChars="0" w:firstLine="480" w:firstLineChars="20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w:t>
      </w:r>
      <w:r>
        <w:rPr>
          <w:rFonts w:hint="eastAsia" w:ascii="仿宋" w:hAnsi="仿宋" w:cs="仿宋"/>
          <w:color w:val="auto"/>
          <w:highlight w:val="none"/>
          <w:lang w:val="en-US" w:eastAsia="zh-CN"/>
        </w:rPr>
        <w:t>交叉建筑物调查评估</w:t>
      </w:r>
      <w:r>
        <w:rPr>
          <w:rFonts w:hint="eastAsia" w:ascii="仿宋" w:hAnsi="仿宋" w:cs="仿宋"/>
          <w:color w:val="auto"/>
          <w:highlight w:val="none"/>
        </w:rPr>
        <w:t>专题研究</w:t>
      </w:r>
      <w:r>
        <w:rPr>
          <w:rFonts w:hint="eastAsia" w:ascii="仿宋" w:hAnsi="仿宋" w:cs="仿宋"/>
          <w:color w:val="auto"/>
          <w:highlight w:val="none"/>
          <w:lang w:eastAsia="zh-CN"/>
        </w:rPr>
        <w:t>；</w:t>
      </w:r>
    </w:p>
    <w:p w14:paraId="71C611DB">
      <w:pPr>
        <w:numPr>
          <w:ilvl w:val="0"/>
          <w:numId w:val="7"/>
        </w:numPr>
        <w:adjustRightInd/>
        <w:snapToGrid/>
        <w:spacing w:before="0" w:beforeLines="0" w:after="0" w:afterLines="0" w:line="360" w:lineRule="auto"/>
        <w:ind w:left="0" w:leftChars="0" w:firstLine="480" w:firstLineChars="20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）陆域地形测量</w:t>
      </w:r>
      <w:r>
        <w:rPr>
          <w:rFonts w:hint="eastAsia" w:ascii="仿宋" w:hAnsi="仿宋" w:cs="仿宋"/>
          <w:color w:val="auto"/>
          <w:highlight w:val="none"/>
          <w:lang w:val="en-US" w:eastAsia="zh-CN"/>
        </w:rPr>
        <w:t>；</w:t>
      </w:r>
    </w:p>
    <w:p w14:paraId="247F210B">
      <w:pPr>
        <w:numPr>
          <w:ilvl w:val="0"/>
          <w:numId w:val="7"/>
        </w:numPr>
        <w:adjustRightInd/>
        <w:snapToGrid/>
        <w:spacing w:before="0" w:beforeLines="0" w:after="0" w:afterLines="0" w:line="360" w:lineRule="auto"/>
        <w:ind w:left="0" w:leftChars="0" w:firstLine="480" w:firstLineChars="200"/>
        <w:rPr>
          <w:rFonts w:hint="eastAsia" w:ascii="仿宋" w:hAnsi="仿宋" w:cs="仿宋"/>
          <w:color w:val="auto"/>
          <w:highlight w:val="none"/>
          <w:lang w:val="zh-CN"/>
        </w:rPr>
      </w:pPr>
      <w:r>
        <w:rPr>
          <w:rFonts w:hint="eastAsia" w:ascii="仿宋" w:hAnsi="仿宋" w:cs="仿宋"/>
          <w:color w:val="auto"/>
          <w:highlight w:val="none"/>
          <w:lang w:val="en-US" w:eastAsia="zh-CN"/>
        </w:rPr>
        <w:t>负责将本工程融合建设方案按采购人要求整合纳入工程相关成果报告，直至受理通过</w:t>
      </w:r>
      <w:r>
        <w:rPr>
          <w:rFonts w:hint="eastAsia" w:ascii="仿宋" w:hAnsi="仿宋" w:cs="仿宋"/>
          <w:color w:val="auto"/>
          <w:highlight w:val="none"/>
        </w:rPr>
        <w:t>。</w:t>
      </w:r>
    </w:p>
    <w:p w14:paraId="7A2A3479">
      <w:pPr>
        <w:numPr>
          <w:ilvl w:val="0"/>
          <w:numId w:val="7"/>
        </w:numPr>
        <w:adjustRightInd/>
        <w:snapToGrid/>
        <w:spacing w:before="0" w:beforeLines="0" w:after="0" w:afterLines="0" w:line="360" w:lineRule="auto"/>
        <w:ind w:left="480" w:leftChars="200" w:firstLine="0" w:firstLineChars="0"/>
        <w:rPr>
          <w:rFonts w:hint="eastAsia" w:ascii="仿宋" w:hAnsi="仿宋" w:cs="仿宋"/>
          <w:color w:val="auto"/>
          <w:highlight w:val="none"/>
          <w:lang w:val="zh-CN"/>
        </w:rPr>
      </w:pPr>
      <w:r>
        <w:rPr>
          <w:rFonts w:hint="eastAsia" w:ascii="仿宋" w:hAnsi="仿宋" w:cs="仿宋"/>
          <w:color w:val="auto"/>
          <w:highlight w:val="none"/>
          <w:lang w:val="en-US" w:eastAsia="zh-CN"/>
        </w:rPr>
        <w:t>总结形成相应技术成果相关研究成果。</w:t>
      </w:r>
    </w:p>
    <w:p w14:paraId="373C2F8C">
      <w:pPr>
        <w:pStyle w:val="5"/>
        <w:numPr>
          <w:ilvl w:val="0"/>
          <w:numId w:val="6"/>
        </w:numPr>
        <w:spacing w:before="0" w:beforeLines="0" w:after="0" w:afterLines="0"/>
        <w:ind w:left="425" w:firstLine="55"/>
        <w:rPr>
          <w:rFonts w:hint="eastAsia" w:ascii="仿宋" w:eastAsia="仿宋" w:cs="仿宋"/>
          <w:color w:val="auto"/>
          <w:highlight w:val="none"/>
        </w:rPr>
      </w:pPr>
      <w:bookmarkStart w:id="50" w:name="_Toc4890"/>
      <w:bookmarkStart w:id="51" w:name="_Toc5135"/>
      <w:bookmarkStart w:id="52" w:name="_Toc25660919"/>
      <w:bookmarkStart w:id="53" w:name="_Toc468650636"/>
      <w:bookmarkStart w:id="54" w:name="_Toc20299"/>
      <w:r>
        <w:rPr>
          <w:rFonts w:hint="eastAsia" w:ascii="仿宋" w:eastAsia="仿宋" w:cs="仿宋"/>
          <w:color w:val="auto"/>
          <w:highlight w:val="none"/>
        </w:rPr>
        <w:t>质量保证</w:t>
      </w:r>
      <w:bookmarkEnd w:id="50"/>
      <w:bookmarkEnd w:id="51"/>
      <w:bookmarkEnd w:id="52"/>
      <w:bookmarkEnd w:id="53"/>
      <w:bookmarkEnd w:id="54"/>
    </w:p>
    <w:p w14:paraId="4C0DBE6E">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提交的主要成果报告：</w:t>
      </w:r>
    </w:p>
    <w:p w14:paraId="4CF58B6B">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成果一：</w:t>
      </w: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w:t>
      </w:r>
      <w:r>
        <w:rPr>
          <w:rFonts w:hint="eastAsia" w:ascii="仿宋" w:hAnsi="仿宋" w:cs="仿宋"/>
          <w:color w:val="auto"/>
          <w:highlight w:val="none"/>
          <w:lang w:val="zh-CN"/>
        </w:rPr>
        <w:t>项目建议书。</w:t>
      </w:r>
    </w:p>
    <w:p w14:paraId="23EFE40D">
      <w:pPr>
        <w:spacing w:before="0" w:beforeLines="0" w:after="0" w:afterLines="0" w:line="360" w:lineRule="auto"/>
        <w:ind w:firstLine="420"/>
        <w:rPr>
          <w:rFonts w:hint="eastAsia" w:ascii="仿宋" w:hAnsi="仿宋" w:cs="仿宋"/>
          <w:color w:val="auto"/>
          <w:highlight w:val="none"/>
        </w:rPr>
      </w:pPr>
      <w:r>
        <w:rPr>
          <w:rFonts w:hint="eastAsia" w:ascii="仿宋" w:hAnsi="仿宋" w:cs="仿宋"/>
          <w:color w:val="auto"/>
          <w:highlight w:val="none"/>
          <w:lang w:val="zh-CN"/>
        </w:rPr>
        <w:t>成果二：</w:t>
      </w: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）堤脚冲刷专题</w:t>
      </w:r>
      <w:r>
        <w:rPr>
          <w:rFonts w:hint="eastAsia" w:ascii="仿宋" w:hAnsi="仿宋" w:cs="仿宋"/>
          <w:color w:val="auto"/>
          <w:highlight w:val="none"/>
          <w:lang w:val="en-US" w:eastAsia="zh-CN"/>
        </w:rPr>
        <w:t>研究报告</w:t>
      </w:r>
      <w:r>
        <w:rPr>
          <w:rFonts w:hint="eastAsia" w:ascii="仿宋" w:hAnsi="仿宋" w:cs="仿宋"/>
          <w:color w:val="auto"/>
          <w:highlight w:val="none"/>
        </w:rPr>
        <w:t>。</w:t>
      </w:r>
    </w:p>
    <w:p w14:paraId="1B2C5E75">
      <w:pPr>
        <w:spacing w:before="0" w:beforeLines="0" w:after="0" w:afterLines="0" w:line="360" w:lineRule="auto"/>
        <w:ind w:firstLine="420"/>
        <w:rPr>
          <w:rFonts w:hint="eastAsia" w:ascii="仿宋" w:hAnsi="仿宋" w:cs="仿宋"/>
          <w:color w:val="auto"/>
          <w:highlight w:val="none"/>
        </w:rPr>
      </w:pPr>
      <w:r>
        <w:rPr>
          <w:rFonts w:hint="eastAsia" w:ascii="仿宋" w:hAnsi="仿宋" w:cs="仿宋"/>
          <w:color w:val="auto"/>
          <w:highlight w:val="none"/>
        </w:rPr>
        <w:t>成果三：杭州市萧山区海塘安澜工程（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w:t>
      </w:r>
      <w:r>
        <w:rPr>
          <w:rFonts w:hint="eastAsia" w:ascii="仿宋" w:hAnsi="仿宋" w:cs="仿宋"/>
          <w:color w:val="auto"/>
          <w:highlight w:val="none"/>
          <w:lang w:val="en-US" w:eastAsia="zh-CN"/>
        </w:rPr>
        <w:t>交叉建筑物调查评估</w:t>
      </w:r>
      <w:r>
        <w:rPr>
          <w:rFonts w:hint="eastAsia" w:ascii="仿宋" w:hAnsi="仿宋" w:cs="仿宋"/>
          <w:color w:val="auto"/>
          <w:highlight w:val="none"/>
        </w:rPr>
        <w:t>专题研究</w:t>
      </w:r>
      <w:r>
        <w:rPr>
          <w:rFonts w:hint="eastAsia" w:ascii="仿宋" w:hAnsi="仿宋" w:cs="仿宋"/>
          <w:color w:val="auto"/>
          <w:highlight w:val="none"/>
          <w:lang w:val="en-US" w:eastAsia="zh-CN"/>
        </w:rPr>
        <w:t>报告</w:t>
      </w:r>
      <w:r>
        <w:rPr>
          <w:rFonts w:hint="eastAsia" w:ascii="仿宋" w:hAnsi="仿宋" w:cs="仿宋"/>
          <w:color w:val="auto"/>
          <w:highlight w:val="none"/>
        </w:rPr>
        <w:t>。</w:t>
      </w:r>
    </w:p>
    <w:p w14:paraId="22C1F1AA">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rPr>
        <w:t>成果</w:t>
      </w:r>
      <w:r>
        <w:rPr>
          <w:rFonts w:hint="eastAsia" w:ascii="仿宋" w:hAnsi="仿宋" w:cs="仿宋"/>
          <w:color w:val="auto"/>
          <w:highlight w:val="none"/>
          <w:lang w:val="en-US" w:eastAsia="zh-CN"/>
        </w:rPr>
        <w:t>四</w:t>
      </w: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）陆域地形测量</w:t>
      </w:r>
      <w:r>
        <w:rPr>
          <w:rFonts w:hint="eastAsia" w:ascii="仿宋" w:hAnsi="仿宋" w:cs="仿宋"/>
          <w:color w:val="auto"/>
          <w:highlight w:val="none"/>
          <w:lang w:val="en-US" w:eastAsia="zh-CN"/>
        </w:rPr>
        <w:t>报告</w:t>
      </w:r>
      <w:r>
        <w:rPr>
          <w:rFonts w:hint="eastAsia" w:ascii="仿宋" w:hAnsi="仿宋" w:cs="仿宋"/>
          <w:color w:val="auto"/>
          <w:highlight w:val="none"/>
        </w:rPr>
        <w:t>。</w:t>
      </w:r>
    </w:p>
    <w:p w14:paraId="0A3D34A9">
      <w:pPr>
        <w:spacing w:before="0" w:beforeLines="0" w:after="0" w:afterLines="0" w:line="360" w:lineRule="auto"/>
        <w:ind w:firstLine="420"/>
        <w:rPr>
          <w:rFonts w:hint="eastAsia" w:ascii="仿宋" w:hAnsi="仿宋" w:cs="仿宋"/>
          <w:b/>
          <w:bCs/>
          <w:color w:val="auto"/>
          <w:highlight w:val="none"/>
          <w:lang w:val="zh-CN"/>
        </w:rPr>
      </w:pPr>
      <w:r>
        <w:rPr>
          <w:rFonts w:hint="eastAsia" w:ascii="仿宋" w:hAnsi="仿宋" w:cs="仿宋"/>
          <w:b/>
          <w:bCs/>
          <w:color w:val="auto"/>
          <w:highlight w:val="none"/>
        </w:rPr>
        <w:t>注：</w:t>
      </w:r>
      <w:r>
        <w:rPr>
          <w:rFonts w:hint="eastAsia" w:ascii="仿宋" w:hAnsi="仿宋" w:cs="仿宋"/>
          <w:b/>
          <w:bCs/>
          <w:color w:val="auto"/>
          <w:highlight w:val="none"/>
          <w:lang w:val="zh-CN"/>
        </w:rPr>
        <w:t>投标人提交的成果应符合中华人民共和国国家标准及行业颁布的现行规程、标准、规范和采购人关于本项目相关文件的有关规定，最终以专家组评审通过依据。</w:t>
      </w:r>
    </w:p>
    <w:p w14:paraId="63FF9581">
      <w:pPr>
        <w:pStyle w:val="5"/>
        <w:numPr>
          <w:ilvl w:val="0"/>
          <w:numId w:val="6"/>
        </w:numPr>
        <w:spacing w:before="0" w:beforeLines="0" w:after="0" w:afterLines="0"/>
        <w:ind w:left="425" w:firstLine="55"/>
        <w:rPr>
          <w:rFonts w:hint="eastAsia" w:ascii="仿宋" w:eastAsia="仿宋" w:cs="仿宋"/>
          <w:color w:val="auto"/>
          <w:highlight w:val="none"/>
        </w:rPr>
      </w:pPr>
      <w:bookmarkStart w:id="55" w:name="_Toc30801"/>
      <w:bookmarkStart w:id="56" w:name="_Toc25660920"/>
      <w:bookmarkStart w:id="57" w:name="_Toc18200"/>
      <w:bookmarkStart w:id="58" w:name="_Toc468650637"/>
      <w:bookmarkStart w:id="59" w:name="_Toc25024"/>
      <w:r>
        <w:rPr>
          <w:rFonts w:hint="eastAsia" w:ascii="仿宋" w:eastAsia="仿宋" w:cs="仿宋"/>
          <w:color w:val="auto"/>
          <w:highlight w:val="none"/>
        </w:rPr>
        <w:t>服务期要求</w:t>
      </w:r>
      <w:bookmarkEnd w:id="55"/>
      <w:bookmarkEnd w:id="56"/>
      <w:bookmarkEnd w:id="57"/>
      <w:bookmarkEnd w:id="58"/>
      <w:bookmarkEnd w:id="59"/>
    </w:p>
    <w:p w14:paraId="7142CBC2">
      <w:pPr>
        <w:spacing w:before="0" w:beforeLines="0" w:after="0" w:afterLines="0" w:line="360" w:lineRule="auto"/>
        <w:ind w:firstLine="904" w:firstLineChars="375"/>
        <w:rPr>
          <w:rFonts w:hint="eastAsia" w:ascii="仿宋" w:hAnsi="仿宋" w:cs="仿宋"/>
          <w:b/>
          <w:color w:val="auto"/>
          <w:highlight w:val="none"/>
        </w:rPr>
      </w:pPr>
      <w:r>
        <w:rPr>
          <w:rFonts w:hint="eastAsia" w:ascii="仿宋" w:hAnsi="仿宋" w:cs="仿宋"/>
          <w:b/>
          <w:color w:val="auto"/>
          <w:highlight w:val="none"/>
        </w:rPr>
        <w:t>2025年9月底</w:t>
      </w:r>
      <w:r>
        <w:rPr>
          <w:rFonts w:hint="eastAsia" w:ascii="仿宋" w:hAnsi="仿宋" w:cs="仿宋"/>
          <w:b/>
          <w:color w:val="auto"/>
          <w:highlight w:val="none"/>
          <w:lang w:val="en-US" w:eastAsia="zh-CN"/>
        </w:rPr>
        <w:t>提交项建书及相关专题报告</w:t>
      </w:r>
      <w:r>
        <w:rPr>
          <w:rFonts w:hint="eastAsia" w:ascii="仿宋" w:hAnsi="仿宋" w:cs="仿宋"/>
          <w:b/>
          <w:color w:val="auto"/>
          <w:highlight w:val="none"/>
        </w:rPr>
        <w:t>。</w:t>
      </w:r>
    </w:p>
    <w:p w14:paraId="7B9D7FF8">
      <w:pPr>
        <w:pStyle w:val="5"/>
        <w:widowControl/>
        <w:numPr>
          <w:ilvl w:val="0"/>
          <w:numId w:val="6"/>
        </w:numPr>
        <w:spacing w:before="0" w:beforeLines="0" w:after="0" w:afterLines="0"/>
        <w:ind w:left="425" w:firstLine="55"/>
        <w:rPr>
          <w:rFonts w:hint="eastAsia" w:ascii="仿宋" w:eastAsia="仿宋" w:cs="仿宋"/>
          <w:color w:val="auto"/>
          <w:highlight w:val="none"/>
        </w:rPr>
      </w:pPr>
      <w:bookmarkStart w:id="60" w:name="_Toc16591"/>
      <w:bookmarkStart w:id="61" w:name="_Toc468650638"/>
      <w:bookmarkStart w:id="62" w:name="_Toc25660921"/>
      <w:bookmarkStart w:id="63" w:name="_Toc24590"/>
      <w:bookmarkStart w:id="64" w:name="_Toc13698"/>
      <w:r>
        <w:rPr>
          <w:rFonts w:hint="eastAsia" w:ascii="仿宋" w:eastAsia="仿宋" w:cs="仿宋"/>
          <w:color w:val="auto"/>
          <w:highlight w:val="none"/>
        </w:rPr>
        <w:t>项目技术资料</w:t>
      </w:r>
      <w:bookmarkEnd w:id="60"/>
      <w:bookmarkEnd w:id="61"/>
      <w:bookmarkEnd w:id="62"/>
      <w:bookmarkEnd w:id="63"/>
      <w:bookmarkEnd w:id="64"/>
    </w:p>
    <w:p w14:paraId="2D196A37">
      <w:pPr>
        <w:pStyle w:val="5"/>
        <w:adjustRightInd/>
        <w:spacing w:before="0" w:beforeLines="0" w:after="0" w:afterLines="0"/>
        <w:ind w:firstLine="48"/>
        <w:rPr>
          <w:rFonts w:hint="eastAsia" w:ascii="仿宋" w:eastAsia="仿宋" w:cs="仿宋"/>
          <w:snapToGrid/>
          <w:color w:val="auto"/>
          <w:sz w:val="24"/>
          <w:highlight w:val="none"/>
          <w:lang w:val="en-US"/>
        </w:rPr>
      </w:pPr>
      <w:bookmarkStart w:id="65" w:name="_Toc475830720"/>
      <w:bookmarkStart w:id="66" w:name="_Toc15917"/>
      <w:bookmarkStart w:id="67" w:name="_Toc2571"/>
      <w:bookmarkStart w:id="68" w:name="_Toc11490"/>
      <w:bookmarkStart w:id="69" w:name="_Toc6119"/>
      <w:bookmarkStart w:id="70" w:name="_Toc436117784"/>
      <w:bookmarkStart w:id="71" w:name="_Toc436400807"/>
      <w:bookmarkStart w:id="72" w:name="_Toc436401167"/>
      <w:bookmarkStart w:id="73" w:name="_Toc128361295"/>
      <w:bookmarkStart w:id="74" w:name="_Toc436398228"/>
      <w:bookmarkStart w:id="75" w:name="_Toc256157470"/>
      <w:bookmarkStart w:id="76" w:name="_Toc109013055"/>
      <w:bookmarkStart w:id="77" w:name="_Toc119549391"/>
      <w:bookmarkStart w:id="78" w:name="_Toc119506537"/>
      <w:bookmarkStart w:id="79" w:name="_Toc436059200"/>
      <w:bookmarkStart w:id="80" w:name="_Toc436529109"/>
      <w:r>
        <w:rPr>
          <w:rFonts w:hint="eastAsia" w:ascii="仿宋" w:eastAsia="仿宋" w:cs="仿宋"/>
          <w:snapToGrid/>
          <w:color w:val="auto"/>
          <w:sz w:val="24"/>
          <w:highlight w:val="none"/>
          <w:lang w:val="en-US"/>
        </w:rPr>
        <w:t xml:space="preserve">5.1 </w:t>
      </w:r>
      <w:bookmarkEnd w:id="65"/>
      <w:bookmarkEnd w:id="66"/>
      <w:bookmarkEnd w:id="67"/>
      <w:bookmarkEnd w:id="68"/>
      <w:r>
        <w:rPr>
          <w:rFonts w:hint="eastAsia" w:ascii="仿宋" w:eastAsia="仿宋" w:cs="仿宋"/>
          <w:snapToGrid/>
          <w:color w:val="auto"/>
          <w:sz w:val="24"/>
          <w:highlight w:val="none"/>
          <w:lang w:val="en-US"/>
        </w:rPr>
        <w:t>工程现况</w:t>
      </w:r>
      <w:bookmarkEnd w:id="69"/>
    </w:p>
    <w:p w14:paraId="24AB11F7">
      <w:pPr>
        <w:pStyle w:val="5"/>
        <w:spacing w:before="0" w:beforeLines="0" w:after="0" w:afterLines="0" w:line="360" w:lineRule="auto"/>
        <w:ind w:left="0" w:firstLine="723" w:firstLineChars="300"/>
        <w:jc w:val="left"/>
        <w:rPr>
          <w:rFonts w:hint="eastAsia" w:ascii="仿宋" w:hAnsi="仿宋" w:eastAsia="仿宋" w:cs="仿宋"/>
          <w:color w:val="auto"/>
          <w:sz w:val="24"/>
          <w:highlight w:val="none"/>
          <w:lang w:val="en-US"/>
        </w:rPr>
      </w:pPr>
      <w:bookmarkStart w:id="81" w:name="_Toc23338"/>
      <w:bookmarkStart w:id="82" w:name="_Toc460790315"/>
      <w:r>
        <w:rPr>
          <w:rFonts w:hint="eastAsia" w:ascii="仿宋" w:hAnsi="仿宋" w:eastAsia="仿宋" w:cs="仿宋"/>
          <w:color w:val="auto"/>
          <w:sz w:val="24"/>
          <w:highlight w:val="none"/>
          <w:lang w:val="en-US"/>
        </w:rPr>
        <w:t>5.1.1项目背景</w:t>
      </w:r>
    </w:p>
    <w:p w14:paraId="20E4762A">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钱塘江南岸九乌大堤与九上顺坝省管段为钱塘江南岸一线海塘的重要组成部分，工程现有的设防标准与工程保护区内现有的社会经济发展不匹配，需要对现有海堤抵御台风、风暴潮灾害能力进行提升。</w:t>
      </w:r>
    </w:p>
    <w:p w14:paraId="129B5028">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1、浙江省委省政府深入贯彻“创新、协调、绿色、开放、共享”五大发展理念，落实习总书记关于提高防治灾害能力的重要指示精神，作出了实施海塘安澜千亿工程的决策部署；该段海塘提标加固已列入《浙江省海塘安澜千亿工程建设规划（2020—2030年）》和《浙江省海塘安澜千亿工程行动计划（2020—2030年）》。</w:t>
      </w:r>
    </w:p>
    <w:p w14:paraId="079F7E7F">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2、“十四五”期间，浙江省部署开展水利八大工程建设，逐步完善“浙江水网”基础设施体系，着力推进海塘安澜千亿工程，筑牢防洪保安网坚实屏障，该段海塘提标加固已列入《浙江省水安全保障“十四五”规划》。</w:t>
      </w:r>
    </w:p>
    <w:p w14:paraId="5ED4994B">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3、浙江省人民政府办公厅发布《关于印发浙江省生态海岸带建设方案的通知》（浙政办发〔2020〕31）号，提出提升海塘防台御潮标准并进行生态化改造，拓展海塘综合功能，打造2000多公里的生态海岸带。生态海岸带建设工程是浙江省大湾区建设十大标志性工程之一。</w:t>
      </w:r>
    </w:p>
    <w:p w14:paraId="097FED21">
      <w:pPr>
        <w:spacing w:before="0" w:beforeLines="0" w:after="0" w:afterLines="0" w:line="360" w:lineRule="auto"/>
        <w:ind w:firstLine="420"/>
        <w:rPr>
          <w:rFonts w:hint="eastAsia" w:ascii="仿宋" w:hAnsi="仿宋" w:cs="仿宋"/>
          <w:color w:val="auto"/>
          <w:highlight w:val="none"/>
          <w:lang w:val="zh-CN"/>
        </w:rPr>
      </w:pPr>
      <w:r>
        <w:rPr>
          <w:rFonts w:hint="eastAsia" w:ascii="仿宋" w:hAnsi="仿宋" w:cs="仿宋"/>
          <w:color w:val="auto"/>
          <w:highlight w:val="none"/>
          <w:lang w:val="zh-CN"/>
        </w:rPr>
        <w:t>4、《浙江省海塘安澜千亿工程建设规划（2020—2030年）》提出了海岸带保护修复、“安全+”功能融合、打造海塘岸线文化长廊等需求，需进行相关研究。</w:t>
      </w:r>
    </w:p>
    <w:bookmarkEnd w:id="81"/>
    <w:p w14:paraId="323CE673">
      <w:pPr>
        <w:pStyle w:val="5"/>
        <w:spacing w:before="0" w:beforeLines="0" w:after="0" w:afterLines="0" w:line="360" w:lineRule="auto"/>
        <w:ind w:firstLine="48"/>
        <w:jc w:val="left"/>
        <w:rPr>
          <w:rFonts w:hint="eastAsia" w:ascii="仿宋" w:hAnsi="仿宋" w:eastAsia="仿宋" w:cs="仿宋"/>
          <w:color w:val="auto"/>
          <w:sz w:val="24"/>
          <w:highlight w:val="none"/>
          <w:lang w:val="en-US"/>
        </w:rPr>
      </w:pPr>
      <w:bookmarkStart w:id="83" w:name="_Toc1979"/>
      <w:r>
        <w:rPr>
          <w:rFonts w:hint="eastAsia" w:ascii="仿宋" w:hAnsi="仿宋" w:eastAsia="仿宋" w:cs="仿宋"/>
          <w:color w:val="auto"/>
          <w:sz w:val="24"/>
          <w:highlight w:val="none"/>
          <w:lang w:val="en-US"/>
        </w:rPr>
        <w:t>5.1.2</w:t>
      </w:r>
      <w:bookmarkEnd w:id="83"/>
      <w:r>
        <w:rPr>
          <w:rFonts w:hint="eastAsia" w:ascii="仿宋" w:hAnsi="仿宋" w:eastAsia="仿宋" w:cs="仿宋"/>
          <w:color w:val="auto"/>
          <w:sz w:val="24"/>
          <w:highlight w:val="none"/>
          <w:lang w:val="en-US"/>
        </w:rPr>
        <w:t>工程概况</w:t>
      </w:r>
    </w:p>
    <w:p w14:paraId="0B79AD00">
      <w:pPr>
        <w:spacing w:before="0" w:beforeLines="0" w:beforeAutospacing="0" w:after="0" w:afterLines="0" w:afterAutospacing="0" w:line="360" w:lineRule="auto"/>
        <w:ind w:firstLine="420" w:firstLineChars="0"/>
        <w:rPr>
          <w:rFonts w:hint="eastAsia" w:ascii="仿宋" w:hAnsi="仿宋" w:cs="仿宋"/>
          <w:color w:val="auto"/>
          <w:sz w:val="24"/>
          <w:highlight w:val="none"/>
          <w:lang w:val="zh-CN"/>
        </w:rPr>
      </w:pPr>
      <w:r>
        <w:rPr>
          <w:rFonts w:hint="eastAsia" w:ascii="仿宋" w:hAnsi="仿宋" w:cs="仿宋"/>
          <w:color w:val="auto"/>
          <w:sz w:val="24"/>
          <w:highlight w:val="none"/>
          <w:lang w:val="zh-CN"/>
        </w:rPr>
        <w:t>萧山区海塘安澜工程（七甲船闸至赭山湾闸段海塘—省管段）位于杭州市钱塘江赭山湾南岸，西起九上顺坝盘头西侧，东至赭山湾闸，海塘堤线长度8.4km，沿线包括九上顺坝盘头、九号坝盘头、一~四号盘头、美女坝、七号坝和八号坝。工程范围内的二号盘头位置有已按300年一遇防潮标准建成的大治河排涝闸站，工程末端的现有赭山湾闸防潮标准为100年一遇，现有海塘设防标准为100年一遇。按照《浙江省海塘安澜千亿工程建设规划》，本段海塘规划标准为300年一遇。</w:t>
      </w:r>
    </w:p>
    <w:bookmarkEnd w:id="82"/>
    <w:p w14:paraId="51D43381">
      <w:pPr>
        <w:pStyle w:val="5"/>
        <w:adjustRightInd w:val="0"/>
        <w:spacing w:before="0" w:beforeLines="0" w:after="0" w:afterLines="0"/>
        <w:ind w:firstLine="48"/>
        <w:rPr>
          <w:rFonts w:hint="eastAsia" w:ascii="仿宋" w:eastAsia="仿宋" w:cs="仿宋"/>
          <w:snapToGrid/>
          <w:color w:val="auto"/>
          <w:sz w:val="24"/>
          <w:highlight w:val="none"/>
          <w:lang w:val="en-US"/>
        </w:rPr>
      </w:pPr>
      <w:bookmarkStart w:id="84" w:name="_Toc27207"/>
      <w:bookmarkStart w:id="85" w:name="_Toc475830721"/>
      <w:bookmarkStart w:id="86" w:name="_Toc8701"/>
      <w:bookmarkStart w:id="87" w:name="_Toc7184"/>
      <w:bookmarkStart w:id="88" w:name="_Toc15849"/>
      <w:r>
        <w:rPr>
          <w:rFonts w:hint="eastAsia" w:ascii="仿宋" w:eastAsia="仿宋" w:cs="仿宋"/>
          <w:snapToGrid/>
          <w:color w:val="auto"/>
          <w:sz w:val="24"/>
          <w:highlight w:val="none"/>
          <w:lang w:val="en-US"/>
        </w:rPr>
        <w:t>5.</w:t>
      </w:r>
      <w:bookmarkEnd w:id="70"/>
      <w:bookmarkEnd w:id="71"/>
      <w:bookmarkEnd w:id="72"/>
      <w:bookmarkEnd w:id="73"/>
      <w:bookmarkEnd w:id="74"/>
      <w:bookmarkEnd w:id="75"/>
      <w:bookmarkEnd w:id="76"/>
      <w:bookmarkEnd w:id="77"/>
      <w:bookmarkEnd w:id="78"/>
      <w:bookmarkEnd w:id="79"/>
      <w:r>
        <w:rPr>
          <w:rFonts w:hint="eastAsia" w:ascii="仿宋" w:eastAsia="仿宋" w:cs="仿宋"/>
          <w:snapToGrid/>
          <w:color w:val="auto"/>
          <w:sz w:val="24"/>
          <w:highlight w:val="none"/>
          <w:lang w:val="en-US"/>
        </w:rPr>
        <w:t>2 建设目标和标准</w:t>
      </w:r>
      <w:bookmarkEnd w:id="84"/>
      <w:bookmarkEnd w:id="85"/>
      <w:bookmarkEnd w:id="86"/>
      <w:bookmarkEnd w:id="87"/>
      <w:bookmarkEnd w:id="88"/>
    </w:p>
    <w:p w14:paraId="65A5F5A0">
      <w:pPr>
        <w:pStyle w:val="59"/>
        <w:spacing w:before="0" w:beforeLines="0" w:beforeAutospacing="0" w:after="0" w:afterLines="0" w:afterAutospacing="0" w:line="360" w:lineRule="auto"/>
        <w:ind w:firstLine="480" w:firstLineChars="20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通过实施杭州市萧山区海塘安澜工程（七甲船闸至赭山湾闸段海塘—省管段），消除海塘存在的病险问题，防潮标准提升到300年一遇。根据《浙江省水安全保障“十四五”规划》《浙江省生态海岸带建设方案》《浙江省海塘安澜千亿工程建设规划》及相关规划要求，本工程以防范重大风险为出发点，坚守安全底线，秉持生态理念，系统运用区域连通、塘顶贯通、内外互通、功能融通、政策打通举措，协同推进海塘安全提标、生态提质、融合提升、管护提效，实现海塘岸带“安全+”综合功能。工程投资匡算约8亿元。</w:t>
      </w:r>
    </w:p>
    <w:bookmarkEnd w:id="80"/>
    <w:p w14:paraId="43A8F9E5">
      <w:pPr>
        <w:pStyle w:val="5"/>
        <w:adjustRightInd w:val="0"/>
        <w:spacing w:before="0" w:beforeLines="0" w:after="0" w:afterLines="0"/>
        <w:ind w:firstLine="48"/>
        <w:rPr>
          <w:rFonts w:hint="eastAsia" w:ascii="仿宋" w:eastAsia="仿宋" w:cs="仿宋"/>
          <w:snapToGrid/>
          <w:color w:val="auto"/>
          <w:sz w:val="24"/>
          <w:highlight w:val="none"/>
          <w:lang w:val="en-US"/>
        </w:rPr>
      </w:pPr>
      <w:bookmarkStart w:id="89" w:name="_Toc15720"/>
      <w:bookmarkStart w:id="90" w:name="_Toc436529115"/>
      <w:r>
        <w:rPr>
          <w:rFonts w:hint="eastAsia" w:ascii="仿宋" w:eastAsia="仿宋" w:cs="仿宋"/>
          <w:snapToGrid/>
          <w:color w:val="auto"/>
          <w:sz w:val="24"/>
          <w:highlight w:val="none"/>
          <w:lang w:val="en-US"/>
        </w:rPr>
        <w:t>5.3项目建议书设计要求</w:t>
      </w:r>
      <w:bookmarkEnd w:id="89"/>
    </w:p>
    <w:p w14:paraId="48569376">
      <w:pPr>
        <w:pStyle w:val="59"/>
        <w:spacing w:before="0" w:beforeLines="0" w:beforeAutospacing="0" w:after="0" w:afterLines="0" w:afterAutospacing="0" w:line="360" w:lineRule="auto"/>
        <w:ind w:firstLine="480" w:firstLineChars="20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杭州市萧山区海塘安澜工程（七甲船闸至赭山湾闸段海塘—省管段）项目建议书应根据《浙江省水安全保障“十四五”规划》《浙江省生态海岸带建设方案》《浙江省海塘安澜千亿工程建设规划》等相关要求，并结合萧山区</w:t>
      </w:r>
      <w:r>
        <w:rPr>
          <w:rFonts w:hint="eastAsia" w:ascii="仿宋" w:hAnsi="仿宋" w:cs="仿宋"/>
          <w:color w:val="auto"/>
          <w:kern w:val="2"/>
          <w:sz w:val="24"/>
          <w:highlight w:val="none"/>
          <w:lang w:val="en-US" w:eastAsia="zh-CN"/>
        </w:rPr>
        <w:t>融合建设</w:t>
      </w:r>
      <w:r>
        <w:rPr>
          <w:rFonts w:hint="eastAsia" w:ascii="仿宋" w:hAnsi="仿宋" w:cs="仿宋"/>
          <w:color w:val="auto"/>
          <w:kern w:val="2"/>
          <w:sz w:val="24"/>
          <w:highlight w:val="none"/>
          <w:lang w:val="zh-CN"/>
        </w:rPr>
        <w:t>方案开展编制。</w:t>
      </w:r>
    </w:p>
    <w:p w14:paraId="664A7457">
      <w:pPr>
        <w:pStyle w:val="8"/>
        <w:tabs>
          <w:tab w:val="left" w:pos="1080"/>
          <w:tab w:val="clear" w:pos="1008"/>
        </w:tabs>
        <w:spacing w:before="0" w:beforeLines="0" w:after="0" w:afterLines="0" w:line="360" w:lineRule="auto"/>
        <w:ind w:left="0" w:firstLine="482" w:firstLineChars="200"/>
        <w:rPr>
          <w:rFonts w:hint="eastAsia" w:ascii="仿宋" w:hAnsi="仿宋" w:cs="仿宋"/>
          <w:color w:val="auto"/>
          <w:sz w:val="24"/>
          <w:szCs w:val="32"/>
          <w:highlight w:val="none"/>
        </w:rPr>
      </w:pPr>
      <w:r>
        <w:rPr>
          <w:rFonts w:hint="eastAsia" w:ascii="仿宋" w:hAnsi="仿宋" w:cs="仿宋"/>
          <w:color w:val="auto"/>
          <w:sz w:val="24"/>
          <w:szCs w:val="32"/>
          <w:highlight w:val="none"/>
        </w:rPr>
        <w:t>5.3.1基本要求</w:t>
      </w:r>
    </w:p>
    <w:p w14:paraId="2C2E5017">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 xml:space="preserve">⑴项目建议书阶段应对项目的建设条件进行调查和必要的勘测，开展方案设计并进行比选，对资金筹措进行分析，择优选定建设项目的规模、地点、建设时间和投资总额，论证项目建设的必要性、可行性和合理性。 </w:t>
      </w:r>
    </w:p>
    <w:p w14:paraId="41B3DC9B">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 xml:space="preserve">⑵项目建议书的主要内容和深度应符合国家、行业和本省的相关规定，并符合下列要求： </w:t>
      </w:r>
    </w:p>
    <w:p w14:paraId="79BFE05C">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1）论证工程建设的必要性，基本确定本工程建设任务，对于综合利用工程，还应确定各项任务的主次顺序。</w:t>
      </w:r>
    </w:p>
    <w:p w14:paraId="25AB2304">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 xml:space="preserve">2）基本确定主要水文参数和成果。 </w:t>
      </w:r>
    </w:p>
    <w:p w14:paraId="30C540BE">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3）</w:t>
      </w:r>
      <w:r>
        <w:rPr>
          <w:rFonts w:hint="eastAsia" w:ascii="仿宋" w:hAnsi="仿宋" w:eastAsia="仿宋" w:cs="仿宋"/>
          <w:color w:val="auto"/>
          <w:kern w:val="2"/>
          <w:sz w:val="24"/>
          <w:szCs w:val="24"/>
          <w:highlight w:val="none"/>
          <w:lang w:val="zh-CN"/>
        </w:rPr>
        <w:t>初步评价区域构造稳定性，初步查明主要建筑物的工程地质条件，初步评价存在的主要工程地质问题。</w:t>
      </w:r>
      <w:r>
        <w:rPr>
          <w:rFonts w:hint="eastAsia" w:ascii="仿宋" w:hAnsi="仿宋" w:cs="仿宋"/>
          <w:color w:val="auto"/>
          <w:kern w:val="2"/>
          <w:sz w:val="24"/>
          <w:highlight w:val="none"/>
          <w:lang w:val="zh-CN"/>
        </w:rPr>
        <w:t xml:space="preserve"> </w:t>
      </w:r>
    </w:p>
    <w:p w14:paraId="5671A9FB">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4）</w:t>
      </w:r>
      <w:r>
        <w:rPr>
          <w:rFonts w:hint="eastAsia" w:ascii="仿宋" w:hAnsi="仿宋" w:eastAsia="仿宋" w:cs="仿宋"/>
          <w:color w:val="auto"/>
          <w:kern w:val="2"/>
          <w:sz w:val="24"/>
          <w:szCs w:val="24"/>
          <w:highlight w:val="none"/>
          <w:lang w:val="zh-CN"/>
        </w:rPr>
        <w:t>基本选定工程规模和工程总体布局，分析项目建设对河流上下游及周边地区其他水工程的影响。</w:t>
      </w:r>
    </w:p>
    <w:p w14:paraId="61A43CC4">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5）</w:t>
      </w:r>
      <w:r>
        <w:rPr>
          <w:rFonts w:hint="eastAsia" w:ascii="仿宋" w:hAnsi="仿宋" w:eastAsia="仿宋" w:cs="仿宋"/>
          <w:color w:val="auto"/>
          <w:kern w:val="2"/>
          <w:sz w:val="24"/>
          <w:szCs w:val="24"/>
          <w:highlight w:val="none"/>
          <w:lang w:val="zh-CN"/>
        </w:rPr>
        <w:t>基本选定工程等级及设计标准，初步选定工程总体布置方案及其他主要建筑物型式。</w:t>
      </w:r>
    </w:p>
    <w:p w14:paraId="0206ADED">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6）</w:t>
      </w:r>
      <w:r>
        <w:rPr>
          <w:rFonts w:hint="eastAsia" w:ascii="仿宋" w:hAnsi="仿宋" w:eastAsia="仿宋" w:cs="仿宋"/>
          <w:color w:val="auto"/>
          <w:kern w:val="2"/>
          <w:sz w:val="24"/>
          <w:szCs w:val="24"/>
          <w:highlight w:val="none"/>
          <w:lang w:val="zh-CN"/>
        </w:rPr>
        <w:t>初步选定水力机械、电气和金属结构的主要设备型式与布置。</w:t>
      </w:r>
    </w:p>
    <w:p w14:paraId="7203D26A">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7）</w:t>
      </w:r>
      <w:r>
        <w:rPr>
          <w:rFonts w:hint="eastAsia" w:ascii="仿宋" w:hAnsi="仿宋" w:eastAsia="仿宋" w:cs="仿宋"/>
          <w:color w:val="auto"/>
          <w:kern w:val="2"/>
          <w:sz w:val="24"/>
          <w:szCs w:val="24"/>
          <w:highlight w:val="none"/>
          <w:lang w:val="zh-CN"/>
        </w:rPr>
        <w:t>基本选定对外交通运输方案、施工导流方式，初步选定导游建筑物布置，主体工程主要施工方法和施工总布置，初步确定施工总工期。</w:t>
      </w:r>
    </w:p>
    <w:p w14:paraId="777B8AE6">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8）</w:t>
      </w:r>
      <w:r>
        <w:rPr>
          <w:rFonts w:hint="eastAsia" w:ascii="仿宋" w:hAnsi="仿宋" w:eastAsia="仿宋" w:cs="仿宋"/>
          <w:color w:val="auto"/>
          <w:kern w:val="2"/>
          <w:sz w:val="24"/>
          <w:szCs w:val="24"/>
          <w:highlight w:val="none"/>
          <w:lang w:val="zh-CN"/>
        </w:rPr>
        <w:t>初步确定建筑征地范围，初步查明主要实物。</w:t>
      </w:r>
    </w:p>
    <w:p w14:paraId="47E5CF9A">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9）</w:t>
      </w:r>
      <w:r>
        <w:rPr>
          <w:rFonts w:hint="eastAsia" w:ascii="仿宋" w:hAnsi="仿宋" w:eastAsia="仿宋" w:cs="仿宋"/>
          <w:color w:val="auto"/>
          <w:kern w:val="2"/>
          <w:sz w:val="24"/>
          <w:szCs w:val="24"/>
          <w:highlight w:val="none"/>
          <w:lang w:val="zh-CN"/>
        </w:rPr>
        <w:t>分析工程建设对主要环境保护目标不的影响，提出环境影响分析结构，拟定环境保护措施。</w:t>
      </w:r>
    </w:p>
    <w:p w14:paraId="78A43F27">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10）</w:t>
      </w:r>
      <w:r>
        <w:rPr>
          <w:rFonts w:hint="eastAsia" w:ascii="仿宋" w:hAnsi="仿宋" w:eastAsia="仿宋" w:cs="仿宋"/>
          <w:color w:val="auto"/>
          <w:kern w:val="2"/>
          <w:sz w:val="24"/>
          <w:szCs w:val="24"/>
          <w:highlight w:val="none"/>
          <w:lang w:val="zh-CN"/>
        </w:rPr>
        <w:t>分析工程建设对水土流失影响，初步确定水土流失防治责任范围、水土保持措施体系及总体布局。</w:t>
      </w:r>
    </w:p>
    <w:p w14:paraId="0785A6FF">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11）</w:t>
      </w:r>
      <w:r>
        <w:rPr>
          <w:rFonts w:hint="eastAsia" w:ascii="仿宋" w:hAnsi="仿宋" w:eastAsia="仿宋" w:cs="仿宋"/>
          <w:color w:val="auto"/>
          <w:kern w:val="2"/>
          <w:sz w:val="24"/>
          <w:szCs w:val="24"/>
          <w:highlight w:val="none"/>
          <w:lang w:val="zh-CN"/>
        </w:rPr>
        <w:t>初步确定管理单位的类别，拟定工程管理方案，初步确定范围和主要管理设施。</w:t>
      </w:r>
    </w:p>
    <w:p w14:paraId="2B4CAB4E">
      <w:pPr>
        <w:adjustRightInd/>
        <w:snapToGrid/>
        <w:spacing w:before="0" w:beforeLines="0" w:beforeAutospacing="0" w:after="0" w:afterLines="0" w:afterAutospacing="0"/>
        <w:ind w:left="720" w:firstLine="420" w:firstLineChars="0"/>
        <w:rPr>
          <w:rFonts w:hint="eastAsia" w:ascii="仿宋" w:hAnsi="仿宋" w:eastAsia="仿宋" w:cs="仿宋"/>
          <w:color w:val="auto"/>
          <w:kern w:val="2"/>
          <w:sz w:val="24"/>
          <w:szCs w:val="24"/>
          <w:highlight w:val="none"/>
          <w:lang w:val="zh-CN"/>
        </w:rPr>
      </w:pPr>
      <w:r>
        <w:rPr>
          <w:rFonts w:hint="eastAsia" w:ascii="仿宋" w:hAnsi="仿宋" w:cs="仿宋"/>
          <w:color w:val="auto"/>
          <w:kern w:val="2"/>
          <w:sz w:val="24"/>
          <w:highlight w:val="none"/>
          <w:lang w:val="zh-CN"/>
        </w:rPr>
        <w:t>12）</w:t>
      </w:r>
      <w:r>
        <w:rPr>
          <w:rFonts w:hint="eastAsia" w:ascii="仿宋" w:hAnsi="仿宋" w:eastAsia="仿宋" w:cs="仿宋"/>
          <w:color w:val="auto"/>
          <w:kern w:val="2"/>
          <w:sz w:val="24"/>
          <w:szCs w:val="24"/>
          <w:highlight w:val="none"/>
          <w:lang w:val="zh-CN"/>
        </w:rPr>
        <w:t>拟定工程信息化建设任务及系统功能。</w:t>
      </w:r>
    </w:p>
    <w:p w14:paraId="1379DFA6">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13）</w:t>
      </w:r>
      <w:r>
        <w:rPr>
          <w:rFonts w:hint="eastAsia" w:ascii="仿宋" w:hAnsi="仿宋" w:eastAsia="仿宋" w:cs="仿宋"/>
          <w:color w:val="auto"/>
          <w:kern w:val="2"/>
          <w:sz w:val="24"/>
          <w:szCs w:val="24"/>
          <w:highlight w:val="none"/>
          <w:lang w:val="zh-CN"/>
        </w:rPr>
        <w:t>编制投资估算。</w:t>
      </w:r>
      <w:r>
        <w:rPr>
          <w:rFonts w:hint="eastAsia" w:ascii="仿宋" w:hAnsi="仿宋" w:cs="仿宋"/>
          <w:color w:val="auto"/>
          <w:kern w:val="2"/>
          <w:sz w:val="24"/>
          <w:highlight w:val="none"/>
          <w:lang w:val="zh-CN"/>
        </w:rPr>
        <w:t xml:space="preserve"> </w:t>
      </w:r>
    </w:p>
    <w:p w14:paraId="11E73FEE">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 xml:space="preserve">14）明确工程效益，分析主要经济评价指标，评价工程的经济合理性和财务可行性。 </w:t>
      </w:r>
    </w:p>
    <w:p w14:paraId="44909563">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15）提出综合评价和结论。</w:t>
      </w:r>
    </w:p>
    <w:p w14:paraId="7F6EF97E">
      <w:pPr>
        <w:spacing w:before="0" w:beforeLines="0" w:beforeAutospacing="0" w:after="0" w:afterLines="0" w:afterAutospacing="0"/>
        <w:ind w:firstLine="420" w:firstLineChars="0"/>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⑶在文件编制前，应进行必要的调查研究，弄清与工程设计有关的边界条件和基本要求，收集必要的设计基本资料，进行认真分析。</w:t>
      </w:r>
    </w:p>
    <w:p w14:paraId="6C581C51">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⑷基本资料：如地震烈度、社会资料、水文资料、气象资料、地形资料、水文地质资料、施工条件等达到本阶段深度要求所必须的资料，承包人都必须自行调研清楚，并体现在文件中。</w:t>
      </w:r>
    </w:p>
    <w:p w14:paraId="5CDECA75">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⑸依据的规程、规范及相关文件：针对项目的实际情况，列出应遵循的标准、规程和规范，以及承包人拥有的有关的科研、试验成果等。同时列出开展咨询设计所依据的文件。</w:t>
      </w:r>
    </w:p>
    <w:p w14:paraId="19359686">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⑹承包人需配合采购人人进行各有关项目报批、项目审查工作，提供报批审查用的技术资料，进行必要的汇报解释，以及根据审查意见做不超出范围的修改补充，直至满足工程建设需要。</w:t>
      </w:r>
    </w:p>
    <w:p w14:paraId="4A18DF75">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⑺承包人应进行必要的专题研究，以满足项目建议书报批的需要。</w:t>
      </w:r>
    </w:p>
    <w:p w14:paraId="73E1A8B2">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⑻提出拟采用的新结构、新设备、新工艺、新材料的设想和要进行的专项科研试验课题(如有)。</w:t>
      </w:r>
    </w:p>
    <w:p w14:paraId="7B3DA76C">
      <w:pPr>
        <w:spacing w:before="0" w:beforeLines="0" w:beforeAutospacing="0" w:after="0" w:afterLines="0" w:afterAutospacing="0"/>
        <w:ind w:left="0"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服从采购人的安排，确保项目建议书的编制进度和质量。</w:t>
      </w:r>
    </w:p>
    <w:p w14:paraId="1864395C">
      <w:pPr>
        <w:pStyle w:val="8"/>
        <w:tabs>
          <w:tab w:val="left" w:pos="1080"/>
          <w:tab w:val="clear" w:pos="1008"/>
        </w:tabs>
        <w:spacing w:before="0" w:beforeLines="0" w:after="0" w:afterLines="0" w:line="360" w:lineRule="auto"/>
        <w:ind w:left="0" w:firstLine="482" w:firstLineChars="200"/>
        <w:rPr>
          <w:rFonts w:hint="eastAsia" w:ascii="仿宋" w:hAnsi="仿宋" w:cs="仿宋"/>
          <w:color w:val="auto"/>
          <w:sz w:val="24"/>
          <w:szCs w:val="32"/>
          <w:highlight w:val="none"/>
        </w:rPr>
      </w:pPr>
      <w:r>
        <w:rPr>
          <w:rFonts w:hint="eastAsia" w:ascii="仿宋" w:hAnsi="仿宋" w:cs="仿宋"/>
          <w:color w:val="auto"/>
          <w:sz w:val="24"/>
          <w:szCs w:val="32"/>
          <w:highlight w:val="none"/>
        </w:rPr>
        <w:t>5.3.2 项目建议书阶段其它技术要求</w:t>
      </w:r>
    </w:p>
    <w:p w14:paraId="1E1FE3A6">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⑴在规划确定的工程规模和方案基础上，对工程各组成部分进行深入详细的分析论证，达到国家规定的深度，以及满足编制单项估算的要求。</w:t>
      </w:r>
    </w:p>
    <w:p w14:paraId="74312397">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⑵本工程需要与现有或正在建设的多项工程有衔接需求，承包人需对此进行充分调研和分析论证，确保衔接方案的合理，以及对原有设施的影响尽量小。本阶段要求给出衔接点的具体详细工程方案，以及相应的临时措施安排和相应的工期安排。</w:t>
      </w:r>
    </w:p>
    <w:p w14:paraId="576DD793">
      <w:pPr>
        <w:spacing w:before="0" w:beforeLines="0" w:beforeAutospacing="0" w:after="0" w:afterLines="0" w:afterAutospacing="0"/>
        <w:ind w:firstLine="420" w:firstLineChars="0"/>
        <w:jc w:val="left"/>
        <w:rPr>
          <w:rFonts w:hint="eastAsia" w:ascii="仿宋" w:hAnsi="仿宋" w:cs="仿宋"/>
          <w:color w:val="auto"/>
          <w:sz w:val="24"/>
          <w:highlight w:val="none"/>
          <w:lang w:val="zh-CN"/>
        </w:rPr>
      </w:pPr>
      <w:r>
        <w:rPr>
          <w:rFonts w:hint="eastAsia" w:ascii="仿宋" w:hAnsi="仿宋" w:cs="仿宋"/>
          <w:color w:val="auto"/>
          <w:kern w:val="2"/>
          <w:sz w:val="24"/>
          <w:highlight w:val="none"/>
          <w:lang w:val="zh-CN"/>
        </w:rPr>
        <w:t>⑶工程设计估算达到规定的深度，无漏项，工程量计算准确，单价合理，总投资符合工程实际需要，且不能突破规划批复的估算工程总投资。</w:t>
      </w:r>
    </w:p>
    <w:bookmarkEnd w:id="90"/>
    <w:p w14:paraId="017945A9">
      <w:pPr>
        <w:pStyle w:val="5"/>
        <w:adjustRightInd w:val="0"/>
        <w:spacing w:before="0" w:beforeLines="0" w:after="0" w:afterLines="0"/>
        <w:ind w:firstLine="48"/>
        <w:rPr>
          <w:rFonts w:hint="eastAsia" w:ascii="仿宋" w:eastAsia="仿宋" w:cs="仿宋"/>
          <w:snapToGrid/>
          <w:color w:val="auto"/>
          <w:sz w:val="24"/>
          <w:highlight w:val="none"/>
          <w:lang w:val="en-US"/>
        </w:rPr>
      </w:pPr>
      <w:r>
        <w:rPr>
          <w:rFonts w:hint="eastAsia" w:ascii="仿宋" w:eastAsia="仿宋" w:cs="仿宋"/>
          <w:snapToGrid/>
          <w:color w:val="auto"/>
          <w:sz w:val="24"/>
          <w:highlight w:val="none"/>
          <w:lang w:val="en-US"/>
        </w:rPr>
        <w:t>5.4堤脚冲刷专题要求</w:t>
      </w:r>
    </w:p>
    <w:p w14:paraId="2A381DB1">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参照类似工程的经验，采用两种方法进行不利冲刷高程分析计算。</w:t>
      </w:r>
    </w:p>
    <w:p w14:paraId="0F8F2396">
      <w:pPr>
        <w:spacing w:before="0" w:beforeLines="0" w:beforeAutospacing="0" w:after="0" w:afterLines="0" w:afterAutospacing="0"/>
        <w:ind w:firstLine="420" w:firstLineChars="0"/>
        <w:jc w:val="left"/>
        <w:rPr>
          <w:rFonts w:hint="default" w:ascii="仿宋" w:hAnsi="仿宋" w:cs="仿宋"/>
          <w:color w:val="auto"/>
          <w:kern w:val="2"/>
          <w:sz w:val="24"/>
          <w:highlight w:val="none"/>
          <w:lang w:val="en-US"/>
        </w:rPr>
      </w:pPr>
      <w:r>
        <w:rPr>
          <w:rFonts w:hint="eastAsia" w:ascii="仿宋" w:hAnsi="仿宋" w:cs="仿宋"/>
          <w:color w:val="auto"/>
          <w:kern w:val="2"/>
          <w:sz w:val="24"/>
          <w:highlight w:val="none"/>
          <w:lang w:val="zh-CN"/>
        </w:rPr>
        <w:t>方法一（</w:t>
      </w:r>
      <w:r>
        <w:rPr>
          <w:rFonts w:hint="eastAsia" w:ascii="仿宋" w:hAnsi="仿宋" w:cs="仿宋"/>
          <w:color w:val="auto"/>
          <w:kern w:val="2"/>
          <w:sz w:val="24"/>
          <w:highlight w:val="none"/>
          <w:lang w:val="en-US" w:eastAsia="zh-CN"/>
        </w:rPr>
        <w:t>经验法）</w:t>
      </w:r>
      <w:r>
        <w:rPr>
          <w:rFonts w:hint="eastAsia" w:ascii="仿宋" w:hAnsi="仿宋" w:cs="仿宋"/>
          <w:color w:val="auto"/>
          <w:kern w:val="2"/>
          <w:sz w:val="24"/>
          <w:highlight w:val="none"/>
          <w:lang w:val="zh-CN"/>
        </w:rPr>
        <w:t>：收集自钱塘江河口有测量成果以来的长系列的江道地形</w:t>
      </w:r>
      <w:r>
        <w:rPr>
          <w:rFonts w:hint="eastAsia" w:ascii="仿宋" w:hAnsi="仿宋" w:cs="仿宋"/>
          <w:color w:val="auto"/>
          <w:kern w:val="2"/>
          <w:sz w:val="24"/>
          <w:highlight w:val="none"/>
          <w:lang w:val="en-US" w:eastAsia="zh-CN"/>
        </w:rPr>
        <w:t>和近岸滩地及</w:t>
      </w:r>
      <w:r>
        <w:rPr>
          <w:rFonts w:hint="eastAsia" w:ascii="仿宋" w:hAnsi="仿宋" w:cs="仿宋"/>
          <w:color w:val="auto"/>
          <w:kern w:val="2"/>
          <w:sz w:val="24"/>
          <w:highlight w:val="none"/>
          <w:lang w:val="zh-CN" w:eastAsia="zh-CN"/>
        </w:rPr>
        <w:t>护塘建筑物</w:t>
      </w:r>
      <w:r>
        <w:rPr>
          <w:rFonts w:hint="eastAsia" w:ascii="仿宋" w:hAnsi="仿宋" w:cs="仿宋"/>
          <w:color w:val="auto"/>
          <w:kern w:val="2"/>
          <w:sz w:val="24"/>
          <w:highlight w:val="none"/>
          <w:lang w:val="en-US" w:eastAsia="zh-CN"/>
        </w:rPr>
        <w:t>周边地形</w:t>
      </w:r>
      <w:r>
        <w:rPr>
          <w:rFonts w:hint="eastAsia" w:ascii="仿宋" w:hAnsi="仿宋" w:cs="仿宋"/>
          <w:color w:val="auto"/>
          <w:kern w:val="2"/>
          <w:sz w:val="24"/>
          <w:highlight w:val="none"/>
          <w:lang w:val="zh-CN"/>
        </w:rPr>
        <w:t>资料，采用数理统计法进行频率分析，计算得到不同频率的堤前</w:t>
      </w:r>
      <w:r>
        <w:rPr>
          <w:rFonts w:hint="eastAsia" w:ascii="仿宋" w:hAnsi="仿宋" w:cs="仿宋"/>
          <w:color w:val="auto"/>
          <w:kern w:val="2"/>
          <w:sz w:val="24"/>
          <w:highlight w:val="none"/>
          <w:lang w:val="en-US" w:eastAsia="zh-CN"/>
        </w:rPr>
        <w:t>及</w:t>
      </w:r>
      <w:r>
        <w:rPr>
          <w:rFonts w:hint="eastAsia" w:ascii="仿宋" w:hAnsi="仿宋" w:cs="仿宋"/>
          <w:color w:val="auto"/>
          <w:kern w:val="2"/>
          <w:sz w:val="24"/>
          <w:highlight w:val="none"/>
          <w:lang w:val="zh-CN" w:eastAsia="zh-CN"/>
        </w:rPr>
        <w:t>护塘建筑物</w:t>
      </w:r>
      <w:r>
        <w:rPr>
          <w:rFonts w:hint="eastAsia" w:ascii="仿宋" w:hAnsi="仿宋" w:cs="仿宋"/>
          <w:color w:val="auto"/>
          <w:kern w:val="2"/>
          <w:sz w:val="24"/>
          <w:highlight w:val="none"/>
          <w:lang w:val="en-US" w:eastAsia="zh-CN"/>
        </w:rPr>
        <w:t>冲刷</w:t>
      </w:r>
      <w:r>
        <w:rPr>
          <w:rFonts w:hint="eastAsia" w:ascii="仿宋" w:hAnsi="仿宋" w:cs="仿宋"/>
          <w:color w:val="auto"/>
          <w:kern w:val="2"/>
          <w:sz w:val="24"/>
          <w:highlight w:val="none"/>
          <w:lang w:val="zh-CN"/>
        </w:rPr>
        <w:t>高程；</w:t>
      </w:r>
      <w:r>
        <w:rPr>
          <w:rFonts w:hint="eastAsia" w:ascii="仿宋" w:hAnsi="仿宋" w:cs="仿宋"/>
          <w:color w:val="auto"/>
          <w:kern w:val="2"/>
          <w:sz w:val="24"/>
          <w:highlight w:val="none"/>
          <w:lang w:val="en-US" w:eastAsia="zh-CN"/>
        </w:rPr>
        <w:t>并采用相关冲刷经验公式估算进行对比分析。</w:t>
      </w:r>
    </w:p>
    <w:p w14:paraId="31745E97">
      <w:pPr>
        <w:spacing w:before="0" w:beforeLines="0" w:beforeAutospacing="0" w:after="0" w:afterLines="0" w:afterAutospacing="0"/>
        <w:ind w:firstLine="420" w:firstLineChars="0"/>
        <w:jc w:val="left"/>
        <w:rPr>
          <w:rFonts w:hint="eastAsia" w:ascii="仿宋" w:hAnsi="仿宋" w:cs="仿宋"/>
          <w:color w:val="auto"/>
          <w:kern w:val="2"/>
          <w:sz w:val="24"/>
          <w:highlight w:val="none"/>
          <w:lang w:val="zh-CN"/>
        </w:rPr>
      </w:pPr>
      <w:r>
        <w:rPr>
          <w:rFonts w:hint="eastAsia" w:ascii="仿宋" w:hAnsi="仿宋" w:cs="仿宋"/>
          <w:color w:val="auto"/>
          <w:kern w:val="2"/>
          <w:sz w:val="24"/>
          <w:highlight w:val="none"/>
          <w:lang w:val="zh-CN"/>
        </w:rPr>
        <w:t>方案二（</w:t>
      </w:r>
      <w:r>
        <w:rPr>
          <w:rFonts w:hint="eastAsia" w:ascii="仿宋" w:hAnsi="仿宋" w:cs="仿宋"/>
          <w:color w:val="auto"/>
          <w:kern w:val="2"/>
          <w:sz w:val="24"/>
          <w:highlight w:val="none"/>
          <w:lang w:val="en-US" w:eastAsia="zh-CN"/>
        </w:rPr>
        <w:t>数学模型法）</w:t>
      </w:r>
      <w:r>
        <w:rPr>
          <w:rFonts w:hint="eastAsia" w:ascii="仿宋" w:hAnsi="仿宋" w:cs="仿宋"/>
          <w:color w:val="auto"/>
          <w:kern w:val="2"/>
          <w:sz w:val="24"/>
          <w:highlight w:val="none"/>
          <w:lang w:val="zh-CN"/>
        </w:rPr>
        <w:t>：根据设计标准确定的洪水径流、强潮或者二者结合，构建水动力数学模型，进行洪潮冲刷计算。数学模型以闻家堰为上边界，以澉浦断面为下边界。</w:t>
      </w:r>
    </w:p>
    <w:p w14:paraId="7506710F">
      <w:pPr>
        <w:spacing w:before="0" w:beforeLines="0" w:beforeAutospacing="0" w:after="0" w:afterLines="0" w:afterAutospacing="0"/>
        <w:ind w:firstLine="420" w:firstLineChars="0"/>
        <w:jc w:val="left"/>
        <w:rPr>
          <w:rFonts w:hint="eastAsia" w:ascii="仿宋" w:hAnsi="仿宋" w:cs="仿宋"/>
          <w:color w:val="auto"/>
          <w:sz w:val="24"/>
          <w:highlight w:val="none"/>
          <w:lang w:val="zh-CN"/>
        </w:rPr>
      </w:pPr>
      <w:r>
        <w:rPr>
          <w:rFonts w:hint="eastAsia" w:ascii="仿宋" w:hAnsi="仿宋" w:cs="仿宋"/>
          <w:color w:val="auto"/>
          <w:kern w:val="2"/>
          <w:sz w:val="24"/>
          <w:highlight w:val="none"/>
          <w:lang w:val="zh-CN"/>
        </w:rPr>
        <w:t>在</w:t>
      </w:r>
      <w:r>
        <w:rPr>
          <w:rFonts w:hint="eastAsia" w:ascii="仿宋" w:hAnsi="仿宋" w:cs="仿宋"/>
          <w:color w:val="auto"/>
          <w:kern w:val="2"/>
          <w:sz w:val="24"/>
          <w:highlight w:val="none"/>
          <w:lang w:val="en-US" w:eastAsia="zh-CN"/>
        </w:rPr>
        <w:t>以上</w:t>
      </w:r>
      <w:r>
        <w:rPr>
          <w:rFonts w:hint="eastAsia" w:ascii="仿宋" w:hAnsi="仿宋" w:cs="仿宋"/>
          <w:color w:val="auto"/>
          <w:kern w:val="2"/>
          <w:sz w:val="24"/>
          <w:highlight w:val="none"/>
          <w:lang w:val="zh-CN"/>
        </w:rPr>
        <w:t>研究方法成果的基础上提出本段海塘堤脚</w:t>
      </w:r>
      <w:r>
        <w:rPr>
          <w:rFonts w:hint="eastAsia" w:ascii="仿宋" w:hAnsi="仿宋" w:cs="仿宋"/>
          <w:color w:val="auto"/>
          <w:kern w:val="2"/>
          <w:sz w:val="24"/>
          <w:highlight w:val="none"/>
          <w:lang w:val="zh-CN" w:eastAsia="zh-CN"/>
        </w:rPr>
        <w:t>及护塘建筑物</w:t>
      </w:r>
      <w:r>
        <w:rPr>
          <w:rFonts w:hint="eastAsia" w:ascii="仿宋" w:hAnsi="仿宋" w:cs="仿宋"/>
          <w:color w:val="auto"/>
          <w:kern w:val="2"/>
          <w:sz w:val="24"/>
          <w:highlight w:val="none"/>
          <w:lang w:val="zh-CN"/>
        </w:rPr>
        <w:t>设计冲刷高程。</w:t>
      </w:r>
    </w:p>
    <w:p w14:paraId="6EF410A2">
      <w:pPr>
        <w:pStyle w:val="5"/>
        <w:adjustRightInd w:val="0"/>
        <w:spacing w:before="0" w:beforeLines="0" w:after="0" w:afterLines="0"/>
        <w:ind w:firstLine="48"/>
        <w:rPr>
          <w:rFonts w:hint="eastAsia" w:ascii="仿宋" w:eastAsia="仿宋" w:cs="仿宋"/>
          <w:snapToGrid/>
          <w:color w:val="auto"/>
          <w:sz w:val="24"/>
          <w:highlight w:val="none"/>
          <w:lang w:val="en-US"/>
        </w:rPr>
      </w:pPr>
      <w:r>
        <w:rPr>
          <w:rFonts w:hint="eastAsia" w:ascii="仿宋" w:eastAsia="仿宋" w:cs="仿宋"/>
          <w:snapToGrid/>
          <w:color w:val="auto"/>
          <w:sz w:val="24"/>
          <w:highlight w:val="none"/>
          <w:lang w:val="en-US"/>
        </w:rPr>
        <w:t>5.5</w:t>
      </w:r>
      <w:r>
        <w:rPr>
          <w:rFonts w:hint="eastAsia" w:ascii="仿宋" w:eastAsia="仿宋" w:cs="仿宋"/>
          <w:snapToGrid/>
          <w:color w:val="auto"/>
          <w:sz w:val="24"/>
          <w:highlight w:val="none"/>
          <w:lang w:val="en-US" w:eastAsia="zh-CN"/>
        </w:rPr>
        <w:t>交叉建筑物调查评估</w:t>
      </w:r>
      <w:r>
        <w:rPr>
          <w:rFonts w:hint="eastAsia" w:ascii="仿宋" w:eastAsia="仿宋" w:cs="仿宋"/>
          <w:snapToGrid/>
          <w:color w:val="auto"/>
          <w:sz w:val="24"/>
          <w:highlight w:val="none"/>
          <w:lang w:val="en-US"/>
        </w:rPr>
        <w:t>专题研究要求</w:t>
      </w:r>
    </w:p>
    <w:p w14:paraId="01A3BE84">
      <w:pPr>
        <w:spacing w:before="0" w:beforeLines="0" w:beforeAutospacing="0" w:after="0" w:afterLines="0" w:afterAutospacing="0"/>
        <w:ind w:firstLine="420" w:firstLineChars="0"/>
        <w:jc w:val="left"/>
        <w:rPr>
          <w:rFonts w:hint="eastAsia" w:ascii="仿宋" w:hAnsi="仿宋" w:eastAsia="仿宋" w:cs="仿宋"/>
          <w:color w:val="auto"/>
          <w:kern w:val="2"/>
          <w:sz w:val="24"/>
          <w:highlight w:val="none"/>
          <w:lang w:val="zh-CN" w:eastAsia="zh-CN"/>
        </w:rPr>
      </w:pPr>
      <w:r>
        <w:rPr>
          <w:rFonts w:hint="eastAsia" w:ascii="仿宋" w:hAnsi="仿宋" w:cs="仿宋"/>
          <w:snapToGrid/>
          <w:color w:val="auto"/>
          <w:kern w:val="2"/>
          <w:sz w:val="24"/>
          <w:highlight w:val="none"/>
          <w:lang w:val="zh-CN" w:eastAsia="zh-CN"/>
        </w:rPr>
        <w:t>采用测量、物探等手段</w:t>
      </w:r>
      <w:r>
        <w:rPr>
          <w:rFonts w:hint="eastAsia" w:ascii="仿宋" w:hAnsi="仿宋" w:cs="仿宋"/>
          <w:color w:val="auto"/>
          <w:kern w:val="2"/>
          <w:sz w:val="24"/>
          <w:highlight w:val="none"/>
          <w:lang w:val="zh-CN" w:eastAsia="zh-CN"/>
        </w:rPr>
        <w:t>对沿线水闸、桥梁、穿堤管、各类沿线地下管道等</w:t>
      </w:r>
      <w:r>
        <w:rPr>
          <w:rFonts w:hint="eastAsia" w:ascii="仿宋" w:hAnsi="仿宋" w:cs="仿宋"/>
          <w:snapToGrid/>
          <w:color w:val="auto"/>
          <w:kern w:val="2"/>
          <w:sz w:val="24"/>
          <w:highlight w:val="none"/>
          <w:lang w:val="zh-CN" w:eastAsia="zh-CN"/>
        </w:rPr>
        <w:t>交叉建筑物进行调查，掌握</w:t>
      </w:r>
      <w:r>
        <w:rPr>
          <w:rFonts w:hint="eastAsia" w:ascii="仿宋" w:hAnsi="仿宋" w:cs="仿宋"/>
          <w:color w:val="auto"/>
          <w:kern w:val="2"/>
          <w:sz w:val="24"/>
          <w:highlight w:val="none"/>
          <w:lang w:val="zh-CN" w:eastAsia="zh-CN"/>
        </w:rPr>
        <w:t>各类</w:t>
      </w:r>
      <w:r>
        <w:rPr>
          <w:rFonts w:hint="eastAsia" w:ascii="仿宋" w:hAnsi="仿宋" w:cs="仿宋"/>
          <w:snapToGrid/>
          <w:color w:val="auto"/>
          <w:kern w:val="2"/>
          <w:sz w:val="24"/>
          <w:highlight w:val="none"/>
          <w:lang w:val="zh-CN" w:eastAsia="zh-CN"/>
        </w:rPr>
        <w:t>交叉建筑物尺寸、位置、高程、用途、权属单位等数据，并摸清运行状态、安全隐患等情况。</w:t>
      </w:r>
      <w:r>
        <w:rPr>
          <w:rFonts w:hint="eastAsia" w:ascii="仿宋" w:hAnsi="仿宋" w:cs="仿宋"/>
          <w:color w:val="auto"/>
          <w:kern w:val="2"/>
          <w:sz w:val="24"/>
          <w:highlight w:val="none"/>
          <w:lang w:val="zh-CN" w:eastAsia="zh-CN"/>
        </w:rPr>
        <w:t>对沿线水闸、桥梁、穿堤管、各类地下管道等</w:t>
      </w:r>
      <w:r>
        <w:rPr>
          <w:rFonts w:hint="eastAsia" w:ascii="仿宋" w:hAnsi="仿宋" w:cs="仿宋"/>
          <w:snapToGrid/>
          <w:color w:val="auto"/>
          <w:kern w:val="2"/>
          <w:sz w:val="24"/>
          <w:highlight w:val="none"/>
          <w:lang w:val="zh-CN" w:eastAsia="zh-CN"/>
        </w:rPr>
        <w:t>交叉建筑物开展相应的评估，分析海塘工程加固与交叉建筑物的相互影响，初步识别交叉建筑物对工程加固的制约要素，提出保留、加固、迁改等措施及下阶段工作要求。</w:t>
      </w:r>
    </w:p>
    <w:p w14:paraId="10C1303E">
      <w:pPr>
        <w:pStyle w:val="5"/>
        <w:adjustRightInd w:val="0"/>
        <w:spacing w:before="0" w:beforeLines="0" w:after="0" w:afterLines="0"/>
        <w:ind w:firstLine="48"/>
        <w:rPr>
          <w:rFonts w:hint="eastAsia" w:ascii="仿宋" w:hAnsi="仿宋" w:eastAsia="仿宋" w:cs="仿宋"/>
          <w:snapToGrid/>
          <w:color w:val="auto"/>
          <w:sz w:val="24"/>
          <w:highlight w:val="none"/>
          <w:lang w:val="en-US"/>
        </w:rPr>
      </w:pPr>
      <w:r>
        <w:rPr>
          <w:rFonts w:hint="eastAsia" w:ascii="仿宋" w:eastAsia="仿宋" w:cs="仿宋"/>
          <w:snapToGrid/>
          <w:color w:val="auto"/>
          <w:sz w:val="24"/>
          <w:highlight w:val="none"/>
          <w:lang w:val="en-US"/>
        </w:rPr>
        <w:t>5.</w:t>
      </w:r>
      <w:r>
        <w:rPr>
          <w:rFonts w:hint="eastAsia" w:ascii="仿宋" w:eastAsia="仿宋" w:cs="仿宋"/>
          <w:snapToGrid/>
          <w:color w:val="auto"/>
          <w:sz w:val="24"/>
          <w:highlight w:val="none"/>
          <w:lang w:val="en-US" w:eastAsia="zh-CN"/>
        </w:rPr>
        <w:t>6</w:t>
      </w:r>
      <w:r>
        <w:rPr>
          <w:rFonts w:hint="eastAsia" w:ascii="仿宋" w:eastAsia="仿宋" w:cs="仿宋"/>
          <w:snapToGrid/>
          <w:color w:val="auto"/>
          <w:sz w:val="24"/>
          <w:highlight w:val="none"/>
          <w:lang w:val="en-US"/>
        </w:rPr>
        <w:t>陆域地形测量要求</w:t>
      </w:r>
    </w:p>
    <w:p w14:paraId="4BE032D3">
      <w:pPr>
        <w:adjustRightInd w:val="0"/>
        <w:spacing w:before="0" w:beforeLines="0" w:after="0" w:afterLines="0" w:line="360" w:lineRule="auto"/>
        <w:ind w:left="0" w:firstLine="420" w:firstLineChars="0"/>
        <w:rPr>
          <w:rFonts w:hint="eastAsia" w:ascii="仿宋" w:hAnsi="仿宋" w:eastAsia="仿宋" w:cs="仿宋"/>
          <w:b w:val="0"/>
          <w:bCs w:val="0"/>
          <w:snapToGrid/>
          <w:color w:val="auto"/>
          <w:sz w:val="24"/>
          <w:szCs w:val="24"/>
          <w:highlight w:val="none"/>
          <w:lang w:val="zh-CN"/>
        </w:rPr>
      </w:pPr>
      <w:r>
        <w:rPr>
          <w:rFonts w:hint="eastAsia" w:ascii="仿宋" w:hAnsi="仿宋" w:eastAsia="仿宋" w:cs="仿宋"/>
          <w:b w:val="0"/>
          <w:bCs w:val="0"/>
          <w:color w:val="auto"/>
          <w:kern w:val="2"/>
          <w:sz w:val="24"/>
          <w:szCs w:val="24"/>
          <w:highlight w:val="none"/>
          <w:lang w:val="zh-CN"/>
        </w:rPr>
        <w:t>对海塘陆域区域进行地形测量和海塘断面测量。陆域地形比例为1:2000，范围包括海塘迎水坡至堤轴线以南300m的条带地形图。断面测量间距为200m，断面比例为1:200，断面宽度为堤轴线（包括盘头轴线）外200m至堤轴线以内100m。</w:t>
      </w:r>
    </w:p>
    <w:p w14:paraId="588A0199">
      <w:pPr>
        <w:spacing w:line="240" w:lineRule="auto"/>
        <w:jc w:val="left"/>
        <w:outlineLvl w:val="9"/>
        <w:rPr>
          <w:rFonts w:hint="eastAsia" w:ascii="仿宋" w:hAnsi="仿宋" w:cs="仿宋"/>
          <w:b/>
          <w:color w:val="auto"/>
          <w:sz w:val="36"/>
          <w:szCs w:val="36"/>
          <w:highlight w:val="none"/>
        </w:rPr>
      </w:pPr>
      <w:bookmarkStart w:id="91" w:name="_Toc28740"/>
      <w:r>
        <w:rPr>
          <w:rFonts w:hint="eastAsia" w:ascii="仿宋" w:hAnsi="仿宋" w:cs="仿宋"/>
          <w:b/>
          <w:color w:val="auto"/>
          <w:sz w:val="36"/>
          <w:szCs w:val="36"/>
          <w:highlight w:val="none"/>
        </w:rPr>
        <w:br w:type="page"/>
      </w:r>
    </w:p>
    <w:p w14:paraId="1BE171A9">
      <w:pPr>
        <w:spacing w:line="360" w:lineRule="auto"/>
        <w:jc w:val="center"/>
        <w:outlineLvl w:val="0"/>
        <w:rPr>
          <w:rFonts w:hint="eastAsia" w:ascii="仿宋" w:hAnsi="仿宋" w:cs="仿宋"/>
          <w:b/>
          <w:color w:val="auto"/>
          <w:sz w:val="36"/>
          <w:szCs w:val="36"/>
          <w:highlight w:val="none"/>
        </w:rPr>
      </w:pPr>
      <w:r>
        <w:rPr>
          <w:rFonts w:hint="eastAsia" w:ascii="仿宋" w:hAnsi="仿宋" w:cs="仿宋"/>
          <w:b/>
          <w:color w:val="auto"/>
          <w:sz w:val="36"/>
          <w:szCs w:val="36"/>
          <w:highlight w:val="none"/>
        </w:rPr>
        <w:t xml:space="preserve">第四部分  </w:t>
      </w:r>
      <w:bookmarkStart w:id="92" w:name="_Toc184310298"/>
      <w:bookmarkEnd w:id="92"/>
      <w:bookmarkStart w:id="93" w:name="_Toc184314439"/>
      <w:bookmarkEnd w:id="93"/>
      <w:bookmarkStart w:id="94" w:name="_Toc184313292"/>
      <w:bookmarkEnd w:id="94"/>
      <w:bookmarkStart w:id="95" w:name="_Toc184312109"/>
      <w:bookmarkEnd w:id="95"/>
      <w:bookmarkStart w:id="96" w:name="_Toc184310274"/>
      <w:bookmarkEnd w:id="96"/>
      <w:bookmarkStart w:id="97" w:name="_Toc184313260"/>
      <w:bookmarkEnd w:id="97"/>
      <w:bookmarkStart w:id="98" w:name="_Toc184310272"/>
      <w:bookmarkEnd w:id="98"/>
      <w:bookmarkStart w:id="99" w:name="_Toc184308099"/>
      <w:bookmarkEnd w:id="99"/>
      <w:bookmarkStart w:id="100" w:name="_Toc184313238"/>
      <w:bookmarkEnd w:id="100"/>
      <w:bookmarkStart w:id="101" w:name="_Toc184313302"/>
      <w:bookmarkEnd w:id="101"/>
      <w:bookmarkStart w:id="102" w:name="_Toc184308042"/>
      <w:bookmarkEnd w:id="102"/>
      <w:bookmarkStart w:id="103" w:name="_Toc184308103"/>
      <w:bookmarkEnd w:id="103"/>
      <w:bookmarkStart w:id="104" w:name="_Toc184312124"/>
      <w:bookmarkEnd w:id="104"/>
      <w:bookmarkStart w:id="105" w:name="_Toc184313300"/>
      <w:bookmarkEnd w:id="105"/>
      <w:bookmarkStart w:id="106" w:name="_Toc184312093"/>
      <w:bookmarkEnd w:id="106"/>
      <w:bookmarkStart w:id="107" w:name="_Toc184314415"/>
      <w:bookmarkEnd w:id="107"/>
      <w:bookmarkStart w:id="108" w:name="_Toc184312132"/>
      <w:bookmarkEnd w:id="108"/>
      <w:bookmarkStart w:id="109" w:name="_Toc184308104"/>
      <w:bookmarkEnd w:id="109"/>
      <w:bookmarkStart w:id="110" w:name="_Toc184312138"/>
      <w:bookmarkEnd w:id="110"/>
      <w:bookmarkStart w:id="111" w:name="_Toc184312067"/>
      <w:bookmarkEnd w:id="111"/>
      <w:bookmarkStart w:id="112" w:name="_Toc184313289"/>
      <w:bookmarkEnd w:id="112"/>
      <w:bookmarkStart w:id="113" w:name="_Toc184310324"/>
      <w:bookmarkEnd w:id="113"/>
      <w:bookmarkStart w:id="114" w:name="_Toc184312129"/>
      <w:bookmarkEnd w:id="114"/>
      <w:bookmarkStart w:id="115" w:name="_Toc184310337"/>
      <w:bookmarkEnd w:id="115"/>
      <w:bookmarkStart w:id="116" w:name="_Toc184313275"/>
      <w:bookmarkEnd w:id="116"/>
      <w:bookmarkStart w:id="117" w:name="_Toc184313251"/>
      <w:bookmarkEnd w:id="117"/>
      <w:bookmarkStart w:id="118" w:name="_Toc184314411"/>
      <w:bookmarkEnd w:id="118"/>
      <w:bookmarkStart w:id="119" w:name="_Toc184314433"/>
      <w:bookmarkEnd w:id="119"/>
      <w:bookmarkStart w:id="120" w:name="_Toc184314449"/>
      <w:bookmarkEnd w:id="120"/>
      <w:bookmarkStart w:id="121" w:name="_Toc184313255"/>
      <w:bookmarkEnd w:id="121"/>
      <w:bookmarkStart w:id="122" w:name="_Toc184310276"/>
      <w:bookmarkEnd w:id="122"/>
      <w:bookmarkStart w:id="123" w:name="_Toc184310306"/>
      <w:bookmarkEnd w:id="123"/>
      <w:bookmarkStart w:id="124" w:name="_Toc184314443"/>
      <w:bookmarkEnd w:id="124"/>
      <w:bookmarkStart w:id="125" w:name="_Toc184308054"/>
      <w:bookmarkEnd w:id="125"/>
      <w:bookmarkStart w:id="126" w:name="_Toc184312098"/>
      <w:bookmarkEnd w:id="126"/>
      <w:bookmarkStart w:id="127" w:name="_Toc184313240"/>
      <w:bookmarkEnd w:id="127"/>
      <w:bookmarkStart w:id="128" w:name="_Toc184308052"/>
      <w:bookmarkEnd w:id="128"/>
      <w:bookmarkStart w:id="129" w:name="_Toc184314448"/>
      <w:bookmarkEnd w:id="129"/>
      <w:bookmarkStart w:id="130" w:name="_Toc184308107"/>
      <w:bookmarkEnd w:id="130"/>
      <w:bookmarkStart w:id="131" w:name="_Toc184313269"/>
      <w:bookmarkEnd w:id="131"/>
      <w:bookmarkStart w:id="132" w:name="_Toc184312102"/>
      <w:bookmarkEnd w:id="132"/>
      <w:bookmarkStart w:id="133" w:name="_Toc184308067"/>
      <w:bookmarkEnd w:id="133"/>
      <w:bookmarkStart w:id="134" w:name="_Toc184313264"/>
      <w:bookmarkEnd w:id="134"/>
      <w:bookmarkStart w:id="135" w:name="_Toc184312069"/>
      <w:bookmarkEnd w:id="135"/>
      <w:bookmarkStart w:id="136" w:name="_Toc184313286"/>
      <w:bookmarkEnd w:id="136"/>
      <w:bookmarkStart w:id="137" w:name="_Toc184314473"/>
      <w:bookmarkEnd w:id="137"/>
      <w:bookmarkStart w:id="138" w:name="_Toc184312071"/>
      <w:bookmarkEnd w:id="138"/>
      <w:bookmarkStart w:id="139" w:name="_Toc184310284"/>
      <w:bookmarkEnd w:id="139"/>
      <w:bookmarkStart w:id="140" w:name="_Toc184312115"/>
      <w:bookmarkEnd w:id="140"/>
      <w:bookmarkStart w:id="141" w:name="_Toc184313265"/>
      <w:bookmarkEnd w:id="141"/>
      <w:bookmarkStart w:id="142" w:name="_Toc184313248"/>
      <w:bookmarkEnd w:id="142"/>
      <w:bookmarkStart w:id="143" w:name="_Toc184308038"/>
      <w:bookmarkEnd w:id="143"/>
      <w:bookmarkStart w:id="144" w:name="_Toc184310299"/>
      <w:bookmarkEnd w:id="144"/>
      <w:bookmarkStart w:id="145" w:name="_Toc184312106"/>
      <w:bookmarkEnd w:id="145"/>
      <w:bookmarkStart w:id="146" w:name="_Toc184310281"/>
      <w:bookmarkEnd w:id="146"/>
      <w:bookmarkStart w:id="147" w:name="_Toc184310331"/>
      <w:bookmarkEnd w:id="147"/>
      <w:bookmarkStart w:id="148" w:name="_Toc184308077"/>
      <w:bookmarkEnd w:id="148"/>
      <w:bookmarkStart w:id="149" w:name="_Toc184313271"/>
      <w:bookmarkEnd w:id="149"/>
      <w:bookmarkStart w:id="150" w:name="_Toc184308101"/>
      <w:bookmarkEnd w:id="150"/>
      <w:bookmarkStart w:id="151" w:name="_Toc184312085"/>
      <w:bookmarkEnd w:id="151"/>
      <w:bookmarkStart w:id="152" w:name="_Toc184313278"/>
      <w:bookmarkEnd w:id="152"/>
      <w:bookmarkStart w:id="153" w:name="_Toc184313287"/>
      <w:bookmarkEnd w:id="153"/>
      <w:bookmarkStart w:id="154" w:name="_Toc184313280"/>
      <w:bookmarkEnd w:id="154"/>
      <w:bookmarkStart w:id="155" w:name="_Toc184314440"/>
      <w:bookmarkEnd w:id="155"/>
      <w:bookmarkStart w:id="156" w:name="_Toc184313282"/>
      <w:bookmarkEnd w:id="156"/>
      <w:bookmarkStart w:id="157" w:name="_Toc184314438"/>
      <w:bookmarkEnd w:id="157"/>
      <w:bookmarkStart w:id="158" w:name="_Toc184308041"/>
      <w:bookmarkEnd w:id="158"/>
      <w:bookmarkStart w:id="159" w:name="_Toc184312084"/>
      <w:bookmarkEnd w:id="159"/>
      <w:bookmarkStart w:id="160" w:name="_Toc184312105"/>
      <w:bookmarkEnd w:id="160"/>
      <w:bookmarkStart w:id="161" w:name="_Toc184308085"/>
      <w:bookmarkEnd w:id="161"/>
      <w:bookmarkStart w:id="162" w:name="_Toc184312101"/>
      <w:bookmarkEnd w:id="162"/>
      <w:bookmarkStart w:id="163" w:name="_Toc184312095"/>
      <w:bookmarkEnd w:id="163"/>
      <w:bookmarkStart w:id="164" w:name="_Toc184312125"/>
      <w:bookmarkEnd w:id="164"/>
      <w:bookmarkStart w:id="165" w:name="_Toc184308036"/>
      <w:bookmarkEnd w:id="165"/>
      <w:bookmarkStart w:id="166" w:name="_Toc184310300"/>
      <w:bookmarkEnd w:id="166"/>
      <w:bookmarkStart w:id="167" w:name="_Toc184310321"/>
      <w:bookmarkEnd w:id="167"/>
      <w:bookmarkStart w:id="168" w:name="_Toc184313306"/>
      <w:bookmarkEnd w:id="168"/>
      <w:bookmarkStart w:id="169" w:name="_Toc184310342"/>
      <w:bookmarkEnd w:id="169"/>
      <w:bookmarkStart w:id="170" w:name="_Toc184312134"/>
      <w:bookmarkEnd w:id="170"/>
      <w:bookmarkStart w:id="171" w:name="_Toc184310291"/>
      <w:bookmarkEnd w:id="171"/>
      <w:bookmarkStart w:id="172" w:name="_Toc184308060"/>
      <w:bookmarkEnd w:id="172"/>
      <w:bookmarkStart w:id="173" w:name="_Toc184312070"/>
      <w:bookmarkEnd w:id="173"/>
      <w:bookmarkStart w:id="174" w:name="_Toc184313295"/>
      <w:bookmarkEnd w:id="174"/>
      <w:bookmarkStart w:id="175" w:name="_Toc184310315"/>
      <w:bookmarkEnd w:id="175"/>
      <w:bookmarkStart w:id="176" w:name="_Toc184310336"/>
      <w:bookmarkEnd w:id="176"/>
      <w:bookmarkStart w:id="177" w:name="_Toc184314482"/>
      <w:bookmarkEnd w:id="177"/>
      <w:bookmarkStart w:id="178" w:name="_Toc184312077"/>
      <w:bookmarkEnd w:id="178"/>
      <w:bookmarkStart w:id="179" w:name="_Toc184312136"/>
      <w:bookmarkEnd w:id="179"/>
      <w:bookmarkStart w:id="180" w:name="_Toc184313274"/>
      <w:bookmarkEnd w:id="180"/>
      <w:bookmarkStart w:id="181" w:name="_Toc184312080"/>
      <w:bookmarkEnd w:id="181"/>
      <w:bookmarkStart w:id="182" w:name="_Toc184308083"/>
      <w:bookmarkEnd w:id="182"/>
      <w:bookmarkStart w:id="183" w:name="_Toc184308057"/>
      <w:bookmarkEnd w:id="183"/>
      <w:bookmarkStart w:id="184" w:name="_Toc184312139"/>
      <w:bookmarkEnd w:id="184"/>
      <w:bookmarkStart w:id="185" w:name="_Toc184313297"/>
      <w:bookmarkEnd w:id="185"/>
      <w:bookmarkStart w:id="186" w:name="_Toc184308045"/>
      <w:bookmarkEnd w:id="186"/>
      <w:bookmarkStart w:id="187" w:name="_Toc184310293"/>
      <w:bookmarkEnd w:id="187"/>
      <w:bookmarkStart w:id="188" w:name="_Toc184314423"/>
      <w:bookmarkEnd w:id="188"/>
      <w:bookmarkStart w:id="189" w:name="_Toc184313268"/>
      <w:bookmarkEnd w:id="189"/>
      <w:bookmarkStart w:id="190" w:name="_Toc184308058"/>
      <w:bookmarkEnd w:id="190"/>
      <w:bookmarkStart w:id="191" w:name="_Toc184314426"/>
      <w:bookmarkEnd w:id="191"/>
      <w:bookmarkStart w:id="192" w:name="_Toc184308044"/>
      <w:bookmarkEnd w:id="192"/>
      <w:bookmarkStart w:id="193" w:name="_Toc184312107"/>
      <w:bookmarkEnd w:id="193"/>
      <w:bookmarkStart w:id="194" w:name="_Toc184310332"/>
      <w:bookmarkEnd w:id="194"/>
      <w:bookmarkStart w:id="195" w:name="_Toc184310297"/>
      <w:bookmarkEnd w:id="195"/>
      <w:bookmarkStart w:id="196" w:name="_Toc184310304"/>
      <w:bookmarkEnd w:id="196"/>
      <w:bookmarkStart w:id="197" w:name="_Toc184314430"/>
      <w:bookmarkEnd w:id="197"/>
      <w:bookmarkStart w:id="198" w:name="_Toc184312130"/>
      <w:bookmarkEnd w:id="198"/>
      <w:bookmarkStart w:id="199" w:name="_Toc184312091"/>
      <w:bookmarkEnd w:id="199"/>
      <w:bookmarkStart w:id="200" w:name="_Toc184314414"/>
      <w:bookmarkEnd w:id="200"/>
      <w:bookmarkStart w:id="201" w:name="_Toc184310330"/>
      <w:bookmarkEnd w:id="201"/>
      <w:bookmarkStart w:id="202" w:name="_Toc184308094"/>
      <w:bookmarkEnd w:id="202"/>
      <w:bookmarkStart w:id="203" w:name="_Toc184308084"/>
      <w:bookmarkEnd w:id="203"/>
      <w:bookmarkStart w:id="204" w:name="_Toc184312068"/>
      <w:bookmarkEnd w:id="204"/>
      <w:bookmarkStart w:id="205" w:name="_Toc184312086"/>
      <w:bookmarkEnd w:id="205"/>
      <w:bookmarkStart w:id="206" w:name="_Toc184314418"/>
      <w:bookmarkEnd w:id="206"/>
      <w:bookmarkStart w:id="207" w:name="_Toc184313253"/>
      <w:bookmarkEnd w:id="207"/>
      <w:bookmarkStart w:id="208" w:name="_Toc184313299"/>
      <w:bookmarkEnd w:id="208"/>
      <w:bookmarkStart w:id="209" w:name="_Toc184308050"/>
      <w:bookmarkEnd w:id="209"/>
      <w:bookmarkStart w:id="210" w:name="_Toc184310280"/>
      <w:bookmarkEnd w:id="210"/>
      <w:bookmarkStart w:id="211" w:name="_Toc184313258"/>
      <w:bookmarkEnd w:id="211"/>
      <w:bookmarkStart w:id="212" w:name="_Toc184314458"/>
      <w:bookmarkEnd w:id="212"/>
      <w:bookmarkStart w:id="213" w:name="_Toc184313249"/>
      <w:bookmarkEnd w:id="213"/>
      <w:bookmarkStart w:id="214" w:name="_Toc184313309"/>
      <w:bookmarkEnd w:id="214"/>
      <w:bookmarkStart w:id="215" w:name="_Toc184308062"/>
      <w:bookmarkEnd w:id="215"/>
      <w:bookmarkStart w:id="216" w:name="_Toc184308075"/>
      <w:bookmarkEnd w:id="216"/>
      <w:bookmarkStart w:id="217" w:name="_Toc184314432"/>
      <w:bookmarkEnd w:id="217"/>
      <w:bookmarkStart w:id="218" w:name="_Toc184308080"/>
      <w:bookmarkEnd w:id="218"/>
      <w:bookmarkStart w:id="219" w:name="_Toc184313270"/>
      <w:bookmarkEnd w:id="219"/>
      <w:bookmarkStart w:id="220" w:name="_Toc184314434"/>
      <w:bookmarkEnd w:id="220"/>
      <w:bookmarkStart w:id="221" w:name="_Toc184313301"/>
      <w:bookmarkEnd w:id="221"/>
      <w:bookmarkStart w:id="222" w:name="_Toc184314445"/>
      <w:bookmarkEnd w:id="222"/>
      <w:bookmarkStart w:id="223" w:name="_Toc184310296"/>
      <w:bookmarkEnd w:id="223"/>
      <w:bookmarkStart w:id="224" w:name="_Toc184312087"/>
      <w:bookmarkEnd w:id="224"/>
      <w:bookmarkStart w:id="225" w:name="_Toc184313252"/>
      <w:bookmarkEnd w:id="225"/>
      <w:bookmarkStart w:id="226" w:name="_Toc184308089"/>
      <w:bookmarkEnd w:id="226"/>
      <w:bookmarkStart w:id="227" w:name="_Toc184312075"/>
      <w:bookmarkEnd w:id="227"/>
      <w:bookmarkStart w:id="228" w:name="_Toc184314436"/>
      <w:bookmarkEnd w:id="228"/>
      <w:bookmarkStart w:id="229" w:name="_Toc184310311"/>
      <w:bookmarkEnd w:id="229"/>
      <w:bookmarkStart w:id="230" w:name="_Toc184308086"/>
      <w:bookmarkEnd w:id="230"/>
      <w:bookmarkStart w:id="231" w:name="_Toc184312117"/>
      <w:bookmarkEnd w:id="231"/>
      <w:bookmarkStart w:id="232" w:name="_Toc184313283"/>
      <w:bookmarkEnd w:id="232"/>
      <w:bookmarkStart w:id="233" w:name="_Toc184313263"/>
      <w:bookmarkEnd w:id="233"/>
      <w:bookmarkStart w:id="234" w:name="_Toc184314479"/>
      <w:bookmarkEnd w:id="234"/>
      <w:bookmarkStart w:id="235" w:name="_Toc184313284"/>
      <w:bookmarkEnd w:id="235"/>
      <w:bookmarkStart w:id="236" w:name="_Toc184312074"/>
      <w:bookmarkEnd w:id="236"/>
      <w:bookmarkStart w:id="237" w:name="_Toc184310335"/>
      <w:bookmarkEnd w:id="237"/>
      <w:bookmarkStart w:id="238" w:name="_Toc184313291"/>
      <w:bookmarkEnd w:id="238"/>
      <w:bookmarkStart w:id="239" w:name="_Toc184308097"/>
      <w:bookmarkEnd w:id="239"/>
      <w:bookmarkStart w:id="240" w:name="_Toc184314427"/>
      <w:bookmarkEnd w:id="240"/>
      <w:bookmarkStart w:id="241" w:name="_Toc184310301"/>
      <w:bookmarkEnd w:id="241"/>
      <w:bookmarkStart w:id="242" w:name="_Toc184308108"/>
      <w:bookmarkEnd w:id="242"/>
      <w:bookmarkStart w:id="243" w:name="_Toc184314412"/>
      <w:bookmarkEnd w:id="243"/>
      <w:bookmarkStart w:id="244" w:name="_Toc184310282"/>
      <w:bookmarkEnd w:id="244"/>
      <w:bookmarkStart w:id="245" w:name="_Toc184313241"/>
      <w:bookmarkEnd w:id="245"/>
      <w:bookmarkStart w:id="246" w:name="_Toc184312100"/>
      <w:bookmarkEnd w:id="246"/>
      <w:bookmarkStart w:id="247" w:name="_Toc184313262"/>
      <w:bookmarkEnd w:id="247"/>
      <w:bookmarkStart w:id="248" w:name="_Toc184312103"/>
      <w:bookmarkEnd w:id="248"/>
      <w:bookmarkStart w:id="249" w:name="_Toc184310278"/>
      <w:bookmarkEnd w:id="249"/>
      <w:bookmarkStart w:id="250" w:name="_Toc184314477"/>
      <w:bookmarkEnd w:id="250"/>
      <w:bookmarkStart w:id="251" w:name="_Toc184308043"/>
      <w:bookmarkEnd w:id="251"/>
      <w:bookmarkStart w:id="252" w:name="_Toc184313279"/>
      <w:bookmarkEnd w:id="252"/>
      <w:bookmarkStart w:id="253" w:name="_Toc184313272"/>
      <w:bookmarkEnd w:id="253"/>
      <w:bookmarkStart w:id="254" w:name="_Toc184310287"/>
      <w:bookmarkEnd w:id="254"/>
      <w:bookmarkStart w:id="255" w:name="_Toc184308055"/>
      <w:bookmarkEnd w:id="255"/>
      <w:bookmarkStart w:id="256" w:name="_Toc184314471"/>
      <w:bookmarkEnd w:id="256"/>
      <w:bookmarkStart w:id="257" w:name="_Toc184310292"/>
      <w:bookmarkEnd w:id="257"/>
      <w:bookmarkStart w:id="258" w:name="_Toc184314474"/>
      <w:bookmarkEnd w:id="258"/>
      <w:bookmarkStart w:id="259" w:name="_Toc184313298"/>
      <w:bookmarkEnd w:id="259"/>
      <w:bookmarkStart w:id="260" w:name="_Toc184313285"/>
      <w:bookmarkEnd w:id="260"/>
      <w:bookmarkStart w:id="261" w:name="_Toc184312120"/>
      <w:bookmarkEnd w:id="261"/>
      <w:bookmarkStart w:id="262" w:name="_Toc184310343"/>
      <w:bookmarkEnd w:id="262"/>
      <w:bookmarkStart w:id="263" w:name="_Toc184308051"/>
      <w:bookmarkEnd w:id="263"/>
      <w:bookmarkStart w:id="264" w:name="_Toc184313242"/>
      <w:bookmarkEnd w:id="264"/>
      <w:bookmarkStart w:id="265" w:name="_Toc184312092"/>
      <w:bookmarkEnd w:id="265"/>
      <w:bookmarkStart w:id="266" w:name="_Toc184310290"/>
      <w:bookmarkEnd w:id="266"/>
      <w:bookmarkStart w:id="267" w:name="_Toc184310289"/>
      <w:bookmarkEnd w:id="267"/>
      <w:bookmarkStart w:id="268" w:name="_Toc184314460"/>
      <w:bookmarkEnd w:id="268"/>
      <w:bookmarkStart w:id="269" w:name="_Toc184313305"/>
      <w:bookmarkEnd w:id="269"/>
      <w:bookmarkStart w:id="270" w:name="_Toc184312096"/>
      <w:bookmarkEnd w:id="270"/>
      <w:bookmarkStart w:id="271" w:name="_Toc184314467"/>
      <w:bookmarkEnd w:id="271"/>
      <w:bookmarkStart w:id="272" w:name="_Toc184310312"/>
      <w:bookmarkEnd w:id="272"/>
      <w:bookmarkStart w:id="273" w:name="_Toc184308076"/>
      <w:bookmarkEnd w:id="273"/>
      <w:bookmarkStart w:id="274" w:name="_Toc184310334"/>
      <w:bookmarkEnd w:id="274"/>
      <w:bookmarkStart w:id="275" w:name="_Toc184310318"/>
      <w:bookmarkEnd w:id="275"/>
      <w:bookmarkStart w:id="276" w:name="_Toc184310314"/>
      <w:bookmarkEnd w:id="276"/>
      <w:bookmarkStart w:id="277" w:name="_Toc184312090"/>
      <w:bookmarkEnd w:id="277"/>
      <w:bookmarkStart w:id="278" w:name="_Toc184308074"/>
      <w:bookmarkEnd w:id="278"/>
      <w:bookmarkStart w:id="279" w:name="_Toc184308081"/>
      <w:bookmarkEnd w:id="279"/>
      <w:bookmarkStart w:id="280" w:name="_Toc184313304"/>
      <w:bookmarkEnd w:id="280"/>
      <w:bookmarkStart w:id="281" w:name="_Toc184314480"/>
      <w:bookmarkEnd w:id="281"/>
      <w:bookmarkStart w:id="282" w:name="_Toc184310309"/>
      <w:bookmarkEnd w:id="282"/>
      <w:bookmarkStart w:id="283" w:name="_Toc184312112"/>
      <w:bookmarkEnd w:id="283"/>
      <w:bookmarkStart w:id="284" w:name="_Toc184313308"/>
      <w:bookmarkEnd w:id="284"/>
      <w:bookmarkStart w:id="285" w:name="_Toc184308056"/>
      <w:bookmarkEnd w:id="285"/>
      <w:bookmarkStart w:id="286" w:name="_Toc184314425"/>
      <w:bookmarkEnd w:id="286"/>
      <w:bookmarkStart w:id="287" w:name="_Toc184308066"/>
      <w:bookmarkEnd w:id="287"/>
      <w:bookmarkStart w:id="288" w:name="_Toc184312078"/>
      <w:bookmarkEnd w:id="288"/>
      <w:bookmarkStart w:id="289" w:name="_Toc184312082"/>
      <w:bookmarkEnd w:id="289"/>
      <w:bookmarkStart w:id="290" w:name="_Toc184314428"/>
      <w:bookmarkEnd w:id="290"/>
      <w:bookmarkStart w:id="291" w:name="_Toc184308088"/>
      <w:bookmarkEnd w:id="291"/>
      <w:bookmarkStart w:id="292" w:name="_Toc184308068"/>
      <w:bookmarkEnd w:id="292"/>
      <w:bookmarkStart w:id="293" w:name="_Toc184308059"/>
      <w:bookmarkEnd w:id="293"/>
      <w:bookmarkStart w:id="294" w:name="_Toc184308071"/>
      <w:bookmarkEnd w:id="294"/>
      <w:bookmarkStart w:id="295" w:name="_Toc184310323"/>
      <w:bookmarkEnd w:id="295"/>
      <w:bookmarkStart w:id="296" w:name="_Toc184312097"/>
      <w:bookmarkEnd w:id="296"/>
      <w:bookmarkStart w:id="297" w:name="_Toc184310316"/>
      <w:bookmarkEnd w:id="297"/>
      <w:bookmarkStart w:id="298" w:name="_Toc184314456"/>
      <w:bookmarkEnd w:id="298"/>
      <w:bookmarkStart w:id="299" w:name="_Toc184314453"/>
      <w:bookmarkEnd w:id="299"/>
      <w:bookmarkStart w:id="300" w:name="_Toc184313277"/>
      <w:bookmarkEnd w:id="300"/>
      <w:bookmarkStart w:id="301" w:name="_Toc184310277"/>
      <w:bookmarkEnd w:id="301"/>
      <w:bookmarkStart w:id="302" w:name="_Toc184314422"/>
      <w:bookmarkEnd w:id="302"/>
      <w:bookmarkStart w:id="303" w:name="_Toc184310285"/>
      <w:bookmarkEnd w:id="303"/>
      <w:bookmarkStart w:id="304" w:name="_Toc184310286"/>
      <w:bookmarkEnd w:id="304"/>
      <w:bookmarkStart w:id="305" w:name="_Toc184312089"/>
      <w:bookmarkEnd w:id="305"/>
      <w:bookmarkStart w:id="306" w:name="_Toc184312114"/>
      <w:bookmarkEnd w:id="306"/>
      <w:bookmarkStart w:id="307" w:name="_Toc184313254"/>
      <w:bookmarkEnd w:id="307"/>
      <w:bookmarkStart w:id="308" w:name="_Toc184313239"/>
      <w:bookmarkEnd w:id="308"/>
      <w:bookmarkStart w:id="309" w:name="_Toc184308069"/>
      <w:bookmarkEnd w:id="309"/>
      <w:bookmarkStart w:id="310" w:name="_Toc184310341"/>
      <w:bookmarkEnd w:id="310"/>
      <w:bookmarkStart w:id="311" w:name="_Toc184310310"/>
      <w:bookmarkEnd w:id="311"/>
      <w:bookmarkStart w:id="312" w:name="_Toc184314476"/>
      <w:bookmarkEnd w:id="312"/>
      <w:bookmarkStart w:id="313" w:name="_Toc184310327"/>
      <w:bookmarkEnd w:id="313"/>
      <w:bookmarkStart w:id="314" w:name="_Toc184310275"/>
      <w:bookmarkEnd w:id="314"/>
      <w:bookmarkStart w:id="315" w:name="_Toc184313250"/>
      <w:bookmarkEnd w:id="315"/>
      <w:bookmarkStart w:id="316" w:name="_Toc184312088"/>
      <w:bookmarkEnd w:id="316"/>
      <w:bookmarkStart w:id="317" w:name="_Toc184308049"/>
      <w:bookmarkEnd w:id="317"/>
      <w:bookmarkStart w:id="318" w:name="_Toc184314457"/>
      <w:bookmarkEnd w:id="318"/>
      <w:bookmarkStart w:id="319" w:name="_Toc184314447"/>
      <w:bookmarkEnd w:id="319"/>
      <w:bookmarkStart w:id="320" w:name="_Toc184313290"/>
      <w:bookmarkEnd w:id="320"/>
      <w:bookmarkStart w:id="321" w:name="_Toc184308091"/>
      <w:bookmarkEnd w:id="321"/>
      <w:bookmarkStart w:id="322" w:name="_Toc184310333"/>
      <w:bookmarkEnd w:id="322"/>
      <w:bookmarkStart w:id="323" w:name="_Toc184310340"/>
      <w:bookmarkEnd w:id="323"/>
      <w:bookmarkStart w:id="324" w:name="_Toc184313261"/>
      <w:bookmarkEnd w:id="324"/>
      <w:bookmarkStart w:id="325" w:name="_Toc184308048"/>
      <w:bookmarkEnd w:id="325"/>
      <w:bookmarkStart w:id="326" w:name="_Toc184308105"/>
      <w:bookmarkEnd w:id="326"/>
      <w:bookmarkStart w:id="327" w:name="_Toc184310325"/>
      <w:bookmarkEnd w:id="327"/>
      <w:bookmarkStart w:id="328" w:name="_Toc184310326"/>
      <w:bookmarkEnd w:id="328"/>
      <w:bookmarkStart w:id="329" w:name="_Toc184314419"/>
      <w:bookmarkEnd w:id="329"/>
      <w:bookmarkStart w:id="330" w:name="_Toc184314441"/>
      <w:bookmarkEnd w:id="330"/>
      <w:bookmarkStart w:id="331" w:name="_Toc184308073"/>
      <w:bookmarkEnd w:id="331"/>
      <w:bookmarkStart w:id="332" w:name="_Toc184313296"/>
      <w:bookmarkEnd w:id="332"/>
      <w:bookmarkStart w:id="333" w:name="_Toc184314424"/>
      <w:bookmarkEnd w:id="333"/>
      <w:bookmarkStart w:id="334" w:name="_Toc184313276"/>
      <w:bookmarkEnd w:id="334"/>
      <w:bookmarkStart w:id="335" w:name="_Toc184314468"/>
      <w:bookmarkEnd w:id="335"/>
      <w:bookmarkStart w:id="336" w:name="_Toc184314451"/>
      <w:bookmarkEnd w:id="336"/>
      <w:bookmarkStart w:id="337" w:name="_Toc184314452"/>
      <w:bookmarkEnd w:id="337"/>
      <w:bookmarkStart w:id="338" w:name="_Toc184308092"/>
      <w:bookmarkEnd w:id="338"/>
      <w:bookmarkStart w:id="339" w:name="_Toc184310295"/>
      <w:bookmarkEnd w:id="339"/>
      <w:bookmarkStart w:id="340" w:name="_Toc184313256"/>
      <w:bookmarkEnd w:id="340"/>
      <w:bookmarkStart w:id="341" w:name="_Toc184314446"/>
      <w:bookmarkEnd w:id="341"/>
      <w:bookmarkStart w:id="342" w:name="_Toc184313294"/>
      <w:bookmarkEnd w:id="342"/>
      <w:bookmarkStart w:id="343" w:name="_Toc184314421"/>
      <w:bookmarkEnd w:id="343"/>
      <w:bookmarkStart w:id="344" w:name="_Toc184313307"/>
      <w:bookmarkEnd w:id="344"/>
      <w:bookmarkStart w:id="345" w:name="_Toc184312104"/>
      <w:bookmarkEnd w:id="345"/>
      <w:bookmarkStart w:id="346" w:name="_Toc184310294"/>
      <w:bookmarkEnd w:id="346"/>
      <w:bookmarkStart w:id="347" w:name="_Toc184314444"/>
      <w:bookmarkEnd w:id="347"/>
      <w:bookmarkStart w:id="348" w:name="_Toc184310273"/>
      <w:bookmarkEnd w:id="348"/>
      <w:bookmarkStart w:id="349" w:name="_Toc184314459"/>
      <w:bookmarkEnd w:id="349"/>
      <w:bookmarkStart w:id="350" w:name="_Toc184312108"/>
      <w:bookmarkEnd w:id="350"/>
      <w:bookmarkStart w:id="351" w:name="_Toc184314442"/>
      <w:bookmarkEnd w:id="351"/>
      <w:bookmarkStart w:id="352" w:name="_Toc184312113"/>
      <w:bookmarkEnd w:id="352"/>
      <w:bookmarkStart w:id="353" w:name="_Toc184312126"/>
      <w:bookmarkEnd w:id="353"/>
      <w:bookmarkStart w:id="354" w:name="_Toc184310339"/>
      <w:bookmarkEnd w:id="354"/>
      <w:bookmarkStart w:id="355" w:name="_Toc184313267"/>
      <w:bookmarkEnd w:id="355"/>
      <w:bookmarkStart w:id="356" w:name="_Toc184312110"/>
      <w:bookmarkEnd w:id="356"/>
      <w:bookmarkStart w:id="357" w:name="_Toc184313303"/>
      <w:bookmarkEnd w:id="357"/>
      <w:bookmarkStart w:id="358" w:name="_Toc184313310"/>
      <w:bookmarkEnd w:id="358"/>
      <w:bookmarkStart w:id="359" w:name="_Toc184308065"/>
      <w:bookmarkEnd w:id="359"/>
      <w:bookmarkStart w:id="360" w:name="_Toc184310322"/>
      <w:bookmarkEnd w:id="360"/>
      <w:bookmarkStart w:id="361" w:name="_Toc184314469"/>
      <w:bookmarkEnd w:id="361"/>
      <w:bookmarkStart w:id="362" w:name="_Toc184312076"/>
      <w:bookmarkEnd w:id="362"/>
      <w:bookmarkStart w:id="363" w:name="_Toc184310283"/>
      <w:bookmarkEnd w:id="363"/>
      <w:bookmarkStart w:id="364" w:name="_Toc184312123"/>
      <w:bookmarkEnd w:id="364"/>
      <w:bookmarkStart w:id="365" w:name="_Toc184314413"/>
      <w:bookmarkEnd w:id="365"/>
      <w:bookmarkStart w:id="366" w:name="_Toc184313246"/>
      <w:bookmarkEnd w:id="366"/>
      <w:bookmarkStart w:id="367" w:name="_Toc184312083"/>
      <w:bookmarkEnd w:id="367"/>
      <w:bookmarkStart w:id="368" w:name="_Toc184314455"/>
      <w:bookmarkEnd w:id="368"/>
      <w:bookmarkStart w:id="369" w:name="_Toc184314431"/>
      <w:bookmarkEnd w:id="369"/>
      <w:bookmarkStart w:id="370" w:name="_Toc184310308"/>
      <w:bookmarkEnd w:id="370"/>
      <w:bookmarkStart w:id="371" w:name="_Toc184310317"/>
      <w:bookmarkEnd w:id="371"/>
      <w:bookmarkStart w:id="372" w:name="_Toc184308093"/>
      <w:bookmarkEnd w:id="372"/>
      <w:bookmarkStart w:id="373" w:name="_Toc184308053"/>
      <w:bookmarkEnd w:id="373"/>
      <w:bookmarkStart w:id="374" w:name="_Toc184312135"/>
      <w:bookmarkEnd w:id="374"/>
      <w:bookmarkStart w:id="375" w:name="_Toc184314437"/>
      <w:bookmarkEnd w:id="375"/>
      <w:bookmarkStart w:id="376" w:name="_Toc184313257"/>
      <w:bookmarkEnd w:id="376"/>
      <w:bookmarkStart w:id="377" w:name="_Toc184312094"/>
      <w:bookmarkEnd w:id="377"/>
      <w:bookmarkStart w:id="378" w:name="_Toc184308037"/>
      <w:bookmarkEnd w:id="378"/>
      <w:bookmarkStart w:id="379" w:name="_Toc184313293"/>
      <w:bookmarkEnd w:id="379"/>
      <w:bookmarkStart w:id="380" w:name="_Toc184308039"/>
      <w:bookmarkEnd w:id="380"/>
      <w:bookmarkStart w:id="381" w:name="_Toc184312072"/>
      <w:bookmarkEnd w:id="381"/>
      <w:bookmarkStart w:id="382" w:name="_Toc184310319"/>
      <w:bookmarkEnd w:id="382"/>
      <w:bookmarkStart w:id="383" w:name="_Toc184313273"/>
      <w:bookmarkEnd w:id="383"/>
      <w:bookmarkStart w:id="384" w:name="_Toc184314475"/>
      <w:bookmarkEnd w:id="384"/>
      <w:bookmarkStart w:id="385" w:name="_Toc184312073"/>
      <w:bookmarkEnd w:id="385"/>
      <w:bookmarkStart w:id="386" w:name="_Toc184312122"/>
      <w:bookmarkEnd w:id="386"/>
      <w:bookmarkStart w:id="387" w:name="_Toc184308106"/>
      <w:bookmarkEnd w:id="387"/>
      <w:bookmarkStart w:id="388" w:name="_Toc184312119"/>
      <w:bookmarkEnd w:id="388"/>
      <w:bookmarkStart w:id="389" w:name="_Toc184308040"/>
      <w:bookmarkEnd w:id="389"/>
      <w:bookmarkStart w:id="390" w:name="_Toc184313247"/>
      <w:bookmarkEnd w:id="390"/>
      <w:bookmarkStart w:id="391" w:name="_Toc184308082"/>
      <w:bookmarkEnd w:id="391"/>
      <w:bookmarkStart w:id="392" w:name="_Toc184314466"/>
      <w:bookmarkEnd w:id="392"/>
      <w:bookmarkStart w:id="393" w:name="_Toc184314465"/>
      <w:bookmarkEnd w:id="393"/>
      <w:bookmarkStart w:id="394" w:name="_Toc184308061"/>
      <w:bookmarkEnd w:id="394"/>
      <w:bookmarkStart w:id="395" w:name="_Toc184308102"/>
      <w:bookmarkEnd w:id="395"/>
      <w:bookmarkStart w:id="396" w:name="_Toc184312128"/>
      <w:bookmarkEnd w:id="396"/>
      <w:bookmarkStart w:id="397" w:name="_Toc184314464"/>
      <w:bookmarkEnd w:id="397"/>
      <w:bookmarkStart w:id="398" w:name="_Toc184314410"/>
      <w:bookmarkEnd w:id="398"/>
      <w:bookmarkStart w:id="399" w:name="_Toc184314462"/>
      <w:bookmarkEnd w:id="399"/>
      <w:bookmarkStart w:id="400" w:name="_Toc184310303"/>
      <w:bookmarkEnd w:id="400"/>
      <w:bookmarkStart w:id="401" w:name="_Toc184310338"/>
      <w:bookmarkEnd w:id="401"/>
      <w:bookmarkStart w:id="402" w:name="_Toc184313244"/>
      <w:bookmarkEnd w:id="402"/>
      <w:bookmarkStart w:id="403" w:name="_Toc184313266"/>
      <w:bookmarkEnd w:id="403"/>
      <w:bookmarkStart w:id="404" w:name="_Toc184308098"/>
      <w:bookmarkEnd w:id="404"/>
      <w:bookmarkStart w:id="405" w:name="_Toc184308070"/>
      <w:bookmarkEnd w:id="405"/>
      <w:bookmarkStart w:id="406" w:name="_Toc184314416"/>
      <w:bookmarkEnd w:id="406"/>
      <w:bookmarkStart w:id="407" w:name="_Toc184312081"/>
      <w:bookmarkEnd w:id="407"/>
      <w:bookmarkStart w:id="408" w:name="_Toc184308100"/>
      <w:bookmarkEnd w:id="408"/>
      <w:bookmarkStart w:id="409" w:name="_Toc184313243"/>
      <w:bookmarkEnd w:id="409"/>
      <w:bookmarkStart w:id="410" w:name="_Toc184310279"/>
      <w:bookmarkEnd w:id="410"/>
      <w:bookmarkStart w:id="411" w:name="_Toc184310320"/>
      <w:bookmarkEnd w:id="411"/>
      <w:bookmarkStart w:id="412" w:name="_Toc184312116"/>
      <w:bookmarkEnd w:id="412"/>
      <w:bookmarkStart w:id="413" w:name="_Toc184312127"/>
      <w:bookmarkEnd w:id="413"/>
      <w:bookmarkStart w:id="414" w:name="_Toc184314420"/>
      <w:bookmarkEnd w:id="414"/>
      <w:bookmarkStart w:id="415" w:name="_Toc184314417"/>
      <w:bookmarkEnd w:id="415"/>
      <w:bookmarkStart w:id="416" w:name="_Toc184308087"/>
      <w:bookmarkEnd w:id="416"/>
      <w:bookmarkStart w:id="417" w:name="_Toc184314450"/>
      <w:bookmarkEnd w:id="417"/>
      <w:bookmarkStart w:id="418" w:name="_Toc184312079"/>
      <w:bookmarkEnd w:id="418"/>
      <w:bookmarkStart w:id="419" w:name="_Toc184308046"/>
      <w:bookmarkEnd w:id="419"/>
      <w:bookmarkStart w:id="420" w:name="_Toc184310344"/>
      <w:bookmarkEnd w:id="420"/>
      <w:bookmarkStart w:id="421" w:name="_Toc184314435"/>
      <w:bookmarkEnd w:id="421"/>
      <w:bookmarkStart w:id="422" w:name="_Toc184312118"/>
      <w:bookmarkEnd w:id="422"/>
      <w:bookmarkStart w:id="423" w:name="_Toc184313288"/>
      <w:bookmarkEnd w:id="423"/>
      <w:bookmarkStart w:id="424" w:name="_Toc184312111"/>
      <w:bookmarkEnd w:id="424"/>
      <w:bookmarkStart w:id="425" w:name="_Toc184308095"/>
      <w:bookmarkEnd w:id="425"/>
      <w:bookmarkStart w:id="426" w:name="_Toc184308063"/>
      <w:bookmarkEnd w:id="426"/>
      <w:bookmarkStart w:id="427" w:name="_Toc184314463"/>
      <w:bookmarkEnd w:id="427"/>
      <w:bookmarkStart w:id="428" w:name="_Toc184313245"/>
      <w:bookmarkEnd w:id="428"/>
      <w:bookmarkStart w:id="429" w:name="_Toc184312133"/>
      <w:bookmarkEnd w:id="429"/>
      <w:bookmarkStart w:id="430" w:name="_Toc184314478"/>
      <w:bookmarkEnd w:id="430"/>
      <w:bookmarkStart w:id="431" w:name="_Toc184310302"/>
      <w:bookmarkEnd w:id="431"/>
      <w:bookmarkStart w:id="432" w:name="_Toc184308078"/>
      <w:bookmarkEnd w:id="432"/>
      <w:bookmarkStart w:id="433" w:name="_Toc184310305"/>
      <w:bookmarkEnd w:id="433"/>
      <w:bookmarkStart w:id="434" w:name="_Toc184310328"/>
      <w:bookmarkEnd w:id="434"/>
      <w:bookmarkStart w:id="435" w:name="_Toc184310288"/>
      <w:bookmarkEnd w:id="435"/>
      <w:bookmarkStart w:id="436" w:name="_Toc184308079"/>
      <w:bookmarkEnd w:id="436"/>
      <w:bookmarkStart w:id="437" w:name="_Toc184308064"/>
      <w:bookmarkEnd w:id="437"/>
      <w:bookmarkStart w:id="438" w:name="_Toc184310307"/>
      <w:bookmarkEnd w:id="438"/>
      <w:bookmarkStart w:id="439" w:name="_Toc184308072"/>
      <w:bookmarkEnd w:id="439"/>
      <w:bookmarkStart w:id="440" w:name="_Toc184314472"/>
      <w:bookmarkEnd w:id="440"/>
      <w:bookmarkStart w:id="441" w:name="_Toc184313259"/>
      <w:bookmarkEnd w:id="441"/>
      <w:bookmarkStart w:id="442" w:name="_Toc184312099"/>
      <w:bookmarkEnd w:id="442"/>
      <w:bookmarkStart w:id="443" w:name="_Toc184314481"/>
      <w:bookmarkEnd w:id="443"/>
      <w:bookmarkStart w:id="444" w:name="_Toc184314461"/>
      <w:bookmarkEnd w:id="444"/>
      <w:bookmarkStart w:id="445" w:name="_Toc184314429"/>
      <w:bookmarkEnd w:id="445"/>
      <w:bookmarkStart w:id="446" w:name="_Toc184310313"/>
      <w:bookmarkEnd w:id="446"/>
      <w:bookmarkStart w:id="447" w:name="_Toc184314470"/>
      <w:bookmarkEnd w:id="447"/>
      <w:bookmarkStart w:id="448" w:name="_Toc184312137"/>
      <w:bookmarkEnd w:id="448"/>
      <w:bookmarkStart w:id="449" w:name="_Toc184308047"/>
      <w:bookmarkEnd w:id="449"/>
      <w:bookmarkStart w:id="450" w:name="_Toc184312131"/>
      <w:bookmarkEnd w:id="450"/>
      <w:bookmarkStart w:id="451" w:name="_Toc184312121"/>
      <w:bookmarkEnd w:id="451"/>
      <w:bookmarkStart w:id="452" w:name="_Toc184308090"/>
      <w:bookmarkEnd w:id="452"/>
      <w:bookmarkStart w:id="453" w:name="_Toc184313281"/>
      <w:bookmarkEnd w:id="453"/>
      <w:bookmarkStart w:id="454" w:name="_Toc184310329"/>
      <w:bookmarkEnd w:id="454"/>
      <w:bookmarkStart w:id="455" w:name="_Toc184308096"/>
      <w:bookmarkEnd w:id="455"/>
      <w:bookmarkStart w:id="456" w:name="_Toc184314454"/>
      <w:bookmarkEnd w:id="456"/>
      <w:r>
        <w:rPr>
          <w:rFonts w:hint="eastAsia" w:ascii="仿宋" w:hAnsi="仿宋" w:cs="仿宋"/>
          <w:b/>
          <w:color w:val="auto"/>
          <w:sz w:val="36"/>
          <w:szCs w:val="36"/>
          <w:highlight w:val="none"/>
        </w:rPr>
        <w:t>评标办法</w:t>
      </w:r>
      <w:bookmarkEnd w:id="91"/>
    </w:p>
    <w:p w14:paraId="639B79EE">
      <w:pPr>
        <w:spacing w:before="120" w:beforeLines="50" w:after="120" w:afterLines="50" w:line="360" w:lineRule="auto"/>
        <w:jc w:val="center"/>
        <w:outlineLvl w:val="1"/>
        <w:rPr>
          <w:rFonts w:hint="eastAsia" w:ascii="仿宋" w:hAnsi="仿宋" w:cs="仿宋"/>
          <w:b/>
          <w:color w:val="auto"/>
          <w:sz w:val="28"/>
          <w:szCs w:val="28"/>
          <w:highlight w:val="none"/>
        </w:rPr>
      </w:pPr>
      <w:r>
        <w:rPr>
          <w:rFonts w:hint="eastAsia" w:ascii="仿宋" w:hAnsi="仿宋" w:cs="仿宋"/>
          <w:b/>
          <w:color w:val="auto"/>
          <w:sz w:val="28"/>
          <w:szCs w:val="28"/>
          <w:highlight w:val="none"/>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5259"/>
        <w:gridCol w:w="796"/>
        <w:gridCol w:w="1107"/>
        <w:gridCol w:w="1881"/>
      </w:tblGrid>
      <w:tr w14:paraId="6C84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904" w:type="dxa"/>
            <w:vAlign w:val="center"/>
          </w:tcPr>
          <w:p w14:paraId="3CF1365E">
            <w:pPr>
              <w:spacing w:line="240" w:lineRule="auto"/>
              <w:jc w:val="center"/>
              <w:outlineLvl w:val="0"/>
              <w:rPr>
                <w:rFonts w:hint="eastAsia" w:ascii="宋体" w:hAnsi="宋体" w:eastAsia="宋体" w:cs="宋体"/>
                <w:bCs/>
                <w:color w:val="auto"/>
                <w:highlight w:val="none"/>
              </w:rPr>
            </w:pPr>
            <w:bookmarkStart w:id="457" w:name="OLE_LINK36" w:colFirst="0" w:colLast="4"/>
            <w:r>
              <w:rPr>
                <w:rFonts w:hint="eastAsia" w:ascii="宋体" w:hAnsi="宋体" w:eastAsia="宋体" w:cs="宋体"/>
                <w:bCs/>
                <w:color w:val="auto"/>
                <w:highlight w:val="none"/>
              </w:rPr>
              <w:t>序号</w:t>
            </w:r>
          </w:p>
        </w:tc>
        <w:tc>
          <w:tcPr>
            <w:tcW w:w="5259" w:type="dxa"/>
            <w:vAlign w:val="center"/>
          </w:tcPr>
          <w:p w14:paraId="7920BF07">
            <w:pPr>
              <w:spacing w:line="240" w:lineRule="auto"/>
              <w:jc w:val="center"/>
              <w:outlineLvl w:val="0"/>
              <w:rPr>
                <w:rFonts w:hint="eastAsia" w:ascii="宋体" w:hAnsi="宋体" w:eastAsia="宋体" w:cs="宋体"/>
                <w:bCs/>
                <w:color w:val="auto"/>
                <w:highlight w:val="none"/>
              </w:rPr>
            </w:pPr>
            <w:r>
              <w:rPr>
                <w:rFonts w:hint="eastAsia" w:ascii="宋体" w:hAnsi="宋体" w:eastAsia="宋体" w:cs="宋体"/>
                <w:bCs/>
                <w:color w:val="auto"/>
                <w:highlight w:val="none"/>
              </w:rPr>
              <w:t>评标标准</w:t>
            </w:r>
          </w:p>
        </w:tc>
        <w:tc>
          <w:tcPr>
            <w:tcW w:w="796" w:type="dxa"/>
            <w:vAlign w:val="center"/>
          </w:tcPr>
          <w:p w14:paraId="66DACEA2">
            <w:pPr>
              <w:spacing w:line="240" w:lineRule="auto"/>
              <w:jc w:val="center"/>
              <w:outlineLvl w:val="0"/>
              <w:rPr>
                <w:rFonts w:hint="eastAsia" w:ascii="宋体" w:hAnsi="宋体" w:eastAsia="宋体" w:cs="宋体"/>
                <w:bCs/>
                <w:color w:val="auto"/>
                <w:highlight w:val="none"/>
              </w:rPr>
            </w:pPr>
            <w:r>
              <w:rPr>
                <w:rFonts w:hint="eastAsia" w:ascii="宋体" w:hAnsi="宋体" w:eastAsia="宋体" w:cs="宋体"/>
                <w:bCs/>
                <w:color w:val="auto"/>
                <w:highlight w:val="none"/>
              </w:rPr>
              <w:t>权重</w:t>
            </w:r>
          </w:p>
        </w:tc>
        <w:tc>
          <w:tcPr>
            <w:tcW w:w="1107" w:type="dxa"/>
          </w:tcPr>
          <w:p w14:paraId="6B8A6054">
            <w:pPr>
              <w:spacing w:line="240" w:lineRule="auto"/>
              <w:jc w:val="center"/>
              <w:outlineLvl w:val="0"/>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1881" w:type="dxa"/>
          </w:tcPr>
          <w:p w14:paraId="59829192">
            <w:pPr>
              <w:spacing w:line="240" w:lineRule="auto"/>
              <w:jc w:val="center"/>
              <w:outlineLvl w:val="0"/>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w:t>
            </w:r>
          </w:p>
        </w:tc>
      </w:tr>
      <w:bookmarkEnd w:id="457"/>
      <w:tr w14:paraId="0235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1BFF5700">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5259" w:type="dxa"/>
            <w:vAlign w:val="center"/>
          </w:tcPr>
          <w:p w14:paraId="6BB39B7D">
            <w:pPr>
              <w:outlineLvl w:val="0"/>
              <w:rPr>
                <w:rFonts w:hint="eastAsia" w:ascii="宋体" w:hAnsi="宋体" w:eastAsia="宋体" w:cs="宋体"/>
                <w:color w:val="auto"/>
                <w:highlight w:val="none"/>
              </w:rPr>
            </w:pPr>
            <w:r>
              <w:rPr>
                <w:rFonts w:hint="eastAsia" w:ascii="宋体" w:hAnsi="宋体" w:eastAsia="宋体" w:cs="宋体"/>
                <w:color w:val="auto"/>
                <w:szCs w:val="24"/>
                <w:highlight w:val="none"/>
              </w:rPr>
              <w:t>供应商（供应商如采用联合体，由牵头人</w:t>
            </w:r>
            <w:r>
              <w:rPr>
                <w:rFonts w:hint="eastAsia" w:ascii="宋体" w:hAnsi="宋体" w:eastAsia="宋体" w:cs="宋体"/>
                <w:b w:val="0"/>
                <w:color w:val="auto"/>
                <w:szCs w:val="24"/>
                <w:highlight w:val="none"/>
              </w:rPr>
              <w:t>提供</w:t>
            </w:r>
            <w:r>
              <w:rPr>
                <w:rFonts w:hint="eastAsia" w:ascii="宋体" w:hAnsi="宋体" w:eastAsia="宋体" w:cs="宋体"/>
                <w:color w:val="auto"/>
                <w:szCs w:val="24"/>
                <w:highlight w:val="none"/>
              </w:rPr>
              <w:t>）自2020年1月1日来承担过类似</w:t>
            </w:r>
            <w:r>
              <w:rPr>
                <w:rFonts w:hint="eastAsia" w:ascii="宋体" w:hAnsi="宋体" w:eastAsia="宋体" w:cs="宋体"/>
                <w:b w:val="0"/>
                <w:color w:val="auto"/>
                <w:szCs w:val="24"/>
                <w:highlight w:val="none"/>
              </w:rPr>
              <w:t>（Ⅰ等海塘工程）</w:t>
            </w:r>
            <w:r>
              <w:rPr>
                <w:rFonts w:hint="eastAsia" w:ascii="宋体" w:hAnsi="宋体" w:eastAsia="宋体" w:cs="宋体"/>
                <w:color w:val="auto"/>
                <w:szCs w:val="24"/>
                <w:highlight w:val="none"/>
              </w:rPr>
              <w:t>项目建议书或可行性研究或初步设计相关业绩的，每个业绩得0.5分，最高得0.5分。</w:t>
            </w:r>
          </w:p>
          <w:p w14:paraId="7C561112">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注：①提供中标通知书及合同扫描件加盖公章和合同业绩支付发票扫描件。②</w:t>
            </w:r>
            <w:r>
              <w:rPr>
                <w:rFonts w:hint="eastAsia" w:ascii="宋体" w:hAnsi="宋体" w:eastAsia="宋体" w:cs="宋体"/>
                <w:color w:val="auto"/>
                <w:szCs w:val="24"/>
                <w:highlight w:val="none"/>
                <w:lang w:val="en-US" w:eastAsia="zh-CN"/>
              </w:rPr>
              <w:t>项目建议书受理通知书或</w:t>
            </w:r>
            <w:r>
              <w:rPr>
                <w:rFonts w:hint="eastAsia" w:ascii="宋体" w:hAnsi="宋体" w:eastAsia="宋体" w:cs="宋体"/>
                <w:color w:val="auto"/>
                <w:szCs w:val="24"/>
                <w:highlight w:val="none"/>
              </w:rPr>
              <w:t>可行性研究批复或初步设计批复，证明材料中须体现建筑物等级</w:t>
            </w:r>
            <w:r>
              <w:rPr>
                <w:rFonts w:hint="eastAsia" w:ascii="宋体" w:hAnsi="宋体" w:eastAsia="宋体" w:cs="宋体"/>
                <w:color w:val="auto"/>
                <w:highlight w:val="none"/>
              </w:rPr>
              <w:t>。</w:t>
            </w:r>
            <w:r>
              <w:rPr>
                <w:rFonts w:hint="eastAsia" w:ascii="宋体" w:hAnsi="宋体" w:eastAsia="宋体" w:cs="宋体"/>
                <w:color w:val="auto"/>
                <w:szCs w:val="24"/>
                <w:highlight w:val="none"/>
              </w:rPr>
              <w:t>③业绩时间以合同签订时间为准。</w:t>
            </w:r>
          </w:p>
        </w:tc>
        <w:tc>
          <w:tcPr>
            <w:tcW w:w="796" w:type="dxa"/>
            <w:vAlign w:val="center"/>
          </w:tcPr>
          <w:p w14:paraId="1C938FA5">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0.5</w:t>
            </w:r>
          </w:p>
        </w:tc>
        <w:tc>
          <w:tcPr>
            <w:tcW w:w="1107" w:type="dxa"/>
            <w:vAlign w:val="center"/>
          </w:tcPr>
          <w:p w14:paraId="4197AB83">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客观分</w:t>
            </w:r>
          </w:p>
        </w:tc>
        <w:tc>
          <w:tcPr>
            <w:tcW w:w="1881" w:type="dxa"/>
            <w:vAlign w:val="center"/>
          </w:tcPr>
          <w:p w14:paraId="22ACA1D6">
            <w:pPr>
              <w:spacing w:line="240" w:lineRule="auto"/>
              <w:jc w:val="left"/>
              <w:outlineLvl w:val="0"/>
              <w:rPr>
                <w:rFonts w:hint="eastAsia" w:ascii="宋体" w:hAnsi="宋体" w:eastAsia="宋体" w:cs="宋体"/>
                <w:color w:val="auto"/>
                <w:highlight w:val="none"/>
              </w:rPr>
            </w:pPr>
          </w:p>
        </w:tc>
      </w:tr>
      <w:tr w14:paraId="2C96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52DE52DD">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w:t>
            </w:r>
          </w:p>
        </w:tc>
        <w:tc>
          <w:tcPr>
            <w:tcW w:w="5259" w:type="dxa"/>
            <w:vAlign w:val="center"/>
          </w:tcPr>
          <w:p w14:paraId="17B55257">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投标人具有有效的质量管理体系认证证书、环境管理体系认证证书、职业健康安全管理体系认证证书，每有一得0.5分，最高得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.5分。</w:t>
            </w:r>
          </w:p>
          <w:p w14:paraId="64EDD155">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证明材料:须提供证书扫描件加盖公章。（提供有效期内证书并加盖公章）</w:t>
            </w:r>
          </w:p>
        </w:tc>
        <w:tc>
          <w:tcPr>
            <w:tcW w:w="796" w:type="dxa"/>
            <w:vAlign w:val="center"/>
          </w:tcPr>
          <w:p w14:paraId="7B38A8A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.5</w:t>
            </w:r>
          </w:p>
        </w:tc>
        <w:tc>
          <w:tcPr>
            <w:tcW w:w="1107" w:type="dxa"/>
            <w:vAlign w:val="center"/>
          </w:tcPr>
          <w:p w14:paraId="712A071B">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客观分</w:t>
            </w:r>
          </w:p>
        </w:tc>
        <w:tc>
          <w:tcPr>
            <w:tcW w:w="1881" w:type="dxa"/>
            <w:vAlign w:val="center"/>
          </w:tcPr>
          <w:p w14:paraId="32DBB3E4">
            <w:pPr>
              <w:spacing w:line="240" w:lineRule="auto"/>
              <w:jc w:val="left"/>
              <w:outlineLvl w:val="0"/>
              <w:rPr>
                <w:rFonts w:hint="eastAsia" w:ascii="仿宋" w:hAnsi="仿宋" w:cs="仿宋"/>
                <w:color w:val="auto"/>
                <w:highlight w:val="none"/>
              </w:rPr>
            </w:pPr>
          </w:p>
        </w:tc>
      </w:tr>
      <w:tr w14:paraId="3CBF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404C94D0">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w:t>
            </w:r>
          </w:p>
        </w:tc>
        <w:tc>
          <w:tcPr>
            <w:tcW w:w="5259" w:type="dxa"/>
            <w:vAlign w:val="center"/>
          </w:tcPr>
          <w:p w14:paraId="0AB5BF75">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项目负责人具备教授级高工得1分，高工得0.5分。</w:t>
            </w:r>
          </w:p>
          <w:p w14:paraId="38157CC6">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具备注册土木工程师（水利水电工程—水工结构）、注册土木工程师（水利水电工程—规划）、注册土木工程师（岩土）、注册咨询工程师（投资）资格证书的，每有一个得0.5分，最高得2分。（证明材料：项目负责人证书须提供证书复印件加盖公章，须提供项目负责人在投标前连续3个月在本单位的社保缴纳证明复印件。）</w:t>
            </w:r>
          </w:p>
        </w:tc>
        <w:tc>
          <w:tcPr>
            <w:tcW w:w="796" w:type="dxa"/>
            <w:vAlign w:val="center"/>
          </w:tcPr>
          <w:p w14:paraId="569BB6E0">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107" w:type="dxa"/>
            <w:vAlign w:val="center"/>
          </w:tcPr>
          <w:p w14:paraId="604AFE44">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客观分</w:t>
            </w:r>
          </w:p>
        </w:tc>
        <w:tc>
          <w:tcPr>
            <w:tcW w:w="1881" w:type="dxa"/>
            <w:vAlign w:val="center"/>
          </w:tcPr>
          <w:p w14:paraId="7A3C4B7A">
            <w:pPr>
              <w:spacing w:line="240" w:lineRule="auto"/>
              <w:jc w:val="left"/>
              <w:outlineLvl w:val="0"/>
              <w:rPr>
                <w:rFonts w:hint="eastAsia" w:ascii="仿宋" w:hAnsi="仿宋" w:cs="仿宋"/>
                <w:color w:val="auto"/>
                <w:highlight w:val="none"/>
              </w:rPr>
            </w:pPr>
          </w:p>
        </w:tc>
      </w:tr>
      <w:tr w14:paraId="2CB5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5AC90BC1">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5259" w:type="dxa"/>
            <w:vAlign w:val="center"/>
          </w:tcPr>
          <w:p w14:paraId="17716E3F">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项目负责人自2020年1月1日来承担过类似（Ⅰ等海塘工程）项目建议书或可行性研究或初步设计相关业绩的，每个业绩得0.5分，最高得0.5分。</w:t>
            </w:r>
          </w:p>
          <w:p w14:paraId="4BACFB0E">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注：①提供中标通知书及合同扫描件加盖公章和合同业绩支付发票扫描件。②</w:t>
            </w:r>
            <w:r>
              <w:rPr>
                <w:rFonts w:hint="eastAsia" w:ascii="宋体" w:hAnsi="宋体" w:eastAsia="宋体" w:cs="宋体"/>
                <w:color w:val="auto"/>
                <w:szCs w:val="24"/>
                <w:highlight w:val="none"/>
                <w:lang w:val="en-US" w:eastAsia="zh-CN"/>
              </w:rPr>
              <w:t>项目建议书受理通知书或</w:t>
            </w:r>
            <w:r>
              <w:rPr>
                <w:rFonts w:hint="eastAsia" w:ascii="宋体" w:hAnsi="宋体" w:eastAsia="宋体" w:cs="宋体"/>
                <w:color w:val="auto"/>
                <w:szCs w:val="24"/>
                <w:highlight w:val="none"/>
              </w:rPr>
              <w:t>可行性研究批复或初步设计批复，证明材料中须体现建筑物等级。③业绩时间以合同签订时间为准。</w:t>
            </w:r>
          </w:p>
        </w:tc>
        <w:tc>
          <w:tcPr>
            <w:tcW w:w="796" w:type="dxa"/>
            <w:vAlign w:val="center"/>
          </w:tcPr>
          <w:p w14:paraId="64EEB49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0.5</w:t>
            </w:r>
          </w:p>
        </w:tc>
        <w:tc>
          <w:tcPr>
            <w:tcW w:w="1107" w:type="dxa"/>
            <w:vAlign w:val="center"/>
          </w:tcPr>
          <w:p w14:paraId="13C1F845">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客观分</w:t>
            </w:r>
          </w:p>
        </w:tc>
        <w:tc>
          <w:tcPr>
            <w:tcW w:w="1881" w:type="dxa"/>
            <w:vAlign w:val="center"/>
          </w:tcPr>
          <w:p w14:paraId="50B21C5E">
            <w:pPr>
              <w:spacing w:line="240" w:lineRule="auto"/>
              <w:jc w:val="left"/>
              <w:outlineLvl w:val="0"/>
              <w:rPr>
                <w:rFonts w:hint="eastAsia" w:ascii="仿宋" w:hAnsi="仿宋" w:cs="仿宋"/>
                <w:color w:val="auto"/>
                <w:highlight w:val="none"/>
              </w:rPr>
            </w:pPr>
          </w:p>
        </w:tc>
      </w:tr>
      <w:tr w14:paraId="09F3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6171EC92">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5259" w:type="dxa"/>
            <w:vAlign w:val="center"/>
          </w:tcPr>
          <w:p w14:paraId="3525D678">
            <w:pPr>
              <w:pStyle w:val="59"/>
              <w:spacing w:before="0" w:beforeAutospacing="0" w:after="0" w:afterAutospacing="0"/>
              <w:ind w:firstLine="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r>
              <w:rPr>
                <w:rFonts w:hint="eastAsia" w:ascii="宋体" w:hAnsi="宋体" w:eastAsia="宋体" w:cs="宋体"/>
                <w:color w:val="auto"/>
                <w:kern w:val="2"/>
                <w:sz w:val="24"/>
                <w:szCs w:val="24"/>
                <w:highlight w:val="none"/>
              </w:rPr>
              <w:t>项目组成员（除项目负责人以外）配齐地质、水文、规划、水工、水保、造价等专业人员，且均具备</w:t>
            </w:r>
            <w:r>
              <w:rPr>
                <w:rFonts w:hint="eastAsia" w:ascii="宋体" w:hAnsi="宋体" w:eastAsia="宋体" w:cs="宋体"/>
                <w:color w:val="auto"/>
                <w:kern w:val="2"/>
                <w:szCs w:val="24"/>
                <w:highlight w:val="none"/>
              </w:rPr>
              <w:t>水利行业</w:t>
            </w:r>
            <w:r>
              <w:rPr>
                <w:rFonts w:hint="eastAsia" w:ascii="宋体" w:hAnsi="宋体" w:eastAsia="宋体" w:cs="宋体"/>
                <w:color w:val="auto"/>
                <w:kern w:val="2"/>
                <w:sz w:val="24"/>
                <w:szCs w:val="24"/>
                <w:highlight w:val="none"/>
              </w:rPr>
              <w:t>高级工程师及以上职称的，每个人得0.5分，最高得3分。【注：同一人具有多个专业的，只计一个专业】。</w:t>
            </w:r>
          </w:p>
          <w:p w14:paraId="3C5143A8">
            <w:pPr>
              <w:pStyle w:val="59"/>
              <w:spacing w:before="0" w:beforeAutospacing="0" w:after="0" w:afterAutospacing="0"/>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Cs w:val="24"/>
                <w:highlight w:val="none"/>
              </w:rPr>
              <w:t>2、以上项目组成员中具有</w:t>
            </w:r>
            <w:r>
              <w:rPr>
                <w:rFonts w:hint="eastAsia" w:ascii="宋体" w:hAnsi="宋体" w:eastAsia="宋体" w:cs="宋体"/>
                <w:color w:val="auto"/>
                <w:kern w:val="2"/>
                <w:sz w:val="24"/>
                <w:szCs w:val="24"/>
                <w:highlight w:val="none"/>
              </w:rPr>
              <w:t>地质专业具有注册土木工程师（岩土）证书得0.5分；</w:t>
            </w:r>
          </w:p>
          <w:p w14:paraId="4C5B7ABA">
            <w:pPr>
              <w:pStyle w:val="59"/>
              <w:spacing w:before="0" w:beforeAutospacing="0" w:after="0" w:afterAutospacing="0"/>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规划专业具有注册土木工程师（水利水电工程-规划）证书得0.5分；</w:t>
            </w:r>
          </w:p>
          <w:p w14:paraId="4BAE54B1">
            <w:pPr>
              <w:pStyle w:val="59"/>
              <w:spacing w:before="0" w:beforeAutospacing="0" w:after="0" w:afterAutospacing="0"/>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水工专业具有注册土木工程师（水利水电工程-水工结构）证书得0.5分； </w:t>
            </w:r>
          </w:p>
          <w:p w14:paraId="5DFD4167">
            <w:pPr>
              <w:pStyle w:val="59"/>
              <w:spacing w:before="0" w:beforeAutospacing="0" w:after="0" w:afterAutospacing="0"/>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水保专业具有注册土木工程师（水利水电工程-水土保持）证书得0.5分；</w:t>
            </w:r>
          </w:p>
          <w:p w14:paraId="5642E980">
            <w:pPr>
              <w:pStyle w:val="59"/>
              <w:spacing w:before="0" w:beforeAutospacing="0" w:after="0" w:afterAutospacing="0"/>
              <w:ind w:firstLine="0"/>
              <w:rPr>
                <w:rFonts w:hint="eastAsia" w:ascii="宋体" w:hAnsi="宋体" w:eastAsia="宋体" w:cs="宋体"/>
                <w:color w:val="auto"/>
                <w:kern w:val="2"/>
                <w:szCs w:val="24"/>
                <w:highlight w:val="none"/>
              </w:rPr>
            </w:pPr>
            <w:r>
              <w:rPr>
                <w:rFonts w:hint="eastAsia" w:ascii="宋体" w:hAnsi="宋体" w:eastAsia="宋体" w:cs="宋体"/>
                <w:color w:val="auto"/>
                <w:kern w:val="2"/>
                <w:sz w:val="24"/>
                <w:szCs w:val="24"/>
                <w:highlight w:val="none"/>
              </w:rPr>
              <w:t>造价专业须具有注册一级造价工程师或全国水利造价工程师执业证书得0.5分；</w:t>
            </w:r>
          </w:p>
          <w:p w14:paraId="6349AECD">
            <w:pPr>
              <w:pStyle w:val="59"/>
              <w:spacing w:before="0" w:beforeAutospacing="0" w:after="0" w:afterAutospacing="0"/>
              <w:ind w:firstLine="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本项最高得2.5分。</w:t>
            </w:r>
          </w:p>
          <w:p w14:paraId="59680BEB">
            <w:pPr>
              <w:pStyle w:val="59"/>
              <w:spacing w:before="0" w:beforeAutospacing="0" w:after="0" w:afterAutospacing="0"/>
              <w:ind w:firstLine="0"/>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证明材料：注册证书。须提供项目组成员在投标前连续3个月在本单位的社保缴纳证明复印件。</w:t>
            </w:r>
          </w:p>
        </w:tc>
        <w:tc>
          <w:tcPr>
            <w:tcW w:w="796" w:type="dxa"/>
            <w:vAlign w:val="center"/>
          </w:tcPr>
          <w:p w14:paraId="08B01EF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5.5</w:t>
            </w:r>
          </w:p>
        </w:tc>
        <w:tc>
          <w:tcPr>
            <w:tcW w:w="1107" w:type="dxa"/>
            <w:vAlign w:val="center"/>
          </w:tcPr>
          <w:p w14:paraId="06034192">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客观分</w:t>
            </w:r>
          </w:p>
        </w:tc>
        <w:tc>
          <w:tcPr>
            <w:tcW w:w="1881" w:type="dxa"/>
            <w:vAlign w:val="center"/>
          </w:tcPr>
          <w:p w14:paraId="72F2A155">
            <w:pPr>
              <w:spacing w:line="240" w:lineRule="auto"/>
              <w:jc w:val="left"/>
              <w:outlineLvl w:val="0"/>
              <w:rPr>
                <w:rFonts w:hint="eastAsia" w:ascii="仿宋" w:hAnsi="仿宋" w:cs="仿宋"/>
                <w:color w:val="auto"/>
                <w:highlight w:val="none"/>
              </w:rPr>
            </w:pPr>
          </w:p>
        </w:tc>
      </w:tr>
      <w:tr w14:paraId="0DCC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7B303B28">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6</w:t>
            </w:r>
          </w:p>
        </w:tc>
        <w:tc>
          <w:tcPr>
            <w:tcW w:w="5259" w:type="dxa"/>
            <w:vAlign w:val="center"/>
          </w:tcPr>
          <w:p w14:paraId="3D320423">
            <w:pP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技术方案</w:t>
            </w:r>
          </w:p>
        </w:tc>
        <w:tc>
          <w:tcPr>
            <w:tcW w:w="796" w:type="dxa"/>
            <w:vAlign w:val="center"/>
          </w:tcPr>
          <w:p w14:paraId="72A18FE0">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7</w:t>
            </w:r>
            <w:r>
              <w:rPr>
                <w:rFonts w:hint="eastAsia" w:ascii="宋体" w:hAnsi="宋体" w:eastAsia="宋体" w:cs="宋体"/>
                <w:color w:val="auto"/>
                <w:szCs w:val="24"/>
                <w:highlight w:val="none"/>
                <w:lang w:val="en-US" w:eastAsia="zh-CN"/>
              </w:rPr>
              <w:t>9</w:t>
            </w:r>
          </w:p>
        </w:tc>
        <w:tc>
          <w:tcPr>
            <w:tcW w:w="1107" w:type="dxa"/>
            <w:vAlign w:val="center"/>
          </w:tcPr>
          <w:p w14:paraId="628F6FAC">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vAlign w:val="center"/>
          </w:tcPr>
          <w:p w14:paraId="2786AE11">
            <w:pPr>
              <w:spacing w:line="240" w:lineRule="auto"/>
              <w:jc w:val="left"/>
              <w:outlineLvl w:val="0"/>
              <w:rPr>
                <w:rFonts w:hint="eastAsia" w:ascii="仿宋" w:hAnsi="仿宋" w:cs="仿宋"/>
                <w:color w:val="auto"/>
                <w:highlight w:val="none"/>
              </w:rPr>
            </w:pPr>
          </w:p>
        </w:tc>
      </w:tr>
      <w:tr w14:paraId="5888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1632385F">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.1</w:t>
            </w:r>
          </w:p>
        </w:tc>
        <w:tc>
          <w:tcPr>
            <w:tcW w:w="5259" w:type="dxa"/>
            <w:vAlign w:val="center"/>
          </w:tcPr>
          <w:p w14:paraId="5C2003A1">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对项目建设必要性的认识。</w:t>
            </w:r>
          </w:p>
          <w:p w14:paraId="29DB024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①描述全面、清晰的，9-6分；</w:t>
            </w:r>
          </w:p>
          <w:p w14:paraId="47BC5DA6">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②描述基本全面清晰的，6-3分；</w:t>
            </w:r>
          </w:p>
          <w:p w14:paraId="5BDC9B6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③描述简单或存在缺漏的，3-0分。</w:t>
            </w:r>
          </w:p>
        </w:tc>
        <w:tc>
          <w:tcPr>
            <w:tcW w:w="796" w:type="dxa"/>
            <w:vAlign w:val="center"/>
          </w:tcPr>
          <w:p w14:paraId="4421120E">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1107" w:type="dxa"/>
            <w:vAlign w:val="center"/>
          </w:tcPr>
          <w:p w14:paraId="17452D39">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61BFDAF2">
            <w:pPr>
              <w:spacing w:line="240" w:lineRule="auto"/>
              <w:jc w:val="left"/>
              <w:outlineLvl w:val="0"/>
              <w:rPr>
                <w:rFonts w:hint="eastAsia" w:ascii="仿宋" w:hAnsi="仿宋" w:cs="仿宋"/>
                <w:color w:val="auto"/>
                <w:highlight w:val="none"/>
              </w:rPr>
            </w:pPr>
          </w:p>
        </w:tc>
      </w:tr>
      <w:tr w14:paraId="0040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4" w:type="dxa"/>
            <w:vAlign w:val="center"/>
          </w:tcPr>
          <w:p w14:paraId="576FBECF">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.2</w:t>
            </w:r>
          </w:p>
        </w:tc>
        <w:tc>
          <w:tcPr>
            <w:tcW w:w="5259" w:type="dxa"/>
            <w:vAlign w:val="center"/>
          </w:tcPr>
          <w:p w14:paraId="4BE5A5BB">
            <w:pPr>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 w:val="24"/>
                <w:highlight w:val="none"/>
              </w:rPr>
              <w:t>对项目建设条件认识</w:t>
            </w:r>
            <w:r>
              <w:rPr>
                <w:rFonts w:hint="eastAsia" w:ascii="宋体" w:hAnsi="宋体" w:eastAsia="宋体" w:cs="宋体"/>
                <w:b/>
                <w:bCs/>
                <w:color w:val="auto"/>
                <w:highlight w:val="none"/>
              </w:rPr>
              <w:t>。</w:t>
            </w:r>
          </w:p>
          <w:p w14:paraId="6B2E9CD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①描述全面、清晰的，</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分；</w:t>
            </w:r>
          </w:p>
          <w:p w14:paraId="38E2FA8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②描述基本全面清晰的，</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-3分；</w:t>
            </w:r>
          </w:p>
          <w:p w14:paraId="03F34C1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③描述简单或存在缺漏的，3-0分。</w:t>
            </w:r>
          </w:p>
        </w:tc>
        <w:tc>
          <w:tcPr>
            <w:tcW w:w="796" w:type="dxa"/>
            <w:vAlign w:val="center"/>
          </w:tcPr>
          <w:p w14:paraId="6D3D4EC4">
            <w:pPr>
              <w:spacing w:line="240" w:lineRule="auto"/>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1107" w:type="dxa"/>
            <w:vAlign w:val="center"/>
          </w:tcPr>
          <w:p w14:paraId="51BE1772">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2AD10D71">
            <w:pPr>
              <w:spacing w:line="240" w:lineRule="auto"/>
              <w:jc w:val="left"/>
              <w:outlineLvl w:val="0"/>
              <w:rPr>
                <w:rFonts w:hint="eastAsia" w:ascii="仿宋" w:hAnsi="仿宋" w:cs="仿宋"/>
                <w:color w:val="auto"/>
                <w:highlight w:val="none"/>
              </w:rPr>
            </w:pPr>
          </w:p>
        </w:tc>
      </w:tr>
      <w:tr w14:paraId="2C9B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4" w:type="dxa"/>
            <w:vAlign w:val="center"/>
          </w:tcPr>
          <w:p w14:paraId="508A0FDA">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.3</w:t>
            </w:r>
          </w:p>
        </w:tc>
        <w:tc>
          <w:tcPr>
            <w:tcW w:w="5259" w:type="dxa"/>
            <w:vAlign w:val="center"/>
          </w:tcPr>
          <w:p w14:paraId="75AB13FC">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工程任务和规模的分析。</w:t>
            </w:r>
          </w:p>
          <w:p w14:paraId="525C508D">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①描述全面、合理可行，具有针对性的9-6分；</w:t>
            </w:r>
          </w:p>
          <w:p w14:paraId="15D71F0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②描述基本全面合理，针对性一般的6-3分；</w:t>
            </w:r>
          </w:p>
          <w:p w14:paraId="1AAB8E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③描述简单或存在缺漏的，3-0分。</w:t>
            </w:r>
          </w:p>
        </w:tc>
        <w:tc>
          <w:tcPr>
            <w:tcW w:w="796" w:type="dxa"/>
            <w:vAlign w:val="center"/>
          </w:tcPr>
          <w:p w14:paraId="5D3AF1AB">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1107" w:type="dxa"/>
            <w:vAlign w:val="center"/>
          </w:tcPr>
          <w:p w14:paraId="31AD83D0">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2F610B45">
            <w:pPr>
              <w:spacing w:line="240" w:lineRule="auto"/>
              <w:jc w:val="left"/>
              <w:outlineLvl w:val="0"/>
              <w:rPr>
                <w:rFonts w:hint="eastAsia" w:ascii="仿宋" w:hAnsi="仿宋" w:cs="仿宋"/>
                <w:color w:val="auto"/>
                <w:highlight w:val="none"/>
              </w:rPr>
            </w:pPr>
          </w:p>
        </w:tc>
      </w:tr>
      <w:tr w14:paraId="761B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4" w:type="dxa"/>
            <w:vAlign w:val="center"/>
          </w:tcPr>
          <w:p w14:paraId="0CAE6C76">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.4</w:t>
            </w:r>
          </w:p>
        </w:tc>
        <w:tc>
          <w:tcPr>
            <w:tcW w:w="5259" w:type="dxa"/>
            <w:vAlign w:val="center"/>
          </w:tcPr>
          <w:p w14:paraId="2D1AD007">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建设征地调查</w:t>
            </w:r>
            <w:r>
              <w:rPr>
                <w:rFonts w:hint="eastAsia" w:ascii="宋体" w:hAnsi="宋体" w:eastAsia="宋体" w:cs="宋体"/>
                <w:b/>
                <w:bCs/>
                <w:color w:val="auto"/>
                <w:highlight w:val="none"/>
              </w:rPr>
              <w:t>。</w:t>
            </w:r>
          </w:p>
          <w:p w14:paraId="26264C6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①详细具有针对性，符合项目实际情况8-5.5分；</w:t>
            </w:r>
          </w:p>
          <w:p w14:paraId="6686FA2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②基本详细具有针对性，基本符合项目实际情况5.5-2分；</w:t>
            </w:r>
          </w:p>
          <w:p w14:paraId="730D96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③不合理，存在缺陷的2-0分。</w:t>
            </w:r>
          </w:p>
        </w:tc>
        <w:tc>
          <w:tcPr>
            <w:tcW w:w="796" w:type="dxa"/>
            <w:vAlign w:val="center"/>
          </w:tcPr>
          <w:p w14:paraId="23DE4BF1">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1107" w:type="dxa"/>
            <w:vAlign w:val="center"/>
          </w:tcPr>
          <w:p w14:paraId="48D2E7B3">
            <w:pPr>
              <w:spacing w:line="240" w:lineRule="auto"/>
              <w:jc w:val="center"/>
              <w:rPr>
                <w:rFonts w:hint="eastAsia" w:ascii="宋体" w:hAnsi="宋体" w:eastAsia="宋体" w:cs="宋体"/>
                <w:color w:val="auto"/>
                <w:szCs w:val="24"/>
                <w:highlight w:val="none"/>
              </w:rPr>
            </w:pPr>
          </w:p>
        </w:tc>
        <w:tc>
          <w:tcPr>
            <w:tcW w:w="1881" w:type="dxa"/>
          </w:tcPr>
          <w:p w14:paraId="133195F5">
            <w:pPr>
              <w:spacing w:line="240" w:lineRule="auto"/>
              <w:jc w:val="left"/>
              <w:outlineLvl w:val="0"/>
              <w:rPr>
                <w:rFonts w:hint="eastAsia" w:ascii="仿宋" w:hAnsi="仿宋" w:cs="仿宋"/>
                <w:color w:val="auto"/>
                <w:highlight w:val="none"/>
              </w:rPr>
            </w:pPr>
          </w:p>
        </w:tc>
      </w:tr>
      <w:tr w14:paraId="5529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4" w:type="dxa"/>
            <w:vAlign w:val="center"/>
          </w:tcPr>
          <w:p w14:paraId="606B4FBD">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.5</w:t>
            </w:r>
          </w:p>
        </w:tc>
        <w:tc>
          <w:tcPr>
            <w:tcW w:w="5259" w:type="dxa"/>
            <w:vAlign w:val="center"/>
          </w:tcPr>
          <w:p w14:paraId="715AAF3B">
            <w:pPr>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项目进度计划安排与保证措施</w:t>
            </w:r>
            <w:r>
              <w:rPr>
                <w:rFonts w:hint="eastAsia" w:ascii="宋体" w:hAnsi="宋体" w:eastAsia="宋体" w:cs="宋体"/>
                <w:b/>
                <w:bCs/>
                <w:color w:val="auto"/>
                <w:highlight w:val="none"/>
              </w:rPr>
              <w:t>。</w:t>
            </w:r>
          </w:p>
          <w:p w14:paraId="18ACEF2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①有制定相应的进度与保障措施，进度安排详细，各工作节点安排合理，能够确保服务进度与项目质量的，得9-6分；</w:t>
            </w:r>
          </w:p>
          <w:p w14:paraId="72CED64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②进度与保障措施较为简单，但基本符合项目需求的6-3分；</w:t>
            </w:r>
          </w:p>
          <w:p w14:paraId="4C432A23">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③未提供方案或方案欠缺合理性的3-0分。</w:t>
            </w:r>
          </w:p>
        </w:tc>
        <w:tc>
          <w:tcPr>
            <w:tcW w:w="796" w:type="dxa"/>
            <w:vAlign w:val="center"/>
          </w:tcPr>
          <w:p w14:paraId="2A3A2574">
            <w:pPr>
              <w:jc w:val="cente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1107" w:type="dxa"/>
            <w:vAlign w:val="center"/>
          </w:tcPr>
          <w:p w14:paraId="02E6CC74">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312EC45C">
            <w:pPr>
              <w:spacing w:line="240" w:lineRule="auto"/>
              <w:jc w:val="left"/>
              <w:outlineLvl w:val="0"/>
              <w:rPr>
                <w:rFonts w:hint="eastAsia" w:ascii="仿宋" w:hAnsi="仿宋" w:cs="仿宋"/>
                <w:color w:val="auto"/>
                <w:highlight w:val="none"/>
              </w:rPr>
            </w:pPr>
          </w:p>
        </w:tc>
      </w:tr>
      <w:tr w14:paraId="6AE3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4" w:type="dxa"/>
            <w:vAlign w:val="center"/>
          </w:tcPr>
          <w:p w14:paraId="069AFC59">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.6</w:t>
            </w:r>
          </w:p>
        </w:tc>
        <w:tc>
          <w:tcPr>
            <w:tcW w:w="5259" w:type="dxa"/>
            <w:vAlign w:val="center"/>
          </w:tcPr>
          <w:p w14:paraId="4468C2AB">
            <w:pPr>
              <w:spacing w:line="360" w:lineRule="auto"/>
              <w:outlineLvl w:val="0"/>
              <w:rPr>
                <w:rFonts w:hint="eastAsia" w:ascii="宋体" w:hAnsi="宋体" w:eastAsia="宋体" w:cs="宋体"/>
                <w:color w:val="auto"/>
                <w:szCs w:val="24"/>
                <w:highlight w:val="none"/>
              </w:rPr>
            </w:pPr>
            <w:r>
              <w:rPr>
                <w:rFonts w:hint="eastAsia" w:ascii="宋体" w:hAnsi="宋体" w:eastAsia="宋体" w:cs="宋体"/>
                <w:b/>
                <w:color w:val="auto"/>
                <w:kern w:val="28"/>
                <w:highlight w:val="none"/>
              </w:rPr>
              <w:t>本工程重点难点的分析及对策</w:t>
            </w:r>
          </w:p>
        </w:tc>
        <w:tc>
          <w:tcPr>
            <w:tcW w:w="796" w:type="dxa"/>
            <w:vAlign w:val="center"/>
          </w:tcPr>
          <w:p w14:paraId="36B64EAB">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1107" w:type="dxa"/>
            <w:vAlign w:val="center"/>
          </w:tcPr>
          <w:p w14:paraId="163F477D">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77279806">
            <w:pPr>
              <w:spacing w:line="240" w:lineRule="auto"/>
              <w:jc w:val="left"/>
              <w:outlineLvl w:val="0"/>
              <w:rPr>
                <w:rFonts w:hint="eastAsia" w:ascii="仿宋" w:hAnsi="仿宋" w:cs="仿宋"/>
                <w:color w:val="auto"/>
                <w:highlight w:val="none"/>
              </w:rPr>
            </w:pPr>
          </w:p>
        </w:tc>
      </w:tr>
      <w:tr w14:paraId="1C42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4" w:type="dxa"/>
            <w:vAlign w:val="center"/>
          </w:tcPr>
          <w:p w14:paraId="7FCEBC76">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.6.1</w:t>
            </w:r>
          </w:p>
        </w:tc>
        <w:tc>
          <w:tcPr>
            <w:tcW w:w="5259" w:type="dxa"/>
            <w:vAlign w:val="center"/>
          </w:tcPr>
          <w:p w14:paraId="041E543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针对本项目实施过程中将会遇到的问题，包括工作要点、关键点、难点的分析：</w:t>
            </w:r>
          </w:p>
          <w:p w14:paraId="0841360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①对本项目重点难点分析透彻，对服务过程中各节点可能出现的风险有事先预估评判的得9-6分；</w:t>
            </w:r>
          </w:p>
          <w:p w14:paraId="7DEC1D9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②分析片面，缺乏针对性的得6-3分；</w:t>
            </w:r>
          </w:p>
          <w:p w14:paraId="519A8938">
            <w:pPr>
              <w:spacing w:line="360" w:lineRule="auto"/>
              <w:jc w:val="left"/>
              <w:rPr>
                <w:rFonts w:hint="eastAsia" w:ascii="宋体" w:hAnsi="宋体" w:eastAsia="宋体" w:cs="宋体"/>
                <w:bCs w:val="0"/>
                <w:color w:val="auto"/>
                <w:szCs w:val="24"/>
                <w:highlight w:val="none"/>
              </w:rPr>
            </w:pPr>
            <w:r>
              <w:rPr>
                <w:rFonts w:hint="eastAsia" w:ascii="宋体" w:hAnsi="宋体" w:eastAsia="宋体" w:cs="宋体"/>
                <w:color w:val="auto"/>
                <w:highlight w:val="none"/>
              </w:rPr>
              <w:t>③未提供相关分析或提出的重点难点与项目无关的3-0分。</w:t>
            </w:r>
          </w:p>
        </w:tc>
        <w:tc>
          <w:tcPr>
            <w:tcW w:w="796" w:type="dxa"/>
            <w:vAlign w:val="center"/>
          </w:tcPr>
          <w:p w14:paraId="47D8DC89">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1107" w:type="dxa"/>
            <w:vAlign w:val="center"/>
          </w:tcPr>
          <w:p w14:paraId="0CCA2786">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17BEBF06">
            <w:pPr>
              <w:spacing w:line="240" w:lineRule="auto"/>
              <w:jc w:val="left"/>
              <w:outlineLvl w:val="0"/>
              <w:rPr>
                <w:rFonts w:hint="eastAsia" w:ascii="仿宋" w:hAnsi="仿宋" w:cs="仿宋"/>
                <w:color w:val="auto"/>
                <w:highlight w:val="none"/>
              </w:rPr>
            </w:pPr>
          </w:p>
        </w:tc>
      </w:tr>
      <w:tr w14:paraId="1256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4" w:type="dxa"/>
            <w:vAlign w:val="center"/>
          </w:tcPr>
          <w:p w14:paraId="42E3D300">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2</w:t>
            </w:r>
          </w:p>
        </w:tc>
        <w:tc>
          <w:tcPr>
            <w:tcW w:w="5259" w:type="dxa"/>
            <w:vAlign w:val="center"/>
          </w:tcPr>
          <w:p w14:paraId="3B2ACFC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5.2根据投标供应商针对本项目实施过程中遇到的工作难点提出的针对性的建设性意见：</w:t>
            </w:r>
          </w:p>
          <w:p w14:paraId="6E76357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①根据提出的重点难点，能有有效的应对措施的得9-6分；</w:t>
            </w:r>
          </w:p>
          <w:p w14:paraId="5754999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②应对措施较为简单，但基本可行的得6-3分；</w:t>
            </w:r>
          </w:p>
          <w:p w14:paraId="0FCD46DB">
            <w:pPr>
              <w:spacing w:line="360" w:lineRule="auto"/>
              <w:jc w:val="left"/>
              <w:rPr>
                <w:rFonts w:hint="eastAsia" w:ascii="宋体" w:hAnsi="宋体" w:eastAsia="宋体" w:cs="宋体"/>
                <w:bCs w:val="0"/>
                <w:color w:val="auto"/>
                <w:szCs w:val="24"/>
                <w:highlight w:val="none"/>
              </w:rPr>
            </w:pPr>
            <w:r>
              <w:rPr>
                <w:rFonts w:hint="eastAsia" w:ascii="宋体" w:hAnsi="宋体" w:eastAsia="宋体" w:cs="宋体"/>
                <w:color w:val="auto"/>
                <w:highlight w:val="none"/>
              </w:rPr>
              <w:t>③应对措施未提供或提供的内容不合理，无法有效解决的3-0分。</w:t>
            </w:r>
          </w:p>
        </w:tc>
        <w:tc>
          <w:tcPr>
            <w:tcW w:w="796" w:type="dxa"/>
            <w:vAlign w:val="center"/>
          </w:tcPr>
          <w:p w14:paraId="1D3823F0">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1107" w:type="dxa"/>
            <w:vAlign w:val="center"/>
          </w:tcPr>
          <w:p w14:paraId="5F611C09">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0C94A991">
            <w:pPr>
              <w:spacing w:line="240" w:lineRule="auto"/>
              <w:jc w:val="left"/>
              <w:outlineLvl w:val="0"/>
              <w:rPr>
                <w:rFonts w:hint="eastAsia" w:ascii="仿宋" w:hAnsi="仿宋" w:cs="仿宋"/>
                <w:color w:val="auto"/>
                <w:highlight w:val="none"/>
              </w:rPr>
            </w:pPr>
          </w:p>
        </w:tc>
      </w:tr>
      <w:tr w14:paraId="3D2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4" w:type="dxa"/>
            <w:vAlign w:val="center"/>
          </w:tcPr>
          <w:p w14:paraId="2E832EEC">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.7</w:t>
            </w:r>
          </w:p>
        </w:tc>
        <w:tc>
          <w:tcPr>
            <w:tcW w:w="5259" w:type="dxa"/>
            <w:vAlign w:val="center"/>
          </w:tcPr>
          <w:p w14:paraId="4BB30EDC">
            <w:pPr>
              <w:spacing w:line="360" w:lineRule="auto"/>
              <w:jc w:val="left"/>
              <w:outlineLvl w:val="0"/>
              <w:rPr>
                <w:rFonts w:hint="eastAsia" w:ascii="宋体" w:hAnsi="宋体" w:eastAsia="宋体" w:cs="宋体"/>
                <w:b/>
                <w:bCs/>
                <w:color w:val="auto"/>
                <w:highlight w:val="none"/>
              </w:rPr>
            </w:pPr>
            <w:r>
              <w:rPr>
                <w:rFonts w:hint="eastAsia" w:ascii="宋体" w:hAnsi="宋体" w:eastAsia="宋体" w:cs="宋体"/>
                <w:b/>
                <w:bCs/>
                <w:color w:val="auto"/>
                <w:sz w:val="24"/>
                <w:highlight w:val="none"/>
              </w:rPr>
              <w:t>工程投资控制措施</w:t>
            </w:r>
            <w:r>
              <w:rPr>
                <w:rFonts w:hint="eastAsia" w:ascii="宋体" w:hAnsi="宋体" w:eastAsia="宋体" w:cs="宋体"/>
                <w:b/>
                <w:bCs/>
                <w:color w:val="auto"/>
                <w:szCs w:val="24"/>
                <w:highlight w:val="none"/>
              </w:rPr>
              <w:t>。</w:t>
            </w:r>
          </w:p>
          <w:p w14:paraId="3600890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①有制定相应的造价控制保障措施，措施合理、可行，符合项目需求的，得8-5.5分；</w:t>
            </w:r>
          </w:p>
          <w:p w14:paraId="68BCB32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②措施较为简单，基本合理、可行的，5.5-2分；</w:t>
            </w:r>
          </w:p>
          <w:p w14:paraId="30CDC350">
            <w:pPr>
              <w:spacing w:line="360" w:lineRule="auto"/>
              <w:jc w:val="left"/>
              <w:outlineLvl w:val="9"/>
              <w:rPr>
                <w:rFonts w:hint="eastAsia" w:ascii="宋体" w:hAnsi="宋体" w:eastAsia="宋体" w:cs="宋体"/>
                <w:color w:val="auto"/>
                <w:szCs w:val="24"/>
                <w:highlight w:val="none"/>
              </w:rPr>
            </w:pPr>
            <w:r>
              <w:rPr>
                <w:rFonts w:hint="eastAsia" w:ascii="宋体" w:hAnsi="宋体" w:eastAsia="宋体" w:cs="宋体"/>
                <w:color w:val="auto"/>
                <w:highlight w:val="none"/>
              </w:rPr>
              <w:t>③未提供方案或方案欠缺合理性的2-0分。</w:t>
            </w:r>
          </w:p>
        </w:tc>
        <w:tc>
          <w:tcPr>
            <w:tcW w:w="796" w:type="dxa"/>
            <w:vAlign w:val="center"/>
          </w:tcPr>
          <w:p w14:paraId="1F5A2E61">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1107" w:type="dxa"/>
            <w:vAlign w:val="center"/>
          </w:tcPr>
          <w:p w14:paraId="5B0BA542">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60EE0EDD">
            <w:pPr>
              <w:spacing w:line="240" w:lineRule="auto"/>
              <w:jc w:val="left"/>
              <w:outlineLvl w:val="0"/>
              <w:rPr>
                <w:rFonts w:hint="eastAsia" w:ascii="仿宋" w:hAnsi="仿宋" w:cs="仿宋"/>
                <w:color w:val="auto"/>
                <w:highlight w:val="none"/>
              </w:rPr>
            </w:pPr>
          </w:p>
        </w:tc>
      </w:tr>
      <w:tr w14:paraId="5024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4" w:type="dxa"/>
            <w:vAlign w:val="center"/>
          </w:tcPr>
          <w:p w14:paraId="4A8D0C5A">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.8</w:t>
            </w:r>
          </w:p>
        </w:tc>
        <w:tc>
          <w:tcPr>
            <w:tcW w:w="5259" w:type="dxa"/>
            <w:vAlign w:val="center"/>
          </w:tcPr>
          <w:p w14:paraId="1F8AB57F">
            <w:pPr>
              <w:spacing w:line="360" w:lineRule="auto"/>
              <w:jc w:val="both"/>
              <w:outlineLvl w:val="0"/>
              <w:rPr>
                <w:rFonts w:hint="eastAsia" w:ascii="宋体" w:hAnsi="宋体" w:eastAsia="宋体" w:cs="宋体"/>
                <w:b/>
                <w:bCs/>
                <w:color w:val="auto"/>
                <w:highlight w:val="none"/>
              </w:rPr>
            </w:pPr>
            <w:r>
              <w:rPr>
                <w:rFonts w:hint="eastAsia" w:ascii="宋体" w:hAnsi="宋体" w:eastAsia="宋体" w:cs="宋体"/>
                <w:b/>
                <w:bCs/>
                <w:color w:val="auto"/>
                <w:sz w:val="24"/>
                <w:highlight w:val="none"/>
              </w:rPr>
              <w:t>项目组织管理及质量保证措施。</w:t>
            </w:r>
          </w:p>
          <w:p w14:paraId="4EB87EC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①有制定相应的服务质量保障措施，对服务过程中的关键节点有具体质量控制措施，有相应的人力、物力投入安排，能够确保服务质量的得8-5.5分；</w:t>
            </w:r>
          </w:p>
          <w:p w14:paraId="1D74C8B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②服务质量保障措施较为简单，对服务过程中的节点有提出基本的质量控制措施的得5.5-2分；</w:t>
            </w:r>
          </w:p>
          <w:p w14:paraId="264E85E0">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highlight w:val="none"/>
              </w:rPr>
              <w:t>③未提供方案或方案欠缺合理性的2-0分。</w:t>
            </w:r>
          </w:p>
        </w:tc>
        <w:tc>
          <w:tcPr>
            <w:tcW w:w="796" w:type="dxa"/>
            <w:vAlign w:val="center"/>
          </w:tcPr>
          <w:p w14:paraId="3CAC80DA">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1107" w:type="dxa"/>
            <w:vAlign w:val="center"/>
          </w:tcPr>
          <w:p w14:paraId="57334C7F">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主观分</w:t>
            </w:r>
          </w:p>
        </w:tc>
        <w:tc>
          <w:tcPr>
            <w:tcW w:w="1881" w:type="dxa"/>
          </w:tcPr>
          <w:p w14:paraId="0732EE6B">
            <w:pPr>
              <w:spacing w:line="240" w:lineRule="auto"/>
              <w:jc w:val="left"/>
              <w:outlineLvl w:val="0"/>
              <w:rPr>
                <w:rFonts w:hint="eastAsia" w:ascii="仿宋" w:hAnsi="仿宋" w:cs="仿宋"/>
                <w:color w:val="auto"/>
                <w:highlight w:val="none"/>
              </w:rPr>
            </w:pPr>
          </w:p>
        </w:tc>
      </w:tr>
      <w:tr w14:paraId="1452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Align w:val="center"/>
          </w:tcPr>
          <w:p w14:paraId="620BB6DC">
            <w:pPr>
              <w:spacing w:line="24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5259" w:type="dxa"/>
          </w:tcPr>
          <w:p w14:paraId="31CB0D1F">
            <w:pPr>
              <w:outlineLvl w:val="0"/>
              <w:rPr>
                <w:rFonts w:hint="eastAsia" w:ascii="宋体" w:hAnsi="宋体" w:eastAsia="宋体" w:cs="宋体"/>
                <w:bCs/>
                <w:color w:val="auto"/>
                <w:szCs w:val="24"/>
                <w:highlight w:val="none"/>
              </w:rPr>
            </w:pPr>
            <w:bookmarkStart w:id="458" w:name="_Toc12829"/>
            <w:r>
              <w:rPr>
                <w:rFonts w:hint="eastAsia" w:ascii="宋体" w:hAnsi="宋体" w:eastAsia="宋体" w:cs="宋体"/>
                <w:bCs/>
                <w:color w:val="auto"/>
                <w:szCs w:val="24"/>
                <w:highlight w:val="none"/>
              </w:rPr>
              <w:t>有效投标报价的最低价作为评标基准价，其最低报价为满分；按［投标报价得分=（评标基准价/投标报价）*10］的计算公式计算。</w:t>
            </w:r>
            <w:bookmarkEnd w:id="458"/>
          </w:p>
          <w:p w14:paraId="7B62A4E5">
            <w:pPr>
              <w:outlineLvl w:val="0"/>
              <w:rPr>
                <w:rFonts w:hint="eastAsia" w:ascii="宋体" w:hAnsi="宋体" w:eastAsia="宋体" w:cs="宋体"/>
                <w:bCs/>
                <w:color w:val="auto"/>
                <w:szCs w:val="24"/>
                <w:highlight w:val="none"/>
              </w:rPr>
            </w:pPr>
            <w:bookmarkStart w:id="459" w:name="_Toc4105"/>
            <w:r>
              <w:rPr>
                <w:rFonts w:hint="eastAsia" w:ascii="宋体" w:hAnsi="宋体" w:eastAsia="宋体" w:cs="宋体"/>
                <w:bCs/>
                <w:color w:val="auto"/>
                <w:szCs w:val="24"/>
                <w:highlight w:val="none"/>
              </w:rPr>
              <w:t>评标过程中，不得去掉报价中的最高报价和最低报价。</w:t>
            </w:r>
            <w:bookmarkEnd w:id="459"/>
          </w:p>
          <w:p w14:paraId="234C3869">
            <w:pPr>
              <w:outlineLvl w:val="0"/>
              <w:rPr>
                <w:rFonts w:hint="eastAsia" w:ascii="宋体" w:hAnsi="宋体" w:eastAsia="宋体" w:cs="宋体"/>
                <w:color w:val="auto"/>
                <w:highlight w:val="none"/>
              </w:rPr>
            </w:pPr>
            <w:r>
              <w:rPr>
                <w:rFonts w:hint="eastAsia" w:ascii="宋体" w:hAnsi="宋体" w:eastAsia="宋体" w:cs="宋体"/>
                <w:bCs/>
                <w:color w:val="auto"/>
                <w:szCs w:val="24"/>
                <w:highlight w:val="none"/>
              </w:rPr>
              <w:t>本项目对符合要求的小微企业给予价格扣除。</w:t>
            </w:r>
          </w:p>
        </w:tc>
        <w:tc>
          <w:tcPr>
            <w:tcW w:w="796" w:type="dxa"/>
            <w:vAlign w:val="center"/>
          </w:tcPr>
          <w:p w14:paraId="1C8BCD8F">
            <w:pPr>
              <w:spacing w:line="240" w:lineRule="auto"/>
              <w:jc w:val="center"/>
              <w:outlineLvl w:val="0"/>
              <w:rPr>
                <w:rFonts w:hint="eastAsia" w:ascii="宋体" w:hAnsi="宋体" w:eastAsia="宋体" w:cs="宋体"/>
                <w:color w:val="auto"/>
                <w:szCs w:val="24"/>
                <w:highlight w:val="none"/>
              </w:rPr>
            </w:pPr>
            <w:r>
              <w:rPr>
                <w:rFonts w:hint="eastAsia" w:ascii="宋体" w:hAnsi="宋体" w:eastAsia="宋体" w:cs="宋体"/>
                <w:color w:val="auto"/>
                <w:highlight w:val="none"/>
              </w:rPr>
              <w:t>10</w:t>
            </w:r>
          </w:p>
        </w:tc>
        <w:tc>
          <w:tcPr>
            <w:tcW w:w="1107" w:type="dxa"/>
            <w:vAlign w:val="center"/>
          </w:tcPr>
          <w:p w14:paraId="404BACC9">
            <w:pPr>
              <w:spacing w:line="240" w:lineRule="auto"/>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1881" w:type="dxa"/>
            <w:vAlign w:val="center"/>
          </w:tcPr>
          <w:p w14:paraId="4C5CAE1E">
            <w:pPr>
              <w:spacing w:line="240" w:lineRule="auto"/>
              <w:jc w:val="left"/>
              <w:outlineLvl w:val="0"/>
              <w:rPr>
                <w:rFonts w:hint="eastAsia" w:ascii="仿宋" w:hAnsi="仿宋" w:cs="仿宋"/>
                <w:color w:val="auto"/>
                <w:highlight w:val="none"/>
              </w:rPr>
            </w:pPr>
          </w:p>
        </w:tc>
      </w:tr>
    </w:tbl>
    <w:p w14:paraId="60EF67AF">
      <w:pPr>
        <w:rPr>
          <w:rFonts w:hint="eastAsia" w:ascii="仿宋" w:hAnsi="仿宋" w:eastAsia="仿宋" w:cs="仿宋"/>
          <w:color w:val="auto"/>
          <w:highlight w:val="none"/>
          <w:lang w:eastAsia="zh-CN"/>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color w:val="auto"/>
          <w:sz w:val="24"/>
          <w:szCs w:val="24"/>
          <w:highlight w:val="none"/>
          <w:shd w:val="clear" w:color="auto" w:fill="FFFFFF"/>
        </w:rPr>
        <w:t>*</w:t>
      </w:r>
      <w:r>
        <w:rPr>
          <w:rFonts w:hint="eastAsia" w:ascii="仿宋" w:hAnsi="仿宋" w:cs="仿宋"/>
          <w:b/>
          <w:color w:val="auto"/>
          <w:highlight w:val="none"/>
        </w:rPr>
        <w:t>备注：</w:t>
      </w:r>
      <w:r>
        <w:rPr>
          <w:rFonts w:hint="eastAsia" w:ascii="仿宋" w:hAnsi="仿宋" w:cs="仿宋"/>
          <w:color w:val="auto"/>
          <w:highlight w:val="none"/>
        </w:rPr>
        <w:t>投标人编制投标文件（商务技术文件部分）时，建议按此目录（序号和内容）提供评标标准相应的商务技术资料</w:t>
      </w:r>
      <w:r>
        <w:rPr>
          <w:rFonts w:hint="eastAsia" w:ascii="仿宋" w:hAnsi="仿宋" w:cs="仿宋"/>
          <w:color w:val="auto"/>
          <w:highlight w:val="none"/>
          <w:lang w:eastAsia="zh-CN"/>
        </w:rPr>
        <w:t>。</w:t>
      </w:r>
    </w:p>
    <w:p w14:paraId="7B49E0F1">
      <w:pPr>
        <w:numPr>
          <w:ilvl w:val="0"/>
          <w:numId w:val="8"/>
        </w:numPr>
        <w:spacing w:line="360" w:lineRule="auto"/>
        <w:ind w:firstLine="0"/>
        <w:jc w:val="left"/>
        <w:outlineLvl w:val="1"/>
        <w:rPr>
          <w:rFonts w:hint="eastAsia" w:ascii="仿宋" w:hAnsi="仿宋" w:cs="仿宋"/>
          <w:b/>
          <w:color w:val="auto"/>
          <w:sz w:val="28"/>
          <w:szCs w:val="28"/>
          <w:highlight w:val="none"/>
        </w:rPr>
      </w:pPr>
      <w:r>
        <w:rPr>
          <w:rFonts w:hint="eastAsia" w:ascii="仿宋" w:hAnsi="仿宋" w:cs="仿宋"/>
          <w:b/>
          <w:color w:val="auto"/>
          <w:sz w:val="28"/>
          <w:szCs w:val="28"/>
          <w:highlight w:val="none"/>
        </w:rPr>
        <w:t>评标方法</w:t>
      </w:r>
    </w:p>
    <w:p w14:paraId="19B6C986">
      <w:pPr>
        <w:numPr>
          <w:ilvl w:val="255"/>
          <w:numId w:val="0"/>
        </w:numPr>
        <w:tabs>
          <w:tab w:val="left" w:pos="210"/>
        </w:tabs>
        <w:ind w:firstLine="482" w:firstLineChars="200"/>
        <w:rPr>
          <w:rFonts w:hint="eastAsia" w:ascii="仿宋" w:hAnsi="仿宋" w:cs="仿宋"/>
          <w:color w:val="auto"/>
          <w:kern w:val="0"/>
          <w:highlight w:val="none"/>
        </w:rPr>
      </w:pPr>
      <w:r>
        <w:rPr>
          <w:rFonts w:hint="eastAsia" w:ascii="仿宋" w:hAnsi="仿宋" w:cs="仿宋"/>
          <w:b/>
          <w:color w:val="auto"/>
          <w:kern w:val="0"/>
          <w:highlight w:val="none"/>
        </w:rPr>
        <w:t>本项目采用综合评分法。</w:t>
      </w:r>
      <w:r>
        <w:rPr>
          <w:rFonts w:hint="eastAsia" w:ascii="仿宋" w:hAnsi="仿宋" w:cs="仿宋"/>
          <w:color w:val="auto"/>
          <w:kern w:val="0"/>
          <w:highlight w:val="none"/>
        </w:rPr>
        <w:t>综合评分法，是指投标文件满足招标文件全部实质性要求，且按照评审因素的量化指标评审得分最高的投标人为中标候选人的评标方法。</w:t>
      </w:r>
    </w:p>
    <w:p w14:paraId="78FB1953">
      <w:pPr>
        <w:numPr>
          <w:ilvl w:val="0"/>
          <w:numId w:val="8"/>
        </w:numPr>
        <w:spacing w:line="360" w:lineRule="auto"/>
        <w:ind w:firstLine="0"/>
        <w:jc w:val="left"/>
        <w:outlineLvl w:val="1"/>
        <w:rPr>
          <w:rFonts w:hint="eastAsia" w:ascii="仿宋" w:hAnsi="仿宋" w:cs="仿宋"/>
          <w:b/>
          <w:color w:val="auto"/>
          <w:sz w:val="28"/>
          <w:szCs w:val="28"/>
          <w:highlight w:val="none"/>
        </w:rPr>
      </w:pPr>
      <w:r>
        <w:rPr>
          <w:rFonts w:hint="eastAsia" w:ascii="仿宋" w:hAnsi="仿宋" w:cs="仿宋"/>
          <w:b/>
          <w:color w:val="auto"/>
          <w:sz w:val="28"/>
          <w:szCs w:val="28"/>
          <w:highlight w:val="none"/>
        </w:rPr>
        <w:t>评标标准</w:t>
      </w:r>
    </w:p>
    <w:p w14:paraId="66AC54A5">
      <w:pPr>
        <w:numPr>
          <w:ilvl w:val="255"/>
          <w:numId w:val="0"/>
        </w:numPr>
        <w:tabs>
          <w:tab w:val="left" w:pos="210"/>
        </w:tabs>
        <w:spacing w:line="360" w:lineRule="auto"/>
        <w:rPr>
          <w:rFonts w:hint="eastAsia" w:ascii="仿宋" w:hAnsi="仿宋" w:cs="仿宋"/>
          <w:color w:val="auto"/>
          <w:kern w:val="0"/>
          <w:highlight w:val="none"/>
        </w:rPr>
      </w:pPr>
      <w:r>
        <w:rPr>
          <w:rFonts w:hint="eastAsia" w:ascii="仿宋" w:hAnsi="仿宋" w:cs="仿宋"/>
          <w:b/>
          <w:bCs/>
          <w:color w:val="auto"/>
          <w:kern w:val="0"/>
          <w:highlight w:val="none"/>
        </w:rPr>
        <w:t>评标标准：</w:t>
      </w:r>
      <w:r>
        <w:rPr>
          <w:rFonts w:hint="eastAsia" w:ascii="仿宋" w:hAnsi="仿宋" w:cs="仿宋"/>
          <w:color w:val="auto"/>
          <w:kern w:val="0"/>
          <w:highlight w:val="none"/>
        </w:rPr>
        <w:t>见评标办法前附表。</w:t>
      </w:r>
    </w:p>
    <w:p w14:paraId="425DA340">
      <w:pPr>
        <w:numPr>
          <w:ilvl w:val="0"/>
          <w:numId w:val="8"/>
        </w:numPr>
        <w:spacing w:line="360" w:lineRule="auto"/>
        <w:ind w:firstLine="0"/>
        <w:jc w:val="left"/>
        <w:outlineLvl w:val="1"/>
        <w:rPr>
          <w:rFonts w:hint="eastAsia" w:ascii="仿宋" w:hAnsi="仿宋" w:cs="仿宋"/>
          <w:b/>
          <w:color w:val="auto"/>
          <w:sz w:val="28"/>
          <w:szCs w:val="28"/>
          <w:highlight w:val="none"/>
        </w:rPr>
      </w:pPr>
      <w:r>
        <w:rPr>
          <w:rFonts w:hint="eastAsia" w:ascii="仿宋" w:hAnsi="仿宋" w:cs="仿宋"/>
          <w:b/>
          <w:color w:val="auto"/>
          <w:sz w:val="28"/>
          <w:szCs w:val="28"/>
          <w:highlight w:val="none"/>
        </w:rPr>
        <w:t>评标程序</w:t>
      </w:r>
    </w:p>
    <w:p w14:paraId="3AD6EA40">
      <w:pPr>
        <w:numPr>
          <w:ilvl w:val="1"/>
          <w:numId w:val="9"/>
        </w:numPr>
        <w:ind w:left="0" w:firstLine="0"/>
        <w:jc w:val="left"/>
        <w:rPr>
          <w:rFonts w:hint="eastAsia" w:ascii="仿宋" w:hAnsi="仿宋" w:cs="仿宋"/>
          <w:color w:val="auto"/>
          <w:kern w:val="0"/>
          <w:highlight w:val="none"/>
        </w:rPr>
      </w:pPr>
      <w:r>
        <w:rPr>
          <w:rFonts w:hint="eastAsia" w:ascii="仿宋" w:hAnsi="仿宋" w:cs="仿宋"/>
          <w:b/>
          <w:bCs/>
          <w:color w:val="auto"/>
          <w:kern w:val="0"/>
          <w:highlight w:val="none"/>
        </w:rPr>
        <w:t>符合性审查。</w:t>
      </w:r>
      <w:r>
        <w:rPr>
          <w:rFonts w:hint="eastAsia" w:ascii="仿宋" w:hAnsi="仿宋" w:cs="仿宋"/>
          <w:color w:val="auto"/>
          <w:kern w:val="0"/>
          <w:highlight w:val="none"/>
        </w:rPr>
        <w:t>评标委员会应当对符合资格的投标人的投标文件进行符合性审查，以确定其是否满足招标文件的实质性要求。不满足招标文件的实质性要求的，投标无效。</w:t>
      </w:r>
    </w:p>
    <w:p w14:paraId="52F0C244">
      <w:pPr>
        <w:numPr>
          <w:ilvl w:val="1"/>
          <w:numId w:val="9"/>
        </w:numPr>
        <w:ind w:left="0" w:firstLine="0"/>
        <w:jc w:val="left"/>
        <w:rPr>
          <w:rFonts w:hint="eastAsia" w:ascii="仿宋" w:hAnsi="仿宋" w:cs="仿宋"/>
          <w:b/>
          <w:bCs/>
          <w:color w:val="auto"/>
          <w:kern w:val="0"/>
          <w:highlight w:val="none"/>
        </w:rPr>
      </w:pPr>
      <w:r>
        <w:rPr>
          <w:rFonts w:hint="eastAsia" w:ascii="仿宋" w:hAnsi="仿宋" w:cs="仿宋"/>
          <w:b/>
          <w:bCs/>
          <w:color w:val="auto"/>
          <w:kern w:val="0"/>
          <w:highlight w:val="none"/>
        </w:rPr>
        <w:t>比较与评价。</w:t>
      </w:r>
      <w:r>
        <w:rPr>
          <w:rFonts w:hint="eastAsia" w:ascii="仿宋" w:hAnsi="仿宋" w:cs="仿宋"/>
          <w:color w:val="auto"/>
          <w:kern w:val="0"/>
          <w:highlight w:val="none"/>
        </w:rPr>
        <w:t>评标委员会应当按照招标文件中规定的评标方法和标准，对符合性审查合格的投标文件进行商务和技术评估，综合比较与评价。</w:t>
      </w:r>
    </w:p>
    <w:p w14:paraId="5A1C2B51">
      <w:pPr>
        <w:numPr>
          <w:ilvl w:val="1"/>
          <w:numId w:val="9"/>
        </w:numPr>
        <w:ind w:left="0" w:firstLine="0"/>
        <w:jc w:val="left"/>
        <w:rPr>
          <w:rFonts w:hint="eastAsia" w:ascii="仿宋" w:hAnsi="仿宋" w:cs="仿宋"/>
          <w:color w:val="auto"/>
          <w:kern w:val="0"/>
          <w:highlight w:val="none"/>
        </w:rPr>
      </w:pPr>
      <w:r>
        <w:rPr>
          <w:rFonts w:hint="eastAsia" w:ascii="仿宋" w:hAnsi="仿宋" w:cs="仿宋"/>
          <w:b/>
          <w:bCs/>
          <w:color w:val="auto"/>
          <w:kern w:val="0"/>
          <w:highlight w:val="none"/>
        </w:rPr>
        <w:t>汇总商务技术得分。</w:t>
      </w:r>
      <w:r>
        <w:rPr>
          <w:rFonts w:hint="eastAsia" w:ascii="仿宋" w:hAnsi="仿宋" w:cs="仿宋"/>
          <w:color w:val="auto"/>
          <w:kern w:val="0"/>
          <w:highlight w:val="none"/>
        </w:rPr>
        <w:t>评标委员会各成员应当独立对每个投标人的商务和技术文件进行评价，并汇总商务技术得分情况。</w:t>
      </w:r>
    </w:p>
    <w:p w14:paraId="600C5A25">
      <w:pPr>
        <w:numPr>
          <w:ilvl w:val="255"/>
          <w:numId w:val="0"/>
        </w:numPr>
        <w:jc w:val="left"/>
        <w:rPr>
          <w:rFonts w:hint="eastAsia" w:ascii="仿宋" w:hAnsi="仿宋" w:cs="仿宋"/>
          <w:color w:val="auto"/>
          <w:kern w:val="0"/>
          <w:highlight w:val="none"/>
        </w:rPr>
      </w:pPr>
      <w:r>
        <w:rPr>
          <w:rFonts w:hint="eastAsia" w:ascii="仿宋" w:hAnsi="仿宋" w:cs="仿宋"/>
          <w:color w:val="auto"/>
          <w:kern w:val="0"/>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FBA2282">
      <w:pPr>
        <w:numPr>
          <w:ilvl w:val="1"/>
          <w:numId w:val="9"/>
        </w:numPr>
        <w:ind w:left="0" w:firstLine="0"/>
        <w:jc w:val="left"/>
        <w:rPr>
          <w:rFonts w:hint="eastAsia" w:ascii="仿宋" w:hAnsi="仿宋" w:cs="仿宋"/>
          <w:b/>
          <w:bCs/>
          <w:color w:val="auto"/>
          <w:kern w:val="0"/>
          <w:highlight w:val="none"/>
        </w:rPr>
      </w:pPr>
      <w:r>
        <w:rPr>
          <w:rFonts w:hint="eastAsia" w:ascii="仿宋" w:hAnsi="仿宋" w:cs="仿宋"/>
          <w:b/>
          <w:bCs/>
          <w:color w:val="auto"/>
          <w:kern w:val="0"/>
          <w:highlight w:val="none"/>
        </w:rPr>
        <w:t>报价评审。</w:t>
      </w:r>
    </w:p>
    <w:p w14:paraId="21361F09">
      <w:pPr>
        <w:numPr>
          <w:ilvl w:val="2"/>
          <w:numId w:val="9"/>
        </w:numPr>
        <w:ind w:left="0" w:firstLine="0"/>
        <w:jc w:val="left"/>
        <w:rPr>
          <w:rFonts w:hint="eastAsia" w:ascii="仿宋" w:hAnsi="仿宋" w:cs="仿宋"/>
          <w:b/>
          <w:bCs/>
          <w:color w:val="auto"/>
          <w:kern w:val="0"/>
          <w:highlight w:val="none"/>
        </w:rPr>
      </w:pPr>
      <w:r>
        <w:rPr>
          <w:rFonts w:hint="eastAsia" w:ascii="仿宋" w:hAnsi="仿宋" w:cs="仿宋"/>
          <w:b/>
          <w:bCs/>
          <w:color w:val="auto"/>
          <w:kern w:val="0"/>
          <w:highlight w:val="none"/>
        </w:rPr>
        <w:t>投标文件报价出现前后不一致的，按照下列规定修正：</w:t>
      </w:r>
    </w:p>
    <w:p w14:paraId="48E78E51">
      <w:pPr>
        <w:numPr>
          <w:ilvl w:val="3"/>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投标文件中开标一览表(报价表)内容与投标文件中相应内容不一致的，以开标一览表(报价表)为准;</w:t>
      </w:r>
    </w:p>
    <w:p w14:paraId="7B91361E">
      <w:pPr>
        <w:numPr>
          <w:ilvl w:val="3"/>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大写金额和小写金额不一致的，以大写金额为准;</w:t>
      </w:r>
    </w:p>
    <w:p w14:paraId="12C63F65">
      <w:pPr>
        <w:numPr>
          <w:ilvl w:val="3"/>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单价金额小数点或者百分比有明显错位的，以开标一览表的总价为准，并修改单价;</w:t>
      </w:r>
    </w:p>
    <w:p w14:paraId="1EF6B70C">
      <w:pPr>
        <w:numPr>
          <w:ilvl w:val="3"/>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总价金额与按单价汇总金额不一致的，以单价金额计算结果为准。</w:t>
      </w:r>
    </w:p>
    <w:p w14:paraId="0DA6EF65">
      <w:pPr>
        <w:numPr>
          <w:ilvl w:val="3"/>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A1AEF94">
      <w:pPr>
        <w:numPr>
          <w:ilvl w:val="2"/>
          <w:numId w:val="9"/>
        </w:numPr>
        <w:ind w:left="0" w:firstLine="0"/>
        <w:jc w:val="left"/>
        <w:rPr>
          <w:rFonts w:hint="eastAsia" w:ascii="仿宋" w:hAnsi="仿宋" w:cs="仿宋"/>
          <w:b/>
          <w:bCs/>
          <w:color w:val="auto"/>
          <w:kern w:val="0"/>
          <w:highlight w:val="none"/>
        </w:rPr>
      </w:pPr>
      <w:r>
        <w:rPr>
          <w:rFonts w:hint="eastAsia" w:ascii="仿宋" w:hAnsi="仿宋" w:cs="仿宋"/>
          <w:b/>
          <w:bCs/>
          <w:color w:val="auto"/>
          <w:kern w:val="0"/>
          <w:highlight w:val="none"/>
        </w:rPr>
        <w:t>投标文件出现不是唯一的、有选择性投标报价的，投标无效。</w:t>
      </w:r>
    </w:p>
    <w:p w14:paraId="31662869">
      <w:pPr>
        <w:numPr>
          <w:ilvl w:val="2"/>
          <w:numId w:val="9"/>
        </w:numPr>
        <w:ind w:left="0" w:firstLine="0"/>
        <w:jc w:val="left"/>
        <w:rPr>
          <w:rFonts w:hint="eastAsia" w:ascii="仿宋" w:hAnsi="仿宋" w:cs="仿宋"/>
          <w:b/>
          <w:bCs/>
          <w:color w:val="auto"/>
          <w:kern w:val="0"/>
          <w:highlight w:val="none"/>
        </w:rPr>
      </w:pPr>
      <w:r>
        <w:rPr>
          <w:rFonts w:hint="eastAsia" w:ascii="仿宋" w:hAnsi="仿宋" w:cs="仿宋"/>
          <w:b/>
          <w:bCs/>
          <w:color w:val="auto"/>
          <w:kern w:val="0"/>
          <w:highlight w:val="none"/>
        </w:rPr>
        <w:t>投标报价超过招标文件中规定的预算金额或者最高限价的，投标无效。</w:t>
      </w:r>
    </w:p>
    <w:p w14:paraId="52E8C365">
      <w:pPr>
        <w:numPr>
          <w:ilvl w:val="2"/>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7358F3">
      <w:pPr>
        <w:numPr>
          <w:ilvl w:val="2"/>
          <w:numId w:val="9"/>
        </w:numPr>
        <w:ind w:left="0" w:firstLine="0"/>
        <w:jc w:val="left"/>
        <w:rPr>
          <w:rFonts w:hint="eastAsia" w:ascii="仿宋" w:hAnsi="仿宋" w:cs="仿宋"/>
          <w:color w:val="auto"/>
          <w:kern w:val="0"/>
          <w:highlight w:val="none"/>
        </w:rPr>
      </w:pPr>
      <w:r>
        <w:rPr>
          <w:rFonts w:hint="eastAsia" w:ascii="仿宋" w:hAnsi="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auto"/>
          <w:kern w:val="0"/>
          <w:highlight w:val="none"/>
        </w:rPr>
        <w:t>10%</w:t>
      </w:r>
      <w:r>
        <w:rPr>
          <w:rFonts w:hint="eastAsia" w:ascii="仿宋" w:hAnsi="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auto"/>
          <w:kern w:val="0"/>
          <w:highlight w:val="none"/>
        </w:rPr>
        <w:t>4%</w:t>
      </w:r>
      <w:r>
        <w:rPr>
          <w:rFonts w:hint="eastAsia" w:ascii="仿宋" w:hAnsi="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14:paraId="7C86F371">
      <w:pPr>
        <w:numPr>
          <w:ilvl w:val="1"/>
          <w:numId w:val="9"/>
        </w:numPr>
        <w:ind w:left="0" w:firstLine="0"/>
        <w:jc w:val="left"/>
        <w:rPr>
          <w:rFonts w:hint="eastAsia" w:ascii="仿宋" w:hAnsi="仿宋" w:cs="仿宋"/>
          <w:color w:val="auto"/>
          <w:kern w:val="0"/>
          <w:highlight w:val="none"/>
        </w:rPr>
      </w:pPr>
      <w:r>
        <w:rPr>
          <w:rFonts w:hint="eastAsia" w:ascii="仿宋" w:hAnsi="仿宋" w:cs="仿宋"/>
          <w:b/>
          <w:bCs/>
          <w:color w:val="auto"/>
          <w:kern w:val="0"/>
          <w:highlight w:val="none"/>
        </w:rPr>
        <w:t>排序与推荐。</w:t>
      </w:r>
      <w:r>
        <w:rPr>
          <w:rFonts w:hint="eastAsia" w:ascii="仿宋" w:hAnsi="仿宋" w:cs="仿宋"/>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1385F424">
      <w:pPr>
        <w:numPr>
          <w:ilvl w:val="1"/>
          <w:numId w:val="9"/>
        </w:numPr>
        <w:ind w:left="0" w:firstLine="0"/>
        <w:jc w:val="left"/>
        <w:rPr>
          <w:rFonts w:hint="eastAsia" w:ascii="仿宋" w:hAnsi="仿宋" w:cs="仿宋"/>
          <w:color w:val="auto"/>
          <w:highlight w:val="none"/>
        </w:rPr>
      </w:pPr>
      <w:r>
        <w:rPr>
          <w:rFonts w:hint="eastAsia" w:ascii="仿宋" w:hAnsi="仿宋" w:cs="仿宋"/>
          <w:color w:val="auto"/>
          <w:kern w:val="0"/>
          <w:highlight w:val="none"/>
        </w:rPr>
        <w:t>评分时保留小数点后1位小数，计算评分值时保留小数点后2位小数。</w:t>
      </w:r>
    </w:p>
    <w:p w14:paraId="531B104D">
      <w:pPr>
        <w:numPr>
          <w:ilvl w:val="1"/>
          <w:numId w:val="9"/>
        </w:numPr>
        <w:ind w:left="0" w:firstLine="0"/>
        <w:jc w:val="left"/>
        <w:rPr>
          <w:rFonts w:hint="eastAsia" w:ascii="仿宋" w:hAnsi="仿宋" w:cs="仿宋"/>
          <w:color w:val="auto"/>
          <w:kern w:val="0"/>
          <w:highlight w:val="none"/>
        </w:rPr>
      </w:pPr>
      <w:r>
        <w:rPr>
          <w:rFonts w:hint="eastAsia" w:ascii="仿宋" w:hAnsi="仿宋" w:cs="仿宋"/>
          <w:b/>
          <w:bCs/>
          <w:color w:val="auto"/>
          <w:kern w:val="0"/>
          <w:highlight w:val="none"/>
        </w:rPr>
        <w:t>编写评标报告。</w:t>
      </w:r>
      <w:r>
        <w:rPr>
          <w:rFonts w:hint="eastAsia" w:ascii="仿宋" w:hAnsi="仿宋" w:cs="仿宋"/>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508949">
      <w:pPr>
        <w:numPr>
          <w:ilvl w:val="0"/>
          <w:numId w:val="8"/>
        </w:numPr>
        <w:spacing w:line="360" w:lineRule="auto"/>
        <w:ind w:firstLine="0"/>
        <w:jc w:val="left"/>
        <w:outlineLvl w:val="1"/>
        <w:rPr>
          <w:rFonts w:hint="eastAsia" w:ascii="仿宋" w:hAnsi="仿宋" w:cs="仿宋"/>
          <w:b/>
          <w:color w:val="auto"/>
          <w:sz w:val="28"/>
          <w:szCs w:val="28"/>
          <w:highlight w:val="none"/>
        </w:rPr>
      </w:pPr>
      <w:r>
        <w:rPr>
          <w:rFonts w:hint="eastAsia" w:ascii="仿宋" w:hAnsi="仿宋" w:cs="仿宋"/>
          <w:b/>
          <w:color w:val="auto"/>
          <w:sz w:val="28"/>
          <w:szCs w:val="28"/>
          <w:highlight w:val="none"/>
        </w:rPr>
        <w:t>评标中的其他事项</w:t>
      </w:r>
    </w:p>
    <w:p w14:paraId="32C23886">
      <w:pPr>
        <w:numPr>
          <w:ilvl w:val="1"/>
          <w:numId w:val="10"/>
        </w:numPr>
        <w:tabs>
          <w:tab w:val="left" w:pos="210"/>
        </w:tabs>
        <w:ind w:left="0" w:firstLine="0"/>
        <w:rPr>
          <w:rFonts w:hint="eastAsia" w:ascii="仿宋" w:hAnsi="仿宋" w:cs="仿宋"/>
          <w:color w:val="auto"/>
          <w:kern w:val="0"/>
          <w:highlight w:val="none"/>
        </w:rPr>
      </w:pPr>
      <w:r>
        <w:rPr>
          <w:rFonts w:hint="eastAsia" w:ascii="仿宋" w:hAnsi="仿宋" w:cs="仿宋"/>
          <w:b/>
          <w:bCs/>
          <w:color w:val="auto"/>
          <w:kern w:val="0"/>
          <w:highlight w:val="none"/>
        </w:rPr>
        <w:t>投标人澄清、说明或者补正。</w:t>
      </w:r>
      <w:r>
        <w:rPr>
          <w:rFonts w:hint="eastAsia" w:ascii="仿宋" w:hAnsi="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DD15A8">
      <w:pPr>
        <w:numPr>
          <w:ilvl w:val="1"/>
          <w:numId w:val="10"/>
        </w:numPr>
        <w:tabs>
          <w:tab w:val="left" w:pos="21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投标无效。有下列情况之一的，投标无效：</w:t>
      </w:r>
    </w:p>
    <w:p w14:paraId="266A7665">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投标人不具备招标文件中规定的资格要求的（投标人未提供有效的资格文件的，视为投标人不具备招标文件中规定的资格要求）；</w:t>
      </w:r>
    </w:p>
    <w:p w14:paraId="756F1B98">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投标文件未按照招标文件要求签署、盖章的；</w:t>
      </w:r>
    </w:p>
    <w:p w14:paraId="03492737">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采购人拟采购的产品属于政府强制采购的节能产品品目清单范围的，投标人未按招标文件要求提供国家确定的认证机构出具的、处于有效期之内的节能产品认证证书的（本项目不适用）；</w:t>
      </w:r>
    </w:p>
    <w:p w14:paraId="3FAFD083">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投标文件含有采购人不能接受的附加条件的；</w:t>
      </w:r>
    </w:p>
    <w:p w14:paraId="0092EB5E">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投标文件中承诺的投标有效期少于招标文件中载明的投标有效期的；</w:t>
      </w:r>
    </w:p>
    <w:p w14:paraId="2DCBB35F">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投标文件出现不是唯一的、有选择性投标报价的;</w:t>
      </w:r>
    </w:p>
    <w:p w14:paraId="3BF0F15B">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投标报价超过招标文件中规定的预算金额或者最高限价的;</w:t>
      </w:r>
    </w:p>
    <w:p w14:paraId="1A9DB2C6">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投标人对根据修正原则修正后的报价不确认的；</w:t>
      </w:r>
    </w:p>
    <w:p w14:paraId="19057317">
      <w:pPr>
        <w:numPr>
          <w:ilvl w:val="2"/>
          <w:numId w:val="10"/>
        </w:numPr>
        <w:tabs>
          <w:tab w:val="left" w:pos="210"/>
          <w:tab w:val="left" w:pos="840"/>
          <w:tab w:val="left" w:pos="1050"/>
          <w:tab w:val="left" w:pos="126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投标人提供虚假材料投标的；</w:t>
      </w:r>
    </w:p>
    <w:p w14:paraId="35560CC9">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投标人有恶意串通、妨碍其他投标人的竞争行为、损害采购人或者其他投标人的合法权益情形的；</w:t>
      </w:r>
    </w:p>
    <w:p w14:paraId="79B59709">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7235E84">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投标人仅提交备份投标文件，没有在电子交易平台传输递交投标文件的，投标无效；</w:t>
      </w:r>
    </w:p>
    <w:p w14:paraId="79D2287D">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投标文件不满足招标文件的其它实质性要求的；</w:t>
      </w:r>
    </w:p>
    <w:p w14:paraId="357AC5F4">
      <w:pPr>
        <w:numPr>
          <w:ilvl w:val="2"/>
          <w:numId w:val="10"/>
        </w:numPr>
        <w:tabs>
          <w:tab w:val="left" w:pos="210"/>
          <w:tab w:val="left" w:pos="840"/>
        </w:tabs>
        <w:ind w:left="0" w:firstLine="0"/>
        <w:rPr>
          <w:rFonts w:hint="eastAsia" w:ascii="仿宋" w:hAnsi="仿宋" w:cs="仿宋"/>
          <w:b/>
          <w:bCs/>
          <w:color w:val="auto"/>
          <w:kern w:val="0"/>
          <w:highlight w:val="none"/>
        </w:rPr>
      </w:pPr>
      <w:r>
        <w:rPr>
          <w:rFonts w:hint="eastAsia" w:ascii="仿宋" w:hAnsi="仿宋" w:cs="仿宋"/>
          <w:b/>
          <w:bCs/>
          <w:color w:val="auto"/>
          <w:kern w:val="0"/>
          <w:highlight w:val="none"/>
        </w:rPr>
        <w:t>法律、法规、规章及省级以上规范性文件规定的其他无效情形。</w:t>
      </w:r>
    </w:p>
    <w:p w14:paraId="0BC3B530">
      <w:pPr>
        <w:numPr>
          <w:ilvl w:val="0"/>
          <w:numId w:val="10"/>
        </w:numPr>
        <w:tabs>
          <w:tab w:val="left" w:pos="210"/>
          <w:tab w:val="clear" w:pos="399"/>
        </w:tabs>
        <w:ind w:left="0" w:firstLine="0"/>
        <w:rPr>
          <w:rFonts w:hint="eastAsia" w:ascii="仿宋" w:hAnsi="仿宋" w:cs="仿宋"/>
          <w:color w:val="auto"/>
          <w:kern w:val="0"/>
          <w:highlight w:val="none"/>
        </w:rPr>
      </w:pPr>
      <w:r>
        <w:rPr>
          <w:rFonts w:hint="eastAsia" w:ascii="仿宋" w:hAnsi="仿宋" w:cs="仿宋"/>
          <w:b/>
          <w:bCs/>
          <w:color w:val="auto"/>
          <w:kern w:val="0"/>
          <w:highlight w:val="none"/>
        </w:rPr>
        <w:t>废标。</w:t>
      </w:r>
      <w:r>
        <w:rPr>
          <w:rFonts w:hint="eastAsia" w:ascii="仿宋" w:hAnsi="仿宋" w:cs="仿宋"/>
          <w:color w:val="auto"/>
          <w:kern w:val="0"/>
          <w:highlight w:val="none"/>
        </w:rPr>
        <w:t>根据《中华人民共和国政府采购法》第三十六条之规定，在采购中，出现下列情形之一的，应予废标：</w:t>
      </w:r>
    </w:p>
    <w:p w14:paraId="39987F6F">
      <w:pPr>
        <w:numPr>
          <w:ilvl w:val="1"/>
          <w:numId w:val="10"/>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符合专业条件的供应商或者对招标文件作实质响应的供应商不足3家的；</w:t>
      </w:r>
    </w:p>
    <w:p w14:paraId="79E7CCA5">
      <w:pPr>
        <w:numPr>
          <w:ilvl w:val="1"/>
          <w:numId w:val="10"/>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出现影响采购公正的违法、违规行为的；</w:t>
      </w:r>
    </w:p>
    <w:p w14:paraId="36DFE41F">
      <w:pPr>
        <w:numPr>
          <w:ilvl w:val="1"/>
          <w:numId w:val="10"/>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投标人的报价均超过了采购预算，采购人不能支付的；</w:t>
      </w:r>
    </w:p>
    <w:p w14:paraId="732D22BA">
      <w:pPr>
        <w:numPr>
          <w:ilvl w:val="1"/>
          <w:numId w:val="10"/>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因重大变故，采购任务取消的。</w:t>
      </w:r>
    </w:p>
    <w:p w14:paraId="095D5F10">
      <w:pPr>
        <w:pStyle w:val="25"/>
        <w:spacing w:line="312" w:lineRule="auto"/>
        <w:ind w:firstLine="0" w:firstLineChars="0"/>
        <w:rPr>
          <w:rFonts w:hint="eastAsia" w:ascii="仿宋" w:hAnsi="仿宋" w:cs="仿宋"/>
          <w:color w:val="auto"/>
          <w:highlight w:val="none"/>
        </w:rPr>
      </w:pPr>
      <w:r>
        <w:rPr>
          <w:rFonts w:hint="eastAsia" w:ascii="仿宋" w:hAnsi="仿宋" w:cs="仿宋"/>
          <w:color w:val="auto"/>
          <w:highlight w:val="none"/>
        </w:rPr>
        <w:t>废标后，采购代理机构应当将废标理由通知所有投标人。</w:t>
      </w:r>
    </w:p>
    <w:p w14:paraId="45249058">
      <w:pPr>
        <w:numPr>
          <w:ilvl w:val="0"/>
          <w:numId w:val="10"/>
        </w:numPr>
        <w:tabs>
          <w:tab w:val="left" w:pos="210"/>
          <w:tab w:val="clear" w:pos="399"/>
        </w:tabs>
        <w:ind w:left="0" w:firstLine="0"/>
        <w:rPr>
          <w:rFonts w:hint="eastAsia" w:ascii="仿宋" w:hAnsi="仿宋" w:cs="仿宋"/>
          <w:color w:val="auto"/>
          <w:kern w:val="0"/>
          <w:highlight w:val="none"/>
        </w:rPr>
      </w:pPr>
      <w:r>
        <w:rPr>
          <w:rFonts w:hint="eastAsia" w:ascii="仿宋" w:hAnsi="仿宋" w:cs="仿宋"/>
          <w:b/>
          <w:bCs/>
          <w:color w:val="auto"/>
          <w:kern w:val="0"/>
          <w:highlight w:val="none"/>
        </w:rPr>
        <w:t>修改招标文件，重新组织采购活动。</w:t>
      </w:r>
      <w:r>
        <w:rPr>
          <w:rFonts w:hint="eastAsia" w:ascii="仿宋" w:hAnsi="仿宋" w:cs="仿宋"/>
          <w:color w:val="auto"/>
          <w:kern w:val="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ECAF7B">
      <w:pPr>
        <w:numPr>
          <w:ilvl w:val="0"/>
          <w:numId w:val="10"/>
        </w:numPr>
        <w:tabs>
          <w:tab w:val="left" w:pos="210"/>
          <w:tab w:val="clear" w:pos="399"/>
        </w:tabs>
        <w:ind w:left="0" w:firstLine="0"/>
        <w:rPr>
          <w:rFonts w:hint="eastAsia" w:ascii="仿宋" w:hAnsi="仿宋" w:cs="仿宋"/>
          <w:color w:val="auto"/>
          <w:kern w:val="0"/>
          <w:highlight w:val="none"/>
        </w:rPr>
      </w:pPr>
      <w:r>
        <w:rPr>
          <w:rFonts w:hint="eastAsia" w:ascii="仿宋" w:hAnsi="仿宋" w:cs="仿宋"/>
          <w:b/>
          <w:bCs/>
          <w:color w:val="auto"/>
          <w:kern w:val="0"/>
          <w:highlight w:val="none"/>
        </w:rPr>
        <w:t>重新开展采购。</w:t>
      </w:r>
      <w:r>
        <w:rPr>
          <w:rFonts w:hint="eastAsia" w:ascii="仿宋" w:hAnsi="仿宋" w:cs="仿宋"/>
          <w:color w:val="auto"/>
          <w:kern w:val="0"/>
          <w:highlight w:val="none"/>
        </w:rPr>
        <w:t>有政府采购法第七十一条、第七十二条规定的违法行为之一，影响或者可能影响中标、成交结果的，依照下列规定处理：</w:t>
      </w:r>
    </w:p>
    <w:p w14:paraId="78A6F5AD">
      <w:pPr>
        <w:numPr>
          <w:ilvl w:val="1"/>
          <w:numId w:val="11"/>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未确定中标或者中标人的，终止本次政府采购活动，重新开展政府采购活动。</w:t>
      </w:r>
    </w:p>
    <w:p w14:paraId="1FE4D5AA">
      <w:pPr>
        <w:numPr>
          <w:ilvl w:val="1"/>
          <w:numId w:val="11"/>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149683A">
      <w:pPr>
        <w:numPr>
          <w:ilvl w:val="1"/>
          <w:numId w:val="11"/>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政府采购合同已签订但尚未履行的，撤销合同，从合格的中标或者成交候选人中另行确定中标或者中标人；没有合格的中标或者成交候选人的，重新开展政府采购活动。</w:t>
      </w:r>
    </w:p>
    <w:p w14:paraId="721A395D">
      <w:pPr>
        <w:numPr>
          <w:ilvl w:val="1"/>
          <w:numId w:val="11"/>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政府采购合同已经履行，给采购人、供应商造成损失的，由责任人承担赔偿责任。</w:t>
      </w:r>
    </w:p>
    <w:p w14:paraId="70D9347A">
      <w:pPr>
        <w:numPr>
          <w:ilvl w:val="1"/>
          <w:numId w:val="11"/>
        </w:numPr>
        <w:tabs>
          <w:tab w:val="left" w:pos="210"/>
        </w:tabs>
        <w:ind w:left="0" w:firstLine="0"/>
        <w:rPr>
          <w:rFonts w:hint="eastAsia" w:ascii="仿宋" w:hAnsi="仿宋" w:cs="仿宋"/>
          <w:color w:val="auto"/>
          <w:kern w:val="0"/>
          <w:highlight w:val="none"/>
        </w:rPr>
      </w:pPr>
      <w:r>
        <w:rPr>
          <w:rFonts w:hint="eastAsia" w:ascii="仿宋" w:hAnsi="仿宋" w:cs="仿宋"/>
          <w:color w:val="auto"/>
          <w:kern w:val="0"/>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25BB12E0">
      <w:pPr>
        <w:spacing w:line="360" w:lineRule="auto"/>
        <w:jc w:val="center"/>
        <w:outlineLvl w:val="0"/>
        <w:rPr>
          <w:rFonts w:hint="eastAsia" w:ascii="仿宋" w:hAnsi="仿宋" w:cs="仿宋"/>
          <w:b/>
          <w:color w:val="auto"/>
          <w:sz w:val="36"/>
          <w:szCs w:val="36"/>
          <w:highlight w:val="none"/>
        </w:rPr>
      </w:pPr>
      <w:r>
        <w:rPr>
          <w:rFonts w:hint="eastAsia" w:ascii="仿宋" w:hAnsi="仿宋" w:cs="仿宋"/>
          <w:b/>
          <w:color w:val="auto"/>
          <w:sz w:val="36"/>
          <w:szCs w:val="36"/>
          <w:highlight w:val="none"/>
        </w:rPr>
        <w:br w:type="page"/>
      </w:r>
      <w:r>
        <w:rPr>
          <w:rFonts w:hint="eastAsia" w:ascii="仿宋" w:hAnsi="仿宋" w:cs="仿宋"/>
          <w:b/>
          <w:color w:val="auto"/>
          <w:sz w:val="36"/>
          <w:szCs w:val="36"/>
          <w:highlight w:val="none"/>
        </w:rPr>
        <w:t>第五部分  拟签订的合同文本</w:t>
      </w:r>
    </w:p>
    <w:bookmarkEnd w:id="39"/>
    <w:p w14:paraId="3C87375C">
      <w:pPr>
        <w:spacing w:line="360" w:lineRule="auto"/>
        <w:rPr>
          <w:rFonts w:hint="eastAsia" w:ascii="仿宋" w:hAnsi="仿宋" w:cs="仿宋"/>
          <w:color w:val="auto"/>
          <w:spacing w:val="-6"/>
          <w:highlight w:val="none"/>
        </w:rPr>
      </w:pPr>
      <w:bookmarkStart w:id="460" w:name="第五部分"/>
      <w:bookmarkStart w:id="461" w:name="_Toc86217003"/>
      <w:bookmarkStart w:id="462" w:name="_Toc12455"/>
      <w:r>
        <w:rPr>
          <w:rFonts w:hint="eastAsia" w:ascii="仿宋" w:hAnsi="仿宋" w:cs="仿宋"/>
          <w:color w:val="auto"/>
          <w:spacing w:val="-6"/>
          <w:highlight w:val="none"/>
        </w:rPr>
        <w:t>（本合同为合同样稿，最终稿由双方协商后确定，合同实质性内容不得更改；签订合同时删除此行）</w:t>
      </w:r>
    </w:p>
    <w:tbl>
      <w:tblPr>
        <w:tblStyle w:val="62"/>
        <w:tblW w:w="88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14:paraId="6E4B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6" w:type="dxa"/>
            <w:noWrap w:val="0"/>
            <w:vAlign w:val="top"/>
          </w:tcPr>
          <w:p w14:paraId="0205366B">
            <w:pPr>
              <w:pStyle w:val="59"/>
              <w:snapToGrid w:val="0"/>
              <w:spacing w:before="0" w:beforeAutospacing="0" w:after="0" w:afterAutospacing="0" w:line="360" w:lineRule="auto"/>
              <w:ind w:firstLine="560"/>
              <w:jc w:val="center"/>
              <w:rPr>
                <w:rFonts w:cs="仿宋_GB2312"/>
                <w:color w:val="auto"/>
                <w:sz w:val="28"/>
                <w:szCs w:val="28"/>
                <w:highlight w:val="none"/>
              </w:rPr>
            </w:pPr>
            <w:r>
              <w:rPr>
                <w:rFonts w:hint="eastAsia" w:ascii="仿宋" w:hAnsi="仿宋" w:cs="仿宋"/>
                <w:color w:val="auto"/>
                <w:sz w:val="36"/>
                <w:szCs w:val="20"/>
                <w:highlight w:val="none"/>
              </w:rPr>
              <w:br w:type="page"/>
            </w:r>
          </w:p>
          <w:p w14:paraId="10658D56">
            <w:pPr>
              <w:pStyle w:val="5"/>
              <w:ind w:firstLine="422"/>
              <w:jc w:val="center"/>
              <w:rPr>
                <w:color w:val="auto"/>
                <w:highlight w:val="none"/>
              </w:rPr>
            </w:pPr>
            <w:bookmarkStart w:id="463" w:name="_Toc9687"/>
            <w:bookmarkStart w:id="464" w:name="_Toc12896"/>
            <w:bookmarkStart w:id="465" w:name="_Toc25660946"/>
            <w:bookmarkStart w:id="466" w:name="_Toc25897"/>
            <w:r>
              <w:rPr>
                <w:color w:val="auto"/>
                <w:highlight w:val="none"/>
              </w:rPr>
              <w:t>建 设 工 程 （勘察）设 计 合 同</w:t>
            </w:r>
            <w:bookmarkEnd w:id="463"/>
            <w:bookmarkEnd w:id="464"/>
            <w:bookmarkEnd w:id="465"/>
            <w:bookmarkEnd w:id="466"/>
          </w:p>
          <w:p w14:paraId="368C7D35">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035E3DD3">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3DC18BEB">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7DD634E8">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68F2D946">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19DB4ABB">
            <w:pPr>
              <w:pStyle w:val="59"/>
              <w:snapToGrid w:val="0"/>
              <w:spacing w:before="0" w:beforeAutospacing="0" w:after="0" w:afterAutospacing="0" w:line="360" w:lineRule="auto"/>
              <w:ind w:firstLine="560"/>
              <w:jc w:val="both"/>
              <w:rPr>
                <w:rFonts w:hint="eastAsia" w:cs="仿宋_GB2312"/>
                <w:color w:val="auto"/>
                <w:sz w:val="28"/>
                <w:szCs w:val="28"/>
                <w:highlight w:val="none"/>
              </w:rPr>
            </w:pPr>
            <w:r>
              <w:rPr>
                <w:rFonts w:cs="仿宋_GB2312"/>
                <w:color w:val="auto"/>
                <w:sz w:val="28"/>
                <w:szCs w:val="28"/>
                <w:highlight w:val="none"/>
              </w:rPr>
              <w:t>工程名称：</w:t>
            </w:r>
            <w:r>
              <w:rPr>
                <w:rFonts w:hint="eastAsia" w:cs="仿宋_GB2312"/>
                <w:color w:val="auto"/>
                <w:sz w:val="28"/>
                <w:szCs w:val="28"/>
                <w:highlight w:val="none"/>
              </w:rPr>
              <w:t xml:space="preserve"> </w:t>
            </w:r>
          </w:p>
          <w:p w14:paraId="4ACF0E18">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工程地点:</w:t>
            </w:r>
            <w:r>
              <w:rPr>
                <w:rFonts w:cs="仿宋_GB2312"/>
                <w:color w:val="auto"/>
                <w:sz w:val="28"/>
                <w:szCs w:val="28"/>
                <w:highlight w:val="none"/>
                <w:u w:val="single"/>
              </w:rPr>
              <w:t xml:space="preserve">                                             </w:t>
            </w:r>
            <w:r>
              <w:rPr>
                <w:rFonts w:cs="仿宋_GB2312"/>
                <w:color w:val="auto"/>
                <w:sz w:val="28"/>
                <w:szCs w:val="28"/>
                <w:highlight w:val="none"/>
              </w:rPr>
              <w:t xml:space="preserve"> </w:t>
            </w:r>
          </w:p>
          <w:p w14:paraId="7C5445A2">
            <w:pPr>
              <w:pStyle w:val="59"/>
              <w:snapToGrid w:val="0"/>
              <w:spacing w:before="0" w:beforeAutospacing="0" w:after="0" w:afterAutospacing="0" w:line="360" w:lineRule="auto"/>
              <w:ind w:firstLine="560"/>
              <w:jc w:val="both"/>
              <w:rPr>
                <w:rFonts w:cs="仿宋_GB2312"/>
                <w:color w:val="auto"/>
                <w:sz w:val="28"/>
                <w:szCs w:val="28"/>
                <w:highlight w:val="none"/>
                <w:u w:val="single"/>
              </w:rPr>
            </w:pPr>
            <w:r>
              <w:rPr>
                <w:rFonts w:cs="仿宋_GB2312"/>
                <w:color w:val="auto"/>
                <w:sz w:val="28"/>
                <w:szCs w:val="28"/>
                <w:highlight w:val="none"/>
              </w:rPr>
              <w:t>合同编号：</w:t>
            </w:r>
            <w:r>
              <w:rPr>
                <w:rFonts w:cs="仿宋_GB2312"/>
                <w:color w:val="auto"/>
                <w:sz w:val="28"/>
                <w:szCs w:val="28"/>
                <w:highlight w:val="none"/>
                <w:u w:val="single"/>
              </w:rPr>
              <w:t xml:space="preserve">                                            </w:t>
            </w:r>
          </w:p>
          <w:p w14:paraId="7B1C84D7">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4E811FAB">
            <w:pPr>
              <w:pStyle w:val="59"/>
              <w:snapToGrid w:val="0"/>
              <w:spacing w:before="0" w:beforeAutospacing="0" w:after="0" w:afterAutospacing="0" w:line="360" w:lineRule="auto"/>
              <w:ind w:firstLine="560"/>
              <w:jc w:val="both"/>
              <w:rPr>
                <w:rFonts w:cs="仿宋_GB2312"/>
                <w:color w:val="auto"/>
                <w:sz w:val="28"/>
                <w:szCs w:val="28"/>
                <w:highlight w:val="none"/>
              </w:rPr>
            </w:pPr>
          </w:p>
          <w:p w14:paraId="21633CD2">
            <w:pPr>
              <w:pStyle w:val="59"/>
              <w:snapToGrid w:val="0"/>
              <w:spacing w:before="0" w:beforeAutospacing="0" w:after="0" w:afterAutospacing="0" w:line="360" w:lineRule="auto"/>
              <w:ind w:firstLine="560"/>
              <w:jc w:val="both"/>
              <w:rPr>
                <w:rFonts w:cs="仿宋_GB2312"/>
                <w:color w:val="auto"/>
                <w:sz w:val="28"/>
                <w:szCs w:val="28"/>
                <w:highlight w:val="none"/>
              </w:rPr>
            </w:pPr>
          </w:p>
          <w:p w14:paraId="25BC7159">
            <w:pPr>
              <w:pStyle w:val="59"/>
              <w:snapToGrid w:val="0"/>
              <w:spacing w:before="0" w:beforeAutospacing="0" w:after="0" w:afterAutospacing="0" w:line="360" w:lineRule="auto"/>
              <w:ind w:firstLine="560"/>
              <w:jc w:val="both"/>
              <w:rPr>
                <w:rFonts w:hint="eastAsia" w:cs="仿宋_GB2312"/>
                <w:color w:val="auto"/>
                <w:sz w:val="28"/>
                <w:szCs w:val="28"/>
                <w:highlight w:val="none"/>
              </w:rPr>
            </w:pPr>
          </w:p>
          <w:p w14:paraId="707BE5FC">
            <w:pPr>
              <w:pStyle w:val="59"/>
              <w:snapToGrid w:val="0"/>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299CB099">
            <w:pPr>
              <w:pStyle w:val="59"/>
              <w:snapToGrid w:val="0"/>
              <w:spacing w:before="0" w:beforeAutospacing="0" w:after="0" w:afterAutospacing="0" w:line="360" w:lineRule="auto"/>
              <w:ind w:firstLine="560"/>
              <w:jc w:val="both"/>
              <w:rPr>
                <w:rFonts w:cs="仿宋_GB2312"/>
                <w:color w:val="auto"/>
                <w:sz w:val="28"/>
                <w:szCs w:val="28"/>
                <w:highlight w:val="none"/>
                <w:u w:val="single"/>
              </w:rPr>
            </w:pPr>
            <w:r>
              <w:rPr>
                <w:rFonts w:cs="仿宋_GB2312"/>
                <w:color w:val="auto"/>
                <w:sz w:val="28"/>
                <w:szCs w:val="28"/>
                <w:highlight w:val="none"/>
              </w:rPr>
              <w:t>勘察、设计证书等级：</w:t>
            </w:r>
            <w:r>
              <w:rPr>
                <w:rFonts w:cs="仿宋_GB2312"/>
                <w:color w:val="auto"/>
                <w:sz w:val="28"/>
                <w:szCs w:val="28"/>
                <w:highlight w:val="none"/>
                <w:u w:val="single"/>
              </w:rPr>
              <w:t xml:space="preserve">                             </w:t>
            </w:r>
          </w:p>
          <w:p w14:paraId="6BE332BB">
            <w:pPr>
              <w:pStyle w:val="59"/>
              <w:snapToGrid w:val="0"/>
              <w:spacing w:before="0" w:beforeAutospacing="0" w:after="0" w:afterAutospacing="0" w:line="360" w:lineRule="auto"/>
              <w:ind w:firstLine="560"/>
              <w:jc w:val="both"/>
              <w:rPr>
                <w:rFonts w:hint="eastAsia" w:cs="仿宋_GB2312"/>
                <w:color w:val="auto"/>
                <w:sz w:val="28"/>
                <w:szCs w:val="28"/>
                <w:highlight w:val="none"/>
                <w:u w:val="single"/>
              </w:rPr>
            </w:pPr>
            <w:r>
              <w:rPr>
                <w:rFonts w:cs="仿宋_GB2312"/>
                <w:color w:val="auto"/>
                <w:sz w:val="28"/>
                <w:szCs w:val="28"/>
                <w:highlight w:val="none"/>
              </w:rPr>
              <w:t>采购人：</w:t>
            </w:r>
            <w:r>
              <w:rPr>
                <w:rFonts w:hint="eastAsia" w:cs="仿宋_GB2312"/>
                <w:color w:val="auto"/>
                <w:sz w:val="28"/>
                <w:szCs w:val="28"/>
                <w:highlight w:val="none"/>
                <w:u w:val="single"/>
              </w:rPr>
              <w:t>浙江省钱塘江流域中心</w:t>
            </w:r>
          </w:p>
          <w:p w14:paraId="755F0F9B">
            <w:pPr>
              <w:pStyle w:val="59"/>
              <w:snapToGrid w:val="0"/>
              <w:spacing w:before="0" w:beforeAutospacing="0" w:after="0" w:afterAutospacing="0" w:line="360" w:lineRule="auto"/>
              <w:ind w:firstLine="560"/>
              <w:jc w:val="both"/>
              <w:rPr>
                <w:rFonts w:cs="仿宋_GB2312"/>
                <w:color w:val="auto"/>
                <w:sz w:val="28"/>
                <w:szCs w:val="28"/>
                <w:highlight w:val="none"/>
                <w:u w:val="single"/>
              </w:rPr>
            </w:pPr>
            <w:r>
              <w:rPr>
                <w:rFonts w:cs="仿宋_GB2312"/>
                <w:color w:val="auto"/>
                <w:sz w:val="28"/>
                <w:szCs w:val="28"/>
                <w:highlight w:val="none"/>
              </w:rPr>
              <w:t>承包人：</w:t>
            </w:r>
            <w:r>
              <w:rPr>
                <w:rFonts w:cs="仿宋_GB2312"/>
                <w:color w:val="auto"/>
                <w:sz w:val="28"/>
                <w:szCs w:val="28"/>
                <w:highlight w:val="none"/>
                <w:u w:val="single"/>
              </w:rPr>
              <w:t xml:space="preserve">                                         </w:t>
            </w:r>
          </w:p>
          <w:p w14:paraId="625693D1">
            <w:pPr>
              <w:pStyle w:val="59"/>
              <w:snapToGrid w:val="0"/>
              <w:spacing w:before="0" w:beforeAutospacing="0" w:after="0" w:afterAutospacing="0" w:line="360" w:lineRule="auto"/>
              <w:ind w:firstLine="560"/>
              <w:jc w:val="both"/>
              <w:rPr>
                <w:rFonts w:cs="仿宋_GB2312"/>
                <w:color w:val="auto"/>
                <w:sz w:val="28"/>
                <w:szCs w:val="28"/>
                <w:highlight w:val="none"/>
                <w:u w:val="single"/>
              </w:rPr>
            </w:pPr>
            <w:r>
              <w:rPr>
                <w:rFonts w:hint="eastAsia" w:cs="仿宋_GB2312"/>
                <w:color w:val="auto"/>
                <w:sz w:val="28"/>
                <w:szCs w:val="28"/>
                <w:highlight w:val="none"/>
              </w:rPr>
              <w:t>见证方：</w:t>
            </w:r>
            <w:r>
              <w:rPr>
                <w:rFonts w:hint="eastAsia" w:cs="仿宋_GB2312"/>
                <w:color w:val="auto"/>
                <w:sz w:val="28"/>
                <w:szCs w:val="28"/>
                <w:highlight w:val="none"/>
                <w:u w:val="single"/>
              </w:rPr>
              <w:t>浙江中际工程项目管理有限公司</w:t>
            </w:r>
          </w:p>
          <w:p w14:paraId="17215F38">
            <w:pPr>
              <w:pStyle w:val="59"/>
              <w:snapToGrid w:val="0"/>
              <w:spacing w:before="0" w:beforeAutospacing="0" w:after="0" w:afterAutospacing="0" w:line="360" w:lineRule="auto"/>
              <w:ind w:firstLine="560"/>
              <w:jc w:val="both"/>
              <w:rPr>
                <w:rFonts w:hint="eastAsia" w:cs="仿宋_GB2312"/>
                <w:color w:val="auto"/>
                <w:sz w:val="28"/>
                <w:szCs w:val="28"/>
                <w:highlight w:val="none"/>
                <w:u w:val="single"/>
              </w:rPr>
            </w:pPr>
          </w:p>
          <w:p w14:paraId="4FD89CD0">
            <w:pPr>
              <w:pStyle w:val="59"/>
              <w:snapToGrid w:val="0"/>
              <w:spacing w:before="0" w:beforeAutospacing="0" w:after="0" w:afterAutospacing="0"/>
              <w:ind w:firstLine="560"/>
              <w:jc w:val="both"/>
              <w:rPr>
                <w:color w:val="auto"/>
                <w:highlight w:val="none"/>
              </w:rPr>
            </w:pPr>
            <w:r>
              <w:rPr>
                <w:rFonts w:cs="仿宋_GB2312"/>
                <w:color w:val="auto"/>
                <w:sz w:val="28"/>
                <w:szCs w:val="28"/>
                <w:highlight w:val="none"/>
              </w:rPr>
              <w:t xml:space="preserve">                    签订日期：</w:t>
            </w:r>
            <w:r>
              <w:rPr>
                <w:rFonts w:cs="仿宋_GB2312"/>
                <w:color w:val="auto"/>
                <w:sz w:val="28"/>
                <w:szCs w:val="28"/>
                <w:highlight w:val="none"/>
                <w:u w:val="single"/>
              </w:rPr>
              <w:t xml:space="preserve">                   </w:t>
            </w:r>
          </w:p>
          <w:p w14:paraId="0C55C5E8">
            <w:pPr>
              <w:pStyle w:val="59"/>
              <w:snapToGrid w:val="0"/>
              <w:spacing w:before="0" w:beforeAutospacing="0" w:after="0" w:afterAutospacing="0"/>
              <w:ind w:firstLine="560"/>
              <w:jc w:val="both"/>
              <w:rPr>
                <w:rFonts w:cs="仿宋_GB2312"/>
                <w:color w:val="auto"/>
                <w:sz w:val="28"/>
                <w:szCs w:val="28"/>
                <w:highlight w:val="none"/>
              </w:rPr>
            </w:pPr>
          </w:p>
        </w:tc>
      </w:tr>
    </w:tbl>
    <w:p w14:paraId="7E9B5577">
      <w:pPr>
        <w:pStyle w:val="59"/>
        <w:spacing w:before="0" w:beforeAutospacing="0" w:after="0" w:afterAutospacing="0" w:line="360" w:lineRule="auto"/>
        <w:jc w:val="both"/>
        <w:rPr>
          <w:rFonts w:cs="仿宋_GB2312"/>
          <w:b/>
          <w:color w:val="auto"/>
          <w:sz w:val="21"/>
          <w:highlight w:val="none"/>
          <w:u w:val="single"/>
        </w:rPr>
      </w:pPr>
      <w:r>
        <w:rPr>
          <w:rFonts w:cs="仿宋_GB2312"/>
          <w:color w:val="auto"/>
          <w:sz w:val="28"/>
          <w:szCs w:val="28"/>
          <w:highlight w:val="none"/>
        </w:rPr>
        <w:br w:type="page"/>
      </w:r>
      <w:r>
        <w:rPr>
          <w:rFonts w:cs="仿宋_GB2312"/>
          <w:b/>
          <w:color w:val="auto"/>
          <w:sz w:val="21"/>
          <w:highlight w:val="none"/>
        </w:rPr>
        <w:t>采购人：</w:t>
      </w:r>
    </w:p>
    <w:p w14:paraId="6A75376C">
      <w:pPr>
        <w:pStyle w:val="59"/>
        <w:spacing w:before="0" w:beforeAutospacing="0" w:after="0" w:afterAutospacing="0" w:line="360" w:lineRule="auto"/>
        <w:jc w:val="both"/>
        <w:rPr>
          <w:rFonts w:cs="仿宋_GB2312"/>
          <w:b/>
          <w:color w:val="auto"/>
          <w:sz w:val="21"/>
          <w:highlight w:val="none"/>
          <w:u w:val="single"/>
        </w:rPr>
      </w:pPr>
      <w:r>
        <w:rPr>
          <w:rFonts w:cs="仿宋_GB2312"/>
          <w:b/>
          <w:color w:val="auto"/>
          <w:sz w:val="21"/>
          <w:highlight w:val="none"/>
        </w:rPr>
        <w:t>承包人：</w:t>
      </w:r>
      <w:r>
        <w:rPr>
          <w:rFonts w:cs="仿宋_GB2312"/>
          <w:b/>
          <w:color w:val="auto"/>
          <w:sz w:val="21"/>
          <w:highlight w:val="none"/>
          <w:u w:val="single"/>
        </w:rPr>
        <w:t xml:space="preserve">                                      </w:t>
      </w:r>
    </w:p>
    <w:p w14:paraId="4A2CBB95">
      <w:pPr>
        <w:pStyle w:val="59"/>
        <w:spacing w:before="0" w:beforeAutospacing="0" w:after="0" w:afterAutospacing="0" w:line="360" w:lineRule="auto"/>
        <w:jc w:val="both"/>
        <w:rPr>
          <w:rFonts w:cs="仿宋_GB2312"/>
          <w:b/>
          <w:color w:val="auto"/>
          <w:sz w:val="21"/>
          <w:highlight w:val="none"/>
        </w:rPr>
      </w:pPr>
      <w:r>
        <w:rPr>
          <w:rFonts w:hint="eastAsia" w:cs="仿宋_GB2312"/>
          <w:b/>
          <w:color w:val="auto"/>
          <w:sz w:val="21"/>
          <w:highlight w:val="none"/>
        </w:rPr>
        <w:t>见证方：</w:t>
      </w:r>
    </w:p>
    <w:p w14:paraId="08E0FBFD">
      <w:pPr>
        <w:pStyle w:val="59"/>
        <w:spacing w:before="0" w:beforeAutospacing="0" w:after="0" w:afterAutospacing="0" w:line="360" w:lineRule="auto"/>
        <w:jc w:val="both"/>
        <w:rPr>
          <w:rFonts w:cs="仿宋_GB2312"/>
          <w:b/>
          <w:color w:val="auto"/>
          <w:sz w:val="21"/>
          <w:highlight w:val="none"/>
        </w:rPr>
      </w:pPr>
      <w:r>
        <w:rPr>
          <w:rFonts w:cs="仿宋_GB2312"/>
          <w:b/>
          <w:color w:val="auto"/>
          <w:sz w:val="21"/>
          <w:highlight w:val="none"/>
        </w:rPr>
        <w:t xml:space="preserve">                                      </w:t>
      </w:r>
    </w:p>
    <w:p w14:paraId="692A75AB">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 xml:space="preserve"> </w:t>
      </w:r>
      <w:r>
        <w:rPr>
          <w:rFonts w:hint="eastAsia" w:cs="仿宋_GB2312"/>
          <w:color w:val="auto"/>
          <w:sz w:val="21"/>
          <w:highlight w:val="none"/>
          <w:u w:val="single"/>
        </w:rPr>
        <w:t xml:space="preserve"> </w:t>
      </w:r>
      <w:r>
        <w:rPr>
          <w:rFonts w:cs="仿宋_GB2312"/>
          <w:color w:val="auto"/>
          <w:sz w:val="21"/>
          <w:highlight w:val="none"/>
          <w:u w:val="single"/>
        </w:rPr>
        <w:t xml:space="preserve">    </w:t>
      </w:r>
      <w:r>
        <w:rPr>
          <w:rFonts w:cs="仿宋_GB2312"/>
          <w:color w:val="auto"/>
          <w:sz w:val="21"/>
          <w:highlight w:val="none"/>
        </w:rPr>
        <w:t>（以下简称采购人）在</w:t>
      </w:r>
      <w:r>
        <w:rPr>
          <w:rFonts w:hint="eastAsia" w:cs="仿宋_GB2312"/>
          <w:color w:val="auto"/>
          <w:sz w:val="21"/>
          <w:highlight w:val="none"/>
          <w:u w:val="single"/>
        </w:rPr>
        <w:t xml:space="preserve"> </w:t>
      </w:r>
      <w:r>
        <w:rPr>
          <w:rFonts w:cs="仿宋_GB2312"/>
          <w:color w:val="auto"/>
          <w:sz w:val="21"/>
          <w:highlight w:val="none"/>
          <w:u w:val="single"/>
        </w:rPr>
        <w:t xml:space="preserve">      </w:t>
      </w:r>
      <w:r>
        <w:rPr>
          <w:rFonts w:cs="仿宋_GB2312"/>
          <w:color w:val="auto"/>
          <w:sz w:val="21"/>
          <w:highlight w:val="none"/>
        </w:rPr>
        <w:t>招标中，接受了</w:t>
      </w:r>
      <w:r>
        <w:rPr>
          <w:rFonts w:cs="仿宋_GB2312"/>
          <w:color w:val="auto"/>
          <w:sz w:val="21"/>
          <w:highlight w:val="none"/>
          <w:u w:val="single"/>
        </w:rPr>
        <w:t xml:space="preserve">    （承包人名称）        </w:t>
      </w:r>
      <w:r>
        <w:rPr>
          <w:rFonts w:cs="仿宋_GB2312"/>
          <w:color w:val="auto"/>
          <w:sz w:val="21"/>
          <w:highlight w:val="none"/>
        </w:rPr>
        <w:t>（以下称承包人）的投标，采购人委托承包人承担________________________________项目，工程地点为_______________________________，经双方协商一致，签订本合同，共同执行。</w:t>
      </w:r>
    </w:p>
    <w:p w14:paraId="6C83CC16">
      <w:pPr>
        <w:keepNext/>
        <w:keepLines/>
        <w:autoSpaceDE w:val="0"/>
        <w:autoSpaceDN w:val="0"/>
        <w:adjustRightInd w:val="0"/>
        <w:snapToGrid w:val="0"/>
        <w:spacing w:line="360" w:lineRule="auto"/>
        <w:jc w:val="left"/>
        <w:textAlignment w:val="baseline"/>
        <w:outlineLvl w:val="1"/>
        <w:rPr>
          <w:rFonts w:hint="eastAsia" w:ascii="仿宋_GB2312"/>
          <w:b/>
          <w:bCs/>
          <w:color w:val="auto"/>
          <w:kern w:val="0"/>
          <w:sz w:val="28"/>
          <w:szCs w:val="32"/>
          <w:highlight w:val="none"/>
        </w:rPr>
      </w:pPr>
      <w:bookmarkStart w:id="467" w:name="_Toc25660947"/>
      <w:bookmarkStart w:id="468" w:name="_Toc14187"/>
      <w:bookmarkStart w:id="469" w:name="_Toc27776"/>
      <w:bookmarkStart w:id="470" w:name="_Toc475830727"/>
      <w:bookmarkStart w:id="471" w:name="_Toc2358"/>
      <w:bookmarkStart w:id="472" w:name="_Toc8229"/>
      <w:bookmarkStart w:id="473" w:name="_Toc1373"/>
      <w:r>
        <w:rPr>
          <w:rFonts w:hint="eastAsia" w:ascii="仿宋_GB2312"/>
          <w:b/>
          <w:bCs/>
          <w:color w:val="auto"/>
          <w:kern w:val="0"/>
          <w:sz w:val="28"/>
          <w:szCs w:val="32"/>
          <w:highlight w:val="none"/>
        </w:rPr>
        <w:t>第</w:t>
      </w:r>
      <w:r>
        <w:rPr>
          <w:rFonts w:ascii="仿宋_GB2312"/>
          <w:b/>
          <w:bCs/>
          <w:color w:val="auto"/>
          <w:kern w:val="0"/>
          <w:sz w:val="28"/>
          <w:szCs w:val="32"/>
          <w:highlight w:val="none"/>
        </w:rPr>
        <w:t>一条　</w:t>
      </w:r>
      <w:r>
        <w:rPr>
          <w:rFonts w:hint="eastAsia" w:ascii="仿宋_GB2312"/>
          <w:b/>
          <w:bCs/>
          <w:color w:val="auto"/>
          <w:kern w:val="0"/>
          <w:sz w:val="28"/>
          <w:szCs w:val="32"/>
          <w:highlight w:val="none"/>
        </w:rPr>
        <w:t>定义</w:t>
      </w:r>
      <w:bookmarkEnd w:id="467"/>
      <w:bookmarkEnd w:id="468"/>
      <w:bookmarkEnd w:id="469"/>
      <w:bookmarkEnd w:id="470"/>
      <w:bookmarkEnd w:id="471"/>
      <w:bookmarkEnd w:id="472"/>
    </w:p>
    <w:p w14:paraId="3711AFBC">
      <w:pPr>
        <w:spacing w:line="360" w:lineRule="auto"/>
        <w:ind w:firstLine="495"/>
        <w:rPr>
          <w:color w:val="auto"/>
          <w:szCs w:val="22"/>
          <w:highlight w:val="none"/>
        </w:rPr>
      </w:pPr>
      <w:r>
        <w:rPr>
          <w:rFonts w:hint="eastAsia"/>
          <w:color w:val="auto"/>
          <w:szCs w:val="22"/>
          <w:highlight w:val="none"/>
        </w:rPr>
        <w:t>本合同条款中使用的以下术语及词语，除上下文另有要求外，应具有本条款所赋予的含义：</w:t>
      </w:r>
    </w:p>
    <w:p w14:paraId="765E7F9A">
      <w:pPr>
        <w:spacing w:line="360" w:lineRule="auto"/>
        <w:ind w:firstLine="495"/>
        <w:rPr>
          <w:color w:val="auto"/>
          <w:szCs w:val="22"/>
          <w:highlight w:val="none"/>
        </w:rPr>
      </w:pPr>
      <w:r>
        <w:rPr>
          <w:rFonts w:hint="eastAsia"/>
          <w:color w:val="auto"/>
          <w:szCs w:val="22"/>
          <w:highlight w:val="none"/>
        </w:rPr>
        <w:t>⑴</w:t>
      </w:r>
      <w:r>
        <w:rPr>
          <w:color w:val="auto"/>
          <w:szCs w:val="22"/>
          <w:highlight w:val="none"/>
        </w:rPr>
        <w:t xml:space="preserve"> </w:t>
      </w:r>
      <w:r>
        <w:rPr>
          <w:rFonts w:hint="eastAsia"/>
          <w:color w:val="auto"/>
          <w:szCs w:val="22"/>
          <w:highlight w:val="none"/>
        </w:rPr>
        <w:t>“合同”：指本合同条款、中标通知书，以及其他明确列入中标通知书或合同条款中的此类文件。</w:t>
      </w:r>
    </w:p>
    <w:p w14:paraId="521F1BDD">
      <w:pPr>
        <w:spacing w:line="360" w:lineRule="auto"/>
        <w:ind w:firstLine="495"/>
        <w:rPr>
          <w:color w:val="auto"/>
          <w:szCs w:val="22"/>
          <w:highlight w:val="none"/>
        </w:rPr>
      </w:pPr>
      <w:r>
        <w:rPr>
          <w:rFonts w:hint="eastAsia"/>
          <w:color w:val="auto"/>
          <w:szCs w:val="22"/>
          <w:highlight w:val="none"/>
        </w:rPr>
        <w:t>⑵</w:t>
      </w:r>
      <w:r>
        <w:rPr>
          <w:color w:val="auto"/>
          <w:szCs w:val="22"/>
          <w:highlight w:val="none"/>
        </w:rPr>
        <w:t xml:space="preserve"> </w:t>
      </w:r>
      <w:r>
        <w:rPr>
          <w:rFonts w:hint="eastAsia"/>
          <w:color w:val="auto"/>
          <w:szCs w:val="22"/>
          <w:highlight w:val="none"/>
        </w:rPr>
        <w:t>“发包人”：协议条款约定的、具有发包主体资格和支付工程设计价款能力的当事人。</w:t>
      </w:r>
    </w:p>
    <w:p w14:paraId="304156F7">
      <w:pPr>
        <w:spacing w:line="360" w:lineRule="auto"/>
        <w:ind w:firstLine="495"/>
        <w:rPr>
          <w:color w:val="auto"/>
          <w:szCs w:val="22"/>
          <w:highlight w:val="none"/>
        </w:rPr>
      </w:pPr>
      <w:r>
        <w:rPr>
          <w:rFonts w:hint="eastAsia"/>
          <w:color w:val="auto"/>
          <w:szCs w:val="22"/>
          <w:highlight w:val="none"/>
        </w:rPr>
        <w:t>⑶</w:t>
      </w:r>
      <w:r>
        <w:rPr>
          <w:color w:val="auto"/>
          <w:szCs w:val="22"/>
          <w:highlight w:val="none"/>
        </w:rPr>
        <w:t xml:space="preserve"> </w:t>
      </w:r>
      <w:r>
        <w:rPr>
          <w:rFonts w:hint="eastAsia"/>
          <w:color w:val="auto"/>
          <w:szCs w:val="22"/>
          <w:highlight w:val="none"/>
        </w:rPr>
        <w:t>“设计方”：具有承包主体资格并被委托方接受的当事人。</w:t>
      </w:r>
    </w:p>
    <w:p w14:paraId="0B7BA601">
      <w:pPr>
        <w:spacing w:line="360" w:lineRule="auto"/>
        <w:ind w:firstLine="495"/>
        <w:rPr>
          <w:color w:val="auto"/>
          <w:szCs w:val="22"/>
          <w:highlight w:val="none"/>
        </w:rPr>
      </w:pPr>
      <w:r>
        <w:rPr>
          <w:rFonts w:hint="eastAsia"/>
          <w:color w:val="auto"/>
          <w:szCs w:val="22"/>
          <w:highlight w:val="none"/>
        </w:rPr>
        <w:t>⑷</w:t>
      </w:r>
      <w:r>
        <w:rPr>
          <w:color w:val="auto"/>
          <w:szCs w:val="22"/>
          <w:highlight w:val="none"/>
        </w:rPr>
        <w:t xml:space="preserve"> </w:t>
      </w:r>
      <w:r>
        <w:rPr>
          <w:rFonts w:hint="eastAsia"/>
          <w:color w:val="auto"/>
          <w:szCs w:val="22"/>
          <w:highlight w:val="none"/>
        </w:rPr>
        <w:t>“投标文件”：指设计方按照合同规定为实施完成本工程的</w:t>
      </w:r>
      <w:r>
        <w:rPr>
          <w:rFonts w:hint="eastAsia"/>
          <w:color w:val="auto"/>
          <w:szCs w:val="22"/>
          <w:highlight w:val="none"/>
          <w:lang w:val="en-US" w:eastAsia="zh-CN"/>
        </w:rPr>
        <w:t>服务</w:t>
      </w:r>
      <w:r>
        <w:rPr>
          <w:rFonts w:hint="eastAsia"/>
          <w:color w:val="auto"/>
          <w:szCs w:val="22"/>
          <w:highlight w:val="none"/>
        </w:rPr>
        <w:t>而向招标方提交的，并为中标通知书所接受的投标文件及报价。</w:t>
      </w:r>
    </w:p>
    <w:p w14:paraId="6EC86ECC">
      <w:pPr>
        <w:spacing w:line="360" w:lineRule="auto"/>
        <w:ind w:firstLine="495"/>
        <w:rPr>
          <w:color w:val="auto"/>
          <w:szCs w:val="22"/>
          <w:highlight w:val="none"/>
        </w:rPr>
      </w:pPr>
      <w:r>
        <w:rPr>
          <w:rFonts w:hint="eastAsia"/>
          <w:color w:val="auto"/>
          <w:szCs w:val="22"/>
          <w:highlight w:val="none"/>
        </w:rPr>
        <w:t>⑸</w:t>
      </w:r>
      <w:r>
        <w:rPr>
          <w:color w:val="auto"/>
          <w:szCs w:val="22"/>
          <w:highlight w:val="none"/>
        </w:rPr>
        <w:t xml:space="preserve"> </w:t>
      </w:r>
      <w:r>
        <w:rPr>
          <w:rFonts w:hint="eastAsia"/>
          <w:color w:val="auto"/>
          <w:szCs w:val="22"/>
          <w:highlight w:val="none"/>
        </w:rPr>
        <w:t>“中标通知书”：指委托方正式接受设计方投标的接受函件。</w:t>
      </w:r>
    </w:p>
    <w:p w14:paraId="47E49D26">
      <w:pPr>
        <w:spacing w:line="360" w:lineRule="auto"/>
        <w:ind w:firstLine="495"/>
        <w:rPr>
          <w:color w:val="auto"/>
          <w:szCs w:val="22"/>
          <w:highlight w:val="none"/>
        </w:rPr>
      </w:pPr>
      <w:r>
        <w:rPr>
          <w:rFonts w:hint="eastAsia"/>
          <w:color w:val="auto"/>
          <w:szCs w:val="22"/>
          <w:highlight w:val="none"/>
        </w:rPr>
        <w:t>⑹</w:t>
      </w:r>
      <w:r>
        <w:rPr>
          <w:color w:val="auto"/>
          <w:szCs w:val="22"/>
          <w:highlight w:val="none"/>
        </w:rPr>
        <w:t xml:space="preserve"> </w:t>
      </w:r>
      <w:r>
        <w:rPr>
          <w:rFonts w:hint="eastAsia"/>
          <w:color w:val="auto"/>
          <w:szCs w:val="22"/>
          <w:highlight w:val="none"/>
        </w:rPr>
        <w:t>“工程”：协议条款约定具体内容的永久工程和有关的临时工程。</w:t>
      </w:r>
    </w:p>
    <w:p w14:paraId="3990A15A">
      <w:pPr>
        <w:spacing w:line="360" w:lineRule="auto"/>
        <w:ind w:firstLine="495"/>
        <w:rPr>
          <w:color w:val="auto"/>
          <w:szCs w:val="22"/>
          <w:highlight w:val="none"/>
        </w:rPr>
      </w:pPr>
      <w:r>
        <w:rPr>
          <w:rFonts w:hint="eastAsia"/>
          <w:color w:val="auto"/>
          <w:szCs w:val="22"/>
          <w:highlight w:val="none"/>
        </w:rPr>
        <w:t>⑺</w:t>
      </w:r>
      <w:r>
        <w:rPr>
          <w:color w:val="auto"/>
          <w:szCs w:val="22"/>
          <w:highlight w:val="none"/>
        </w:rPr>
        <w:t xml:space="preserve"> </w:t>
      </w:r>
      <w:r>
        <w:rPr>
          <w:rFonts w:hint="eastAsia"/>
          <w:color w:val="auto"/>
          <w:szCs w:val="22"/>
          <w:highlight w:val="none"/>
        </w:rPr>
        <w:t>“合同价款”：指根据合同条款，用以支付设计方为完成</w:t>
      </w:r>
      <w:r>
        <w:rPr>
          <w:rFonts w:hint="eastAsia"/>
          <w:color w:val="auto"/>
          <w:szCs w:val="22"/>
          <w:highlight w:val="none"/>
          <w:lang w:val="en-US" w:eastAsia="zh-CN"/>
        </w:rPr>
        <w:t>项目建议书</w:t>
      </w:r>
      <w:r>
        <w:rPr>
          <w:rFonts w:hint="eastAsia"/>
          <w:color w:val="auto"/>
          <w:szCs w:val="22"/>
          <w:highlight w:val="none"/>
        </w:rPr>
        <w:t>及有关工作的金额。</w:t>
      </w:r>
    </w:p>
    <w:p w14:paraId="7FE7739C">
      <w:pPr>
        <w:spacing w:line="360" w:lineRule="auto"/>
        <w:ind w:firstLine="495"/>
        <w:rPr>
          <w:color w:val="auto"/>
          <w:szCs w:val="22"/>
          <w:highlight w:val="none"/>
        </w:rPr>
      </w:pPr>
      <w:r>
        <w:rPr>
          <w:rFonts w:hint="eastAsia"/>
          <w:color w:val="auto"/>
          <w:szCs w:val="22"/>
          <w:highlight w:val="none"/>
        </w:rPr>
        <w:t>⑻</w:t>
      </w:r>
      <w:r>
        <w:rPr>
          <w:color w:val="auto"/>
          <w:szCs w:val="22"/>
          <w:highlight w:val="none"/>
        </w:rPr>
        <w:t xml:space="preserve"> </w:t>
      </w:r>
      <w:r>
        <w:rPr>
          <w:rFonts w:hint="eastAsia"/>
          <w:color w:val="auto"/>
          <w:szCs w:val="22"/>
          <w:highlight w:val="none"/>
        </w:rPr>
        <w:t>“工程协调会”：是指检查工作进展有关问题协调的会议，应参加会议的人员有：委托方代表、设计方代表等。</w:t>
      </w:r>
    </w:p>
    <w:p w14:paraId="61F1C331">
      <w:pPr>
        <w:spacing w:line="360" w:lineRule="auto"/>
        <w:ind w:firstLine="495"/>
        <w:rPr>
          <w:color w:val="auto"/>
          <w:szCs w:val="22"/>
          <w:highlight w:val="none"/>
        </w:rPr>
      </w:pPr>
      <w:r>
        <w:rPr>
          <w:rFonts w:hint="eastAsia"/>
          <w:color w:val="auto"/>
          <w:szCs w:val="22"/>
          <w:highlight w:val="none"/>
        </w:rPr>
        <w:t>⑼</w:t>
      </w:r>
      <w:r>
        <w:rPr>
          <w:color w:val="auto"/>
          <w:szCs w:val="22"/>
          <w:highlight w:val="none"/>
        </w:rPr>
        <w:t xml:space="preserve"> </w:t>
      </w:r>
      <w:r>
        <w:rPr>
          <w:rFonts w:hint="eastAsia"/>
          <w:color w:val="auto"/>
          <w:szCs w:val="22"/>
          <w:highlight w:val="none"/>
        </w:rPr>
        <w:t>“项目”：指本合同项下的</w:t>
      </w:r>
      <w:r>
        <w:rPr>
          <w:rFonts w:hint="eastAsia"/>
          <w:color w:val="auto"/>
          <w:szCs w:val="22"/>
          <w:highlight w:val="none"/>
          <w:lang w:val="en-US" w:eastAsia="zh-CN"/>
        </w:rPr>
        <w:t>项目建议</w:t>
      </w:r>
      <w:r>
        <w:rPr>
          <w:rFonts w:hint="eastAsia"/>
          <w:color w:val="auto"/>
          <w:szCs w:val="22"/>
          <w:highlight w:val="none"/>
        </w:rPr>
        <w:t>服务及合同中规定的其它工作。</w:t>
      </w:r>
    </w:p>
    <w:p w14:paraId="433A11A3">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bookmarkStart w:id="474" w:name="_Toc124578972"/>
      <w:bookmarkStart w:id="475" w:name="_Toc124592503"/>
      <w:bookmarkStart w:id="476" w:name="_Toc47865905"/>
      <w:bookmarkStart w:id="477" w:name="_Toc23991"/>
      <w:bookmarkStart w:id="478" w:name="_Toc31932"/>
      <w:bookmarkStart w:id="479" w:name="_Toc10388"/>
      <w:bookmarkStart w:id="480" w:name="_Toc99158823"/>
      <w:bookmarkStart w:id="481" w:name="_Toc475830728"/>
      <w:bookmarkStart w:id="482" w:name="_Toc48821906"/>
      <w:bookmarkStart w:id="483" w:name="_Toc3095"/>
      <w:bookmarkStart w:id="484" w:name="_Toc47023408"/>
      <w:bookmarkStart w:id="485" w:name="_Toc99170213"/>
      <w:bookmarkStart w:id="486" w:name="_Toc47066728"/>
      <w:bookmarkStart w:id="487" w:name="_Toc98391552"/>
      <w:bookmarkStart w:id="488" w:name="_Toc98390825"/>
      <w:bookmarkStart w:id="489" w:name="_Toc25660948"/>
      <w:r>
        <w:rPr>
          <w:rFonts w:hint="eastAsia" w:ascii="仿宋_GB2312"/>
          <w:b/>
          <w:bCs/>
          <w:color w:val="auto"/>
          <w:kern w:val="0"/>
          <w:sz w:val="28"/>
          <w:szCs w:val="32"/>
          <w:highlight w:val="none"/>
        </w:rPr>
        <w:t>第二</w:t>
      </w:r>
      <w:r>
        <w:rPr>
          <w:rFonts w:ascii="仿宋_GB2312"/>
          <w:b/>
          <w:bCs/>
          <w:color w:val="auto"/>
          <w:kern w:val="0"/>
          <w:sz w:val="28"/>
          <w:szCs w:val="32"/>
          <w:highlight w:val="none"/>
        </w:rPr>
        <w:t xml:space="preserve">条 </w:t>
      </w:r>
      <w:r>
        <w:rPr>
          <w:rFonts w:hint="eastAsia" w:ascii="仿宋_GB2312"/>
          <w:b/>
          <w:bCs/>
          <w:color w:val="auto"/>
          <w:kern w:val="0"/>
          <w:sz w:val="28"/>
          <w:szCs w:val="32"/>
          <w:highlight w:val="none"/>
        </w:rPr>
        <w:t>合同文件的构成及解释顺序</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8C254E3">
      <w:pPr>
        <w:spacing w:line="360" w:lineRule="auto"/>
        <w:ind w:firstLine="495"/>
        <w:rPr>
          <w:color w:val="auto"/>
          <w:szCs w:val="22"/>
          <w:highlight w:val="none"/>
        </w:rPr>
      </w:pPr>
      <w:r>
        <w:rPr>
          <w:rFonts w:hint="eastAsia"/>
          <w:color w:val="auto"/>
          <w:szCs w:val="22"/>
          <w:highlight w:val="none"/>
        </w:rPr>
        <w:t>合同文件应能互相解释，互为说明。除合同另有约定外，其组成和解释顺序如下：</w:t>
      </w:r>
    </w:p>
    <w:p w14:paraId="0BCE3E1D">
      <w:pPr>
        <w:spacing w:line="360" w:lineRule="auto"/>
        <w:ind w:firstLine="495"/>
        <w:rPr>
          <w:color w:val="auto"/>
          <w:szCs w:val="22"/>
          <w:highlight w:val="none"/>
        </w:rPr>
      </w:pPr>
      <w:r>
        <w:rPr>
          <w:rFonts w:hint="eastAsia"/>
          <w:color w:val="auto"/>
          <w:szCs w:val="22"/>
          <w:highlight w:val="none"/>
        </w:rPr>
        <w:t>⑴</w:t>
      </w:r>
      <w:r>
        <w:rPr>
          <w:color w:val="auto"/>
          <w:szCs w:val="22"/>
          <w:highlight w:val="none"/>
        </w:rPr>
        <w:t xml:space="preserve"> </w:t>
      </w:r>
      <w:r>
        <w:rPr>
          <w:rFonts w:hint="eastAsia"/>
          <w:color w:val="auto"/>
          <w:szCs w:val="22"/>
          <w:highlight w:val="none"/>
        </w:rPr>
        <w:t>合同协议书；</w:t>
      </w:r>
    </w:p>
    <w:p w14:paraId="3291FF60">
      <w:pPr>
        <w:spacing w:line="360" w:lineRule="auto"/>
        <w:ind w:firstLine="495"/>
        <w:rPr>
          <w:color w:val="auto"/>
          <w:szCs w:val="22"/>
          <w:highlight w:val="none"/>
        </w:rPr>
      </w:pPr>
      <w:r>
        <w:rPr>
          <w:rFonts w:hint="eastAsia"/>
          <w:color w:val="auto"/>
          <w:szCs w:val="22"/>
          <w:highlight w:val="none"/>
        </w:rPr>
        <w:t>⑵</w:t>
      </w:r>
      <w:r>
        <w:rPr>
          <w:color w:val="auto"/>
          <w:szCs w:val="22"/>
          <w:highlight w:val="none"/>
        </w:rPr>
        <w:t xml:space="preserve"> </w:t>
      </w:r>
      <w:r>
        <w:rPr>
          <w:rFonts w:hint="eastAsia"/>
          <w:color w:val="auto"/>
          <w:szCs w:val="22"/>
          <w:highlight w:val="none"/>
        </w:rPr>
        <w:t>中标通知书；</w:t>
      </w:r>
    </w:p>
    <w:p w14:paraId="6316C601">
      <w:pPr>
        <w:spacing w:line="360" w:lineRule="auto"/>
        <w:ind w:firstLine="495"/>
        <w:rPr>
          <w:rFonts w:hint="default" w:eastAsia="仿宋"/>
          <w:color w:val="auto"/>
          <w:szCs w:val="22"/>
          <w:highlight w:val="none"/>
          <w:lang w:val="en-US" w:eastAsia="zh-CN"/>
        </w:rPr>
      </w:pPr>
      <w:r>
        <w:rPr>
          <w:rFonts w:hint="eastAsia"/>
          <w:color w:val="auto"/>
          <w:szCs w:val="22"/>
          <w:highlight w:val="none"/>
        </w:rPr>
        <w:t>⑶</w:t>
      </w:r>
      <w:r>
        <w:rPr>
          <w:color w:val="auto"/>
          <w:szCs w:val="22"/>
          <w:highlight w:val="none"/>
        </w:rPr>
        <w:t xml:space="preserve"> </w:t>
      </w:r>
      <w:r>
        <w:rPr>
          <w:rFonts w:hint="eastAsia"/>
          <w:color w:val="auto"/>
          <w:szCs w:val="22"/>
          <w:highlight w:val="none"/>
          <w:lang w:val="en-US" w:eastAsia="zh-CN"/>
        </w:rPr>
        <w:t>招标文件；</w:t>
      </w:r>
    </w:p>
    <w:p w14:paraId="74228F42">
      <w:pPr>
        <w:spacing w:line="360" w:lineRule="auto"/>
        <w:ind w:firstLine="495"/>
        <w:rPr>
          <w:color w:val="auto"/>
          <w:szCs w:val="22"/>
          <w:highlight w:val="none"/>
        </w:rPr>
      </w:pPr>
      <w:r>
        <w:rPr>
          <w:rFonts w:hint="eastAsia"/>
          <w:color w:val="auto"/>
          <w:szCs w:val="22"/>
          <w:highlight w:val="none"/>
        </w:rPr>
        <w:t>⑷</w:t>
      </w:r>
      <w:r>
        <w:rPr>
          <w:color w:val="auto"/>
          <w:szCs w:val="22"/>
          <w:highlight w:val="none"/>
        </w:rPr>
        <w:t xml:space="preserve"> </w:t>
      </w:r>
      <w:r>
        <w:rPr>
          <w:rFonts w:hint="eastAsia"/>
          <w:color w:val="auto"/>
          <w:szCs w:val="22"/>
          <w:highlight w:val="none"/>
        </w:rPr>
        <w:t>合同条款；</w:t>
      </w:r>
    </w:p>
    <w:p w14:paraId="0BA44B96">
      <w:pPr>
        <w:spacing w:line="360" w:lineRule="auto"/>
        <w:ind w:firstLine="495"/>
        <w:rPr>
          <w:color w:val="auto"/>
          <w:szCs w:val="22"/>
          <w:highlight w:val="none"/>
        </w:rPr>
      </w:pPr>
      <w:r>
        <w:rPr>
          <w:rFonts w:hint="eastAsia"/>
          <w:color w:val="auto"/>
          <w:szCs w:val="22"/>
          <w:highlight w:val="none"/>
        </w:rPr>
        <w:t>⑸</w:t>
      </w:r>
      <w:r>
        <w:rPr>
          <w:rFonts w:hint="eastAsia"/>
          <w:color w:val="auto"/>
          <w:szCs w:val="22"/>
          <w:highlight w:val="none"/>
          <w:lang w:val="en-US" w:eastAsia="zh-CN"/>
        </w:rPr>
        <w:t xml:space="preserve"> </w:t>
      </w:r>
      <w:r>
        <w:rPr>
          <w:rFonts w:hint="eastAsia"/>
          <w:color w:val="auto"/>
          <w:szCs w:val="22"/>
          <w:highlight w:val="none"/>
        </w:rPr>
        <w:t>投标文件，含在招标期间招标人发布的补充通知；　</w:t>
      </w:r>
    </w:p>
    <w:p w14:paraId="554E33EC">
      <w:pPr>
        <w:spacing w:line="360" w:lineRule="auto"/>
        <w:ind w:firstLine="495"/>
        <w:rPr>
          <w:color w:val="auto"/>
          <w:szCs w:val="22"/>
          <w:highlight w:val="none"/>
        </w:rPr>
      </w:pPr>
      <w:r>
        <w:rPr>
          <w:rFonts w:hint="eastAsia"/>
          <w:color w:val="auto"/>
          <w:szCs w:val="22"/>
          <w:highlight w:val="none"/>
        </w:rPr>
        <w:t>⑹</w:t>
      </w:r>
      <w:r>
        <w:rPr>
          <w:rFonts w:hint="eastAsia"/>
          <w:color w:val="auto"/>
          <w:szCs w:val="22"/>
          <w:highlight w:val="none"/>
          <w:lang w:val="en-US" w:eastAsia="zh-CN"/>
        </w:rPr>
        <w:t xml:space="preserve"> </w:t>
      </w:r>
      <w:r>
        <w:rPr>
          <w:rFonts w:hint="eastAsia"/>
          <w:color w:val="auto"/>
          <w:szCs w:val="22"/>
          <w:highlight w:val="none"/>
        </w:rPr>
        <w:t>技术标准</w:t>
      </w:r>
      <w:r>
        <w:rPr>
          <w:color w:val="auto"/>
          <w:szCs w:val="22"/>
          <w:highlight w:val="none"/>
        </w:rPr>
        <w:t>和要求</w:t>
      </w:r>
      <w:r>
        <w:rPr>
          <w:rFonts w:hint="eastAsia"/>
          <w:color w:val="auto"/>
          <w:szCs w:val="22"/>
          <w:highlight w:val="none"/>
        </w:rPr>
        <w:t>；</w:t>
      </w:r>
    </w:p>
    <w:p w14:paraId="43FF7EAA">
      <w:pPr>
        <w:spacing w:line="360" w:lineRule="auto"/>
        <w:ind w:firstLine="495"/>
        <w:rPr>
          <w:color w:val="auto"/>
          <w:szCs w:val="22"/>
          <w:highlight w:val="none"/>
        </w:rPr>
      </w:pPr>
      <w:r>
        <w:rPr>
          <w:rFonts w:hint="eastAsia"/>
          <w:color w:val="auto"/>
          <w:szCs w:val="22"/>
          <w:highlight w:val="none"/>
          <w:lang w:val="en-US" w:eastAsia="zh-CN"/>
        </w:rPr>
        <w:t>(7)</w:t>
      </w:r>
      <w:r>
        <w:rPr>
          <w:color w:val="auto"/>
          <w:szCs w:val="22"/>
          <w:highlight w:val="none"/>
        </w:rPr>
        <w:t xml:space="preserve"> </w:t>
      </w:r>
      <w:r>
        <w:rPr>
          <w:rFonts w:hint="eastAsia"/>
          <w:color w:val="auto"/>
          <w:szCs w:val="22"/>
          <w:highlight w:val="none"/>
        </w:rPr>
        <w:t>其它组成合同的文件。</w:t>
      </w:r>
    </w:p>
    <w:p w14:paraId="0209B800">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bookmarkStart w:id="490" w:name="_Toc47865906"/>
      <w:bookmarkStart w:id="491" w:name="_Toc12870"/>
      <w:bookmarkStart w:id="492" w:name="_Toc98390826"/>
      <w:bookmarkStart w:id="493" w:name="_Toc47023409"/>
      <w:bookmarkStart w:id="494" w:name="_Toc4374"/>
      <w:bookmarkStart w:id="495" w:name="_Toc48821907"/>
      <w:bookmarkStart w:id="496" w:name="_Toc98391553"/>
      <w:bookmarkStart w:id="497" w:name="_Toc47066729"/>
      <w:bookmarkStart w:id="498" w:name="_Toc25660949"/>
      <w:bookmarkStart w:id="499" w:name="_Toc26009"/>
      <w:bookmarkStart w:id="500" w:name="_Toc124578973"/>
      <w:bookmarkStart w:id="501" w:name="_Toc124592504"/>
      <w:bookmarkStart w:id="502" w:name="_Toc475830729"/>
      <w:bookmarkStart w:id="503" w:name="_Toc99170214"/>
      <w:bookmarkStart w:id="504" w:name="_Toc1277"/>
      <w:bookmarkStart w:id="505" w:name="_Toc99158824"/>
      <w:r>
        <w:rPr>
          <w:rFonts w:hint="eastAsia" w:ascii="仿宋_GB2312"/>
          <w:b/>
          <w:bCs/>
          <w:color w:val="auto"/>
          <w:kern w:val="0"/>
          <w:sz w:val="28"/>
          <w:szCs w:val="32"/>
          <w:highlight w:val="none"/>
        </w:rPr>
        <w:t>第三</w:t>
      </w:r>
      <w:r>
        <w:rPr>
          <w:rFonts w:ascii="仿宋_GB2312"/>
          <w:b/>
          <w:bCs/>
          <w:color w:val="auto"/>
          <w:kern w:val="0"/>
          <w:sz w:val="28"/>
          <w:szCs w:val="32"/>
          <w:highlight w:val="none"/>
        </w:rPr>
        <w:t xml:space="preserve">条 </w:t>
      </w:r>
      <w:r>
        <w:rPr>
          <w:rFonts w:hint="eastAsia" w:ascii="仿宋_GB2312"/>
          <w:b/>
          <w:bCs/>
          <w:color w:val="auto"/>
          <w:kern w:val="0"/>
          <w:sz w:val="28"/>
          <w:szCs w:val="32"/>
          <w:highlight w:val="none"/>
        </w:rPr>
        <w:t>使用文字和适用法律、法规及规章</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36F1EF7">
      <w:pPr>
        <w:spacing w:line="360" w:lineRule="auto"/>
        <w:ind w:firstLine="495"/>
        <w:rPr>
          <w:color w:val="auto"/>
          <w:szCs w:val="22"/>
          <w:highlight w:val="none"/>
        </w:rPr>
      </w:pPr>
      <w:r>
        <w:rPr>
          <w:rFonts w:hint="eastAsia"/>
          <w:color w:val="auto"/>
          <w:szCs w:val="22"/>
          <w:highlight w:val="none"/>
        </w:rPr>
        <w:t>合同文件使用中文。适用于合同文件的法律、法规和规章是中国的法律、法规及行业规章。设计中必须使用约定的国家和行业标准、规范。</w:t>
      </w:r>
    </w:p>
    <w:p w14:paraId="49ADAA9A">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bookmarkStart w:id="506" w:name="_Toc475830730"/>
      <w:bookmarkStart w:id="507" w:name="_Toc3536"/>
      <w:bookmarkStart w:id="508" w:name="_Toc29060"/>
      <w:bookmarkStart w:id="509" w:name="_Toc7151"/>
      <w:bookmarkStart w:id="510" w:name="_Toc24993"/>
      <w:bookmarkStart w:id="511" w:name="_Toc25660950"/>
      <w:r>
        <w:rPr>
          <w:rFonts w:hint="eastAsia" w:ascii="仿宋_GB2312"/>
          <w:b/>
          <w:bCs/>
          <w:color w:val="auto"/>
          <w:kern w:val="0"/>
          <w:sz w:val="28"/>
          <w:szCs w:val="32"/>
          <w:highlight w:val="none"/>
        </w:rPr>
        <w:t>第四条　本合同项目的名称、规模、阶段、投资及设计内容</w:t>
      </w:r>
      <w:bookmarkEnd w:id="506"/>
      <w:bookmarkEnd w:id="507"/>
      <w:bookmarkEnd w:id="508"/>
      <w:bookmarkEnd w:id="509"/>
      <w:bookmarkEnd w:id="510"/>
      <w:bookmarkEnd w:id="511"/>
    </w:p>
    <w:p w14:paraId="00FD177E">
      <w:pPr>
        <w:spacing w:line="360" w:lineRule="auto"/>
        <w:ind w:firstLine="420"/>
        <w:rPr>
          <w:rFonts w:hint="eastAsia" w:ascii="仿宋_GB2312"/>
          <w:color w:val="auto"/>
          <w:highlight w:val="none"/>
        </w:rPr>
      </w:pPr>
      <w:r>
        <w:rPr>
          <w:rFonts w:hint="eastAsia" w:ascii="仿宋_GB2312"/>
          <w:color w:val="auto"/>
          <w:highlight w:val="none"/>
        </w:rPr>
        <w:t>4.1 工程名称：</w:t>
      </w:r>
      <w:r>
        <w:rPr>
          <w:rFonts w:hint="eastAsia" w:ascii="仿宋_GB2312"/>
          <w:color w:val="auto"/>
          <w:highlight w:val="none"/>
          <w:lang w:eastAsia="zh-CN"/>
        </w:rPr>
        <w:t>杭州市萧山区海塘安澜工程（七甲船闸至赭山湾闸段海塘—省管段）项目建议书及堤脚冲刷研究</w:t>
      </w:r>
      <w:r>
        <w:rPr>
          <w:rFonts w:hint="eastAsia" w:ascii="仿宋_GB2312"/>
          <w:color w:val="auto"/>
          <w:highlight w:val="none"/>
        </w:rPr>
        <w:t>。</w:t>
      </w:r>
    </w:p>
    <w:p w14:paraId="2BB028E9">
      <w:pPr>
        <w:spacing w:line="360" w:lineRule="auto"/>
        <w:ind w:firstLine="420"/>
        <w:rPr>
          <w:rFonts w:ascii="仿宋_GB2312"/>
          <w:color w:val="auto"/>
          <w:highlight w:val="none"/>
        </w:rPr>
      </w:pPr>
      <w:r>
        <w:rPr>
          <w:rFonts w:hint="eastAsia" w:ascii="仿宋_GB2312"/>
          <w:color w:val="auto"/>
          <w:highlight w:val="none"/>
        </w:rPr>
        <w:t>4.2 工程地点：</w:t>
      </w:r>
      <w:r>
        <w:rPr>
          <w:rFonts w:hint="eastAsia" w:ascii="仿宋_GB2312"/>
          <w:color w:val="auto"/>
          <w:highlight w:val="none"/>
          <w:lang w:eastAsia="zh-CN"/>
        </w:rPr>
        <w:t>杭州市萧山区</w:t>
      </w:r>
      <w:r>
        <w:rPr>
          <w:rFonts w:hint="eastAsia" w:ascii="仿宋_GB2312"/>
          <w:color w:val="auto"/>
          <w:highlight w:val="none"/>
        </w:rPr>
        <w:t>。</w:t>
      </w:r>
    </w:p>
    <w:p w14:paraId="07D4B3EE">
      <w:pPr>
        <w:spacing w:line="360" w:lineRule="auto"/>
        <w:ind w:firstLine="420"/>
        <w:rPr>
          <w:rFonts w:hint="eastAsia" w:ascii="仿宋_GB2312"/>
          <w:color w:val="auto"/>
          <w:highlight w:val="none"/>
        </w:rPr>
      </w:pPr>
      <w:r>
        <w:rPr>
          <w:rFonts w:hint="eastAsia" w:ascii="仿宋_GB2312"/>
          <w:color w:val="auto"/>
          <w:highlight w:val="none"/>
        </w:rPr>
        <w:t>4.3</w:t>
      </w:r>
      <w:r>
        <w:rPr>
          <w:rFonts w:ascii="仿宋_GB2312"/>
          <w:color w:val="auto"/>
          <w:highlight w:val="none"/>
        </w:rPr>
        <w:t xml:space="preserve"> </w:t>
      </w:r>
      <w:r>
        <w:rPr>
          <w:rFonts w:hint="eastAsia" w:ascii="仿宋_GB2312"/>
          <w:color w:val="auto"/>
          <w:highlight w:val="none"/>
        </w:rPr>
        <w:t>概况</w:t>
      </w:r>
      <w:r>
        <w:rPr>
          <w:rFonts w:ascii="仿宋_GB2312"/>
          <w:color w:val="auto"/>
          <w:highlight w:val="none"/>
        </w:rPr>
        <w:t>及规模</w:t>
      </w:r>
      <w:r>
        <w:rPr>
          <w:rFonts w:hint="eastAsia" w:ascii="仿宋_GB2312"/>
          <w:color w:val="auto"/>
          <w:highlight w:val="none"/>
        </w:rPr>
        <w:t xml:space="preserve">： </w:t>
      </w:r>
    </w:p>
    <w:p w14:paraId="26394D14">
      <w:pPr>
        <w:spacing w:line="360" w:lineRule="auto"/>
        <w:ind w:firstLine="420"/>
        <w:rPr>
          <w:rFonts w:hint="eastAsia" w:ascii="仿宋" w:hAnsi="仿宋" w:cs="仿宋"/>
          <w:color w:val="auto"/>
          <w:sz w:val="24"/>
          <w:highlight w:val="none"/>
          <w:lang w:val="zh-CN"/>
        </w:rPr>
      </w:pPr>
      <w:r>
        <w:rPr>
          <w:rFonts w:hint="eastAsia" w:ascii="仿宋" w:hAnsi="仿宋" w:cs="仿宋"/>
          <w:color w:val="auto"/>
          <w:sz w:val="24"/>
          <w:highlight w:val="none"/>
          <w:lang w:val="zh-CN"/>
        </w:rPr>
        <w:t>萧山区海塘安澜工程（七甲船闸至赭山湾闸段海塘—省管段）位于杭州市钱塘江赭山湾南岸，西起九上顺坝盘头西侧，东至赭山湾闸，海塘堤线长度8.4km，沿线包括九上顺坝盘头、九号坝盘头、一~四号盘头、美女坝、七号坝和八号坝。工程范围内的二号盘头位置有已按300年一遇防潮标准建成的大治河排涝闸站，工程末端的现有赭山湾闸防潮标准为100年一遇，现有海塘设防标准为100年一遇。按照《浙江省海塘安澜千亿工程建设规划》，本段海塘规划标准为300年一遇。</w:t>
      </w:r>
    </w:p>
    <w:p w14:paraId="369AB3CE">
      <w:pPr>
        <w:spacing w:line="360" w:lineRule="auto"/>
        <w:ind w:firstLine="420"/>
        <w:rPr>
          <w:rFonts w:ascii="仿宋_GB2312"/>
          <w:color w:val="auto"/>
          <w:highlight w:val="none"/>
        </w:rPr>
      </w:pPr>
      <w:r>
        <w:rPr>
          <w:rFonts w:hint="eastAsia" w:ascii="仿宋_GB2312"/>
          <w:color w:val="auto"/>
          <w:highlight w:val="none"/>
        </w:rPr>
        <w:t>4.</w:t>
      </w:r>
      <w:r>
        <w:rPr>
          <w:rFonts w:ascii="仿宋_GB2312"/>
          <w:color w:val="auto"/>
          <w:highlight w:val="none"/>
        </w:rPr>
        <w:t>4</w:t>
      </w:r>
      <w:r>
        <w:rPr>
          <w:rFonts w:hint="eastAsia" w:ascii="仿宋_GB2312"/>
          <w:color w:val="auto"/>
          <w:highlight w:val="none"/>
          <w:lang w:val="en-US" w:eastAsia="zh-CN"/>
        </w:rPr>
        <w:t>工作</w:t>
      </w:r>
      <w:r>
        <w:rPr>
          <w:rFonts w:hint="eastAsia" w:ascii="仿宋_GB2312"/>
          <w:color w:val="auto"/>
          <w:highlight w:val="none"/>
        </w:rPr>
        <w:t>内容</w:t>
      </w:r>
    </w:p>
    <w:p w14:paraId="5B0346A9">
      <w:pPr>
        <w:numPr>
          <w:ilvl w:val="0"/>
          <w:numId w:val="12"/>
        </w:numPr>
        <w:adjustRightInd/>
        <w:snapToGrid/>
        <w:spacing w:line="360" w:lineRule="auto"/>
        <w:ind w:left="0" w:leftChars="0" w:firstLine="480" w:firstLineChars="0"/>
        <w:rPr>
          <w:rFonts w:hint="eastAsia" w:ascii="仿宋" w:hAnsi="仿宋" w:cs="仿宋"/>
          <w:color w:val="auto"/>
          <w:highlight w:val="none"/>
          <w:lang w:val="zh-CN"/>
        </w:rPr>
      </w:pPr>
      <w:bookmarkStart w:id="512" w:name="_Toc30984"/>
      <w:bookmarkStart w:id="513" w:name="_Toc25660951"/>
      <w:bookmarkStart w:id="514" w:name="_Toc602"/>
      <w:bookmarkStart w:id="515" w:name="_Toc23455"/>
      <w:bookmarkStart w:id="516" w:name="_Toc475830731"/>
      <w:bookmarkStart w:id="517" w:name="_Toc11598"/>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）项目建议书编制</w:t>
      </w:r>
      <w:r>
        <w:rPr>
          <w:rFonts w:hint="eastAsia" w:ascii="仿宋" w:hAnsi="仿宋" w:cs="仿宋"/>
          <w:color w:val="auto"/>
          <w:highlight w:val="none"/>
          <w:lang w:val="en-US" w:eastAsia="zh-CN"/>
        </w:rPr>
        <w:t>及后续服务</w:t>
      </w:r>
      <w:r>
        <w:rPr>
          <w:rFonts w:hint="eastAsia" w:ascii="仿宋" w:hAnsi="仿宋" w:cs="仿宋"/>
          <w:color w:val="auto"/>
          <w:highlight w:val="none"/>
        </w:rPr>
        <w:t>；</w:t>
      </w:r>
    </w:p>
    <w:p w14:paraId="483B573F">
      <w:pPr>
        <w:numPr>
          <w:ilvl w:val="0"/>
          <w:numId w:val="12"/>
        </w:numPr>
        <w:adjustRightInd/>
        <w:snapToGrid/>
        <w:spacing w:line="360" w:lineRule="auto"/>
        <w:ind w:left="0" w:leftChars="0" w:firstLine="480" w:firstLineChars="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）堤脚冲刷专题研究；</w:t>
      </w:r>
    </w:p>
    <w:p w14:paraId="764433CA">
      <w:pPr>
        <w:numPr>
          <w:ilvl w:val="0"/>
          <w:numId w:val="12"/>
        </w:numPr>
        <w:adjustRightInd/>
        <w:snapToGrid/>
        <w:spacing w:line="360" w:lineRule="auto"/>
        <w:ind w:left="0" w:leftChars="0" w:firstLine="480" w:firstLineChars="0"/>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w:t>
      </w:r>
      <w:r>
        <w:rPr>
          <w:rFonts w:hint="eastAsia" w:ascii="仿宋" w:hAnsi="仿宋" w:cs="仿宋"/>
          <w:color w:val="auto"/>
          <w:highlight w:val="none"/>
          <w:lang w:val="en-US" w:eastAsia="zh-CN"/>
        </w:rPr>
        <w:t>交叉建筑物调查评估</w:t>
      </w:r>
      <w:r>
        <w:rPr>
          <w:rFonts w:hint="eastAsia" w:ascii="仿宋" w:hAnsi="仿宋" w:cs="仿宋"/>
          <w:color w:val="auto"/>
          <w:highlight w:val="none"/>
        </w:rPr>
        <w:t>专题研究</w:t>
      </w:r>
      <w:r>
        <w:rPr>
          <w:rFonts w:hint="eastAsia" w:ascii="仿宋" w:hAnsi="仿宋" w:cs="仿宋"/>
          <w:color w:val="auto"/>
          <w:highlight w:val="none"/>
          <w:lang w:eastAsia="zh-CN"/>
        </w:rPr>
        <w:t>；</w:t>
      </w:r>
    </w:p>
    <w:p w14:paraId="3E997A7E">
      <w:pPr>
        <w:numPr>
          <w:ilvl w:val="0"/>
          <w:numId w:val="12"/>
        </w:numPr>
        <w:adjustRightInd/>
        <w:snapToGrid/>
        <w:spacing w:line="360" w:lineRule="auto"/>
        <w:ind w:left="0" w:leftChars="0" w:firstLine="480" w:firstLineChars="0"/>
        <w:jc w:val="left"/>
        <w:rPr>
          <w:rFonts w:hint="eastAsia" w:ascii="仿宋" w:hAnsi="仿宋" w:cs="仿宋"/>
          <w:color w:val="auto"/>
          <w:highlight w:val="none"/>
          <w:lang w:val="zh-CN"/>
        </w:rPr>
      </w:pPr>
      <w:r>
        <w:rPr>
          <w:rFonts w:hint="eastAsia" w:ascii="仿宋" w:hAnsi="仿宋" w:cs="仿宋"/>
          <w:color w:val="auto"/>
          <w:highlight w:val="none"/>
        </w:rPr>
        <w:t>杭州市萧山区海塘安澜工程（</w:t>
      </w:r>
      <w:r>
        <w:rPr>
          <w:rFonts w:hint="eastAsia" w:ascii="仿宋" w:hAnsi="仿宋" w:cs="仿宋"/>
          <w:color w:val="auto"/>
          <w:highlight w:val="none"/>
          <w:lang w:eastAsia="zh-CN"/>
        </w:rPr>
        <w:t>七甲船闸至赭山湾闸段海塘—省管段</w:t>
      </w:r>
      <w:r>
        <w:rPr>
          <w:rFonts w:hint="eastAsia" w:ascii="仿宋" w:hAnsi="仿宋" w:cs="仿宋"/>
          <w:color w:val="auto"/>
          <w:highlight w:val="none"/>
        </w:rPr>
        <w:t>）陆域地形测量</w:t>
      </w:r>
      <w:r>
        <w:rPr>
          <w:rFonts w:hint="eastAsia" w:ascii="仿宋" w:hAnsi="仿宋" w:cs="仿宋"/>
          <w:color w:val="auto"/>
          <w:highlight w:val="none"/>
          <w:lang w:val="en-US" w:eastAsia="zh-CN"/>
        </w:rPr>
        <w:t>；</w:t>
      </w:r>
    </w:p>
    <w:p w14:paraId="250D4F73">
      <w:pPr>
        <w:numPr>
          <w:ilvl w:val="0"/>
          <w:numId w:val="12"/>
        </w:numPr>
        <w:adjustRightInd/>
        <w:snapToGrid/>
        <w:spacing w:line="360" w:lineRule="auto"/>
        <w:ind w:left="0" w:leftChars="0" w:firstLine="480" w:firstLineChars="0"/>
        <w:rPr>
          <w:rFonts w:hint="eastAsia" w:ascii="仿宋" w:hAnsi="仿宋" w:cs="仿宋"/>
          <w:color w:val="auto"/>
          <w:highlight w:val="none"/>
          <w:lang w:val="zh-CN"/>
        </w:rPr>
      </w:pPr>
      <w:r>
        <w:rPr>
          <w:rFonts w:hint="eastAsia" w:ascii="仿宋" w:hAnsi="仿宋" w:cs="仿宋"/>
          <w:color w:val="auto"/>
          <w:highlight w:val="none"/>
          <w:lang w:val="en-US" w:eastAsia="zh-CN"/>
        </w:rPr>
        <w:t>负责将本工程融合建设方案按采购人要求整合纳入工程相关成果报告，直至受理通过</w:t>
      </w:r>
      <w:r>
        <w:rPr>
          <w:rFonts w:hint="eastAsia" w:ascii="仿宋" w:hAnsi="仿宋" w:cs="仿宋"/>
          <w:color w:val="auto"/>
          <w:highlight w:val="none"/>
        </w:rPr>
        <w:t>。</w:t>
      </w:r>
    </w:p>
    <w:p w14:paraId="2C1EAAA7">
      <w:pPr>
        <w:numPr>
          <w:ilvl w:val="0"/>
          <w:numId w:val="12"/>
        </w:numPr>
        <w:adjustRightInd/>
        <w:snapToGrid/>
        <w:spacing w:line="360" w:lineRule="auto"/>
        <w:ind w:left="0" w:leftChars="0" w:firstLine="480" w:firstLineChars="0"/>
        <w:rPr>
          <w:rFonts w:hint="eastAsia" w:ascii="仿宋" w:hAnsi="仿宋" w:cs="仿宋"/>
          <w:color w:val="auto"/>
          <w:highlight w:val="none"/>
          <w:lang w:val="zh-CN"/>
        </w:rPr>
      </w:pPr>
      <w:r>
        <w:rPr>
          <w:rFonts w:hint="eastAsia" w:ascii="仿宋" w:hAnsi="仿宋" w:cs="仿宋"/>
          <w:color w:val="auto"/>
          <w:highlight w:val="none"/>
          <w:lang w:val="en-US" w:eastAsia="zh-CN"/>
        </w:rPr>
        <w:t>总结形成相应技术成果相关研究成果。</w:t>
      </w:r>
    </w:p>
    <w:p w14:paraId="670E4CCB">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r>
        <w:rPr>
          <w:rFonts w:hint="eastAsia" w:ascii="仿宋_GB2312"/>
          <w:b/>
          <w:bCs/>
          <w:color w:val="auto"/>
          <w:kern w:val="0"/>
          <w:sz w:val="28"/>
          <w:szCs w:val="32"/>
          <w:highlight w:val="none"/>
        </w:rPr>
        <w:t>第五条　发包人向承包人提交的有关资料、文件及时间</w:t>
      </w:r>
      <w:bookmarkEnd w:id="512"/>
      <w:bookmarkEnd w:id="513"/>
      <w:bookmarkEnd w:id="514"/>
      <w:bookmarkEnd w:id="515"/>
      <w:bookmarkEnd w:id="516"/>
      <w:bookmarkEnd w:id="517"/>
    </w:p>
    <w:p w14:paraId="766313FF">
      <w:pPr>
        <w:spacing w:line="360" w:lineRule="auto"/>
        <w:ind w:firstLine="420"/>
        <w:rPr>
          <w:rFonts w:ascii="仿宋_GB2312"/>
          <w:color w:val="auto"/>
          <w:highlight w:val="none"/>
        </w:rPr>
      </w:pPr>
      <w:r>
        <w:rPr>
          <w:rFonts w:hint="eastAsia" w:ascii="仿宋_GB2312"/>
          <w:color w:val="auto"/>
          <w:highlight w:val="none"/>
        </w:rPr>
        <w:t>合同签订后，发包人向承包人提供发包人现有的的</w:t>
      </w:r>
      <w:r>
        <w:rPr>
          <w:rFonts w:ascii="仿宋_GB2312"/>
          <w:color w:val="auto"/>
          <w:highlight w:val="none"/>
        </w:rPr>
        <w:t>资料，具体</w:t>
      </w:r>
      <w:r>
        <w:rPr>
          <w:rFonts w:hint="eastAsia" w:ascii="仿宋_GB2312"/>
          <w:color w:val="auto"/>
          <w:highlight w:val="none"/>
        </w:rPr>
        <w:t>时间由</w:t>
      </w:r>
      <w:r>
        <w:rPr>
          <w:rFonts w:ascii="仿宋_GB2312"/>
          <w:color w:val="auto"/>
          <w:highlight w:val="none"/>
        </w:rPr>
        <w:t>发包人和承包人协商确定</w:t>
      </w:r>
      <w:r>
        <w:rPr>
          <w:rFonts w:hint="eastAsia" w:ascii="仿宋_GB2312"/>
          <w:color w:val="auto"/>
          <w:highlight w:val="none"/>
        </w:rPr>
        <w:t>。</w:t>
      </w:r>
    </w:p>
    <w:bookmarkEnd w:id="473"/>
    <w:p w14:paraId="120DEBD1">
      <w:pPr>
        <w:keepNext/>
        <w:keepLines/>
        <w:autoSpaceDE w:val="0"/>
        <w:autoSpaceDN w:val="0"/>
        <w:adjustRightInd w:val="0"/>
        <w:snapToGrid w:val="0"/>
        <w:spacing w:line="360" w:lineRule="auto"/>
        <w:jc w:val="left"/>
        <w:textAlignment w:val="baseline"/>
        <w:outlineLvl w:val="1"/>
        <w:rPr>
          <w:rFonts w:hint="eastAsia" w:ascii="仿宋_GB2312"/>
          <w:b/>
          <w:bCs/>
          <w:color w:val="auto"/>
          <w:kern w:val="0"/>
          <w:sz w:val="28"/>
          <w:szCs w:val="32"/>
          <w:highlight w:val="none"/>
        </w:rPr>
      </w:pPr>
      <w:bookmarkStart w:id="518" w:name="_Toc9713"/>
      <w:bookmarkStart w:id="519" w:name="_Toc25377"/>
      <w:bookmarkStart w:id="520" w:name="_Toc25660952"/>
      <w:bookmarkStart w:id="521" w:name="_Toc12816"/>
      <w:r>
        <w:rPr>
          <w:rFonts w:ascii="仿宋_GB2312"/>
          <w:b/>
          <w:bCs/>
          <w:color w:val="auto"/>
          <w:kern w:val="0"/>
          <w:sz w:val="28"/>
          <w:szCs w:val="32"/>
          <w:highlight w:val="none"/>
        </w:rPr>
        <w:t>第六条 （勘察）承包人向</w:t>
      </w:r>
      <w:r>
        <w:rPr>
          <w:rFonts w:hint="eastAsia" w:ascii="仿宋_GB2312"/>
          <w:b/>
          <w:bCs/>
          <w:color w:val="auto"/>
          <w:kern w:val="0"/>
          <w:sz w:val="28"/>
          <w:szCs w:val="32"/>
          <w:highlight w:val="none"/>
        </w:rPr>
        <w:t>采购人</w:t>
      </w:r>
      <w:r>
        <w:rPr>
          <w:rFonts w:ascii="仿宋_GB2312"/>
          <w:b/>
          <w:bCs/>
          <w:color w:val="auto"/>
          <w:kern w:val="0"/>
          <w:sz w:val="28"/>
          <w:szCs w:val="32"/>
          <w:highlight w:val="none"/>
        </w:rPr>
        <w:t>交付的文件时间及份数：</w:t>
      </w:r>
      <w:bookmarkEnd w:id="518"/>
      <w:bookmarkEnd w:id="519"/>
      <w:bookmarkEnd w:id="520"/>
      <w:bookmarkEnd w:id="521"/>
    </w:p>
    <w:tbl>
      <w:tblPr>
        <w:tblStyle w:val="6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581"/>
        <w:gridCol w:w="3725"/>
        <w:gridCol w:w="1134"/>
      </w:tblGrid>
      <w:tr w14:paraId="5D4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9" w:type="dxa"/>
            <w:noWrap w:val="0"/>
            <w:vAlign w:val="center"/>
          </w:tcPr>
          <w:p w14:paraId="1E9788FE">
            <w:pPr>
              <w:pStyle w:val="59"/>
              <w:adjustRightInd w:val="0"/>
              <w:snapToGrid w:val="0"/>
              <w:spacing w:before="0" w:beforeAutospacing="0" w:after="0" w:afterAutospacing="0"/>
              <w:jc w:val="center"/>
              <w:rPr>
                <w:rFonts w:cs="仿宋_GB2312"/>
                <w:color w:val="auto"/>
                <w:sz w:val="21"/>
                <w:highlight w:val="none"/>
              </w:rPr>
            </w:pPr>
            <w:r>
              <w:rPr>
                <w:rFonts w:cs="仿宋_GB2312"/>
                <w:color w:val="auto"/>
                <w:sz w:val="21"/>
                <w:highlight w:val="none"/>
              </w:rPr>
              <w:t>序号</w:t>
            </w:r>
          </w:p>
        </w:tc>
        <w:tc>
          <w:tcPr>
            <w:tcW w:w="3581" w:type="dxa"/>
            <w:noWrap w:val="0"/>
            <w:vAlign w:val="center"/>
          </w:tcPr>
          <w:p w14:paraId="1AAB962F">
            <w:pPr>
              <w:pStyle w:val="59"/>
              <w:adjustRightInd w:val="0"/>
              <w:snapToGrid w:val="0"/>
              <w:spacing w:before="0" w:beforeAutospacing="0" w:after="0" w:afterAutospacing="0"/>
              <w:jc w:val="center"/>
              <w:rPr>
                <w:rFonts w:cs="仿宋_GB2312"/>
                <w:color w:val="auto"/>
                <w:sz w:val="21"/>
                <w:highlight w:val="none"/>
              </w:rPr>
            </w:pPr>
            <w:r>
              <w:rPr>
                <w:rFonts w:cs="仿宋_GB2312"/>
                <w:color w:val="auto"/>
                <w:sz w:val="21"/>
                <w:highlight w:val="none"/>
              </w:rPr>
              <w:t>成果文件</w:t>
            </w:r>
          </w:p>
        </w:tc>
        <w:tc>
          <w:tcPr>
            <w:tcW w:w="3725" w:type="dxa"/>
            <w:noWrap w:val="0"/>
            <w:vAlign w:val="center"/>
          </w:tcPr>
          <w:p w14:paraId="3D4FB626">
            <w:pPr>
              <w:pStyle w:val="59"/>
              <w:adjustRightInd w:val="0"/>
              <w:snapToGrid w:val="0"/>
              <w:spacing w:before="0" w:beforeAutospacing="0" w:after="0" w:afterAutospacing="0"/>
              <w:jc w:val="center"/>
              <w:rPr>
                <w:rFonts w:hint="default" w:eastAsia="仿宋" w:cs="仿宋_GB2312"/>
                <w:color w:val="auto"/>
                <w:sz w:val="21"/>
                <w:highlight w:val="none"/>
                <w:lang w:val="en-US" w:eastAsia="zh-CN"/>
              </w:rPr>
            </w:pPr>
            <w:r>
              <w:rPr>
                <w:rFonts w:hint="eastAsia" w:cs="仿宋_GB2312"/>
                <w:color w:val="auto"/>
                <w:sz w:val="21"/>
                <w:highlight w:val="none"/>
                <w:lang w:val="en-US" w:eastAsia="zh-CN"/>
              </w:rPr>
              <w:t>进度要求</w:t>
            </w:r>
          </w:p>
        </w:tc>
        <w:tc>
          <w:tcPr>
            <w:tcW w:w="1134" w:type="dxa"/>
            <w:noWrap w:val="0"/>
            <w:vAlign w:val="center"/>
          </w:tcPr>
          <w:p w14:paraId="5A63DE13">
            <w:pPr>
              <w:pStyle w:val="59"/>
              <w:adjustRightInd w:val="0"/>
              <w:snapToGrid w:val="0"/>
              <w:spacing w:before="0" w:beforeAutospacing="0" w:after="0" w:afterAutospacing="0"/>
              <w:jc w:val="center"/>
              <w:rPr>
                <w:rFonts w:cs="仿宋_GB2312"/>
                <w:color w:val="auto"/>
                <w:sz w:val="21"/>
                <w:highlight w:val="none"/>
              </w:rPr>
            </w:pPr>
            <w:r>
              <w:rPr>
                <w:rFonts w:cs="仿宋_GB2312"/>
                <w:color w:val="auto"/>
                <w:sz w:val="21"/>
                <w:highlight w:val="none"/>
              </w:rPr>
              <w:t>份数</w:t>
            </w:r>
          </w:p>
        </w:tc>
      </w:tr>
      <w:tr w14:paraId="090B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9" w:type="dxa"/>
            <w:noWrap w:val="0"/>
            <w:vAlign w:val="center"/>
          </w:tcPr>
          <w:p w14:paraId="61F6D051">
            <w:pPr>
              <w:pStyle w:val="59"/>
              <w:adjustRightInd w:val="0"/>
              <w:snapToGrid w:val="0"/>
              <w:spacing w:before="0" w:beforeAutospacing="0" w:after="0" w:afterAutospacing="0"/>
              <w:jc w:val="center"/>
              <w:rPr>
                <w:rFonts w:hint="eastAsia" w:cs="仿宋_GB2312"/>
                <w:color w:val="auto"/>
                <w:sz w:val="21"/>
                <w:highlight w:val="none"/>
              </w:rPr>
            </w:pPr>
            <w:r>
              <w:rPr>
                <w:rFonts w:hint="eastAsia" w:cs="仿宋_GB2312"/>
                <w:color w:val="auto"/>
                <w:sz w:val="21"/>
                <w:highlight w:val="none"/>
              </w:rPr>
              <w:t>1</w:t>
            </w:r>
          </w:p>
        </w:tc>
        <w:tc>
          <w:tcPr>
            <w:tcW w:w="3581" w:type="dxa"/>
            <w:noWrap w:val="0"/>
            <w:vAlign w:val="center"/>
          </w:tcPr>
          <w:p w14:paraId="7B28A7F1">
            <w:pPr>
              <w:pStyle w:val="59"/>
              <w:adjustRightInd w:val="0"/>
              <w:snapToGrid w:val="0"/>
              <w:spacing w:before="0" w:beforeAutospacing="0" w:after="0" w:afterAutospacing="0"/>
              <w:jc w:val="center"/>
              <w:rPr>
                <w:rFonts w:hint="eastAsia" w:ascii="Tahoma" w:hAnsi="Tahoma"/>
                <w:color w:val="auto"/>
                <w:sz w:val="21"/>
                <w:highlight w:val="none"/>
              </w:rPr>
            </w:pPr>
            <w:r>
              <w:rPr>
                <w:rFonts w:hint="eastAsia" w:ascii="Tahoma" w:hAnsi="Tahoma"/>
                <w:color w:val="auto"/>
                <w:sz w:val="21"/>
                <w:highlight w:val="none"/>
              </w:rPr>
              <w:t>项目建议书编制</w:t>
            </w:r>
          </w:p>
        </w:tc>
        <w:tc>
          <w:tcPr>
            <w:tcW w:w="3725" w:type="dxa"/>
            <w:noWrap w:val="0"/>
            <w:vAlign w:val="center"/>
          </w:tcPr>
          <w:p w14:paraId="1A749E83">
            <w:pPr>
              <w:pStyle w:val="59"/>
              <w:adjustRightInd w:val="0"/>
              <w:snapToGrid w:val="0"/>
              <w:spacing w:before="0" w:beforeAutospacing="0" w:after="0" w:afterAutospacing="0"/>
              <w:jc w:val="center"/>
              <w:rPr>
                <w:rFonts w:hint="eastAsia" w:ascii="Tahoma" w:hAnsi="Tahoma" w:eastAsia="仿宋" w:cs="Times New Roman"/>
                <w:color w:val="auto"/>
                <w:sz w:val="21"/>
                <w:highlight w:val="none"/>
                <w:lang w:val="en-US" w:eastAsia="zh-CN"/>
              </w:rPr>
            </w:pPr>
            <w:r>
              <w:rPr>
                <w:rFonts w:hint="eastAsia" w:ascii="Tahoma" w:hAnsi="Tahoma"/>
                <w:color w:val="auto"/>
                <w:sz w:val="21"/>
                <w:highlight w:val="none"/>
              </w:rPr>
              <w:t>满足报批稿的要求</w:t>
            </w:r>
            <w:r>
              <w:rPr>
                <w:rFonts w:hint="eastAsia" w:ascii="Tahoma" w:hAnsi="Tahoma"/>
                <w:color w:val="auto"/>
                <w:sz w:val="21"/>
                <w:highlight w:val="none"/>
                <w:lang w:eastAsia="zh-CN"/>
              </w:rPr>
              <w:t>，</w:t>
            </w:r>
            <w:r>
              <w:rPr>
                <w:rFonts w:hint="eastAsia" w:ascii="Tahoma" w:hAnsi="Tahoma" w:cs="Times New Roman"/>
                <w:b w:val="0"/>
                <w:color w:val="auto"/>
                <w:sz w:val="21"/>
                <w:highlight w:val="none"/>
              </w:rPr>
              <w:t>2025年9月底</w:t>
            </w:r>
            <w:r>
              <w:rPr>
                <w:rFonts w:hint="eastAsia" w:ascii="Tahoma" w:hAnsi="Tahoma" w:cs="Times New Roman"/>
                <w:b w:val="0"/>
                <w:color w:val="auto"/>
                <w:sz w:val="21"/>
                <w:highlight w:val="none"/>
                <w:lang w:val="en-US" w:eastAsia="zh-CN"/>
              </w:rPr>
              <w:t>前完成。</w:t>
            </w:r>
          </w:p>
        </w:tc>
        <w:tc>
          <w:tcPr>
            <w:tcW w:w="1134" w:type="dxa"/>
            <w:noWrap w:val="0"/>
            <w:vAlign w:val="center"/>
          </w:tcPr>
          <w:p w14:paraId="49620601">
            <w:pPr>
              <w:pStyle w:val="59"/>
              <w:adjustRightInd w:val="0"/>
              <w:snapToGrid w:val="0"/>
              <w:jc w:val="center"/>
              <w:rPr>
                <w:rFonts w:hint="eastAsia" w:ascii="Tahoma" w:hAnsi="Tahoma"/>
                <w:color w:val="auto"/>
                <w:sz w:val="21"/>
                <w:highlight w:val="none"/>
              </w:rPr>
            </w:pPr>
            <w:r>
              <w:rPr>
                <w:rFonts w:hint="eastAsia" w:ascii="Tahoma" w:hAnsi="Tahoma"/>
                <w:color w:val="auto"/>
                <w:sz w:val="21"/>
                <w:highlight w:val="none"/>
                <w:lang w:val="en-US" w:eastAsia="zh-CN"/>
              </w:rPr>
              <w:t>15</w:t>
            </w:r>
            <w:r>
              <w:rPr>
                <w:rFonts w:hint="eastAsia" w:ascii="Tahoma" w:hAnsi="Tahoma"/>
                <w:color w:val="auto"/>
                <w:sz w:val="21"/>
                <w:highlight w:val="none"/>
              </w:rPr>
              <w:t>份</w:t>
            </w:r>
          </w:p>
        </w:tc>
      </w:tr>
      <w:tr w14:paraId="71DB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9" w:type="dxa"/>
            <w:noWrap w:val="0"/>
            <w:vAlign w:val="center"/>
          </w:tcPr>
          <w:p w14:paraId="5E28A7F7">
            <w:pPr>
              <w:pStyle w:val="59"/>
              <w:adjustRightInd w:val="0"/>
              <w:snapToGrid w:val="0"/>
              <w:spacing w:before="0" w:beforeAutospacing="0" w:after="0" w:afterAutospacing="0"/>
              <w:jc w:val="center"/>
              <w:rPr>
                <w:rFonts w:hint="eastAsia" w:eastAsia="仿宋" w:cs="仿宋_GB2312"/>
                <w:color w:val="auto"/>
                <w:sz w:val="21"/>
                <w:highlight w:val="none"/>
                <w:lang w:val="en-US" w:eastAsia="zh-CN"/>
              </w:rPr>
            </w:pPr>
            <w:r>
              <w:rPr>
                <w:rFonts w:hint="eastAsia" w:cs="仿宋_GB2312"/>
                <w:color w:val="auto"/>
                <w:sz w:val="21"/>
                <w:highlight w:val="none"/>
                <w:lang w:val="en-US" w:eastAsia="zh-CN"/>
              </w:rPr>
              <w:t>2</w:t>
            </w:r>
          </w:p>
        </w:tc>
        <w:tc>
          <w:tcPr>
            <w:tcW w:w="3581" w:type="dxa"/>
            <w:noWrap w:val="0"/>
            <w:vAlign w:val="center"/>
          </w:tcPr>
          <w:p w14:paraId="4321D7A9">
            <w:pPr>
              <w:pStyle w:val="59"/>
              <w:adjustRightInd w:val="0"/>
              <w:snapToGrid w:val="0"/>
              <w:spacing w:before="0" w:beforeAutospacing="0" w:after="0" w:afterAutospacing="0"/>
              <w:jc w:val="center"/>
              <w:rPr>
                <w:rFonts w:hint="eastAsia" w:ascii="Tahoma" w:hAnsi="Tahoma"/>
                <w:color w:val="auto"/>
                <w:sz w:val="21"/>
                <w:highlight w:val="none"/>
              </w:rPr>
            </w:pPr>
            <w:r>
              <w:rPr>
                <w:rFonts w:hint="eastAsia" w:ascii="Tahoma" w:hAnsi="Tahoma" w:cs="Times New Roman"/>
                <w:color w:val="auto"/>
                <w:sz w:val="21"/>
                <w:highlight w:val="none"/>
              </w:rPr>
              <w:t>堤脚冲刷专题研究</w:t>
            </w:r>
          </w:p>
        </w:tc>
        <w:tc>
          <w:tcPr>
            <w:tcW w:w="3725" w:type="dxa"/>
            <w:noWrap w:val="0"/>
            <w:vAlign w:val="center"/>
          </w:tcPr>
          <w:p w14:paraId="6FA13CEA">
            <w:pPr>
              <w:pStyle w:val="59"/>
              <w:adjustRightInd w:val="0"/>
              <w:snapToGrid w:val="0"/>
              <w:spacing w:before="0" w:beforeAutospacing="0" w:after="0" w:afterAutospacing="0"/>
              <w:jc w:val="center"/>
              <w:rPr>
                <w:rFonts w:hint="eastAsia" w:ascii="Tahoma" w:hAnsi="Tahoma" w:cs="Times New Roman"/>
                <w:color w:val="auto"/>
                <w:sz w:val="21"/>
                <w:highlight w:val="none"/>
              </w:rPr>
            </w:pPr>
            <w:r>
              <w:rPr>
                <w:rFonts w:hint="eastAsia" w:ascii="Tahoma" w:hAnsi="Tahoma"/>
                <w:color w:val="auto"/>
                <w:sz w:val="21"/>
                <w:highlight w:val="none"/>
              </w:rPr>
              <w:t>满足相关阶段报批要求</w:t>
            </w:r>
            <w:r>
              <w:rPr>
                <w:rFonts w:hint="eastAsia" w:ascii="Tahoma" w:hAnsi="Tahoma"/>
                <w:color w:val="auto"/>
                <w:sz w:val="21"/>
                <w:highlight w:val="none"/>
                <w:lang w:eastAsia="zh-CN"/>
              </w:rPr>
              <w:t>，</w:t>
            </w:r>
            <w:r>
              <w:rPr>
                <w:rFonts w:hint="eastAsia" w:ascii="Tahoma" w:hAnsi="Tahoma" w:cs="Times New Roman"/>
                <w:b w:val="0"/>
                <w:color w:val="auto"/>
                <w:sz w:val="21"/>
                <w:highlight w:val="none"/>
              </w:rPr>
              <w:t>2025年</w:t>
            </w:r>
            <w:r>
              <w:rPr>
                <w:rFonts w:hint="eastAsia" w:ascii="Tahoma" w:hAnsi="Tahoma" w:cs="Times New Roman"/>
                <w:b w:val="0"/>
                <w:color w:val="auto"/>
                <w:sz w:val="21"/>
                <w:highlight w:val="none"/>
                <w:lang w:val="en-US" w:eastAsia="zh-CN"/>
              </w:rPr>
              <w:t>7</w:t>
            </w:r>
            <w:r>
              <w:rPr>
                <w:rFonts w:hint="eastAsia" w:ascii="Tahoma" w:hAnsi="Tahoma" w:cs="Times New Roman"/>
                <w:b w:val="0"/>
                <w:color w:val="auto"/>
                <w:sz w:val="21"/>
                <w:highlight w:val="none"/>
              </w:rPr>
              <w:t>月底</w:t>
            </w:r>
            <w:r>
              <w:rPr>
                <w:rFonts w:hint="eastAsia" w:ascii="Tahoma" w:hAnsi="Tahoma" w:cs="Times New Roman"/>
                <w:b w:val="0"/>
                <w:color w:val="auto"/>
                <w:sz w:val="21"/>
                <w:highlight w:val="none"/>
                <w:lang w:val="en-US" w:eastAsia="zh-CN"/>
              </w:rPr>
              <w:t>前完成。</w:t>
            </w:r>
          </w:p>
        </w:tc>
        <w:tc>
          <w:tcPr>
            <w:tcW w:w="1134" w:type="dxa"/>
            <w:noWrap w:val="0"/>
            <w:vAlign w:val="center"/>
          </w:tcPr>
          <w:p w14:paraId="58EDEF17">
            <w:pPr>
              <w:pStyle w:val="59"/>
              <w:adjustRightInd w:val="0"/>
              <w:snapToGrid w:val="0"/>
              <w:jc w:val="center"/>
              <w:rPr>
                <w:rFonts w:hint="eastAsia" w:ascii="Tahoma" w:hAnsi="Tahoma"/>
                <w:color w:val="auto"/>
                <w:sz w:val="21"/>
                <w:highlight w:val="none"/>
              </w:rPr>
            </w:pPr>
            <w:r>
              <w:rPr>
                <w:rFonts w:hint="eastAsia" w:ascii="Tahoma" w:hAnsi="Tahoma"/>
                <w:color w:val="auto"/>
                <w:sz w:val="21"/>
                <w:highlight w:val="none"/>
                <w:lang w:val="en-US" w:eastAsia="zh-CN"/>
              </w:rPr>
              <w:t>15</w:t>
            </w:r>
            <w:r>
              <w:rPr>
                <w:rFonts w:hint="eastAsia" w:ascii="Tahoma" w:hAnsi="Tahoma"/>
                <w:color w:val="auto"/>
                <w:sz w:val="21"/>
                <w:highlight w:val="none"/>
              </w:rPr>
              <w:t>份</w:t>
            </w:r>
          </w:p>
        </w:tc>
      </w:tr>
      <w:tr w14:paraId="7DF8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9" w:type="dxa"/>
            <w:noWrap w:val="0"/>
            <w:vAlign w:val="center"/>
          </w:tcPr>
          <w:p w14:paraId="0061B715">
            <w:pPr>
              <w:pStyle w:val="59"/>
              <w:adjustRightInd w:val="0"/>
              <w:snapToGrid w:val="0"/>
              <w:spacing w:before="0" w:beforeAutospacing="0" w:after="0" w:afterAutospacing="0"/>
              <w:jc w:val="center"/>
              <w:rPr>
                <w:rFonts w:hint="eastAsia" w:eastAsia="仿宋" w:cs="仿宋_GB2312"/>
                <w:color w:val="auto"/>
                <w:sz w:val="21"/>
                <w:highlight w:val="none"/>
                <w:lang w:val="en-US" w:eastAsia="zh-CN"/>
              </w:rPr>
            </w:pPr>
            <w:r>
              <w:rPr>
                <w:rFonts w:hint="eastAsia" w:cs="仿宋_GB2312"/>
                <w:color w:val="auto"/>
                <w:sz w:val="21"/>
                <w:highlight w:val="none"/>
                <w:lang w:val="en-US" w:eastAsia="zh-CN"/>
              </w:rPr>
              <w:t>3</w:t>
            </w:r>
          </w:p>
        </w:tc>
        <w:tc>
          <w:tcPr>
            <w:tcW w:w="3581" w:type="dxa"/>
            <w:noWrap w:val="0"/>
            <w:vAlign w:val="center"/>
          </w:tcPr>
          <w:p w14:paraId="39802EE2">
            <w:pPr>
              <w:pStyle w:val="59"/>
              <w:adjustRightInd w:val="0"/>
              <w:snapToGrid w:val="0"/>
              <w:spacing w:before="0" w:beforeAutospacing="0" w:after="0" w:afterAutospacing="0"/>
              <w:jc w:val="center"/>
              <w:rPr>
                <w:rFonts w:ascii="Tahoma" w:hAnsi="Tahoma"/>
                <w:color w:val="auto"/>
                <w:sz w:val="21"/>
                <w:highlight w:val="none"/>
              </w:rPr>
            </w:pPr>
            <w:r>
              <w:rPr>
                <w:rFonts w:hint="eastAsia" w:ascii="Tahoma" w:hAnsi="Tahoma" w:cs="Times New Roman"/>
                <w:color w:val="auto"/>
                <w:sz w:val="21"/>
                <w:highlight w:val="none"/>
                <w:lang w:val="en-US" w:eastAsia="zh-CN"/>
              </w:rPr>
              <w:t>交叉建筑物调查评估</w:t>
            </w:r>
            <w:r>
              <w:rPr>
                <w:rFonts w:hint="eastAsia" w:ascii="Tahoma" w:hAnsi="Tahoma" w:cs="Times New Roman"/>
                <w:color w:val="auto"/>
                <w:sz w:val="21"/>
                <w:highlight w:val="none"/>
              </w:rPr>
              <w:t>专题研究</w:t>
            </w:r>
          </w:p>
        </w:tc>
        <w:tc>
          <w:tcPr>
            <w:tcW w:w="3725" w:type="dxa"/>
            <w:noWrap w:val="0"/>
            <w:vAlign w:val="center"/>
          </w:tcPr>
          <w:p w14:paraId="638C0F51">
            <w:pPr>
              <w:pStyle w:val="59"/>
              <w:adjustRightInd w:val="0"/>
              <w:snapToGrid w:val="0"/>
              <w:spacing w:before="0" w:beforeAutospacing="0" w:after="0" w:afterAutospacing="0"/>
              <w:jc w:val="center"/>
              <w:rPr>
                <w:rFonts w:hint="eastAsia" w:ascii="Tahoma" w:hAnsi="Tahoma" w:cs="Times New Roman"/>
                <w:color w:val="auto"/>
                <w:sz w:val="21"/>
                <w:highlight w:val="none"/>
              </w:rPr>
            </w:pPr>
            <w:r>
              <w:rPr>
                <w:rFonts w:hint="eastAsia" w:ascii="Tahoma" w:hAnsi="Tahoma"/>
                <w:color w:val="auto"/>
                <w:sz w:val="21"/>
                <w:highlight w:val="none"/>
              </w:rPr>
              <w:t>满足相关阶段报批要求</w:t>
            </w:r>
            <w:r>
              <w:rPr>
                <w:rFonts w:hint="eastAsia" w:ascii="Tahoma" w:hAnsi="Tahoma"/>
                <w:color w:val="auto"/>
                <w:sz w:val="21"/>
                <w:highlight w:val="none"/>
                <w:lang w:eastAsia="zh-CN"/>
              </w:rPr>
              <w:t>，</w:t>
            </w:r>
            <w:r>
              <w:rPr>
                <w:rFonts w:hint="eastAsia" w:ascii="Tahoma" w:hAnsi="Tahoma" w:cs="Times New Roman"/>
                <w:b w:val="0"/>
                <w:color w:val="auto"/>
                <w:sz w:val="21"/>
                <w:highlight w:val="none"/>
              </w:rPr>
              <w:t>2025年</w:t>
            </w:r>
            <w:r>
              <w:rPr>
                <w:rFonts w:hint="eastAsia" w:ascii="Tahoma" w:hAnsi="Tahoma" w:cs="Times New Roman"/>
                <w:b w:val="0"/>
                <w:color w:val="auto"/>
                <w:sz w:val="21"/>
                <w:highlight w:val="none"/>
                <w:lang w:val="en-US" w:eastAsia="zh-CN"/>
              </w:rPr>
              <w:t>7</w:t>
            </w:r>
            <w:r>
              <w:rPr>
                <w:rFonts w:hint="eastAsia" w:ascii="Tahoma" w:hAnsi="Tahoma" w:cs="Times New Roman"/>
                <w:b w:val="0"/>
                <w:color w:val="auto"/>
                <w:sz w:val="21"/>
                <w:highlight w:val="none"/>
              </w:rPr>
              <w:t>月底</w:t>
            </w:r>
            <w:r>
              <w:rPr>
                <w:rFonts w:hint="eastAsia" w:ascii="Tahoma" w:hAnsi="Tahoma" w:cs="Times New Roman"/>
                <w:b w:val="0"/>
                <w:color w:val="auto"/>
                <w:sz w:val="21"/>
                <w:highlight w:val="none"/>
                <w:lang w:val="en-US" w:eastAsia="zh-CN"/>
              </w:rPr>
              <w:t>前完成。</w:t>
            </w:r>
          </w:p>
        </w:tc>
        <w:tc>
          <w:tcPr>
            <w:tcW w:w="1134" w:type="dxa"/>
            <w:noWrap w:val="0"/>
            <w:vAlign w:val="center"/>
          </w:tcPr>
          <w:p w14:paraId="25CA0233">
            <w:pPr>
              <w:pStyle w:val="59"/>
              <w:adjustRightInd w:val="0"/>
              <w:snapToGrid w:val="0"/>
              <w:jc w:val="center"/>
              <w:rPr>
                <w:rFonts w:hint="eastAsia" w:ascii="Tahoma" w:hAnsi="Tahoma"/>
                <w:color w:val="auto"/>
                <w:sz w:val="21"/>
                <w:highlight w:val="none"/>
              </w:rPr>
            </w:pPr>
            <w:r>
              <w:rPr>
                <w:rFonts w:hint="eastAsia" w:ascii="Tahoma" w:hAnsi="Tahoma"/>
                <w:color w:val="auto"/>
                <w:sz w:val="21"/>
                <w:highlight w:val="none"/>
                <w:lang w:val="en-US" w:eastAsia="zh-CN"/>
              </w:rPr>
              <w:t>15</w:t>
            </w:r>
            <w:r>
              <w:rPr>
                <w:rFonts w:hint="eastAsia" w:ascii="Tahoma" w:hAnsi="Tahoma"/>
                <w:color w:val="auto"/>
                <w:sz w:val="21"/>
                <w:highlight w:val="none"/>
              </w:rPr>
              <w:t>份</w:t>
            </w:r>
          </w:p>
        </w:tc>
      </w:tr>
      <w:tr w14:paraId="18B9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9" w:type="dxa"/>
            <w:noWrap w:val="0"/>
            <w:vAlign w:val="center"/>
          </w:tcPr>
          <w:p w14:paraId="237C6427">
            <w:pPr>
              <w:pStyle w:val="59"/>
              <w:adjustRightInd w:val="0"/>
              <w:snapToGrid w:val="0"/>
              <w:spacing w:before="0" w:beforeAutospacing="0" w:after="0" w:afterAutospacing="0"/>
              <w:jc w:val="center"/>
              <w:rPr>
                <w:rFonts w:hint="eastAsia" w:eastAsia="仿宋" w:cs="仿宋_GB2312"/>
                <w:color w:val="auto"/>
                <w:sz w:val="21"/>
                <w:highlight w:val="none"/>
                <w:lang w:val="en-US" w:eastAsia="zh-CN"/>
              </w:rPr>
            </w:pPr>
            <w:r>
              <w:rPr>
                <w:rFonts w:hint="eastAsia" w:cs="仿宋_GB2312"/>
                <w:color w:val="auto"/>
                <w:sz w:val="21"/>
                <w:highlight w:val="none"/>
                <w:lang w:val="en-US" w:eastAsia="zh-CN"/>
              </w:rPr>
              <w:t>4</w:t>
            </w:r>
          </w:p>
        </w:tc>
        <w:tc>
          <w:tcPr>
            <w:tcW w:w="3581" w:type="dxa"/>
            <w:noWrap w:val="0"/>
            <w:vAlign w:val="center"/>
          </w:tcPr>
          <w:p w14:paraId="3FD0AB70">
            <w:pPr>
              <w:pStyle w:val="59"/>
              <w:adjustRightInd w:val="0"/>
              <w:snapToGrid w:val="0"/>
              <w:spacing w:before="0" w:beforeAutospacing="0" w:after="0" w:afterAutospacing="0"/>
              <w:jc w:val="center"/>
              <w:rPr>
                <w:rFonts w:ascii="Tahoma" w:hAnsi="Tahoma"/>
                <w:color w:val="auto"/>
                <w:sz w:val="21"/>
                <w:highlight w:val="none"/>
              </w:rPr>
            </w:pPr>
            <w:r>
              <w:rPr>
                <w:rFonts w:hint="eastAsia" w:ascii="Tahoma" w:hAnsi="Tahoma" w:cs="Times New Roman"/>
                <w:color w:val="auto"/>
                <w:sz w:val="21"/>
                <w:highlight w:val="none"/>
              </w:rPr>
              <w:t>陆域地形测量</w:t>
            </w:r>
          </w:p>
        </w:tc>
        <w:tc>
          <w:tcPr>
            <w:tcW w:w="3725" w:type="dxa"/>
            <w:noWrap w:val="0"/>
            <w:vAlign w:val="center"/>
          </w:tcPr>
          <w:p w14:paraId="52D29BDC">
            <w:pPr>
              <w:pStyle w:val="59"/>
              <w:adjustRightInd w:val="0"/>
              <w:snapToGrid w:val="0"/>
              <w:spacing w:before="0" w:beforeAutospacing="0" w:after="0" w:afterAutospacing="0"/>
              <w:jc w:val="center"/>
              <w:rPr>
                <w:rFonts w:hint="eastAsia" w:ascii="Tahoma" w:hAnsi="Tahoma"/>
                <w:color w:val="auto"/>
                <w:sz w:val="21"/>
                <w:highlight w:val="none"/>
              </w:rPr>
            </w:pPr>
            <w:r>
              <w:rPr>
                <w:rFonts w:hint="eastAsia" w:ascii="Tahoma" w:hAnsi="Tahoma"/>
                <w:color w:val="auto"/>
                <w:sz w:val="21"/>
                <w:highlight w:val="none"/>
              </w:rPr>
              <w:t>满足相关阶段报批要求</w:t>
            </w:r>
            <w:r>
              <w:rPr>
                <w:rFonts w:hint="eastAsia" w:ascii="Tahoma" w:hAnsi="Tahoma"/>
                <w:color w:val="auto"/>
                <w:sz w:val="21"/>
                <w:highlight w:val="none"/>
                <w:lang w:eastAsia="zh-CN"/>
              </w:rPr>
              <w:t>，</w:t>
            </w:r>
            <w:r>
              <w:rPr>
                <w:rFonts w:hint="eastAsia" w:ascii="Tahoma" w:hAnsi="Tahoma" w:cs="Times New Roman"/>
                <w:b w:val="0"/>
                <w:color w:val="auto"/>
                <w:sz w:val="21"/>
                <w:highlight w:val="none"/>
              </w:rPr>
              <w:t>2025年</w:t>
            </w:r>
            <w:r>
              <w:rPr>
                <w:rFonts w:hint="eastAsia" w:ascii="Tahoma" w:hAnsi="Tahoma" w:cs="Times New Roman"/>
                <w:b w:val="0"/>
                <w:color w:val="auto"/>
                <w:sz w:val="21"/>
                <w:highlight w:val="none"/>
                <w:lang w:val="en-US" w:eastAsia="zh-CN"/>
              </w:rPr>
              <w:t>7</w:t>
            </w:r>
            <w:r>
              <w:rPr>
                <w:rFonts w:hint="eastAsia" w:ascii="Tahoma" w:hAnsi="Tahoma" w:cs="Times New Roman"/>
                <w:b w:val="0"/>
                <w:color w:val="auto"/>
                <w:sz w:val="21"/>
                <w:highlight w:val="none"/>
              </w:rPr>
              <w:t>月底</w:t>
            </w:r>
            <w:r>
              <w:rPr>
                <w:rFonts w:hint="eastAsia" w:ascii="Tahoma" w:hAnsi="Tahoma" w:cs="Times New Roman"/>
                <w:b w:val="0"/>
                <w:color w:val="auto"/>
                <w:sz w:val="21"/>
                <w:highlight w:val="none"/>
                <w:lang w:val="en-US" w:eastAsia="zh-CN"/>
              </w:rPr>
              <w:t>前完成。</w:t>
            </w:r>
          </w:p>
        </w:tc>
        <w:tc>
          <w:tcPr>
            <w:tcW w:w="1134" w:type="dxa"/>
            <w:noWrap w:val="0"/>
            <w:vAlign w:val="center"/>
          </w:tcPr>
          <w:p w14:paraId="76F0483F">
            <w:pPr>
              <w:pStyle w:val="59"/>
              <w:adjustRightInd w:val="0"/>
              <w:snapToGrid w:val="0"/>
              <w:jc w:val="center"/>
              <w:rPr>
                <w:rFonts w:hint="eastAsia" w:ascii="Tahoma" w:hAnsi="Tahoma"/>
                <w:color w:val="auto"/>
                <w:sz w:val="21"/>
                <w:highlight w:val="none"/>
              </w:rPr>
            </w:pPr>
            <w:r>
              <w:rPr>
                <w:rFonts w:hint="eastAsia" w:ascii="Tahoma" w:hAnsi="Tahoma"/>
                <w:color w:val="auto"/>
                <w:sz w:val="21"/>
                <w:highlight w:val="none"/>
                <w:lang w:val="en-US" w:eastAsia="zh-CN"/>
              </w:rPr>
              <w:t>15</w:t>
            </w:r>
            <w:r>
              <w:rPr>
                <w:rFonts w:hint="eastAsia" w:ascii="Tahoma" w:hAnsi="Tahoma"/>
                <w:color w:val="auto"/>
                <w:sz w:val="21"/>
                <w:highlight w:val="none"/>
              </w:rPr>
              <w:t>份</w:t>
            </w:r>
          </w:p>
        </w:tc>
      </w:tr>
    </w:tbl>
    <w:p w14:paraId="5A601343">
      <w:pPr>
        <w:spacing w:line="360" w:lineRule="auto"/>
        <w:ind w:firstLine="422"/>
        <w:rPr>
          <w:b/>
          <w:bCs/>
          <w:color w:val="auto"/>
          <w:highlight w:val="none"/>
        </w:rPr>
      </w:pPr>
      <w:bookmarkStart w:id="522" w:name="_Toc8939"/>
      <w:r>
        <w:rPr>
          <w:rFonts w:hint="eastAsia"/>
          <w:b/>
          <w:bCs/>
          <w:color w:val="auto"/>
          <w:highlight w:val="none"/>
        </w:rPr>
        <w:t>备注：</w:t>
      </w:r>
    </w:p>
    <w:p w14:paraId="6E3DF1DC">
      <w:pPr>
        <w:numPr>
          <w:ilvl w:val="0"/>
          <w:numId w:val="13"/>
        </w:numPr>
        <w:spacing w:line="360" w:lineRule="auto"/>
        <w:ind w:firstLine="422"/>
        <w:rPr>
          <w:b/>
          <w:bCs/>
          <w:color w:val="auto"/>
          <w:highlight w:val="none"/>
        </w:rPr>
      </w:pPr>
      <w:r>
        <w:rPr>
          <w:rFonts w:hint="eastAsia"/>
          <w:b/>
          <w:bCs/>
          <w:color w:val="auto"/>
          <w:highlight w:val="none"/>
        </w:rPr>
        <w:t>上述所有文件（图纸、文本等）应按采购人需要随时提交可编辑的电子文档（</w:t>
      </w:r>
      <w:r>
        <w:rPr>
          <w:b/>
          <w:bCs/>
          <w:color w:val="auto"/>
          <w:highlight w:val="none"/>
        </w:rPr>
        <w:t>word</w:t>
      </w:r>
      <w:r>
        <w:rPr>
          <w:rFonts w:hint="eastAsia"/>
          <w:b/>
          <w:bCs/>
          <w:color w:val="auto"/>
          <w:highlight w:val="none"/>
        </w:rPr>
        <w:t>、</w:t>
      </w:r>
      <w:r>
        <w:rPr>
          <w:b/>
          <w:bCs/>
          <w:color w:val="auto"/>
          <w:highlight w:val="none"/>
        </w:rPr>
        <w:t>excel</w:t>
      </w:r>
      <w:r>
        <w:rPr>
          <w:rFonts w:hint="eastAsia"/>
          <w:b/>
          <w:bCs/>
          <w:color w:val="auto"/>
          <w:highlight w:val="none"/>
        </w:rPr>
        <w:t>、</w:t>
      </w:r>
      <w:r>
        <w:rPr>
          <w:b/>
          <w:bCs/>
          <w:color w:val="auto"/>
          <w:highlight w:val="none"/>
        </w:rPr>
        <w:t>autocad</w:t>
      </w:r>
      <w:r>
        <w:rPr>
          <w:rFonts w:hint="eastAsia"/>
          <w:b/>
          <w:bCs/>
          <w:color w:val="auto"/>
          <w:highlight w:val="none"/>
        </w:rPr>
        <w:t>文件格式），电子文档不准使用加密辅助软件，可脱机使用；</w:t>
      </w:r>
    </w:p>
    <w:p w14:paraId="192EDF5C">
      <w:pPr>
        <w:shd w:val="solid" w:color="FFFFFF" w:fill="auto"/>
        <w:snapToGrid w:val="0"/>
        <w:spacing w:line="360" w:lineRule="auto"/>
        <w:ind w:firstLine="422"/>
        <w:rPr>
          <w:rFonts w:hint="eastAsia"/>
          <w:color w:val="auto"/>
          <w:highlight w:val="none"/>
        </w:rPr>
      </w:pPr>
      <w:r>
        <w:rPr>
          <w:rFonts w:hint="eastAsia"/>
          <w:b/>
          <w:bCs/>
          <w:color w:val="auto"/>
          <w:highlight w:val="none"/>
        </w:rPr>
        <w:t>2</w:t>
      </w:r>
      <w:r>
        <w:rPr>
          <w:b/>
          <w:bCs/>
          <w:color w:val="auto"/>
          <w:highlight w:val="none"/>
        </w:rPr>
        <w:t>、</w:t>
      </w:r>
      <w:r>
        <w:rPr>
          <w:rFonts w:hint="eastAsia"/>
          <w:b/>
          <w:bCs/>
          <w:color w:val="auto"/>
          <w:highlight w:val="none"/>
        </w:rPr>
        <w:t>上表中的成果文件分数为最低数量，具体数量以采购人实际需求量为准。若增加文件份数量，费用不予调整。</w:t>
      </w:r>
    </w:p>
    <w:p w14:paraId="17A074A3">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bookmarkStart w:id="523" w:name="_Toc17686"/>
      <w:bookmarkStart w:id="524" w:name="_Toc12340"/>
      <w:bookmarkStart w:id="525" w:name="_Toc25660953"/>
      <w:r>
        <w:rPr>
          <w:rFonts w:ascii="仿宋_GB2312"/>
          <w:b/>
          <w:bCs/>
          <w:color w:val="auto"/>
          <w:kern w:val="0"/>
          <w:sz w:val="28"/>
          <w:szCs w:val="32"/>
          <w:highlight w:val="none"/>
        </w:rPr>
        <w:t>第七条 费用</w:t>
      </w:r>
      <w:bookmarkEnd w:id="522"/>
      <w:bookmarkEnd w:id="523"/>
      <w:bookmarkEnd w:id="524"/>
      <w:bookmarkEnd w:id="525"/>
    </w:p>
    <w:p w14:paraId="5E09C25A">
      <w:pPr>
        <w:spacing w:line="420" w:lineRule="exact"/>
        <w:ind w:firstLine="480" w:firstLineChars="200"/>
        <w:rPr>
          <w:rFonts w:hint="eastAsia"/>
          <w:color w:val="auto"/>
          <w:highlight w:val="none"/>
        </w:rPr>
      </w:pPr>
      <w:r>
        <w:rPr>
          <w:rFonts w:hint="eastAsia" w:ascii="仿宋_GB2312" w:hAnsi="仿宋_GB2312"/>
          <w:color w:val="auto"/>
          <w:sz w:val="24"/>
          <w:highlight w:val="none"/>
        </w:rPr>
        <w:t>7.1本合同费用总价为</w:t>
      </w:r>
      <w:r>
        <w:rPr>
          <w:rFonts w:hint="eastAsia" w:ascii="仿宋_GB2312" w:hAnsi="仿宋_GB2312"/>
          <w:color w:val="auto"/>
          <w:sz w:val="24"/>
          <w:highlight w:val="none"/>
          <w:u w:val="single"/>
        </w:rPr>
        <w:t xml:space="preserve">       </w:t>
      </w:r>
      <w:r>
        <w:rPr>
          <w:rFonts w:hint="eastAsia" w:ascii="仿宋_GB2312" w:hAnsi="仿宋_GB2312"/>
          <w:color w:val="auto"/>
          <w:sz w:val="24"/>
          <w:highlight w:val="none"/>
        </w:rPr>
        <w:t>万元。</w:t>
      </w:r>
    </w:p>
    <w:p w14:paraId="6E4787FD">
      <w:pPr>
        <w:spacing w:line="360" w:lineRule="auto"/>
        <w:ind w:firstLine="480" w:firstLineChars="200"/>
        <w:rPr>
          <w:rFonts w:hint="eastAsia"/>
          <w:color w:val="auto"/>
          <w:highlight w:val="none"/>
        </w:rPr>
      </w:pPr>
      <w:r>
        <w:rPr>
          <w:rFonts w:ascii="宋体" w:hAnsi="宋体" w:cs="仿宋_GB2312"/>
          <w:color w:val="auto"/>
          <w:kern w:val="0"/>
          <w:highlight w:val="none"/>
        </w:rPr>
        <w:t>7.2</w:t>
      </w:r>
      <w:r>
        <w:rPr>
          <w:rFonts w:hint="eastAsia"/>
          <w:color w:val="auto"/>
          <w:highlight w:val="none"/>
        </w:rPr>
        <w:t>上述费用包括</w:t>
      </w:r>
      <w:r>
        <w:rPr>
          <w:rFonts w:hint="eastAsia"/>
          <w:color w:val="auto"/>
          <w:highlight w:val="none"/>
          <w:lang w:val="en-US" w:eastAsia="zh-CN"/>
        </w:rPr>
        <w:t>承包</w:t>
      </w:r>
      <w:r>
        <w:rPr>
          <w:rFonts w:hint="eastAsia"/>
          <w:color w:val="auto"/>
          <w:highlight w:val="none"/>
        </w:rPr>
        <w:t>人中标后为完成合同规定的全部工作需支付的一切费用，包括完成该工程项目的所需的成本、利润、税金、保险、风险费等所有费用，包括满足</w:t>
      </w:r>
      <w:r>
        <w:rPr>
          <w:rFonts w:hint="eastAsia"/>
          <w:color w:val="auto"/>
          <w:highlight w:val="none"/>
          <w:lang w:val="en-US" w:eastAsia="zh-CN"/>
        </w:rPr>
        <w:t>项目建议书</w:t>
      </w:r>
      <w:r>
        <w:rPr>
          <w:rFonts w:hint="eastAsia"/>
          <w:color w:val="auto"/>
          <w:highlight w:val="none"/>
        </w:rPr>
        <w:t>阶段相关规程规范要求和通过审查审批要求的一切费用（含评审费），是招标文件所确定的招标范围内全部工作内容的价格表现。</w:t>
      </w:r>
    </w:p>
    <w:p w14:paraId="20F7EE75">
      <w:pPr>
        <w:spacing w:line="360" w:lineRule="auto"/>
        <w:ind w:firstLine="480" w:firstLineChars="200"/>
        <w:rPr>
          <w:rFonts w:hint="eastAsia"/>
          <w:color w:val="auto"/>
          <w:highlight w:val="none"/>
        </w:rPr>
      </w:pPr>
      <w:r>
        <w:rPr>
          <w:rFonts w:hint="eastAsia"/>
          <w:color w:val="auto"/>
          <w:highlight w:val="none"/>
        </w:rPr>
        <w:t>合同价中包括</w:t>
      </w:r>
      <w:r>
        <w:rPr>
          <w:rFonts w:hint="eastAsia"/>
          <w:color w:val="auto"/>
          <w:highlight w:val="none"/>
          <w:lang w:val="en-US" w:eastAsia="zh-CN"/>
        </w:rPr>
        <w:t>项目建议书编制</w:t>
      </w:r>
      <w:r>
        <w:rPr>
          <w:rFonts w:hint="eastAsia"/>
          <w:color w:val="auto"/>
          <w:highlight w:val="none"/>
        </w:rPr>
        <w:t>费用、满足</w:t>
      </w:r>
      <w:r>
        <w:rPr>
          <w:rFonts w:hint="eastAsia"/>
          <w:color w:val="auto"/>
          <w:highlight w:val="none"/>
          <w:lang w:val="en-US" w:eastAsia="zh-CN"/>
        </w:rPr>
        <w:t>项目建议书</w:t>
      </w:r>
      <w:r>
        <w:rPr>
          <w:rFonts w:hint="eastAsia"/>
          <w:color w:val="auto"/>
          <w:highlight w:val="none"/>
        </w:rPr>
        <w:t>阶段要求的测量与地勘、</w:t>
      </w:r>
      <w:r>
        <w:rPr>
          <w:rFonts w:hint="eastAsia"/>
          <w:color w:val="auto"/>
          <w:highlight w:val="none"/>
          <w:lang w:val="en-US" w:eastAsia="zh-CN"/>
        </w:rPr>
        <w:t>项目建议书</w:t>
      </w:r>
      <w:r>
        <w:rPr>
          <w:rFonts w:hint="eastAsia"/>
          <w:color w:val="auto"/>
          <w:highlight w:val="none"/>
        </w:rPr>
        <w:t>阶段相关的专题报告编制费用，及上述成果的评估费用、评审费用（包括但不限于会议与专家费用）、方案和成果阶段的制作、印刷、邮寄、差旅、税金等在内的全部任务的费用（含发包人认为为项目服务的，所必需的技术、方案的讨论、咨询等相关费用），同时包含协助采购人将相关成果获得上级主管部门的批准所需的配合费用。</w:t>
      </w:r>
    </w:p>
    <w:p w14:paraId="54E5EFBE">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7.3若因本工程建设需要，采购人</w:t>
      </w:r>
      <w:r>
        <w:rPr>
          <w:rFonts w:hint="eastAsia" w:cs="仿宋_GB2312"/>
          <w:color w:val="auto"/>
          <w:sz w:val="21"/>
          <w:highlight w:val="none"/>
        </w:rPr>
        <w:t>如需对</w:t>
      </w:r>
      <w:r>
        <w:rPr>
          <w:rFonts w:cs="仿宋_GB2312"/>
          <w:color w:val="auto"/>
          <w:sz w:val="21"/>
          <w:highlight w:val="none"/>
        </w:rPr>
        <w:t>本工程局部区域进行加密地质勘查，承包人</w:t>
      </w:r>
      <w:r>
        <w:rPr>
          <w:rFonts w:hint="eastAsia" w:cs="仿宋_GB2312"/>
          <w:color w:val="auto"/>
          <w:sz w:val="21"/>
          <w:highlight w:val="none"/>
        </w:rPr>
        <w:t>在报价时予以考虑</w:t>
      </w:r>
      <w:r>
        <w:rPr>
          <w:rFonts w:cs="仿宋_GB2312"/>
          <w:color w:val="auto"/>
          <w:sz w:val="21"/>
          <w:highlight w:val="none"/>
        </w:rPr>
        <w:t>，采购人不另行支付其它费用。</w:t>
      </w:r>
    </w:p>
    <w:p w14:paraId="5B833E16">
      <w:pPr>
        <w:keepNext/>
        <w:keepLines/>
        <w:autoSpaceDE w:val="0"/>
        <w:autoSpaceDN w:val="0"/>
        <w:adjustRightInd w:val="0"/>
        <w:snapToGrid w:val="0"/>
        <w:spacing w:line="360" w:lineRule="auto"/>
        <w:jc w:val="left"/>
        <w:textAlignment w:val="baseline"/>
        <w:outlineLvl w:val="1"/>
        <w:rPr>
          <w:rFonts w:ascii="仿宋_GB2312"/>
          <w:b/>
          <w:bCs/>
          <w:color w:val="auto"/>
          <w:kern w:val="0"/>
          <w:sz w:val="28"/>
          <w:szCs w:val="32"/>
          <w:highlight w:val="none"/>
        </w:rPr>
      </w:pPr>
      <w:bookmarkStart w:id="526" w:name="_Toc1831"/>
      <w:bookmarkStart w:id="527" w:name="_Toc21541"/>
      <w:bookmarkStart w:id="528" w:name="_Toc25660954"/>
      <w:bookmarkStart w:id="529" w:name="_Toc23242"/>
      <w:r>
        <w:rPr>
          <w:rFonts w:ascii="仿宋_GB2312"/>
          <w:b/>
          <w:bCs/>
          <w:color w:val="auto"/>
          <w:kern w:val="0"/>
          <w:sz w:val="28"/>
          <w:szCs w:val="32"/>
          <w:highlight w:val="none"/>
        </w:rPr>
        <w:t>第八条 支付方式及履约担保</w:t>
      </w:r>
      <w:bookmarkEnd w:id="526"/>
      <w:bookmarkEnd w:id="527"/>
      <w:bookmarkEnd w:id="528"/>
      <w:bookmarkEnd w:id="529"/>
    </w:p>
    <w:p w14:paraId="6AE1CADF">
      <w:pPr>
        <w:snapToGrid w:val="0"/>
        <w:spacing w:line="360" w:lineRule="auto"/>
        <w:ind w:firstLine="422"/>
        <w:rPr>
          <w:rFonts w:hint="eastAsia" w:ascii="仿宋_GB2312"/>
          <w:b/>
          <w:bCs/>
          <w:color w:val="auto"/>
          <w:highlight w:val="none"/>
        </w:rPr>
      </w:pPr>
      <w:r>
        <w:rPr>
          <w:rFonts w:hint="eastAsia" w:ascii="仿宋_GB2312"/>
          <w:b/>
          <w:bCs/>
          <w:color w:val="auto"/>
          <w:highlight w:val="none"/>
        </w:rPr>
        <w:t>方案一</w:t>
      </w:r>
    </w:p>
    <w:p w14:paraId="20B7C0F9">
      <w:pPr>
        <w:snapToGrid w:val="0"/>
        <w:spacing w:line="360" w:lineRule="auto"/>
        <w:ind w:firstLine="422"/>
        <w:rPr>
          <w:rFonts w:ascii="仿宋_GB2312"/>
          <w:b/>
          <w:bCs/>
          <w:color w:val="auto"/>
          <w:highlight w:val="none"/>
        </w:rPr>
      </w:pPr>
      <w:r>
        <w:rPr>
          <w:rFonts w:hint="eastAsia" w:ascii="仿宋_GB2312"/>
          <w:b/>
          <w:bCs/>
          <w:color w:val="auto"/>
          <w:highlight w:val="none"/>
        </w:rPr>
        <w:t>8.1 付款方式</w:t>
      </w:r>
    </w:p>
    <w:p w14:paraId="1442C676">
      <w:pPr>
        <w:snapToGrid w:val="0"/>
        <w:spacing w:line="360" w:lineRule="auto"/>
        <w:ind w:firstLine="420"/>
        <w:rPr>
          <w:rFonts w:hint="eastAsia" w:ascii="仿宋_GB2312"/>
          <w:color w:val="auto"/>
          <w:highlight w:val="none"/>
        </w:rPr>
      </w:pPr>
      <w:r>
        <w:rPr>
          <w:rFonts w:hint="eastAsia" w:ascii="仿宋_GB2312"/>
          <w:color w:val="auto"/>
          <w:highlight w:val="none"/>
        </w:rPr>
        <w:t>第一次，合同签订后15天内支付合同签订额的50%；</w:t>
      </w:r>
    </w:p>
    <w:p w14:paraId="13B2DD5D">
      <w:pPr>
        <w:snapToGrid w:val="0"/>
        <w:spacing w:line="360" w:lineRule="auto"/>
        <w:ind w:firstLine="420"/>
        <w:rPr>
          <w:rFonts w:hint="eastAsia" w:ascii="仿宋_GB2312"/>
          <w:color w:val="auto"/>
          <w:highlight w:val="none"/>
        </w:rPr>
      </w:pPr>
      <w:r>
        <w:rPr>
          <w:rFonts w:hint="eastAsia" w:ascii="仿宋_GB2312"/>
          <w:color w:val="auto"/>
          <w:highlight w:val="none"/>
        </w:rPr>
        <w:t>第二次，提交项目建议书（送审稿）后10天内，支付至实际总合同费用的70%；</w:t>
      </w:r>
    </w:p>
    <w:p w14:paraId="6ADEF529">
      <w:pPr>
        <w:snapToGrid w:val="0"/>
        <w:spacing w:line="360" w:lineRule="auto"/>
        <w:ind w:firstLine="420"/>
        <w:rPr>
          <w:rFonts w:hint="eastAsia" w:ascii="仿宋_GB2312"/>
          <w:color w:val="auto"/>
          <w:highlight w:val="none"/>
        </w:rPr>
      </w:pPr>
      <w:r>
        <w:rPr>
          <w:rFonts w:hint="eastAsia" w:ascii="仿宋_GB2312"/>
          <w:color w:val="auto"/>
          <w:highlight w:val="none"/>
        </w:rPr>
        <w:t>第三次，成果通过评审后10天内结清合同余额，不留尾款。</w:t>
      </w:r>
    </w:p>
    <w:p w14:paraId="55A8C1E8">
      <w:pPr>
        <w:spacing w:line="360" w:lineRule="auto"/>
        <w:ind w:firstLine="420"/>
        <w:rPr>
          <w:color w:val="auto"/>
          <w:highlight w:val="none"/>
        </w:rPr>
      </w:pPr>
      <w:r>
        <w:rPr>
          <w:rFonts w:hint="eastAsia"/>
          <w:color w:val="auto"/>
          <w:highlight w:val="none"/>
        </w:rPr>
        <w:t>8.</w:t>
      </w:r>
      <w:r>
        <w:rPr>
          <w:color w:val="auto"/>
          <w:highlight w:val="none"/>
        </w:rPr>
        <w:t xml:space="preserve">3 </w:t>
      </w:r>
      <w:r>
        <w:rPr>
          <w:rFonts w:hint="eastAsia"/>
          <w:color w:val="auto"/>
          <w:highlight w:val="none"/>
        </w:rPr>
        <w:t>履约担保：</w:t>
      </w:r>
    </w:p>
    <w:p w14:paraId="3BB6335D">
      <w:pPr>
        <w:spacing w:line="360" w:lineRule="auto"/>
        <w:ind w:firstLine="420"/>
        <w:rPr>
          <w:rFonts w:hint="eastAsia" w:ascii="仿宋_GB2312" w:eastAsia="仿宋"/>
          <w:color w:val="auto"/>
          <w:highlight w:val="none"/>
          <w:lang w:eastAsia="zh-CN"/>
        </w:rPr>
      </w:pPr>
      <w:r>
        <w:rPr>
          <w:rFonts w:hint="eastAsia"/>
          <w:color w:val="auto"/>
          <w:highlight w:val="none"/>
          <w:lang w:val="en-US" w:eastAsia="zh-CN"/>
        </w:rPr>
        <w:t>无。</w:t>
      </w:r>
    </w:p>
    <w:p w14:paraId="5345D003">
      <w:pPr>
        <w:pStyle w:val="5"/>
        <w:ind w:left="0" w:firstLine="0"/>
        <w:rPr>
          <w:color w:val="auto"/>
          <w:highlight w:val="none"/>
        </w:rPr>
      </w:pPr>
      <w:bookmarkStart w:id="530" w:name="_Toc1523"/>
      <w:bookmarkStart w:id="531" w:name="_Toc25660955"/>
      <w:bookmarkStart w:id="532" w:name="_Toc26373"/>
      <w:bookmarkStart w:id="533" w:name="_Toc21755"/>
      <w:r>
        <w:rPr>
          <w:color w:val="auto"/>
          <w:highlight w:val="none"/>
        </w:rPr>
        <w:t>第九条 双方责任</w:t>
      </w:r>
      <w:bookmarkEnd w:id="530"/>
      <w:bookmarkEnd w:id="531"/>
      <w:bookmarkEnd w:id="532"/>
      <w:bookmarkEnd w:id="533"/>
    </w:p>
    <w:p w14:paraId="5B0C62BD">
      <w:pPr>
        <w:spacing w:line="360" w:lineRule="auto"/>
        <w:ind w:firstLine="420"/>
        <w:rPr>
          <w:rFonts w:ascii="仿宋_GB2312"/>
          <w:color w:val="auto"/>
          <w:highlight w:val="none"/>
        </w:rPr>
      </w:pPr>
      <w:r>
        <w:rPr>
          <w:rFonts w:hint="eastAsia" w:ascii="仿宋_GB2312"/>
          <w:b/>
          <w:bCs/>
          <w:color w:val="auto"/>
          <w:highlight w:val="none"/>
        </w:rPr>
        <w:t>9.1发包人责任</w:t>
      </w:r>
    </w:p>
    <w:p w14:paraId="5066B7E7">
      <w:pPr>
        <w:snapToGrid w:val="0"/>
        <w:spacing w:line="360" w:lineRule="auto"/>
        <w:ind w:firstLine="420"/>
        <w:rPr>
          <w:rFonts w:ascii="仿宋_GB2312"/>
          <w:color w:val="auto"/>
          <w:highlight w:val="none"/>
        </w:rPr>
      </w:pPr>
      <w:r>
        <w:rPr>
          <w:rFonts w:hint="eastAsia" w:ascii="仿宋_GB2312"/>
          <w:color w:val="auto"/>
          <w:highlight w:val="none"/>
        </w:rPr>
        <w:t>9.1.1发包人按本合同第五条规定的内容，在规定的时间内向承包人提交基础资料及文件，并对其完整性、正确性及时限负责。发包人不得要求承包人违反国家有关标准进行设计。</w:t>
      </w:r>
    </w:p>
    <w:p w14:paraId="45781BE9">
      <w:pPr>
        <w:snapToGrid w:val="0"/>
        <w:spacing w:line="360" w:lineRule="auto"/>
        <w:ind w:firstLine="420"/>
        <w:rPr>
          <w:rFonts w:ascii="仿宋_GB2312"/>
          <w:bCs/>
          <w:color w:val="auto"/>
          <w:highlight w:val="none"/>
        </w:rPr>
      </w:pPr>
      <w:r>
        <w:rPr>
          <w:rFonts w:hint="eastAsia" w:ascii="仿宋_GB2312"/>
          <w:bCs/>
          <w:color w:val="auto"/>
          <w:highlight w:val="none"/>
        </w:rPr>
        <w:t>9.1.2在合同的合理范围内，对承包人提交的有关需要确认的设计（或咨询）成果进行审查、确认。</w:t>
      </w:r>
    </w:p>
    <w:p w14:paraId="7E2CE7B5">
      <w:pPr>
        <w:snapToGrid w:val="0"/>
        <w:spacing w:line="360" w:lineRule="auto"/>
        <w:ind w:firstLine="420"/>
        <w:rPr>
          <w:rFonts w:ascii="仿宋_GB2312"/>
          <w:bCs/>
          <w:color w:val="auto"/>
          <w:highlight w:val="none"/>
        </w:rPr>
      </w:pPr>
      <w:r>
        <w:rPr>
          <w:rFonts w:hint="eastAsia" w:ascii="仿宋_GB2312"/>
          <w:bCs/>
          <w:color w:val="auto"/>
          <w:highlight w:val="none"/>
        </w:rPr>
        <w:t>9.1.3 应按合同规定，向承包人支付费</w:t>
      </w:r>
      <w:r>
        <w:rPr>
          <w:rFonts w:hint="eastAsia" w:ascii="仿宋_GB2312"/>
          <w:bCs/>
          <w:color w:val="auto"/>
          <w:highlight w:val="none"/>
          <w:lang w:val="en-US" w:eastAsia="zh-CN"/>
        </w:rPr>
        <w:t>用</w:t>
      </w:r>
      <w:r>
        <w:rPr>
          <w:rFonts w:hint="eastAsia" w:ascii="仿宋_GB2312"/>
          <w:bCs/>
          <w:color w:val="auto"/>
          <w:highlight w:val="none"/>
        </w:rPr>
        <w:t>。</w:t>
      </w:r>
    </w:p>
    <w:p w14:paraId="18085D63">
      <w:pPr>
        <w:snapToGrid w:val="0"/>
        <w:spacing w:line="360" w:lineRule="auto"/>
        <w:ind w:firstLine="420"/>
        <w:rPr>
          <w:rFonts w:ascii="仿宋_GB2312"/>
          <w:bCs/>
          <w:color w:val="auto"/>
          <w:highlight w:val="none"/>
        </w:rPr>
      </w:pPr>
      <w:r>
        <w:rPr>
          <w:rFonts w:hint="eastAsia" w:ascii="仿宋_GB2312"/>
          <w:bCs/>
          <w:color w:val="auto"/>
          <w:highlight w:val="none"/>
        </w:rPr>
        <w:t>9.1.</w:t>
      </w:r>
      <w:r>
        <w:rPr>
          <w:rFonts w:ascii="仿宋_GB2312"/>
          <w:bCs/>
          <w:color w:val="auto"/>
          <w:highlight w:val="none"/>
        </w:rPr>
        <w:t xml:space="preserve">4 </w:t>
      </w:r>
      <w:r>
        <w:rPr>
          <w:rFonts w:hint="eastAsia" w:ascii="仿宋_GB2312"/>
          <w:bCs/>
          <w:color w:val="auto"/>
          <w:highlight w:val="none"/>
        </w:rPr>
        <w:t>负责并协调对外的联系工作，协调</w:t>
      </w:r>
      <w:r>
        <w:rPr>
          <w:rFonts w:hint="eastAsia" w:ascii="仿宋_GB2312"/>
          <w:bCs/>
          <w:color w:val="auto"/>
          <w:highlight w:val="none"/>
          <w:lang w:val="en-US" w:eastAsia="zh-CN"/>
        </w:rPr>
        <w:t>项目</w:t>
      </w:r>
      <w:r>
        <w:rPr>
          <w:rFonts w:hint="eastAsia" w:ascii="仿宋_GB2312"/>
          <w:bCs/>
          <w:color w:val="auto"/>
          <w:highlight w:val="none"/>
        </w:rPr>
        <w:t>过程中与有关单位的配合问题。</w:t>
      </w:r>
    </w:p>
    <w:p w14:paraId="18DD7047">
      <w:pPr>
        <w:spacing w:line="360" w:lineRule="auto"/>
        <w:ind w:firstLine="422"/>
        <w:rPr>
          <w:rFonts w:ascii="仿宋_GB2312"/>
          <w:b/>
          <w:color w:val="auto"/>
          <w:highlight w:val="none"/>
        </w:rPr>
      </w:pPr>
      <w:r>
        <w:rPr>
          <w:rFonts w:hint="eastAsia" w:ascii="仿宋_GB2312"/>
          <w:b/>
          <w:color w:val="auto"/>
          <w:highlight w:val="none"/>
        </w:rPr>
        <w:t>9.2承包人责任</w:t>
      </w:r>
    </w:p>
    <w:p w14:paraId="15E9F850">
      <w:pPr>
        <w:spacing w:line="360" w:lineRule="auto"/>
        <w:ind w:firstLine="420"/>
        <w:rPr>
          <w:rFonts w:ascii="仿宋_GB2312"/>
          <w:color w:val="auto"/>
          <w:highlight w:val="none"/>
        </w:rPr>
      </w:pPr>
      <w:r>
        <w:rPr>
          <w:rFonts w:hint="eastAsia" w:ascii="仿宋_GB2312"/>
          <w:color w:val="auto"/>
          <w:highlight w:val="none"/>
        </w:rPr>
        <w:t>9.2.1 承包人应按国家规定和合同约定的技术规范、标准进行</w:t>
      </w:r>
      <w:r>
        <w:rPr>
          <w:rFonts w:hint="eastAsia" w:ascii="仿宋_GB2312"/>
          <w:color w:val="auto"/>
          <w:highlight w:val="none"/>
          <w:lang w:val="en-US" w:eastAsia="zh-CN"/>
        </w:rPr>
        <w:t>方案编制</w:t>
      </w:r>
      <w:r>
        <w:rPr>
          <w:rFonts w:hint="eastAsia" w:ascii="仿宋_GB2312"/>
          <w:color w:val="auto"/>
          <w:highlight w:val="none"/>
        </w:rPr>
        <w:t>，按本合同第六条规定的内容、时间及份数向发包人交付</w:t>
      </w:r>
      <w:r>
        <w:rPr>
          <w:rFonts w:hint="eastAsia" w:ascii="仿宋_GB2312"/>
          <w:color w:val="auto"/>
          <w:highlight w:val="none"/>
          <w:lang w:val="en-US" w:eastAsia="zh-CN"/>
        </w:rPr>
        <w:t>成果</w:t>
      </w:r>
      <w:r>
        <w:rPr>
          <w:rFonts w:hint="eastAsia" w:ascii="仿宋_GB2312"/>
          <w:color w:val="auto"/>
          <w:highlight w:val="none"/>
        </w:rPr>
        <w:t>文件（出现9.1.1规定有关交付设计文件顺延的情况除外）。并对提交的</w:t>
      </w:r>
      <w:r>
        <w:rPr>
          <w:rFonts w:hint="eastAsia" w:ascii="仿宋_GB2312"/>
          <w:color w:val="auto"/>
          <w:highlight w:val="none"/>
          <w:lang w:val="en-US" w:eastAsia="zh-CN"/>
        </w:rPr>
        <w:t>成果</w:t>
      </w:r>
      <w:r>
        <w:rPr>
          <w:rFonts w:hint="eastAsia" w:ascii="仿宋_GB2312"/>
          <w:color w:val="auto"/>
          <w:highlight w:val="none"/>
        </w:rPr>
        <w:t>文件的质量负责。</w:t>
      </w:r>
    </w:p>
    <w:p w14:paraId="13E38A3D">
      <w:pPr>
        <w:spacing w:line="360" w:lineRule="auto"/>
        <w:ind w:firstLine="420"/>
        <w:rPr>
          <w:rFonts w:ascii="仿宋_GB2312"/>
          <w:color w:val="auto"/>
          <w:highlight w:val="none"/>
        </w:rPr>
      </w:pPr>
      <w:r>
        <w:rPr>
          <w:rFonts w:hint="eastAsia" w:ascii="仿宋_GB2312"/>
          <w:color w:val="auto"/>
          <w:highlight w:val="none"/>
        </w:rPr>
        <w:t>9.2.</w:t>
      </w:r>
      <w:r>
        <w:rPr>
          <w:rFonts w:hint="eastAsia" w:ascii="仿宋_GB2312"/>
          <w:color w:val="auto"/>
          <w:highlight w:val="none"/>
          <w:lang w:val="en-US" w:eastAsia="zh-CN"/>
        </w:rPr>
        <w:t>2</w:t>
      </w:r>
      <w:r>
        <w:rPr>
          <w:rFonts w:hint="eastAsia" w:ascii="仿宋_GB2312"/>
          <w:color w:val="auto"/>
          <w:highlight w:val="none"/>
        </w:rPr>
        <w:t xml:space="preserve"> 承包人应考虑结合各阶段的资料收集和调研工作对本</w:t>
      </w:r>
      <w:r>
        <w:rPr>
          <w:rFonts w:ascii="仿宋_GB2312"/>
          <w:color w:val="auto"/>
          <w:highlight w:val="none"/>
        </w:rPr>
        <w:t>项目</w:t>
      </w:r>
      <w:r>
        <w:rPr>
          <w:rFonts w:hint="eastAsia" w:ascii="仿宋_GB2312"/>
          <w:color w:val="auto"/>
          <w:highlight w:val="none"/>
        </w:rPr>
        <w:t>项目规划中的相关条件和结论进行调查分析，进行进一步的深化和论证。确保本项目的</w:t>
      </w:r>
      <w:r>
        <w:rPr>
          <w:rFonts w:hint="eastAsia" w:ascii="仿宋_GB2312"/>
          <w:color w:val="auto"/>
          <w:highlight w:val="none"/>
          <w:lang w:val="en-US" w:eastAsia="zh-CN"/>
        </w:rPr>
        <w:t>项目建议书</w:t>
      </w:r>
      <w:r>
        <w:rPr>
          <w:rFonts w:hint="eastAsia" w:ascii="仿宋_GB2312"/>
          <w:color w:val="auto"/>
          <w:highlight w:val="none"/>
        </w:rPr>
        <w:t>编制不脱离规划工作的主体方向，但对深化研究的过程中可能出现的与规则工作结论有矛盾的问题和结论应在充分调研的基础上与发包人进行沟通，并提出完整的调整意见。</w:t>
      </w:r>
    </w:p>
    <w:p w14:paraId="7E845A1B">
      <w:pPr>
        <w:spacing w:line="360" w:lineRule="auto"/>
        <w:ind w:firstLine="422"/>
        <w:rPr>
          <w:rFonts w:ascii="仿宋_GB2312" w:hAnsi="仿宋_GB2312"/>
          <w:b/>
          <w:bCs/>
          <w:color w:val="auto"/>
          <w:highlight w:val="none"/>
        </w:rPr>
      </w:pPr>
      <w:r>
        <w:rPr>
          <w:rFonts w:hint="eastAsia" w:ascii="仿宋_GB2312" w:hAnsi="仿宋_GB2312"/>
          <w:b/>
          <w:bCs/>
          <w:color w:val="auto"/>
          <w:highlight w:val="none"/>
        </w:rPr>
        <w:t>9.2.</w:t>
      </w:r>
      <w:r>
        <w:rPr>
          <w:rFonts w:hint="eastAsia" w:ascii="仿宋_GB2312" w:hAnsi="仿宋_GB2312"/>
          <w:b/>
          <w:bCs/>
          <w:color w:val="auto"/>
          <w:highlight w:val="none"/>
          <w:lang w:val="en-US" w:eastAsia="zh-CN"/>
        </w:rPr>
        <w:t>3</w:t>
      </w:r>
      <w:r>
        <w:rPr>
          <w:rFonts w:hint="eastAsia" w:ascii="仿宋_GB2312" w:hAnsi="仿宋_GB2312"/>
          <w:b/>
          <w:bCs/>
          <w:color w:val="auto"/>
          <w:highlight w:val="none"/>
        </w:rPr>
        <w:t>本工程各专业设计成果负总责，必须按采购人要求编制</w:t>
      </w:r>
      <w:r>
        <w:rPr>
          <w:rFonts w:hint="eastAsia" w:ascii="仿宋_GB2312" w:hAnsi="仿宋_GB2312"/>
          <w:b/>
          <w:bCs/>
          <w:color w:val="auto"/>
          <w:highlight w:val="none"/>
          <w:lang w:val="en-US" w:eastAsia="zh-CN"/>
        </w:rPr>
        <w:t>项目建议书</w:t>
      </w:r>
      <w:r>
        <w:rPr>
          <w:rFonts w:hint="eastAsia" w:ascii="仿宋_GB2312" w:hAnsi="仿宋_GB2312"/>
          <w:b/>
          <w:bCs/>
          <w:color w:val="auto"/>
          <w:highlight w:val="none"/>
        </w:rPr>
        <w:t>。</w:t>
      </w:r>
    </w:p>
    <w:p w14:paraId="074D40F0">
      <w:pPr>
        <w:spacing w:line="360" w:lineRule="auto"/>
        <w:ind w:firstLine="420"/>
        <w:rPr>
          <w:rFonts w:ascii="仿宋_GB2312"/>
          <w:color w:val="auto"/>
          <w:highlight w:val="none"/>
        </w:rPr>
      </w:pPr>
      <w:r>
        <w:rPr>
          <w:rFonts w:hint="eastAsia" w:ascii="仿宋_GB2312"/>
          <w:color w:val="auto"/>
          <w:highlight w:val="none"/>
        </w:rPr>
        <w:t>9.2.</w:t>
      </w:r>
      <w:r>
        <w:rPr>
          <w:rFonts w:hint="eastAsia" w:ascii="仿宋_GB2312"/>
          <w:color w:val="auto"/>
          <w:highlight w:val="none"/>
          <w:lang w:val="en-US" w:eastAsia="zh-CN"/>
        </w:rPr>
        <w:t>4</w:t>
      </w:r>
      <w:r>
        <w:rPr>
          <w:rFonts w:hint="eastAsia" w:ascii="仿宋_GB2312"/>
          <w:color w:val="auto"/>
          <w:highlight w:val="none"/>
        </w:rPr>
        <w:t xml:space="preserve"> 合同生效后，承包人要求终止或解除合同，承包人应双倍返还发包人已支付的预付款。</w:t>
      </w:r>
    </w:p>
    <w:p w14:paraId="203D6705">
      <w:pPr>
        <w:spacing w:line="360" w:lineRule="auto"/>
        <w:ind w:firstLine="420"/>
        <w:rPr>
          <w:rFonts w:hint="eastAsia" w:ascii="仿宋_GB2312"/>
          <w:color w:val="auto"/>
          <w:highlight w:val="none"/>
        </w:rPr>
      </w:pPr>
      <w:r>
        <w:rPr>
          <w:rFonts w:hint="eastAsia" w:ascii="仿宋_GB2312"/>
          <w:color w:val="auto"/>
          <w:highlight w:val="none"/>
        </w:rPr>
        <w:t>9.2.</w:t>
      </w:r>
      <w:r>
        <w:rPr>
          <w:rFonts w:hint="eastAsia" w:ascii="仿宋_GB2312"/>
          <w:color w:val="auto"/>
          <w:highlight w:val="none"/>
          <w:lang w:val="en-US" w:eastAsia="zh-CN"/>
        </w:rPr>
        <w:t>5</w:t>
      </w:r>
      <w:r>
        <w:rPr>
          <w:rFonts w:hint="eastAsia" w:ascii="仿宋_GB2312"/>
          <w:color w:val="auto"/>
          <w:highlight w:val="none"/>
        </w:rPr>
        <w:t xml:space="preserve"> 承包人交付</w:t>
      </w:r>
      <w:r>
        <w:rPr>
          <w:rFonts w:hint="eastAsia" w:ascii="仿宋_GB2312"/>
          <w:color w:val="auto"/>
          <w:highlight w:val="none"/>
          <w:lang w:val="en-US" w:eastAsia="zh-CN"/>
        </w:rPr>
        <w:t>成果</w:t>
      </w:r>
      <w:r>
        <w:rPr>
          <w:rFonts w:hint="eastAsia" w:ascii="仿宋_GB2312"/>
          <w:color w:val="auto"/>
          <w:highlight w:val="none"/>
        </w:rPr>
        <w:t>文件后，按规定参加有关上级的审查，并根据审查意见进行调整补充，直至审批通过为止，所发生的所有审查费用均由承包人承担。</w:t>
      </w:r>
    </w:p>
    <w:p w14:paraId="6ED9DFA0">
      <w:pPr>
        <w:spacing w:line="360" w:lineRule="auto"/>
        <w:ind w:firstLine="420"/>
        <w:rPr>
          <w:rFonts w:ascii="仿宋_GB2312"/>
          <w:color w:val="auto"/>
          <w:highlight w:val="none"/>
        </w:rPr>
      </w:pPr>
      <w:r>
        <w:rPr>
          <w:rFonts w:hint="eastAsia" w:ascii="仿宋_GB2312"/>
          <w:color w:val="auto"/>
          <w:highlight w:val="none"/>
        </w:rPr>
        <w:t>9.2.</w:t>
      </w:r>
      <w:r>
        <w:rPr>
          <w:rFonts w:hint="eastAsia" w:ascii="仿宋_GB2312"/>
          <w:color w:val="auto"/>
          <w:highlight w:val="none"/>
          <w:lang w:val="en-US" w:eastAsia="zh-CN"/>
        </w:rPr>
        <w:t>6</w:t>
      </w:r>
      <w:r>
        <w:rPr>
          <w:rFonts w:hint="eastAsia" w:ascii="仿宋_GB2312"/>
          <w:color w:val="auto"/>
          <w:highlight w:val="none"/>
        </w:rPr>
        <w:t xml:space="preserve"> </w:t>
      </w:r>
      <w:r>
        <w:rPr>
          <w:rFonts w:hint="eastAsia" w:ascii="仿宋_GB2312"/>
          <w:color w:val="auto"/>
          <w:highlight w:val="none"/>
          <w:lang w:val="en-US" w:eastAsia="zh-CN"/>
        </w:rPr>
        <w:t>项目</w:t>
      </w:r>
      <w:r>
        <w:rPr>
          <w:rFonts w:hint="eastAsia" w:ascii="仿宋_GB2312"/>
          <w:color w:val="auto"/>
          <w:highlight w:val="none"/>
        </w:rPr>
        <w:t>进度应满足工作进度的要求，应充分理解并配合满足发包人根据项目需要提出的对</w:t>
      </w:r>
      <w:r>
        <w:rPr>
          <w:rFonts w:hint="eastAsia" w:ascii="仿宋_GB2312"/>
          <w:color w:val="auto"/>
          <w:highlight w:val="none"/>
          <w:lang w:val="en-US" w:eastAsia="zh-CN"/>
        </w:rPr>
        <w:t>项目</w:t>
      </w:r>
      <w:r>
        <w:rPr>
          <w:rFonts w:hint="eastAsia" w:ascii="仿宋_GB2312"/>
          <w:color w:val="auto"/>
          <w:highlight w:val="none"/>
        </w:rPr>
        <w:t>进度的需求。</w:t>
      </w:r>
    </w:p>
    <w:p w14:paraId="77A45059">
      <w:pPr>
        <w:spacing w:line="360" w:lineRule="auto"/>
        <w:ind w:firstLine="420"/>
        <w:rPr>
          <w:rFonts w:ascii="仿宋_GB2312"/>
          <w:b/>
          <w:bCs/>
          <w:color w:val="auto"/>
          <w:highlight w:val="none"/>
        </w:rPr>
      </w:pPr>
      <w:r>
        <w:rPr>
          <w:rFonts w:hint="eastAsia" w:ascii="仿宋_GB2312"/>
          <w:color w:val="auto"/>
          <w:highlight w:val="none"/>
        </w:rPr>
        <w:t>9.2.</w:t>
      </w:r>
      <w:r>
        <w:rPr>
          <w:rFonts w:hint="eastAsia" w:ascii="仿宋_GB2312"/>
          <w:color w:val="auto"/>
          <w:highlight w:val="none"/>
          <w:lang w:val="en-US" w:eastAsia="zh-CN"/>
        </w:rPr>
        <w:t>7</w:t>
      </w:r>
      <w:r>
        <w:rPr>
          <w:rFonts w:hint="eastAsia" w:ascii="仿宋_GB2312"/>
          <w:color w:val="auto"/>
          <w:highlight w:val="none"/>
        </w:rPr>
        <w:t xml:space="preserve"> 承包人应由投标文件所承诺的项目管理组完成本合同工作，确保其委派的关键主要岗位负责人在本合同期间持续稳定的在该项目管理组工作。</w:t>
      </w:r>
    </w:p>
    <w:p w14:paraId="245F9057">
      <w:pPr>
        <w:spacing w:line="360" w:lineRule="auto"/>
        <w:ind w:firstLine="422"/>
        <w:rPr>
          <w:rFonts w:hint="eastAsia" w:ascii="仿宋_GB2312"/>
          <w:b/>
          <w:color w:val="auto"/>
          <w:highlight w:val="none"/>
        </w:rPr>
      </w:pPr>
      <w:r>
        <w:rPr>
          <w:rFonts w:ascii="仿宋_GB2312"/>
          <w:b/>
          <w:color w:val="auto"/>
          <w:highlight w:val="none"/>
        </w:rPr>
        <w:t>9.2.15 人员管理</w:t>
      </w:r>
    </w:p>
    <w:p w14:paraId="2893DB90">
      <w:pPr>
        <w:spacing w:line="360" w:lineRule="auto"/>
        <w:ind w:firstLine="420"/>
        <w:rPr>
          <w:rFonts w:ascii="仿宋_GB2312"/>
          <w:color w:val="auto"/>
          <w:highlight w:val="none"/>
        </w:rPr>
      </w:pPr>
      <w:r>
        <w:rPr>
          <w:rFonts w:hint="eastAsia" w:ascii="仿宋_GB2312"/>
          <w:color w:val="auto"/>
          <w:highlight w:val="none"/>
        </w:rPr>
        <w:t>(</w:t>
      </w:r>
      <w:r>
        <w:rPr>
          <w:rFonts w:ascii="仿宋_GB2312"/>
          <w:color w:val="auto"/>
          <w:highlight w:val="none"/>
        </w:rPr>
        <w:t>1)</w:t>
      </w:r>
      <w:r>
        <w:rPr>
          <w:rFonts w:hint="eastAsia" w:ascii="仿宋_GB2312"/>
          <w:color w:val="auto"/>
          <w:highlight w:val="none"/>
          <w:lang w:val="en-US" w:eastAsia="zh-CN"/>
        </w:rPr>
        <w:t>项目</w:t>
      </w:r>
      <w:r>
        <w:rPr>
          <w:rFonts w:hint="eastAsia" w:ascii="仿宋_GB2312"/>
          <w:color w:val="auto"/>
          <w:highlight w:val="none"/>
        </w:rPr>
        <w:t>负责</w:t>
      </w:r>
      <w:r>
        <w:rPr>
          <w:rFonts w:ascii="仿宋_GB2312"/>
          <w:color w:val="auto"/>
          <w:highlight w:val="none"/>
        </w:rPr>
        <w:t>人</w:t>
      </w:r>
      <w:r>
        <w:rPr>
          <w:rFonts w:hint="eastAsia" w:ascii="仿宋_GB2312"/>
          <w:color w:val="auto"/>
          <w:highlight w:val="none"/>
        </w:rPr>
        <w:t>和主要专业</w:t>
      </w:r>
      <w:r>
        <w:rPr>
          <w:rFonts w:ascii="仿宋_GB2312"/>
          <w:color w:val="auto"/>
          <w:highlight w:val="none"/>
        </w:rPr>
        <w:t>负责人</w:t>
      </w:r>
      <w:r>
        <w:rPr>
          <w:rFonts w:hint="eastAsia" w:ascii="仿宋_GB2312"/>
          <w:color w:val="auto"/>
          <w:highlight w:val="none"/>
        </w:rPr>
        <w:t>原则上不得更换，因特殊情况需要更换，应征得发包人的同意。</w:t>
      </w:r>
    </w:p>
    <w:p w14:paraId="7FFEDE13">
      <w:pPr>
        <w:spacing w:line="360" w:lineRule="auto"/>
        <w:ind w:firstLine="420"/>
        <w:rPr>
          <w:rFonts w:ascii="仿宋_GB2312"/>
          <w:color w:val="auto"/>
          <w:highlight w:val="none"/>
        </w:rPr>
      </w:pPr>
      <w:r>
        <w:rPr>
          <w:rFonts w:ascii="仿宋_GB2312"/>
          <w:color w:val="auto"/>
          <w:highlight w:val="none"/>
        </w:rPr>
        <w:t>(2)</w:t>
      </w:r>
      <w:r>
        <w:rPr>
          <w:rFonts w:hint="eastAsia" w:ascii="仿宋_GB2312"/>
          <w:color w:val="auto"/>
          <w:highlight w:val="none"/>
        </w:rPr>
        <w:t>若发包人要求更换不合格人员时，承包人应推荐合适人选，并不得低于原投标人员的资格，以满足发包人的要求。</w:t>
      </w:r>
    </w:p>
    <w:p w14:paraId="5AE29FDF">
      <w:pPr>
        <w:pStyle w:val="59"/>
        <w:spacing w:before="0" w:beforeAutospacing="0" w:after="0" w:afterAutospacing="0" w:line="360" w:lineRule="auto"/>
        <w:ind w:firstLine="482"/>
        <w:jc w:val="both"/>
        <w:rPr>
          <w:rFonts w:ascii="Tahoma" w:hAnsi="Tahoma"/>
          <w:b/>
          <w:color w:val="auto"/>
          <w:sz w:val="21"/>
          <w:highlight w:val="none"/>
        </w:rPr>
      </w:pPr>
      <w:r>
        <w:rPr>
          <w:b/>
          <w:bCs/>
          <w:color w:val="auto"/>
          <w:highlight w:val="none"/>
        </w:rPr>
        <w:t>9.2.16</w:t>
      </w:r>
      <w:r>
        <w:rPr>
          <w:color w:val="auto"/>
          <w:highlight w:val="none"/>
        </w:rPr>
        <w:t xml:space="preserve"> </w:t>
      </w:r>
      <w:r>
        <w:rPr>
          <w:b/>
          <w:bCs/>
          <w:color w:val="auto"/>
          <w:highlight w:val="none"/>
        </w:rPr>
        <w:t xml:space="preserve"> 如承包人不能按发包人要求提交可编辑的电子文档（word、excel、autocad文件格式），则按壹拾万元/次（人民币）扣除费</w:t>
      </w:r>
      <w:r>
        <w:rPr>
          <w:rFonts w:hint="eastAsia"/>
          <w:b/>
          <w:bCs/>
          <w:color w:val="auto"/>
          <w:highlight w:val="none"/>
          <w:lang w:val="en-US" w:eastAsia="zh-CN"/>
        </w:rPr>
        <w:t>用</w:t>
      </w:r>
      <w:r>
        <w:rPr>
          <w:b/>
          <w:bCs/>
          <w:color w:val="auto"/>
          <w:highlight w:val="none"/>
        </w:rPr>
        <w:t>。</w:t>
      </w:r>
    </w:p>
    <w:p w14:paraId="36A043DB">
      <w:pPr>
        <w:pStyle w:val="5"/>
        <w:ind w:left="0" w:firstLine="0"/>
        <w:rPr>
          <w:color w:val="auto"/>
          <w:highlight w:val="none"/>
        </w:rPr>
      </w:pPr>
      <w:bookmarkStart w:id="534" w:name="_Toc16434955"/>
      <w:bookmarkStart w:id="535" w:name="_Toc22851"/>
      <w:bookmarkStart w:id="536" w:name="_Toc475830736"/>
      <w:bookmarkStart w:id="537" w:name="_Toc1501"/>
      <w:bookmarkStart w:id="538" w:name="_Toc25660956"/>
      <w:bookmarkStart w:id="539" w:name="_Toc24341"/>
      <w:bookmarkStart w:id="540" w:name="_Toc17289"/>
      <w:r>
        <w:rPr>
          <w:rFonts w:hint="eastAsia"/>
          <w:color w:val="auto"/>
          <w:highlight w:val="none"/>
        </w:rPr>
        <w:t>第十条 工作成果的审查和验收</w:t>
      </w:r>
      <w:bookmarkEnd w:id="534"/>
      <w:bookmarkEnd w:id="535"/>
      <w:bookmarkEnd w:id="536"/>
      <w:bookmarkEnd w:id="537"/>
      <w:bookmarkEnd w:id="538"/>
      <w:bookmarkEnd w:id="539"/>
      <w:bookmarkEnd w:id="540"/>
    </w:p>
    <w:p w14:paraId="6F2B0DFC">
      <w:pPr>
        <w:spacing w:line="360" w:lineRule="auto"/>
        <w:ind w:firstLine="422"/>
        <w:rPr>
          <w:rFonts w:ascii="仿宋_GB2312"/>
          <w:b/>
          <w:bCs/>
          <w:color w:val="auto"/>
          <w:highlight w:val="none"/>
        </w:rPr>
      </w:pPr>
      <w:r>
        <w:rPr>
          <w:rFonts w:hint="eastAsia" w:ascii="仿宋_GB2312"/>
          <w:b/>
          <w:bCs/>
          <w:color w:val="auto"/>
          <w:highlight w:val="none"/>
        </w:rPr>
        <w:t>10.1工作成果的审查</w:t>
      </w:r>
    </w:p>
    <w:p w14:paraId="4C46A22C">
      <w:pPr>
        <w:spacing w:line="360" w:lineRule="auto"/>
        <w:ind w:firstLine="420"/>
        <w:rPr>
          <w:rFonts w:ascii="仿宋_GB2312"/>
          <w:bCs/>
          <w:color w:val="auto"/>
          <w:highlight w:val="none"/>
        </w:rPr>
      </w:pPr>
      <w:r>
        <w:rPr>
          <w:rFonts w:hint="eastAsia" w:ascii="仿宋_GB2312"/>
          <w:bCs/>
          <w:color w:val="auto"/>
          <w:highlight w:val="none"/>
        </w:rPr>
        <w:t>10.1.1对于项目工作过程中获得的任何初步工作成果，发包人应及时予以审查，并将发现的缺陷和需修改的地方通知承包人，</w:t>
      </w:r>
      <w:r>
        <w:rPr>
          <w:rFonts w:hint="eastAsia" w:ascii="仿宋_GB2312"/>
          <w:color w:val="auto"/>
          <w:highlight w:val="none"/>
        </w:rPr>
        <w:t>所发生的所有审查费用均由承包人承担</w:t>
      </w:r>
      <w:r>
        <w:rPr>
          <w:rFonts w:hint="eastAsia" w:ascii="仿宋_GB2312"/>
          <w:bCs/>
          <w:color w:val="auto"/>
          <w:highlight w:val="none"/>
        </w:rPr>
        <w:t>。承包人应按发包人的要求及时纠正和修改初步工作成果。</w:t>
      </w:r>
    </w:p>
    <w:p w14:paraId="52E0B67D">
      <w:pPr>
        <w:spacing w:line="360" w:lineRule="auto"/>
        <w:ind w:firstLine="420"/>
        <w:rPr>
          <w:rFonts w:ascii="仿宋_GB2312"/>
          <w:bCs/>
          <w:color w:val="auto"/>
          <w:highlight w:val="none"/>
        </w:rPr>
      </w:pPr>
      <w:r>
        <w:rPr>
          <w:rFonts w:hint="eastAsia" w:ascii="仿宋_GB2312"/>
          <w:bCs/>
          <w:color w:val="auto"/>
          <w:highlight w:val="none"/>
        </w:rPr>
        <w:t>10.1.2对于承包人交付的相关工作成果，发包人应及时向行政主管部门申报、组织和审批工作，</w:t>
      </w:r>
      <w:r>
        <w:rPr>
          <w:rFonts w:ascii="仿宋_GB2312"/>
          <w:bCs/>
          <w:color w:val="auto"/>
          <w:highlight w:val="none"/>
        </w:rPr>
        <w:t>承包人予以协助</w:t>
      </w:r>
      <w:r>
        <w:rPr>
          <w:rFonts w:hint="eastAsia" w:ascii="仿宋_GB2312"/>
          <w:bCs/>
          <w:color w:val="auto"/>
          <w:highlight w:val="none"/>
        </w:rPr>
        <w:t>。</w:t>
      </w:r>
    </w:p>
    <w:p w14:paraId="411278A7">
      <w:pPr>
        <w:spacing w:line="360" w:lineRule="auto"/>
        <w:ind w:firstLine="420"/>
        <w:rPr>
          <w:rFonts w:ascii="仿宋_GB2312"/>
          <w:bCs/>
          <w:color w:val="auto"/>
          <w:highlight w:val="none"/>
        </w:rPr>
      </w:pPr>
      <w:r>
        <w:rPr>
          <w:rFonts w:hint="eastAsia" w:ascii="仿宋_GB2312"/>
          <w:bCs/>
          <w:color w:val="auto"/>
          <w:highlight w:val="none"/>
        </w:rPr>
        <w:t>10.1.3承包人应积极配合发包人对其工作成果进行审查。审查会议后，承包人应及时按审查意见和发包人的要求（若有）对工作成果做出补救和修改。</w:t>
      </w:r>
    </w:p>
    <w:p w14:paraId="56CC1158">
      <w:pPr>
        <w:spacing w:line="360" w:lineRule="auto"/>
        <w:ind w:firstLine="420"/>
        <w:rPr>
          <w:rFonts w:hint="eastAsia" w:ascii="仿宋_GB2312"/>
          <w:bCs/>
          <w:color w:val="auto"/>
          <w:highlight w:val="none"/>
        </w:rPr>
      </w:pPr>
      <w:r>
        <w:rPr>
          <w:rFonts w:hint="eastAsia" w:ascii="仿宋_GB2312"/>
          <w:bCs/>
          <w:color w:val="auto"/>
          <w:highlight w:val="none"/>
        </w:rPr>
        <w:t>10.1.4 工作</w:t>
      </w:r>
      <w:r>
        <w:rPr>
          <w:rFonts w:ascii="仿宋_GB2312"/>
          <w:bCs/>
          <w:color w:val="auto"/>
          <w:highlight w:val="none"/>
        </w:rPr>
        <w:t>成果审查的费用由承包人承担，发包人只负责</w:t>
      </w:r>
      <w:r>
        <w:rPr>
          <w:rFonts w:hint="eastAsia" w:ascii="仿宋_GB2312"/>
          <w:bCs/>
          <w:color w:val="auto"/>
          <w:highlight w:val="none"/>
        </w:rPr>
        <w:t>相关</w:t>
      </w:r>
      <w:r>
        <w:rPr>
          <w:rFonts w:ascii="仿宋_GB2312"/>
          <w:bCs/>
          <w:color w:val="auto"/>
          <w:highlight w:val="none"/>
        </w:rPr>
        <w:t>组织</w:t>
      </w:r>
      <w:r>
        <w:rPr>
          <w:rFonts w:hint="eastAsia" w:ascii="仿宋_GB2312"/>
          <w:bCs/>
          <w:color w:val="auto"/>
          <w:highlight w:val="none"/>
        </w:rPr>
        <w:t>、</w:t>
      </w:r>
      <w:r>
        <w:rPr>
          <w:rFonts w:ascii="仿宋_GB2312"/>
          <w:bCs/>
          <w:color w:val="auto"/>
          <w:highlight w:val="none"/>
        </w:rPr>
        <w:t>申报工作。</w:t>
      </w:r>
    </w:p>
    <w:p w14:paraId="30547F74">
      <w:pPr>
        <w:spacing w:line="360" w:lineRule="auto"/>
        <w:ind w:firstLine="422"/>
        <w:rPr>
          <w:rFonts w:ascii="仿宋_GB2312"/>
          <w:b/>
          <w:bCs/>
          <w:color w:val="auto"/>
          <w:highlight w:val="none"/>
        </w:rPr>
      </w:pPr>
      <w:r>
        <w:rPr>
          <w:rFonts w:hint="eastAsia" w:ascii="仿宋_GB2312"/>
          <w:b/>
          <w:bCs/>
          <w:color w:val="auto"/>
          <w:highlight w:val="none"/>
        </w:rPr>
        <w:t>10.2工作成果的验收</w:t>
      </w:r>
    </w:p>
    <w:p w14:paraId="3C42253F">
      <w:pPr>
        <w:spacing w:line="360" w:lineRule="auto"/>
        <w:ind w:firstLine="420"/>
        <w:rPr>
          <w:rFonts w:ascii="仿宋_GB2312"/>
          <w:bCs/>
          <w:color w:val="auto"/>
          <w:highlight w:val="none"/>
        </w:rPr>
      </w:pPr>
      <w:r>
        <w:rPr>
          <w:rFonts w:hint="eastAsia" w:ascii="仿宋_GB2312"/>
          <w:bCs/>
          <w:color w:val="auto"/>
          <w:highlight w:val="none"/>
        </w:rPr>
        <w:t>承包人应按相关行政主管部门审批的意见修改报告，并配合发包人取得相关行政主管部门的批准。在获批批准之后，发包人将接受承包人的工作成果并视为工作成果验收通过。</w:t>
      </w:r>
    </w:p>
    <w:p w14:paraId="1F08EBA2">
      <w:pPr>
        <w:pStyle w:val="5"/>
        <w:ind w:left="0" w:firstLine="0"/>
        <w:rPr>
          <w:color w:val="auto"/>
          <w:highlight w:val="none"/>
        </w:rPr>
      </w:pPr>
      <w:bookmarkStart w:id="541" w:name="_Toc16434956"/>
      <w:bookmarkStart w:id="542" w:name="_Toc14619"/>
      <w:bookmarkStart w:id="543" w:name="_Toc475830737"/>
      <w:bookmarkStart w:id="544" w:name="_Toc5874"/>
      <w:bookmarkStart w:id="545" w:name="_Toc25660957"/>
      <w:bookmarkStart w:id="546" w:name="_Toc17629"/>
      <w:bookmarkStart w:id="547" w:name="_Toc32177"/>
      <w:r>
        <w:rPr>
          <w:rFonts w:hint="eastAsia"/>
          <w:color w:val="auto"/>
          <w:highlight w:val="none"/>
        </w:rPr>
        <w:t>第十一条 转包与分包</w:t>
      </w:r>
      <w:bookmarkEnd w:id="541"/>
      <w:bookmarkEnd w:id="542"/>
      <w:bookmarkEnd w:id="543"/>
      <w:bookmarkEnd w:id="544"/>
      <w:bookmarkEnd w:id="545"/>
      <w:bookmarkEnd w:id="546"/>
      <w:bookmarkEnd w:id="547"/>
    </w:p>
    <w:p w14:paraId="2ADDF070">
      <w:pPr>
        <w:spacing w:line="360" w:lineRule="auto"/>
        <w:ind w:firstLine="420"/>
        <w:rPr>
          <w:rFonts w:hint="eastAsia" w:ascii="仿宋_GB2312"/>
          <w:bCs/>
          <w:color w:val="auto"/>
          <w:highlight w:val="none"/>
        </w:rPr>
      </w:pPr>
      <w:r>
        <w:rPr>
          <w:rFonts w:hint="eastAsia" w:ascii="仿宋_GB2312"/>
          <w:bCs/>
          <w:color w:val="auto"/>
          <w:highlight w:val="none"/>
        </w:rPr>
        <w:t>接受分包的第三人资质要求：</w:t>
      </w:r>
      <w:r>
        <w:rPr>
          <w:rFonts w:hint="eastAsia"/>
          <w:color w:val="auto"/>
          <w:highlight w:val="none"/>
        </w:rPr>
        <w:t>分包人的资格能力须符合国家的有关规定，分包人应具有相应的资质，应与其分包工程的标准和规模相适应，分包人须取得发包人的认可。</w:t>
      </w:r>
    </w:p>
    <w:p w14:paraId="39A9F345">
      <w:pPr>
        <w:spacing w:line="360" w:lineRule="auto"/>
        <w:ind w:firstLine="420"/>
        <w:rPr>
          <w:rFonts w:hint="eastAsia" w:ascii="仿宋_GB2312"/>
          <w:bCs/>
          <w:color w:val="auto"/>
          <w:highlight w:val="none"/>
        </w:rPr>
      </w:pPr>
      <w:r>
        <w:rPr>
          <w:rFonts w:hint="eastAsia" w:ascii="仿宋_GB2312"/>
          <w:bCs/>
          <w:color w:val="auto"/>
          <w:highlight w:val="none"/>
        </w:rPr>
        <w:t>除上述规定外，本合同内工作的任何义务和权利未经发包人同意，承包人不得转让、转包给任何第三方，否则发包人将有权中止付款、中止或终止合同，并可按承包人违约处理。如在发包人发出书面要求5个工作日内，违约仍未获得补救或属于不可补救，则发包人有权没收履约保证金。</w:t>
      </w:r>
    </w:p>
    <w:p w14:paraId="394A26FE">
      <w:pPr>
        <w:pStyle w:val="5"/>
        <w:ind w:left="0" w:firstLine="0"/>
        <w:rPr>
          <w:color w:val="auto"/>
          <w:highlight w:val="none"/>
        </w:rPr>
      </w:pPr>
      <w:bookmarkStart w:id="548" w:name="_Toc25660958"/>
      <w:bookmarkStart w:id="549" w:name="_Toc17631"/>
      <w:bookmarkStart w:id="550" w:name="_Toc14050"/>
      <w:bookmarkStart w:id="551" w:name="_Toc24453"/>
      <w:bookmarkStart w:id="552" w:name="_Toc475830738"/>
      <w:bookmarkStart w:id="553" w:name="_Toc6670"/>
      <w:bookmarkStart w:id="554" w:name="_Toc16434957"/>
      <w:r>
        <w:rPr>
          <w:rFonts w:hint="eastAsia"/>
          <w:color w:val="auto"/>
          <w:highlight w:val="none"/>
        </w:rPr>
        <w:t>第十二条 暂停</w:t>
      </w:r>
      <w:bookmarkEnd w:id="548"/>
      <w:bookmarkEnd w:id="549"/>
      <w:bookmarkEnd w:id="550"/>
      <w:bookmarkEnd w:id="551"/>
      <w:bookmarkEnd w:id="552"/>
      <w:bookmarkEnd w:id="553"/>
      <w:bookmarkEnd w:id="554"/>
    </w:p>
    <w:p w14:paraId="1930FB87">
      <w:pPr>
        <w:pStyle w:val="977"/>
        <w:spacing w:line="360" w:lineRule="auto"/>
        <w:ind w:firstLine="420"/>
        <w:rPr>
          <w:color w:val="auto"/>
          <w:szCs w:val="21"/>
          <w:highlight w:val="none"/>
        </w:rPr>
      </w:pPr>
      <w:r>
        <w:rPr>
          <w:color w:val="auto"/>
          <w:szCs w:val="21"/>
          <w:highlight w:val="none"/>
        </w:rPr>
        <w:t>12</w:t>
      </w:r>
      <w:r>
        <w:rPr>
          <w:rFonts w:hint="eastAsia"/>
          <w:color w:val="auto"/>
          <w:szCs w:val="21"/>
          <w:highlight w:val="none"/>
        </w:rPr>
        <w:t>.1</w:t>
      </w:r>
      <w:r>
        <w:rPr>
          <w:color w:val="auto"/>
          <w:szCs w:val="21"/>
          <w:highlight w:val="none"/>
        </w:rPr>
        <w:t xml:space="preserve"> </w:t>
      </w:r>
      <w:r>
        <w:rPr>
          <w:rFonts w:hint="eastAsia"/>
          <w:color w:val="auto"/>
          <w:szCs w:val="21"/>
          <w:highlight w:val="none"/>
        </w:rPr>
        <w:t>发包人有权自行决定暂停全部或部分项目工作，承包人接到发包人暂停工作的通知后，应立即停止有关的工作，并对已完成的工作进行妥善处理。未被暂停的项目工作应继续进行。</w:t>
      </w:r>
    </w:p>
    <w:p w14:paraId="3643B7A9">
      <w:pPr>
        <w:pStyle w:val="5"/>
        <w:ind w:left="0" w:firstLine="0"/>
        <w:rPr>
          <w:color w:val="auto"/>
          <w:highlight w:val="none"/>
        </w:rPr>
      </w:pPr>
      <w:bookmarkStart w:id="555" w:name="_Toc18703"/>
      <w:bookmarkStart w:id="556" w:name="_Toc20128"/>
      <w:bookmarkStart w:id="557" w:name="_Toc475830739"/>
      <w:bookmarkStart w:id="558" w:name="_Toc9556"/>
      <w:bookmarkStart w:id="559" w:name="_Toc22199"/>
      <w:bookmarkStart w:id="560" w:name="_Toc25660959"/>
      <w:bookmarkStart w:id="561" w:name="_Toc16434958"/>
      <w:r>
        <w:rPr>
          <w:rFonts w:hint="eastAsia"/>
          <w:color w:val="auto"/>
          <w:highlight w:val="none"/>
        </w:rPr>
        <w:t>第十三条 终止</w:t>
      </w:r>
      <w:bookmarkEnd w:id="555"/>
      <w:bookmarkEnd w:id="556"/>
      <w:bookmarkEnd w:id="557"/>
      <w:bookmarkEnd w:id="558"/>
      <w:bookmarkEnd w:id="559"/>
      <w:bookmarkEnd w:id="560"/>
      <w:bookmarkEnd w:id="561"/>
    </w:p>
    <w:p w14:paraId="6E5FC10D">
      <w:pPr>
        <w:pStyle w:val="977"/>
        <w:spacing w:line="360" w:lineRule="auto"/>
        <w:ind w:firstLine="420"/>
        <w:rPr>
          <w:bCs/>
          <w:color w:val="auto"/>
          <w:szCs w:val="21"/>
          <w:highlight w:val="none"/>
        </w:rPr>
      </w:pPr>
      <w:r>
        <w:rPr>
          <w:bCs/>
          <w:color w:val="auto"/>
          <w:szCs w:val="21"/>
          <w:highlight w:val="none"/>
        </w:rPr>
        <w:t>13.1 合同终止</w:t>
      </w:r>
    </w:p>
    <w:p w14:paraId="0BC7B14E">
      <w:pPr>
        <w:pStyle w:val="977"/>
        <w:spacing w:line="360" w:lineRule="auto"/>
        <w:ind w:firstLine="420"/>
        <w:rPr>
          <w:bCs/>
          <w:color w:val="auto"/>
          <w:szCs w:val="21"/>
          <w:highlight w:val="none"/>
        </w:rPr>
      </w:pPr>
      <w:r>
        <w:rPr>
          <w:bCs/>
          <w:color w:val="auto"/>
          <w:szCs w:val="21"/>
          <w:highlight w:val="none"/>
        </w:rPr>
        <w:t>发包人有权随时用书面形式通知承包人，终止本合同，承包人接到通知后，应立即根据发包人的要求，终止相关的工作，并应尽最大的努力减少因终止本合同而引起的后续费用，并应在收到本终止合同的书面通知后10个工作日内，把所有的文件、资料及所完成的工作成果转交给发包人。</w:t>
      </w:r>
    </w:p>
    <w:p w14:paraId="27D71774">
      <w:pPr>
        <w:pStyle w:val="977"/>
        <w:spacing w:line="360" w:lineRule="auto"/>
        <w:ind w:firstLine="420"/>
        <w:rPr>
          <w:bCs/>
          <w:color w:val="auto"/>
          <w:szCs w:val="21"/>
          <w:highlight w:val="none"/>
        </w:rPr>
      </w:pPr>
      <w:r>
        <w:rPr>
          <w:bCs/>
          <w:color w:val="auto"/>
          <w:szCs w:val="21"/>
          <w:highlight w:val="none"/>
        </w:rPr>
        <w:t>13.1.1 若发包人在付款到期之日起15个工作日内，未能向承包人支付本合同项下的应付款项且未对此付款项提出异议，承包人有权向发包人发出书面通知终止本合同。</w:t>
      </w:r>
    </w:p>
    <w:p w14:paraId="0E5A66DC">
      <w:pPr>
        <w:pStyle w:val="977"/>
        <w:spacing w:line="360" w:lineRule="auto"/>
        <w:ind w:firstLine="420"/>
        <w:rPr>
          <w:bCs/>
          <w:color w:val="auto"/>
          <w:szCs w:val="21"/>
          <w:highlight w:val="none"/>
        </w:rPr>
      </w:pPr>
      <w:r>
        <w:rPr>
          <w:bCs/>
          <w:color w:val="auto"/>
          <w:szCs w:val="21"/>
          <w:highlight w:val="none"/>
        </w:rPr>
        <w:t>13.1.2 在不妨碍第13.1.1款的前提下，发包人可随时因承包人的任何违约事件终止本合同，或在承包人无力赔偿、可能导致承包人解散或清算、或涉及承包人的破产申诉已开始的情况下终止本合同。在不妨碍第13.1.1条规定的前提下，承包人应对因终止合同而给发包人造成的损失予以补偿。承包人对于发包人的补偿包括（但不限于）：</w:t>
      </w:r>
    </w:p>
    <w:p w14:paraId="05FD44E9">
      <w:pPr>
        <w:pStyle w:val="977"/>
        <w:spacing w:line="360" w:lineRule="auto"/>
        <w:ind w:firstLine="420"/>
        <w:rPr>
          <w:bCs/>
          <w:color w:val="auto"/>
          <w:szCs w:val="21"/>
          <w:highlight w:val="none"/>
        </w:rPr>
      </w:pPr>
      <w:r>
        <w:rPr>
          <w:bCs/>
          <w:color w:val="auto"/>
          <w:szCs w:val="21"/>
          <w:highlight w:val="none"/>
        </w:rPr>
        <w:t>发包人寻找新承包人所投入的费用；</w:t>
      </w:r>
    </w:p>
    <w:p w14:paraId="600E2C29">
      <w:pPr>
        <w:pStyle w:val="977"/>
        <w:spacing w:line="360" w:lineRule="auto"/>
        <w:ind w:firstLine="420"/>
        <w:rPr>
          <w:bCs/>
          <w:color w:val="auto"/>
          <w:szCs w:val="21"/>
          <w:highlight w:val="none"/>
        </w:rPr>
      </w:pPr>
      <w:r>
        <w:rPr>
          <w:bCs/>
          <w:color w:val="auto"/>
          <w:szCs w:val="21"/>
          <w:highlight w:val="none"/>
        </w:rPr>
        <w:t>发包人签订的全新合同的该部分合同价格高于本合同的相应部分；</w:t>
      </w:r>
    </w:p>
    <w:p w14:paraId="3AD380BB">
      <w:pPr>
        <w:pStyle w:val="977"/>
        <w:spacing w:line="360" w:lineRule="auto"/>
        <w:ind w:firstLine="420"/>
        <w:rPr>
          <w:bCs/>
          <w:color w:val="auto"/>
          <w:szCs w:val="21"/>
          <w:highlight w:val="none"/>
        </w:rPr>
      </w:pPr>
      <w:r>
        <w:rPr>
          <w:bCs/>
          <w:color w:val="auto"/>
          <w:szCs w:val="21"/>
          <w:highlight w:val="none"/>
        </w:rPr>
        <w:t>发包人为追赶工作进度所投入的费用；</w:t>
      </w:r>
    </w:p>
    <w:p w14:paraId="0CACE0D2">
      <w:pPr>
        <w:pStyle w:val="977"/>
        <w:spacing w:line="360" w:lineRule="auto"/>
        <w:ind w:firstLine="420"/>
        <w:rPr>
          <w:bCs/>
          <w:color w:val="auto"/>
          <w:szCs w:val="21"/>
          <w:highlight w:val="none"/>
        </w:rPr>
      </w:pPr>
      <w:r>
        <w:rPr>
          <w:bCs/>
          <w:color w:val="auto"/>
          <w:szCs w:val="21"/>
          <w:highlight w:val="none"/>
        </w:rPr>
        <w:t>由此给发包人造成的其他损失。</w:t>
      </w:r>
    </w:p>
    <w:p w14:paraId="1DC693E3">
      <w:pPr>
        <w:pStyle w:val="977"/>
        <w:spacing w:line="360" w:lineRule="auto"/>
        <w:ind w:firstLine="420"/>
        <w:rPr>
          <w:bCs/>
          <w:color w:val="auto"/>
          <w:szCs w:val="21"/>
          <w:highlight w:val="none"/>
        </w:rPr>
      </w:pPr>
      <w:r>
        <w:rPr>
          <w:bCs/>
          <w:color w:val="auto"/>
          <w:szCs w:val="21"/>
          <w:highlight w:val="none"/>
        </w:rPr>
        <w:t>13.1.3 发包人因第14.1条规定的情况之外的其他原因终止本合同的，承包人应在符合第13.1.1条规定的前提下要求发包人支付下述费用：</w:t>
      </w:r>
    </w:p>
    <w:p w14:paraId="00F786B4">
      <w:pPr>
        <w:pStyle w:val="977"/>
        <w:spacing w:line="360" w:lineRule="auto"/>
        <w:ind w:firstLine="420"/>
        <w:rPr>
          <w:bCs/>
          <w:color w:val="auto"/>
          <w:szCs w:val="21"/>
          <w:highlight w:val="none"/>
        </w:rPr>
      </w:pPr>
      <w:r>
        <w:rPr>
          <w:bCs/>
          <w:color w:val="auto"/>
          <w:szCs w:val="21"/>
          <w:highlight w:val="none"/>
        </w:rPr>
        <w:t>终止日期之前已完成的工作未支付的费用；</w:t>
      </w:r>
    </w:p>
    <w:p w14:paraId="12BD08C6">
      <w:pPr>
        <w:pStyle w:val="977"/>
        <w:spacing w:line="360" w:lineRule="auto"/>
        <w:ind w:firstLine="420"/>
        <w:rPr>
          <w:bCs/>
          <w:color w:val="auto"/>
          <w:szCs w:val="21"/>
          <w:highlight w:val="none"/>
        </w:rPr>
      </w:pPr>
      <w:r>
        <w:rPr>
          <w:bCs/>
          <w:color w:val="auto"/>
          <w:szCs w:val="21"/>
          <w:highlight w:val="none"/>
        </w:rPr>
        <w:t>为执行本合同而支出的合理的、有记录的费用；</w:t>
      </w:r>
    </w:p>
    <w:p w14:paraId="736E9356">
      <w:pPr>
        <w:pStyle w:val="977"/>
        <w:spacing w:line="360" w:lineRule="auto"/>
        <w:ind w:firstLine="420"/>
        <w:rPr>
          <w:bCs/>
          <w:color w:val="auto"/>
          <w:szCs w:val="21"/>
          <w:highlight w:val="none"/>
        </w:rPr>
      </w:pPr>
      <w:r>
        <w:rPr>
          <w:bCs/>
          <w:color w:val="auto"/>
          <w:szCs w:val="21"/>
          <w:highlight w:val="none"/>
        </w:rPr>
        <w:t>除以上列出的费用承包人不得对发包人提出进一步索赔。</w:t>
      </w:r>
    </w:p>
    <w:p w14:paraId="6090036F">
      <w:pPr>
        <w:pStyle w:val="977"/>
        <w:spacing w:line="360" w:lineRule="auto"/>
        <w:ind w:firstLine="420"/>
        <w:rPr>
          <w:bCs/>
          <w:color w:val="auto"/>
          <w:szCs w:val="21"/>
          <w:highlight w:val="none"/>
        </w:rPr>
      </w:pPr>
      <w:r>
        <w:rPr>
          <w:bCs/>
          <w:color w:val="auto"/>
          <w:szCs w:val="21"/>
          <w:highlight w:val="none"/>
        </w:rPr>
        <w:t>13.2 单项工作终止</w:t>
      </w:r>
    </w:p>
    <w:p w14:paraId="58CC1EE1">
      <w:pPr>
        <w:pStyle w:val="977"/>
        <w:spacing w:line="360" w:lineRule="auto"/>
        <w:ind w:firstLine="420"/>
        <w:rPr>
          <w:bCs/>
          <w:color w:val="auto"/>
          <w:szCs w:val="21"/>
          <w:highlight w:val="none"/>
        </w:rPr>
      </w:pPr>
      <w:r>
        <w:rPr>
          <w:bCs/>
          <w:color w:val="auto"/>
          <w:szCs w:val="21"/>
          <w:highlight w:val="none"/>
        </w:rPr>
        <w:t>13.2.1 任何一项单项工作均应在发包人签署该单项工作的启动书后进行。发包人未签署启动书的，发包人不得承担任何费用。</w:t>
      </w:r>
    </w:p>
    <w:p w14:paraId="1778B017">
      <w:pPr>
        <w:pStyle w:val="977"/>
        <w:spacing w:line="360" w:lineRule="auto"/>
        <w:ind w:firstLine="420"/>
        <w:rPr>
          <w:bCs/>
          <w:color w:val="auto"/>
          <w:szCs w:val="21"/>
          <w:highlight w:val="none"/>
        </w:rPr>
      </w:pPr>
      <w:r>
        <w:rPr>
          <w:bCs/>
          <w:color w:val="auto"/>
          <w:szCs w:val="21"/>
          <w:highlight w:val="none"/>
        </w:rPr>
        <w:t>13.2.2 发包人签署单项工作启动书后，发包人仍有权随时用书面形式通知承包人终止该单项工作。承包人在接到通知后，应立即根据发包人的要求，终止相关的工作，应尽最大的努力减少因终止本单项工作而引起的后续费用，并应在收到终止本单项工作的书面通知后10个工作日内，把所有文件、资料及所完成的工作成果转交给发包人。承包人已实施该单项工作所发生的费用参照13.1相关条款执行。</w:t>
      </w:r>
    </w:p>
    <w:p w14:paraId="6B7F326E">
      <w:pPr>
        <w:pStyle w:val="5"/>
        <w:ind w:left="0" w:firstLine="0"/>
        <w:rPr>
          <w:color w:val="auto"/>
          <w:highlight w:val="none"/>
        </w:rPr>
      </w:pPr>
      <w:bookmarkStart w:id="562" w:name="_Toc25660960"/>
      <w:bookmarkStart w:id="563" w:name="_Toc19645"/>
      <w:bookmarkStart w:id="564" w:name="_Toc10683"/>
      <w:bookmarkStart w:id="565" w:name="_Toc475830740"/>
      <w:bookmarkStart w:id="566" w:name="_Toc23919"/>
      <w:bookmarkStart w:id="567" w:name="_Toc32111"/>
      <w:bookmarkStart w:id="568" w:name="_Toc16434959"/>
      <w:r>
        <w:rPr>
          <w:rFonts w:hint="eastAsia"/>
          <w:color w:val="auto"/>
          <w:highlight w:val="none"/>
        </w:rPr>
        <w:t>第十四条 不可抗力</w:t>
      </w:r>
      <w:bookmarkEnd w:id="562"/>
      <w:bookmarkEnd w:id="563"/>
      <w:bookmarkEnd w:id="564"/>
      <w:bookmarkEnd w:id="565"/>
      <w:bookmarkEnd w:id="566"/>
      <w:bookmarkEnd w:id="567"/>
      <w:bookmarkEnd w:id="568"/>
    </w:p>
    <w:p w14:paraId="69CCB8EB">
      <w:pPr>
        <w:pStyle w:val="977"/>
        <w:spacing w:line="360" w:lineRule="auto"/>
        <w:ind w:firstLine="420"/>
        <w:rPr>
          <w:color w:val="auto"/>
          <w:szCs w:val="21"/>
          <w:highlight w:val="none"/>
        </w:rPr>
      </w:pPr>
      <w:r>
        <w:rPr>
          <w:color w:val="auto"/>
          <w:szCs w:val="21"/>
          <w:highlight w:val="none"/>
        </w:rPr>
        <w:t>14</w:t>
      </w:r>
      <w:r>
        <w:rPr>
          <w:rFonts w:hint="eastAsia"/>
          <w:color w:val="auto"/>
          <w:szCs w:val="21"/>
          <w:highlight w:val="none"/>
        </w:rPr>
        <w:t>.1 不可抗力是指合同的任何一方都不能预见、对其发生及后果不能避免并且在合理控制范围、且不能克服的自然事件和社会事件。</w:t>
      </w:r>
    </w:p>
    <w:p w14:paraId="3F75DD5D">
      <w:pPr>
        <w:pStyle w:val="977"/>
        <w:spacing w:line="360" w:lineRule="auto"/>
        <w:ind w:firstLine="420"/>
        <w:rPr>
          <w:color w:val="auto"/>
          <w:szCs w:val="21"/>
          <w:highlight w:val="none"/>
        </w:rPr>
      </w:pPr>
      <w:r>
        <w:rPr>
          <w:color w:val="auto"/>
          <w:szCs w:val="21"/>
          <w:highlight w:val="none"/>
        </w:rPr>
        <w:t>14</w:t>
      </w:r>
      <w:r>
        <w:rPr>
          <w:rFonts w:hint="eastAsia"/>
          <w:color w:val="auto"/>
          <w:szCs w:val="21"/>
          <w:highlight w:val="none"/>
        </w:rPr>
        <w:t>.2 不可抗力不包括：恶劣的天气、江况和人为破坏、过失等因素。</w:t>
      </w:r>
    </w:p>
    <w:p w14:paraId="598D4C38">
      <w:pPr>
        <w:pStyle w:val="977"/>
        <w:spacing w:line="360" w:lineRule="auto"/>
        <w:ind w:firstLine="420"/>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.3 由于不可抗力事件的发生，导致合同的任何一方未能全部或部分履行本合同规定的义务，不应视为其违反合同不可抗力造成任何一方的直接或间接的损失应由双方各自承担。</w:t>
      </w:r>
    </w:p>
    <w:p w14:paraId="22C8B781">
      <w:pPr>
        <w:pStyle w:val="977"/>
        <w:spacing w:line="360" w:lineRule="auto"/>
        <w:ind w:firstLine="420"/>
        <w:rPr>
          <w:color w:val="auto"/>
          <w:szCs w:val="21"/>
          <w:highlight w:val="none"/>
        </w:rPr>
      </w:pPr>
      <w:r>
        <w:rPr>
          <w:color w:val="auto"/>
          <w:szCs w:val="21"/>
          <w:highlight w:val="none"/>
        </w:rPr>
        <w:t>14</w:t>
      </w:r>
      <w:r>
        <w:rPr>
          <w:rFonts w:hint="eastAsia"/>
          <w:color w:val="auto"/>
          <w:szCs w:val="21"/>
          <w:highlight w:val="none"/>
        </w:rPr>
        <w:t>.4 不可抗力事件发生后受影响的一方应于二十四小时内通知另一方，并于四十八小时内以书面形式作出详细解释。双方进行友好协商，采取必要的补救措施将损失降低到最低限度。</w:t>
      </w:r>
    </w:p>
    <w:p w14:paraId="78BFFC45">
      <w:pPr>
        <w:pStyle w:val="977"/>
        <w:spacing w:line="360" w:lineRule="auto"/>
        <w:ind w:firstLine="420"/>
        <w:rPr>
          <w:color w:val="auto"/>
          <w:szCs w:val="21"/>
          <w:highlight w:val="none"/>
        </w:rPr>
      </w:pPr>
      <w:r>
        <w:rPr>
          <w:color w:val="auto"/>
          <w:szCs w:val="21"/>
          <w:highlight w:val="none"/>
        </w:rPr>
        <w:t>14</w:t>
      </w:r>
      <w:r>
        <w:rPr>
          <w:rFonts w:hint="eastAsia"/>
          <w:color w:val="auto"/>
          <w:szCs w:val="21"/>
          <w:highlight w:val="none"/>
        </w:rPr>
        <w:t>.5 不可抗力事件持续10个工作日以上，发包人有权终止本合同。承包人应在收到发包人发出的终止合同的书面通知之日的5个工作日内，向发包人转交所有的文件、资料及已完成的工作成果。</w:t>
      </w:r>
    </w:p>
    <w:p w14:paraId="1DDE4704">
      <w:pPr>
        <w:pStyle w:val="5"/>
        <w:ind w:left="0" w:firstLine="0"/>
        <w:rPr>
          <w:color w:val="auto"/>
          <w:highlight w:val="none"/>
        </w:rPr>
      </w:pPr>
      <w:bookmarkStart w:id="569" w:name="_Toc14967"/>
      <w:bookmarkStart w:id="570" w:name="_Toc3835"/>
      <w:bookmarkStart w:id="571" w:name="_Toc25660961"/>
      <w:bookmarkStart w:id="572" w:name="_Toc475830741"/>
      <w:bookmarkStart w:id="573" w:name="_Toc15004"/>
      <w:bookmarkStart w:id="574" w:name="_Toc1166"/>
      <w:r>
        <w:rPr>
          <w:rFonts w:hint="eastAsia"/>
          <w:color w:val="auto"/>
          <w:highlight w:val="none"/>
        </w:rPr>
        <w:t>第十五条　保密</w:t>
      </w:r>
      <w:bookmarkEnd w:id="569"/>
      <w:bookmarkEnd w:id="570"/>
      <w:bookmarkEnd w:id="571"/>
      <w:bookmarkEnd w:id="572"/>
      <w:bookmarkEnd w:id="573"/>
      <w:bookmarkEnd w:id="574"/>
    </w:p>
    <w:p w14:paraId="06A403D3">
      <w:pPr>
        <w:spacing w:line="360" w:lineRule="auto"/>
        <w:ind w:firstLine="420"/>
        <w:rPr>
          <w:rFonts w:hint="eastAsia" w:ascii="仿宋_GB2312"/>
          <w:color w:val="auto"/>
          <w:highlight w:val="none"/>
        </w:rPr>
      </w:pPr>
      <w:r>
        <w:rPr>
          <w:rFonts w:hint="eastAsia" w:ascii="仿宋_GB2312"/>
          <w:color w:val="auto"/>
          <w:highlight w:val="none"/>
        </w:rPr>
        <w:t>双方均应保护对方的知识产权，未经对方</w:t>
      </w:r>
      <w:r>
        <w:rPr>
          <w:rFonts w:hint="eastAsia" w:ascii="仿宋_GB2312"/>
          <w:color w:val="auto"/>
          <w:highlight w:val="none"/>
          <w:lang w:val="en-US" w:eastAsia="zh-CN"/>
        </w:rPr>
        <w:t>书面</w:t>
      </w:r>
      <w:r>
        <w:rPr>
          <w:rFonts w:hint="eastAsia" w:ascii="仿宋_GB2312"/>
          <w:color w:val="auto"/>
          <w:highlight w:val="none"/>
        </w:rPr>
        <w:t>同意，任何一方均不得对对方的资料及文件擅自修改、复制或向第三人转让或用于本合同项目外的项目。如发生以上情况，泄密方承担一切由此引起的后果并承担赔偿责任。</w:t>
      </w:r>
    </w:p>
    <w:p w14:paraId="580B40E5">
      <w:pPr>
        <w:spacing w:line="360" w:lineRule="auto"/>
        <w:ind w:firstLine="420"/>
        <w:rPr>
          <w:rFonts w:hint="default" w:ascii="仿宋_GB2312" w:eastAsia="仿宋"/>
          <w:color w:val="auto"/>
          <w:highlight w:val="none"/>
          <w:lang w:val="en-US" w:eastAsia="zh-CN"/>
        </w:rPr>
      </w:pPr>
      <w:r>
        <w:rPr>
          <w:rFonts w:hint="eastAsia" w:ascii="仿宋_GB2312"/>
          <w:color w:val="auto"/>
          <w:highlight w:val="none"/>
          <w:lang w:val="en-US" w:eastAsia="zh-CN"/>
        </w:rPr>
        <w:t>本条款不因本协议的有效期届满、解除或终止而失效。</w:t>
      </w:r>
    </w:p>
    <w:p w14:paraId="694159DD">
      <w:pPr>
        <w:pStyle w:val="5"/>
        <w:ind w:left="0" w:firstLine="0"/>
        <w:rPr>
          <w:color w:val="auto"/>
          <w:highlight w:val="none"/>
        </w:rPr>
      </w:pPr>
      <w:bookmarkStart w:id="575" w:name="_Toc16434961"/>
      <w:bookmarkStart w:id="576" w:name="_Toc11653"/>
      <w:bookmarkStart w:id="577" w:name="_Toc15225"/>
      <w:bookmarkStart w:id="578" w:name="_Toc25660962"/>
      <w:bookmarkStart w:id="579" w:name="_Toc475830742"/>
      <w:bookmarkStart w:id="580" w:name="_Toc30"/>
      <w:bookmarkStart w:id="581" w:name="_Toc31200"/>
      <w:r>
        <w:rPr>
          <w:rFonts w:hint="eastAsia"/>
          <w:color w:val="auto"/>
          <w:highlight w:val="none"/>
        </w:rPr>
        <w:t>第十六条 所有权</w:t>
      </w:r>
      <w:bookmarkEnd w:id="575"/>
      <w:bookmarkEnd w:id="576"/>
      <w:bookmarkEnd w:id="577"/>
      <w:bookmarkEnd w:id="578"/>
      <w:bookmarkEnd w:id="579"/>
      <w:bookmarkEnd w:id="580"/>
      <w:bookmarkEnd w:id="581"/>
    </w:p>
    <w:p w14:paraId="6AA01B0F">
      <w:pPr>
        <w:pStyle w:val="977"/>
        <w:spacing w:line="360" w:lineRule="auto"/>
        <w:ind w:firstLine="420"/>
        <w:rPr>
          <w:color w:val="auto"/>
          <w:szCs w:val="21"/>
          <w:highlight w:val="none"/>
        </w:rPr>
      </w:pPr>
      <w:r>
        <w:rPr>
          <w:color w:val="auto"/>
          <w:szCs w:val="21"/>
          <w:highlight w:val="none"/>
        </w:rPr>
        <w:t>16</w:t>
      </w:r>
      <w:r>
        <w:rPr>
          <w:rFonts w:hint="eastAsia"/>
          <w:color w:val="auto"/>
          <w:szCs w:val="21"/>
          <w:highlight w:val="none"/>
        </w:rPr>
        <w:t>.1</w:t>
      </w:r>
      <w:r>
        <w:rPr>
          <w:color w:val="auto"/>
          <w:szCs w:val="21"/>
          <w:highlight w:val="none"/>
        </w:rPr>
        <w:t xml:space="preserve"> </w:t>
      </w:r>
      <w:r>
        <w:rPr>
          <w:rFonts w:hint="eastAsia"/>
          <w:color w:val="auto"/>
          <w:szCs w:val="21"/>
          <w:highlight w:val="none"/>
        </w:rPr>
        <w:t>发包人向承包人提供的所有文件、图纸、资料、计算书、报告、标准及其他有关的任何形式或性质的资料，均属发包人（或相关投资方）的财产。除了与本合同相关的使用上述资料外，承包人对上述资料不享有任何权利。除用于本合同相关之目的，承包人不得将上述资料用于任何其他用途。</w:t>
      </w:r>
    </w:p>
    <w:p w14:paraId="702BA3ED">
      <w:pPr>
        <w:pStyle w:val="977"/>
        <w:spacing w:line="360" w:lineRule="auto"/>
        <w:ind w:firstLine="420"/>
        <w:rPr>
          <w:color w:val="auto"/>
          <w:szCs w:val="21"/>
          <w:highlight w:val="none"/>
        </w:rPr>
      </w:pPr>
      <w:r>
        <w:rPr>
          <w:color w:val="auto"/>
          <w:szCs w:val="21"/>
          <w:highlight w:val="none"/>
        </w:rPr>
        <w:t>16</w:t>
      </w:r>
      <w:r>
        <w:rPr>
          <w:rFonts w:hint="eastAsia"/>
          <w:color w:val="auto"/>
          <w:szCs w:val="21"/>
          <w:highlight w:val="none"/>
        </w:rPr>
        <w:t>.2承包人为完成项目工作而编制或开发的一切程序软件，编制/测绘/测算的所有图纸、计算书、数据表、说明书、规格书、各种开发/设计方案、勘察的原始资料和数据及其他有关的资料和文件（下称“数据”）的一切知识产权和工业产权应归发包人拥有，并有使用这些“数据”的权利。</w:t>
      </w:r>
    </w:p>
    <w:p w14:paraId="653155B3">
      <w:pPr>
        <w:pStyle w:val="977"/>
        <w:spacing w:line="360" w:lineRule="auto"/>
        <w:ind w:firstLine="420"/>
        <w:rPr>
          <w:color w:val="auto"/>
          <w:szCs w:val="21"/>
          <w:highlight w:val="none"/>
        </w:rPr>
      </w:pPr>
      <w:r>
        <w:rPr>
          <w:color w:val="auto"/>
          <w:szCs w:val="21"/>
          <w:highlight w:val="none"/>
        </w:rPr>
        <w:t>16</w:t>
      </w:r>
      <w:r>
        <w:rPr>
          <w:rFonts w:hint="eastAsia"/>
          <w:color w:val="auto"/>
          <w:szCs w:val="21"/>
          <w:highlight w:val="none"/>
        </w:rPr>
        <w:t>.3对于因本合同项下的设计工作侵犯第三方的</w:t>
      </w:r>
      <w:r>
        <w:rPr>
          <w:color w:val="auto"/>
          <w:szCs w:val="21"/>
          <w:highlight w:val="none"/>
        </w:rPr>
        <w:t>知识</w:t>
      </w:r>
      <w:r>
        <w:rPr>
          <w:rFonts w:hint="eastAsia"/>
          <w:color w:val="auto"/>
          <w:szCs w:val="21"/>
          <w:highlight w:val="none"/>
        </w:rPr>
        <w:t>产权而引起的任何索赔或诉讼，应有承包人承担所有赔偿金额责任。</w:t>
      </w:r>
    </w:p>
    <w:p w14:paraId="76BAB32B">
      <w:pPr>
        <w:pStyle w:val="5"/>
        <w:ind w:left="0" w:firstLine="0"/>
        <w:rPr>
          <w:color w:val="auto"/>
          <w:highlight w:val="none"/>
        </w:rPr>
      </w:pPr>
      <w:bookmarkStart w:id="582" w:name="_Toc25660963"/>
      <w:bookmarkStart w:id="583" w:name="_Toc475830743"/>
      <w:bookmarkStart w:id="584" w:name="_Toc11846"/>
      <w:bookmarkStart w:id="585" w:name="_Toc16434962"/>
      <w:bookmarkStart w:id="586" w:name="_Toc4695"/>
      <w:bookmarkStart w:id="587" w:name="_Toc10073"/>
      <w:bookmarkStart w:id="588" w:name="_Toc31188"/>
      <w:r>
        <w:rPr>
          <w:rFonts w:hint="eastAsia"/>
          <w:color w:val="auto"/>
          <w:highlight w:val="none"/>
        </w:rPr>
        <w:t>第十七条 弃 权</w:t>
      </w:r>
      <w:bookmarkEnd w:id="582"/>
      <w:bookmarkEnd w:id="583"/>
      <w:bookmarkEnd w:id="584"/>
      <w:bookmarkEnd w:id="585"/>
      <w:bookmarkEnd w:id="586"/>
      <w:bookmarkEnd w:id="587"/>
      <w:bookmarkEnd w:id="588"/>
    </w:p>
    <w:p w14:paraId="4ADF172B">
      <w:pPr>
        <w:pStyle w:val="977"/>
        <w:spacing w:line="360" w:lineRule="auto"/>
        <w:ind w:firstLine="420"/>
        <w:rPr>
          <w:color w:val="auto"/>
          <w:kern w:val="2"/>
          <w:highlight w:val="none"/>
        </w:rPr>
      </w:pPr>
      <w:r>
        <w:rPr>
          <w:rFonts w:hint="eastAsia"/>
          <w:color w:val="auto"/>
          <w:kern w:val="2"/>
          <w:highlight w:val="none"/>
        </w:rPr>
        <w:t>在本合同执行过程中，若承包人未能履行本合同某部分的义务或其工作未能符合本合同要求，发包人未发现此等情况或未对此提出异议，并不表示发包人放弃要求承包人履行其在本合同项下义务的权利。</w:t>
      </w:r>
    </w:p>
    <w:p w14:paraId="0BACC13C">
      <w:pPr>
        <w:pStyle w:val="5"/>
        <w:ind w:left="0" w:firstLine="0"/>
        <w:rPr>
          <w:color w:val="auto"/>
          <w:highlight w:val="none"/>
        </w:rPr>
      </w:pPr>
      <w:bookmarkStart w:id="589" w:name="_Toc3216"/>
      <w:bookmarkStart w:id="590" w:name="_Toc25660964"/>
      <w:bookmarkStart w:id="591" w:name="_Toc10660"/>
      <w:bookmarkStart w:id="592" w:name="_Toc475830744"/>
      <w:bookmarkStart w:id="593" w:name="_Toc17188"/>
      <w:bookmarkStart w:id="594" w:name="_Toc16434963"/>
      <w:bookmarkStart w:id="595" w:name="_Toc5831"/>
      <w:r>
        <w:rPr>
          <w:rFonts w:hint="eastAsia"/>
          <w:color w:val="auto"/>
          <w:highlight w:val="none"/>
        </w:rPr>
        <w:t>第十八条 补救办法</w:t>
      </w:r>
      <w:bookmarkEnd w:id="589"/>
      <w:bookmarkEnd w:id="590"/>
      <w:bookmarkEnd w:id="591"/>
      <w:bookmarkEnd w:id="592"/>
      <w:bookmarkEnd w:id="593"/>
      <w:bookmarkEnd w:id="594"/>
      <w:bookmarkEnd w:id="595"/>
    </w:p>
    <w:p w14:paraId="6A58FA88">
      <w:pPr>
        <w:pStyle w:val="977"/>
        <w:spacing w:line="360" w:lineRule="auto"/>
        <w:ind w:firstLine="420"/>
        <w:rPr>
          <w:color w:val="auto"/>
          <w:highlight w:val="none"/>
        </w:rPr>
      </w:pPr>
      <w:r>
        <w:rPr>
          <w:color w:val="auto"/>
          <w:highlight w:val="none"/>
        </w:rPr>
        <w:t>18</w:t>
      </w:r>
      <w:r>
        <w:rPr>
          <w:rFonts w:hint="eastAsia"/>
          <w:color w:val="auto"/>
          <w:highlight w:val="none"/>
        </w:rPr>
        <w:t>.1项目工作完成以后，若发包人发现承包人的工作成果有重大瑕疵，发包人仍有权要求承包人予以改正，所发生的费用应有承包人承担。</w:t>
      </w:r>
    </w:p>
    <w:p w14:paraId="0A8373AF">
      <w:pPr>
        <w:pStyle w:val="977"/>
        <w:spacing w:line="360" w:lineRule="auto"/>
        <w:ind w:firstLine="420"/>
        <w:rPr>
          <w:color w:val="auto"/>
          <w:highlight w:val="none"/>
        </w:rPr>
      </w:pPr>
      <w:r>
        <w:rPr>
          <w:color w:val="auto"/>
          <w:highlight w:val="none"/>
        </w:rPr>
        <w:t>18</w:t>
      </w:r>
      <w:r>
        <w:rPr>
          <w:rFonts w:hint="eastAsia"/>
          <w:color w:val="auto"/>
          <w:highlight w:val="none"/>
        </w:rPr>
        <w:t>.2完成项目工作之后，由于工作成果存在重大瑕疵而对发包人造成任何损失或损害，或发包人因此遭到任何第三方索赔，承包人应免收损失部分的费</w:t>
      </w:r>
      <w:r>
        <w:rPr>
          <w:rFonts w:hint="eastAsia"/>
          <w:color w:val="auto"/>
          <w:highlight w:val="none"/>
          <w:lang w:val="en-US" w:eastAsia="zh-CN"/>
        </w:rPr>
        <w:t>用</w:t>
      </w:r>
      <w:r>
        <w:rPr>
          <w:rFonts w:hint="eastAsia"/>
          <w:color w:val="auto"/>
          <w:highlight w:val="none"/>
        </w:rPr>
        <w:t>，承包人要承担相关责任，赔偿经济损失。</w:t>
      </w:r>
    </w:p>
    <w:p w14:paraId="38354FB9">
      <w:pPr>
        <w:pStyle w:val="5"/>
        <w:ind w:left="0" w:firstLine="0"/>
        <w:rPr>
          <w:color w:val="auto"/>
          <w:highlight w:val="none"/>
        </w:rPr>
      </w:pPr>
      <w:bookmarkStart w:id="596" w:name="_Toc4224"/>
      <w:bookmarkStart w:id="597" w:name="_Toc23900"/>
      <w:bookmarkStart w:id="598" w:name="_Toc22465"/>
      <w:bookmarkStart w:id="599" w:name="_Toc16835"/>
      <w:bookmarkStart w:id="600" w:name="_Toc475830745"/>
      <w:bookmarkStart w:id="601" w:name="_Toc16434964"/>
      <w:bookmarkStart w:id="602" w:name="_Toc25660965"/>
      <w:r>
        <w:rPr>
          <w:rFonts w:hint="eastAsia"/>
          <w:color w:val="auto"/>
          <w:highlight w:val="none"/>
        </w:rPr>
        <w:t>第十九条 违约责任</w:t>
      </w:r>
      <w:bookmarkEnd w:id="596"/>
      <w:bookmarkEnd w:id="597"/>
      <w:bookmarkEnd w:id="598"/>
      <w:bookmarkEnd w:id="599"/>
      <w:bookmarkEnd w:id="600"/>
      <w:bookmarkEnd w:id="601"/>
      <w:bookmarkEnd w:id="602"/>
    </w:p>
    <w:p w14:paraId="57DC4807">
      <w:pPr>
        <w:pStyle w:val="977"/>
        <w:spacing w:line="360" w:lineRule="auto"/>
        <w:ind w:firstLine="420"/>
        <w:rPr>
          <w:rFonts w:hint="eastAsia"/>
          <w:color w:val="auto"/>
          <w:highlight w:val="none"/>
        </w:rPr>
      </w:pPr>
      <w:r>
        <w:rPr>
          <w:color w:val="auto"/>
          <w:highlight w:val="none"/>
        </w:rPr>
        <w:t>19</w:t>
      </w:r>
      <w:r>
        <w:rPr>
          <w:rFonts w:hint="eastAsia"/>
          <w:color w:val="auto"/>
          <w:highlight w:val="none"/>
        </w:rPr>
        <w:t>.</w:t>
      </w:r>
      <w:r>
        <w:rPr>
          <w:rFonts w:hint="eastAsia"/>
          <w:color w:val="auto"/>
          <w:highlight w:val="none"/>
          <w:lang w:val="en-US" w:eastAsia="zh-CN"/>
        </w:rPr>
        <w:t>1</w:t>
      </w:r>
      <w:r>
        <w:rPr>
          <w:color w:val="auto"/>
          <w:highlight w:val="none"/>
        </w:rPr>
        <w:t xml:space="preserve"> </w:t>
      </w:r>
      <w:r>
        <w:rPr>
          <w:rFonts w:hint="eastAsia"/>
          <w:color w:val="auto"/>
          <w:highlight w:val="none"/>
        </w:rPr>
        <w:t>发包人超过合同期限支付款项，则按应付款额每月0.5%比例向承包人支付违约金。</w:t>
      </w:r>
    </w:p>
    <w:p w14:paraId="4531C01F">
      <w:pPr>
        <w:pStyle w:val="32"/>
        <w:ind w:left="0" w:leftChars="0" w:firstLine="420" w:firstLineChars="200"/>
        <w:rPr>
          <w:rFonts w:hint="default" w:eastAsia="宋体"/>
          <w:color w:val="auto"/>
          <w:sz w:val="21"/>
          <w:highlight w:val="none"/>
          <w:lang w:val="en-US" w:eastAsia="zh-CN"/>
        </w:rPr>
      </w:pPr>
      <w:r>
        <w:rPr>
          <w:rFonts w:hint="default" w:eastAsia="宋体"/>
          <w:color w:val="auto"/>
          <w:sz w:val="21"/>
          <w:highlight w:val="none"/>
          <w:lang w:val="en-US" w:eastAsia="zh-CN"/>
        </w:rPr>
        <w:t>19.2</w:t>
      </w:r>
      <w:r>
        <w:rPr>
          <w:rFonts w:hint="eastAsia" w:eastAsia="宋体"/>
          <w:color w:val="auto"/>
          <w:sz w:val="21"/>
          <w:highlight w:val="none"/>
          <w:lang w:val="en-US" w:eastAsia="zh-CN"/>
        </w:rPr>
        <w:t xml:space="preserve"> 如果承包人没有按照合同约定的期限、地点和方式交付服务成果或者实施服务，发包人可要求承包人支付违约金，每迟延履行一日，应当按合同总价款0.05 %计算违约金。逾期超过30日的，发包人有权解除合同。</w:t>
      </w:r>
    </w:p>
    <w:p w14:paraId="5057AABF">
      <w:pPr>
        <w:pStyle w:val="5"/>
        <w:ind w:left="0" w:firstLine="0"/>
        <w:rPr>
          <w:color w:val="auto"/>
          <w:highlight w:val="none"/>
        </w:rPr>
      </w:pPr>
      <w:bookmarkStart w:id="603" w:name="_Toc19593"/>
      <w:bookmarkStart w:id="604" w:name="_Toc25660966"/>
      <w:bookmarkStart w:id="605" w:name="_Toc7378"/>
      <w:bookmarkStart w:id="606" w:name="_Toc5172"/>
      <w:bookmarkStart w:id="607" w:name="_Toc475830746"/>
      <w:r>
        <w:rPr>
          <w:rFonts w:hint="eastAsia"/>
          <w:color w:val="auto"/>
          <w:highlight w:val="none"/>
        </w:rPr>
        <w:t>第二十条　争议解决</w:t>
      </w:r>
      <w:bookmarkEnd w:id="603"/>
      <w:bookmarkEnd w:id="604"/>
      <w:bookmarkEnd w:id="605"/>
      <w:bookmarkEnd w:id="606"/>
      <w:bookmarkEnd w:id="607"/>
    </w:p>
    <w:p w14:paraId="01812F47">
      <w:pPr>
        <w:pStyle w:val="977"/>
        <w:spacing w:line="360" w:lineRule="auto"/>
        <w:ind w:firstLine="420"/>
        <w:rPr>
          <w:color w:val="auto"/>
          <w:highlight w:val="none"/>
        </w:rPr>
      </w:pPr>
      <w:r>
        <w:rPr>
          <w:rFonts w:hint="eastAsia"/>
          <w:color w:val="auto"/>
          <w:highlight w:val="none"/>
        </w:rPr>
        <w:t>本</w:t>
      </w:r>
      <w:r>
        <w:rPr>
          <w:rFonts w:hint="eastAsia"/>
          <w:color w:val="auto"/>
          <w:highlight w:val="none"/>
          <w:lang w:val="en-US" w:eastAsia="zh-CN"/>
        </w:rPr>
        <w:t>服务</w:t>
      </w:r>
      <w:r>
        <w:rPr>
          <w:rFonts w:hint="eastAsia"/>
          <w:color w:val="auto"/>
          <w:highlight w:val="none"/>
        </w:rPr>
        <w:t>合同发生争议，发包人与承包人应及时协商解决。</w:t>
      </w:r>
      <w:r>
        <w:rPr>
          <w:rFonts w:hint="eastAsia"/>
          <w:color w:val="auto"/>
          <w:highlight w:val="none"/>
          <w:lang w:val="en-US" w:eastAsia="zh-CN"/>
        </w:rPr>
        <w:t>协商不成的，</w:t>
      </w:r>
      <w:r>
        <w:rPr>
          <w:rFonts w:hint="eastAsia"/>
          <w:color w:val="auto"/>
          <w:highlight w:val="none"/>
        </w:rPr>
        <w:t>双方当事人可向</w:t>
      </w:r>
      <w:r>
        <w:rPr>
          <w:rFonts w:hint="eastAsia"/>
          <w:color w:val="auto"/>
          <w:highlight w:val="none"/>
          <w:lang w:val="en-US" w:eastAsia="zh-CN"/>
        </w:rPr>
        <w:t>工程所在地有管辖权的</w:t>
      </w:r>
      <w:r>
        <w:rPr>
          <w:rFonts w:hint="eastAsia"/>
          <w:color w:val="auto"/>
          <w:highlight w:val="none"/>
        </w:rPr>
        <w:t>人民法院起诉。</w:t>
      </w:r>
    </w:p>
    <w:p w14:paraId="6440FC08">
      <w:pPr>
        <w:pStyle w:val="5"/>
        <w:ind w:left="0" w:firstLine="0"/>
        <w:rPr>
          <w:color w:val="auto"/>
          <w:highlight w:val="none"/>
        </w:rPr>
      </w:pPr>
      <w:bookmarkStart w:id="608" w:name="_Toc20142"/>
      <w:bookmarkStart w:id="609" w:name="_Toc25660967"/>
      <w:bookmarkStart w:id="610" w:name="_Toc25288"/>
      <w:bookmarkStart w:id="611" w:name="_Toc475830747"/>
      <w:bookmarkStart w:id="612" w:name="_Toc24609"/>
      <w:bookmarkStart w:id="613" w:name="_Toc8010"/>
      <w:r>
        <w:rPr>
          <w:rFonts w:hint="eastAsia"/>
          <w:color w:val="auto"/>
          <w:highlight w:val="none"/>
        </w:rPr>
        <w:t>第二十一条 索赔</w:t>
      </w:r>
      <w:bookmarkEnd w:id="608"/>
      <w:bookmarkEnd w:id="609"/>
      <w:bookmarkEnd w:id="610"/>
      <w:bookmarkEnd w:id="611"/>
      <w:bookmarkEnd w:id="612"/>
      <w:bookmarkEnd w:id="613"/>
    </w:p>
    <w:p w14:paraId="07B53DF7">
      <w:pPr>
        <w:spacing w:line="360" w:lineRule="auto"/>
        <w:ind w:firstLine="420" w:firstLineChars="0"/>
        <w:rPr>
          <w:rFonts w:ascii="仿宋_GB2312"/>
          <w:color w:val="auto"/>
          <w:highlight w:val="none"/>
        </w:rPr>
      </w:pPr>
      <w:r>
        <w:rPr>
          <w:rFonts w:hint="eastAsia" w:ascii="仿宋_GB2312"/>
          <w:color w:val="auto"/>
          <w:highlight w:val="none"/>
        </w:rPr>
        <w:t>21.1 承包人可按以下规定向发包人索赔：</w:t>
      </w:r>
    </w:p>
    <w:p w14:paraId="569EBA54">
      <w:pPr>
        <w:spacing w:line="360" w:lineRule="auto"/>
        <w:ind w:firstLine="420"/>
        <w:rPr>
          <w:rFonts w:ascii="仿宋_GB2312"/>
          <w:color w:val="auto"/>
          <w:highlight w:val="none"/>
        </w:rPr>
      </w:pPr>
      <w:r>
        <w:rPr>
          <w:rFonts w:hint="eastAsia" w:ascii="仿宋_GB2312"/>
          <w:color w:val="auto"/>
          <w:highlight w:val="none"/>
        </w:rPr>
        <w:t>⑴有正当索赔理由，且有索赔事件发生时的有关证据；</w:t>
      </w:r>
    </w:p>
    <w:p w14:paraId="7311FB26">
      <w:pPr>
        <w:spacing w:line="360" w:lineRule="auto"/>
        <w:ind w:firstLine="420"/>
        <w:rPr>
          <w:rFonts w:ascii="仿宋_GB2312"/>
          <w:color w:val="auto"/>
          <w:highlight w:val="none"/>
        </w:rPr>
      </w:pPr>
      <w:r>
        <w:rPr>
          <w:rFonts w:hint="eastAsia" w:ascii="仿宋_GB2312"/>
          <w:color w:val="auto"/>
          <w:highlight w:val="none"/>
        </w:rPr>
        <w:t>⑵索赔事件发生后14天内，向发包人发出要求索赔的报告；</w:t>
      </w:r>
    </w:p>
    <w:p w14:paraId="0A32DBC6">
      <w:pPr>
        <w:spacing w:line="360" w:lineRule="auto"/>
        <w:ind w:firstLine="420"/>
        <w:rPr>
          <w:rFonts w:ascii="仿宋_GB2312"/>
          <w:color w:val="auto"/>
          <w:highlight w:val="none"/>
        </w:rPr>
      </w:pPr>
      <w:r>
        <w:rPr>
          <w:rFonts w:hint="eastAsia" w:ascii="仿宋_GB2312"/>
          <w:color w:val="auto"/>
          <w:highlight w:val="none"/>
        </w:rPr>
        <w:t>⑶发包人在接到索赔通知后21天内给予响应，或要求承包人进一步补充索赔理由和证据，发包人超过21天未予答复，应视为该项索赔已经认可。</w:t>
      </w:r>
    </w:p>
    <w:p w14:paraId="66DFEE78">
      <w:pPr>
        <w:spacing w:line="360" w:lineRule="auto"/>
        <w:ind w:firstLine="420"/>
        <w:rPr>
          <w:rFonts w:ascii="仿宋_GB2312"/>
          <w:color w:val="auto"/>
          <w:highlight w:val="none"/>
        </w:rPr>
      </w:pPr>
      <w:r>
        <w:rPr>
          <w:rFonts w:hint="eastAsia" w:ascii="仿宋_GB2312"/>
          <w:color w:val="auto"/>
          <w:highlight w:val="none"/>
        </w:rPr>
        <w:t>21.2 发包人可按以下规定向承包人索赔：</w:t>
      </w:r>
    </w:p>
    <w:p w14:paraId="6AE6CD69">
      <w:pPr>
        <w:spacing w:line="360" w:lineRule="auto"/>
        <w:ind w:firstLine="420"/>
        <w:rPr>
          <w:rFonts w:ascii="仿宋_GB2312"/>
          <w:color w:val="auto"/>
          <w:highlight w:val="none"/>
        </w:rPr>
      </w:pPr>
      <w:r>
        <w:rPr>
          <w:rFonts w:hint="eastAsia" w:ascii="仿宋_GB2312"/>
          <w:color w:val="auto"/>
          <w:highlight w:val="none"/>
        </w:rPr>
        <w:t>⑴有正当索赔理由，且有索赔事件发生时的有关证据；</w:t>
      </w:r>
    </w:p>
    <w:p w14:paraId="7DBC18DC">
      <w:pPr>
        <w:spacing w:line="360" w:lineRule="auto"/>
        <w:ind w:firstLine="420"/>
        <w:rPr>
          <w:rFonts w:ascii="仿宋_GB2312"/>
          <w:color w:val="auto"/>
          <w:highlight w:val="none"/>
        </w:rPr>
      </w:pPr>
      <w:r>
        <w:rPr>
          <w:rFonts w:hint="eastAsia" w:ascii="仿宋_GB2312"/>
          <w:color w:val="auto"/>
          <w:highlight w:val="none"/>
        </w:rPr>
        <w:t>⑵索赔事件发生后14天内，向承包人发出要求索赔通知；</w:t>
      </w:r>
    </w:p>
    <w:p w14:paraId="37E76117">
      <w:pPr>
        <w:spacing w:line="360" w:lineRule="auto"/>
        <w:ind w:firstLine="420"/>
        <w:rPr>
          <w:rFonts w:ascii="仿宋_GB2312"/>
          <w:color w:val="auto"/>
          <w:highlight w:val="none"/>
        </w:rPr>
      </w:pPr>
      <w:r>
        <w:rPr>
          <w:rFonts w:hint="eastAsia" w:ascii="仿宋_GB2312"/>
          <w:color w:val="auto"/>
          <w:highlight w:val="none"/>
        </w:rPr>
        <w:t>⑶承包人在接到索赔通知后21天内给予响应，或要求发包人进一步补充索赔理由和证据，承包人在21天未予答复，应视为该项索赔已经认可。</w:t>
      </w:r>
    </w:p>
    <w:p w14:paraId="1C8894E8">
      <w:pPr>
        <w:pStyle w:val="5"/>
        <w:ind w:left="0" w:firstLine="0"/>
        <w:rPr>
          <w:color w:val="auto"/>
          <w:highlight w:val="none"/>
        </w:rPr>
      </w:pPr>
      <w:bookmarkStart w:id="614" w:name="_Toc4558"/>
      <w:bookmarkStart w:id="615" w:name="_Toc1715"/>
      <w:bookmarkStart w:id="616" w:name="_Toc475830749"/>
      <w:bookmarkStart w:id="617" w:name="_Toc23502"/>
      <w:bookmarkStart w:id="618" w:name="_Toc25660969"/>
      <w:bookmarkStart w:id="619" w:name="_Toc24285"/>
      <w:r>
        <w:rPr>
          <w:rFonts w:hint="eastAsia"/>
          <w:color w:val="auto"/>
          <w:highlight w:val="none"/>
        </w:rPr>
        <w:t>第二十</w:t>
      </w:r>
      <w:r>
        <w:rPr>
          <w:rFonts w:hint="eastAsia"/>
          <w:color w:val="auto"/>
          <w:highlight w:val="none"/>
          <w:lang w:val="en-US" w:eastAsia="zh-CN"/>
        </w:rPr>
        <w:t>二</w:t>
      </w:r>
      <w:r>
        <w:rPr>
          <w:rFonts w:hint="eastAsia"/>
          <w:color w:val="auto"/>
          <w:highlight w:val="none"/>
        </w:rPr>
        <w:t>条　合同生效及其他</w:t>
      </w:r>
      <w:bookmarkEnd w:id="614"/>
      <w:bookmarkEnd w:id="615"/>
      <w:bookmarkEnd w:id="616"/>
      <w:bookmarkEnd w:id="617"/>
      <w:bookmarkEnd w:id="618"/>
      <w:bookmarkEnd w:id="619"/>
    </w:p>
    <w:p w14:paraId="6C3EF637">
      <w:pPr>
        <w:spacing w:line="360" w:lineRule="auto"/>
        <w:ind w:firstLine="420"/>
        <w:rPr>
          <w:rFonts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1</w:t>
      </w:r>
      <w:r>
        <w:rPr>
          <w:rFonts w:hint="eastAsia" w:ascii="仿宋_GB2312"/>
          <w:color w:val="auto"/>
          <w:highlight w:val="none"/>
        </w:rPr>
        <w:t>发包人委托承包人承担本合同内容以外的工作服务，另行签订协议并支付费用。</w:t>
      </w:r>
    </w:p>
    <w:p w14:paraId="0B263D7E">
      <w:pPr>
        <w:spacing w:line="360" w:lineRule="auto"/>
        <w:ind w:firstLine="420"/>
        <w:rPr>
          <w:rFonts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2</w:t>
      </w:r>
      <w:r>
        <w:rPr>
          <w:rFonts w:hint="eastAsia" w:ascii="仿宋_GB2312"/>
          <w:color w:val="auto"/>
          <w:highlight w:val="none"/>
        </w:rPr>
        <w:t>由于不可抗力因素致使合同无法履行时，双方应及时协商解决。</w:t>
      </w:r>
    </w:p>
    <w:p w14:paraId="625E10A8">
      <w:pPr>
        <w:spacing w:line="360" w:lineRule="auto"/>
        <w:ind w:firstLine="420"/>
        <w:rPr>
          <w:rFonts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3</w:t>
      </w:r>
      <w:r>
        <w:rPr>
          <w:rFonts w:hint="eastAsia" w:ascii="仿宋_GB2312"/>
          <w:color w:val="auto"/>
          <w:highlight w:val="none"/>
        </w:rPr>
        <w:t>本合同双方签字盖章即生效，一式</w:t>
      </w:r>
      <w:r>
        <w:rPr>
          <w:rFonts w:hint="eastAsia" w:ascii="仿宋_GB2312"/>
          <w:color w:val="auto"/>
          <w:highlight w:val="none"/>
          <w:u w:val="single"/>
        </w:rPr>
        <w:t>壹拾叁</w:t>
      </w:r>
      <w:r>
        <w:rPr>
          <w:rFonts w:hint="eastAsia" w:ascii="仿宋_GB2312"/>
          <w:color w:val="auto"/>
          <w:highlight w:val="none"/>
        </w:rPr>
        <w:t>份，发包人_</w:t>
      </w:r>
      <w:r>
        <w:rPr>
          <w:rFonts w:hint="eastAsia" w:ascii="仿宋_GB2312"/>
          <w:color w:val="auto"/>
          <w:highlight w:val="none"/>
          <w:u w:val="single"/>
        </w:rPr>
        <w:t>壹拾</w:t>
      </w:r>
      <w:r>
        <w:rPr>
          <w:rFonts w:hint="eastAsia" w:ascii="仿宋_GB2312"/>
          <w:color w:val="auto"/>
          <w:highlight w:val="none"/>
        </w:rPr>
        <w:t>__份，承包人_</w:t>
      </w:r>
      <w:r>
        <w:rPr>
          <w:rFonts w:hint="eastAsia" w:ascii="仿宋_GB2312"/>
          <w:color w:val="auto"/>
          <w:highlight w:val="none"/>
          <w:u w:val="single"/>
        </w:rPr>
        <w:t>叁</w:t>
      </w:r>
      <w:r>
        <w:rPr>
          <w:rFonts w:hint="eastAsia" w:ascii="仿宋_GB2312"/>
          <w:color w:val="auto"/>
          <w:highlight w:val="none"/>
        </w:rPr>
        <w:t>_份。</w:t>
      </w:r>
    </w:p>
    <w:p w14:paraId="3E569858">
      <w:pPr>
        <w:spacing w:line="360" w:lineRule="auto"/>
        <w:ind w:firstLine="420"/>
        <w:rPr>
          <w:rFonts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4</w:t>
      </w:r>
      <w:r>
        <w:rPr>
          <w:rFonts w:hint="eastAsia" w:ascii="仿宋_GB2312"/>
          <w:color w:val="auto"/>
          <w:highlight w:val="none"/>
        </w:rPr>
        <w:t>双方认可的来往传真、电报、会议纪要等，均为合同的组成部分，与本合同具有同等法律效力。</w:t>
      </w:r>
    </w:p>
    <w:p w14:paraId="57CE5A85">
      <w:pPr>
        <w:spacing w:line="360" w:lineRule="auto"/>
        <w:ind w:firstLine="420"/>
        <w:rPr>
          <w:rFonts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5</w:t>
      </w:r>
      <w:r>
        <w:rPr>
          <w:rFonts w:hint="eastAsia" w:ascii="仿宋_GB2312"/>
          <w:color w:val="auto"/>
          <w:highlight w:val="none"/>
        </w:rPr>
        <w:t>未尽事宜，经双方协商一致，签订补充协议，补充协议与本合同具有同等效力。发包人另有要求需承包人技术咨询服务时，双方应另行签订技术咨询服务合同。</w:t>
      </w:r>
    </w:p>
    <w:p w14:paraId="01B7B98D">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采购人名称：（盖章）                   承包人名称：（盖章）</w:t>
      </w:r>
    </w:p>
    <w:p w14:paraId="12CEAC1D">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法定代表人（或委托代理人）：（签字）   法定代表人（或委托代理人）：（签字）</w:t>
      </w:r>
    </w:p>
    <w:p w14:paraId="21A62934">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地    址：                             地    址：</w:t>
      </w:r>
    </w:p>
    <w:p w14:paraId="6B7939E9">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邮政编码：                             邮政编码：</w:t>
      </w:r>
    </w:p>
    <w:p w14:paraId="1B5635AF">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电    话：                             电    话：</w:t>
      </w:r>
    </w:p>
    <w:p w14:paraId="375472E4">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传    真：                             传    真：</w:t>
      </w:r>
    </w:p>
    <w:p w14:paraId="3D26AE3D">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开户银行：                             开户银行：</w:t>
      </w:r>
    </w:p>
    <w:p w14:paraId="4F8F74ED">
      <w:pPr>
        <w:pStyle w:val="59"/>
        <w:snapToGrid w:val="0"/>
        <w:spacing w:before="0" w:beforeAutospacing="0" w:after="0" w:afterAutospacing="0" w:line="360" w:lineRule="auto"/>
        <w:jc w:val="both"/>
        <w:rPr>
          <w:rFonts w:cs="仿宋_GB2312"/>
          <w:color w:val="auto"/>
          <w:sz w:val="21"/>
          <w:highlight w:val="none"/>
        </w:rPr>
      </w:pPr>
      <w:r>
        <w:rPr>
          <w:rFonts w:cs="仿宋_GB2312"/>
          <w:color w:val="auto"/>
          <w:sz w:val="21"/>
          <w:highlight w:val="none"/>
        </w:rPr>
        <w:t>银行帐号：                             银行帐号：</w:t>
      </w:r>
    </w:p>
    <w:p w14:paraId="5D5B3640">
      <w:pPr>
        <w:pStyle w:val="59"/>
        <w:snapToGrid w:val="0"/>
        <w:spacing w:before="0" w:beforeAutospacing="0" w:after="0" w:afterAutospacing="0" w:line="360" w:lineRule="auto"/>
        <w:jc w:val="both"/>
        <w:rPr>
          <w:rFonts w:cs="仿宋_GB2312"/>
          <w:color w:val="auto"/>
          <w:sz w:val="28"/>
          <w:szCs w:val="28"/>
          <w:highlight w:val="none"/>
        </w:rPr>
      </w:pPr>
      <w:r>
        <w:rPr>
          <w:rFonts w:cs="仿宋_GB2312"/>
          <w:color w:val="auto"/>
          <w:sz w:val="21"/>
          <w:highlight w:val="none"/>
        </w:rPr>
        <w:t>日期    ：     年    月     日         日    期：     年    月     日</w:t>
      </w:r>
      <w:r>
        <w:rPr>
          <w:rFonts w:cs="仿宋_GB2312"/>
          <w:color w:val="auto"/>
          <w:sz w:val="28"/>
          <w:szCs w:val="28"/>
          <w:highlight w:val="none"/>
        </w:rPr>
        <w:t xml:space="preserve"> </w:t>
      </w:r>
    </w:p>
    <w:p w14:paraId="48A1A1E2">
      <w:pPr>
        <w:pStyle w:val="59"/>
        <w:snapToGrid w:val="0"/>
        <w:spacing w:before="0" w:beforeAutospacing="0" w:after="0" w:afterAutospacing="0" w:line="360" w:lineRule="auto"/>
        <w:jc w:val="both"/>
        <w:rPr>
          <w:rFonts w:cs="仿宋_GB2312"/>
          <w:color w:val="auto"/>
          <w:sz w:val="28"/>
          <w:szCs w:val="28"/>
          <w:highlight w:val="none"/>
        </w:rPr>
      </w:pPr>
    </w:p>
    <w:p w14:paraId="482DE7CC">
      <w:pPr>
        <w:pStyle w:val="59"/>
        <w:snapToGrid w:val="0"/>
        <w:spacing w:before="0" w:beforeAutospacing="0" w:after="0" w:afterAutospacing="0" w:line="360" w:lineRule="auto"/>
        <w:jc w:val="both"/>
        <w:rPr>
          <w:rFonts w:cs="仿宋_GB2312"/>
          <w:color w:val="auto"/>
          <w:sz w:val="28"/>
          <w:szCs w:val="28"/>
          <w:highlight w:val="none"/>
        </w:rPr>
      </w:pPr>
    </w:p>
    <w:p w14:paraId="0C459152">
      <w:pPr>
        <w:pStyle w:val="59"/>
        <w:snapToGrid w:val="0"/>
        <w:spacing w:before="0" w:beforeAutospacing="0" w:after="0" w:afterAutospacing="0" w:line="360" w:lineRule="auto"/>
        <w:jc w:val="both"/>
        <w:rPr>
          <w:rFonts w:cs="仿宋_GB2312"/>
          <w:color w:val="auto"/>
          <w:sz w:val="28"/>
          <w:szCs w:val="28"/>
          <w:highlight w:val="none"/>
        </w:rPr>
      </w:pPr>
      <w:r>
        <w:rPr>
          <w:rFonts w:hint="eastAsia"/>
          <w:color w:val="auto"/>
          <w:highlight w:val="none"/>
        </w:rPr>
        <w:t xml:space="preserve">见证方：（盖章）     </w:t>
      </w:r>
    </w:p>
    <w:p w14:paraId="7515F177">
      <w:pPr>
        <w:pStyle w:val="59"/>
        <w:snapToGrid w:val="0"/>
        <w:spacing w:before="0" w:beforeAutospacing="0" w:after="0" w:afterAutospacing="0" w:line="440" w:lineRule="atLeast"/>
        <w:ind w:firstLine="560"/>
        <w:jc w:val="both"/>
        <w:rPr>
          <w:rFonts w:cs="仿宋_GB2312"/>
          <w:color w:val="auto"/>
          <w:sz w:val="28"/>
          <w:szCs w:val="28"/>
          <w:highlight w:val="none"/>
        </w:rPr>
      </w:pPr>
      <w:r>
        <w:rPr>
          <w:rFonts w:cs="仿宋_GB2312"/>
          <w:color w:val="auto"/>
          <w:sz w:val="28"/>
          <w:szCs w:val="28"/>
          <w:highlight w:val="none"/>
        </w:rPr>
        <w:br w:type="page"/>
      </w:r>
    </w:p>
    <w:p w14:paraId="4493A057">
      <w:pPr>
        <w:pStyle w:val="5"/>
        <w:widowControl/>
        <w:ind w:firstLine="422"/>
        <w:rPr>
          <w:rFonts w:hint="eastAsia"/>
          <w:color w:val="auto"/>
          <w:highlight w:val="none"/>
        </w:rPr>
      </w:pPr>
      <w:r>
        <w:rPr>
          <w:rFonts w:hint="eastAsia"/>
          <w:color w:val="auto"/>
          <w:highlight w:val="none"/>
        </w:rPr>
        <w:t>附件一 ：廉政合同（格式）</w:t>
      </w:r>
    </w:p>
    <w:p w14:paraId="4D0FC1C0">
      <w:pPr>
        <w:pStyle w:val="59"/>
        <w:snapToGrid w:val="0"/>
        <w:spacing w:before="0" w:beforeAutospacing="0" w:after="0" w:afterAutospacing="0"/>
        <w:ind w:firstLine="482"/>
        <w:jc w:val="center"/>
        <w:rPr>
          <w:rFonts w:cs="仿宋_GB2312"/>
          <w:b/>
          <w:color w:val="auto"/>
          <w:highlight w:val="none"/>
        </w:rPr>
      </w:pPr>
      <w:r>
        <w:rPr>
          <w:rFonts w:cs="仿宋_GB2312"/>
          <w:b/>
          <w:color w:val="auto"/>
          <w:highlight w:val="none"/>
        </w:rPr>
        <w:t>工程廉政责任书</w:t>
      </w:r>
    </w:p>
    <w:p w14:paraId="6085AD64">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为做好工程建设中的党风廉政建设，保证工程建设高效优质</w:t>
      </w:r>
      <w:r>
        <w:rPr>
          <w:rFonts w:ascii="Tahoma" w:hAnsi="Tahoma"/>
          <w:color w:val="auto"/>
          <w:sz w:val="21"/>
          <w:highlight w:val="none"/>
        </w:rPr>
        <w:t>完成</w:t>
      </w:r>
      <w:r>
        <w:rPr>
          <w:rFonts w:cs="仿宋_GB2312"/>
          <w:color w:val="auto"/>
          <w:sz w:val="21"/>
          <w:highlight w:val="none"/>
        </w:rPr>
        <w:t>，保证建设资金的安全和有效使用，本</w:t>
      </w:r>
      <w:r>
        <w:rPr>
          <w:rFonts w:ascii="Tahoma" w:hAnsi="Tahoma"/>
          <w:color w:val="auto"/>
          <w:sz w:val="21"/>
          <w:highlight w:val="none"/>
          <w:u w:val="single"/>
        </w:rPr>
        <w:t xml:space="preserve">          （</w:t>
      </w:r>
      <w:r>
        <w:rPr>
          <w:rFonts w:cs="仿宋_GB2312"/>
          <w:color w:val="auto"/>
          <w:sz w:val="21"/>
          <w:highlight w:val="none"/>
        </w:rPr>
        <w:t>项目</w:t>
      </w:r>
      <w:r>
        <w:rPr>
          <w:rFonts w:ascii="Tahoma" w:hAnsi="Tahoma"/>
          <w:color w:val="auto"/>
          <w:sz w:val="21"/>
          <w:highlight w:val="none"/>
        </w:rPr>
        <w:t>名称）</w:t>
      </w:r>
      <w:r>
        <w:rPr>
          <w:rFonts w:cs="仿宋_GB2312"/>
          <w:color w:val="auto"/>
          <w:sz w:val="21"/>
          <w:highlight w:val="none"/>
        </w:rPr>
        <w:t>采购人</w:t>
      </w:r>
      <w:r>
        <w:rPr>
          <w:rFonts w:cs="仿宋_GB2312"/>
          <w:color w:val="auto"/>
          <w:sz w:val="21"/>
          <w:highlight w:val="none"/>
          <w:u w:val="single"/>
        </w:rPr>
        <w:t xml:space="preserve">               </w:t>
      </w:r>
      <w:r>
        <w:rPr>
          <w:rFonts w:cs="仿宋_GB2312"/>
          <w:color w:val="auto"/>
          <w:sz w:val="21"/>
          <w:highlight w:val="none"/>
        </w:rPr>
        <w:t>（以下称采购人）与</w:t>
      </w:r>
      <w:r>
        <w:rPr>
          <w:rFonts w:ascii="Tahoma" w:hAnsi="Tahoma"/>
          <w:color w:val="auto"/>
          <w:sz w:val="21"/>
          <w:highlight w:val="none"/>
        </w:rPr>
        <w:t>承包人</w:t>
      </w:r>
      <w:r>
        <w:rPr>
          <w:rFonts w:cs="仿宋_GB2312"/>
          <w:color w:val="auto"/>
          <w:sz w:val="21"/>
          <w:highlight w:val="none"/>
        </w:rPr>
        <w:t>(全称</w:t>
      </w:r>
      <w:r>
        <w:rPr>
          <w:rFonts w:ascii="Tahoma" w:hAnsi="Tahoma"/>
          <w:color w:val="auto"/>
          <w:sz w:val="21"/>
          <w:highlight w:val="none"/>
        </w:rPr>
        <w:t>)</w:t>
      </w:r>
      <w:r>
        <w:rPr>
          <w:rFonts w:cs="仿宋_GB2312"/>
          <w:color w:val="auto"/>
          <w:sz w:val="21"/>
          <w:highlight w:val="none"/>
          <w:u w:val="single"/>
        </w:rPr>
        <w:t xml:space="preserve">          </w:t>
      </w:r>
      <w:r>
        <w:rPr>
          <w:rFonts w:cs="仿宋_GB2312"/>
          <w:color w:val="auto"/>
          <w:sz w:val="21"/>
          <w:highlight w:val="none"/>
        </w:rPr>
        <w:t>（以下称承包人），特订立如下合同。</w:t>
      </w:r>
    </w:p>
    <w:p w14:paraId="1E9EA345">
      <w:pPr>
        <w:pStyle w:val="59"/>
        <w:topLinePunct/>
        <w:spacing w:before="0" w:beforeAutospacing="0" w:after="0" w:afterAutospacing="0" w:line="360" w:lineRule="auto"/>
        <w:ind w:firstLine="422"/>
        <w:jc w:val="both"/>
        <w:rPr>
          <w:rFonts w:cs="仿宋_GB2312"/>
          <w:b/>
          <w:color w:val="auto"/>
          <w:sz w:val="21"/>
          <w:highlight w:val="none"/>
        </w:rPr>
      </w:pPr>
      <w:r>
        <w:rPr>
          <w:rFonts w:cs="仿宋_GB2312"/>
          <w:b/>
          <w:color w:val="auto"/>
          <w:sz w:val="21"/>
          <w:highlight w:val="none"/>
        </w:rPr>
        <w:t>第一条</w:t>
      </w:r>
      <w:r>
        <w:rPr>
          <w:rFonts w:ascii="Tahoma" w:hAnsi="Tahoma"/>
          <w:b/>
          <w:color w:val="auto"/>
          <w:sz w:val="21"/>
          <w:highlight w:val="none"/>
        </w:rPr>
        <w:t xml:space="preserve">  </w:t>
      </w:r>
      <w:r>
        <w:rPr>
          <w:rFonts w:cs="仿宋_GB2312"/>
          <w:b/>
          <w:color w:val="auto"/>
          <w:sz w:val="21"/>
          <w:highlight w:val="none"/>
        </w:rPr>
        <w:t>甲乙双方的权利和义务</w:t>
      </w:r>
    </w:p>
    <w:p w14:paraId="02BDC601">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 xml:space="preserve">) </w:t>
      </w:r>
      <w:r>
        <w:rPr>
          <w:rFonts w:cs="仿宋_GB2312"/>
          <w:color w:val="auto"/>
          <w:sz w:val="21"/>
          <w:highlight w:val="none"/>
        </w:rPr>
        <w:t>严格遵守党和国家有关法律、法规以及</w:t>
      </w:r>
      <w:r>
        <w:rPr>
          <w:rFonts w:ascii="Tahoma" w:hAnsi="Tahoma"/>
          <w:color w:val="auto"/>
          <w:sz w:val="21"/>
          <w:highlight w:val="none"/>
        </w:rPr>
        <w:t>水利部门</w:t>
      </w:r>
      <w:r>
        <w:rPr>
          <w:rFonts w:cs="仿宋_GB2312"/>
          <w:color w:val="auto"/>
          <w:sz w:val="21"/>
          <w:highlight w:val="none"/>
        </w:rPr>
        <w:t>有关规定。</w:t>
      </w:r>
    </w:p>
    <w:p w14:paraId="185D3AE9">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 xml:space="preserve">) </w:t>
      </w:r>
      <w:r>
        <w:rPr>
          <w:rFonts w:cs="仿宋_GB2312"/>
          <w:color w:val="auto"/>
          <w:sz w:val="21"/>
          <w:highlight w:val="none"/>
        </w:rPr>
        <w:t>严格执行</w:t>
      </w:r>
      <w:r>
        <w:rPr>
          <w:rFonts w:ascii="Tahoma" w:hAnsi="Tahoma"/>
          <w:color w:val="auto"/>
          <w:sz w:val="21"/>
          <w:highlight w:val="none"/>
        </w:rPr>
        <w:t xml:space="preserve"> </w:t>
      </w:r>
      <w:r>
        <w:rPr>
          <w:rFonts w:cs="仿宋_GB2312"/>
          <w:color w:val="auto"/>
          <w:sz w:val="21"/>
          <w:highlight w:val="none"/>
          <w:u w:val="single"/>
        </w:rPr>
        <w:t xml:space="preserve">    </w:t>
      </w:r>
      <w:r>
        <w:rPr>
          <w:rFonts w:ascii="Tahoma" w:hAnsi="Tahoma"/>
          <w:color w:val="auto"/>
          <w:sz w:val="21"/>
          <w:highlight w:val="none"/>
          <w:u w:val="single"/>
        </w:rPr>
        <w:t xml:space="preserve">   </w:t>
      </w:r>
      <w:r>
        <w:rPr>
          <w:rFonts w:cs="仿宋_GB2312"/>
          <w:color w:val="auto"/>
          <w:sz w:val="21"/>
          <w:highlight w:val="none"/>
          <w:u w:val="single"/>
        </w:rPr>
        <w:t xml:space="preserve">       </w:t>
      </w:r>
      <w:r>
        <w:rPr>
          <w:rFonts w:ascii="Tahoma" w:hAnsi="Tahoma"/>
          <w:color w:val="auto"/>
          <w:sz w:val="21"/>
          <w:highlight w:val="none"/>
        </w:rPr>
        <w:t>的</w:t>
      </w:r>
      <w:r>
        <w:rPr>
          <w:rFonts w:cs="仿宋_GB2312"/>
          <w:color w:val="auto"/>
          <w:sz w:val="21"/>
          <w:highlight w:val="none"/>
        </w:rPr>
        <w:t>合同文件，自觉按合同办事。</w:t>
      </w:r>
    </w:p>
    <w:p w14:paraId="41F29132">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(三</w:t>
      </w:r>
      <w:r>
        <w:rPr>
          <w:rFonts w:ascii="Tahoma" w:hAnsi="Tahoma"/>
          <w:color w:val="auto"/>
          <w:sz w:val="21"/>
          <w:highlight w:val="none"/>
        </w:rPr>
        <w:t xml:space="preserve">) </w:t>
      </w:r>
      <w:r>
        <w:rPr>
          <w:rFonts w:cs="仿宋_GB2312"/>
          <w:color w:val="auto"/>
          <w:sz w:val="21"/>
          <w:highlight w:val="none"/>
        </w:rPr>
        <w:t>双方的业务活动坚持公开、公正、诚信、透明的原则（除法律认定的商业秘密和合同文件另有规定之外），不得损害国家和集体利益，不得违反工程建设管理规章制度。</w:t>
      </w:r>
    </w:p>
    <w:p w14:paraId="2D3DED1F">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(四</w:t>
      </w:r>
      <w:r>
        <w:rPr>
          <w:rFonts w:ascii="Tahoma" w:hAnsi="Tahoma"/>
          <w:color w:val="auto"/>
          <w:sz w:val="21"/>
          <w:highlight w:val="none"/>
        </w:rPr>
        <w:t xml:space="preserve">) </w:t>
      </w:r>
      <w:r>
        <w:rPr>
          <w:rFonts w:cs="仿宋_GB2312"/>
          <w:color w:val="auto"/>
          <w:sz w:val="21"/>
          <w:highlight w:val="none"/>
        </w:rPr>
        <w:t>建立健全廉政制度，开展廉政教育，设立廉政告示牌，公布举报电话。</w:t>
      </w:r>
    </w:p>
    <w:p w14:paraId="2D945C51">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(五</w:t>
      </w:r>
      <w:r>
        <w:rPr>
          <w:rFonts w:ascii="Tahoma" w:hAnsi="Tahoma"/>
          <w:color w:val="auto"/>
          <w:sz w:val="21"/>
          <w:highlight w:val="none"/>
        </w:rPr>
        <w:t xml:space="preserve">) </w:t>
      </w:r>
      <w:r>
        <w:rPr>
          <w:rFonts w:cs="仿宋_GB2312"/>
          <w:color w:val="auto"/>
          <w:sz w:val="21"/>
          <w:highlight w:val="none"/>
        </w:rPr>
        <w:t>发现对方在业务活动中有违反廉政规定的行为，有及时提醒对方纠正的权利和义务。</w:t>
      </w:r>
    </w:p>
    <w:p w14:paraId="489332CC">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(六</w:t>
      </w:r>
      <w:r>
        <w:rPr>
          <w:rFonts w:ascii="Tahoma" w:hAnsi="Tahoma"/>
          <w:color w:val="auto"/>
          <w:sz w:val="21"/>
          <w:highlight w:val="none"/>
        </w:rPr>
        <w:t xml:space="preserve">) </w:t>
      </w:r>
      <w:r>
        <w:rPr>
          <w:rFonts w:cs="仿宋_GB2312"/>
          <w:color w:val="auto"/>
          <w:sz w:val="21"/>
          <w:highlight w:val="none"/>
        </w:rPr>
        <w:t>发现对方严重违反本合同义务条款的行为，有向其上级有关部门举报、建议给予处理并要求告知处理结果的权力。</w:t>
      </w:r>
    </w:p>
    <w:p w14:paraId="4B0ACA37">
      <w:pPr>
        <w:pStyle w:val="59"/>
        <w:topLinePunct/>
        <w:spacing w:before="0" w:beforeAutospacing="0" w:after="0" w:afterAutospacing="0" w:line="360" w:lineRule="auto"/>
        <w:ind w:firstLine="422"/>
        <w:jc w:val="both"/>
        <w:rPr>
          <w:rFonts w:cs="仿宋_GB2312"/>
          <w:b/>
          <w:color w:val="auto"/>
          <w:sz w:val="21"/>
          <w:highlight w:val="none"/>
        </w:rPr>
      </w:pPr>
      <w:r>
        <w:rPr>
          <w:rFonts w:cs="仿宋_GB2312"/>
          <w:b/>
          <w:color w:val="auto"/>
          <w:sz w:val="21"/>
          <w:highlight w:val="none"/>
        </w:rPr>
        <w:t>第二条   采购人的义务</w:t>
      </w:r>
    </w:p>
    <w:p w14:paraId="73F0DADF">
      <w:pPr>
        <w:pStyle w:val="59"/>
        <w:topLinePunct/>
        <w:spacing w:before="0" w:beforeAutospacing="0" w:after="0" w:afterAutospacing="0" w:line="360" w:lineRule="auto"/>
        <w:ind w:firstLine="420"/>
        <w:jc w:val="both"/>
        <w:rPr>
          <w:rFonts w:ascii="Tahoma" w:hAnsi="Tahoma"/>
          <w:color w:val="auto"/>
          <w:sz w:val="21"/>
          <w:highlight w:val="none"/>
        </w:rPr>
      </w:pPr>
      <w:r>
        <w:rPr>
          <w:rFonts w:cs="仿宋_GB2312"/>
          <w:color w:val="auto"/>
          <w:sz w:val="21"/>
          <w:highlight w:val="none"/>
        </w:rPr>
        <w:t>(一</w:t>
      </w:r>
      <w:r>
        <w:rPr>
          <w:rFonts w:ascii="Tahoma" w:hAnsi="Tahoma"/>
          <w:color w:val="auto"/>
          <w:sz w:val="21"/>
          <w:highlight w:val="none"/>
        </w:rPr>
        <w:t xml:space="preserve">) </w:t>
      </w:r>
      <w:r>
        <w:rPr>
          <w:rFonts w:cs="仿宋_GB2312"/>
          <w:color w:val="auto"/>
          <w:sz w:val="21"/>
          <w:highlight w:val="none"/>
        </w:rPr>
        <w:t>采购人及其工作人员不得索要或接受承包人的礼金、有价证券和贵重物品，不得在承包人报销任何应由采购人或个人支付的费用等。</w:t>
      </w:r>
    </w:p>
    <w:p w14:paraId="0A886A0B">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（二）采购人不得有意刁难、拖延承包商工程款，不得违反规定批拔工程建设费用等。</w:t>
      </w:r>
    </w:p>
    <w:p w14:paraId="0CCD1823">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w:t>
      </w:r>
      <w:r>
        <w:rPr>
          <w:rFonts w:ascii="Tahoma" w:hAnsi="Tahoma"/>
          <w:color w:val="auto"/>
          <w:sz w:val="21"/>
          <w:highlight w:val="none"/>
        </w:rPr>
        <w:t>三</w:t>
      </w:r>
      <w:r>
        <w:rPr>
          <w:rFonts w:cs="仿宋_GB2312"/>
          <w:color w:val="auto"/>
          <w:sz w:val="21"/>
          <w:highlight w:val="none"/>
        </w:rPr>
        <w:t>) 采购人工作人员不得参加承包人安排</w:t>
      </w:r>
      <w:r>
        <w:rPr>
          <w:rFonts w:ascii="Tahoma" w:hAnsi="Tahoma"/>
          <w:color w:val="auto"/>
          <w:sz w:val="21"/>
          <w:highlight w:val="none"/>
        </w:rPr>
        <w:t>的</w:t>
      </w:r>
      <w:r>
        <w:rPr>
          <w:rFonts w:cs="仿宋_GB2312"/>
          <w:color w:val="auto"/>
          <w:sz w:val="21"/>
          <w:highlight w:val="none"/>
        </w:rPr>
        <w:t>宴请和娱乐活动；不得接受承包人提供的通讯工具、交通工具和高档办公用品等。</w:t>
      </w:r>
    </w:p>
    <w:p w14:paraId="6981C362">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w:t>
      </w:r>
      <w:r>
        <w:rPr>
          <w:rFonts w:ascii="Tahoma" w:hAnsi="Tahoma"/>
          <w:color w:val="auto"/>
          <w:sz w:val="21"/>
          <w:highlight w:val="none"/>
        </w:rPr>
        <w:t>四</w:t>
      </w:r>
      <w:r>
        <w:rPr>
          <w:rFonts w:cs="仿宋_GB2312"/>
          <w:color w:val="auto"/>
          <w:sz w:val="21"/>
          <w:highlight w:val="none"/>
        </w:rPr>
        <w:t>) 采购人及其工作人员不得要求或者接受承包人为其住房装修、</w:t>
      </w:r>
      <w:r>
        <w:rPr>
          <w:rFonts w:ascii="Tahoma" w:hAnsi="Tahoma"/>
          <w:color w:val="auto"/>
          <w:sz w:val="21"/>
          <w:highlight w:val="none"/>
        </w:rPr>
        <w:t>操办</w:t>
      </w:r>
      <w:r>
        <w:rPr>
          <w:rFonts w:cs="仿宋_GB2312"/>
          <w:color w:val="auto"/>
          <w:sz w:val="21"/>
          <w:highlight w:val="none"/>
        </w:rPr>
        <w:t>婚丧嫁娶、</w:t>
      </w:r>
      <w:r>
        <w:rPr>
          <w:rFonts w:ascii="Tahoma" w:hAnsi="Tahoma"/>
          <w:color w:val="auto"/>
          <w:sz w:val="21"/>
          <w:highlight w:val="none"/>
        </w:rPr>
        <w:t>安排</w:t>
      </w:r>
      <w:r>
        <w:rPr>
          <w:rFonts w:cs="仿宋_GB2312"/>
          <w:color w:val="auto"/>
          <w:sz w:val="21"/>
          <w:highlight w:val="none"/>
        </w:rPr>
        <w:t>配偶子女的工作以及出国出境、旅游等。</w:t>
      </w:r>
    </w:p>
    <w:p w14:paraId="461E014E">
      <w:pPr>
        <w:pStyle w:val="59"/>
        <w:topLinePunct/>
        <w:spacing w:before="0" w:beforeAutospacing="0" w:after="0" w:afterAutospacing="0" w:line="360" w:lineRule="auto"/>
        <w:ind w:firstLine="420"/>
        <w:jc w:val="both"/>
        <w:rPr>
          <w:rFonts w:ascii="Tahoma" w:hAnsi="Tahoma"/>
          <w:color w:val="auto"/>
          <w:sz w:val="21"/>
          <w:highlight w:val="none"/>
        </w:rPr>
      </w:pPr>
      <w:r>
        <w:rPr>
          <w:rFonts w:cs="仿宋_GB2312"/>
          <w:color w:val="auto"/>
          <w:sz w:val="21"/>
          <w:highlight w:val="none"/>
        </w:rPr>
        <w:t>(</w:t>
      </w:r>
      <w:r>
        <w:rPr>
          <w:rFonts w:ascii="Tahoma" w:hAnsi="Tahoma"/>
          <w:color w:val="auto"/>
          <w:sz w:val="21"/>
          <w:highlight w:val="none"/>
        </w:rPr>
        <w:t>五</w:t>
      </w:r>
      <w:r>
        <w:rPr>
          <w:rFonts w:cs="仿宋_GB2312"/>
          <w:color w:val="auto"/>
          <w:sz w:val="21"/>
          <w:highlight w:val="none"/>
        </w:rPr>
        <w:t xml:space="preserve">) </w:t>
      </w:r>
      <w:r>
        <w:rPr>
          <w:rFonts w:ascii="Tahoma" w:hAnsi="Tahoma"/>
          <w:color w:val="auto"/>
          <w:sz w:val="21"/>
          <w:highlight w:val="none"/>
        </w:rPr>
        <w:t>采购人工作人员的</w:t>
      </w:r>
      <w:r>
        <w:rPr>
          <w:rFonts w:cs="仿宋_GB2312"/>
          <w:color w:val="auto"/>
          <w:sz w:val="21"/>
          <w:highlight w:val="none"/>
        </w:rPr>
        <w:t>配偶、子女</w:t>
      </w:r>
      <w:r>
        <w:rPr>
          <w:rFonts w:ascii="Tahoma" w:hAnsi="Tahoma"/>
          <w:color w:val="auto"/>
          <w:sz w:val="21"/>
          <w:highlight w:val="none"/>
        </w:rPr>
        <w:t>及下属单位不得从事与采购人工程有关的材料设备供应、工程分包、劳务等经济活动。</w:t>
      </w:r>
    </w:p>
    <w:p w14:paraId="60927C06">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（六）采购人工作人员</w:t>
      </w:r>
      <w:r>
        <w:rPr>
          <w:rFonts w:cs="仿宋_GB2312"/>
          <w:color w:val="auto"/>
          <w:sz w:val="21"/>
          <w:highlight w:val="none"/>
        </w:rPr>
        <w:t>不得以任何理由</w:t>
      </w:r>
      <w:r>
        <w:rPr>
          <w:rFonts w:ascii="Tahoma" w:hAnsi="Tahoma"/>
          <w:color w:val="auto"/>
          <w:sz w:val="21"/>
          <w:highlight w:val="none"/>
        </w:rPr>
        <w:t>向承包人推荐分包单位，不得要求承包人购买合同规定的材料和设备</w:t>
      </w:r>
      <w:r>
        <w:rPr>
          <w:rFonts w:cs="仿宋_GB2312"/>
          <w:color w:val="auto"/>
          <w:sz w:val="21"/>
          <w:highlight w:val="none"/>
        </w:rPr>
        <w:t>。</w:t>
      </w:r>
    </w:p>
    <w:p w14:paraId="30B7B816">
      <w:pPr>
        <w:pStyle w:val="59"/>
        <w:topLinePunct/>
        <w:spacing w:before="0" w:beforeAutospacing="0" w:after="0" w:afterAutospacing="0" w:line="360" w:lineRule="auto"/>
        <w:ind w:firstLine="422"/>
        <w:jc w:val="both"/>
        <w:rPr>
          <w:rFonts w:cs="仿宋_GB2312"/>
          <w:b/>
          <w:color w:val="auto"/>
          <w:sz w:val="21"/>
          <w:highlight w:val="none"/>
        </w:rPr>
      </w:pPr>
      <w:r>
        <w:rPr>
          <w:rFonts w:cs="仿宋_GB2312"/>
          <w:b/>
          <w:color w:val="auto"/>
          <w:sz w:val="21"/>
          <w:highlight w:val="none"/>
        </w:rPr>
        <w:t>第三条</w:t>
      </w:r>
      <w:r>
        <w:rPr>
          <w:rFonts w:ascii="Tahoma" w:hAnsi="Tahoma"/>
          <w:b/>
          <w:color w:val="auto"/>
          <w:sz w:val="21"/>
          <w:highlight w:val="none"/>
        </w:rPr>
        <w:t xml:space="preserve">  </w:t>
      </w:r>
      <w:r>
        <w:rPr>
          <w:rFonts w:cs="仿宋_GB2312"/>
          <w:b/>
          <w:color w:val="auto"/>
          <w:sz w:val="21"/>
          <w:highlight w:val="none"/>
        </w:rPr>
        <w:t>承包人义务</w:t>
      </w:r>
    </w:p>
    <w:p w14:paraId="659B8898">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（一）</w:t>
      </w:r>
      <w:r>
        <w:rPr>
          <w:rFonts w:cs="仿宋_GB2312"/>
          <w:color w:val="auto"/>
          <w:sz w:val="21"/>
          <w:highlight w:val="none"/>
        </w:rPr>
        <w:t>承包人不得以任何理由向采购人及其工作人员行贿或馈赠礼金、</w:t>
      </w:r>
      <w:r>
        <w:rPr>
          <w:rFonts w:ascii="Tahoma" w:hAnsi="Tahoma"/>
          <w:color w:val="auto"/>
          <w:sz w:val="21"/>
          <w:highlight w:val="none"/>
        </w:rPr>
        <w:t>礼券、</w:t>
      </w:r>
      <w:r>
        <w:rPr>
          <w:rFonts w:cs="仿宋_GB2312"/>
          <w:color w:val="auto"/>
          <w:sz w:val="21"/>
          <w:highlight w:val="none"/>
        </w:rPr>
        <w:t>有价证券、礼品。</w:t>
      </w:r>
    </w:p>
    <w:p w14:paraId="4F888369">
      <w:pPr>
        <w:pStyle w:val="59"/>
        <w:topLinePunct/>
        <w:spacing w:before="0" w:beforeAutospacing="0" w:after="0" w:afterAutospacing="0" w:line="360" w:lineRule="auto"/>
        <w:ind w:firstLine="420"/>
        <w:jc w:val="both"/>
        <w:rPr>
          <w:rFonts w:ascii="Tahoma" w:hAnsi="Tahoma"/>
          <w:color w:val="auto"/>
          <w:sz w:val="21"/>
          <w:highlight w:val="none"/>
        </w:rPr>
      </w:pPr>
      <w:r>
        <w:rPr>
          <w:rFonts w:ascii="Tahoma" w:hAnsi="Tahoma"/>
          <w:color w:val="auto"/>
          <w:sz w:val="21"/>
          <w:highlight w:val="none"/>
        </w:rPr>
        <w:t>（二）</w:t>
      </w:r>
      <w:r>
        <w:rPr>
          <w:rFonts w:cs="仿宋_GB2312"/>
          <w:color w:val="auto"/>
          <w:sz w:val="21"/>
          <w:highlight w:val="none"/>
        </w:rPr>
        <w:t>承包人不得以任何名义为采购人及其工作人员报销应由采购人单位或个人支付的任何费用。</w:t>
      </w:r>
    </w:p>
    <w:p w14:paraId="669A336C">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（三）承包人不得要求采购人违反规定，批拔、追加工程建设费用等。</w:t>
      </w:r>
    </w:p>
    <w:p w14:paraId="152A917B">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（四）</w:t>
      </w:r>
      <w:r>
        <w:rPr>
          <w:rFonts w:cs="仿宋_GB2312"/>
          <w:color w:val="auto"/>
          <w:sz w:val="21"/>
          <w:highlight w:val="none"/>
        </w:rPr>
        <w:t>承包人不得以任何理由安排采购人工作人员参加宴请及娱乐活动。</w:t>
      </w:r>
    </w:p>
    <w:p w14:paraId="2CE1871B">
      <w:pPr>
        <w:pStyle w:val="59"/>
        <w:topLinePunct/>
        <w:spacing w:before="0" w:beforeAutospacing="0" w:after="0" w:afterAutospacing="0" w:line="360" w:lineRule="auto"/>
        <w:ind w:firstLine="420"/>
        <w:jc w:val="both"/>
        <w:rPr>
          <w:rFonts w:cs="仿宋_GB2312"/>
          <w:color w:val="auto"/>
          <w:sz w:val="21"/>
          <w:highlight w:val="none"/>
        </w:rPr>
      </w:pPr>
      <w:r>
        <w:rPr>
          <w:rFonts w:ascii="Tahoma" w:hAnsi="Tahoma"/>
          <w:color w:val="auto"/>
          <w:sz w:val="21"/>
          <w:highlight w:val="none"/>
        </w:rPr>
        <w:t>（五）</w:t>
      </w:r>
      <w:r>
        <w:rPr>
          <w:rFonts w:cs="仿宋_GB2312"/>
          <w:color w:val="auto"/>
          <w:sz w:val="21"/>
          <w:highlight w:val="none"/>
        </w:rPr>
        <w:t>承包人不得为采购人单位和个人购置或提供通讯、交通工具和高档办公用品等。</w:t>
      </w:r>
    </w:p>
    <w:p w14:paraId="7ACAB304">
      <w:pPr>
        <w:pStyle w:val="59"/>
        <w:topLinePunct/>
        <w:spacing w:before="0" w:beforeAutospacing="0" w:after="0" w:afterAutospacing="0" w:line="360" w:lineRule="auto"/>
        <w:ind w:firstLine="422"/>
        <w:jc w:val="both"/>
        <w:rPr>
          <w:rFonts w:cs="仿宋_GB2312"/>
          <w:b/>
          <w:color w:val="auto"/>
          <w:sz w:val="21"/>
          <w:highlight w:val="none"/>
        </w:rPr>
      </w:pPr>
      <w:r>
        <w:rPr>
          <w:rFonts w:cs="仿宋_GB2312"/>
          <w:b/>
          <w:color w:val="auto"/>
          <w:sz w:val="21"/>
          <w:highlight w:val="none"/>
        </w:rPr>
        <w:t>第四条</w:t>
      </w:r>
      <w:r>
        <w:rPr>
          <w:rFonts w:ascii="Tahoma" w:hAnsi="Tahoma"/>
          <w:b/>
          <w:color w:val="auto"/>
          <w:sz w:val="21"/>
          <w:highlight w:val="none"/>
        </w:rPr>
        <w:t xml:space="preserve">  </w:t>
      </w:r>
      <w:r>
        <w:rPr>
          <w:rFonts w:cs="仿宋_GB2312"/>
          <w:b/>
          <w:color w:val="auto"/>
          <w:sz w:val="21"/>
          <w:highlight w:val="none"/>
        </w:rPr>
        <w:t>违约责任</w:t>
      </w:r>
    </w:p>
    <w:p w14:paraId="74890C7F">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w:t>
      </w:r>
      <w:r>
        <w:rPr>
          <w:rFonts w:cs="仿宋_GB2312"/>
          <w:color w:val="auto"/>
          <w:sz w:val="21"/>
          <w:highlight w:val="none"/>
        </w:rPr>
        <w:t>采购人及其工作人员违反本合同第一、二条，按管理权限，依据有关规定给予党纪、政纪处分或组织处理；涉嫌犯罪的，移交司法机关追究刑事责任；给承包人单位造成经济损失的，应予以赔偿。</w:t>
      </w:r>
    </w:p>
    <w:p w14:paraId="32E24D5E">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w:t>
      </w:r>
      <w:r>
        <w:rPr>
          <w:rFonts w:cs="仿宋_GB2312"/>
          <w:color w:val="auto"/>
          <w:sz w:val="21"/>
          <w:highlight w:val="none"/>
        </w:rPr>
        <w:t>承包人及其工作人员违反本合同第一、三条，按管理权限，依据有关规定给予党纪、政纪处分或组织处理；给采购人单位造成经济损失的，应予以赔偿；情节严重的，采购人建议建设行政主管部门给予承包人</w:t>
      </w:r>
      <w:r>
        <w:rPr>
          <w:rFonts w:ascii="Tahoma" w:hAnsi="Tahoma"/>
          <w:color w:val="auto"/>
          <w:sz w:val="21"/>
          <w:highlight w:val="none"/>
        </w:rPr>
        <w:t>1</w:t>
      </w:r>
      <w:r>
        <w:rPr>
          <w:rFonts w:cs="仿宋_GB2312"/>
          <w:color w:val="auto"/>
          <w:sz w:val="21"/>
          <w:highlight w:val="none"/>
        </w:rPr>
        <w:t>～</w:t>
      </w:r>
      <w:r>
        <w:rPr>
          <w:rFonts w:ascii="Tahoma" w:hAnsi="Tahoma"/>
          <w:color w:val="auto"/>
          <w:sz w:val="21"/>
          <w:highlight w:val="none"/>
        </w:rPr>
        <w:t>3</w:t>
      </w:r>
      <w:r>
        <w:rPr>
          <w:rFonts w:cs="仿宋_GB2312"/>
          <w:color w:val="auto"/>
          <w:sz w:val="21"/>
          <w:highlight w:val="none"/>
        </w:rPr>
        <w:t>年内不得</w:t>
      </w:r>
      <w:r>
        <w:rPr>
          <w:rFonts w:ascii="Tahoma" w:hAnsi="Tahoma"/>
          <w:color w:val="auto"/>
          <w:sz w:val="21"/>
          <w:highlight w:val="none"/>
        </w:rPr>
        <w:t>参与工程建设项目投标</w:t>
      </w:r>
      <w:r>
        <w:rPr>
          <w:rFonts w:cs="仿宋_GB2312"/>
          <w:color w:val="auto"/>
          <w:sz w:val="21"/>
          <w:highlight w:val="none"/>
        </w:rPr>
        <w:t>的处罚。</w:t>
      </w:r>
    </w:p>
    <w:p w14:paraId="7254C7AB">
      <w:pPr>
        <w:pStyle w:val="59"/>
        <w:topLinePunct/>
        <w:spacing w:before="0" w:beforeAutospacing="0" w:after="0" w:afterAutospacing="0" w:line="360" w:lineRule="auto"/>
        <w:ind w:firstLine="422"/>
        <w:jc w:val="both"/>
        <w:rPr>
          <w:rFonts w:cs="仿宋_GB2312"/>
          <w:b/>
          <w:color w:val="auto"/>
          <w:sz w:val="21"/>
          <w:highlight w:val="none"/>
        </w:rPr>
      </w:pPr>
      <w:r>
        <w:rPr>
          <w:rFonts w:cs="仿宋_GB2312"/>
          <w:b/>
          <w:color w:val="auto"/>
          <w:sz w:val="21"/>
          <w:highlight w:val="none"/>
        </w:rPr>
        <w:t>第五条</w:t>
      </w:r>
      <w:r>
        <w:rPr>
          <w:rFonts w:ascii="Tahoma" w:hAnsi="Tahoma"/>
          <w:b/>
          <w:color w:val="auto"/>
          <w:sz w:val="21"/>
          <w:highlight w:val="none"/>
        </w:rPr>
        <w:t xml:space="preserve">  </w:t>
      </w:r>
      <w:r>
        <w:rPr>
          <w:rFonts w:cs="仿宋_GB2312"/>
          <w:b/>
          <w:color w:val="auto"/>
          <w:sz w:val="21"/>
          <w:highlight w:val="none"/>
        </w:rPr>
        <w:t>双方约定</w:t>
      </w:r>
    </w:p>
    <w:p w14:paraId="7E1853CA">
      <w:pPr>
        <w:pStyle w:val="59"/>
        <w:topLinePunct/>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本</w:t>
      </w:r>
      <w:r>
        <w:rPr>
          <w:rFonts w:ascii="Tahoma" w:hAnsi="Tahoma"/>
          <w:color w:val="auto"/>
          <w:sz w:val="21"/>
          <w:highlight w:val="none"/>
        </w:rPr>
        <w:t>责任书</w:t>
      </w:r>
      <w:r>
        <w:rPr>
          <w:rFonts w:cs="仿宋_GB2312"/>
          <w:color w:val="auto"/>
          <w:sz w:val="21"/>
          <w:highlight w:val="none"/>
        </w:rPr>
        <w:t>由纪检监察机关负责监督。纪检监察机关对本</w:t>
      </w:r>
      <w:r>
        <w:rPr>
          <w:rFonts w:ascii="Tahoma" w:hAnsi="Tahoma"/>
          <w:color w:val="auto"/>
          <w:sz w:val="21"/>
          <w:highlight w:val="none"/>
        </w:rPr>
        <w:t>责任书执行情况进行抽查。</w:t>
      </w:r>
      <w:r>
        <w:rPr>
          <w:rFonts w:cs="仿宋_GB2312"/>
          <w:color w:val="auto"/>
          <w:sz w:val="21"/>
          <w:highlight w:val="none"/>
        </w:rPr>
        <w:t>提出</w:t>
      </w:r>
      <w:r>
        <w:rPr>
          <w:rFonts w:ascii="Tahoma" w:hAnsi="Tahoma"/>
          <w:color w:val="auto"/>
          <w:sz w:val="21"/>
          <w:highlight w:val="none"/>
        </w:rPr>
        <w:t>属于</w:t>
      </w:r>
      <w:r>
        <w:rPr>
          <w:rFonts w:cs="仿宋_GB2312"/>
          <w:color w:val="auto"/>
          <w:sz w:val="21"/>
          <w:highlight w:val="none"/>
        </w:rPr>
        <w:t>本</w:t>
      </w:r>
      <w:r>
        <w:rPr>
          <w:rFonts w:ascii="Tahoma" w:hAnsi="Tahoma"/>
          <w:color w:val="auto"/>
          <w:sz w:val="21"/>
          <w:highlight w:val="none"/>
        </w:rPr>
        <w:t>责任书</w:t>
      </w:r>
      <w:r>
        <w:rPr>
          <w:rFonts w:cs="仿宋_GB2312"/>
          <w:color w:val="auto"/>
          <w:sz w:val="21"/>
          <w:highlight w:val="none"/>
        </w:rPr>
        <w:t>规定范围内的</w:t>
      </w:r>
      <w:r>
        <w:rPr>
          <w:rFonts w:ascii="Tahoma" w:hAnsi="Tahoma"/>
          <w:color w:val="auto"/>
          <w:sz w:val="21"/>
          <w:highlight w:val="none"/>
        </w:rPr>
        <w:t>处理</w:t>
      </w:r>
      <w:r>
        <w:rPr>
          <w:rFonts w:cs="仿宋_GB2312"/>
          <w:color w:val="auto"/>
          <w:sz w:val="21"/>
          <w:highlight w:val="none"/>
        </w:rPr>
        <w:t>意见。</w:t>
      </w:r>
    </w:p>
    <w:p w14:paraId="1146C601">
      <w:pPr>
        <w:pStyle w:val="59"/>
        <w:topLinePunct/>
        <w:spacing w:before="0" w:beforeAutospacing="0" w:after="0" w:afterAutospacing="0" w:line="360" w:lineRule="auto"/>
        <w:ind w:firstLine="420"/>
        <w:jc w:val="both"/>
        <w:rPr>
          <w:rFonts w:cs="仿宋_GB2312"/>
          <w:color w:val="auto"/>
          <w:sz w:val="21"/>
          <w:highlight w:val="none"/>
        </w:rPr>
      </w:pPr>
      <w:r>
        <w:rPr>
          <w:rFonts w:hint="eastAsia" w:ascii="Tahoma" w:hAnsi="Tahoma"/>
          <w:color w:val="auto"/>
          <w:sz w:val="21"/>
          <w:highlight w:val="none"/>
        </w:rPr>
        <w:t>（一）</w:t>
      </w:r>
      <w:r>
        <w:rPr>
          <w:rFonts w:ascii="Tahoma" w:hAnsi="Tahoma"/>
          <w:color w:val="auto"/>
          <w:sz w:val="21"/>
          <w:highlight w:val="none"/>
        </w:rPr>
        <w:t xml:space="preserve"> </w:t>
      </w:r>
      <w:r>
        <w:rPr>
          <w:rFonts w:cs="仿宋_GB2312"/>
          <w:color w:val="auto"/>
          <w:sz w:val="21"/>
          <w:highlight w:val="none"/>
        </w:rPr>
        <w:t>本</w:t>
      </w:r>
      <w:r>
        <w:rPr>
          <w:rFonts w:ascii="Tahoma" w:hAnsi="Tahoma"/>
          <w:color w:val="auto"/>
          <w:sz w:val="21"/>
          <w:highlight w:val="none"/>
        </w:rPr>
        <w:t>责任书</w:t>
      </w:r>
      <w:r>
        <w:rPr>
          <w:rFonts w:cs="仿宋_GB2312"/>
          <w:color w:val="auto"/>
          <w:sz w:val="21"/>
          <w:highlight w:val="none"/>
        </w:rPr>
        <w:t>有效期</w:t>
      </w:r>
      <w:r>
        <w:rPr>
          <w:rFonts w:ascii="Tahoma" w:hAnsi="Tahoma"/>
          <w:color w:val="auto"/>
          <w:sz w:val="21"/>
          <w:highlight w:val="none"/>
        </w:rPr>
        <w:t>为</w:t>
      </w:r>
      <w:r>
        <w:rPr>
          <w:rFonts w:cs="仿宋_GB2312"/>
          <w:color w:val="auto"/>
          <w:sz w:val="21"/>
          <w:highlight w:val="none"/>
        </w:rPr>
        <w:t>甲乙双方签署之日起至</w:t>
      </w:r>
      <w:r>
        <w:rPr>
          <w:rFonts w:ascii="Tahoma" w:hAnsi="Tahoma"/>
          <w:color w:val="auto"/>
          <w:sz w:val="21"/>
          <w:highlight w:val="none"/>
        </w:rPr>
        <w:t>该工程项目工程款支付完结时止</w:t>
      </w:r>
      <w:r>
        <w:rPr>
          <w:rFonts w:cs="仿宋_GB2312"/>
          <w:color w:val="auto"/>
          <w:sz w:val="21"/>
          <w:highlight w:val="none"/>
        </w:rPr>
        <w:t>。</w:t>
      </w:r>
    </w:p>
    <w:p w14:paraId="55BC6488">
      <w:pPr>
        <w:pStyle w:val="59"/>
        <w:topLinePunct/>
        <w:spacing w:before="0" w:beforeAutospacing="0" w:after="0" w:afterAutospacing="0" w:line="360" w:lineRule="auto"/>
        <w:ind w:firstLine="420"/>
        <w:jc w:val="both"/>
        <w:rPr>
          <w:rFonts w:cs="仿宋_GB2312"/>
          <w:color w:val="auto"/>
          <w:sz w:val="21"/>
          <w:highlight w:val="none"/>
        </w:rPr>
      </w:pPr>
      <w:r>
        <w:rPr>
          <w:rFonts w:hint="eastAsia" w:cs="仿宋_GB2312"/>
          <w:color w:val="auto"/>
          <w:sz w:val="21"/>
          <w:highlight w:val="none"/>
        </w:rPr>
        <w:t>（二）</w:t>
      </w:r>
      <w:r>
        <w:rPr>
          <w:rFonts w:ascii="Tahoma" w:hAnsi="Tahoma"/>
          <w:color w:val="auto"/>
          <w:sz w:val="21"/>
          <w:highlight w:val="none"/>
        </w:rPr>
        <w:t xml:space="preserve"> </w:t>
      </w:r>
      <w:r>
        <w:rPr>
          <w:rFonts w:cs="仿宋_GB2312"/>
          <w:color w:val="auto"/>
          <w:sz w:val="21"/>
          <w:highlight w:val="none"/>
        </w:rPr>
        <w:t>本合同作为</w:t>
      </w:r>
      <w:r>
        <w:rPr>
          <w:rFonts w:ascii="Tahoma" w:hAnsi="Tahoma"/>
          <w:color w:val="auto"/>
          <w:sz w:val="21"/>
          <w:highlight w:val="none"/>
        </w:rPr>
        <w:t xml:space="preserve"> 本</w:t>
      </w:r>
      <w:r>
        <w:rPr>
          <w:rFonts w:cs="仿宋_GB2312"/>
          <w:color w:val="auto"/>
          <w:sz w:val="21"/>
          <w:highlight w:val="none"/>
        </w:rPr>
        <w:t>工程</w:t>
      </w:r>
      <w:r>
        <w:rPr>
          <w:rFonts w:ascii="Tahoma" w:hAnsi="Tahoma"/>
          <w:color w:val="auto"/>
          <w:sz w:val="21"/>
          <w:highlight w:val="none"/>
        </w:rPr>
        <w:t>施工承包</w:t>
      </w:r>
      <w:r>
        <w:rPr>
          <w:rFonts w:cs="仿宋_GB2312"/>
          <w:color w:val="auto"/>
          <w:sz w:val="21"/>
          <w:highlight w:val="none"/>
        </w:rPr>
        <w:t>合同的附件，与</w:t>
      </w:r>
      <w:r>
        <w:rPr>
          <w:rFonts w:ascii="Tahoma" w:hAnsi="Tahoma"/>
          <w:color w:val="auto"/>
          <w:sz w:val="21"/>
          <w:highlight w:val="none"/>
        </w:rPr>
        <w:t>工程施工</w:t>
      </w:r>
      <w:r>
        <w:rPr>
          <w:rFonts w:cs="仿宋_GB2312"/>
          <w:color w:val="auto"/>
          <w:sz w:val="21"/>
          <w:highlight w:val="none"/>
        </w:rPr>
        <w:t>合同具有同等的法律效力，经</w:t>
      </w:r>
      <w:r>
        <w:rPr>
          <w:rFonts w:ascii="Tahoma" w:hAnsi="Tahoma"/>
          <w:color w:val="auto"/>
          <w:sz w:val="21"/>
          <w:highlight w:val="none"/>
        </w:rPr>
        <w:t>甲、乙</w:t>
      </w:r>
      <w:r>
        <w:rPr>
          <w:rFonts w:cs="仿宋_GB2312"/>
          <w:color w:val="auto"/>
          <w:sz w:val="21"/>
          <w:highlight w:val="none"/>
        </w:rPr>
        <w:t>双方签署立即生效。</w:t>
      </w:r>
    </w:p>
    <w:p w14:paraId="767B2FB9">
      <w:pPr>
        <w:pStyle w:val="59"/>
        <w:topLinePunct/>
        <w:spacing w:before="0" w:beforeAutospacing="0" w:after="0" w:afterAutospacing="0" w:line="360" w:lineRule="auto"/>
        <w:ind w:firstLine="420"/>
        <w:jc w:val="both"/>
        <w:rPr>
          <w:rFonts w:cs="仿宋_GB2312"/>
          <w:color w:val="auto"/>
          <w:sz w:val="21"/>
          <w:highlight w:val="none"/>
        </w:rPr>
      </w:pPr>
      <w:r>
        <w:rPr>
          <w:rFonts w:hint="eastAsia" w:ascii="Tahoma" w:hAnsi="Tahoma"/>
          <w:color w:val="auto"/>
          <w:sz w:val="21"/>
          <w:highlight w:val="none"/>
        </w:rPr>
        <w:t>（三）</w:t>
      </w:r>
      <w:r>
        <w:rPr>
          <w:rFonts w:ascii="Tahoma" w:hAnsi="Tahoma"/>
          <w:color w:val="auto"/>
          <w:sz w:val="21"/>
          <w:highlight w:val="none"/>
        </w:rPr>
        <w:t xml:space="preserve"> </w:t>
      </w:r>
      <w:r>
        <w:rPr>
          <w:rFonts w:cs="仿宋_GB2312"/>
          <w:color w:val="auto"/>
          <w:sz w:val="21"/>
          <w:highlight w:val="none"/>
        </w:rPr>
        <w:t>本</w:t>
      </w:r>
      <w:r>
        <w:rPr>
          <w:rFonts w:ascii="Tahoma" w:hAnsi="Tahoma"/>
          <w:color w:val="auto"/>
          <w:sz w:val="21"/>
          <w:highlight w:val="none"/>
        </w:rPr>
        <w:t>责任书</w:t>
      </w:r>
      <w:r>
        <w:rPr>
          <w:rFonts w:cs="仿宋_GB2312"/>
          <w:color w:val="auto"/>
          <w:sz w:val="21"/>
          <w:highlight w:val="none"/>
        </w:rPr>
        <w:t>甲乙双方各执一份，送交监督单位一份。</w:t>
      </w:r>
    </w:p>
    <w:p w14:paraId="10B3D7E5">
      <w:pPr>
        <w:pStyle w:val="59"/>
        <w:topLinePunct/>
        <w:spacing w:before="0" w:beforeAutospacing="0" w:after="0" w:afterAutospacing="0" w:line="360" w:lineRule="auto"/>
        <w:ind w:firstLine="422"/>
        <w:jc w:val="both"/>
        <w:rPr>
          <w:rFonts w:hint="eastAsia" w:cs="仿宋_GB2312"/>
          <w:b/>
          <w:color w:val="auto"/>
          <w:sz w:val="21"/>
          <w:highlight w:val="none"/>
        </w:rPr>
      </w:pPr>
      <w:r>
        <w:rPr>
          <w:rFonts w:hint="eastAsia" w:cs="仿宋_GB2312"/>
          <w:b/>
          <w:color w:val="auto"/>
          <w:sz w:val="21"/>
          <w:highlight w:val="none"/>
        </w:rPr>
        <w:t>第六条  其他</w:t>
      </w:r>
    </w:p>
    <w:p w14:paraId="21C07D9C">
      <w:pPr>
        <w:pStyle w:val="59"/>
        <w:topLinePunct/>
        <w:spacing w:before="0" w:beforeAutospacing="0" w:after="0" w:afterAutospacing="0" w:line="360" w:lineRule="auto"/>
        <w:ind w:firstLine="420"/>
        <w:jc w:val="both"/>
        <w:rPr>
          <w:rFonts w:cs="仿宋_GB2312"/>
          <w:color w:val="auto"/>
          <w:sz w:val="21"/>
          <w:highlight w:val="none"/>
        </w:rPr>
      </w:pPr>
    </w:p>
    <w:p w14:paraId="6C53A6A8">
      <w:pPr>
        <w:pStyle w:val="59"/>
        <w:spacing w:before="0" w:beforeAutospacing="0" w:after="0" w:afterAutospacing="0" w:line="360" w:lineRule="auto"/>
        <w:ind w:firstLine="480"/>
        <w:jc w:val="both"/>
        <w:rPr>
          <w:rFonts w:cs="仿宋_GB2312"/>
          <w:color w:val="auto"/>
          <w:highlight w:val="none"/>
        </w:rPr>
      </w:pPr>
      <w:r>
        <w:rPr>
          <w:rFonts w:cs="仿宋_GB2312"/>
          <w:color w:val="auto"/>
          <w:highlight w:val="none"/>
        </w:rPr>
        <w:t xml:space="preserve"> </w:t>
      </w:r>
    </w:p>
    <w:p w14:paraId="7F7CB13A">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甲    方：</w:t>
      </w:r>
      <w:r>
        <w:rPr>
          <w:rFonts w:cs="仿宋_GB2312"/>
          <w:color w:val="auto"/>
          <w:sz w:val="22"/>
          <w:szCs w:val="22"/>
          <w:highlight w:val="none"/>
          <w:u w:val="single"/>
        </w:rPr>
        <w:t>（单位全称） （盖章）</w:t>
      </w:r>
      <w:r>
        <w:rPr>
          <w:rFonts w:cs="仿宋_GB2312"/>
          <w:color w:val="auto"/>
          <w:sz w:val="22"/>
          <w:szCs w:val="22"/>
          <w:highlight w:val="none"/>
        </w:rPr>
        <w:t xml:space="preserve">         乙  方：</w:t>
      </w:r>
      <w:r>
        <w:rPr>
          <w:rFonts w:cs="仿宋_GB2312"/>
          <w:color w:val="auto"/>
          <w:sz w:val="22"/>
          <w:szCs w:val="22"/>
          <w:highlight w:val="none"/>
          <w:u w:val="single"/>
        </w:rPr>
        <w:t>（单位全称）    （盖章）</w:t>
      </w:r>
    </w:p>
    <w:p w14:paraId="3882F185">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法 定 代 表 人：                        法 定 代 表 人：</w:t>
      </w:r>
    </w:p>
    <w:p w14:paraId="7B049986">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或其授权的代理人：</w:t>
      </w:r>
      <w:r>
        <w:rPr>
          <w:rFonts w:cs="仿宋_GB2312"/>
          <w:color w:val="auto"/>
          <w:sz w:val="22"/>
          <w:szCs w:val="22"/>
          <w:highlight w:val="none"/>
          <w:u w:val="single"/>
        </w:rPr>
        <w:t xml:space="preserve">    （签字）</w:t>
      </w:r>
      <w:r>
        <w:rPr>
          <w:rFonts w:cs="仿宋_GB2312"/>
          <w:color w:val="auto"/>
          <w:sz w:val="22"/>
          <w:szCs w:val="22"/>
          <w:highlight w:val="none"/>
        </w:rPr>
        <w:t xml:space="preserve">          或其授权的代理人：</w:t>
      </w:r>
      <w:r>
        <w:rPr>
          <w:rFonts w:cs="仿宋_GB2312"/>
          <w:color w:val="auto"/>
          <w:sz w:val="22"/>
          <w:szCs w:val="22"/>
          <w:highlight w:val="none"/>
          <w:u w:val="single"/>
        </w:rPr>
        <w:t xml:space="preserve">    （签字）</w:t>
      </w:r>
      <w:r>
        <w:rPr>
          <w:rFonts w:cs="仿宋_GB2312"/>
          <w:color w:val="auto"/>
          <w:sz w:val="22"/>
          <w:szCs w:val="22"/>
          <w:highlight w:val="none"/>
        </w:rPr>
        <w:t xml:space="preserve"> </w:t>
      </w:r>
    </w:p>
    <w:p w14:paraId="15080CB0">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地</w:t>
      </w:r>
      <w:r>
        <w:rPr>
          <w:rFonts w:ascii="Tahoma" w:hAnsi="Tahoma"/>
          <w:color w:val="auto"/>
          <w:sz w:val="22"/>
          <w:szCs w:val="22"/>
          <w:highlight w:val="none"/>
        </w:rPr>
        <w:t xml:space="preserve">       </w:t>
      </w:r>
      <w:r>
        <w:rPr>
          <w:rFonts w:cs="仿宋_GB2312"/>
          <w:color w:val="auto"/>
          <w:sz w:val="22"/>
          <w:szCs w:val="22"/>
          <w:highlight w:val="none"/>
        </w:rPr>
        <w:t>址：</w:t>
      </w:r>
      <w:r>
        <w:rPr>
          <w:rFonts w:cs="仿宋_GB2312"/>
          <w:color w:val="auto"/>
          <w:sz w:val="22"/>
          <w:szCs w:val="22"/>
          <w:highlight w:val="none"/>
          <w:u w:val="single"/>
        </w:rPr>
        <w:t xml:space="preserve">              </w:t>
      </w:r>
      <w:r>
        <w:rPr>
          <w:rFonts w:cs="仿宋_GB2312"/>
          <w:color w:val="auto"/>
          <w:sz w:val="22"/>
          <w:szCs w:val="22"/>
          <w:highlight w:val="none"/>
        </w:rPr>
        <w:t xml:space="preserve">             地</w:t>
      </w:r>
      <w:r>
        <w:rPr>
          <w:rFonts w:ascii="Tahoma" w:hAnsi="Tahoma"/>
          <w:color w:val="auto"/>
          <w:sz w:val="22"/>
          <w:szCs w:val="22"/>
          <w:highlight w:val="none"/>
        </w:rPr>
        <w:t xml:space="preserve">        </w:t>
      </w:r>
      <w:r>
        <w:rPr>
          <w:rFonts w:cs="仿宋_GB2312"/>
          <w:color w:val="auto"/>
          <w:sz w:val="22"/>
          <w:szCs w:val="22"/>
          <w:highlight w:val="none"/>
        </w:rPr>
        <w:t>址：</w:t>
      </w:r>
      <w:r>
        <w:rPr>
          <w:rFonts w:cs="仿宋_GB2312"/>
          <w:color w:val="auto"/>
          <w:sz w:val="22"/>
          <w:szCs w:val="22"/>
          <w:highlight w:val="none"/>
          <w:u w:val="single"/>
        </w:rPr>
        <w:t xml:space="preserve">                   </w:t>
      </w:r>
    </w:p>
    <w:p w14:paraId="128DD124">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电</w:t>
      </w:r>
      <w:r>
        <w:rPr>
          <w:rFonts w:ascii="Tahoma" w:hAnsi="Tahoma"/>
          <w:color w:val="auto"/>
          <w:sz w:val="22"/>
          <w:szCs w:val="22"/>
          <w:highlight w:val="none"/>
        </w:rPr>
        <w:t xml:space="preserve">       </w:t>
      </w:r>
      <w:r>
        <w:rPr>
          <w:rFonts w:cs="仿宋_GB2312"/>
          <w:color w:val="auto"/>
          <w:sz w:val="22"/>
          <w:szCs w:val="22"/>
          <w:highlight w:val="none"/>
        </w:rPr>
        <w:t>话：</w:t>
      </w:r>
      <w:r>
        <w:rPr>
          <w:rFonts w:cs="仿宋_GB2312"/>
          <w:color w:val="auto"/>
          <w:sz w:val="22"/>
          <w:szCs w:val="22"/>
          <w:highlight w:val="none"/>
          <w:u w:val="single"/>
        </w:rPr>
        <w:t xml:space="preserve">              </w:t>
      </w:r>
      <w:r>
        <w:rPr>
          <w:rFonts w:cs="仿宋_GB2312"/>
          <w:color w:val="auto"/>
          <w:sz w:val="22"/>
          <w:szCs w:val="22"/>
          <w:highlight w:val="none"/>
        </w:rPr>
        <w:t xml:space="preserve">             电</w:t>
      </w:r>
      <w:r>
        <w:rPr>
          <w:rFonts w:ascii="Tahoma" w:hAnsi="Tahoma"/>
          <w:color w:val="auto"/>
          <w:sz w:val="22"/>
          <w:szCs w:val="22"/>
          <w:highlight w:val="none"/>
        </w:rPr>
        <w:t xml:space="preserve">        </w:t>
      </w:r>
      <w:r>
        <w:rPr>
          <w:rFonts w:cs="仿宋_GB2312"/>
          <w:color w:val="auto"/>
          <w:sz w:val="22"/>
          <w:szCs w:val="22"/>
          <w:highlight w:val="none"/>
        </w:rPr>
        <w:t xml:space="preserve">话： </w:t>
      </w:r>
      <w:r>
        <w:rPr>
          <w:rFonts w:cs="仿宋_GB2312"/>
          <w:color w:val="auto"/>
          <w:sz w:val="22"/>
          <w:szCs w:val="22"/>
          <w:highlight w:val="none"/>
          <w:u w:val="single"/>
        </w:rPr>
        <w:t xml:space="preserve">                  </w:t>
      </w:r>
    </w:p>
    <w:p w14:paraId="658CC1D1">
      <w:pPr>
        <w:pStyle w:val="59"/>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日</w:t>
      </w:r>
      <w:r>
        <w:rPr>
          <w:rFonts w:ascii="Tahoma" w:hAnsi="Tahoma"/>
          <w:color w:val="auto"/>
          <w:sz w:val="22"/>
          <w:szCs w:val="22"/>
          <w:highlight w:val="none"/>
        </w:rPr>
        <w:t xml:space="preserve">       </w:t>
      </w:r>
      <w:r>
        <w:rPr>
          <w:rFonts w:cs="仿宋_GB2312"/>
          <w:color w:val="auto"/>
          <w:sz w:val="22"/>
          <w:szCs w:val="22"/>
          <w:highlight w:val="none"/>
        </w:rPr>
        <w:t>期：</w:t>
      </w:r>
      <w:r>
        <w:rPr>
          <w:rFonts w:cs="仿宋_GB2312"/>
          <w:color w:val="auto"/>
          <w:sz w:val="22"/>
          <w:szCs w:val="22"/>
          <w:highlight w:val="none"/>
          <w:u w:val="single"/>
        </w:rPr>
        <w:t xml:space="preserve">              </w:t>
      </w:r>
      <w:r>
        <w:rPr>
          <w:rFonts w:cs="仿宋_GB2312"/>
          <w:color w:val="auto"/>
          <w:sz w:val="22"/>
          <w:szCs w:val="22"/>
          <w:highlight w:val="none"/>
        </w:rPr>
        <w:t xml:space="preserve">             日</w:t>
      </w:r>
      <w:r>
        <w:rPr>
          <w:rFonts w:ascii="Tahoma" w:hAnsi="Tahoma"/>
          <w:color w:val="auto"/>
          <w:sz w:val="22"/>
          <w:szCs w:val="22"/>
          <w:highlight w:val="none"/>
        </w:rPr>
        <w:t xml:space="preserve">        </w:t>
      </w:r>
      <w:r>
        <w:rPr>
          <w:rFonts w:cs="仿宋_GB2312"/>
          <w:color w:val="auto"/>
          <w:sz w:val="22"/>
          <w:szCs w:val="22"/>
          <w:highlight w:val="none"/>
        </w:rPr>
        <w:t xml:space="preserve">期： </w:t>
      </w:r>
      <w:r>
        <w:rPr>
          <w:rFonts w:cs="仿宋_GB2312"/>
          <w:color w:val="auto"/>
          <w:sz w:val="22"/>
          <w:szCs w:val="22"/>
          <w:highlight w:val="none"/>
          <w:u w:val="single"/>
        </w:rPr>
        <w:t xml:space="preserve">                  </w:t>
      </w:r>
    </w:p>
    <w:p w14:paraId="482BC084">
      <w:pPr>
        <w:pStyle w:val="59"/>
        <w:snapToGrid w:val="0"/>
        <w:spacing w:before="0" w:beforeAutospacing="0" w:after="0" w:afterAutospacing="0" w:line="360" w:lineRule="auto"/>
        <w:ind w:firstLine="440"/>
        <w:jc w:val="both"/>
        <w:rPr>
          <w:rFonts w:cs="仿宋_GB2312"/>
          <w:color w:val="auto"/>
          <w:sz w:val="22"/>
          <w:szCs w:val="22"/>
          <w:highlight w:val="none"/>
        </w:rPr>
      </w:pPr>
      <w:r>
        <w:rPr>
          <w:rFonts w:cs="仿宋_GB2312"/>
          <w:color w:val="auto"/>
          <w:sz w:val="22"/>
          <w:szCs w:val="22"/>
          <w:highlight w:val="none"/>
        </w:rPr>
        <w:t xml:space="preserve"> </w:t>
      </w:r>
    </w:p>
    <w:p w14:paraId="1EAA4B17">
      <w:pPr>
        <w:pStyle w:val="5"/>
        <w:widowControl/>
        <w:ind w:firstLine="422"/>
        <w:rPr>
          <w:rFonts w:hint="eastAsia"/>
          <w:color w:val="auto"/>
          <w:highlight w:val="none"/>
        </w:rPr>
      </w:pPr>
      <w:r>
        <w:rPr>
          <w:rFonts w:hint="eastAsia" w:ascii="仿宋_GB2312" w:hAnsi="仿宋_GB2312" w:cs="仿宋_GB2312"/>
          <w:color w:val="auto"/>
          <w:highlight w:val="none"/>
        </w:rPr>
        <w:br w:type="page"/>
      </w:r>
      <w:r>
        <w:rPr>
          <w:rFonts w:hint="eastAsia"/>
          <w:color w:val="auto"/>
          <w:highlight w:val="none"/>
        </w:rPr>
        <w:t>附件二 ：勘察设计咨询质量责任合同</w:t>
      </w:r>
    </w:p>
    <w:p w14:paraId="250008B6">
      <w:pPr>
        <w:pStyle w:val="59"/>
        <w:snapToGrid w:val="0"/>
        <w:spacing w:before="156" w:beforeAutospacing="0" w:after="156" w:afterAutospacing="0" w:line="360" w:lineRule="auto"/>
        <w:ind w:firstLine="723"/>
        <w:jc w:val="center"/>
        <w:rPr>
          <w:rFonts w:cs="仿宋_GB2312"/>
          <w:color w:val="auto"/>
          <w:sz w:val="28"/>
          <w:szCs w:val="28"/>
          <w:highlight w:val="none"/>
        </w:rPr>
      </w:pPr>
      <w:r>
        <w:rPr>
          <w:rFonts w:hint="eastAsia" w:ascii="Tahoma" w:hAnsi="Tahoma"/>
          <w:b/>
          <w:color w:val="auto"/>
          <w:sz w:val="36"/>
          <w:szCs w:val="36"/>
          <w:highlight w:val="none"/>
        </w:rPr>
        <w:t>勘察设计</w:t>
      </w:r>
      <w:r>
        <w:rPr>
          <w:rFonts w:cs="仿宋_GB2312"/>
          <w:b/>
          <w:color w:val="auto"/>
          <w:sz w:val="36"/>
          <w:szCs w:val="36"/>
          <w:highlight w:val="none"/>
        </w:rPr>
        <w:t>质量责任合同（格式）</w:t>
      </w:r>
    </w:p>
    <w:p w14:paraId="5711265D">
      <w:pPr>
        <w:pStyle w:val="59"/>
        <w:spacing w:before="0" w:beforeAutospacing="0" w:after="0" w:afterAutospacing="0" w:line="360" w:lineRule="auto"/>
        <w:ind w:firstLine="560"/>
        <w:jc w:val="both"/>
        <w:rPr>
          <w:rFonts w:cs="仿宋_GB2312"/>
          <w:color w:val="auto"/>
          <w:sz w:val="21"/>
          <w:highlight w:val="none"/>
        </w:rPr>
      </w:pPr>
      <w:r>
        <w:rPr>
          <w:rFonts w:cs="仿宋_GB2312"/>
          <w:color w:val="auto"/>
          <w:sz w:val="28"/>
          <w:szCs w:val="28"/>
          <w:highlight w:val="none"/>
        </w:rPr>
        <w:t xml:space="preserve"> </w:t>
      </w:r>
      <w:r>
        <w:rPr>
          <w:rFonts w:cs="仿宋_GB2312"/>
          <w:color w:val="auto"/>
          <w:sz w:val="21"/>
          <w:highlight w:val="none"/>
        </w:rPr>
        <w:t>根据国务院《建设工程质量管理条例》，为保证在项目施工期和设计使用年限内建设工程质量，项目的采购人</w:t>
      </w:r>
      <w:r>
        <w:rPr>
          <w:rFonts w:cs="仿宋_GB2312"/>
          <w:b/>
          <w:color w:val="auto"/>
          <w:sz w:val="21"/>
          <w:highlight w:val="none"/>
          <w:u w:val="single"/>
        </w:rPr>
        <w:t xml:space="preserve">                   </w:t>
      </w:r>
      <w:r>
        <w:rPr>
          <w:rFonts w:cs="仿宋_GB2312"/>
          <w:color w:val="auto"/>
          <w:sz w:val="21"/>
          <w:highlight w:val="none"/>
        </w:rPr>
        <w:t>(以下称采购人</w:t>
      </w:r>
      <w:r>
        <w:rPr>
          <w:rFonts w:ascii="Tahoma" w:hAnsi="Tahoma"/>
          <w:color w:val="auto"/>
          <w:sz w:val="21"/>
          <w:highlight w:val="none"/>
        </w:rPr>
        <w:t>)</w:t>
      </w:r>
      <w:r>
        <w:rPr>
          <w:rFonts w:cs="仿宋_GB2312"/>
          <w:color w:val="auto"/>
          <w:sz w:val="21"/>
          <w:highlight w:val="none"/>
        </w:rPr>
        <w:t>与</w:t>
      </w:r>
      <w:r>
        <w:rPr>
          <w:rFonts w:ascii="Tahoma" w:hAnsi="Tahoma"/>
          <w:color w:val="auto"/>
          <w:sz w:val="21"/>
          <w:highlight w:val="none"/>
        </w:rPr>
        <w:t>承包人</w:t>
      </w:r>
      <w:r>
        <w:rPr>
          <w:rFonts w:cs="仿宋_GB2312"/>
          <w:b/>
          <w:color w:val="auto"/>
          <w:sz w:val="21"/>
          <w:highlight w:val="none"/>
          <w:u w:val="single"/>
        </w:rPr>
        <w:t xml:space="preserve">                      </w:t>
      </w:r>
      <w:r>
        <w:rPr>
          <w:rFonts w:cs="仿宋_GB2312"/>
          <w:color w:val="auto"/>
          <w:sz w:val="21"/>
          <w:highlight w:val="none"/>
        </w:rPr>
        <w:t>(以下称承包人</w:t>
      </w:r>
      <w:r>
        <w:rPr>
          <w:rFonts w:ascii="Tahoma" w:hAnsi="Tahoma"/>
          <w:color w:val="auto"/>
          <w:sz w:val="21"/>
          <w:highlight w:val="none"/>
        </w:rPr>
        <w:t>)</w:t>
      </w:r>
      <w:r>
        <w:rPr>
          <w:rFonts w:cs="仿宋_GB2312"/>
          <w:color w:val="auto"/>
          <w:sz w:val="21"/>
          <w:highlight w:val="none"/>
        </w:rPr>
        <w:t>，特订立如下勘察设计质量责任合同。</w:t>
      </w:r>
    </w:p>
    <w:p w14:paraId="60B64C5B">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 xml:space="preserve"> 第一条  设计单位对本建设工程的施工质量在项目施工期和设计使用年限内依法终身负责。</w:t>
      </w:r>
    </w:p>
    <w:p w14:paraId="4BA6CF1A">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第二条  甲乙双方的权利与义务</w:t>
      </w:r>
    </w:p>
    <w:p w14:paraId="0E19C3FD">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w:t>
      </w:r>
      <w:r>
        <w:rPr>
          <w:rFonts w:cs="仿宋_GB2312"/>
          <w:color w:val="auto"/>
          <w:sz w:val="21"/>
          <w:highlight w:val="none"/>
        </w:rPr>
        <w:t>严格遵守国家有关法律法规及水利部的有关规定。</w:t>
      </w:r>
    </w:p>
    <w:p w14:paraId="23BE79DC">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w:t>
      </w:r>
      <w:r>
        <w:rPr>
          <w:rFonts w:cs="仿宋_GB2312"/>
          <w:color w:val="auto"/>
          <w:sz w:val="21"/>
          <w:highlight w:val="none"/>
        </w:rPr>
        <w:t>严格执行</w:t>
      </w:r>
      <w:r>
        <w:rPr>
          <w:rFonts w:cs="仿宋_GB2312"/>
          <w:b/>
          <w:color w:val="auto"/>
          <w:sz w:val="21"/>
          <w:highlight w:val="none"/>
          <w:u w:val="single"/>
        </w:rPr>
        <w:t xml:space="preserve">                 </w:t>
      </w:r>
      <w:r>
        <w:rPr>
          <w:rFonts w:cs="仿宋_GB2312"/>
          <w:color w:val="auto"/>
          <w:sz w:val="21"/>
          <w:highlight w:val="none"/>
        </w:rPr>
        <w:t>项目勘察设计合同文件，自觉按合同办事。</w:t>
      </w:r>
    </w:p>
    <w:p w14:paraId="7DCC94D6">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(三</w:t>
      </w:r>
      <w:r>
        <w:rPr>
          <w:rFonts w:ascii="Tahoma" w:hAnsi="Tahoma"/>
          <w:color w:val="auto"/>
          <w:sz w:val="21"/>
          <w:highlight w:val="none"/>
        </w:rPr>
        <w:t>)</w:t>
      </w:r>
      <w:r>
        <w:rPr>
          <w:rFonts w:cs="仿宋_GB2312"/>
          <w:color w:val="auto"/>
          <w:sz w:val="21"/>
          <w:highlight w:val="none"/>
        </w:rPr>
        <w:t>双方的勘察设计业务活动必须坚持科学、公正、诚信、平等的原则，不得损害国家、集体的利益，不得违反工程建设管理规章制度。</w:t>
      </w:r>
    </w:p>
    <w:p w14:paraId="0113BA51">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 xml:space="preserve"> (四</w:t>
      </w:r>
      <w:r>
        <w:rPr>
          <w:rFonts w:ascii="Tahoma" w:hAnsi="Tahoma"/>
          <w:color w:val="auto"/>
          <w:sz w:val="21"/>
          <w:highlight w:val="none"/>
        </w:rPr>
        <w:t>)</w:t>
      </w:r>
      <w:r>
        <w:rPr>
          <w:rFonts w:cs="仿宋_GB2312"/>
          <w:color w:val="auto"/>
          <w:sz w:val="21"/>
          <w:highlight w:val="none"/>
        </w:rPr>
        <w:t>发现对方在本</w:t>
      </w:r>
      <w:r>
        <w:rPr>
          <w:rFonts w:ascii="Tahoma" w:hAnsi="Tahoma"/>
          <w:color w:val="auto"/>
          <w:sz w:val="21"/>
          <w:highlight w:val="none"/>
        </w:rPr>
        <w:t>次咨询</w:t>
      </w:r>
      <w:r>
        <w:rPr>
          <w:rFonts w:cs="仿宋_GB2312"/>
          <w:color w:val="auto"/>
          <w:sz w:val="21"/>
          <w:highlight w:val="none"/>
        </w:rPr>
        <w:t>业务活动中，有违反有关规定的行为，有及时提醒对方纠正的权利和义务。</w:t>
      </w:r>
    </w:p>
    <w:p w14:paraId="3AAAC9BC">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(五</w:t>
      </w:r>
      <w:r>
        <w:rPr>
          <w:rFonts w:ascii="Tahoma" w:hAnsi="Tahoma"/>
          <w:color w:val="auto"/>
          <w:sz w:val="21"/>
          <w:highlight w:val="none"/>
        </w:rPr>
        <w:t>)</w:t>
      </w:r>
      <w:r>
        <w:rPr>
          <w:rFonts w:cs="仿宋_GB2312"/>
          <w:color w:val="auto"/>
          <w:sz w:val="21"/>
          <w:highlight w:val="none"/>
        </w:rPr>
        <w:t>发现对方严重违反合同文件的行为，有向其上级有关部门举报，建议给予处理并要求告知处理结果的权利。</w:t>
      </w:r>
    </w:p>
    <w:p w14:paraId="523E9263">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第三条  采购人的义务</w:t>
      </w:r>
    </w:p>
    <w:p w14:paraId="770B7A9C">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 xml:space="preserve">) </w:t>
      </w:r>
      <w:r>
        <w:rPr>
          <w:rFonts w:cs="仿宋_GB2312"/>
          <w:color w:val="auto"/>
          <w:sz w:val="21"/>
          <w:highlight w:val="none"/>
        </w:rPr>
        <w:t>采购人向承包人及时</w:t>
      </w:r>
      <w:r>
        <w:rPr>
          <w:rFonts w:ascii="Tahoma" w:hAnsi="Tahoma"/>
          <w:color w:val="auto"/>
          <w:sz w:val="21"/>
          <w:highlight w:val="none"/>
        </w:rPr>
        <w:t>按合同要求</w:t>
      </w:r>
      <w:r>
        <w:rPr>
          <w:rFonts w:cs="仿宋_GB2312"/>
          <w:color w:val="auto"/>
          <w:sz w:val="21"/>
          <w:highlight w:val="none"/>
        </w:rPr>
        <w:t>提供</w:t>
      </w:r>
      <w:r>
        <w:rPr>
          <w:rFonts w:ascii="Tahoma" w:hAnsi="Tahoma"/>
          <w:color w:val="auto"/>
          <w:sz w:val="21"/>
          <w:highlight w:val="none"/>
        </w:rPr>
        <w:t>的</w:t>
      </w:r>
      <w:r>
        <w:rPr>
          <w:rFonts w:cs="仿宋_GB2312"/>
          <w:color w:val="auto"/>
          <w:sz w:val="21"/>
          <w:highlight w:val="none"/>
        </w:rPr>
        <w:t>有关资料。</w:t>
      </w:r>
    </w:p>
    <w:p w14:paraId="6BD23E7C">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 xml:space="preserve">) </w:t>
      </w:r>
      <w:r>
        <w:rPr>
          <w:rFonts w:cs="仿宋_GB2312"/>
          <w:color w:val="auto"/>
          <w:sz w:val="21"/>
          <w:highlight w:val="none"/>
        </w:rPr>
        <w:t>采购人不得指使承包人不按法律、法规、勘察设计建设强制性标准和勘察设计规范进行工程的勘察设计活动。</w:t>
      </w:r>
    </w:p>
    <w:p w14:paraId="0CEA42CA">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(三</w:t>
      </w:r>
      <w:r>
        <w:rPr>
          <w:rFonts w:ascii="Tahoma" w:hAnsi="Tahoma"/>
          <w:color w:val="auto"/>
          <w:sz w:val="21"/>
          <w:highlight w:val="none"/>
        </w:rPr>
        <w:t xml:space="preserve">) </w:t>
      </w:r>
      <w:r>
        <w:rPr>
          <w:rFonts w:cs="仿宋_GB2312"/>
          <w:color w:val="auto"/>
          <w:sz w:val="21"/>
          <w:highlight w:val="none"/>
        </w:rPr>
        <w:t>采购人须按勘察设计合同的约定支付</w:t>
      </w:r>
      <w:r>
        <w:rPr>
          <w:rFonts w:ascii="Tahoma" w:hAnsi="Tahoma"/>
          <w:color w:val="auto"/>
          <w:sz w:val="21"/>
          <w:highlight w:val="none"/>
        </w:rPr>
        <w:t>设计费</w:t>
      </w:r>
      <w:r>
        <w:rPr>
          <w:rFonts w:cs="仿宋_GB2312"/>
          <w:color w:val="auto"/>
          <w:sz w:val="21"/>
          <w:highlight w:val="none"/>
        </w:rPr>
        <w:t>，除勘察设计合同的约定外，采购人不得以任何借口克扣</w:t>
      </w:r>
      <w:r>
        <w:rPr>
          <w:rFonts w:ascii="Tahoma" w:hAnsi="Tahoma"/>
          <w:color w:val="auto"/>
          <w:sz w:val="21"/>
          <w:highlight w:val="none"/>
        </w:rPr>
        <w:t>设计费</w:t>
      </w:r>
      <w:r>
        <w:rPr>
          <w:rFonts w:cs="仿宋_GB2312"/>
          <w:color w:val="auto"/>
          <w:sz w:val="21"/>
          <w:highlight w:val="none"/>
        </w:rPr>
        <w:t>或拖延</w:t>
      </w:r>
      <w:r>
        <w:rPr>
          <w:rFonts w:ascii="Tahoma" w:hAnsi="Tahoma"/>
          <w:color w:val="auto"/>
          <w:sz w:val="21"/>
          <w:highlight w:val="none"/>
        </w:rPr>
        <w:t>设计费</w:t>
      </w:r>
      <w:r>
        <w:rPr>
          <w:rFonts w:cs="仿宋_GB2312"/>
          <w:color w:val="auto"/>
          <w:sz w:val="21"/>
          <w:highlight w:val="none"/>
        </w:rPr>
        <w:t>的支付。</w:t>
      </w:r>
    </w:p>
    <w:p w14:paraId="6B7462ED">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(四</w:t>
      </w:r>
      <w:r>
        <w:rPr>
          <w:rFonts w:ascii="Tahoma" w:hAnsi="Tahoma"/>
          <w:color w:val="auto"/>
          <w:sz w:val="21"/>
          <w:highlight w:val="none"/>
        </w:rPr>
        <w:t xml:space="preserve">) </w:t>
      </w:r>
      <w:r>
        <w:rPr>
          <w:rFonts w:cs="仿宋_GB2312"/>
          <w:color w:val="auto"/>
          <w:sz w:val="21"/>
          <w:highlight w:val="none"/>
        </w:rPr>
        <w:t>采购人不得明示或暗示向承包人推荐单位或个人承包或分包本项目的勘察设计任务。</w:t>
      </w:r>
    </w:p>
    <w:p w14:paraId="197FEB97">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(五</w:t>
      </w:r>
      <w:r>
        <w:rPr>
          <w:rFonts w:ascii="Tahoma" w:hAnsi="Tahoma"/>
          <w:color w:val="auto"/>
          <w:sz w:val="21"/>
          <w:highlight w:val="none"/>
        </w:rPr>
        <w:t xml:space="preserve">) </w:t>
      </w:r>
      <w:r>
        <w:rPr>
          <w:rFonts w:cs="仿宋_GB2312"/>
          <w:color w:val="auto"/>
          <w:sz w:val="21"/>
          <w:highlight w:val="none"/>
        </w:rPr>
        <w:t xml:space="preserve">采购人不得以任何理由索取回扣或其它好处。 </w:t>
      </w:r>
    </w:p>
    <w:p w14:paraId="5BA3A241">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第四条  承包人的义务</w:t>
      </w:r>
    </w:p>
    <w:p w14:paraId="44209D9E">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w:t>
      </w:r>
      <w:r>
        <w:rPr>
          <w:rFonts w:cs="仿宋_GB2312"/>
          <w:color w:val="auto"/>
          <w:sz w:val="21"/>
          <w:highlight w:val="none"/>
        </w:rPr>
        <w:t>承包人应具备与本工程项目相应等级的设计资质证书。</w:t>
      </w:r>
    </w:p>
    <w:p w14:paraId="4F8B864F">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)原则上</w:t>
      </w:r>
      <w:r>
        <w:rPr>
          <w:rFonts w:cs="仿宋_GB2312"/>
          <w:color w:val="auto"/>
          <w:sz w:val="21"/>
          <w:highlight w:val="none"/>
        </w:rPr>
        <w:t>承包人不得允许其它单位或个人以承包人的名义承揽本项目的设计任务，不得转包或违法分包所承揽的本项目设计任务。但如承包人不具备承担本合同内容工作的相关专题报告编制的资质和能力，可经采购人同意允许分包给具有相关资质和能力的单位进行。</w:t>
      </w:r>
    </w:p>
    <w:p w14:paraId="134F2404">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(三</w:t>
      </w:r>
      <w:r>
        <w:rPr>
          <w:rFonts w:ascii="Tahoma" w:hAnsi="Tahoma"/>
          <w:color w:val="auto"/>
          <w:sz w:val="21"/>
          <w:highlight w:val="none"/>
        </w:rPr>
        <w:t>)</w:t>
      </w:r>
      <w:r>
        <w:rPr>
          <w:rFonts w:cs="仿宋_GB2312"/>
          <w:color w:val="auto"/>
          <w:sz w:val="21"/>
          <w:highlight w:val="none"/>
        </w:rPr>
        <w:t>承包人必须严格履行合同，按投标承诺的项目负责人、分项负责人及时到位。项目负责人、分项负责人原则上不得擅自调换，如有特殊原因确需调换的，须经采购人书面同意方能换人。</w:t>
      </w:r>
    </w:p>
    <w:p w14:paraId="15CEE657">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(四</w:t>
      </w:r>
      <w:r>
        <w:rPr>
          <w:rFonts w:ascii="Tahoma" w:hAnsi="Tahoma"/>
          <w:color w:val="auto"/>
          <w:sz w:val="21"/>
          <w:highlight w:val="none"/>
        </w:rPr>
        <w:t>)</w:t>
      </w:r>
      <w:r>
        <w:rPr>
          <w:rFonts w:cs="仿宋_GB2312"/>
          <w:color w:val="auto"/>
          <w:sz w:val="21"/>
          <w:highlight w:val="none"/>
        </w:rPr>
        <w:t>承包人必须按照工程建设强制性标准进行勘察、设计，并对其勘察、设计的质量负责。注册建筑师、注册结构工程师等注册执业人员应当在设计文件上签字，对设计文件负责。</w:t>
      </w:r>
    </w:p>
    <w:p w14:paraId="367E13A2">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(五</w:t>
      </w:r>
      <w:r>
        <w:rPr>
          <w:rFonts w:ascii="Tahoma" w:hAnsi="Tahoma"/>
          <w:color w:val="auto"/>
          <w:sz w:val="21"/>
          <w:highlight w:val="none"/>
        </w:rPr>
        <w:t>)</w:t>
      </w:r>
      <w:r>
        <w:rPr>
          <w:rFonts w:cs="仿宋_GB2312"/>
          <w:color w:val="auto"/>
          <w:sz w:val="21"/>
          <w:highlight w:val="none"/>
        </w:rPr>
        <w:t>承包人提供的地质、水文等勘察成果必须真实、准确。</w:t>
      </w:r>
    </w:p>
    <w:p w14:paraId="6C4E00FC">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(六</w:t>
      </w:r>
      <w:r>
        <w:rPr>
          <w:rFonts w:ascii="Tahoma" w:hAnsi="Tahoma"/>
          <w:color w:val="auto"/>
          <w:sz w:val="21"/>
          <w:highlight w:val="none"/>
        </w:rPr>
        <w:t>)</w:t>
      </w:r>
      <w:r>
        <w:rPr>
          <w:rFonts w:cs="仿宋_GB2312"/>
          <w:color w:val="auto"/>
          <w:sz w:val="21"/>
          <w:highlight w:val="none"/>
        </w:rPr>
        <w:t>承包人应当根据勘察成果文件进行建设工程设计。设计文件应当符合国家规定的设计深度要求，注明工程合理使用年限。</w:t>
      </w:r>
    </w:p>
    <w:p w14:paraId="1B5D01EF">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(七</w:t>
      </w:r>
      <w:r>
        <w:rPr>
          <w:rFonts w:ascii="Tahoma" w:hAnsi="Tahoma"/>
          <w:color w:val="auto"/>
          <w:sz w:val="21"/>
          <w:highlight w:val="none"/>
        </w:rPr>
        <w:t>)</w:t>
      </w:r>
      <w:r>
        <w:rPr>
          <w:rFonts w:cs="仿宋_GB2312"/>
          <w:color w:val="auto"/>
          <w:sz w:val="21"/>
          <w:highlight w:val="none"/>
        </w:rPr>
        <w:t>承包人在设计文件中选用的建筑材料、建筑构配件和设备，应当注明规格、型号、性能等技术指标，其质量要求必须符合国家规定的标准。除有特殊要求的建筑材料、专用设备、工艺生产线等外，设计单位不得指定生产厂、供应商。</w:t>
      </w:r>
    </w:p>
    <w:p w14:paraId="46B5E379">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第五条  违约责任</w:t>
      </w:r>
    </w:p>
    <w:p w14:paraId="2DF6D4C4">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(一</w:t>
      </w:r>
      <w:r>
        <w:rPr>
          <w:rFonts w:ascii="Tahoma" w:hAnsi="Tahoma"/>
          <w:color w:val="auto"/>
          <w:sz w:val="21"/>
          <w:highlight w:val="none"/>
        </w:rPr>
        <w:t>)</w:t>
      </w:r>
      <w:r>
        <w:rPr>
          <w:rFonts w:cs="仿宋_GB2312"/>
          <w:color w:val="auto"/>
          <w:sz w:val="21"/>
          <w:highlight w:val="none"/>
        </w:rPr>
        <w:t>采购人及其工作人员违反本合同第二、三条，按管理权限，依据国务院《建设工程质量管理条例》有关规定给予相应的处罚；涉嫌犯罪的，依法追究刑事责任；给承包人单位造成经济损失的，应予以赔偿。</w:t>
      </w:r>
    </w:p>
    <w:p w14:paraId="7D7A13CF">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(二</w:t>
      </w:r>
      <w:r>
        <w:rPr>
          <w:rFonts w:ascii="Tahoma" w:hAnsi="Tahoma"/>
          <w:color w:val="auto"/>
          <w:sz w:val="21"/>
          <w:highlight w:val="none"/>
        </w:rPr>
        <w:t>)</w:t>
      </w:r>
      <w:r>
        <w:rPr>
          <w:rFonts w:cs="仿宋_GB2312"/>
          <w:color w:val="auto"/>
          <w:sz w:val="21"/>
          <w:highlight w:val="none"/>
        </w:rPr>
        <w:t>承包人及其工作人员违反本合同第二、四条，按管理权限，依据国务院《建设工程质量管理条例》有关规定给予相应的处罚；涉嫌犯罪的，依法追究刑事责任；给采购人单位造成经济损失的，应予以赔偿。</w:t>
      </w:r>
    </w:p>
    <w:p w14:paraId="2B914797">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第六条  本合同有效期为甲乙双方自签署之日起至该工程项目设计使用年限之日止。</w:t>
      </w:r>
    </w:p>
    <w:p w14:paraId="425D8E99">
      <w:pPr>
        <w:pStyle w:val="59"/>
        <w:spacing w:before="0" w:beforeAutospacing="0" w:after="0" w:afterAutospacing="0" w:line="360" w:lineRule="auto"/>
        <w:ind w:firstLine="420"/>
        <w:jc w:val="both"/>
        <w:rPr>
          <w:rFonts w:cs="仿宋_GB2312"/>
          <w:color w:val="auto"/>
          <w:sz w:val="21"/>
          <w:highlight w:val="none"/>
        </w:rPr>
      </w:pPr>
      <w:r>
        <w:rPr>
          <w:rFonts w:cs="仿宋_GB2312"/>
          <w:color w:val="auto"/>
          <w:sz w:val="21"/>
          <w:highlight w:val="none"/>
        </w:rPr>
        <w:t>第七条  本合同作为</w:t>
      </w:r>
      <w:r>
        <w:rPr>
          <w:rFonts w:cs="仿宋_GB2312"/>
          <w:color w:val="auto"/>
          <w:sz w:val="21"/>
          <w:highlight w:val="none"/>
          <w:u w:val="single"/>
        </w:rPr>
        <w:t xml:space="preserve">        </w:t>
      </w:r>
      <w:r>
        <w:rPr>
          <w:rFonts w:cs="仿宋_GB2312"/>
          <w:color w:val="auto"/>
          <w:sz w:val="21"/>
          <w:highlight w:val="none"/>
        </w:rPr>
        <w:t>勘察设计合同附件，与项目勘察设计合同具有同等的法律效力，经合同双方签署后立即生效。</w:t>
      </w:r>
    </w:p>
    <w:p w14:paraId="295C66FC">
      <w:pPr>
        <w:pStyle w:val="59"/>
        <w:spacing w:before="0" w:beforeAutospacing="0" w:after="0" w:afterAutospacing="0" w:line="360" w:lineRule="auto"/>
        <w:ind w:firstLine="420"/>
        <w:jc w:val="both"/>
        <w:rPr>
          <w:rFonts w:cs="仿宋_GB2312"/>
          <w:color w:val="auto"/>
          <w:sz w:val="21"/>
          <w:highlight w:val="none"/>
        </w:rPr>
      </w:pPr>
      <w:r>
        <w:rPr>
          <w:rFonts w:hint="eastAsia" w:cs="仿宋_GB2312"/>
          <w:color w:val="auto"/>
          <w:sz w:val="21"/>
          <w:highlight w:val="none"/>
        </w:rPr>
        <w:t xml:space="preserve">第八条  </w:t>
      </w:r>
    </w:p>
    <w:p w14:paraId="0A6C6322">
      <w:pPr>
        <w:pStyle w:val="59"/>
        <w:spacing w:before="0" w:beforeAutospacing="0" w:after="0" w:afterAutospacing="0" w:line="360" w:lineRule="auto"/>
        <w:ind w:firstLine="420"/>
        <w:jc w:val="both"/>
        <w:rPr>
          <w:rFonts w:cs="仿宋_GB2312"/>
          <w:color w:val="auto"/>
          <w:sz w:val="28"/>
          <w:szCs w:val="28"/>
          <w:highlight w:val="none"/>
        </w:rPr>
      </w:pPr>
      <w:r>
        <w:rPr>
          <w:rFonts w:cs="仿宋_GB2312"/>
          <w:color w:val="auto"/>
          <w:sz w:val="21"/>
          <w:highlight w:val="none"/>
        </w:rPr>
        <w:t>本合同甲、乙双方各执一份。</w:t>
      </w:r>
    </w:p>
    <w:p w14:paraId="4ED97F19">
      <w:pPr>
        <w:pStyle w:val="59"/>
        <w:spacing w:before="0" w:beforeAutospacing="0" w:after="0" w:afterAutospacing="0" w:line="360" w:lineRule="auto"/>
        <w:ind w:firstLine="560"/>
        <w:jc w:val="both"/>
        <w:rPr>
          <w:rFonts w:cs="仿宋_GB2312"/>
          <w:color w:val="auto"/>
          <w:sz w:val="28"/>
          <w:szCs w:val="28"/>
          <w:highlight w:val="none"/>
        </w:rPr>
      </w:pPr>
      <w:r>
        <w:rPr>
          <w:rFonts w:cs="仿宋_GB2312"/>
          <w:color w:val="auto"/>
          <w:sz w:val="28"/>
          <w:szCs w:val="28"/>
          <w:highlight w:val="none"/>
        </w:rPr>
        <w:t xml:space="preserve"> </w:t>
      </w:r>
    </w:p>
    <w:p w14:paraId="1B4E544D">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采    购    人：</w:t>
      </w:r>
      <w:r>
        <w:rPr>
          <w:rFonts w:cs="仿宋_GB2312"/>
          <w:color w:val="auto"/>
          <w:sz w:val="22"/>
          <w:szCs w:val="22"/>
          <w:highlight w:val="none"/>
          <w:u w:val="single"/>
        </w:rPr>
        <w:t>（单位全称） （盖章）</w:t>
      </w:r>
      <w:r>
        <w:rPr>
          <w:rFonts w:cs="仿宋_GB2312"/>
          <w:color w:val="auto"/>
          <w:sz w:val="22"/>
          <w:szCs w:val="22"/>
          <w:highlight w:val="none"/>
        </w:rPr>
        <w:t xml:space="preserve">  承    包    人：</w:t>
      </w:r>
      <w:r>
        <w:rPr>
          <w:rFonts w:cs="仿宋_GB2312"/>
          <w:color w:val="auto"/>
          <w:sz w:val="22"/>
          <w:szCs w:val="22"/>
          <w:highlight w:val="none"/>
          <w:u w:val="single"/>
        </w:rPr>
        <w:t>（单位全称）    （盖章）</w:t>
      </w:r>
    </w:p>
    <w:p w14:paraId="1CD14FCC">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法 定 代 表 人：                       法 定 代 表 人：</w:t>
      </w:r>
    </w:p>
    <w:p w14:paraId="13F54A0F">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或其授权的代理人：</w:t>
      </w:r>
      <w:r>
        <w:rPr>
          <w:rFonts w:cs="仿宋_GB2312"/>
          <w:color w:val="auto"/>
          <w:sz w:val="22"/>
          <w:szCs w:val="22"/>
          <w:highlight w:val="none"/>
          <w:u w:val="single"/>
        </w:rPr>
        <w:t xml:space="preserve">  （职务）   </w:t>
      </w:r>
      <w:r>
        <w:rPr>
          <w:rFonts w:cs="仿宋_GB2312"/>
          <w:color w:val="auto"/>
          <w:sz w:val="22"/>
          <w:szCs w:val="22"/>
          <w:highlight w:val="none"/>
        </w:rPr>
        <w:t xml:space="preserve">       或其授权的代理人：</w:t>
      </w:r>
      <w:r>
        <w:rPr>
          <w:rFonts w:cs="仿宋_GB2312"/>
          <w:color w:val="auto"/>
          <w:sz w:val="22"/>
          <w:szCs w:val="22"/>
          <w:highlight w:val="none"/>
          <w:u w:val="single"/>
        </w:rPr>
        <w:t xml:space="preserve">       （职务）    </w:t>
      </w:r>
      <w:r>
        <w:rPr>
          <w:rFonts w:cs="仿宋_GB2312"/>
          <w:color w:val="auto"/>
          <w:sz w:val="22"/>
          <w:szCs w:val="22"/>
          <w:highlight w:val="none"/>
        </w:rPr>
        <w:t xml:space="preserve">    </w:t>
      </w:r>
    </w:p>
    <w:p w14:paraId="5AE21007">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 xml:space="preserve">                </w:t>
      </w:r>
      <w:r>
        <w:rPr>
          <w:rFonts w:cs="仿宋_GB2312"/>
          <w:color w:val="auto"/>
          <w:sz w:val="22"/>
          <w:szCs w:val="22"/>
          <w:highlight w:val="none"/>
          <w:u w:val="single"/>
        </w:rPr>
        <w:t xml:space="preserve">    （姓名）   </w:t>
      </w:r>
      <w:r>
        <w:rPr>
          <w:rFonts w:cs="仿宋_GB2312"/>
          <w:color w:val="auto"/>
          <w:sz w:val="22"/>
          <w:szCs w:val="22"/>
          <w:highlight w:val="none"/>
        </w:rPr>
        <w:t xml:space="preserve">                         </w:t>
      </w:r>
      <w:r>
        <w:rPr>
          <w:rFonts w:cs="仿宋_GB2312"/>
          <w:color w:val="auto"/>
          <w:sz w:val="22"/>
          <w:szCs w:val="22"/>
          <w:highlight w:val="none"/>
          <w:u w:val="single"/>
        </w:rPr>
        <w:t xml:space="preserve">       （姓名）    </w:t>
      </w:r>
      <w:r>
        <w:rPr>
          <w:rFonts w:cs="仿宋_GB2312"/>
          <w:color w:val="auto"/>
          <w:sz w:val="22"/>
          <w:szCs w:val="22"/>
          <w:highlight w:val="none"/>
        </w:rPr>
        <w:t xml:space="preserve">    </w:t>
      </w:r>
    </w:p>
    <w:p w14:paraId="21C02BC8">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 xml:space="preserve">                 </w:t>
      </w:r>
      <w:r>
        <w:rPr>
          <w:rFonts w:cs="仿宋_GB2312"/>
          <w:color w:val="auto"/>
          <w:sz w:val="22"/>
          <w:szCs w:val="22"/>
          <w:highlight w:val="none"/>
          <w:u w:val="single"/>
        </w:rPr>
        <w:t xml:space="preserve">   （签字）   </w:t>
      </w:r>
      <w:r>
        <w:rPr>
          <w:rFonts w:cs="仿宋_GB2312"/>
          <w:color w:val="auto"/>
          <w:sz w:val="22"/>
          <w:szCs w:val="22"/>
          <w:highlight w:val="none"/>
        </w:rPr>
        <w:t xml:space="preserve">                         </w:t>
      </w:r>
      <w:r>
        <w:rPr>
          <w:rFonts w:cs="仿宋_GB2312"/>
          <w:color w:val="auto"/>
          <w:sz w:val="22"/>
          <w:szCs w:val="22"/>
          <w:highlight w:val="none"/>
          <w:u w:val="single"/>
        </w:rPr>
        <w:t xml:space="preserve">       （签字）    </w:t>
      </w:r>
      <w:r>
        <w:rPr>
          <w:rFonts w:cs="仿宋_GB2312"/>
          <w:color w:val="auto"/>
          <w:sz w:val="22"/>
          <w:szCs w:val="22"/>
          <w:highlight w:val="none"/>
        </w:rPr>
        <w:t xml:space="preserve">   </w:t>
      </w:r>
    </w:p>
    <w:p w14:paraId="799194D5">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地</w:t>
      </w:r>
      <w:r>
        <w:rPr>
          <w:rFonts w:ascii="Tahoma" w:hAnsi="Tahoma"/>
          <w:color w:val="auto"/>
          <w:sz w:val="22"/>
          <w:szCs w:val="22"/>
          <w:highlight w:val="none"/>
        </w:rPr>
        <w:t xml:space="preserve">       </w:t>
      </w:r>
      <w:r>
        <w:rPr>
          <w:rFonts w:cs="仿宋_GB2312"/>
          <w:color w:val="auto"/>
          <w:sz w:val="22"/>
          <w:szCs w:val="22"/>
          <w:highlight w:val="none"/>
        </w:rPr>
        <w:t>址：</w:t>
      </w:r>
      <w:r>
        <w:rPr>
          <w:rFonts w:cs="仿宋_GB2312"/>
          <w:color w:val="auto"/>
          <w:sz w:val="22"/>
          <w:szCs w:val="22"/>
          <w:highlight w:val="none"/>
          <w:u w:val="single"/>
        </w:rPr>
        <w:t xml:space="preserve">                  </w:t>
      </w:r>
      <w:r>
        <w:rPr>
          <w:rFonts w:cs="仿宋_GB2312"/>
          <w:color w:val="auto"/>
          <w:sz w:val="22"/>
          <w:szCs w:val="22"/>
          <w:highlight w:val="none"/>
        </w:rPr>
        <w:t xml:space="preserve">       地</w:t>
      </w:r>
      <w:r>
        <w:rPr>
          <w:rFonts w:ascii="Tahoma" w:hAnsi="Tahoma"/>
          <w:color w:val="auto"/>
          <w:sz w:val="22"/>
          <w:szCs w:val="22"/>
          <w:highlight w:val="none"/>
        </w:rPr>
        <w:t xml:space="preserve">       </w:t>
      </w:r>
      <w:r>
        <w:rPr>
          <w:rFonts w:cs="仿宋_GB2312"/>
          <w:color w:val="auto"/>
          <w:sz w:val="22"/>
          <w:szCs w:val="22"/>
          <w:highlight w:val="none"/>
        </w:rPr>
        <w:t>址：</w:t>
      </w:r>
      <w:r>
        <w:rPr>
          <w:rFonts w:cs="仿宋_GB2312"/>
          <w:color w:val="auto"/>
          <w:sz w:val="22"/>
          <w:szCs w:val="22"/>
          <w:highlight w:val="none"/>
          <w:u w:val="single"/>
        </w:rPr>
        <w:t xml:space="preserve">                         </w:t>
      </w:r>
      <w:r>
        <w:rPr>
          <w:rFonts w:cs="仿宋_GB2312"/>
          <w:color w:val="auto"/>
          <w:sz w:val="22"/>
          <w:szCs w:val="22"/>
          <w:highlight w:val="none"/>
        </w:rPr>
        <w:t xml:space="preserve">        </w:t>
      </w:r>
    </w:p>
    <w:p w14:paraId="6D5F1757">
      <w:pPr>
        <w:pStyle w:val="59"/>
        <w:spacing w:before="0" w:beforeAutospacing="0" w:after="0" w:afterAutospacing="0" w:line="360" w:lineRule="auto"/>
        <w:jc w:val="both"/>
        <w:rPr>
          <w:rFonts w:cs="仿宋_GB2312"/>
          <w:color w:val="auto"/>
          <w:sz w:val="22"/>
          <w:szCs w:val="22"/>
          <w:highlight w:val="none"/>
        </w:rPr>
      </w:pPr>
      <w:r>
        <w:rPr>
          <w:rFonts w:cs="仿宋_GB2312"/>
          <w:color w:val="auto"/>
          <w:sz w:val="22"/>
          <w:szCs w:val="22"/>
          <w:highlight w:val="none"/>
        </w:rPr>
        <w:t>电</w:t>
      </w:r>
      <w:r>
        <w:rPr>
          <w:rFonts w:ascii="Tahoma" w:hAnsi="Tahoma"/>
          <w:color w:val="auto"/>
          <w:sz w:val="22"/>
          <w:szCs w:val="22"/>
          <w:highlight w:val="none"/>
        </w:rPr>
        <w:t xml:space="preserve">       </w:t>
      </w:r>
      <w:r>
        <w:rPr>
          <w:rFonts w:cs="仿宋_GB2312"/>
          <w:color w:val="auto"/>
          <w:sz w:val="22"/>
          <w:szCs w:val="22"/>
          <w:highlight w:val="none"/>
        </w:rPr>
        <w:t>话：</w:t>
      </w:r>
      <w:r>
        <w:rPr>
          <w:rFonts w:cs="仿宋_GB2312"/>
          <w:color w:val="auto"/>
          <w:sz w:val="22"/>
          <w:szCs w:val="22"/>
          <w:highlight w:val="none"/>
          <w:u w:val="single"/>
        </w:rPr>
        <w:t xml:space="preserve">                  </w:t>
      </w:r>
      <w:r>
        <w:rPr>
          <w:rFonts w:cs="仿宋_GB2312"/>
          <w:color w:val="auto"/>
          <w:sz w:val="22"/>
          <w:szCs w:val="22"/>
          <w:highlight w:val="none"/>
        </w:rPr>
        <w:t xml:space="preserve">       电</w:t>
      </w:r>
      <w:r>
        <w:rPr>
          <w:rFonts w:ascii="Tahoma" w:hAnsi="Tahoma"/>
          <w:color w:val="auto"/>
          <w:sz w:val="22"/>
          <w:szCs w:val="22"/>
          <w:highlight w:val="none"/>
        </w:rPr>
        <w:t xml:space="preserve"> </w:t>
      </w:r>
      <w:r>
        <w:rPr>
          <w:rFonts w:cs="仿宋_GB2312"/>
          <w:color w:val="auto"/>
          <w:sz w:val="22"/>
          <w:szCs w:val="22"/>
          <w:highlight w:val="none"/>
        </w:rPr>
        <w:t xml:space="preserve">     </w:t>
      </w:r>
      <w:r>
        <w:rPr>
          <w:rFonts w:ascii="Tahoma" w:hAnsi="Tahoma"/>
          <w:color w:val="auto"/>
          <w:sz w:val="22"/>
          <w:szCs w:val="22"/>
          <w:highlight w:val="none"/>
        </w:rPr>
        <w:t xml:space="preserve"> </w:t>
      </w:r>
      <w:r>
        <w:rPr>
          <w:rFonts w:cs="仿宋_GB2312"/>
          <w:color w:val="auto"/>
          <w:sz w:val="22"/>
          <w:szCs w:val="22"/>
          <w:highlight w:val="none"/>
        </w:rPr>
        <w:t>话：</w:t>
      </w:r>
      <w:r>
        <w:rPr>
          <w:rFonts w:cs="仿宋_GB2312"/>
          <w:color w:val="auto"/>
          <w:sz w:val="22"/>
          <w:szCs w:val="22"/>
          <w:highlight w:val="none"/>
          <w:u w:val="single"/>
        </w:rPr>
        <w:t xml:space="preserve">                         </w:t>
      </w:r>
      <w:r>
        <w:rPr>
          <w:rFonts w:cs="仿宋_GB2312"/>
          <w:color w:val="auto"/>
          <w:sz w:val="22"/>
          <w:szCs w:val="22"/>
          <w:highlight w:val="none"/>
        </w:rPr>
        <w:t xml:space="preserve">       </w:t>
      </w:r>
    </w:p>
    <w:p w14:paraId="2EDF25B2">
      <w:pPr>
        <w:rPr>
          <w:rFonts w:hint="eastAsia" w:ascii="仿宋" w:hAnsi="仿宋" w:cs="仿宋"/>
          <w:b/>
          <w:color w:val="auto"/>
          <w:sz w:val="36"/>
          <w:szCs w:val="20"/>
          <w:highlight w:val="none"/>
        </w:rPr>
      </w:pPr>
      <w:r>
        <w:rPr>
          <w:rFonts w:cs="仿宋_GB2312"/>
          <w:color w:val="auto"/>
          <w:sz w:val="22"/>
          <w:szCs w:val="22"/>
          <w:highlight w:val="none"/>
        </w:rPr>
        <w:t>日</w:t>
      </w:r>
      <w:r>
        <w:rPr>
          <w:rFonts w:ascii="Tahoma" w:hAnsi="Tahoma"/>
          <w:color w:val="auto"/>
          <w:sz w:val="22"/>
          <w:szCs w:val="22"/>
          <w:highlight w:val="none"/>
        </w:rPr>
        <w:t xml:space="preserve">       </w:t>
      </w:r>
      <w:r>
        <w:rPr>
          <w:rFonts w:cs="仿宋_GB2312"/>
          <w:color w:val="auto"/>
          <w:sz w:val="22"/>
          <w:szCs w:val="22"/>
          <w:highlight w:val="none"/>
        </w:rPr>
        <w:t>期：                         日</w:t>
      </w:r>
      <w:r>
        <w:rPr>
          <w:rFonts w:ascii="Tahoma" w:hAnsi="Tahoma"/>
          <w:color w:val="auto"/>
          <w:sz w:val="22"/>
          <w:szCs w:val="22"/>
          <w:highlight w:val="none"/>
        </w:rPr>
        <w:t xml:space="preserve">       </w:t>
      </w:r>
      <w:r>
        <w:rPr>
          <w:rFonts w:cs="仿宋_GB2312"/>
          <w:color w:val="auto"/>
          <w:sz w:val="22"/>
          <w:szCs w:val="22"/>
          <w:highlight w:val="none"/>
        </w:rPr>
        <w:t xml:space="preserve">期： </w:t>
      </w:r>
      <w:r>
        <w:rPr>
          <w:rFonts w:eastAsia="宋体"/>
          <w:color w:val="auto"/>
          <w:szCs w:val="21"/>
          <w:highlight w:val="none"/>
        </w:rPr>
        <w:br w:type="page"/>
      </w:r>
    </w:p>
    <w:p w14:paraId="34D586A1">
      <w:pPr>
        <w:spacing w:line="360" w:lineRule="auto"/>
        <w:jc w:val="center"/>
        <w:outlineLvl w:val="0"/>
        <w:rPr>
          <w:rFonts w:hint="eastAsia" w:ascii="仿宋" w:hAnsi="仿宋" w:cs="仿宋"/>
          <w:b/>
          <w:color w:val="auto"/>
          <w:sz w:val="36"/>
          <w:szCs w:val="20"/>
          <w:highlight w:val="none"/>
        </w:rPr>
      </w:pPr>
      <w:r>
        <w:rPr>
          <w:rFonts w:hint="eastAsia" w:ascii="仿宋" w:hAnsi="仿宋" w:cs="仿宋"/>
          <w:b/>
          <w:color w:val="auto"/>
          <w:sz w:val="36"/>
          <w:szCs w:val="20"/>
          <w:highlight w:val="none"/>
        </w:rPr>
        <w:t>第六部分</w:t>
      </w:r>
      <w:bookmarkEnd w:id="460"/>
      <w:bookmarkEnd w:id="461"/>
      <w:r>
        <w:rPr>
          <w:rFonts w:hint="eastAsia" w:ascii="仿宋" w:hAnsi="仿宋" w:cs="仿宋"/>
          <w:b/>
          <w:color w:val="auto"/>
          <w:sz w:val="36"/>
          <w:szCs w:val="20"/>
          <w:highlight w:val="none"/>
        </w:rPr>
        <w:t xml:space="preserve">  应提交的有关格式范例</w:t>
      </w:r>
      <w:bookmarkEnd w:id="462"/>
    </w:p>
    <w:p w14:paraId="6C5D706B">
      <w:pPr>
        <w:rPr>
          <w:rFonts w:hint="eastAsia" w:ascii="仿宋" w:hAnsi="仿宋" w:cs="仿宋"/>
          <w:color w:val="auto"/>
          <w:highlight w:val="none"/>
        </w:rPr>
      </w:pPr>
    </w:p>
    <w:p w14:paraId="1F51CFFF">
      <w:pPr>
        <w:spacing w:line="360" w:lineRule="auto"/>
        <w:jc w:val="center"/>
        <w:outlineLvl w:val="1"/>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资格文件部分</w:t>
      </w:r>
    </w:p>
    <w:p w14:paraId="13A89481">
      <w:pPr>
        <w:jc w:val="center"/>
        <w:rPr>
          <w:rFonts w:hint="eastAsia" w:ascii="仿宋" w:hAnsi="仿宋" w:cs="仿宋"/>
          <w:color w:val="auto"/>
          <w:sz w:val="32"/>
          <w:szCs w:val="32"/>
          <w:highlight w:val="none"/>
        </w:rPr>
      </w:pPr>
      <w:r>
        <w:rPr>
          <w:rFonts w:hint="eastAsia" w:ascii="仿宋" w:hAnsi="仿宋" w:cs="仿宋"/>
          <w:color w:val="auto"/>
          <w:sz w:val="32"/>
          <w:szCs w:val="32"/>
          <w:highlight w:val="none"/>
        </w:rPr>
        <w:t>目录</w:t>
      </w:r>
    </w:p>
    <w:p w14:paraId="7526A2D4">
      <w:pPr>
        <w:rPr>
          <w:rFonts w:hint="eastAsia" w:ascii="仿宋" w:hAnsi="仿宋" w:cs="仿宋"/>
          <w:color w:val="auto"/>
          <w:highlight w:val="none"/>
        </w:rPr>
      </w:pPr>
    </w:p>
    <w:p w14:paraId="724D4F98">
      <w:pPr>
        <w:pStyle w:val="25"/>
        <w:rPr>
          <w:rFonts w:hint="eastAsia" w:ascii="仿宋" w:hAnsi="仿宋" w:cs="仿宋"/>
          <w:color w:val="auto"/>
          <w:highlight w:val="none"/>
        </w:rPr>
      </w:pPr>
    </w:p>
    <w:p w14:paraId="299C72F3">
      <w:pPr>
        <w:spacing w:line="360" w:lineRule="auto"/>
        <w:rPr>
          <w:rFonts w:hint="eastAsia" w:ascii="仿宋" w:hAnsi="仿宋" w:cs="仿宋"/>
          <w:color w:val="auto"/>
          <w:highlight w:val="none"/>
        </w:rPr>
      </w:pPr>
      <w:r>
        <w:rPr>
          <w:rFonts w:hint="eastAsia" w:ascii="仿宋" w:hAnsi="仿宋" w:cs="仿宋"/>
          <w:color w:val="auto"/>
          <w:highlight w:val="none"/>
        </w:rPr>
        <w:t>（1）符合参加政府采购活动应当具备的一般条件的承诺函……………（页码）</w:t>
      </w:r>
    </w:p>
    <w:p w14:paraId="46F6DF0B">
      <w:pPr>
        <w:spacing w:line="360" w:lineRule="auto"/>
        <w:rPr>
          <w:rFonts w:hint="eastAsia" w:ascii="仿宋" w:hAnsi="仿宋" w:cs="仿宋"/>
          <w:color w:val="auto"/>
          <w:highlight w:val="none"/>
        </w:rPr>
      </w:pPr>
      <w:r>
        <w:rPr>
          <w:rFonts w:hint="eastAsia" w:ascii="仿宋" w:hAnsi="仿宋" w:cs="仿宋"/>
          <w:color w:val="auto"/>
          <w:highlight w:val="none"/>
        </w:rPr>
        <w:t>（2）联合协议………………………………………………………………（页码）</w:t>
      </w:r>
    </w:p>
    <w:p w14:paraId="562497B5">
      <w:pPr>
        <w:spacing w:line="360" w:lineRule="auto"/>
        <w:rPr>
          <w:rFonts w:hint="eastAsia" w:ascii="仿宋" w:hAnsi="仿宋" w:cs="仿宋"/>
          <w:color w:val="auto"/>
          <w:highlight w:val="none"/>
        </w:rPr>
      </w:pPr>
      <w:r>
        <w:rPr>
          <w:rFonts w:hint="eastAsia" w:ascii="仿宋" w:hAnsi="仿宋" w:cs="仿宋"/>
          <w:color w:val="auto"/>
          <w:highlight w:val="none"/>
        </w:rPr>
        <w:t>（3）落实政府采购政策需满足的资格要求………………………………（页码）</w:t>
      </w:r>
    </w:p>
    <w:p w14:paraId="2CC678E6">
      <w:pPr>
        <w:spacing w:line="360" w:lineRule="auto"/>
        <w:rPr>
          <w:rFonts w:hint="eastAsia" w:ascii="仿宋" w:hAnsi="仿宋" w:cs="仿宋"/>
          <w:color w:val="auto"/>
          <w:highlight w:val="none"/>
        </w:rPr>
      </w:pPr>
      <w:r>
        <w:rPr>
          <w:rFonts w:hint="eastAsia" w:ascii="仿宋" w:hAnsi="仿宋" w:cs="仿宋"/>
          <w:color w:val="auto"/>
          <w:highlight w:val="none"/>
        </w:rPr>
        <w:t>（4）本项目的特定资格要求………………………………………………（页码）</w:t>
      </w:r>
    </w:p>
    <w:p w14:paraId="6E71B3C2">
      <w:pPr>
        <w:rPr>
          <w:rFonts w:hint="eastAsia" w:ascii="仿宋" w:hAnsi="仿宋" w:cs="仿宋"/>
          <w:color w:val="auto"/>
          <w:highlight w:val="none"/>
        </w:rPr>
      </w:pPr>
    </w:p>
    <w:p w14:paraId="65AE3060">
      <w:pPr>
        <w:spacing w:line="360" w:lineRule="auto"/>
        <w:ind w:firstLine="480" w:firstLineChars="200"/>
        <w:rPr>
          <w:rFonts w:hint="eastAsia" w:ascii="仿宋" w:hAnsi="仿宋" w:cs="仿宋"/>
          <w:color w:val="auto"/>
          <w:highlight w:val="none"/>
        </w:rPr>
      </w:pPr>
    </w:p>
    <w:p w14:paraId="34C6BA2C">
      <w:pPr>
        <w:spacing w:line="360" w:lineRule="auto"/>
        <w:ind w:firstLine="480" w:firstLineChars="200"/>
        <w:rPr>
          <w:rFonts w:hint="eastAsia" w:ascii="仿宋" w:hAnsi="仿宋" w:cs="仿宋"/>
          <w:color w:val="auto"/>
          <w:highlight w:val="none"/>
        </w:rPr>
      </w:pPr>
    </w:p>
    <w:p w14:paraId="498A9296">
      <w:pPr>
        <w:spacing w:line="360" w:lineRule="auto"/>
        <w:ind w:right="480"/>
        <w:jc w:val="center"/>
        <w:rPr>
          <w:rFonts w:hint="eastAsia" w:ascii="仿宋" w:hAnsi="仿宋" w:cs="仿宋"/>
          <w:b/>
          <w:color w:val="auto"/>
          <w:kern w:val="0"/>
          <w:sz w:val="32"/>
          <w:szCs w:val="32"/>
          <w:highlight w:val="none"/>
        </w:rPr>
      </w:pPr>
      <w:r>
        <w:rPr>
          <w:rFonts w:hint="eastAsia" w:ascii="仿宋" w:hAnsi="仿宋" w:cs="仿宋"/>
          <w:color w:val="auto"/>
          <w:kern w:val="0"/>
          <w:highlight w:val="none"/>
        </w:rPr>
        <w:br w:type="page"/>
      </w:r>
      <w:r>
        <w:rPr>
          <w:rFonts w:hint="eastAsia" w:ascii="仿宋" w:hAnsi="仿宋" w:cs="仿宋"/>
          <w:b/>
          <w:color w:val="auto"/>
          <w:kern w:val="0"/>
          <w:sz w:val="32"/>
          <w:szCs w:val="32"/>
          <w:highlight w:val="none"/>
        </w:rPr>
        <w:t>一、 符合参加政府采购活动应当具备的一般条件的承诺函</w:t>
      </w:r>
    </w:p>
    <w:p w14:paraId="762C8B06">
      <w:pPr>
        <w:spacing w:line="360" w:lineRule="auto"/>
        <w:rPr>
          <w:rFonts w:hint="eastAsia" w:ascii="仿宋" w:hAnsi="仿宋" w:cs="仿宋"/>
          <w:color w:val="auto"/>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0715D0A3">
      <w:pPr>
        <w:spacing w:line="360" w:lineRule="auto"/>
        <w:ind w:firstLine="420"/>
        <w:rPr>
          <w:rFonts w:hint="eastAsia" w:ascii="仿宋" w:hAnsi="仿宋" w:cs="仿宋"/>
          <w:color w:val="auto"/>
          <w:highlight w:val="none"/>
        </w:rPr>
      </w:pPr>
      <w:r>
        <w:rPr>
          <w:rFonts w:hint="eastAsia" w:ascii="仿宋" w:hAnsi="仿宋" w:cs="仿宋"/>
          <w:color w:val="auto"/>
          <w:highlight w:val="none"/>
        </w:rPr>
        <w:t>我方参与</w:t>
      </w:r>
      <w:r>
        <w:rPr>
          <w:rFonts w:hint="eastAsia" w:ascii="仿宋" w:hAnsi="仿宋" w:cs="仿宋"/>
          <w:color w:val="auto"/>
          <w:highlight w:val="none"/>
          <w:u w:val="single"/>
        </w:rPr>
        <w:t>（项目名称）</w:t>
      </w:r>
      <w:r>
        <w:rPr>
          <w:rFonts w:hint="eastAsia" w:ascii="仿宋" w:hAnsi="仿宋" w:cs="仿宋"/>
          <w:color w:val="auto"/>
          <w:highlight w:val="none"/>
        </w:rPr>
        <w:t>【招标编号：</w:t>
      </w:r>
      <w:r>
        <w:rPr>
          <w:rFonts w:hint="eastAsia" w:ascii="仿宋" w:hAnsi="仿宋" w:cs="仿宋"/>
          <w:color w:val="auto"/>
          <w:highlight w:val="none"/>
          <w:u w:val="single"/>
        </w:rPr>
        <w:t>（采购编号）</w:t>
      </w:r>
      <w:r>
        <w:rPr>
          <w:rFonts w:hint="eastAsia" w:ascii="仿宋" w:hAnsi="仿宋" w:cs="仿宋"/>
          <w:color w:val="auto"/>
          <w:highlight w:val="none"/>
        </w:rPr>
        <w:t>】政府采购活动，郑重承诺：</w:t>
      </w:r>
    </w:p>
    <w:p w14:paraId="3AB02C6F">
      <w:pPr>
        <w:spacing w:line="360" w:lineRule="auto"/>
        <w:ind w:firstLine="360" w:firstLineChars="15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（一）具备《中华人民共和国政府采购法》第二十二条第一款规定的条件：</w:t>
      </w:r>
    </w:p>
    <w:p w14:paraId="77FF1885">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1、具有独立承担民事责任的能力；</w:t>
      </w:r>
    </w:p>
    <w:p w14:paraId="4AAD8E78">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 xml:space="preserve">2、具有良好的商业信誉和健全的财务会计制度； </w:t>
      </w:r>
    </w:p>
    <w:p w14:paraId="27E429AE">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3、具有履行合同所必需的设备和专业技术能力；</w:t>
      </w:r>
    </w:p>
    <w:p w14:paraId="67E246BA">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4、有依法缴纳税收和社会保障资金的良好记录；</w:t>
      </w:r>
    </w:p>
    <w:p w14:paraId="389ED62B">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5、参加政府采购活动前三年内，在经营活动中没有重大违法记录；</w:t>
      </w:r>
    </w:p>
    <w:p w14:paraId="2560A9A0">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6、具有法律、行政法规规定的其他条件。</w:t>
      </w:r>
    </w:p>
    <w:p w14:paraId="5C216111">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（二）未被信用中国（www.creditchina.gov.cn)、中国政府采购网（www.ccgp.gov.cn）列入失信被执行人、重大税收违法案件当事人名单、政府采购严重违法失信行为记录名单。</w:t>
      </w:r>
    </w:p>
    <w:p w14:paraId="0BCB1D7C">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（三）不存在以下情况：</w:t>
      </w:r>
    </w:p>
    <w:p w14:paraId="60D9AED7">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1、单位负责人为同一人或者存在直接控股、管理关系的不同供应商参加同一合同项下的政府采购活动的；</w:t>
      </w:r>
    </w:p>
    <w:p w14:paraId="616D13C1">
      <w:pPr>
        <w:spacing w:line="360" w:lineRule="auto"/>
        <w:ind w:firstLine="480" w:firstLineChars="200"/>
        <w:rPr>
          <w:rFonts w:hint="eastAsia" w:ascii="仿宋" w:hAnsi="仿宋" w:cs="仿宋"/>
          <w:snapToGrid w:val="0"/>
          <w:color w:val="auto"/>
          <w:kern w:val="0"/>
          <w:highlight w:val="none"/>
        </w:rPr>
      </w:pPr>
      <w:r>
        <w:rPr>
          <w:rFonts w:hint="eastAsia" w:ascii="仿宋" w:hAnsi="仿宋" w:cs="仿宋"/>
          <w:snapToGrid w:val="0"/>
          <w:color w:val="auto"/>
          <w:kern w:val="0"/>
          <w:highlight w:val="none"/>
        </w:rPr>
        <w:t>2、为采购项目提供整体设计、规范编制或者项目管理、监理、检测等服务后再参加该采购项目的其他采购活动的。</w:t>
      </w:r>
    </w:p>
    <w:p w14:paraId="72936FD7">
      <w:pPr>
        <w:pStyle w:val="25"/>
        <w:spacing w:line="360" w:lineRule="auto"/>
        <w:rPr>
          <w:rFonts w:hint="eastAsia" w:ascii="仿宋" w:hAnsi="仿宋" w:cs="仿宋"/>
          <w:snapToGrid w:val="0"/>
          <w:color w:val="auto"/>
          <w:kern w:val="0"/>
          <w:highlight w:val="none"/>
        </w:rPr>
      </w:pPr>
    </w:p>
    <w:p w14:paraId="29A3A1FF">
      <w:pPr>
        <w:rPr>
          <w:rFonts w:hint="eastAsia" w:ascii="仿宋" w:hAnsi="仿宋" w:cs="仿宋"/>
          <w:color w:val="auto"/>
          <w:highlight w:val="none"/>
        </w:rPr>
      </w:pPr>
    </w:p>
    <w:p w14:paraId="4D23EF96">
      <w:pPr>
        <w:spacing w:line="360" w:lineRule="auto"/>
        <w:ind w:firstLine="5520" w:firstLineChars="2300"/>
        <w:rPr>
          <w:rFonts w:hint="eastAsia" w:ascii="仿宋" w:hAnsi="仿宋" w:cs="仿宋"/>
          <w:color w:val="auto"/>
          <w:kern w:val="0"/>
          <w:highlight w:val="none"/>
        </w:rPr>
      </w:pPr>
      <w:r>
        <w:rPr>
          <w:rFonts w:hint="eastAsia" w:ascii="仿宋" w:hAnsi="仿宋" w:cs="仿宋"/>
          <w:color w:val="auto"/>
          <w:kern w:val="0"/>
          <w:highlight w:val="none"/>
          <w:lang w:val="zh-CN"/>
        </w:rPr>
        <w:t>投标人名称(电子签名)：</w:t>
      </w:r>
    </w:p>
    <w:p w14:paraId="13D1C4FA">
      <w:pPr>
        <w:spacing w:line="360" w:lineRule="auto"/>
        <w:jc w:val="right"/>
        <w:rPr>
          <w:rFonts w:hint="eastAsia" w:ascii="仿宋" w:hAnsi="仿宋" w:cs="仿宋"/>
          <w:color w:val="auto"/>
          <w:kern w:val="0"/>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年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4AF69E89">
      <w:pPr>
        <w:spacing w:line="360" w:lineRule="auto"/>
        <w:ind w:right="480"/>
        <w:jc w:val="center"/>
        <w:rPr>
          <w:rFonts w:hint="eastAsia" w:ascii="仿宋" w:hAnsi="仿宋" w:cs="仿宋"/>
          <w:b/>
          <w:color w:val="auto"/>
          <w:kern w:val="0"/>
          <w:sz w:val="32"/>
          <w:szCs w:val="32"/>
          <w:highlight w:val="none"/>
        </w:rPr>
      </w:pPr>
    </w:p>
    <w:p w14:paraId="09B39C7C">
      <w:pPr>
        <w:spacing w:line="360" w:lineRule="auto"/>
        <w:ind w:right="480"/>
        <w:jc w:val="center"/>
        <w:rPr>
          <w:rFonts w:hint="eastAsia" w:ascii="仿宋" w:hAnsi="仿宋" w:cs="仿宋"/>
          <w:b/>
          <w:color w:val="auto"/>
          <w:kern w:val="0"/>
          <w:sz w:val="32"/>
          <w:szCs w:val="32"/>
          <w:highlight w:val="none"/>
        </w:rPr>
      </w:pPr>
    </w:p>
    <w:p w14:paraId="2C7B3D6C">
      <w:pPr>
        <w:rPr>
          <w:rFonts w:hint="eastAsia" w:ascii="仿宋" w:hAnsi="仿宋" w:cs="仿宋"/>
          <w:color w:val="auto"/>
          <w:highlight w:val="none"/>
        </w:rPr>
      </w:pPr>
    </w:p>
    <w:p w14:paraId="5EC8BE93">
      <w:pPr>
        <w:spacing w:line="360" w:lineRule="auto"/>
        <w:ind w:right="480"/>
        <w:jc w:val="center"/>
        <w:rPr>
          <w:rFonts w:hint="eastAsia" w:ascii="仿宋" w:hAnsi="仿宋" w:cs="仿宋"/>
          <w:b/>
          <w:color w:val="auto"/>
          <w:kern w:val="0"/>
          <w:sz w:val="32"/>
          <w:szCs w:val="32"/>
          <w:highlight w:val="none"/>
        </w:rPr>
      </w:pPr>
    </w:p>
    <w:p w14:paraId="2D337F15">
      <w:pPr>
        <w:spacing w:line="360" w:lineRule="auto"/>
        <w:ind w:right="480"/>
        <w:jc w:val="center"/>
        <w:rPr>
          <w:rFonts w:hint="eastAsia" w:ascii="仿宋" w:hAnsi="仿宋" w:cs="仿宋"/>
          <w:b/>
          <w:color w:val="auto"/>
          <w:kern w:val="0"/>
          <w:sz w:val="32"/>
          <w:szCs w:val="32"/>
          <w:highlight w:val="none"/>
        </w:rPr>
      </w:pPr>
    </w:p>
    <w:p w14:paraId="29FDE481">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7C50DCF9">
      <w:pPr>
        <w:spacing w:line="360" w:lineRule="auto"/>
        <w:ind w:right="480"/>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二、联合协议（如果有）</w:t>
      </w:r>
    </w:p>
    <w:p w14:paraId="4A84906E">
      <w:pPr>
        <w:widowControl/>
        <w:spacing w:line="360" w:lineRule="auto"/>
        <w:ind w:firstLine="482" w:firstLineChars="200"/>
        <w:jc w:val="left"/>
        <w:rPr>
          <w:rFonts w:hint="eastAsia" w:ascii="仿宋" w:hAnsi="仿宋" w:cs="仿宋"/>
          <w:b/>
          <w:color w:val="auto"/>
          <w:highlight w:val="none"/>
        </w:rPr>
      </w:pPr>
      <w:r>
        <w:rPr>
          <w:rFonts w:hint="eastAsia" w:ascii="仿宋" w:hAnsi="仿宋" w:cs="仿宋"/>
          <w:b/>
          <w:color w:val="auto"/>
          <w:highlight w:val="none"/>
        </w:rPr>
        <w:t>[以联合体形式投标的，提供联合协议（附件5）；本项目不接受联合体投标或者投标人不以联合体形式投标的，则不需要提供]</w:t>
      </w:r>
    </w:p>
    <w:p w14:paraId="693BAC63">
      <w:pPr>
        <w:rPr>
          <w:rFonts w:hint="eastAsia" w:ascii="仿宋" w:hAnsi="仿宋" w:cs="仿宋"/>
          <w:b/>
          <w:color w:val="auto"/>
          <w:kern w:val="0"/>
          <w:sz w:val="32"/>
          <w:szCs w:val="32"/>
          <w:highlight w:val="none"/>
        </w:rPr>
      </w:pPr>
    </w:p>
    <w:p w14:paraId="1B195EE9">
      <w:pPr>
        <w:rPr>
          <w:color w:val="auto"/>
          <w:highlight w:val="none"/>
        </w:rPr>
      </w:pPr>
      <w:r>
        <w:rPr>
          <w:rFonts w:hint="eastAsia"/>
          <w:color w:val="auto"/>
          <w:highlight w:val="none"/>
        </w:rPr>
        <w:br w:type="page"/>
      </w:r>
    </w:p>
    <w:p w14:paraId="1AEE90BB">
      <w:pPr>
        <w:spacing w:line="360" w:lineRule="auto"/>
        <w:ind w:right="480"/>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三、落实政府采购政策需满足的资格要求</w:t>
      </w:r>
    </w:p>
    <w:p w14:paraId="3AB398AC">
      <w:pPr>
        <w:spacing w:before="50" w:after="50" w:line="360" w:lineRule="auto"/>
        <w:ind w:firstLine="470" w:firstLineChars="196"/>
        <w:jc w:val="left"/>
        <w:rPr>
          <w:rFonts w:hint="eastAsia" w:ascii="仿宋" w:hAnsi="仿宋" w:cs="仿宋"/>
          <w:color w:val="auto"/>
          <w:highlight w:val="none"/>
        </w:rPr>
      </w:pPr>
      <w:r>
        <w:rPr>
          <w:rFonts w:hint="eastAsia" w:ascii="仿宋" w:hAnsi="仿宋" w:cs="仿宋"/>
          <w:color w:val="auto"/>
          <w:highlight w:val="none"/>
        </w:rPr>
        <w:t>（根据招标公告落实政府采购政策需满足的资格要求选择提供相应的材料；未要求的，无需提供）</w:t>
      </w:r>
    </w:p>
    <w:p w14:paraId="25486567">
      <w:pPr>
        <w:spacing w:before="50" w:after="50" w:line="360" w:lineRule="auto"/>
        <w:ind w:firstLine="470" w:firstLineChars="196"/>
        <w:jc w:val="left"/>
        <w:rPr>
          <w:rFonts w:hint="eastAsia" w:ascii="仿宋" w:hAnsi="仿宋" w:cs="仿宋"/>
          <w:color w:val="auto"/>
          <w:highlight w:val="none"/>
        </w:rPr>
      </w:pPr>
      <w:r>
        <w:rPr>
          <w:rFonts w:hint="eastAsia" w:ascii="仿宋" w:hAnsi="仿宋" w:cs="仿宋"/>
          <w:color w:val="auto"/>
          <w:highlight w:val="none"/>
        </w:rPr>
        <w:t xml:space="preserve">A.专门面向中小企业，服务全部由符合政策要求的中小企业（或小微企业）承接的，提供相应的中小企业声明函（附件7）。 </w:t>
      </w:r>
    </w:p>
    <w:p w14:paraId="0D368601">
      <w:pPr>
        <w:spacing w:before="50" w:after="50" w:line="360" w:lineRule="auto"/>
        <w:ind w:firstLine="470" w:firstLineChars="196"/>
        <w:jc w:val="left"/>
        <w:rPr>
          <w:rFonts w:hint="eastAsia" w:ascii="仿宋" w:hAnsi="仿宋" w:cs="仿宋"/>
          <w:color w:val="auto"/>
          <w:highlight w:val="none"/>
        </w:rPr>
      </w:pPr>
    </w:p>
    <w:p w14:paraId="10550B46">
      <w:pPr>
        <w:spacing w:before="50" w:after="50" w:line="360" w:lineRule="auto"/>
        <w:ind w:firstLine="470" w:firstLineChars="196"/>
        <w:jc w:val="left"/>
        <w:rPr>
          <w:rFonts w:hint="eastAsia" w:ascii="仿宋" w:hAnsi="仿宋" w:cs="仿宋"/>
          <w:color w:val="auto"/>
          <w:highlight w:val="none"/>
        </w:rPr>
      </w:pPr>
      <w:r>
        <w:rPr>
          <w:rFonts w:hint="eastAsia" w:ascii="仿宋" w:hAnsi="仿宋" w:cs="仿宋"/>
          <w:color w:val="auto"/>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056784E2">
      <w:pPr>
        <w:spacing w:before="50" w:after="50" w:line="360" w:lineRule="auto"/>
        <w:ind w:firstLine="470" w:firstLineChars="196"/>
        <w:jc w:val="left"/>
        <w:rPr>
          <w:rFonts w:hint="eastAsia" w:ascii="仿宋" w:hAnsi="仿宋" w:cs="仿宋"/>
          <w:color w:val="auto"/>
          <w:highlight w:val="none"/>
        </w:rPr>
      </w:pPr>
    </w:p>
    <w:p w14:paraId="7788A287">
      <w:pPr>
        <w:spacing w:before="50" w:after="50" w:line="360" w:lineRule="auto"/>
        <w:ind w:firstLine="470" w:firstLineChars="196"/>
        <w:jc w:val="left"/>
        <w:rPr>
          <w:rFonts w:hint="eastAsia" w:ascii="仿宋" w:hAnsi="仿宋" w:cs="仿宋"/>
          <w:color w:val="auto"/>
          <w:highlight w:val="none"/>
        </w:rPr>
      </w:pPr>
      <w:r>
        <w:rPr>
          <w:rFonts w:hint="eastAsia" w:ascii="仿宋" w:hAnsi="仿宋" w:cs="仿宋"/>
          <w:color w:val="auto"/>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F0BC5B4">
      <w:pPr>
        <w:widowControl/>
        <w:spacing w:line="360" w:lineRule="auto"/>
        <w:ind w:firstLine="480"/>
        <w:jc w:val="left"/>
        <w:rPr>
          <w:rFonts w:hint="eastAsia" w:ascii="仿宋" w:hAnsi="仿宋" w:cs="仿宋"/>
          <w:color w:val="auto"/>
          <w:highlight w:val="none"/>
        </w:rPr>
      </w:pPr>
    </w:p>
    <w:p w14:paraId="352954FE">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6CE30B35">
      <w:pPr>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四、本项目的特定资格要求</w:t>
      </w:r>
    </w:p>
    <w:p w14:paraId="3B412D39">
      <w:pPr>
        <w:spacing w:line="360" w:lineRule="auto"/>
        <w:jc w:val="center"/>
        <w:rPr>
          <w:rFonts w:hint="eastAsia" w:ascii="仿宋" w:hAnsi="仿宋" w:cs="仿宋"/>
          <w:color w:val="auto"/>
          <w:highlight w:val="none"/>
        </w:rPr>
      </w:pPr>
      <w:r>
        <w:rPr>
          <w:rFonts w:hint="eastAsia" w:ascii="仿宋" w:hAnsi="仿宋" w:cs="仿宋"/>
          <w:color w:val="auto"/>
          <w:highlight w:val="none"/>
        </w:rPr>
        <w:t>（根据招标公告本项目的特定资格要求提供相应的材料；未要求的，无需提供）</w:t>
      </w:r>
    </w:p>
    <w:p w14:paraId="68F52658">
      <w:pPr>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br w:type="page"/>
      </w:r>
    </w:p>
    <w:p w14:paraId="0ABA4C8D">
      <w:pPr>
        <w:spacing w:line="360" w:lineRule="auto"/>
        <w:jc w:val="center"/>
        <w:outlineLvl w:val="1"/>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商务技术文件部分</w:t>
      </w:r>
    </w:p>
    <w:p w14:paraId="201FC674">
      <w:pPr>
        <w:rPr>
          <w:rFonts w:hint="eastAsia" w:ascii="仿宋" w:hAnsi="仿宋" w:cs="仿宋"/>
          <w:color w:val="auto"/>
          <w:highlight w:val="none"/>
        </w:rPr>
      </w:pPr>
    </w:p>
    <w:p w14:paraId="0AD4CD9F">
      <w:pPr>
        <w:spacing w:line="360" w:lineRule="auto"/>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目录</w:t>
      </w:r>
    </w:p>
    <w:p w14:paraId="4F7874FD">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投标函…………………………………………………………………………（页码）</w:t>
      </w:r>
    </w:p>
    <w:p w14:paraId="5AC4FDB0">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授权委托书或法定代表人（单位负责人、自然人本人）身份证明………（页码）</w:t>
      </w:r>
    </w:p>
    <w:p w14:paraId="06B6CE1A">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分包意向协议…………………………………………………………………（页码）</w:t>
      </w:r>
    </w:p>
    <w:p w14:paraId="60FA2FFF">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符合性审查资料………………………………………………………………（页码）</w:t>
      </w:r>
    </w:p>
    <w:p w14:paraId="3F703F47">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评标标准相应的商务技术资料………………………………………………（页码）</w:t>
      </w:r>
    </w:p>
    <w:p w14:paraId="5F0EF124">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rPr>
        <w:t>商务技术偏离表………………………………………………………………（页码）</w:t>
      </w:r>
    </w:p>
    <w:p w14:paraId="4C6628B1">
      <w:pPr>
        <w:numPr>
          <w:ilvl w:val="0"/>
          <w:numId w:val="14"/>
        </w:numPr>
        <w:spacing w:line="360" w:lineRule="auto"/>
        <w:ind w:left="0" w:hanging="5"/>
        <w:rPr>
          <w:rFonts w:hint="eastAsia" w:ascii="仿宋" w:hAnsi="仿宋" w:cs="仿宋"/>
          <w:color w:val="auto"/>
          <w:highlight w:val="none"/>
        </w:rPr>
      </w:pPr>
      <w:r>
        <w:rPr>
          <w:rFonts w:hint="eastAsia" w:ascii="仿宋" w:hAnsi="仿宋" w:cs="仿宋"/>
          <w:color w:val="auto"/>
          <w:highlight w:val="none"/>
          <w:lang w:val="zh-CN"/>
        </w:rPr>
        <w:t>政府采购供应商廉洁自律承诺书</w:t>
      </w:r>
      <w:r>
        <w:rPr>
          <w:rFonts w:hint="eastAsia" w:ascii="仿宋" w:hAnsi="仿宋" w:cs="仿宋"/>
          <w:color w:val="auto"/>
          <w:highlight w:val="none"/>
        </w:rPr>
        <w:t>……………………………………………（页码）</w:t>
      </w:r>
    </w:p>
    <w:p w14:paraId="7DB9E85A">
      <w:pPr>
        <w:rPr>
          <w:rFonts w:hint="eastAsia" w:ascii="仿宋" w:hAnsi="仿宋" w:cs="仿宋"/>
          <w:color w:val="auto"/>
          <w:highlight w:val="none"/>
          <w:lang w:val="zh-CN"/>
        </w:rPr>
      </w:pPr>
    </w:p>
    <w:p w14:paraId="721D0F0B">
      <w:pPr>
        <w:rPr>
          <w:rFonts w:hint="eastAsia" w:ascii="仿宋" w:hAnsi="仿宋" w:cs="仿宋"/>
          <w:color w:val="auto"/>
          <w:highlight w:val="none"/>
          <w:lang w:val="zh-CN"/>
        </w:rPr>
      </w:pPr>
    </w:p>
    <w:p w14:paraId="74BC0D83">
      <w:pPr>
        <w:rPr>
          <w:rFonts w:hint="eastAsia" w:ascii="仿宋" w:hAnsi="仿宋" w:cs="仿宋"/>
          <w:color w:val="auto"/>
          <w:highlight w:val="none"/>
          <w:lang w:val="zh-CN"/>
        </w:rPr>
      </w:pPr>
    </w:p>
    <w:p w14:paraId="0D3B6E54">
      <w:pPr>
        <w:rPr>
          <w:rFonts w:hint="eastAsia" w:ascii="仿宋" w:hAnsi="仿宋" w:cs="仿宋"/>
          <w:color w:val="auto"/>
          <w:highlight w:val="none"/>
          <w:lang w:val="zh-CN"/>
        </w:rPr>
      </w:pPr>
    </w:p>
    <w:p w14:paraId="25E12636">
      <w:pPr>
        <w:rPr>
          <w:rFonts w:hint="eastAsia" w:ascii="仿宋" w:hAnsi="仿宋" w:cs="仿宋"/>
          <w:color w:val="auto"/>
          <w:highlight w:val="none"/>
          <w:lang w:val="zh-CN"/>
        </w:rPr>
      </w:pPr>
    </w:p>
    <w:p w14:paraId="5BC06298">
      <w:pPr>
        <w:rPr>
          <w:rFonts w:hint="eastAsia" w:ascii="仿宋" w:hAnsi="仿宋" w:cs="仿宋"/>
          <w:color w:val="auto"/>
          <w:highlight w:val="none"/>
        </w:rPr>
      </w:pPr>
    </w:p>
    <w:p w14:paraId="1A42A1CD">
      <w:pPr>
        <w:rPr>
          <w:rFonts w:hint="eastAsia" w:ascii="仿宋" w:hAnsi="仿宋" w:cs="仿宋"/>
          <w:color w:val="auto"/>
          <w:highlight w:val="none"/>
        </w:rPr>
      </w:pPr>
    </w:p>
    <w:p w14:paraId="02C4D794">
      <w:pPr>
        <w:rPr>
          <w:rFonts w:hint="eastAsia" w:ascii="仿宋" w:hAnsi="仿宋" w:cs="仿宋"/>
          <w:color w:val="auto"/>
          <w:highlight w:val="none"/>
        </w:rPr>
      </w:pPr>
    </w:p>
    <w:p w14:paraId="04D542DB">
      <w:pPr>
        <w:rPr>
          <w:rFonts w:hint="eastAsia" w:ascii="仿宋" w:hAnsi="仿宋" w:cs="仿宋"/>
          <w:color w:val="auto"/>
          <w:highlight w:val="none"/>
        </w:rPr>
      </w:pPr>
    </w:p>
    <w:p w14:paraId="23365AC8">
      <w:pPr>
        <w:rPr>
          <w:rFonts w:hint="eastAsia" w:ascii="仿宋" w:hAnsi="仿宋" w:cs="仿宋"/>
          <w:color w:val="auto"/>
          <w:highlight w:val="none"/>
        </w:rPr>
      </w:pPr>
    </w:p>
    <w:p w14:paraId="7F051FA5">
      <w:pPr>
        <w:rPr>
          <w:rFonts w:hint="eastAsia" w:ascii="仿宋" w:hAnsi="仿宋" w:cs="仿宋"/>
          <w:color w:val="auto"/>
          <w:highlight w:val="none"/>
        </w:rPr>
      </w:pPr>
    </w:p>
    <w:p w14:paraId="40242217">
      <w:pPr>
        <w:rPr>
          <w:rFonts w:hint="eastAsia" w:ascii="仿宋" w:hAnsi="仿宋" w:cs="仿宋"/>
          <w:color w:val="auto"/>
          <w:highlight w:val="none"/>
        </w:rPr>
      </w:pPr>
    </w:p>
    <w:p w14:paraId="32DA6062">
      <w:pPr>
        <w:rPr>
          <w:rFonts w:hint="eastAsia" w:ascii="仿宋" w:hAnsi="仿宋" w:cs="仿宋"/>
          <w:color w:val="auto"/>
          <w:highlight w:val="none"/>
        </w:rPr>
      </w:pPr>
    </w:p>
    <w:p w14:paraId="4CF710EA">
      <w:pPr>
        <w:rPr>
          <w:rFonts w:hint="eastAsia" w:ascii="仿宋" w:hAnsi="仿宋" w:cs="仿宋"/>
          <w:color w:val="auto"/>
          <w:highlight w:val="none"/>
        </w:rPr>
      </w:pPr>
    </w:p>
    <w:p w14:paraId="03079B2B">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29CCF493">
      <w:pPr>
        <w:spacing w:line="360" w:lineRule="auto"/>
        <w:jc w:val="center"/>
        <w:outlineLvl w:val="1"/>
        <w:rPr>
          <w:rFonts w:hint="eastAsia" w:ascii="仿宋" w:hAnsi="仿宋" w:cs="仿宋"/>
          <w:b/>
          <w:color w:val="auto"/>
          <w:sz w:val="32"/>
          <w:szCs w:val="32"/>
          <w:highlight w:val="none"/>
        </w:rPr>
      </w:pPr>
      <w:r>
        <w:rPr>
          <w:rFonts w:hint="eastAsia" w:ascii="仿宋" w:hAnsi="仿宋" w:cs="仿宋"/>
          <w:b/>
          <w:color w:val="auto"/>
          <w:kern w:val="0"/>
          <w:sz w:val="32"/>
          <w:szCs w:val="32"/>
          <w:highlight w:val="none"/>
        </w:rPr>
        <w:t>一、投标</w:t>
      </w:r>
      <w:r>
        <w:rPr>
          <w:rFonts w:hint="eastAsia" w:ascii="仿宋" w:hAnsi="仿宋" w:cs="仿宋"/>
          <w:b/>
          <w:color w:val="auto"/>
          <w:sz w:val="32"/>
          <w:szCs w:val="32"/>
          <w:highlight w:val="none"/>
        </w:rPr>
        <w:t>函</w:t>
      </w:r>
    </w:p>
    <w:p w14:paraId="7C97A674">
      <w:pPr>
        <w:spacing w:line="360" w:lineRule="exact"/>
        <w:rPr>
          <w:rFonts w:hint="eastAsia" w:ascii="仿宋" w:hAnsi="仿宋" w:cs="仿宋"/>
          <w:color w:val="auto"/>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69854BF2">
      <w:pPr>
        <w:spacing w:line="360" w:lineRule="exact"/>
        <w:ind w:firstLine="480" w:firstLineChars="200"/>
        <w:rPr>
          <w:rFonts w:hint="eastAsia" w:ascii="仿宋" w:hAnsi="仿宋" w:cs="仿宋"/>
          <w:color w:val="auto"/>
          <w:highlight w:val="none"/>
        </w:rPr>
      </w:pPr>
      <w:r>
        <w:rPr>
          <w:rFonts w:hint="eastAsia" w:ascii="仿宋" w:hAnsi="仿宋" w:cs="仿宋"/>
          <w:color w:val="auto"/>
          <w:highlight w:val="none"/>
        </w:rPr>
        <w:t>我方参加你方组织的（项目名称）【招标编号：】招标的有关活动，并对此项目进行投标。为此：</w:t>
      </w:r>
    </w:p>
    <w:p w14:paraId="70550085">
      <w:pPr>
        <w:spacing w:line="360" w:lineRule="exact"/>
        <w:ind w:firstLine="420"/>
        <w:rPr>
          <w:rFonts w:hint="eastAsia" w:ascii="仿宋" w:hAnsi="仿宋" w:cs="仿宋"/>
          <w:color w:val="auto"/>
          <w:highlight w:val="none"/>
        </w:rPr>
      </w:pPr>
      <w:r>
        <w:rPr>
          <w:rFonts w:hint="eastAsia" w:ascii="仿宋" w:hAnsi="仿宋" w:cs="仿宋"/>
          <w:color w:val="auto"/>
          <w:highlight w:val="none"/>
        </w:rPr>
        <w:t>1、我方承诺投标有效期从提交投标文件的截止之日起天（不少于90天），本投标文件在投标有效期满之前均具有约束力。</w:t>
      </w:r>
    </w:p>
    <w:p w14:paraId="62D0DDC7">
      <w:pPr>
        <w:spacing w:line="360" w:lineRule="exact"/>
        <w:ind w:firstLine="480" w:firstLineChars="200"/>
        <w:rPr>
          <w:rFonts w:hint="eastAsia" w:ascii="仿宋" w:hAnsi="仿宋" w:cs="仿宋"/>
          <w:color w:val="auto"/>
          <w:highlight w:val="none"/>
        </w:rPr>
      </w:pPr>
      <w:r>
        <w:rPr>
          <w:rFonts w:hint="eastAsia" w:ascii="仿宋" w:hAnsi="仿宋" w:cs="仿宋"/>
          <w:color w:val="auto"/>
          <w:highlight w:val="none"/>
        </w:rPr>
        <w:t>2、我方的投标文件包括以下内容：</w:t>
      </w:r>
    </w:p>
    <w:p w14:paraId="5596D4F5">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2.1资格文件：</w:t>
      </w:r>
    </w:p>
    <w:p w14:paraId="763734AA">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2.1.1承诺函；</w:t>
      </w:r>
    </w:p>
    <w:p w14:paraId="1D9A2F56">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2.1.2联合协议（如果有)；</w:t>
      </w:r>
    </w:p>
    <w:p w14:paraId="06B13FEC">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2.1.3落实政府采购政策需满足的资格要求：无</w:t>
      </w:r>
      <w:r>
        <w:rPr>
          <w:rFonts w:hint="eastAsia" w:ascii="仿宋" w:hAnsi="仿宋" w:cs="仿宋"/>
          <w:bCs/>
          <w:color w:val="auto"/>
          <w:highlight w:val="none"/>
        </w:rPr>
        <w:t>；</w:t>
      </w:r>
    </w:p>
    <w:p w14:paraId="0C0440A2">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2.1.4本项目的特定资格要求：</w:t>
      </w:r>
      <w:r>
        <w:rPr>
          <w:rFonts w:hint="eastAsia" w:ascii="仿宋_GB2312" w:hAnsi="仿宋_GB2312" w:cs="ˎ̥"/>
          <w:color w:val="auto"/>
          <w:kern w:val="0"/>
          <w:highlight w:val="none"/>
        </w:rPr>
        <w:t>工程设计综合甲级资质或水利行业工程设计甲级资质或水利行业（河道整治）专业甲级</w:t>
      </w:r>
      <w:r>
        <w:rPr>
          <w:rFonts w:hint="eastAsia" w:ascii="仿宋" w:hAnsi="仿宋" w:cs="仿宋"/>
          <w:bCs/>
          <w:color w:val="auto"/>
          <w:highlight w:val="none"/>
        </w:rPr>
        <w:t>。</w:t>
      </w:r>
    </w:p>
    <w:p w14:paraId="3B045FC4">
      <w:pPr>
        <w:spacing w:line="360" w:lineRule="exact"/>
        <w:ind w:left="240" w:leftChars="100" w:firstLine="480" w:firstLineChars="200"/>
        <w:rPr>
          <w:rFonts w:hint="eastAsia" w:ascii="仿宋" w:hAnsi="仿宋" w:cs="仿宋"/>
          <w:color w:val="auto"/>
          <w:highlight w:val="none"/>
          <w:lang w:val="zh-CN"/>
        </w:rPr>
      </w:pP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2商务技术</w:t>
      </w:r>
      <w:r>
        <w:rPr>
          <w:rFonts w:hint="eastAsia" w:ascii="仿宋" w:hAnsi="仿宋" w:cs="仿宋"/>
          <w:color w:val="auto"/>
          <w:highlight w:val="none"/>
          <w:lang w:val="zh-CN"/>
        </w:rPr>
        <w:t>文件：</w:t>
      </w:r>
    </w:p>
    <w:p w14:paraId="3613BF38">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2.2.1投标函；</w:t>
      </w:r>
    </w:p>
    <w:p w14:paraId="375F6D06">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2.2.2授权委托书或法定代表人（单位负责人）身份证明；</w:t>
      </w:r>
    </w:p>
    <w:p w14:paraId="306AA1D5">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2.2.3分包意向协议（如果有）；</w:t>
      </w:r>
    </w:p>
    <w:p w14:paraId="6EA92D06">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2.2.4符合性审查资料；</w:t>
      </w:r>
    </w:p>
    <w:p w14:paraId="71D65AA3">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2.2.5评标标准相应的商务技术资料；</w:t>
      </w:r>
    </w:p>
    <w:p w14:paraId="05C7413F">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2.2.6商务技术偏离表；</w:t>
      </w:r>
    </w:p>
    <w:p w14:paraId="23D655C8">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2.2.7</w:t>
      </w:r>
      <w:r>
        <w:rPr>
          <w:rFonts w:hint="eastAsia" w:ascii="仿宋" w:hAnsi="仿宋" w:cs="仿宋"/>
          <w:color w:val="auto"/>
          <w:highlight w:val="none"/>
          <w:lang w:val="zh-CN"/>
        </w:rPr>
        <w:t>政府采购供应商廉洁自律承诺书；</w:t>
      </w:r>
    </w:p>
    <w:p w14:paraId="5D77F035">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2</w:t>
      </w:r>
      <w:r>
        <w:rPr>
          <w:rFonts w:hint="eastAsia" w:ascii="仿宋" w:hAnsi="仿宋" w:cs="仿宋"/>
          <w:color w:val="auto"/>
          <w:highlight w:val="none"/>
          <w:lang w:val="zh-CN"/>
        </w:rPr>
        <w:t>.</w:t>
      </w:r>
      <w:r>
        <w:rPr>
          <w:rFonts w:hint="eastAsia" w:ascii="仿宋" w:hAnsi="仿宋" w:cs="仿宋"/>
          <w:color w:val="auto"/>
          <w:highlight w:val="none"/>
        </w:rPr>
        <w:t>3报价文件</w:t>
      </w:r>
    </w:p>
    <w:p w14:paraId="0491CF10">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2.3.1开标一览表（报价表）；</w:t>
      </w:r>
    </w:p>
    <w:p w14:paraId="798E906C">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2.3.2中小企业声明函（如果有）；</w:t>
      </w:r>
    </w:p>
    <w:p w14:paraId="1B98001C">
      <w:pPr>
        <w:spacing w:line="360" w:lineRule="exact"/>
        <w:ind w:left="480" w:leftChars="200" w:firstLine="480" w:firstLineChars="200"/>
        <w:rPr>
          <w:rFonts w:hint="eastAsia" w:ascii="仿宋" w:hAnsi="仿宋" w:cs="仿宋"/>
          <w:color w:val="auto"/>
          <w:highlight w:val="none"/>
        </w:rPr>
      </w:pPr>
      <w:r>
        <w:rPr>
          <w:rFonts w:hint="eastAsia" w:ascii="仿宋" w:hAnsi="仿宋" w:cs="仿宋"/>
          <w:color w:val="auto"/>
          <w:highlight w:val="none"/>
        </w:rPr>
        <w:t>2.3.3中标服务费支付承诺书。</w:t>
      </w:r>
    </w:p>
    <w:p w14:paraId="4ADD17CC">
      <w:pPr>
        <w:spacing w:line="360" w:lineRule="exact"/>
        <w:ind w:firstLine="420"/>
        <w:rPr>
          <w:rFonts w:hint="eastAsia" w:ascii="仿宋" w:hAnsi="仿宋" w:cs="仿宋"/>
          <w:color w:val="auto"/>
          <w:highlight w:val="none"/>
        </w:rPr>
      </w:pPr>
      <w:r>
        <w:rPr>
          <w:rFonts w:hint="eastAsia" w:ascii="仿宋" w:hAnsi="仿宋" w:cs="仿宋"/>
          <w:color w:val="auto"/>
          <w:highlight w:val="none"/>
        </w:rPr>
        <w:t>3、我方承诺除商务技术偏离表列出的偏离外，我方响应招标文件的全部要求。</w:t>
      </w:r>
    </w:p>
    <w:p w14:paraId="2AE10D2D">
      <w:pPr>
        <w:spacing w:line="360" w:lineRule="exact"/>
        <w:ind w:firstLine="420"/>
        <w:rPr>
          <w:rFonts w:hint="eastAsia" w:ascii="仿宋" w:hAnsi="仿宋" w:cs="仿宋"/>
          <w:color w:val="auto"/>
          <w:highlight w:val="none"/>
        </w:rPr>
      </w:pPr>
      <w:r>
        <w:rPr>
          <w:rFonts w:hint="eastAsia" w:ascii="仿宋" w:hAnsi="仿宋" w:cs="仿宋"/>
          <w:color w:val="auto"/>
          <w:highlight w:val="none"/>
        </w:rPr>
        <w:t>4、如我方中标，我方承诺：</w:t>
      </w:r>
    </w:p>
    <w:p w14:paraId="6705BA0A">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 xml:space="preserve">4.1在收到中标通知书后，在中标通知书规定的期限内与你方签订合同； </w:t>
      </w:r>
    </w:p>
    <w:p w14:paraId="1EEF2B2B">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 xml:space="preserve">4.2在签订合同时不向你方提出附加条件； </w:t>
      </w:r>
    </w:p>
    <w:p w14:paraId="4F693736">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 xml:space="preserve">4.3按照招标文件要求提交履约保证金； </w:t>
      </w:r>
    </w:p>
    <w:p w14:paraId="726AA670">
      <w:pPr>
        <w:spacing w:line="360" w:lineRule="exact"/>
        <w:ind w:left="240" w:leftChars="100" w:firstLine="480" w:firstLineChars="200"/>
        <w:rPr>
          <w:rFonts w:hint="eastAsia" w:ascii="仿宋" w:hAnsi="仿宋" w:cs="仿宋"/>
          <w:color w:val="auto"/>
          <w:highlight w:val="none"/>
        </w:rPr>
      </w:pPr>
      <w:r>
        <w:rPr>
          <w:rFonts w:hint="eastAsia" w:ascii="仿宋" w:hAnsi="仿宋" w:cs="仿宋"/>
          <w:color w:val="auto"/>
          <w:highlight w:val="none"/>
        </w:rPr>
        <w:t xml:space="preserve">4.4在合同约定的期限内完成合同规定的全部义务。 </w:t>
      </w:r>
    </w:p>
    <w:p w14:paraId="171D6989">
      <w:pPr>
        <w:numPr>
          <w:ilvl w:val="0"/>
          <w:numId w:val="15"/>
        </w:numPr>
        <w:spacing w:line="360" w:lineRule="exact"/>
        <w:ind w:firstLine="420"/>
        <w:rPr>
          <w:rFonts w:hint="eastAsia" w:ascii="仿宋" w:hAnsi="仿宋" w:cs="仿宋"/>
          <w:color w:val="auto"/>
          <w:highlight w:val="none"/>
        </w:rPr>
      </w:pPr>
      <w:r>
        <w:rPr>
          <w:rFonts w:hint="eastAsia" w:ascii="仿宋" w:hAnsi="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r>
        <w:rPr>
          <w:rFonts w:hint="eastAsia" w:ascii="仿宋" w:hAnsi="仿宋" w:cs="仿宋"/>
          <w:i w:val="0"/>
          <w:caps w:val="0"/>
          <w:color w:val="auto"/>
          <w:spacing w:val="0"/>
          <w:sz w:val="24"/>
          <w:szCs w:val="24"/>
          <w:highlight w:val="none"/>
          <w:shd w:val="clear"/>
          <w:lang w:val="en-US" w:eastAsia="zh-CN"/>
        </w:rPr>
        <w:t>。</w:t>
      </w:r>
    </w:p>
    <w:p w14:paraId="4A95498E">
      <w:pPr>
        <w:numPr>
          <w:ilvl w:val="0"/>
          <w:numId w:val="15"/>
        </w:numPr>
        <w:spacing w:line="360" w:lineRule="exact"/>
        <w:ind w:firstLine="420" w:firstLineChars="0"/>
        <w:rPr>
          <w:rFonts w:hint="eastAsia" w:ascii="仿宋" w:hAnsi="仿宋" w:cs="仿宋"/>
          <w:color w:val="auto"/>
          <w:highlight w:val="none"/>
        </w:rPr>
      </w:pPr>
      <w:r>
        <w:rPr>
          <w:rFonts w:hint="eastAsia" w:ascii="仿宋" w:hAnsi="仿宋" w:cs="仿宋"/>
          <w:color w:val="auto"/>
          <w:highlight w:val="none"/>
        </w:rPr>
        <w:t>其他补充说明:。</w:t>
      </w:r>
    </w:p>
    <w:p w14:paraId="1EF947D8">
      <w:pPr>
        <w:spacing w:line="360" w:lineRule="exact"/>
        <w:ind w:firstLine="3600" w:firstLineChars="1500"/>
        <w:jc w:val="right"/>
        <w:rPr>
          <w:rFonts w:hint="eastAsia" w:ascii="仿宋" w:hAnsi="仿宋" w:cs="仿宋"/>
          <w:color w:val="auto"/>
          <w:highlight w:val="none"/>
        </w:rPr>
      </w:pPr>
      <w:r>
        <w:rPr>
          <w:rFonts w:hint="eastAsia" w:ascii="仿宋" w:hAnsi="仿宋" w:cs="仿宋"/>
          <w:color w:val="auto"/>
          <w:highlight w:val="none"/>
        </w:rPr>
        <w:t>投标人名称（电子签名）：</w:t>
      </w:r>
    </w:p>
    <w:p w14:paraId="4E2D7AB8">
      <w:pPr>
        <w:spacing w:line="360" w:lineRule="exact"/>
        <w:ind w:right="0"/>
        <w:jc w:val="right"/>
        <w:rPr>
          <w:rFonts w:hint="eastAsia" w:ascii="仿宋" w:hAnsi="仿宋" w:cs="仿宋"/>
          <w:color w:val="auto"/>
          <w:highlight w:val="none"/>
        </w:rPr>
      </w:pPr>
      <w:r>
        <w:rPr>
          <w:rFonts w:hint="eastAsia" w:ascii="仿宋" w:hAnsi="仿宋" w:cs="仿宋"/>
          <w:color w:val="auto"/>
          <w:highlight w:val="none"/>
        </w:rPr>
        <w:t xml:space="preserve">     日期：</w:t>
      </w:r>
      <w:r>
        <w:rPr>
          <w:rFonts w:hint="eastAsia" w:ascii="仿宋" w:hAnsi="仿宋" w:cs="仿宋"/>
          <w:color w:val="auto"/>
          <w:kern w:val="0"/>
          <w:highlight w:val="none"/>
          <w:lang w:val="zh-CN"/>
        </w:rPr>
        <w:t>年月日</w:t>
      </w:r>
    </w:p>
    <w:p w14:paraId="311FE200">
      <w:pPr>
        <w:spacing w:line="360" w:lineRule="auto"/>
        <w:ind w:right="420"/>
        <w:rPr>
          <w:rFonts w:hint="eastAsia" w:ascii="仿宋" w:hAnsi="仿宋" w:cs="仿宋"/>
          <w:color w:val="auto"/>
          <w:highlight w:val="none"/>
        </w:rPr>
      </w:pPr>
      <w:r>
        <w:rPr>
          <w:rFonts w:hint="eastAsia" w:ascii="仿宋" w:hAnsi="仿宋" w:cs="仿宋"/>
          <w:color w:val="auto"/>
          <w:highlight w:val="none"/>
        </w:rPr>
        <w:t>注：按本格式和要求提供。</w:t>
      </w:r>
    </w:p>
    <w:p w14:paraId="1A90F034">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70697D61">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二、授权委托书或法定代表人（单位负责人、自然人本人）身份证明</w:t>
      </w:r>
    </w:p>
    <w:p w14:paraId="1B57C4BC">
      <w:pPr>
        <w:spacing w:line="360" w:lineRule="auto"/>
        <w:rPr>
          <w:rFonts w:hint="eastAsia" w:ascii="仿宋" w:hAnsi="仿宋" w:cs="仿宋"/>
          <w:color w:val="auto"/>
          <w:highlight w:val="none"/>
        </w:rPr>
      </w:pPr>
    </w:p>
    <w:p w14:paraId="32F3D34B">
      <w:pPr>
        <w:spacing w:line="360" w:lineRule="auto"/>
        <w:jc w:val="center"/>
        <w:rPr>
          <w:rFonts w:hint="eastAsia" w:ascii="仿宋" w:hAnsi="仿宋" w:cs="仿宋"/>
          <w:color w:val="auto"/>
          <w:highlight w:val="none"/>
        </w:rPr>
      </w:pPr>
      <w:r>
        <w:rPr>
          <w:rFonts w:hint="eastAsia" w:ascii="仿宋" w:hAnsi="仿宋" w:cs="仿宋"/>
          <w:b/>
          <w:color w:val="auto"/>
          <w:kern w:val="0"/>
          <w:sz w:val="32"/>
          <w:szCs w:val="32"/>
          <w:highlight w:val="none"/>
          <w:lang w:val="zh-CN"/>
        </w:rPr>
        <w:t>授权委托书（适用于非联合体投标）</w:t>
      </w:r>
    </w:p>
    <w:p w14:paraId="3DCB6203">
      <w:pPr>
        <w:spacing w:line="360" w:lineRule="auto"/>
        <w:rPr>
          <w:rFonts w:hint="eastAsia" w:ascii="仿宋" w:hAnsi="仿宋" w:cs="仿宋"/>
          <w:color w:val="auto"/>
          <w:kern w:val="0"/>
          <w:highlight w:val="none"/>
          <w:u w:val="single"/>
        </w:rPr>
      </w:pPr>
      <w:r>
        <w:rPr>
          <w:rFonts w:hint="eastAsia" w:ascii="仿宋" w:hAnsi="仿宋" w:cs="仿宋"/>
          <w:color w:val="auto"/>
          <w:kern w:val="0"/>
          <w:highlight w:val="none"/>
          <w:u w:val="single"/>
        </w:rPr>
        <w:t>浙江省钱塘江流域中心、浙江中际工程项目管理有限公司：</w:t>
      </w:r>
    </w:p>
    <w:p w14:paraId="5E34F62F">
      <w:pPr>
        <w:spacing w:line="360" w:lineRule="auto"/>
        <w:ind w:firstLine="576"/>
        <w:rPr>
          <w:rFonts w:hint="eastAsia" w:ascii="仿宋" w:hAnsi="仿宋" w:cs="仿宋"/>
          <w:color w:val="auto"/>
          <w:kern w:val="0"/>
          <w:highlight w:val="none"/>
        </w:rPr>
      </w:pPr>
      <w:r>
        <w:rPr>
          <w:rFonts w:hint="eastAsia" w:ascii="仿宋" w:hAnsi="仿宋" w:cs="仿宋"/>
          <w:color w:val="auto"/>
          <w:kern w:val="0"/>
          <w:highlight w:val="none"/>
        </w:rPr>
        <w:t>现</w:t>
      </w:r>
      <w:r>
        <w:rPr>
          <w:rFonts w:hint="eastAsia" w:ascii="仿宋" w:hAnsi="仿宋" w:cs="仿宋"/>
          <w:color w:val="auto"/>
          <w:kern w:val="0"/>
          <w:highlight w:val="none"/>
          <w:lang w:val="zh-CN"/>
        </w:rPr>
        <w:t>委托（姓名）为我方代理人（身份证号码：，手机：），以我方名义处理</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政府采购投标的一切事项，其法律后果由我方承担。</w:t>
      </w:r>
    </w:p>
    <w:p w14:paraId="0531F67A">
      <w:pPr>
        <w:spacing w:line="360" w:lineRule="auto"/>
        <w:rPr>
          <w:rFonts w:hint="eastAsia" w:ascii="仿宋" w:hAnsi="仿宋" w:cs="仿宋"/>
          <w:color w:val="auto"/>
          <w:kern w:val="0"/>
          <w:highlight w:val="none"/>
        </w:rPr>
      </w:pPr>
      <w:r>
        <w:rPr>
          <w:rFonts w:hint="eastAsia" w:ascii="仿宋" w:hAnsi="仿宋" w:cs="仿宋"/>
          <w:color w:val="auto"/>
          <w:kern w:val="0"/>
          <w:highlight w:val="none"/>
          <w:lang w:val="zh-CN"/>
        </w:rPr>
        <w:t>委托期限</w:t>
      </w:r>
      <w:r>
        <w:rPr>
          <w:rFonts w:hint="eastAsia" w:ascii="仿宋" w:hAnsi="仿宋" w:cs="仿宋"/>
          <w:color w:val="auto"/>
          <w:kern w:val="0"/>
          <w:highlight w:val="none"/>
        </w:rPr>
        <w:t>：</w:t>
      </w:r>
      <w:r>
        <w:rPr>
          <w:rFonts w:hint="eastAsia" w:ascii="仿宋" w:hAnsi="仿宋" w:cs="仿宋"/>
          <w:color w:val="auto"/>
          <w:kern w:val="0"/>
          <w:highlight w:val="none"/>
          <w:lang w:val="zh-CN"/>
        </w:rPr>
        <w:t>自</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日起至</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日止。</w:t>
      </w:r>
    </w:p>
    <w:p w14:paraId="1531334F">
      <w:pPr>
        <w:spacing w:line="360" w:lineRule="auto"/>
        <w:rPr>
          <w:rFonts w:hint="eastAsia" w:ascii="仿宋" w:hAnsi="仿宋" w:cs="仿宋"/>
          <w:color w:val="auto"/>
          <w:kern w:val="0"/>
          <w:highlight w:val="none"/>
        </w:rPr>
      </w:pPr>
      <w:r>
        <w:rPr>
          <w:rFonts w:hint="eastAsia" w:ascii="仿宋" w:hAnsi="仿宋" w:cs="仿宋"/>
          <w:color w:val="auto"/>
          <w:kern w:val="0"/>
          <w:highlight w:val="none"/>
          <w:lang w:val="zh-CN"/>
        </w:rPr>
        <w:t>特此告知。</w:t>
      </w:r>
    </w:p>
    <w:p w14:paraId="6456ADB0">
      <w:pPr>
        <w:spacing w:line="360" w:lineRule="auto"/>
        <w:rPr>
          <w:rFonts w:hint="eastAsia" w:ascii="仿宋" w:hAnsi="仿宋" w:cs="仿宋"/>
          <w:color w:val="auto"/>
          <w:kern w:val="0"/>
          <w:highlight w:val="none"/>
        </w:rPr>
      </w:pPr>
      <w:r>
        <w:rPr>
          <w:rFonts w:hint="eastAsia" w:ascii="仿宋" w:hAnsi="仿宋" w:cs="仿宋"/>
          <w:color w:val="auto"/>
          <w:kern w:val="0"/>
          <w:highlight w:val="none"/>
          <w:lang w:val="zh-CN"/>
        </w:rPr>
        <w:t xml:space="preserve">                                                 投标人名称(电子签名)：</w:t>
      </w:r>
    </w:p>
    <w:p w14:paraId="551B8855">
      <w:pPr>
        <w:spacing w:line="360" w:lineRule="auto"/>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签发日期：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2AD71471">
      <w:pPr>
        <w:spacing w:line="360" w:lineRule="auto"/>
        <w:rPr>
          <w:rFonts w:hint="eastAsia" w:ascii="仿宋" w:hAnsi="仿宋" w:cs="仿宋"/>
          <w:color w:val="auto"/>
          <w:highlight w:val="none"/>
        </w:rPr>
      </w:pPr>
    </w:p>
    <w:p w14:paraId="766C1851">
      <w:pPr>
        <w:spacing w:line="360" w:lineRule="auto"/>
        <w:rPr>
          <w:rFonts w:hint="eastAsia" w:ascii="仿宋" w:hAnsi="仿宋" w:cs="仿宋"/>
          <w:color w:val="auto"/>
          <w:highlight w:val="none"/>
        </w:rPr>
      </w:pPr>
    </w:p>
    <w:p w14:paraId="2E34C31F">
      <w:pPr>
        <w:spacing w:line="360" w:lineRule="auto"/>
        <w:rPr>
          <w:rFonts w:hint="eastAsia" w:ascii="仿宋" w:hAnsi="仿宋" w:cs="仿宋"/>
          <w:color w:val="auto"/>
          <w:highlight w:val="none"/>
        </w:rPr>
      </w:pPr>
    </w:p>
    <w:p w14:paraId="7D407700">
      <w:pPr>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lang w:val="zh-CN"/>
        </w:rPr>
        <w:t>授权委托书（适用于联合体投标）</w:t>
      </w:r>
    </w:p>
    <w:p w14:paraId="67686387">
      <w:pPr>
        <w:spacing w:line="360" w:lineRule="auto"/>
        <w:rPr>
          <w:rFonts w:hint="eastAsia" w:ascii="仿宋" w:hAnsi="仿宋" w:cs="仿宋"/>
          <w:color w:val="auto"/>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3F0E2935">
      <w:pPr>
        <w:spacing w:line="360" w:lineRule="auto"/>
        <w:ind w:firstLine="576"/>
        <w:rPr>
          <w:rFonts w:hint="eastAsia" w:ascii="仿宋" w:hAnsi="仿宋" w:cs="仿宋"/>
          <w:color w:val="auto"/>
          <w:kern w:val="0"/>
          <w:highlight w:val="none"/>
        </w:rPr>
      </w:pPr>
      <w:r>
        <w:rPr>
          <w:rFonts w:hint="eastAsia" w:ascii="仿宋" w:hAnsi="仿宋" w:cs="仿宋"/>
          <w:color w:val="auto"/>
          <w:kern w:val="0"/>
          <w:highlight w:val="none"/>
        </w:rPr>
        <w:t>现</w:t>
      </w:r>
      <w:r>
        <w:rPr>
          <w:rFonts w:hint="eastAsia" w:ascii="仿宋" w:hAnsi="仿宋" w:cs="仿宋"/>
          <w:color w:val="auto"/>
          <w:kern w:val="0"/>
          <w:highlight w:val="none"/>
          <w:lang w:val="zh-CN"/>
        </w:rPr>
        <w:t>委托（姓名）为我方代理人（身份证号码：，手机：），以我方名义处理</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政府采购投标的一切事项，其法律后果由我方承担。</w:t>
      </w:r>
    </w:p>
    <w:p w14:paraId="7DA997F8">
      <w:pPr>
        <w:spacing w:line="360" w:lineRule="auto"/>
        <w:rPr>
          <w:rFonts w:hint="eastAsia" w:ascii="仿宋" w:hAnsi="仿宋" w:cs="仿宋"/>
          <w:color w:val="auto"/>
          <w:kern w:val="0"/>
          <w:highlight w:val="none"/>
        </w:rPr>
      </w:pPr>
      <w:r>
        <w:rPr>
          <w:rFonts w:hint="eastAsia" w:ascii="仿宋" w:hAnsi="仿宋" w:cs="仿宋"/>
          <w:color w:val="auto"/>
          <w:kern w:val="0"/>
          <w:highlight w:val="none"/>
        </w:rPr>
        <w:t>委托期限：</w:t>
      </w:r>
      <w:r>
        <w:rPr>
          <w:rFonts w:hint="eastAsia" w:ascii="仿宋" w:hAnsi="仿宋" w:cs="仿宋"/>
          <w:color w:val="auto"/>
          <w:kern w:val="0"/>
          <w:highlight w:val="none"/>
          <w:lang w:val="zh-CN"/>
        </w:rPr>
        <w:t>自</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日起至</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日止。</w:t>
      </w:r>
    </w:p>
    <w:p w14:paraId="077121AF">
      <w:pPr>
        <w:spacing w:line="360" w:lineRule="auto"/>
        <w:rPr>
          <w:rFonts w:hint="eastAsia" w:ascii="仿宋" w:hAnsi="仿宋" w:cs="仿宋"/>
          <w:color w:val="auto"/>
          <w:kern w:val="0"/>
          <w:highlight w:val="none"/>
        </w:rPr>
      </w:pPr>
      <w:r>
        <w:rPr>
          <w:rFonts w:hint="eastAsia" w:ascii="仿宋" w:hAnsi="仿宋" w:cs="仿宋"/>
          <w:color w:val="auto"/>
          <w:kern w:val="0"/>
          <w:highlight w:val="none"/>
          <w:lang w:val="zh-CN"/>
        </w:rPr>
        <w:t>特此告知。</w:t>
      </w:r>
    </w:p>
    <w:p w14:paraId="664822FB">
      <w:pPr>
        <w:rPr>
          <w:rFonts w:hint="eastAsia" w:ascii="仿宋" w:hAnsi="仿宋" w:cs="仿宋"/>
          <w:color w:val="auto"/>
          <w:highlight w:val="none"/>
        </w:rPr>
      </w:pPr>
    </w:p>
    <w:p w14:paraId="244AEE40">
      <w:pPr>
        <w:spacing w:line="360" w:lineRule="auto"/>
        <w:ind w:firstLine="5040" w:firstLineChars="2100"/>
        <w:rPr>
          <w:rFonts w:hint="eastAsia"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14A7CE2D">
      <w:pPr>
        <w:spacing w:line="360" w:lineRule="auto"/>
        <w:ind w:firstLine="5040" w:firstLineChars="2100"/>
        <w:rPr>
          <w:rFonts w:hint="eastAsia"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277F66EB">
      <w:pPr>
        <w:spacing w:line="360" w:lineRule="auto"/>
        <w:ind w:firstLine="5760" w:firstLineChars="2400"/>
        <w:rPr>
          <w:rFonts w:hint="eastAsia" w:ascii="仿宋" w:hAnsi="仿宋" w:cs="仿宋"/>
          <w:color w:val="auto"/>
          <w:highlight w:val="none"/>
        </w:rPr>
      </w:pPr>
      <w:r>
        <w:rPr>
          <w:rFonts w:hint="eastAsia" w:ascii="仿宋" w:hAnsi="仿宋" w:cs="仿宋"/>
          <w:color w:val="auto"/>
          <w:kern w:val="0"/>
          <w:highlight w:val="none"/>
          <w:lang w:val="zh-CN"/>
        </w:rPr>
        <w:t>……</w:t>
      </w:r>
    </w:p>
    <w:p w14:paraId="7F5D0C67">
      <w:pPr>
        <w:spacing w:line="360" w:lineRule="auto"/>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1D14B696">
      <w:pPr>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12093961">
      <w:pPr>
        <w:jc w:val="center"/>
        <w:rPr>
          <w:rFonts w:hint="eastAsia" w:ascii="仿宋" w:hAnsi="仿宋" w:cs="仿宋"/>
          <w:b/>
          <w:color w:val="auto"/>
          <w:kern w:val="0"/>
          <w:sz w:val="32"/>
          <w:szCs w:val="32"/>
          <w:highlight w:val="none"/>
        </w:rPr>
      </w:pPr>
    </w:p>
    <w:p w14:paraId="058F63F2">
      <w:pPr>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授权代表近一个月内在投标单位缴纳社保的参保证明（适用于法定代表人授权代表参加投标活动）</w:t>
      </w:r>
    </w:p>
    <w:p w14:paraId="30A98022">
      <w:pPr>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24F2D436">
      <w:pPr>
        <w:autoSpaceDE w:val="0"/>
        <w:autoSpaceDN w:val="0"/>
        <w:spacing w:line="360" w:lineRule="auto"/>
        <w:rPr>
          <w:rFonts w:hint="eastAsia" w:ascii="仿宋" w:hAnsi="仿宋" w:cs="仿宋"/>
          <w:b/>
          <w:color w:val="auto"/>
          <w:highlight w:val="none"/>
        </w:rPr>
      </w:pPr>
      <w:r>
        <w:rPr>
          <w:rFonts w:hint="eastAsia" w:ascii="仿宋" w:hAnsi="仿宋" w:cs="仿宋"/>
          <w:b/>
          <w:color w:val="auto"/>
          <w:kern w:val="0"/>
          <w:sz w:val="32"/>
          <w:szCs w:val="32"/>
          <w:highlight w:val="none"/>
          <w:lang w:val="zh-CN"/>
        </w:rPr>
        <w:t>法定代表人、单位负责人或自然人本人</w:t>
      </w:r>
      <w:r>
        <w:rPr>
          <w:rFonts w:hint="eastAsia" w:ascii="仿宋" w:hAnsi="仿宋" w:cs="仿宋"/>
          <w:b/>
          <w:color w:val="auto"/>
          <w:sz w:val="30"/>
          <w:szCs w:val="30"/>
          <w:highlight w:val="none"/>
        </w:rPr>
        <w:t>的身份证明（适用于法定代表人、单位负责人或者自然人本人代表投标人参加投标）</w:t>
      </w:r>
    </w:p>
    <w:p w14:paraId="1F7CB83D">
      <w:pPr>
        <w:pStyle w:val="15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7A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09FBE5">
            <w:pPr>
              <w:pStyle w:val="15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w:t>
            </w:r>
          </w:p>
          <w:p w14:paraId="50A57C9A">
            <w:pPr>
              <w:pStyle w:val="158"/>
              <w:adjustRightInd w:val="0"/>
              <w:spacing w:line="360" w:lineRule="auto"/>
              <w:rPr>
                <w:rFonts w:hint="eastAsia" w:ascii="仿宋" w:hAnsi="仿宋" w:eastAsia="仿宋" w:cs="仿宋"/>
                <w:bCs/>
                <w:color w:val="auto"/>
                <w:sz w:val="24"/>
                <w:highlight w:val="none"/>
              </w:rPr>
            </w:pPr>
          </w:p>
          <w:p w14:paraId="2F8EEF8E">
            <w:pPr>
              <w:pStyle w:val="158"/>
              <w:adjustRightInd w:val="0"/>
              <w:spacing w:line="360" w:lineRule="auto"/>
              <w:rPr>
                <w:rFonts w:hint="eastAsia" w:ascii="仿宋" w:hAnsi="仿宋" w:eastAsia="仿宋" w:cs="仿宋"/>
                <w:bCs/>
                <w:color w:val="auto"/>
                <w:sz w:val="24"/>
                <w:highlight w:val="none"/>
              </w:rPr>
            </w:pPr>
          </w:p>
          <w:p w14:paraId="68003340">
            <w:pPr>
              <w:pStyle w:val="158"/>
              <w:adjustRightInd w:val="0"/>
              <w:spacing w:line="360" w:lineRule="auto"/>
              <w:rPr>
                <w:rFonts w:hint="eastAsia" w:ascii="仿宋" w:hAnsi="仿宋" w:eastAsia="仿宋" w:cs="仿宋"/>
                <w:bCs/>
                <w:color w:val="auto"/>
                <w:sz w:val="24"/>
                <w:highlight w:val="none"/>
              </w:rPr>
            </w:pPr>
          </w:p>
          <w:p w14:paraId="1CE855B6">
            <w:pPr>
              <w:pStyle w:val="158"/>
              <w:adjustRightInd w:val="0"/>
              <w:spacing w:line="360" w:lineRule="auto"/>
              <w:rPr>
                <w:rFonts w:hint="eastAsia" w:ascii="仿宋" w:hAnsi="仿宋" w:eastAsia="仿宋" w:cs="仿宋"/>
                <w:bCs/>
                <w:color w:val="auto"/>
                <w:sz w:val="24"/>
                <w:highlight w:val="none"/>
              </w:rPr>
            </w:pPr>
          </w:p>
          <w:p w14:paraId="07A439A4">
            <w:pPr>
              <w:pStyle w:val="15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反面：</w:t>
            </w:r>
          </w:p>
          <w:p w14:paraId="399E71BD">
            <w:pPr>
              <w:pStyle w:val="158"/>
              <w:adjustRightInd w:val="0"/>
              <w:spacing w:line="360" w:lineRule="auto"/>
              <w:rPr>
                <w:rFonts w:hint="eastAsia" w:ascii="仿宋" w:hAnsi="仿宋" w:eastAsia="仿宋" w:cs="仿宋"/>
                <w:bCs/>
                <w:color w:val="auto"/>
                <w:sz w:val="24"/>
                <w:highlight w:val="none"/>
              </w:rPr>
            </w:pPr>
          </w:p>
        </w:tc>
      </w:tr>
    </w:tbl>
    <w:p w14:paraId="4EAFF745">
      <w:pPr>
        <w:spacing w:line="360" w:lineRule="auto"/>
        <w:ind w:firstLine="576"/>
        <w:jc w:val="center"/>
        <w:rPr>
          <w:rFonts w:hint="eastAsia" w:ascii="仿宋" w:hAnsi="仿宋" w:cs="仿宋"/>
          <w:color w:val="auto"/>
          <w:kern w:val="0"/>
          <w:highlight w:val="none"/>
          <w:lang w:val="zh-CN"/>
        </w:rPr>
      </w:pPr>
    </w:p>
    <w:p w14:paraId="753D2201">
      <w:pPr>
        <w:spacing w:line="360" w:lineRule="auto"/>
        <w:ind w:firstLine="576"/>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投标人名称(电子签名)：                              </w:t>
      </w:r>
    </w:p>
    <w:p w14:paraId="56FD4C12">
      <w:pPr>
        <w:spacing w:line="360" w:lineRule="auto"/>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日期：年月日</w:t>
      </w:r>
    </w:p>
    <w:p w14:paraId="73CA3487">
      <w:pPr>
        <w:jc w:val="center"/>
        <w:rPr>
          <w:rFonts w:hint="eastAsia" w:ascii="仿宋" w:hAnsi="仿宋" w:cs="仿宋"/>
          <w:b/>
          <w:color w:val="auto"/>
          <w:kern w:val="0"/>
          <w:sz w:val="32"/>
          <w:szCs w:val="32"/>
          <w:highlight w:val="none"/>
        </w:rPr>
      </w:pPr>
    </w:p>
    <w:p w14:paraId="72365C6F">
      <w:pPr>
        <w:jc w:val="center"/>
        <w:rPr>
          <w:rFonts w:hint="eastAsia" w:ascii="仿宋" w:hAnsi="仿宋" w:cs="仿宋"/>
          <w:b/>
          <w:color w:val="auto"/>
          <w:kern w:val="0"/>
          <w:sz w:val="32"/>
          <w:szCs w:val="32"/>
          <w:highlight w:val="none"/>
        </w:rPr>
      </w:pPr>
    </w:p>
    <w:p w14:paraId="106ECD5B">
      <w:pPr>
        <w:jc w:val="center"/>
        <w:rPr>
          <w:rFonts w:hint="eastAsia" w:ascii="仿宋" w:hAnsi="仿宋" w:cs="仿宋"/>
          <w:b/>
          <w:color w:val="auto"/>
          <w:kern w:val="0"/>
          <w:sz w:val="32"/>
          <w:szCs w:val="32"/>
          <w:highlight w:val="none"/>
        </w:rPr>
      </w:pPr>
    </w:p>
    <w:p w14:paraId="0CE77E8F">
      <w:pPr>
        <w:jc w:val="center"/>
        <w:rPr>
          <w:rFonts w:hint="eastAsia" w:ascii="仿宋" w:hAnsi="仿宋" w:cs="仿宋"/>
          <w:b/>
          <w:color w:val="auto"/>
          <w:kern w:val="0"/>
          <w:sz w:val="32"/>
          <w:szCs w:val="32"/>
          <w:highlight w:val="none"/>
        </w:rPr>
      </w:pPr>
    </w:p>
    <w:p w14:paraId="09A36F2E">
      <w:pPr>
        <w:jc w:val="center"/>
        <w:rPr>
          <w:rFonts w:hint="eastAsia" w:ascii="仿宋" w:hAnsi="仿宋" w:cs="仿宋"/>
          <w:b/>
          <w:color w:val="auto"/>
          <w:kern w:val="0"/>
          <w:sz w:val="32"/>
          <w:szCs w:val="32"/>
          <w:highlight w:val="none"/>
        </w:rPr>
      </w:pPr>
    </w:p>
    <w:p w14:paraId="1E8044D2">
      <w:pPr>
        <w:jc w:val="center"/>
        <w:rPr>
          <w:rFonts w:hint="eastAsia" w:ascii="仿宋" w:hAnsi="仿宋" w:cs="仿宋"/>
          <w:b/>
          <w:color w:val="auto"/>
          <w:kern w:val="0"/>
          <w:sz w:val="32"/>
          <w:szCs w:val="32"/>
          <w:highlight w:val="none"/>
        </w:rPr>
      </w:pPr>
    </w:p>
    <w:p w14:paraId="0CCC48A1">
      <w:pPr>
        <w:jc w:val="center"/>
        <w:rPr>
          <w:rFonts w:hint="eastAsia" w:ascii="仿宋" w:hAnsi="仿宋" w:cs="仿宋"/>
          <w:b/>
          <w:color w:val="auto"/>
          <w:kern w:val="0"/>
          <w:sz w:val="32"/>
          <w:szCs w:val="32"/>
          <w:highlight w:val="none"/>
        </w:rPr>
      </w:pPr>
    </w:p>
    <w:p w14:paraId="34439385">
      <w:pPr>
        <w:jc w:val="center"/>
        <w:rPr>
          <w:rFonts w:hint="eastAsia" w:ascii="仿宋" w:hAnsi="仿宋" w:cs="仿宋"/>
          <w:b/>
          <w:color w:val="auto"/>
          <w:kern w:val="0"/>
          <w:sz w:val="32"/>
          <w:szCs w:val="32"/>
          <w:highlight w:val="none"/>
        </w:rPr>
      </w:pPr>
    </w:p>
    <w:p w14:paraId="6821FB84">
      <w:pPr>
        <w:jc w:val="center"/>
        <w:rPr>
          <w:rFonts w:hint="eastAsia" w:ascii="仿宋" w:hAnsi="仿宋" w:cs="仿宋"/>
          <w:b/>
          <w:color w:val="auto"/>
          <w:kern w:val="0"/>
          <w:sz w:val="32"/>
          <w:szCs w:val="32"/>
          <w:highlight w:val="none"/>
        </w:rPr>
      </w:pPr>
    </w:p>
    <w:p w14:paraId="03F74D71">
      <w:pPr>
        <w:jc w:val="center"/>
        <w:rPr>
          <w:rFonts w:hint="eastAsia" w:ascii="仿宋" w:hAnsi="仿宋" w:cs="仿宋"/>
          <w:b/>
          <w:color w:val="auto"/>
          <w:kern w:val="0"/>
          <w:sz w:val="32"/>
          <w:szCs w:val="32"/>
          <w:highlight w:val="none"/>
        </w:rPr>
      </w:pPr>
    </w:p>
    <w:p w14:paraId="025E5E23">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32BC7DE7">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三、分包意向协议（如果有）</w:t>
      </w:r>
    </w:p>
    <w:p w14:paraId="0F19652A">
      <w:pPr>
        <w:widowControl/>
        <w:spacing w:line="360" w:lineRule="auto"/>
        <w:ind w:firstLine="120" w:firstLineChars="50"/>
        <w:jc w:val="left"/>
        <w:rPr>
          <w:rFonts w:hint="eastAsia" w:ascii="仿宋" w:hAnsi="仿宋" w:cs="仿宋"/>
          <w:color w:val="auto"/>
          <w:highlight w:val="none"/>
        </w:rPr>
      </w:pPr>
      <w:r>
        <w:rPr>
          <w:rFonts w:hint="eastAsia" w:ascii="仿宋" w:hAnsi="仿宋" w:cs="仿宋"/>
          <w:color w:val="auto"/>
          <w:highlight w:val="none"/>
        </w:rPr>
        <w:t>【</w:t>
      </w:r>
      <w:r>
        <w:rPr>
          <w:rFonts w:hint="eastAsia" w:ascii="仿宋" w:hAnsi="仿宋" w:cs="仿宋"/>
          <w:b/>
          <w:color w:val="auto"/>
          <w:highlight w:val="none"/>
        </w:rPr>
        <w:t>中标后以分包方式履行合同的，提供分包意向协议(附件6)；采购人不同意分包或者投标人中标后不以分包方式履行合同的，则不需要提供。</w:t>
      </w:r>
      <w:r>
        <w:rPr>
          <w:rFonts w:hint="eastAsia" w:ascii="仿宋" w:hAnsi="仿宋" w:cs="仿宋"/>
          <w:color w:val="auto"/>
          <w:highlight w:val="none"/>
        </w:rPr>
        <w:t>】</w:t>
      </w:r>
    </w:p>
    <w:p w14:paraId="22C961BF">
      <w:pPr>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br w:type="page"/>
      </w:r>
    </w:p>
    <w:p w14:paraId="7C3CC1DB">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18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45C5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EC19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552B7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5688F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9020F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4E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0E951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3F40A8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69E61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CB599D2">
            <w:pPr>
              <w:rPr>
                <w:rFonts w:ascii="宋体" w:hAnsi="宋体" w:cs="宋体"/>
                <w:color w:val="auto"/>
                <w:sz w:val="24"/>
                <w:highlight w:val="none"/>
              </w:rPr>
            </w:pPr>
          </w:p>
          <w:p w14:paraId="1A3274A1">
            <w:pPr>
              <w:rPr>
                <w:rFonts w:ascii="宋体" w:hAnsi="宋体" w:cs="宋体"/>
                <w:color w:val="auto"/>
                <w:sz w:val="24"/>
                <w:highlight w:val="none"/>
              </w:rPr>
            </w:pPr>
            <w:r>
              <w:rPr>
                <w:rFonts w:hint="eastAsia" w:ascii="宋体" w:hAnsi="宋体" w:cs="宋体"/>
                <w:color w:val="auto"/>
                <w:sz w:val="24"/>
                <w:highlight w:val="none"/>
              </w:rPr>
              <w:t>见投标文件</w:t>
            </w:r>
          </w:p>
          <w:p w14:paraId="7093AC4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A4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C13F2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D8924B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EC456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A38AE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7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88B93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F4667E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89DEE6F">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144BB29">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3E2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A9388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33CDCA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995A696">
            <w:pPr>
              <w:rPr>
                <w:rFonts w:hint="eastAsia" w:ascii="宋体" w:hAnsi="宋体" w:cs="宋体"/>
                <w:b w:val="0"/>
                <w:bCs w:val="0"/>
                <w:color w:val="auto"/>
                <w:sz w:val="24"/>
                <w:highlight w:val="none"/>
                <w:lang w:val="en-US" w:eastAsia="zh-CN"/>
              </w:rPr>
            </w:pPr>
          </w:p>
        </w:tc>
        <w:tc>
          <w:tcPr>
            <w:tcW w:w="1418" w:type="dxa"/>
            <w:vAlign w:val="top"/>
          </w:tcPr>
          <w:p w14:paraId="2A3B8F2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9C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57E0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D3FA15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A8DAF88">
            <w:pPr>
              <w:rPr>
                <w:rFonts w:hint="eastAsia" w:ascii="宋体" w:hAnsi="宋体" w:cs="宋体"/>
                <w:b w:val="0"/>
                <w:bCs w:val="0"/>
                <w:color w:val="auto"/>
                <w:sz w:val="24"/>
                <w:highlight w:val="none"/>
                <w:lang w:val="en-US" w:eastAsia="zh-CN"/>
              </w:rPr>
            </w:pPr>
          </w:p>
        </w:tc>
        <w:tc>
          <w:tcPr>
            <w:tcW w:w="1418" w:type="dxa"/>
            <w:vAlign w:val="top"/>
          </w:tcPr>
          <w:p w14:paraId="73AA68F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51CEE1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D025C54">
      <w:pPr>
        <w:spacing w:line="360" w:lineRule="auto"/>
        <w:ind w:right="420"/>
        <w:jc w:val="left"/>
        <w:rPr>
          <w:rFonts w:hint="eastAsia" w:ascii="宋体" w:hAnsi="宋体" w:cs="宋体"/>
          <w:b w:val="0"/>
          <w:color w:val="auto"/>
          <w:kern w:val="2"/>
          <w:sz w:val="24"/>
          <w:szCs w:val="24"/>
          <w:highlight w:val="none"/>
        </w:rPr>
      </w:pPr>
      <w:r>
        <w:rPr>
          <w:rFonts w:hint="eastAsia" w:ascii="宋体" w:hAnsi="宋体" w:eastAsia="仿宋" w:cs="宋体"/>
          <w:color w:val="auto"/>
          <w:sz w:val="24"/>
          <w:highlight w:val="none"/>
        </w:rPr>
        <w:t>2、招标文件中实质性要求必须明确响应。</w:t>
      </w:r>
    </w:p>
    <w:p w14:paraId="4C7FF662">
      <w:pPr>
        <w:jc w:val="center"/>
        <w:rPr>
          <w:rFonts w:hint="eastAsia" w:ascii="仿宋" w:hAnsi="仿宋" w:cs="仿宋"/>
          <w:b/>
          <w:color w:val="auto"/>
          <w:kern w:val="0"/>
          <w:sz w:val="32"/>
          <w:szCs w:val="32"/>
          <w:highlight w:val="none"/>
        </w:rPr>
      </w:pPr>
    </w:p>
    <w:p w14:paraId="1A159A5E">
      <w:pPr>
        <w:jc w:val="center"/>
        <w:rPr>
          <w:rFonts w:hint="eastAsia" w:ascii="仿宋" w:hAnsi="仿宋" w:cs="仿宋"/>
          <w:b/>
          <w:color w:val="auto"/>
          <w:kern w:val="0"/>
          <w:sz w:val="32"/>
          <w:szCs w:val="32"/>
          <w:highlight w:val="none"/>
        </w:rPr>
      </w:pPr>
    </w:p>
    <w:p w14:paraId="5CAC033D">
      <w:pPr>
        <w:jc w:val="center"/>
        <w:rPr>
          <w:rFonts w:hint="eastAsia" w:ascii="仿宋" w:hAnsi="仿宋" w:cs="仿宋"/>
          <w:b/>
          <w:color w:val="auto"/>
          <w:kern w:val="0"/>
          <w:sz w:val="32"/>
          <w:szCs w:val="32"/>
          <w:highlight w:val="none"/>
        </w:rPr>
      </w:pPr>
    </w:p>
    <w:p w14:paraId="0E4D4625">
      <w:pPr>
        <w:jc w:val="center"/>
        <w:rPr>
          <w:rFonts w:hint="eastAsia" w:ascii="仿宋" w:hAnsi="仿宋" w:cs="仿宋"/>
          <w:b/>
          <w:color w:val="auto"/>
          <w:kern w:val="0"/>
          <w:sz w:val="32"/>
          <w:szCs w:val="32"/>
          <w:highlight w:val="none"/>
        </w:rPr>
      </w:pPr>
    </w:p>
    <w:p w14:paraId="4D243C84">
      <w:pPr>
        <w:jc w:val="center"/>
        <w:rPr>
          <w:rFonts w:hint="eastAsia" w:ascii="仿宋" w:hAnsi="仿宋" w:cs="仿宋"/>
          <w:b/>
          <w:color w:val="auto"/>
          <w:kern w:val="0"/>
          <w:sz w:val="32"/>
          <w:szCs w:val="32"/>
          <w:highlight w:val="none"/>
        </w:rPr>
      </w:pPr>
    </w:p>
    <w:p w14:paraId="5E7E330A">
      <w:pPr>
        <w:jc w:val="center"/>
        <w:rPr>
          <w:rFonts w:hint="eastAsia" w:ascii="仿宋" w:hAnsi="仿宋" w:cs="仿宋"/>
          <w:b/>
          <w:color w:val="auto"/>
          <w:kern w:val="0"/>
          <w:sz w:val="32"/>
          <w:szCs w:val="32"/>
          <w:highlight w:val="none"/>
        </w:rPr>
      </w:pPr>
    </w:p>
    <w:p w14:paraId="02E23CE4">
      <w:pPr>
        <w:jc w:val="center"/>
        <w:rPr>
          <w:rFonts w:hint="eastAsia" w:ascii="仿宋" w:hAnsi="仿宋" w:cs="仿宋"/>
          <w:b/>
          <w:color w:val="auto"/>
          <w:kern w:val="0"/>
          <w:sz w:val="32"/>
          <w:szCs w:val="32"/>
          <w:highlight w:val="none"/>
        </w:rPr>
      </w:pPr>
    </w:p>
    <w:p w14:paraId="789E406F">
      <w:pPr>
        <w:jc w:val="center"/>
        <w:rPr>
          <w:rFonts w:hint="eastAsia" w:ascii="仿宋" w:hAnsi="仿宋" w:cs="仿宋"/>
          <w:b/>
          <w:color w:val="auto"/>
          <w:kern w:val="0"/>
          <w:sz w:val="32"/>
          <w:szCs w:val="32"/>
          <w:highlight w:val="none"/>
        </w:rPr>
      </w:pPr>
    </w:p>
    <w:p w14:paraId="12621F2C">
      <w:pPr>
        <w:jc w:val="center"/>
        <w:rPr>
          <w:rFonts w:hint="eastAsia" w:ascii="仿宋" w:hAnsi="仿宋" w:cs="仿宋"/>
          <w:b/>
          <w:color w:val="auto"/>
          <w:kern w:val="0"/>
          <w:sz w:val="32"/>
          <w:szCs w:val="32"/>
          <w:highlight w:val="none"/>
        </w:rPr>
      </w:pPr>
    </w:p>
    <w:p w14:paraId="0D76A493">
      <w:pPr>
        <w:jc w:val="center"/>
        <w:rPr>
          <w:rFonts w:hint="eastAsia" w:ascii="仿宋" w:hAnsi="仿宋" w:cs="仿宋"/>
          <w:b/>
          <w:color w:val="auto"/>
          <w:kern w:val="0"/>
          <w:sz w:val="32"/>
          <w:szCs w:val="32"/>
          <w:highlight w:val="none"/>
        </w:rPr>
      </w:pPr>
    </w:p>
    <w:p w14:paraId="05C09009">
      <w:pPr>
        <w:jc w:val="center"/>
        <w:rPr>
          <w:rFonts w:hint="eastAsia" w:ascii="仿宋" w:hAnsi="仿宋" w:cs="仿宋"/>
          <w:b/>
          <w:color w:val="auto"/>
          <w:kern w:val="0"/>
          <w:sz w:val="32"/>
          <w:szCs w:val="32"/>
          <w:highlight w:val="none"/>
        </w:rPr>
      </w:pPr>
    </w:p>
    <w:p w14:paraId="30CBAA68">
      <w:pPr>
        <w:jc w:val="center"/>
        <w:rPr>
          <w:rFonts w:hint="eastAsia" w:ascii="仿宋" w:hAnsi="仿宋" w:cs="仿宋"/>
          <w:b/>
          <w:color w:val="auto"/>
          <w:kern w:val="0"/>
          <w:sz w:val="32"/>
          <w:szCs w:val="32"/>
          <w:highlight w:val="none"/>
        </w:rPr>
      </w:pPr>
    </w:p>
    <w:p w14:paraId="502E4740">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273E3797">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lang w:val="zh-CN"/>
        </w:rPr>
        <w:t>五、评标标准相应的商务技术资料</w:t>
      </w:r>
    </w:p>
    <w:p w14:paraId="2895EF42">
      <w:pPr>
        <w:spacing w:line="360" w:lineRule="auto"/>
        <w:jc w:val="left"/>
        <w:rPr>
          <w:rFonts w:hint="eastAsia" w:ascii="仿宋" w:hAnsi="仿宋" w:cs="仿宋"/>
          <w:b/>
          <w:color w:val="auto"/>
          <w:highlight w:val="none"/>
        </w:rPr>
      </w:pPr>
    </w:p>
    <w:p w14:paraId="28E1554B">
      <w:pPr>
        <w:spacing w:line="360" w:lineRule="auto"/>
        <w:jc w:val="left"/>
        <w:rPr>
          <w:rFonts w:hint="eastAsia" w:ascii="仿宋" w:hAnsi="仿宋" w:cs="仿宋"/>
          <w:b/>
          <w:color w:val="auto"/>
          <w:highlight w:val="none"/>
        </w:rPr>
      </w:pPr>
      <w:r>
        <w:rPr>
          <w:rFonts w:hint="eastAsia" w:ascii="仿宋" w:hAnsi="仿宋" w:cs="仿宋"/>
          <w:b/>
          <w:color w:val="auto"/>
          <w:highlight w:val="none"/>
        </w:rPr>
        <w:t>（按招标文件第四部分评标办法前附表中“投标文件中评标标准相应的商务技术资料目录”提供资料）</w:t>
      </w:r>
    </w:p>
    <w:p w14:paraId="5256F3EB">
      <w:pPr>
        <w:jc w:val="center"/>
        <w:rPr>
          <w:rFonts w:hint="eastAsia" w:ascii="仿宋" w:hAnsi="仿宋" w:cs="仿宋"/>
          <w:b/>
          <w:color w:val="auto"/>
          <w:kern w:val="0"/>
          <w:sz w:val="32"/>
          <w:szCs w:val="32"/>
          <w:highlight w:val="none"/>
        </w:rPr>
      </w:pPr>
    </w:p>
    <w:p w14:paraId="7038D0E9">
      <w:pPr>
        <w:jc w:val="center"/>
        <w:rPr>
          <w:rFonts w:hint="eastAsia" w:ascii="仿宋" w:hAnsi="仿宋" w:cs="仿宋"/>
          <w:b/>
          <w:color w:val="auto"/>
          <w:kern w:val="0"/>
          <w:sz w:val="32"/>
          <w:szCs w:val="32"/>
          <w:highlight w:val="none"/>
        </w:rPr>
      </w:pPr>
    </w:p>
    <w:p w14:paraId="66C1272A">
      <w:pPr>
        <w:jc w:val="center"/>
        <w:rPr>
          <w:rFonts w:hint="eastAsia" w:ascii="仿宋" w:hAnsi="仿宋" w:cs="仿宋"/>
          <w:b/>
          <w:color w:val="auto"/>
          <w:kern w:val="0"/>
          <w:sz w:val="32"/>
          <w:szCs w:val="32"/>
          <w:highlight w:val="none"/>
        </w:rPr>
      </w:pPr>
    </w:p>
    <w:p w14:paraId="23EB0FB3">
      <w:pPr>
        <w:jc w:val="center"/>
        <w:rPr>
          <w:rFonts w:hint="eastAsia" w:ascii="仿宋" w:hAnsi="仿宋" w:cs="仿宋"/>
          <w:b/>
          <w:color w:val="auto"/>
          <w:kern w:val="0"/>
          <w:sz w:val="32"/>
          <w:szCs w:val="32"/>
          <w:highlight w:val="none"/>
        </w:rPr>
      </w:pPr>
    </w:p>
    <w:p w14:paraId="4B23B4CC">
      <w:pPr>
        <w:jc w:val="center"/>
        <w:rPr>
          <w:rFonts w:hint="eastAsia" w:ascii="仿宋" w:hAnsi="仿宋" w:cs="仿宋"/>
          <w:b/>
          <w:color w:val="auto"/>
          <w:kern w:val="0"/>
          <w:sz w:val="32"/>
          <w:szCs w:val="32"/>
          <w:highlight w:val="none"/>
        </w:rPr>
      </w:pPr>
    </w:p>
    <w:p w14:paraId="76722B58">
      <w:pPr>
        <w:jc w:val="center"/>
        <w:rPr>
          <w:rFonts w:hint="eastAsia" w:ascii="仿宋" w:hAnsi="仿宋" w:cs="仿宋"/>
          <w:b/>
          <w:color w:val="auto"/>
          <w:kern w:val="0"/>
          <w:sz w:val="32"/>
          <w:szCs w:val="32"/>
          <w:highlight w:val="none"/>
        </w:rPr>
      </w:pPr>
    </w:p>
    <w:p w14:paraId="7BBD7180">
      <w:pPr>
        <w:jc w:val="center"/>
        <w:rPr>
          <w:rFonts w:hint="eastAsia" w:ascii="仿宋" w:hAnsi="仿宋" w:cs="仿宋"/>
          <w:b/>
          <w:color w:val="auto"/>
          <w:kern w:val="0"/>
          <w:sz w:val="32"/>
          <w:szCs w:val="32"/>
          <w:highlight w:val="none"/>
        </w:rPr>
      </w:pPr>
    </w:p>
    <w:p w14:paraId="0FB70128">
      <w:pPr>
        <w:jc w:val="center"/>
        <w:rPr>
          <w:rFonts w:hint="eastAsia" w:ascii="仿宋" w:hAnsi="仿宋" w:cs="仿宋"/>
          <w:b/>
          <w:color w:val="auto"/>
          <w:kern w:val="0"/>
          <w:sz w:val="32"/>
          <w:szCs w:val="32"/>
          <w:highlight w:val="none"/>
        </w:rPr>
      </w:pPr>
    </w:p>
    <w:p w14:paraId="32F76FE8">
      <w:pPr>
        <w:jc w:val="center"/>
        <w:rPr>
          <w:rFonts w:hint="eastAsia" w:ascii="仿宋" w:hAnsi="仿宋" w:cs="仿宋"/>
          <w:b/>
          <w:color w:val="auto"/>
          <w:kern w:val="0"/>
          <w:sz w:val="32"/>
          <w:szCs w:val="32"/>
          <w:highlight w:val="none"/>
        </w:rPr>
      </w:pPr>
    </w:p>
    <w:p w14:paraId="33E815C4">
      <w:pPr>
        <w:jc w:val="center"/>
        <w:rPr>
          <w:rFonts w:hint="eastAsia" w:ascii="仿宋" w:hAnsi="仿宋" w:cs="仿宋"/>
          <w:b/>
          <w:color w:val="auto"/>
          <w:kern w:val="0"/>
          <w:sz w:val="32"/>
          <w:szCs w:val="32"/>
          <w:highlight w:val="none"/>
        </w:rPr>
      </w:pPr>
    </w:p>
    <w:p w14:paraId="22B16721">
      <w:pPr>
        <w:jc w:val="center"/>
        <w:rPr>
          <w:rFonts w:hint="eastAsia" w:ascii="仿宋" w:hAnsi="仿宋" w:cs="仿宋"/>
          <w:b/>
          <w:color w:val="auto"/>
          <w:kern w:val="0"/>
          <w:sz w:val="32"/>
          <w:szCs w:val="32"/>
          <w:highlight w:val="none"/>
        </w:rPr>
      </w:pPr>
    </w:p>
    <w:p w14:paraId="7A75871E">
      <w:pPr>
        <w:jc w:val="center"/>
        <w:rPr>
          <w:rFonts w:hint="eastAsia" w:ascii="仿宋" w:hAnsi="仿宋" w:cs="仿宋"/>
          <w:b/>
          <w:color w:val="auto"/>
          <w:kern w:val="0"/>
          <w:sz w:val="32"/>
          <w:szCs w:val="32"/>
          <w:highlight w:val="none"/>
        </w:rPr>
      </w:pPr>
    </w:p>
    <w:p w14:paraId="60E26F0E">
      <w:pPr>
        <w:jc w:val="center"/>
        <w:rPr>
          <w:rFonts w:hint="eastAsia" w:ascii="仿宋" w:hAnsi="仿宋" w:cs="仿宋"/>
          <w:b/>
          <w:color w:val="auto"/>
          <w:kern w:val="0"/>
          <w:sz w:val="32"/>
          <w:szCs w:val="32"/>
          <w:highlight w:val="none"/>
        </w:rPr>
      </w:pPr>
    </w:p>
    <w:p w14:paraId="021AC7F5">
      <w:pPr>
        <w:jc w:val="center"/>
        <w:rPr>
          <w:rFonts w:hint="eastAsia" w:ascii="仿宋" w:hAnsi="仿宋" w:cs="仿宋"/>
          <w:b/>
          <w:color w:val="auto"/>
          <w:kern w:val="0"/>
          <w:sz w:val="32"/>
          <w:szCs w:val="32"/>
          <w:highlight w:val="none"/>
        </w:rPr>
      </w:pPr>
    </w:p>
    <w:p w14:paraId="441E19CD">
      <w:pPr>
        <w:jc w:val="center"/>
        <w:rPr>
          <w:rFonts w:hint="eastAsia" w:ascii="仿宋" w:hAnsi="仿宋" w:cs="仿宋"/>
          <w:b/>
          <w:color w:val="auto"/>
          <w:kern w:val="0"/>
          <w:sz w:val="32"/>
          <w:szCs w:val="32"/>
          <w:highlight w:val="none"/>
        </w:rPr>
      </w:pPr>
    </w:p>
    <w:p w14:paraId="49EC46A3">
      <w:pPr>
        <w:jc w:val="center"/>
        <w:rPr>
          <w:rFonts w:hint="eastAsia" w:ascii="仿宋" w:hAnsi="仿宋" w:cs="仿宋"/>
          <w:b/>
          <w:color w:val="auto"/>
          <w:kern w:val="0"/>
          <w:sz w:val="32"/>
          <w:szCs w:val="32"/>
          <w:highlight w:val="none"/>
        </w:rPr>
      </w:pPr>
    </w:p>
    <w:p w14:paraId="633842EB">
      <w:pPr>
        <w:jc w:val="center"/>
        <w:rPr>
          <w:rFonts w:hint="eastAsia" w:ascii="仿宋" w:hAnsi="仿宋" w:cs="仿宋"/>
          <w:b/>
          <w:color w:val="auto"/>
          <w:kern w:val="0"/>
          <w:sz w:val="32"/>
          <w:szCs w:val="32"/>
          <w:highlight w:val="none"/>
        </w:rPr>
      </w:pPr>
    </w:p>
    <w:p w14:paraId="714B37F9">
      <w:pPr>
        <w:jc w:val="center"/>
        <w:rPr>
          <w:rFonts w:hint="eastAsia" w:ascii="仿宋" w:hAnsi="仿宋" w:cs="仿宋"/>
          <w:b/>
          <w:color w:val="auto"/>
          <w:kern w:val="0"/>
          <w:sz w:val="32"/>
          <w:szCs w:val="32"/>
          <w:highlight w:val="none"/>
        </w:rPr>
      </w:pPr>
    </w:p>
    <w:p w14:paraId="6CCBFFDA">
      <w:pPr>
        <w:jc w:val="center"/>
        <w:rPr>
          <w:rFonts w:hint="eastAsia" w:ascii="仿宋" w:hAnsi="仿宋" w:cs="仿宋"/>
          <w:b/>
          <w:color w:val="auto"/>
          <w:kern w:val="0"/>
          <w:sz w:val="32"/>
          <w:szCs w:val="32"/>
          <w:highlight w:val="none"/>
        </w:rPr>
      </w:pPr>
    </w:p>
    <w:p w14:paraId="32C6160B">
      <w:pPr>
        <w:jc w:val="center"/>
        <w:rPr>
          <w:rFonts w:hint="eastAsia" w:ascii="仿宋" w:hAnsi="仿宋" w:cs="仿宋"/>
          <w:b/>
          <w:color w:val="auto"/>
          <w:kern w:val="0"/>
          <w:sz w:val="32"/>
          <w:szCs w:val="32"/>
          <w:highlight w:val="none"/>
        </w:rPr>
      </w:pPr>
    </w:p>
    <w:p w14:paraId="23FEBA9B">
      <w:pPr>
        <w:jc w:val="center"/>
        <w:rPr>
          <w:rFonts w:hint="eastAsia" w:ascii="仿宋" w:hAnsi="仿宋" w:cs="仿宋"/>
          <w:b/>
          <w:color w:val="auto"/>
          <w:kern w:val="0"/>
          <w:sz w:val="32"/>
          <w:szCs w:val="32"/>
          <w:highlight w:val="none"/>
        </w:rPr>
      </w:pPr>
    </w:p>
    <w:p w14:paraId="701246F7">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22AE5958">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rPr>
        <w:t>六</w:t>
      </w:r>
      <w:r>
        <w:rPr>
          <w:rFonts w:hint="eastAsia" w:ascii="仿宋" w:hAnsi="仿宋" w:cs="仿宋"/>
          <w:b/>
          <w:color w:val="auto"/>
          <w:kern w:val="0"/>
          <w:sz w:val="32"/>
          <w:szCs w:val="32"/>
          <w:highlight w:val="none"/>
          <w:lang w:val="zh-CN"/>
        </w:rPr>
        <w:t>、商务技术偏离表</w:t>
      </w:r>
    </w:p>
    <w:p w14:paraId="29134789">
      <w:pPr>
        <w:jc w:val="center"/>
        <w:rPr>
          <w:rFonts w:hint="eastAsia" w:ascii="仿宋" w:hAnsi="仿宋" w:cs="仿宋"/>
          <w:b/>
          <w:bCs/>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20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77F44BC">
            <w:pPr>
              <w:spacing w:line="400" w:lineRule="exact"/>
              <w:jc w:val="center"/>
              <w:rPr>
                <w:rFonts w:hint="eastAsia" w:ascii="仿宋" w:hAnsi="仿宋" w:cs="仿宋"/>
                <w:b/>
                <w:bCs/>
                <w:color w:val="auto"/>
                <w:highlight w:val="none"/>
              </w:rPr>
            </w:pPr>
            <w:r>
              <w:rPr>
                <w:rFonts w:hint="eastAsia" w:ascii="仿宋" w:hAnsi="仿宋" w:cs="仿宋"/>
                <w:b/>
                <w:bCs/>
                <w:color w:val="auto"/>
                <w:highlight w:val="none"/>
              </w:rPr>
              <w:t>序号</w:t>
            </w:r>
          </w:p>
        </w:tc>
        <w:tc>
          <w:tcPr>
            <w:tcW w:w="3683" w:type="dxa"/>
            <w:vAlign w:val="center"/>
          </w:tcPr>
          <w:p w14:paraId="2B9B59CA">
            <w:pPr>
              <w:spacing w:line="400" w:lineRule="exact"/>
              <w:jc w:val="center"/>
              <w:rPr>
                <w:rFonts w:hint="eastAsia" w:ascii="仿宋" w:hAnsi="仿宋" w:cs="仿宋"/>
                <w:b/>
                <w:bCs/>
                <w:color w:val="auto"/>
                <w:highlight w:val="none"/>
              </w:rPr>
            </w:pPr>
            <w:r>
              <w:rPr>
                <w:rFonts w:hint="eastAsia" w:ascii="仿宋" w:hAnsi="仿宋" w:cs="仿宋"/>
                <w:b/>
                <w:bCs/>
                <w:color w:val="auto"/>
                <w:highlight w:val="none"/>
              </w:rPr>
              <w:t>招标文件章节及具体内容</w:t>
            </w:r>
          </w:p>
        </w:tc>
        <w:tc>
          <w:tcPr>
            <w:tcW w:w="3546" w:type="dxa"/>
            <w:vAlign w:val="center"/>
          </w:tcPr>
          <w:p w14:paraId="39CC62B0">
            <w:pPr>
              <w:spacing w:line="400" w:lineRule="exact"/>
              <w:jc w:val="center"/>
              <w:rPr>
                <w:rFonts w:hint="eastAsia" w:ascii="仿宋" w:hAnsi="仿宋" w:cs="仿宋"/>
                <w:b/>
                <w:bCs/>
                <w:color w:val="auto"/>
                <w:highlight w:val="none"/>
              </w:rPr>
            </w:pPr>
            <w:r>
              <w:rPr>
                <w:rFonts w:hint="eastAsia" w:ascii="仿宋" w:hAnsi="仿宋" w:cs="仿宋"/>
                <w:b/>
                <w:bCs/>
                <w:color w:val="auto"/>
                <w:highlight w:val="none"/>
              </w:rPr>
              <w:t>投标文件章节及具体内容</w:t>
            </w:r>
          </w:p>
        </w:tc>
        <w:tc>
          <w:tcPr>
            <w:tcW w:w="1276" w:type="dxa"/>
            <w:vAlign w:val="center"/>
          </w:tcPr>
          <w:p w14:paraId="1009B18F">
            <w:pPr>
              <w:spacing w:line="400" w:lineRule="exact"/>
              <w:jc w:val="center"/>
              <w:rPr>
                <w:rFonts w:hint="eastAsia" w:ascii="仿宋" w:hAnsi="仿宋" w:cs="仿宋"/>
                <w:b/>
                <w:bCs/>
                <w:color w:val="auto"/>
                <w:highlight w:val="none"/>
              </w:rPr>
            </w:pPr>
            <w:r>
              <w:rPr>
                <w:rFonts w:hint="eastAsia" w:ascii="仿宋" w:hAnsi="仿宋" w:cs="仿宋"/>
                <w:b/>
                <w:bCs/>
                <w:color w:val="auto"/>
                <w:highlight w:val="none"/>
              </w:rPr>
              <w:t>偏离说明</w:t>
            </w:r>
          </w:p>
        </w:tc>
      </w:tr>
      <w:tr w14:paraId="3778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B4140A3">
            <w:pPr>
              <w:spacing w:line="400" w:lineRule="exact"/>
              <w:jc w:val="center"/>
              <w:rPr>
                <w:rFonts w:hint="eastAsia" w:ascii="仿宋" w:hAnsi="仿宋" w:cs="仿宋"/>
                <w:color w:val="auto"/>
                <w:kern w:val="0"/>
                <w:highlight w:val="none"/>
              </w:rPr>
            </w:pPr>
            <w:r>
              <w:rPr>
                <w:rFonts w:hint="eastAsia" w:ascii="仿宋" w:hAnsi="仿宋" w:cs="仿宋"/>
                <w:color w:val="auto"/>
                <w:kern w:val="0"/>
                <w:highlight w:val="none"/>
              </w:rPr>
              <w:t>1</w:t>
            </w:r>
          </w:p>
        </w:tc>
        <w:tc>
          <w:tcPr>
            <w:tcW w:w="3683" w:type="dxa"/>
            <w:vAlign w:val="center"/>
          </w:tcPr>
          <w:p w14:paraId="7BB92C6D">
            <w:pPr>
              <w:spacing w:line="400" w:lineRule="exact"/>
              <w:jc w:val="center"/>
              <w:rPr>
                <w:rFonts w:hint="eastAsia" w:ascii="仿宋" w:hAnsi="仿宋" w:cs="仿宋"/>
                <w:b/>
                <w:color w:val="auto"/>
                <w:kern w:val="0"/>
                <w:sz w:val="32"/>
                <w:szCs w:val="32"/>
                <w:highlight w:val="none"/>
              </w:rPr>
            </w:pPr>
          </w:p>
        </w:tc>
        <w:tc>
          <w:tcPr>
            <w:tcW w:w="3546" w:type="dxa"/>
            <w:vAlign w:val="center"/>
          </w:tcPr>
          <w:p w14:paraId="79B13D3B">
            <w:pPr>
              <w:spacing w:line="400" w:lineRule="exact"/>
              <w:jc w:val="center"/>
              <w:rPr>
                <w:rFonts w:hint="eastAsia" w:ascii="仿宋" w:hAnsi="仿宋" w:cs="仿宋"/>
                <w:b/>
                <w:color w:val="auto"/>
                <w:kern w:val="0"/>
                <w:sz w:val="32"/>
                <w:szCs w:val="32"/>
                <w:highlight w:val="none"/>
              </w:rPr>
            </w:pPr>
          </w:p>
        </w:tc>
        <w:tc>
          <w:tcPr>
            <w:tcW w:w="1276" w:type="dxa"/>
            <w:vAlign w:val="center"/>
          </w:tcPr>
          <w:p w14:paraId="1D6D8E00">
            <w:pPr>
              <w:spacing w:line="400" w:lineRule="exact"/>
              <w:jc w:val="center"/>
              <w:rPr>
                <w:rFonts w:hint="eastAsia" w:ascii="仿宋" w:hAnsi="仿宋" w:cs="仿宋"/>
                <w:b/>
                <w:color w:val="auto"/>
                <w:kern w:val="0"/>
                <w:sz w:val="32"/>
                <w:szCs w:val="32"/>
                <w:highlight w:val="none"/>
              </w:rPr>
            </w:pPr>
          </w:p>
        </w:tc>
      </w:tr>
      <w:tr w14:paraId="0625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4CBA240">
            <w:pPr>
              <w:spacing w:line="400" w:lineRule="exact"/>
              <w:jc w:val="center"/>
              <w:rPr>
                <w:rFonts w:hint="eastAsia" w:ascii="仿宋" w:hAnsi="仿宋" w:cs="仿宋"/>
                <w:color w:val="auto"/>
                <w:kern w:val="0"/>
                <w:highlight w:val="none"/>
              </w:rPr>
            </w:pPr>
            <w:r>
              <w:rPr>
                <w:rFonts w:hint="eastAsia" w:ascii="仿宋" w:hAnsi="仿宋" w:cs="仿宋"/>
                <w:color w:val="auto"/>
                <w:kern w:val="0"/>
                <w:highlight w:val="none"/>
              </w:rPr>
              <w:t>2</w:t>
            </w:r>
          </w:p>
        </w:tc>
        <w:tc>
          <w:tcPr>
            <w:tcW w:w="3683" w:type="dxa"/>
            <w:vAlign w:val="center"/>
          </w:tcPr>
          <w:p w14:paraId="30C609CE">
            <w:pPr>
              <w:spacing w:line="400" w:lineRule="exact"/>
              <w:jc w:val="center"/>
              <w:rPr>
                <w:rFonts w:hint="eastAsia" w:ascii="仿宋" w:hAnsi="仿宋" w:cs="仿宋"/>
                <w:b/>
                <w:color w:val="auto"/>
                <w:kern w:val="0"/>
                <w:sz w:val="32"/>
                <w:szCs w:val="32"/>
                <w:highlight w:val="none"/>
              </w:rPr>
            </w:pPr>
          </w:p>
        </w:tc>
        <w:tc>
          <w:tcPr>
            <w:tcW w:w="3546" w:type="dxa"/>
            <w:vAlign w:val="center"/>
          </w:tcPr>
          <w:p w14:paraId="3684C092">
            <w:pPr>
              <w:spacing w:line="400" w:lineRule="exact"/>
              <w:jc w:val="center"/>
              <w:rPr>
                <w:rFonts w:hint="eastAsia" w:ascii="仿宋" w:hAnsi="仿宋" w:cs="仿宋"/>
                <w:b/>
                <w:color w:val="auto"/>
                <w:kern w:val="0"/>
                <w:sz w:val="32"/>
                <w:szCs w:val="32"/>
                <w:highlight w:val="none"/>
              </w:rPr>
            </w:pPr>
          </w:p>
        </w:tc>
        <w:tc>
          <w:tcPr>
            <w:tcW w:w="1276" w:type="dxa"/>
            <w:vAlign w:val="center"/>
          </w:tcPr>
          <w:p w14:paraId="58E2C9F3">
            <w:pPr>
              <w:spacing w:line="400" w:lineRule="exact"/>
              <w:jc w:val="center"/>
              <w:rPr>
                <w:rFonts w:hint="eastAsia" w:ascii="仿宋" w:hAnsi="仿宋" w:cs="仿宋"/>
                <w:b/>
                <w:color w:val="auto"/>
                <w:kern w:val="0"/>
                <w:sz w:val="32"/>
                <w:szCs w:val="32"/>
                <w:highlight w:val="none"/>
              </w:rPr>
            </w:pPr>
          </w:p>
        </w:tc>
      </w:tr>
      <w:tr w14:paraId="5BB6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020CC65">
            <w:pPr>
              <w:spacing w:line="400" w:lineRule="exact"/>
              <w:jc w:val="center"/>
              <w:rPr>
                <w:rFonts w:hint="eastAsia" w:ascii="仿宋" w:hAnsi="仿宋" w:cs="仿宋"/>
                <w:color w:val="auto"/>
                <w:kern w:val="0"/>
                <w:highlight w:val="none"/>
              </w:rPr>
            </w:pPr>
            <w:r>
              <w:rPr>
                <w:rFonts w:hint="eastAsia" w:ascii="仿宋" w:hAnsi="仿宋" w:cs="仿宋"/>
                <w:color w:val="auto"/>
                <w:kern w:val="0"/>
                <w:highlight w:val="none"/>
              </w:rPr>
              <w:t>……</w:t>
            </w:r>
          </w:p>
        </w:tc>
        <w:tc>
          <w:tcPr>
            <w:tcW w:w="3683" w:type="dxa"/>
            <w:vAlign w:val="center"/>
          </w:tcPr>
          <w:p w14:paraId="06860AFE">
            <w:pPr>
              <w:spacing w:line="400" w:lineRule="exact"/>
              <w:jc w:val="center"/>
              <w:rPr>
                <w:rFonts w:hint="eastAsia" w:ascii="仿宋" w:hAnsi="仿宋" w:cs="仿宋"/>
                <w:b/>
                <w:color w:val="auto"/>
                <w:kern w:val="0"/>
                <w:sz w:val="32"/>
                <w:szCs w:val="32"/>
                <w:highlight w:val="none"/>
              </w:rPr>
            </w:pPr>
          </w:p>
        </w:tc>
        <w:tc>
          <w:tcPr>
            <w:tcW w:w="3546" w:type="dxa"/>
            <w:vAlign w:val="center"/>
          </w:tcPr>
          <w:p w14:paraId="41EE0E7E">
            <w:pPr>
              <w:spacing w:line="400" w:lineRule="exact"/>
              <w:jc w:val="center"/>
              <w:rPr>
                <w:rFonts w:hint="eastAsia" w:ascii="仿宋" w:hAnsi="仿宋" w:cs="仿宋"/>
                <w:b/>
                <w:color w:val="auto"/>
                <w:kern w:val="0"/>
                <w:sz w:val="32"/>
                <w:szCs w:val="32"/>
                <w:highlight w:val="none"/>
              </w:rPr>
            </w:pPr>
          </w:p>
        </w:tc>
        <w:tc>
          <w:tcPr>
            <w:tcW w:w="1276" w:type="dxa"/>
            <w:vAlign w:val="center"/>
          </w:tcPr>
          <w:p w14:paraId="79B2B2D7">
            <w:pPr>
              <w:spacing w:line="400" w:lineRule="exact"/>
              <w:jc w:val="center"/>
              <w:rPr>
                <w:rFonts w:hint="eastAsia" w:ascii="仿宋" w:hAnsi="仿宋" w:cs="仿宋"/>
                <w:b/>
                <w:color w:val="auto"/>
                <w:kern w:val="0"/>
                <w:sz w:val="32"/>
                <w:szCs w:val="32"/>
                <w:highlight w:val="none"/>
              </w:rPr>
            </w:pPr>
          </w:p>
        </w:tc>
      </w:tr>
    </w:tbl>
    <w:p w14:paraId="40CAC69B">
      <w:pPr>
        <w:jc w:val="left"/>
        <w:rPr>
          <w:rFonts w:hint="eastAsia" w:ascii="仿宋" w:hAnsi="仿宋" w:cs="仿宋"/>
          <w:color w:val="auto"/>
          <w:kern w:val="0"/>
          <w:highlight w:val="none"/>
        </w:rPr>
      </w:pPr>
      <w:r>
        <w:rPr>
          <w:rFonts w:hint="eastAsia" w:ascii="仿宋" w:hAnsi="仿宋" w:cs="仿宋"/>
          <w:color w:val="auto"/>
          <w:kern w:val="0"/>
          <w:highlight w:val="none"/>
        </w:rPr>
        <w:t>投标人保证：除商务技术偏离表列出的偏离外，投标人响应招标文件的全部要求</w:t>
      </w:r>
    </w:p>
    <w:p w14:paraId="408226EC">
      <w:pPr>
        <w:spacing w:line="360" w:lineRule="auto"/>
        <w:ind w:right="420"/>
        <w:rPr>
          <w:rFonts w:hint="eastAsia" w:ascii="仿宋" w:hAnsi="仿宋" w:cs="仿宋"/>
          <w:color w:val="auto"/>
          <w:highlight w:val="none"/>
        </w:rPr>
      </w:pPr>
    </w:p>
    <w:p w14:paraId="6C587EE0">
      <w:pPr>
        <w:spacing w:line="360" w:lineRule="auto"/>
        <w:ind w:right="420"/>
        <w:rPr>
          <w:rFonts w:hint="eastAsia" w:ascii="仿宋" w:hAnsi="仿宋" w:cs="仿宋"/>
          <w:color w:val="auto"/>
          <w:highlight w:val="none"/>
        </w:rPr>
      </w:pPr>
      <w:r>
        <w:rPr>
          <w:rFonts w:hint="eastAsia" w:ascii="仿宋" w:hAnsi="仿宋" w:cs="仿宋"/>
          <w:color w:val="auto"/>
          <w:highlight w:val="none"/>
        </w:rPr>
        <w:t>注：</w:t>
      </w:r>
      <w:r>
        <w:rPr>
          <w:rFonts w:hint="eastAsia" w:ascii="仿宋" w:hAnsi="仿宋" w:cs="仿宋"/>
          <w:color w:val="auto"/>
          <w:highlight w:val="none"/>
          <w:lang w:val="en-US" w:eastAsia="zh-CN"/>
        </w:rPr>
        <w:t>1.</w:t>
      </w:r>
      <w:r>
        <w:rPr>
          <w:rFonts w:hint="eastAsia" w:ascii="仿宋" w:hAnsi="仿宋" w:cs="仿宋"/>
          <w:color w:val="auto"/>
          <w:highlight w:val="none"/>
        </w:rPr>
        <w:t>按本格式和要求提供。</w:t>
      </w:r>
    </w:p>
    <w:p w14:paraId="0EC79AB0">
      <w:pPr>
        <w:spacing w:line="360" w:lineRule="auto"/>
        <w:ind w:right="420"/>
        <w:rPr>
          <w:rFonts w:hint="eastAsia" w:ascii="仿宋" w:hAnsi="仿宋" w:cs="仿宋"/>
          <w:color w:val="auto"/>
          <w:highlight w:val="none"/>
          <w:lang w:val="en-US" w:eastAsia="zh-CN"/>
        </w:rPr>
      </w:pPr>
      <w:r>
        <w:rPr>
          <w:rFonts w:hint="eastAsia" w:ascii="仿宋" w:hAnsi="仿宋" w:cs="仿宋"/>
          <w:color w:val="auto"/>
          <w:highlight w:val="none"/>
          <w:lang w:val="en-US" w:eastAsia="zh-CN"/>
        </w:rPr>
        <w:t>2.本表格所反映的偏离情况与“符合性审查资料”、“评标标准相应的商务技术资料”不一致的，以“符合性审查资料”、“评标标准相应的商务技术资料”为准。</w:t>
      </w:r>
    </w:p>
    <w:p w14:paraId="5709BED5">
      <w:pPr>
        <w:spacing w:line="360" w:lineRule="auto"/>
        <w:ind w:right="420"/>
        <w:rPr>
          <w:rFonts w:hint="eastAsia" w:ascii="仿宋" w:hAnsi="仿宋" w:cs="仿宋"/>
          <w:color w:val="auto"/>
          <w:highlight w:val="none"/>
        </w:rPr>
      </w:pPr>
      <w:r>
        <w:rPr>
          <w:rFonts w:hint="eastAsia" w:ascii="仿宋" w:hAnsi="仿宋" w:cs="仿宋"/>
          <w:color w:val="auto"/>
          <w:highlight w:val="none"/>
          <w:lang w:val="en-US" w:eastAsia="zh-CN"/>
        </w:rPr>
        <w:t>3.投标人须保证：除商务技术偏离表列出的偏离外，投标人响应招标文件的全部非实质性要求。</w:t>
      </w:r>
    </w:p>
    <w:p w14:paraId="60C1E9BE">
      <w:pPr>
        <w:jc w:val="center"/>
        <w:rPr>
          <w:rFonts w:hint="eastAsia" w:ascii="仿宋" w:hAnsi="仿宋" w:cs="仿宋"/>
          <w:b/>
          <w:color w:val="auto"/>
          <w:kern w:val="0"/>
          <w:sz w:val="32"/>
          <w:szCs w:val="32"/>
          <w:highlight w:val="none"/>
        </w:rPr>
      </w:pPr>
    </w:p>
    <w:p w14:paraId="77B98BFF">
      <w:pP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br w:type="page"/>
      </w:r>
    </w:p>
    <w:p w14:paraId="424A40C6">
      <w:pPr>
        <w:spacing w:line="360" w:lineRule="auto"/>
        <w:jc w:val="center"/>
        <w:outlineLvl w:val="1"/>
        <w:rPr>
          <w:rFonts w:hint="eastAsia" w:ascii="仿宋" w:hAnsi="仿宋" w:cs="仿宋"/>
          <w:b/>
          <w:color w:val="auto"/>
          <w:kern w:val="0"/>
          <w:sz w:val="32"/>
          <w:szCs w:val="32"/>
          <w:highlight w:val="none"/>
          <w:lang w:val="zh-CN"/>
        </w:rPr>
      </w:pPr>
      <w:r>
        <w:rPr>
          <w:rFonts w:hint="eastAsia" w:ascii="仿宋" w:hAnsi="仿宋" w:cs="仿宋"/>
          <w:b/>
          <w:color w:val="auto"/>
          <w:kern w:val="0"/>
          <w:sz w:val="32"/>
          <w:szCs w:val="32"/>
          <w:highlight w:val="none"/>
        </w:rPr>
        <w:t>七</w:t>
      </w:r>
      <w:r>
        <w:rPr>
          <w:rFonts w:hint="eastAsia" w:ascii="仿宋" w:hAnsi="仿宋" w:cs="仿宋"/>
          <w:b/>
          <w:color w:val="auto"/>
          <w:kern w:val="0"/>
          <w:sz w:val="32"/>
          <w:szCs w:val="32"/>
          <w:highlight w:val="none"/>
          <w:lang w:val="zh-CN"/>
        </w:rPr>
        <w:t>、政府采购供应商廉洁自律承诺书</w:t>
      </w:r>
    </w:p>
    <w:p w14:paraId="4FD97A3E">
      <w:pPr>
        <w:spacing w:line="360" w:lineRule="auto"/>
        <w:rPr>
          <w:rFonts w:hint="eastAsia" w:ascii="仿宋" w:hAnsi="仿宋" w:cs="仿宋"/>
          <w:color w:val="auto"/>
          <w:highlight w:val="none"/>
        </w:rPr>
      </w:pPr>
    </w:p>
    <w:p w14:paraId="49763A58">
      <w:pPr>
        <w:spacing w:line="360" w:lineRule="auto"/>
        <w:rPr>
          <w:rFonts w:hint="eastAsia" w:ascii="仿宋" w:hAnsi="仿宋" w:cs="仿宋"/>
          <w:color w:val="auto"/>
          <w:kern w:val="0"/>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2430C320">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我单位响应你</w:t>
      </w:r>
      <w:r>
        <w:rPr>
          <w:rFonts w:hint="eastAsia" w:ascii="仿宋" w:hAnsi="仿宋" w:cs="仿宋"/>
          <w:color w:val="auto"/>
          <w:highlight w:val="none"/>
        </w:rPr>
        <w:t>单位</w:t>
      </w:r>
      <w:r>
        <w:rPr>
          <w:rFonts w:hint="eastAsia" w:ascii="仿宋" w:hAnsi="仿宋" w:cs="仿宋"/>
          <w:color w:val="auto"/>
          <w:kern w:val="0"/>
          <w:highlight w:val="none"/>
          <w:lang w:val="zh-CN"/>
        </w:rPr>
        <w:t>项目招标要求参加投标。在这次投标过程中和中标后，我们将严格遵守国家法律法规要求，并郑重承诺：</w:t>
      </w:r>
    </w:p>
    <w:p w14:paraId="071919B1">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一、不向项目有关人员及部门赠送礼金礼物、有价证券、回扣以及中介费、介绍费、咨询费等好处费；</w:t>
      </w:r>
    </w:p>
    <w:p w14:paraId="05F4E283">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二、不为项目有关人员及部门报销应由你方单位或个人支付的费用；</w:t>
      </w:r>
    </w:p>
    <w:p w14:paraId="0FEDA7B7">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三、不向项目有关人员及部门提供有可能影响公正的宴请和健身娱乐等活动；</w:t>
      </w:r>
    </w:p>
    <w:p w14:paraId="07B56253">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四、不为项目有关人员及部门出国（境）、旅游等提供方便；</w:t>
      </w:r>
    </w:p>
    <w:p w14:paraId="771DEDD3">
      <w:pPr>
        <w:autoSpaceDE w:val="0"/>
        <w:autoSpaceDN w:val="0"/>
        <w:spacing w:line="360" w:lineRule="auto"/>
        <w:ind w:left="0" w:leftChars="0"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五、不为项目有关人员个人装修住房、婚丧嫁娶、配偶子女工作安排等提供</w:t>
      </w:r>
    </w:p>
    <w:p w14:paraId="735B30F5">
      <w:pPr>
        <w:autoSpaceDE w:val="0"/>
        <w:autoSpaceDN w:val="0"/>
        <w:spacing w:line="360" w:lineRule="auto"/>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好处；</w:t>
      </w:r>
    </w:p>
    <w:p w14:paraId="428BE423">
      <w:pPr>
        <w:autoSpaceDE w:val="0"/>
        <w:autoSpaceDN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六、严格遵守《</w:t>
      </w:r>
      <w:r>
        <w:rPr>
          <w:rFonts w:hint="eastAsia" w:ascii="仿宋" w:hAnsi="仿宋" w:cs="仿宋"/>
          <w:color w:val="auto"/>
          <w:highlight w:val="none"/>
          <w:lang w:val="zh-CN"/>
        </w:rPr>
        <w:t>中华人民共和国</w:t>
      </w:r>
      <w:r>
        <w:rPr>
          <w:rFonts w:hint="eastAsia" w:ascii="仿宋" w:hAnsi="仿宋" w:cs="仿宋"/>
          <w:color w:val="auto"/>
          <w:kern w:val="0"/>
          <w:highlight w:val="none"/>
          <w:lang w:val="zh-CN"/>
        </w:rPr>
        <w:t>政府采购法》《</w:t>
      </w:r>
      <w:r>
        <w:rPr>
          <w:rFonts w:hint="eastAsia" w:ascii="仿宋" w:hAnsi="仿宋" w:cs="仿宋"/>
          <w:color w:val="auto"/>
          <w:highlight w:val="none"/>
          <w:lang w:val="zh-CN"/>
        </w:rPr>
        <w:t>中华人民共和国</w:t>
      </w:r>
      <w:r>
        <w:rPr>
          <w:rFonts w:hint="eastAsia" w:ascii="仿宋" w:hAnsi="仿宋" w:cs="仿宋"/>
          <w:color w:val="auto"/>
          <w:kern w:val="0"/>
          <w:highlight w:val="none"/>
          <w:lang w:val="zh-CN"/>
        </w:rPr>
        <w:t>招标投标法》</w:t>
      </w:r>
      <w:r>
        <w:rPr>
          <w:rFonts w:hint="eastAsia" w:ascii="仿宋" w:hAnsi="仿宋" w:cs="仿宋"/>
          <w:color w:val="auto"/>
          <w:highlight w:val="none"/>
          <w:lang w:val="zh-CN"/>
        </w:rPr>
        <w:t>《中华人民共和国民法典》</w:t>
      </w:r>
      <w:r>
        <w:rPr>
          <w:rFonts w:hint="eastAsia" w:ascii="仿宋" w:hAnsi="仿宋" w:cs="仿宋"/>
          <w:color w:val="auto"/>
          <w:kern w:val="0"/>
          <w:highlight w:val="none"/>
          <w:lang w:val="zh-CN"/>
        </w:rPr>
        <w:t>等法律法规，诚实守信，合法经营，坚决抵制各种违法违纪行为。</w:t>
      </w:r>
    </w:p>
    <w:p w14:paraId="2C026260">
      <w:pPr>
        <w:autoSpaceDE w:val="0"/>
        <w:autoSpaceDN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如违反上述承诺，你</w:t>
      </w:r>
      <w:r>
        <w:rPr>
          <w:rFonts w:hint="eastAsia" w:ascii="仿宋" w:hAnsi="仿宋" w:cs="仿宋"/>
          <w:color w:val="auto"/>
          <w:highlight w:val="none"/>
        </w:rPr>
        <w:t>单位</w:t>
      </w:r>
      <w:r>
        <w:rPr>
          <w:rFonts w:hint="eastAsia" w:ascii="仿宋" w:hAnsi="仿宋" w:cs="仿宋"/>
          <w:color w:val="auto"/>
          <w:kern w:val="0"/>
          <w:highlight w:val="none"/>
          <w:lang w:val="zh-CN"/>
        </w:rPr>
        <w:t>有权立即取消我单位投标、中标或在建项目的建设资格，有权拒绝我单位在一定时期内进入你</w:t>
      </w:r>
      <w:r>
        <w:rPr>
          <w:rFonts w:hint="eastAsia" w:ascii="仿宋" w:hAnsi="仿宋" w:cs="仿宋"/>
          <w:color w:val="auto"/>
          <w:highlight w:val="none"/>
        </w:rPr>
        <w:t>单位</w:t>
      </w:r>
      <w:r>
        <w:rPr>
          <w:rFonts w:hint="eastAsia" w:ascii="仿宋" w:hAnsi="仿宋" w:cs="仿宋"/>
          <w:color w:val="auto"/>
          <w:kern w:val="0"/>
          <w:highlight w:val="none"/>
          <w:lang w:val="zh-CN"/>
        </w:rPr>
        <w:t>进行项目建设或其他经营活动，并通报浙江省财政厅。由此引起的相应损失均由我单位承担。</w:t>
      </w:r>
    </w:p>
    <w:p w14:paraId="4AA4CAC1">
      <w:pPr>
        <w:autoSpaceDE w:val="0"/>
        <w:autoSpaceDN w:val="0"/>
        <w:spacing w:line="360" w:lineRule="auto"/>
        <w:ind w:left="2"/>
        <w:jc w:val="left"/>
        <w:rPr>
          <w:rFonts w:hint="eastAsia" w:ascii="仿宋" w:hAnsi="仿宋" w:cs="仿宋"/>
          <w:color w:val="auto"/>
          <w:kern w:val="0"/>
          <w:highlight w:val="none"/>
          <w:lang w:val="zh-CN"/>
        </w:rPr>
      </w:pPr>
    </w:p>
    <w:p w14:paraId="545AFA35">
      <w:pPr>
        <w:autoSpaceDE w:val="0"/>
        <w:autoSpaceDN w:val="0"/>
        <w:spacing w:line="360" w:lineRule="auto"/>
        <w:ind w:left="2"/>
        <w:jc w:val="left"/>
        <w:rPr>
          <w:rFonts w:hint="eastAsia" w:ascii="仿宋" w:hAnsi="仿宋" w:cs="仿宋"/>
          <w:color w:val="auto"/>
          <w:kern w:val="0"/>
          <w:highlight w:val="none"/>
          <w:lang w:val="zh-CN"/>
        </w:rPr>
      </w:pPr>
    </w:p>
    <w:p w14:paraId="6825E2AF">
      <w:pPr>
        <w:autoSpaceDE w:val="0"/>
        <w:autoSpaceDN w:val="0"/>
        <w:spacing w:line="360" w:lineRule="auto"/>
        <w:ind w:left="2"/>
        <w:jc w:val="left"/>
        <w:rPr>
          <w:rFonts w:hint="eastAsia" w:ascii="仿宋" w:hAnsi="仿宋" w:cs="仿宋"/>
          <w:color w:val="auto"/>
          <w:kern w:val="0"/>
          <w:highlight w:val="none"/>
          <w:lang w:val="zh-CN"/>
        </w:rPr>
      </w:pPr>
    </w:p>
    <w:p w14:paraId="05C57F7E">
      <w:pPr>
        <w:autoSpaceDE w:val="0"/>
        <w:autoSpaceDN w:val="0"/>
        <w:spacing w:line="360" w:lineRule="auto"/>
        <w:ind w:left="2" w:leftChars="1" w:right="1120" w:firstLine="4560" w:firstLineChars="19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投标人名称（</w:t>
      </w:r>
      <w:r>
        <w:rPr>
          <w:rFonts w:hint="eastAsia" w:ascii="仿宋" w:hAnsi="仿宋" w:cs="仿宋"/>
          <w:color w:val="auto"/>
          <w:highlight w:val="none"/>
        </w:rPr>
        <w:t>电子签名</w:t>
      </w:r>
      <w:r>
        <w:rPr>
          <w:rFonts w:hint="eastAsia" w:ascii="仿宋" w:hAnsi="仿宋" w:cs="仿宋"/>
          <w:color w:val="auto"/>
          <w:kern w:val="0"/>
          <w:highlight w:val="none"/>
          <w:lang w:val="zh-CN"/>
        </w:rPr>
        <w:t>）：</w:t>
      </w:r>
    </w:p>
    <w:p w14:paraId="735EF45F">
      <w:pPr>
        <w:spacing w:line="360" w:lineRule="auto"/>
        <w:ind w:left="5280" w:leftChars="2200"/>
        <w:rPr>
          <w:rFonts w:hint="eastAsia" w:ascii="仿宋" w:hAnsi="仿宋" w:cs="仿宋"/>
          <w:color w:val="auto"/>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10FD35BA">
      <w:pPr>
        <w:rPr>
          <w:rFonts w:hint="eastAsia" w:ascii="仿宋" w:hAnsi="仿宋" w:cs="仿宋"/>
          <w:b/>
          <w:color w:val="auto"/>
          <w:kern w:val="0"/>
          <w:sz w:val="36"/>
          <w:szCs w:val="36"/>
          <w:highlight w:val="none"/>
        </w:rPr>
      </w:pPr>
    </w:p>
    <w:p w14:paraId="3943134D">
      <w:pPr>
        <w:rPr>
          <w:rFonts w:hint="eastAsia" w:ascii="仿宋" w:hAnsi="仿宋" w:cs="仿宋"/>
          <w:b/>
          <w:color w:val="auto"/>
          <w:kern w:val="0"/>
          <w:sz w:val="36"/>
          <w:szCs w:val="36"/>
          <w:highlight w:val="none"/>
        </w:rPr>
      </w:pPr>
    </w:p>
    <w:p w14:paraId="2F222F64">
      <w:pPr>
        <w:rPr>
          <w:rFonts w:hint="eastAsia" w:ascii="仿宋" w:hAnsi="仿宋" w:cs="仿宋"/>
          <w:b/>
          <w:color w:val="auto"/>
          <w:kern w:val="0"/>
          <w:sz w:val="36"/>
          <w:szCs w:val="36"/>
          <w:highlight w:val="none"/>
        </w:rPr>
      </w:pPr>
    </w:p>
    <w:p w14:paraId="0D38FF6F">
      <w:pPr>
        <w:rPr>
          <w:rFonts w:hint="eastAsia" w:ascii="仿宋" w:hAnsi="仿宋" w:cs="仿宋"/>
          <w:b/>
          <w:color w:val="auto"/>
          <w:kern w:val="0"/>
          <w:sz w:val="36"/>
          <w:szCs w:val="36"/>
          <w:highlight w:val="none"/>
        </w:rPr>
      </w:pPr>
      <w:r>
        <w:rPr>
          <w:rFonts w:hint="eastAsia" w:ascii="仿宋" w:hAnsi="仿宋" w:cs="仿宋"/>
          <w:color w:val="auto"/>
          <w:kern w:val="0"/>
          <w:highlight w:val="none"/>
          <w:lang w:val="zh-CN"/>
        </w:rPr>
        <w:t>注：按本格式和要求提供。</w:t>
      </w:r>
      <w:r>
        <w:rPr>
          <w:rFonts w:hint="eastAsia" w:ascii="仿宋" w:hAnsi="仿宋" w:cs="仿宋"/>
          <w:b/>
          <w:color w:val="auto"/>
          <w:kern w:val="0"/>
          <w:sz w:val="36"/>
          <w:szCs w:val="36"/>
          <w:highlight w:val="none"/>
        </w:rPr>
        <w:br w:type="page"/>
      </w:r>
    </w:p>
    <w:p w14:paraId="330B1F84">
      <w:pPr>
        <w:spacing w:line="360" w:lineRule="auto"/>
        <w:jc w:val="center"/>
        <w:outlineLvl w:val="1"/>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报价文件部分</w:t>
      </w:r>
    </w:p>
    <w:p w14:paraId="62799DAE">
      <w:pPr>
        <w:jc w:val="center"/>
        <w:rPr>
          <w:rFonts w:hint="eastAsia" w:ascii="仿宋" w:hAnsi="仿宋" w:cs="仿宋"/>
          <w:b/>
          <w:bCs/>
          <w:color w:val="auto"/>
          <w:sz w:val="28"/>
          <w:szCs w:val="28"/>
          <w:highlight w:val="none"/>
        </w:rPr>
      </w:pPr>
    </w:p>
    <w:p w14:paraId="115CD602">
      <w:pPr>
        <w:jc w:val="center"/>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目录</w:t>
      </w:r>
    </w:p>
    <w:p w14:paraId="4889E2B7">
      <w:pPr>
        <w:pBdr>
          <w:top w:val="none" w:color="auto" w:sz="0" w:space="0"/>
          <w:left w:val="none" w:color="auto" w:sz="0" w:space="0"/>
          <w:bottom w:val="none" w:color="auto" w:sz="0" w:space="0"/>
          <w:right w:val="none" w:color="auto" w:sz="0" w:space="0"/>
          <w:between w:val="none" w:color="auto" w:sz="0" w:space="0"/>
        </w:pBdr>
        <w:rPr>
          <w:rFonts w:hint="eastAsia" w:ascii="仿宋" w:hAnsi="仿宋" w:cs="仿宋"/>
          <w:color w:val="auto"/>
          <w:highlight w:val="none"/>
        </w:rPr>
      </w:pPr>
    </w:p>
    <w:p w14:paraId="366C3EB0">
      <w:pPr>
        <w:numPr>
          <w:ilvl w:val="0"/>
          <w:numId w:val="16"/>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仿宋" w:hAnsi="仿宋" w:cs="仿宋"/>
          <w:color w:val="auto"/>
          <w:highlight w:val="none"/>
        </w:rPr>
      </w:pPr>
      <w:r>
        <w:rPr>
          <w:rFonts w:hint="eastAsia" w:ascii="仿宋" w:hAnsi="仿宋" w:cs="仿宋"/>
          <w:color w:val="auto"/>
          <w:highlight w:val="none"/>
        </w:rPr>
        <w:t>开标一览表（报价表）…………………………………………………………（页码）</w:t>
      </w:r>
    </w:p>
    <w:p w14:paraId="3B46649A">
      <w:pPr>
        <w:pBdr>
          <w:top w:val="none" w:color="auto" w:sz="0" w:space="0"/>
          <w:left w:val="none" w:color="auto" w:sz="0" w:space="0"/>
          <w:bottom w:val="none" w:color="auto" w:sz="0" w:space="0"/>
          <w:right w:val="none" w:color="auto" w:sz="0" w:space="0"/>
          <w:between w:val="none" w:color="auto" w:sz="0" w:space="0"/>
        </w:pBdr>
        <w:spacing w:line="360" w:lineRule="auto"/>
        <w:rPr>
          <w:color w:val="auto"/>
          <w:highlight w:val="none"/>
        </w:rPr>
      </w:pPr>
      <w:r>
        <w:rPr>
          <w:rFonts w:hint="eastAsia" w:ascii="仿宋" w:hAnsi="仿宋" w:cs="仿宋"/>
          <w:color w:val="auto"/>
          <w:highlight w:val="none"/>
        </w:rPr>
        <w:t>（2）中小企业声明函（如果有）……………………………………………………（页码）</w:t>
      </w:r>
    </w:p>
    <w:p w14:paraId="4E6C4867">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仿宋" w:hAnsi="仿宋" w:cs="仿宋"/>
          <w:color w:val="auto"/>
          <w:highlight w:val="none"/>
        </w:rPr>
      </w:pPr>
      <w:r>
        <w:rPr>
          <w:rFonts w:hint="eastAsia" w:ascii="仿宋" w:hAnsi="仿宋" w:cs="仿宋"/>
          <w:color w:val="auto"/>
          <w:highlight w:val="none"/>
        </w:rPr>
        <w:t>（3）中标服务费支付承诺书…………………………………………………………（页码）</w:t>
      </w:r>
    </w:p>
    <w:p w14:paraId="56CE9FE5">
      <w:pPr>
        <w:spacing w:line="360" w:lineRule="auto"/>
        <w:ind w:right="480"/>
        <w:jc w:val="center"/>
        <w:rPr>
          <w:rFonts w:hint="eastAsia" w:ascii="仿宋" w:hAnsi="仿宋" w:cs="仿宋"/>
          <w:b/>
          <w:color w:val="auto"/>
          <w:kern w:val="0"/>
          <w:sz w:val="32"/>
          <w:szCs w:val="32"/>
          <w:highlight w:val="none"/>
        </w:rPr>
      </w:pPr>
    </w:p>
    <w:p w14:paraId="40FBC205">
      <w:pPr>
        <w:spacing w:line="360" w:lineRule="auto"/>
        <w:ind w:right="480"/>
        <w:jc w:val="center"/>
        <w:rPr>
          <w:rFonts w:hint="eastAsia" w:ascii="仿宋" w:hAnsi="仿宋" w:cs="仿宋"/>
          <w:b/>
          <w:color w:val="auto"/>
          <w:kern w:val="0"/>
          <w:sz w:val="32"/>
          <w:szCs w:val="32"/>
          <w:highlight w:val="none"/>
        </w:rPr>
      </w:pPr>
    </w:p>
    <w:p w14:paraId="012B930B">
      <w:pPr>
        <w:spacing w:line="360" w:lineRule="auto"/>
        <w:ind w:right="480"/>
        <w:jc w:val="center"/>
        <w:rPr>
          <w:rFonts w:hint="eastAsia" w:ascii="仿宋" w:hAnsi="仿宋" w:cs="仿宋"/>
          <w:b/>
          <w:color w:val="auto"/>
          <w:kern w:val="0"/>
          <w:sz w:val="32"/>
          <w:szCs w:val="32"/>
          <w:highlight w:val="none"/>
        </w:rPr>
      </w:pPr>
    </w:p>
    <w:p w14:paraId="3218107B">
      <w:pPr>
        <w:spacing w:line="360" w:lineRule="auto"/>
        <w:ind w:right="480"/>
        <w:jc w:val="center"/>
        <w:rPr>
          <w:rFonts w:hint="eastAsia" w:ascii="仿宋" w:hAnsi="仿宋" w:cs="仿宋"/>
          <w:b/>
          <w:color w:val="auto"/>
          <w:kern w:val="0"/>
          <w:sz w:val="32"/>
          <w:szCs w:val="32"/>
          <w:highlight w:val="none"/>
        </w:rPr>
      </w:pPr>
    </w:p>
    <w:p w14:paraId="043CD32B">
      <w:pPr>
        <w:spacing w:line="360" w:lineRule="auto"/>
        <w:ind w:right="480"/>
        <w:jc w:val="center"/>
        <w:rPr>
          <w:rFonts w:hint="eastAsia" w:ascii="仿宋" w:hAnsi="仿宋" w:cs="仿宋"/>
          <w:b/>
          <w:color w:val="auto"/>
          <w:kern w:val="0"/>
          <w:sz w:val="32"/>
          <w:szCs w:val="32"/>
          <w:highlight w:val="none"/>
        </w:rPr>
      </w:pPr>
    </w:p>
    <w:p w14:paraId="720C1E05">
      <w:pPr>
        <w:spacing w:line="360" w:lineRule="auto"/>
        <w:ind w:right="480"/>
        <w:jc w:val="center"/>
        <w:rPr>
          <w:rFonts w:hint="eastAsia" w:ascii="仿宋" w:hAnsi="仿宋" w:cs="仿宋"/>
          <w:b/>
          <w:color w:val="auto"/>
          <w:kern w:val="0"/>
          <w:sz w:val="32"/>
          <w:szCs w:val="32"/>
          <w:highlight w:val="none"/>
        </w:rPr>
      </w:pPr>
    </w:p>
    <w:p w14:paraId="44A6AFCF">
      <w:pPr>
        <w:spacing w:line="360" w:lineRule="auto"/>
        <w:ind w:right="480"/>
        <w:jc w:val="center"/>
        <w:rPr>
          <w:rFonts w:hint="eastAsia" w:ascii="仿宋" w:hAnsi="仿宋" w:cs="仿宋"/>
          <w:b/>
          <w:color w:val="auto"/>
          <w:kern w:val="0"/>
          <w:sz w:val="32"/>
          <w:szCs w:val="32"/>
          <w:highlight w:val="none"/>
        </w:rPr>
      </w:pPr>
    </w:p>
    <w:p w14:paraId="3CE9A6CC">
      <w:pPr>
        <w:spacing w:line="360" w:lineRule="auto"/>
        <w:ind w:right="480"/>
        <w:jc w:val="center"/>
        <w:rPr>
          <w:rFonts w:hint="eastAsia" w:ascii="仿宋" w:hAnsi="仿宋" w:cs="仿宋"/>
          <w:b/>
          <w:color w:val="auto"/>
          <w:kern w:val="0"/>
          <w:sz w:val="32"/>
          <w:szCs w:val="32"/>
          <w:highlight w:val="none"/>
        </w:rPr>
      </w:pPr>
    </w:p>
    <w:p w14:paraId="2917A3DE">
      <w:pPr>
        <w:spacing w:line="360" w:lineRule="auto"/>
        <w:ind w:right="480"/>
        <w:jc w:val="center"/>
        <w:rPr>
          <w:rFonts w:hint="eastAsia" w:ascii="仿宋" w:hAnsi="仿宋" w:cs="仿宋"/>
          <w:b/>
          <w:color w:val="auto"/>
          <w:kern w:val="0"/>
          <w:sz w:val="32"/>
          <w:szCs w:val="32"/>
          <w:highlight w:val="none"/>
        </w:rPr>
      </w:pPr>
    </w:p>
    <w:p w14:paraId="2330FFDC">
      <w:pPr>
        <w:spacing w:line="360" w:lineRule="auto"/>
        <w:ind w:right="480"/>
        <w:jc w:val="center"/>
        <w:rPr>
          <w:rFonts w:hint="eastAsia" w:ascii="仿宋" w:hAnsi="仿宋" w:cs="仿宋"/>
          <w:b/>
          <w:color w:val="auto"/>
          <w:kern w:val="0"/>
          <w:sz w:val="32"/>
          <w:szCs w:val="32"/>
          <w:highlight w:val="none"/>
        </w:rPr>
      </w:pPr>
    </w:p>
    <w:p w14:paraId="1004DBC5">
      <w:pPr>
        <w:spacing w:line="360" w:lineRule="auto"/>
        <w:ind w:right="480"/>
        <w:jc w:val="center"/>
        <w:rPr>
          <w:rFonts w:hint="eastAsia" w:ascii="仿宋" w:hAnsi="仿宋" w:cs="仿宋"/>
          <w:b/>
          <w:color w:val="auto"/>
          <w:kern w:val="0"/>
          <w:sz w:val="32"/>
          <w:szCs w:val="32"/>
          <w:highlight w:val="none"/>
        </w:rPr>
      </w:pPr>
    </w:p>
    <w:p w14:paraId="30BEB3DF">
      <w:pPr>
        <w:spacing w:line="360" w:lineRule="auto"/>
        <w:ind w:right="480"/>
        <w:jc w:val="center"/>
        <w:rPr>
          <w:rFonts w:hint="eastAsia" w:ascii="仿宋" w:hAnsi="仿宋" w:cs="仿宋"/>
          <w:b/>
          <w:color w:val="auto"/>
          <w:kern w:val="0"/>
          <w:sz w:val="32"/>
          <w:szCs w:val="32"/>
          <w:highlight w:val="none"/>
        </w:rPr>
      </w:pPr>
    </w:p>
    <w:p w14:paraId="0D4F6273">
      <w:pPr>
        <w:spacing w:line="360" w:lineRule="auto"/>
        <w:ind w:right="480"/>
        <w:jc w:val="center"/>
        <w:rPr>
          <w:rFonts w:hint="eastAsia" w:ascii="仿宋" w:hAnsi="仿宋" w:cs="仿宋"/>
          <w:b/>
          <w:color w:val="auto"/>
          <w:kern w:val="0"/>
          <w:sz w:val="32"/>
          <w:szCs w:val="32"/>
          <w:highlight w:val="none"/>
        </w:rPr>
      </w:pPr>
    </w:p>
    <w:p w14:paraId="6E278528">
      <w:pPr>
        <w:spacing w:line="360" w:lineRule="auto"/>
        <w:ind w:right="480"/>
        <w:jc w:val="center"/>
        <w:rPr>
          <w:rFonts w:hint="eastAsia" w:ascii="仿宋" w:hAnsi="仿宋" w:cs="仿宋"/>
          <w:b/>
          <w:color w:val="auto"/>
          <w:kern w:val="0"/>
          <w:sz w:val="32"/>
          <w:szCs w:val="32"/>
          <w:highlight w:val="none"/>
        </w:rPr>
      </w:pPr>
    </w:p>
    <w:p w14:paraId="45AA2C64">
      <w:pPr>
        <w:spacing w:line="360" w:lineRule="auto"/>
        <w:ind w:right="480"/>
        <w:jc w:val="center"/>
        <w:rPr>
          <w:rFonts w:hint="eastAsia" w:ascii="仿宋" w:hAnsi="仿宋" w:cs="仿宋"/>
          <w:b/>
          <w:color w:val="auto"/>
          <w:kern w:val="0"/>
          <w:sz w:val="32"/>
          <w:szCs w:val="32"/>
          <w:highlight w:val="none"/>
        </w:rPr>
      </w:pPr>
    </w:p>
    <w:p w14:paraId="708722CD">
      <w:pPr>
        <w:pStyle w:val="693"/>
        <w:keepNext w:val="0"/>
        <w:pageBreakBefore w:val="0"/>
        <w:tabs>
          <w:tab w:val="clear" w:pos="720"/>
        </w:tabs>
        <w:spacing w:before="120" w:after="120"/>
        <w:ind w:firstLine="643"/>
        <w:outlineLvl w:val="9"/>
        <w:rPr>
          <w:rFonts w:hint="eastAsia" w:ascii="仿宋" w:hAnsi="仿宋" w:eastAsia="仿宋" w:cs="仿宋"/>
          <w:color w:val="auto"/>
          <w:kern w:val="2"/>
          <w:sz w:val="32"/>
          <w:szCs w:val="32"/>
          <w:highlight w:val="none"/>
        </w:rPr>
        <w:sectPr>
          <w:headerReference r:id="rId12" w:type="default"/>
          <w:footerReference r:id="rId13" w:type="default"/>
          <w:pgSz w:w="11906" w:h="16838"/>
          <w:pgMar w:top="1276" w:right="1418" w:bottom="1247" w:left="1418" w:header="851" w:footer="992" w:gutter="0"/>
          <w:cols w:space="0" w:num="1"/>
          <w:titlePg/>
          <w:docGrid w:linePitch="312" w:charSpace="0"/>
        </w:sectPr>
      </w:pPr>
    </w:p>
    <w:p w14:paraId="1139DD4F">
      <w:pPr>
        <w:spacing w:line="360" w:lineRule="auto"/>
        <w:jc w:val="center"/>
        <w:outlineLvl w:val="2"/>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lang w:val="zh-CN"/>
        </w:rPr>
        <w:t>一、开标一览表（报价表）</w:t>
      </w:r>
    </w:p>
    <w:p w14:paraId="6EA7913F">
      <w:pPr>
        <w:spacing w:line="360" w:lineRule="auto"/>
        <w:rPr>
          <w:rFonts w:hint="eastAsia" w:ascii="仿宋" w:hAnsi="仿宋" w:cs="仿宋"/>
          <w:color w:val="auto"/>
          <w:kern w:val="0"/>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1FF89C69">
      <w:pPr>
        <w:spacing w:line="360" w:lineRule="auto"/>
        <w:ind w:firstLine="482"/>
        <w:rPr>
          <w:rFonts w:hint="eastAsia" w:ascii="仿宋" w:hAnsi="仿宋" w:cs="仿宋"/>
          <w:color w:val="auto"/>
          <w:kern w:val="0"/>
          <w:highlight w:val="none"/>
          <w:lang w:val="zh-CN"/>
        </w:rPr>
      </w:pPr>
      <w:r>
        <w:rPr>
          <w:rFonts w:hint="eastAsia" w:ascii="仿宋" w:hAnsi="仿宋" w:cs="仿宋"/>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cs="仿宋"/>
          <w:color w:val="auto"/>
          <w:highlight w:val="none"/>
          <w:u w:val="single"/>
        </w:rPr>
        <w:t>（项目名称）</w:t>
      </w:r>
      <w:r>
        <w:rPr>
          <w:rFonts w:hint="eastAsia" w:ascii="仿宋" w:hAnsi="仿宋" w:cs="仿宋"/>
          <w:color w:val="auto"/>
          <w:kern w:val="0"/>
          <w:highlight w:val="none"/>
          <w:lang w:val="zh-CN"/>
        </w:rPr>
        <w:t>【招标编号：</w:t>
      </w:r>
      <w:r>
        <w:rPr>
          <w:rFonts w:hint="eastAsia" w:ascii="仿宋" w:hAnsi="仿宋" w:cs="仿宋"/>
          <w:color w:val="auto"/>
          <w:highlight w:val="none"/>
        </w:rPr>
        <w:t>】的实施</w:t>
      </w:r>
      <w:r>
        <w:rPr>
          <w:rFonts w:hint="eastAsia" w:ascii="仿宋" w:hAnsi="仿宋" w:cs="仿宋"/>
          <w:color w:val="auto"/>
          <w:kern w:val="0"/>
          <w:highlight w:val="none"/>
          <w:lang w:val="zh-CN"/>
        </w:rPr>
        <w:t>。</w:t>
      </w:r>
    </w:p>
    <w:p w14:paraId="38D5941D">
      <w:pPr>
        <w:spacing w:line="360" w:lineRule="auto"/>
        <w:jc w:val="center"/>
        <w:rPr>
          <w:rFonts w:hint="eastAsia" w:ascii="仿宋" w:hAnsi="仿宋" w:cs="仿宋"/>
          <w:b/>
          <w:color w:val="auto"/>
          <w:kern w:val="0"/>
          <w:highlight w:val="none"/>
          <w:lang w:val="zh-CN"/>
        </w:rPr>
      </w:pPr>
      <w:r>
        <w:rPr>
          <w:rFonts w:hint="eastAsia" w:ascii="仿宋" w:hAnsi="仿宋" w:cs="仿宋"/>
          <w:b/>
          <w:color w:val="auto"/>
          <w:kern w:val="0"/>
          <w:highlight w:val="none"/>
          <w:lang w:val="zh-CN"/>
        </w:rPr>
        <w:t>开标一览表（报价表）</w:t>
      </w:r>
    </w:p>
    <w:tbl>
      <w:tblPr>
        <w:tblStyle w:val="6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551"/>
        <w:gridCol w:w="3907"/>
        <w:gridCol w:w="2349"/>
      </w:tblGrid>
      <w:tr w14:paraId="567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tcBorders>
              <w:tl2br w:val="nil"/>
              <w:tr2bl w:val="nil"/>
            </w:tcBorders>
            <w:vAlign w:val="center"/>
          </w:tcPr>
          <w:p w14:paraId="4C80E046">
            <w:pPr>
              <w:jc w:val="center"/>
              <w:rPr>
                <w:rFonts w:hint="eastAsia" w:ascii="仿宋" w:hAnsi="仿宋" w:cs="仿宋"/>
                <w:b/>
                <w:bCs/>
                <w:color w:val="auto"/>
                <w:szCs w:val="21"/>
                <w:highlight w:val="none"/>
              </w:rPr>
            </w:pPr>
            <w:r>
              <w:rPr>
                <w:rFonts w:hint="eastAsia" w:ascii="仿宋" w:hAnsi="仿宋" w:cs="仿宋"/>
                <w:b/>
                <w:bCs/>
                <w:color w:val="auto"/>
                <w:szCs w:val="21"/>
                <w:highlight w:val="none"/>
              </w:rPr>
              <w:t>序号</w:t>
            </w:r>
          </w:p>
        </w:tc>
        <w:tc>
          <w:tcPr>
            <w:tcW w:w="2551" w:type="dxa"/>
            <w:tcBorders>
              <w:tl2br w:val="nil"/>
              <w:tr2bl w:val="nil"/>
            </w:tcBorders>
            <w:vAlign w:val="center"/>
          </w:tcPr>
          <w:p w14:paraId="2FA9469C">
            <w:pPr>
              <w:jc w:val="center"/>
              <w:rPr>
                <w:rFonts w:hint="eastAsia" w:ascii="仿宋" w:hAnsi="仿宋" w:cs="仿宋"/>
                <w:b/>
                <w:bCs/>
                <w:color w:val="auto"/>
                <w:szCs w:val="21"/>
                <w:highlight w:val="none"/>
              </w:rPr>
            </w:pPr>
            <w:r>
              <w:rPr>
                <w:rFonts w:hint="eastAsia" w:ascii="仿宋" w:hAnsi="仿宋" w:cs="仿宋"/>
                <w:b/>
                <w:bCs/>
                <w:color w:val="auto"/>
                <w:szCs w:val="21"/>
                <w:highlight w:val="none"/>
              </w:rPr>
              <w:t>费用名称</w:t>
            </w:r>
          </w:p>
        </w:tc>
        <w:tc>
          <w:tcPr>
            <w:tcW w:w="3907" w:type="dxa"/>
            <w:tcBorders>
              <w:tl2br w:val="nil"/>
              <w:tr2bl w:val="nil"/>
            </w:tcBorders>
            <w:vAlign w:val="center"/>
          </w:tcPr>
          <w:p w14:paraId="679DF33C">
            <w:pPr>
              <w:jc w:val="center"/>
              <w:rPr>
                <w:rFonts w:hint="eastAsia" w:ascii="仿宋" w:hAnsi="仿宋" w:cs="仿宋"/>
                <w:b/>
                <w:bCs/>
                <w:color w:val="auto"/>
                <w:szCs w:val="21"/>
                <w:highlight w:val="none"/>
              </w:rPr>
            </w:pPr>
            <w:r>
              <w:rPr>
                <w:rFonts w:hint="eastAsia" w:ascii="仿宋" w:hAnsi="仿宋" w:cs="仿宋"/>
                <w:b/>
                <w:bCs/>
                <w:color w:val="auto"/>
                <w:szCs w:val="21"/>
                <w:highlight w:val="none"/>
              </w:rPr>
              <w:t>总价（含税）（人民币元）</w:t>
            </w:r>
          </w:p>
        </w:tc>
        <w:tc>
          <w:tcPr>
            <w:tcW w:w="2349" w:type="dxa"/>
            <w:tcBorders>
              <w:tl2br w:val="nil"/>
              <w:tr2bl w:val="nil"/>
            </w:tcBorders>
            <w:vAlign w:val="center"/>
          </w:tcPr>
          <w:p w14:paraId="62C81C25">
            <w:pPr>
              <w:jc w:val="center"/>
              <w:rPr>
                <w:rFonts w:hint="eastAsia" w:ascii="仿宋" w:hAnsi="仿宋" w:cs="仿宋"/>
                <w:b/>
                <w:bCs/>
                <w:color w:val="auto"/>
                <w:szCs w:val="21"/>
                <w:highlight w:val="none"/>
              </w:rPr>
            </w:pPr>
            <w:r>
              <w:rPr>
                <w:rFonts w:hint="eastAsia" w:ascii="仿宋" w:hAnsi="仿宋" w:cs="仿宋"/>
                <w:b/>
                <w:bCs/>
                <w:color w:val="auto"/>
                <w:szCs w:val="21"/>
                <w:highlight w:val="none"/>
              </w:rPr>
              <w:t>备注</w:t>
            </w:r>
          </w:p>
        </w:tc>
      </w:tr>
      <w:tr w14:paraId="4CCE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tcBorders>
              <w:tl2br w:val="nil"/>
              <w:tr2bl w:val="nil"/>
            </w:tcBorders>
            <w:vAlign w:val="center"/>
          </w:tcPr>
          <w:p w14:paraId="135F18F4">
            <w:pPr>
              <w:jc w:val="center"/>
              <w:rPr>
                <w:rFonts w:hint="eastAsia" w:ascii="仿宋" w:hAnsi="仿宋" w:cs="仿宋"/>
                <w:color w:val="auto"/>
                <w:szCs w:val="21"/>
                <w:highlight w:val="none"/>
              </w:rPr>
            </w:pPr>
            <w:r>
              <w:rPr>
                <w:rFonts w:hint="eastAsia" w:ascii="仿宋" w:hAnsi="仿宋" w:cs="仿宋"/>
                <w:color w:val="auto"/>
                <w:szCs w:val="21"/>
                <w:highlight w:val="none"/>
              </w:rPr>
              <w:t>1</w:t>
            </w:r>
          </w:p>
        </w:tc>
        <w:tc>
          <w:tcPr>
            <w:tcW w:w="2551" w:type="dxa"/>
            <w:tcBorders>
              <w:tl2br w:val="nil"/>
              <w:tr2bl w:val="nil"/>
            </w:tcBorders>
            <w:vAlign w:val="center"/>
          </w:tcPr>
          <w:p w14:paraId="4639FDED">
            <w:pPr>
              <w:jc w:val="center"/>
              <w:rPr>
                <w:rFonts w:hint="eastAsia" w:ascii="仿宋" w:hAnsi="仿宋" w:cs="仿宋"/>
                <w:color w:val="auto"/>
                <w:szCs w:val="21"/>
                <w:highlight w:val="none"/>
              </w:rPr>
            </w:pPr>
            <w:r>
              <w:rPr>
                <w:rFonts w:hint="eastAsia" w:ascii="仿宋" w:hAnsi="仿宋" w:cs="仿宋"/>
                <w:color w:val="auto"/>
                <w:szCs w:val="21"/>
                <w:highlight w:val="none"/>
              </w:rPr>
              <w:t>项目建议书编制费</w:t>
            </w:r>
          </w:p>
        </w:tc>
        <w:tc>
          <w:tcPr>
            <w:tcW w:w="3907" w:type="dxa"/>
            <w:tcBorders>
              <w:tl2br w:val="nil"/>
              <w:tr2bl w:val="nil"/>
            </w:tcBorders>
            <w:vAlign w:val="center"/>
          </w:tcPr>
          <w:p w14:paraId="58B7950A">
            <w:pPr>
              <w:jc w:val="center"/>
              <w:rPr>
                <w:rFonts w:hint="eastAsia" w:ascii="仿宋" w:hAnsi="仿宋" w:cs="仿宋"/>
                <w:color w:val="auto"/>
                <w:szCs w:val="21"/>
                <w:highlight w:val="none"/>
              </w:rPr>
            </w:pPr>
          </w:p>
        </w:tc>
        <w:tc>
          <w:tcPr>
            <w:tcW w:w="2349" w:type="dxa"/>
            <w:tcBorders>
              <w:tl2br w:val="nil"/>
              <w:tr2bl w:val="nil"/>
            </w:tcBorders>
            <w:vAlign w:val="center"/>
          </w:tcPr>
          <w:p w14:paraId="063C3D4F">
            <w:pPr>
              <w:jc w:val="center"/>
              <w:rPr>
                <w:rFonts w:hint="eastAsia" w:ascii="仿宋" w:hAnsi="仿宋" w:cs="仿宋"/>
                <w:color w:val="auto"/>
                <w:szCs w:val="21"/>
                <w:highlight w:val="none"/>
              </w:rPr>
            </w:pPr>
          </w:p>
        </w:tc>
      </w:tr>
      <w:tr w14:paraId="2E00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tcBorders>
              <w:tl2br w:val="nil"/>
              <w:tr2bl w:val="nil"/>
            </w:tcBorders>
            <w:vAlign w:val="center"/>
          </w:tcPr>
          <w:p w14:paraId="7475AE7D">
            <w:pPr>
              <w:jc w:val="center"/>
              <w:rPr>
                <w:rFonts w:hint="eastAsia" w:ascii="仿宋" w:hAnsi="仿宋" w:cs="仿宋"/>
                <w:color w:val="auto"/>
                <w:szCs w:val="21"/>
                <w:highlight w:val="none"/>
              </w:rPr>
            </w:pPr>
            <w:r>
              <w:rPr>
                <w:rFonts w:hint="eastAsia" w:ascii="仿宋" w:hAnsi="仿宋" w:cs="仿宋"/>
                <w:color w:val="auto"/>
                <w:szCs w:val="21"/>
                <w:highlight w:val="none"/>
              </w:rPr>
              <w:t>2</w:t>
            </w:r>
          </w:p>
        </w:tc>
        <w:tc>
          <w:tcPr>
            <w:tcW w:w="2551" w:type="dxa"/>
            <w:tcBorders>
              <w:tl2br w:val="nil"/>
              <w:tr2bl w:val="nil"/>
            </w:tcBorders>
            <w:vAlign w:val="center"/>
          </w:tcPr>
          <w:p w14:paraId="4FF17CC5">
            <w:pPr>
              <w:jc w:val="center"/>
              <w:rPr>
                <w:rFonts w:hint="eastAsia" w:ascii="仿宋" w:hAnsi="仿宋" w:cs="仿宋"/>
                <w:color w:val="auto"/>
                <w:szCs w:val="21"/>
                <w:highlight w:val="none"/>
              </w:rPr>
            </w:pPr>
            <w:r>
              <w:rPr>
                <w:rFonts w:hint="eastAsia" w:ascii="仿宋" w:hAnsi="仿宋" w:cs="仿宋"/>
                <w:color w:val="auto"/>
                <w:szCs w:val="21"/>
                <w:highlight w:val="none"/>
              </w:rPr>
              <w:t>堤脚冲刷专题研究</w:t>
            </w:r>
          </w:p>
        </w:tc>
        <w:tc>
          <w:tcPr>
            <w:tcW w:w="3907" w:type="dxa"/>
            <w:tcBorders>
              <w:tl2br w:val="nil"/>
              <w:tr2bl w:val="nil"/>
            </w:tcBorders>
            <w:vAlign w:val="center"/>
          </w:tcPr>
          <w:p w14:paraId="7A760A33">
            <w:pPr>
              <w:jc w:val="center"/>
              <w:rPr>
                <w:rFonts w:hint="eastAsia" w:ascii="仿宋" w:hAnsi="仿宋" w:cs="仿宋"/>
                <w:color w:val="auto"/>
                <w:szCs w:val="21"/>
                <w:highlight w:val="none"/>
              </w:rPr>
            </w:pPr>
          </w:p>
        </w:tc>
        <w:tc>
          <w:tcPr>
            <w:tcW w:w="2349" w:type="dxa"/>
            <w:tcBorders>
              <w:tl2br w:val="nil"/>
              <w:tr2bl w:val="nil"/>
            </w:tcBorders>
            <w:vAlign w:val="center"/>
          </w:tcPr>
          <w:p w14:paraId="0AC7FE6F">
            <w:pPr>
              <w:jc w:val="center"/>
              <w:rPr>
                <w:rFonts w:hint="eastAsia" w:ascii="仿宋" w:hAnsi="仿宋" w:cs="仿宋"/>
                <w:color w:val="auto"/>
                <w:szCs w:val="21"/>
                <w:highlight w:val="none"/>
              </w:rPr>
            </w:pPr>
            <w:r>
              <w:rPr>
                <w:rFonts w:hint="eastAsia" w:ascii="仿宋" w:hAnsi="仿宋" w:cs="仿宋"/>
                <w:color w:val="auto"/>
                <w:szCs w:val="21"/>
                <w:highlight w:val="none"/>
              </w:rPr>
              <w:t>最高报价不超过24.33万元，超过视为无效投标</w:t>
            </w:r>
          </w:p>
        </w:tc>
      </w:tr>
      <w:tr w14:paraId="713D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0" w:type="dxa"/>
            <w:tcBorders>
              <w:tl2br w:val="nil"/>
              <w:tr2bl w:val="nil"/>
            </w:tcBorders>
            <w:vAlign w:val="center"/>
          </w:tcPr>
          <w:p w14:paraId="0BE9782B">
            <w:pPr>
              <w:jc w:val="center"/>
              <w:rPr>
                <w:rFonts w:hint="eastAsia" w:ascii="仿宋" w:hAnsi="仿宋" w:eastAsia="仿宋" w:cs="仿宋"/>
                <w:color w:val="auto"/>
                <w:szCs w:val="21"/>
                <w:highlight w:val="none"/>
                <w:lang w:val="en-US" w:eastAsia="zh-CN"/>
              </w:rPr>
            </w:pPr>
            <w:r>
              <w:rPr>
                <w:rFonts w:hint="eastAsia" w:ascii="仿宋" w:hAnsi="仿宋" w:cs="仿宋"/>
                <w:color w:val="auto"/>
                <w:szCs w:val="21"/>
                <w:highlight w:val="none"/>
                <w:lang w:val="en-US" w:eastAsia="zh-CN"/>
              </w:rPr>
              <w:t>3</w:t>
            </w:r>
          </w:p>
        </w:tc>
        <w:tc>
          <w:tcPr>
            <w:tcW w:w="2551" w:type="dxa"/>
            <w:tcBorders>
              <w:tl2br w:val="nil"/>
              <w:tr2bl w:val="nil"/>
            </w:tcBorders>
            <w:vAlign w:val="center"/>
          </w:tcPr>
          <w:p w14:paraId="401A516A">
            <w:pPr>
              <w:jc w:val="center"/>
              <w:rPr>
                <w:rFonts w:hint="eastAsia" w:ascii="仿宋" w:hAnsi="仿宋" w:cs="仿宋"/>
                <w:color w:val="auto"/>
                <w:szCs w:val="21"/>
                <w:highlight w:val="none"/>
              </w:rPr>
            </w:pPr>
            <w:r>
              <w:rPr>
                <w:rFonts w:hint="eastAsia" w:ascii="仿宋" w:hAnsi="仿宋" w:cs="仿宋"/>
                <w:color w:val="auto"/>
                <w:szCs w:val="21"/>
                <w:highlight w:val="none"/>
              </w:rPr>
              <w:t>交叉建筑物调查评估专题研究</w:t>
            </w:r>
          </w:p>
        </w:tc>
        <w:tc>
          <w:tcPr>
            <w:tcW w:w="3907" w:type="dxa"/>
            <w:tcBorders>
              <w:tl2br w:val="nil"/>
              <w:tr2bl w:val="nil"/>
            </w:tcBorders>
            <w:vAlign w:val="center"/>
          </w:tcPr>
          <w:p w14:paraId="5C21BA8B">
            <w:pPr>
              <w:jc w:val="center"/>
              <w:rPr>
                <w:rFonts w:hint="eastAsia" w:ascii="仿宋" w:hAnsi="仿宋" w:cs="仿宋"/>
                <w:color w:val="auto"/>
                <w:szCs w:val="21"/>
                <w:highlight w:val="none"/>
              </w:rPr>
            </w:pPr>
          </w:p>
        </w:tc>
        <w:tc>
          <w:tcPr>
            <w:tcW w:w="2349" w:type="dxa"/>
            <w:tcBorders>
              <w:tl2br w:val="nil"/>
              <w:tr2bl w:val="nil"/>
            </w:tcBorders>
            <w:vAlign w:val="center"/>
          </w:tcPr>
          <w:p w14:paraId="4C1141A6">
            <w:pPr>
              <w:jc w:val="center"/>
              <w:rPr>
                <w:rFonts w:hint="eastAsia" w:ascii="仿宋" w:hAnsi="仿宋" w:cs="仿宋"/>
                <w:color w:val="auto"/>
                <w:szCs w:val="21"/>
                <w:highlight w:val="none"/>
              </w:rPr>
            </w:pPr>
          </w:p>
        </w:tc>
      </w:tr>
      <w:tr w14:paraId="57BE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tcBorders>
              <w:tl2br w:val="nil"/>
              <w:tr2bl w:val="nil"/>
            </w:tcBorders>
            <w:vAlign w:val="center"/>
          </w:tcPr>
          <w:p w14:paraId="4D5C0A42">
            <w:pPr>
              <w:jc w:val="center"/>
              <w:rPr>
                <w:rFonts w:hint="eastAsia" w:ascii="仿宋" w:hAnsi="仿宋" w:eastAsia="仿宋" w:cs="仿宋"/>
                <w:color w:val="auto"/>
                <w:szCs w:val="21"/>
                <w:highlight w:val="none"/>
                <w:lang w:val="en-US" w:eastAsia="zh-CN"/>
              </w:rPr>
            </w:pPr>
            <w:r>
              <w:rPr>
                <w:rFonts w:hint="eastAsia" w:ascii="仿宋" w:hAnsi="仿宋" w:cs="仿宋"/>
                <w:color w:val="auto"/>
                <w:szCs w:val="21"/>
                <w:highlight w:val="none"/>
                <w:lang w:val="en-US" w:eastAsia="zh-CN"/>
              </w:rPr>
              <w:t>4</w:t>
            </w:r>
          </w:p>
        </w:tc>
        <w:tc>
          <w:tcPr>
            <w:tcW w:w="2551" w:type="dxa"/>
            <w:tcBorders>
              <w:tl2br w:val="nil"/>
              <w:tr2bl w:val="nil"/>
            </w:tcBorders>
            <w:vAlign w:val="center"/>
          </w:tcPr>
          <w:p w14:paraId="0010A556">
            <w:pPr>
              <w:jc w:val="center"/>
              <w:rPr>
                <w:rFonts w:hint="eastAsia" w:ascii="仿宋" w:hAnsi="仿宋" w:cs="仿宋"/>
                <w:color w:val="auto"/>
                <w:szCs w:val="21"/>
                <w:highlight w:val="none"/>
              </w:rPr>
            </w:pPr>
            <w:r>
              <w:rPr>
                <w:rFonts w:hint="eastAsia" w:ascii="仿宋" w:hAnsi="仿宋" w:cs="仿宋"/>
                <w:color w:val="auto"/>
                <w:szCs w:val="21"/>
                <w:highlight w:val="none"/>
              </w:rPr>
              <w:t>陆域地形测量</w:t>
            </w:r>
          </w:p>
        </w:tc>
        <w:tc>
          <w:tcPr>
            <w:tcW w:w="3907" w:type="dxa"/>
            <w:tcBorders>
              <w:tl2br w:val="nil"/>
              <w:tr2bl w:val="nil"/>
            </w:tcBorders>
            <w:vAlign w:val="center"/>
          </w:tcPr>
          <w:p w14:paraId="4DAC461C">
            <w:pPr>
              <w:jc w:val="center"/>
              <w:rPr>
                <w:rFonts w:hint="eastAsia" w:ascii="仿宋" w:hAnsi="仿宋" w:cs="仿宋"/>
                <w:color w:val="auto"/>
                <w:szCs w:val="21"/>
                <w:highlight w:val="none"/>
              </w:rPr>
            </w:pPr>
          </w:p>
        </w:tc>
        <w:tc>
          <w:tcPr>
            <w:tcW w:w="2349" w:type="dxa"/>
            <w:tcBorders>
              <w:tl2br w:val="nil"/>
              <w:tr2bl w:val="nil"/>
            </w:tcBorders>
            <w:vAlign w:val="center"/>
          </w:tcPr>
          <w:p w14:paraId="7715154E">
            <w:pPr>
              <w:jc w:val="center"/>
              <w:rPr>
                <w:rFonts w:hint="eastAsia" w:ascii="仿宋" w:hAnsi="仿宋" w:cs="仿宋"/>
                <w:color w:val="auto"/>
                <w:szCs w:val="21"/>
                <w:highlight w:val="none"/>
              </w:rPr>
            </w:pPr>
            <w:r>
              <w:rPr>
                <w:rFonts w:hint="eastAsia" w:ascii="仿宋" w:hAnsi="仿宋" w:cs="仿宋"/>
                <w:color w:val="auto"/>
                <w:szCs w:val="21"/>
                <w:highlight w:val="none"/>
              </w:rPr>
              <w:t>最高报价不超过18.43万元，超过视为无效投标</w:t>
            </w:r>
          </w:p>
        </w:tc>
      </w:tr>
      <w:tr w14:paraId="609C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00" w:type="dxa"/>
            <w:tcBorders>
              <w:tl2br w:val="nil"/>
              <w:tr2bl w:val="nil"/>
            </w:tcBorders>
            <w:vAlign w:val="center"/>
          </w:tcPr>
          <w:p w14:paraId="2C9B4F6E">
            <w:pPr>
              <w:jc w:val="center"/>
              <w:rPr>
                <w:rFonts w:hint="eastAsia" w:ascii="仿宋" w:hAnsi="仿宋" w:cs="仿宋"/>
                <w:color w:val="auto"/>
                <w:szCs w:val="21"/>
                <w:highlight w:val="none"/>
              </w:rPr>
            </w:pPr>
            <w:r>
              <w:rPr>
                <w:rFonts w:hint="eastAsia" w:ascii="仿宋" w:hAnsi="仿宋" w:cs="仿宋"/>
                <w:color w:val="auto"/>
                <w:szCs w:val="21"/>
                <w:highlight w:val="none"/>
                <w:lang w:val="en-US" w:eastAsia="zh-CN"/>
              </w:rPr>
              <w:t>5</w:t>
            </w:r>
          </w:p>
        </w:tc>
        <w:tc>
          <w:tcPr>
            <w:tcW w:w="2551" w:type="dxa"/>
            <w:tcBorders>
              <w:tl2br w:val="nil"/>
              <w:tr2bl w:val="nil"/>
            </w:tcBorders>
            <w:vAlign w:val="center"/>
          </w:tcPr>
          <w:p w14:paraId="1015EA64">
            <w:pPr>
              <w:jc w:val="center"/>
              <w:rPr>
                <w:rFonts w:hint="eastAsia" w:ascii="仿宋" w:hAnsi="仿宋" w:cs="仿宋"/>
                <w:color w:val="auto"/>
                <w:szCs w:val="21"/>
                <w:highlight w:val="none"/>
              </w:rPr>
            </w:pPr>
            <w:r>
              <w:rPr>
                <w:rFonts w:hint="eastAsia" w:ascii="仿宋" w:hAnsi="仿宋" w:cs="仿宋"/>
                <w:color w:val="auto"/>
                <w:szCs w:val="21"/>
                <w:highlight w:val="none"/>
              </w:rPr>
              <w:t>合计总价</w:t>
            </w:r>
          </w:p>
        </w:tc>
        <w:tc>
          <w:tcPr>
            <w:tcW w:w="3907" w:type="dxa"/>
            <w:tcBorders>
              <w:tl2br w:val="nil"/>
              <w:tr2bl w:val="nil"/>
            </w:tcBorders>
            <w:vAlign w:val="center"/>
          </w:tcPr>
          <w:p w14:paraId="4535CEEA">
            <w:pPr>
              <w:jc w:val="left"/>
              <w:rPr>
                <w:rFonts w:hint="eastAsia" w:ascii="仿宋" w:hAnsi="仿宋" w:cs="仿宋"/>
                <w:color w:val="auto"/>
                <w:szCs w:val="21"/>
                <w:highlight w:val="none"/>
                <w:u w:val="single"/>
              </w:rPr>
            </w:pPr>
            <w:r>
              <w:rPr>
                <w:rFonts w:hint="eastAsia" w:ascii="仿宋" w:hAnsi="仿宋" w:cs="仿宋"/>
                <w:color w:val="auto"/>
                <w:szCs w:val="21"/>
                <w:highlight w:val="none"/>
                <w:u w:val="single"/>
              </w:rPr>
              <w:t>小写：      元 ；其中税金   元，税率为  %</w:t>
            </w:r>
          </w:p>
          <w:p w14:paraId="02F4F55D">
            <w:pPr>
              <w:jc w:val="left"/>
              <w:rPr>
                <w:rFonts w:hint="eastAsia" w:ascii="仿宋" w:hAnsi="仿宋" w:cs="仿宋"/>
                <w:color w:val="auto"/>
                <w:szCs w:val="21"/>
                <w:highlight w:val="none"/>
              </w:rPr>
            </w:pPr>
            <w:r>
              <w:rPr>
                <w:rFonts w:hint="eastAsia" w:ascii="仿宋" w:hAnsi="仿宋" w:cs="仿宋"/>
                <w:color w:val="auto"/>
                <w:szCs w:val="21"/>
                <w:highlight w:val="none"/>
                <w:u w:val="single"/>
              </w:rPr>
              <w:t xml:space="preserve">大写：                              </w:t>
            </w:r>
          </w:p>
        </w:tc>
        <w:tc>
          <w:tcPr>
            <w:tcW w:w="2349" w:type="dxa"/>
            <w:tcBorders>
              <w:tl2br w:val="nil"/>
              <w:tr2bl w:val="nil"/>
            </w:tcBorders>
            <w:vAlign w:val="center"/>
          </w:tcPr>
          <w:p w14:paraId="0D644AD3">
            <w:pPr>
              <w:jc w:val="center"/>
              <w:rPr>
                <w:rFonts w:hint="eastAsia" w:ascii="仿宋" w:hAnsi="仿宋" w:cs="仿宋"/>
                <w:color w:val="auto"/>
                <w:szCs w:val="21"/>
                <w:highlight w:val="none"/>
              </w:rPr>
            </w:pPr>
          </w:p>
        </w:tc>
      </w:tr>
    </w:tbl>
    <w:p w14:paraId="444E20B0">
      <w:pPr>
        <w:keepNext w:val="0"/>
        <w:keepLines w:val="0"/>
        <w:pageBreakBefore w:val="0"/>
        <w:widowControl w:val="0"/>
        <w:kinsoku/>
        <w:wordWrap/>
        <w:overflowPunct/>
        <w:topLinePunct w:val="0"/>
        <w:bidi w:val="0"/>
        <w:adjustRightInd w:val="0"/>
        <w:snapToGrid w:val="0"/>
        <w:spacing w:line="380" w:lineRule="exact"/>
        <w:ind w:left="480"/>
        <w:textAlignment w:val="auto"/>
        <w:rPr>
          <w:rFonts w:hint="eastAsia" w:ascii="仿宋" w:hAnsi="仿宋" w:cs="仿宋"/>
          <w:b/>
          <w:color w:val="auto"/>
          <w:kern w:val="0"/>
          <w:highlight w:val="none"/>
          <w:lang w:val="zh-CN"/>
        </w:rPr>
      </w:pPr>
      <w:r>
        <w:rPr>
          <w:rFonts w:hint="eastAsia" w:ascii="仿宋" w:hAnsi="仿宋" w:cs="仿宋"/>
          <w:b/>
          <w:color w:val="auto"/>
          <w:kern w:val="0"/>
          <w:highlight w:val="none"/>
          <w:lang w:val="zh-CN"/>
        </w:rPr>
        <w:t>注：</w:t>
      </w:r>
    </w:p>
    <w:p w14:paraId="0EF43807">
      <w:pPr>
        <w:keepNext w:val="0"/>
        <w:keepLines w:val="0"/>
        <w:pageBreakBefore w:val="0"/>
        <w:widowControl w:val="0"/>
        <w:kinsoku/>
        <w:wordWrap/>
        <w:overflowPunct/>
        <w:topLinePunct w:val="0"/>
        <w:bidi w:val="0"/>
        <w:adjustRightInd w:val="0"/>
        <w:snapToGrid w:val="0"/>
        <w:spacing w:line="380" w:lineRule="exact"/>
        <w:ind w:left="-2" w:leftChars="-1" w:firstLine="480" w:firstLineChars="200"/>
        <w:textAlignment w:val="auto"/>
        <w:rPr>
          <w:rFonts w:hint="eastAsia" w:ascii="仿宋" w:hAnsi="仿宋" w:cs="仿宋"/>
          <w:color w:val="auto"/>
          <w:kern w:val="0"/>
          <w:highlight w:val="none"/>
          <w:lang w:val="zh-CN"/>
        </w:rPr>
      </w:pPr>
      <w:r>
        <w:rPr>
          <w:rFonts w:hint="eastAsia" w:ascii="仿宋" w:hAnsi="仿宋" w:cs="仿宋"/>
          <w:color w:val="auto"/>
          <w:kern w:val="0"/>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仿宋" w:hAnsi="仿宋" w:cs="仿宋"/>
          <w:b/>
          <w:bCs/>
          <w:color w:val="auto"/>
          <w:kern w:val="0"/>
          <w:highlight w:val="none"/>
          <w:lang w:val="zh-CN"/>
        </w:rPr>
        <w:t>。</w:t>
      </w:r>
    </w:p>
    <w:p w14:paraId="787A9B0A">
      <w:pPr>
        <w:keepNext w:val="0"/>
        <w:keepLines w:val="0"/>
        <w:pageBreakBefore w:val="0"/>
        <w:widowControl w:val="0"/>
        <w:kinsoku/>
        <w:wordWrap/>
        <w:overflowPunct/>
        <w:topLinePunct w:val="0"/>
        <w:bidi w:val="0"/>
        <w:adjustRightInd w:val="0"/>
        <w:snapToGrid w:val="0"/>
        <w:spacing w:line="380" w:lineRule="exact"/>
        <w:ind w:firstLine="480" w:firstLineChars="200"/>
        <w:textAlignment w:val="auto"/>
        <w:rPr>
          <w:rFonts w:hint="eastAsia" w:ascii="仿宋" w:hAnsi="仿宋" w:cs="仿宋"/>
          <w:color w:val="auto"/>
          <w:kern w:val="0"/>
          <w:highlight w:val="none"/>
          <w:lang w:val="zh-CN"/>
        </w:rPr>
      </w:pPr>
      <w:r>
        <w:rPr>
          <w:rFonts w:hint="eastAsia" w:ascii="仿宋" w:hAnsi="仿宋" w:cs="仿宋"/>
          <w:color w:val="auto"/>
          <w:kern w:val="0"/>
          <w:highlight w:val="none"/>
          <w:lang w:val="zh-CN"/>
        </w:rPr>
        <w:t>2、有关本项目实施所涉及的一切费用均计入报价。</w:t>
      </w:r>
      <w:r>
        <w:rPr>
          <w:rFonts w:hint="eastAsia" w:ascii="仿宋" w:hAnsi="仿宋" w:cs="仿宋"/>
          <w:color w:val="auto"/>
          <w:kern w:val="0"/>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cs="仿宋"/>
          <w:color w:val="auto"/>
          <w:kern w:val="0"/>
          <w:highlight w:val="none"/>
          <w:lang w:val="zh-CN"/>
        </w:rPr>
        <w:t>总价</w:t>
      </w:r>
      <w:r>
        <w:rPr>
          <w:rFonts w:hint="eastAsia" w:ascii="仿宋" w:hAnsi="仿宋" w:cs="仿宋"/>
          <w:color w:val="auto"/>
          <w:kern w:val="0"/>
          <w:highlight w:val="none"/>
          <w:lang w:val="zh-CN" w:eastAsia="zh-CN"/>
        </w:rPr>
        <w:t>不为零</w:t>
      </w:r>
      <w:r>
        <w:rPr>
          <w:rFonts w:hint="eastAsia" w:ascii="仿宋" w:hAnsi="仿宋" w:cs="仿宋"/>
          <w:color w:val="auto"/>
          <w:kern w:val="0"/>
          <w:highlight w:val="none"/>
          <w:lang w:val="zh-CN"/>
        </w:rPr>
        <w:t>，</w:t>
      </w:r>
      <w:r>
        <w:rPr>
          <w:rFonts w:hint="eastAsia" w:ascii="仿宋" w:hAnsi="仿宋" w:cs="仿宋"/>
          <w:color w:val="auto"/>
          <w:kern w:val="0"/>
          <w:highlight w:val="none"/>
          <w:lang w:val="zh-CN" w:eastAsia="zh-CN"/>
        </w:rPr>
        <w:t>部分</w:t>
      </w:r>
      <w:r>
        <w:rPr>
          <w:rFonts w:hint="eastAsia" w:ascii="仿宋" w:hAnsi="仿宋" w:cs="仿宋"/>
          <w:color w:val="auto"/>
          <w:kern w:val="0"/>
          <w:highlight w:val="none"/>
          <w:lang w:val="zh-CN"/>
        </w:rPr>
        <w:t>产品、服务单价为零的，视作已包含在总价中</w:t>
      </w:r>
      <w:r>
        <w:rPr>
          <w:rFonts w:hint="eastAsia" w:ascii="仿宋" w:hAnsi="仿宋" w:cs="仿宋"/>
          <w:color w:val="auto"/>
          <w:kern w:val="0"/>
          <w:highlight w:val="none"/>
          <w:lang w:val="zh-CN" w:eastAsia="zh-CN"/>
        </w:rPr>
        <w:t>。</w:t>
      </w:r>
      <w:r>
        <w:rPr>
          <w:rFonts w:hint="eastAsia" w:ascii="仿宋" w:hAnsi="仿宋" w:cs="仿宋"/>
          <w:b/>
          <w:bCs/>
          <w:color w:val="auto"/>
          <w:kern w:val="0"/>
          <w:highlight w:val="none"/>
          <w:lang w:val="zh-CN"/>
        </w:rPr>
        <w:t>采购内容未包含在《开标一览表（报价表）》名称栏中，投标人不能作出合理解释的，视为投标文件含有采购人不能接受的附加条件的，投标无效。</w:t>
      </w:r>
    </w:p>
    <w:p w14:paraId="222262AB">
      <w:pPr>
        <w:keepNext w:val="0"/>
        <w:keepLines w:val="0"/>
        <w:pageBreakBefore w:val="0"/>
        <w:widowControl w:val="0"/>
        <w:kinsoku/>
        <w:wordWrap/>
        <w:overflowPunct/>
        <w:topLinePunct w:val="0"/>
        <w:bidi w:val="0"/>
        <w:adjustRightInd w:val="0"/>
        <w:snapToGrid w:val="0"/>
        <w:spacing w:line="380" w:lineRule="exact"/>
        <w:ind w:firstLine="480" w:firstLineChars="200"/>
        <w:jc w:val="left"/>
        <w:textAlignment w:val="auto"/>
        <w:rPr>
          <w:rFonts w:hint="eastAsia" w:ascii="仿宋" w:hAnsi="仿宋" w:cs="仿宋"/>
          <w:color w:val="auto"/>
          <w:kern w:val="0"/>
          <w:highlight w:val="none"/>
          <w:lang w:val="zh-CN"/>
        </w:rPr>
      </w:pPr>
      <w:r>
        <w:rPr>
          <w:rFonts w:hint="eastAsia" w:ascii="仿宋" w:hAnsi="仿宋" w:cs="仿宋"/>
          <w:color w:val="auto"/>
          <w:kern w:val="0"/>
          <w:highlight w:val="none"/>
          <w:lang w:val="zh-CN"/>
        </w:rPr>
        <w:t>3、</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030FF0C1">
      <w:pPr>
        <w:keepNext w:val="0"/>
        <w:keepLines w:val="0"/>
        <w:pageBreakBefore w:val="0"/>
        <w:widowControl w:val="0"/>
        <w:kinsoku/>
        <w:wordWrap/>
        <w:overflowPunct/>
        <w:topLinePunct w:val="0"/>
        <w:autoSpaceDE w:val="0"/>
        <w:autoSpaceDN w:val="0"/>
        <w:bidi w:val="0"/>
        <w:adjustRightInd w:val="0"/>
        <w:snapToGrid w:val="0"/>
        <w:spacing w:line="380" w:lineRule="exact"/>
        <w:ind w:left="2" w:leftChars="1" w:right="1120" w:firstLine="4560" w:firstLineChars="1900"/>
        <w:jc w:val="left"/>
        <w:textAlignment w:val="auto"/>
        <w:rPr>
          <w:rFonts w:hint="eastAsia" w:ascii="仿宋" w:hAnsi="仿宋" w:cs="仿宋"/>
          <w:color w:val="auto"/>
          <w:kern w:val="0"/>
          <w:highlight w:val="none"/>
          <w:lang w:val="zh-CN"/>
        </w:rPr>
      </w:pPr>
      <w:r>
        <w:rPr>
          <w:rFonts w:hint="eastAsia" w:ascii="仿宋" w:hAnsi="仿宋" w:cs="仿宋"/>
          <w:color w:val="auto"/>
          <w:kern w:val="0"/>
          <w:highlight w:val="none"/>
          <w:lang w:val="zh-CN"/>
        </w:rPr>
        <w:t>投标人名称（</w:t>
      </w:r>
      <w:r>
        <w:rPr>
          <w:rFonts w:hint="eastAsia" w:ascii="仿宋" w:hAnsi="仿宋" w:cs="仿宋"/>
          <w:color w:val="auto"/>
          <w:highlight w:val="none"/>
        </w:rPr>
        <w:t>电子签名</w:t>
      </w:r>
      <w:r>
        <w:rPr>
          <w:rFonts w:hint="eastAsia" w:ascii="仿宋" w:hAnsi="仿宋" w:cs="仿宋"/>
          <w:color w:val="auto"/>
          <w:kern w:val="0"/>
          <w:highlight w:val="none"/>
          <w:lang w:val="zh-CN"/>
        </w:rPr>
        <w:t>）：</w:t>
      </w:r>
    </w:p>
    <w:p w14:paraId="5FF51CED">
      <w:pPr>
        <w:keepNext w:val="0"/>
        <w:keepLines w:val="0"/>
        <w:pageBreakBefore w:val="0"/>
        <w:widowControl w:val="0"/>
        <w:kinsoku/>
        <w:wordWrap/>
        <w:overflowPunct/>
        <w:topLinePunct w:val="0"/>
        <w:bidi w:val="0"/>
        <w:adjustRightInd w:val="0"/>
        <w:snapToGrid w:val="0"/>
        <w:spacing w:line="380" w:lineRule="exact"/>
        <w:ind w:left="5280" w:leftChars="2200"/>
        <w:textAlignment w:val="auto"/>
        <w:rPr>
          <w:rFonts w:hint="eastAsia" w:ascii="仿宋" w:hAnsi="仿宋" w:cs="仿宋"/>
          <w:color w:val="auto"/>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年</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13DA89FA">
      <w:pPr>
        <w:pStyle w:val="693"/>
        <w:keepNext w:val="0"/>
        <w:pageBreakBefore w:val="0"/>
        <w:tabs>
          <w:tab w:val="clear" w:pos="720"/>
        </w:tabs>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0859C796">
      <w:pPr>
        <w:widowControl/>
        <w:numPr>
          <w:ilvl w:val="0"/>
          <w:numId w:val="17"/>
        </w:numPr>
        <w:spacing w:line="360" w:lineRule="auto"/>
        <w:ind w:firstLine="120" w:firstLineChars="50"/>
        <w:jc w:val="left"/>
        <w:rPr>
          <w:rFonts w:hint="eastAsia" w:ascii="仿宋" w:hAnsi="仿宋" w:cs="仿宋"/>
          <w:b/>
          <w:color w:val="auto"/>
          <w:kern w:val="0"/>
          <w:highlight w:val="none"/>
        </w:rPr>
      </w:pPr>
      <w:r>
        <w:rPr>
          <w:rFonts w:hint="eastAsia" w:ascii="仿宋" w:hAnsi="仿宋" w:cs="仿宋"/>
          <w:b/>
          <w:color w:val="auto"/>
          <w:kern w:val="0"/>
          <w:highlight w:val="none"/>
        </w:rPr>
        <w:t>中小企业声明函（如有）</w:t>
      </w:r>
    </w:p>
    <w:p w14:paraId="1731D676">
      <w:pPr>
        <w:rPr>
          <w:color w:val="auto"/>
          <w:highlight w:val="none"/>
        </w:rPr>
      </w:pPr>
    </w:p>
    <w:p w14:paraId="10C18DD6">
      <w:pPr>
        <w:rPr>
          <w:color w:val="auto"/>
          <w:highlight w:val="none"/>
        </w:rPr>
      </w:pPr>
      <w:r>
        <w:rPr>
          <w:rFonts w:hint="eastAsia"/>
          <w:color w:val="auto"/>
          <w:highlight w:val="none"/>
        </w:rPr>
        <w:t>格式见附件7。</w:t>
      </w:r>
    </w:p>
    <w:p w14:paraId="021394DF">
      <w:pPr>
        <w:rPr>
          <w:color w:val="auto"/>
          <w:highlight w:val="none"/>
        </w:rPr>
      </w:pPr>
    </w:p>
    <w:p w14:paraId="3F24BA0F">
      <w:pPr>
        <w:rPr>
          <w:color w:val="auto"/>
          <w:highlight w:val="none"/>
        </w:rPr>
      </w:pPr>
    </w:p>
    <w:p w14:paraId="6B083648">
      <w:pPr>
        <w:widowControl/>
        <w:spacing w:line="240" w:lineRule="auto"/>
        <w:jc w:val="left"/>
        <w:rPr>
          <w:rFonts w:hint="eastAsia" w:ascii="仿宋" w:hAnsi="仿宋" w:cs="仿宋"/>
          <w:b/>
          <w:color w:val="auto"/>
          <w:kern w:val="0"/>
          <w:highlight w:val="none"/>
        </w:rPr>
      </w:pPr>
      <w:r>
        <w:rPr>
          <w:rFonts w:ascii="仿宋" w:hAnsi="仿宋" w:cs="仿宋"/>
          <w:b/>
          <w:color w:val="auto"/>
          <w:kern w:val="0"/>
          <w:highlight w:val="none"/>
        </w:rPr>
        <w:br w:type="page"/>
      </w:r>
    </w:p>
    <w:p w14:paraId="5B8D76F4">
      <w:pPr>
        <w:widowControl/>
        <w:spacing w:line="360" w:lineRule="auto"/>
        <w:ind w:firstLine="120" w:firstLineChars="50"/>
        <w:jc w:val="left"/>
        <w:rPr>
          <w:rFonts w:hint="eastAsia" w:ascii="仿宋" w:hAnsi="仿宋" w:cs="仿宋"/>
          <w:bCs/>
          <w:color w:val="auto"/>
          <w:highlight w:val="none"/>
        </w:rPr>
      </w:pPr>
      <w:r>
        <w:rPr>
          <w:rFonts w:hint="eastAsia" w:ascii="仿宋" w:hAnsi="仿宋" w:cs="仿宋"/>
          <w:b/>
          <w:color w:val="auto"/>
          <w:kern w:val="0"/>
          <w:highlight w:val="none"/>
        </w:rPr>
        <w:t>三、</w:t>
      </w:r>
      <w:r>
        <w:rPr>
          <w:rFonts w:hint="eastAsia" w:ascii="仿宋" w:hAnsi="仿宋" w:cs="仿宋"/>
          <w:bCs/>
          <w:color w:val="auto"/>
          <w:highlight w:val="none"/>
        </w:rPr>
        <w:t>中标服务费支付承诺书和中标服务费结算信息表。</w:t>
      </w:r>
    </w:p>
    <w:p w14:paraId="2F6C8108">
      <w:pPr>
        <w:jc w:val="center"/>
        <w:rPr>
          <w:rFonts w:hint="eastAsia" w:ascii="仿宋" w:hAnsi="仿宋" w:cs="仿宋"/>
          <w:b/>
          <w:color w:val="auto"/>
          <w:sz w:val="28"/>
          <w:szCs w:val="28"/>
          <w:highlight w:val="none"/>
        </w:rPr>
      </w:pPr>
    </w:p>
    <w:p w14:paraId="743D5951">
      <w:pPr>
        <w:jc w:val="center"/>
        <w:rPr>
          <w:rFonts w:hint="eastAsia" w:ascii="仿宋" w:hAnsi="仿宋" w:cs="仿宋"/>
          <w:b/>
          <w:color w:val="auto"/>
          <w:sz w:val="28"/>
          <w:szCs w:val="28"/>
          <w:highlight w:val="none"/>
        </w:rPr>
      </w:pPr>
      <w:r>
        <w:rPr>
          <w:rFonts w:hint="eastAsia" w:ascii="仿宋" w:hAnsi="仿宋" w:cs="仿宋"/>
          <w:b/>
          <w:color w:val="auto"/>
          <w:sz w:val="28"/>
          <w:szCs w:val="28"/>
          <w:highlight w:val="none"/>
        </w:rPr>
        <w:t>中标服务费支付承诺书</w:t>
      </w:r>
    </w:p>
    <w:p w14:paraId="285455DC">
      <w:pPr>
        <w:spacing w:line="600" w:lineRule="auto"/>
        <w:jc w:val="center"/>
        <w:rPr>
          <w:rFonts w:hint="eastAsia" w:ascii="仿宋" w:hAnsi="仿宋" w:cs="仿宋"/>
          <w:b/>
          <w:color w:val="auto"/>
          <w:sz w:val="28"/>
          <w:szCs w:val="28"/>
          <w:highlight w:val="none"/>
        </w:rPr>
      </w:pPr>
    </w:p>
    <w:p w14:paraId="4FED04CF">
      <w:pPr>
        <w:keepNext/>
        <w:keepLines/>
        <w:spacing w:line="600" w:lineRule="auto"/>
        <w:rPr>
          <w:rFonts w:hint="eastAsia" w:ascii="仿宋" w:hAnsi="仿宋" w:cs="仿宋"/>
          <w:color w:val="auto"/>
          <w:highlight w:val="none"/>
          <w:u w:val="single"/>
        </w:rPr>
      </w:pPr>
      <w:r>
        <w:rPr>
          <w:rFonts w:hint="eastAsia" w:ascii="仿宋" w:hAnsi="仿宋" w:cs="仿宋"/>
          <w:color w:val="auto"/>
          <w:highlight w:val="none"/>
          <w:u w:val="single"/>
        </w:rPr>
        <w:t>浙江中际工程项目管理有限公司：</w:t>
      </w:r>
    </w:p>
    <w:p w14:paraId="7BE67C6C">
      <w:pPr>
        <w:keepNext/>
        <w:keepLines/>
        <w:spacing w:line="600" w:lineRule="auto"/>
        <w:ind w:firstLine="480"/>
        <w:rPr>
          <w:rFonts w:hint="eastAsia" w:ascii="仿宋" w:hAnsi="仿宋" w:cs="仿宋"/>
          <w:color w:val="auto"/>
          <w:highlight w:val="none"/>
        </w:rPr>
      </w:pPr>
    </w:p>
    <w:p w14:paraId="55B101D0">
      <w:pPr>
        <w:keepNext/>
        <w:keepLines/>
        <w:spacing w:line="480" w:lineRule="auto"/>
        <w:ind w:firstLine="480" w:firstLineChars="200"/>
        <w:rPr>
          <w:rFonts w:hint="eastAsia" w:ascii="仿宋" w:hAnsi="仿宋" w:cs="仿宋"/>
          <w:color w:val="auto"/>
          <w:highlight w:val="none"/>
        </w:rPr>
      </w:pPr>
      <w:r>
        <w:rPr>
          <w:rFonts w:hint="eastAsia" w:ascii="仿宋" w:hAnsi="仿宋" w:cs="仿宋"/>
          <w:color w:val="auto"/>
          <w:highlight w:val="none"/>
        </w:rPr>
        <w:t>本单位在此承诺：如在本项目中标，成交结果公告发布之日起5个工作日之内，向贵公司按采购文件约定支付中标服务费。</w:t>
      </w:r>
    </w:p>
    <w:p w14:paraId="0973456B">
      <w:pPr>
        <w:spacing w:line="480" w:lineRule="auto"/>
        <w:ind w:firstLine="480" w:firstLineChars="200"/>
        <w:rPr>
          <w:rFonts w:hint="eastAsia" w:ascii="仿宋" w:hAnsi="仿宋" w:cs="仿宋"/>
          <w:color w:val="auto"/>
          <w:highlight w:val="none"/>
        </w:rPr>
      </w:pPr>
    </w:p>
    <w:p w14:paraId="7C3770C7">
      <w:pPr>
        <w:spacing w:line="480" w:lineRule="auto"/>
        <w:ind w:firstLine="480" w:firstLineChars="200"/>
        <w:rPr>
          <w:rFonts w:hint="eastAsia" w:ascii="仿宋" w:hAnsi="仿宋" w:cs="仿宋"/>
          <w:color w:val="auto"/>
          <w:highlight w:val="none"/>
        </w:rPr>
      </w:pPr>
    </w:p>
    <w:p w14:paraId="1163D93E">
      <w:pPr>
        <w:spacing w:line="360" w:lineRule="auto"/>
        <w:rPr>
          <w:rFonts w:hint="eastAsia" w:ascii="仿宋" w:hAnsi="仿宋" w:cs="仿宋"/>
          <w:color w:val="auto"/>
          <w:highlight w:val="none"/>
        </w:rPr>
      </w:pPr>
    </w:p>
    <w:p w14:paraId="1AB895B8">
      <w:pPr>
        <w:spacing w:line="360" w:lineRule="auto"/>
        <w:jc w:val="right"/>
        <w:rPr>
          <w:rFonts w:hint="eastAsia" w:ascii="仿宋" w:hAnsi="仿宋" w:cs="仿宋"/>
          <w:color w:val="auto"/>
          <w:spacing w:val="20"/>
          <w:szCs w:val="22"/>
          <w:highlight w:val="none"/>
          <w:u w:val="single"/>
        </w:rPr>
      </w:pPr>
      <w:r>
        <w:rPr>
          <w:rFonts w:hint="eastAsia" w:ascii="仿宋" w:hAnsi="仿宋" w:cs="仿宋"/>
          <w:color w:val="auto"/>
          <w:szCs w:val="22"/>
          <w:highlight w:val="none"/>
        </w:rPr>
        <w:t>供应商（电子签名）：</w:t>
      </w:r>
    </w:p>
    <w:p w14:paraId="507138D2">
      <w:pPr>
        <w:spacing w:line="360" w:lineRule="auto"/>
        <w:ind w:right="375"/>
        <w:jc w:val="right"/>
        <w:rPr>
          <w:rFonts w:hint="eastAsia" w:ascii="仿宋" w:hAnsi="仿宋" w:cs="仿宋"/>
          <w:color w:val="auto"/>
          <w:szCs w:val="22"/>
          <w:highlight w:val="none"/>
        </w:rPr>
      </w:pPr>
      <w:r>
        <w:rPr>
          <w:rFonts w:hint="eastAsia" w:ascii="仿宋" w:hAnsi="仿宋" w:cs="仿宋"/>
          <w:color w:val="auto"/>
          <w:spacing w:val="20"/>
          <w:szCs w:val="22"/>
          <w:highlight w:val="none"/>
        </w:rPr>
        <w:t xml:space="preserve">日期：  </w:t>
      </w:r>
      <w:r>
        <w:rPr>
          <w:rFonts w:hint="eastAsia" w:ascii="仿宋" w:hAnsi="仿宋" w:cs="仿宋"/>
          <w:color w:val="auto"/>
          <w:szCs w:val="22"/>
          <w:highlight w:val="none"/>
        </w:rPr>
        <w:t>年  月  日</w:t>
      </w:r>
    </w:p>
    <w:p w14:paraId="30065592">
      <w:pPr>
        <w:pStyle w:val="25"/>
        <w:ind w:firstLine="0" w:firstLineChars="0"/>
        <w:rPr>
          <w:rFonts w:hint="eastAsia" w:ascii="仿宋" w:hAnsi="仿宋" w:cs="仿宋"/>
          <w:color w:val="auto"/>
          <w:highlight w:val="none"/>
        </w:rPr>
      </w:pPr>
      <w:r>
        <w:rPr>
          <w:rFonts w:hint="eastAsia" w:ascii="仿宋" w:hAnsi="仿宋" w:cs="仿宋"/>
          <w:color w:val="auto"/>
          <w:szCs w:val="22"/>
          <w:highlight w:val="none"/>
        </w:rPr>
        <w:t>说明：中标服务费的金额将在中标结果公告网页上明示，采购代理机构不再另行通知。</w:t>
      </w:r>
    </w:p>
    <w:p w14:paraId="4C04D70F">
      <w:pPr>
        <w:rPr>
          <w:rFonts w:hint="eastAsia" w:ascii="仿宋" w:hAnsi="仿宋" w:cs="仿宋"/>
          <w:b/>
          <w:color w:val="auto"/>
          <w:sz w:val="32"/>
          <w:szCs w:val="32"/>
          <w:highlight w:val="none"/>
        </w:rPr>
      </w:pPr>
      <w:r>
        <w:rPr>
          <w:rFonts w:hint="eastAsia" w:ascii="仿宋" w:hAnsi="仿宋" w:cs="仿宋"/>
          <w:b/>
          <w:color w:val="auto"/>
          <w:sz w:val="32"/>
          <w:szCs w:val="32"/>
          <w:highlight w:val="none"/>
        </w:rPr>
        <w:br w:type="page"/>
      </w:r>
    </w:p>
    <w:p w14:paraId="260C42DF">
      <w:pPr>
        <w:rPr>
          <w:rFonts w:hint="eastAsia" w:ascii="仿宋" w:hAnsi="仿宋" w:cs="仿宋"/>
          <w:bCs/>
          <w:color w:val="auto"/>
          <w:highlight w:val="none"/>
        </w:rPr>
      </w:pPr>
      <w:r>
        <w:rPr>
          <w:rFonts w:hint="eastAsia" w:ascii="仿宋" w:hAnsi="仿宋" w:cs="仿宋"/>
          <w:bCs/>
          <w:color w:val="auto"/>
          <w:highlight w:val="none"/>
        </w:rPr>
        <w:t>中标服务费结算信息表</w:t>
      </w:r>
    </w:p>
    <w:p w14:paraId="6D591989">
      <w:pPr>
        <w:autoSpaceDE w:val="0"/>
        <w:autoSpaceDN w:val="0"/>
        <w:spacing w:line="360" w:lineRule="auto"/>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7592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DC4B5F5">
            <w:pPr>
              <w:autoSpaceDE w:val="0"/>
              <w:autoSpaceDN w:val="0"/>
              <w:spacing w:line="360" w:lineRule="auto"/>
              <w:jc w:val="center"/>
              <w:rPr>
                <w:rFonts w:hint="eastAsia" w:ascii="仿宋" w:hAnsi="仿宋" w:cs="仿宋"/>
                <w:bCs/>
                <w:color w:val="auto"/>
                <w:highlight w:val="none"/>
              </w:rPr>
            </w:pPr>
            <w:r>
              <w:rPr>
                <w:rFonts w:hint="eastAsia" w:ascii="仿宋" w:hAnsi="仿宋" w:cs="仿宋"/>
                <w:bCs/>
                <w:color w:val="auto"/>
                <w:highlight w:val="none"/>
              </w:rPr>
              <w:t>供应商名称</w:t>
            </w:r>
          </w:p>
        </w:tc>
        <w:tc>
          <w:tcPr>
            <w:tcW w:w="5598" w:type="dxa"/>
          </w:tcPr>
          <w:p w14:paraId="530B6E42">
            <w:pPr>
              <w:autoSpaceDE w:val="0"/>
              <w:autoSpaceDN w:val="0"/>
              <w:spacing w:line="360" w:lineRule="auto"/>
              <w:rPr>
                <w:rFonts w:hint="eastAsia" w:ascii="仿宋" w:hAnsi="仿宋" w:cs="仿宋"/>
                <w:b/>
                <w:bCs/>
                <w:color w:val="auto"/>
                <w:highlight w:val="none"/>
              </w:rPr>
            </w:pPr>
          </w:p>
        </w:tc>
      </w:tr>
      <w:tr w14:paraId="21A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1FBE872">
            <w:pPr>
              <w:autoSpaceDE w:val="0"/>
              <w:autoSpaceDN w:val="0"/>
              <w:spacing w:line="360" w:lineRule="auto"/>
              <w:jc w:val="center"/>
              <w:rPr>
                <w:rFonts w:hint="eastAsia" w:ascii="仿宋" w:hAnsi="仿宋" w:cs="仿宋"/>
                <w:bCs/>
                <w:color w:val="auto"/>
                <w:highlight w:val="none"/>
              </w:rPr>
            </w:pPr>
            <w:r>
              <w:rPr>
                <w:rFonts w:hint="eastAsia" w:ascii="仿宋" w:hAnsi="仿宋" w:cs="仿宋"/>
                <w:bCs/>
                <w:color w:val="auto"/>
                <w:highlight w:val="none"/>
              </w:rPr>
              <w:t>项目编号</w:t>
            </w:r>
          </w:p>
        </w:tc>
        <w:tc>
          <w:tcPr>
            <w:tcW w:w="5598" w:type="dxa"/>
          </w:tcPr>
          <w:p w14:paraId="0AB60A0A">
            <w:pPr>
              <w:autoSpaceDE w:val="0"/>
              <w:autoSpaceDN w:val="0"/>
              <w:spacing w:line="360" w:lineRule="auto"/>
              <w:rPr>
                <w:rFonts w:hint="eastAsia" w:ascii="仿宋" w:hAnsi="仿宋" w:cs="仿宋"/>
                <w:b/>
                <w:bCs/>
                <w:color w:val="auto"/>
                <w:highlight w:val="none"/>
              </w:rPr>
            </w:pPr>
          </w:p>
        </w:tc>
      </w:tr>
      <w:tr w14:paraId="37E7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F0EA95B">
            <w:pPr>
              <w:autoSpaceDE w:val="0"/>
              <w:autoSpaceDN w:val="0"/>
              <w:spacing w:line="360" w:lineRule="auto"/>
              <w:jc w:val="center"/>
              <w:rPr>
                <w:rFonts w:hint="eastAsia" w:ascii="仿宋" w:hAnsi="仿宋" w:cs="仿宋"/>
                <w:bCs/>
                <w:color w:val="auto"/>
                <w:highlight w:val="none"/>
              </w:rPr>
            </w:pPr>
            <w:r>
              <w:rPr>
                <w:rFonts w:hint="eastAsia" w:ascii="仿宋" w:hAnsi="仿宋" w:cs="仿宋"/>
                <w:bCs/>
                <w:color w:val="auto"/>
                <w:highlight w:val="none"/>
              </w:rPr>
              <w:t>若中标，中标服务费发票类型</w:t>
            </w:r>
          </w:p>
        </w:tc>
        <w:tc>
          <w:tcPr>
            <w:tcW w:w="5598" w:type="dxa"/>
          </w:tcPr>
          <w:p w14:paraId="0B197118">
            <w:pPr>
              <w:autoSpaceDE w:val="0"/>
              <w:autoSpaceDN w:val="0"/>
              <w:spacing w:line="360" w:lineRule="auto"/>
              <w:rPr>
                <w:rFonts w:hint="eastAsia" w:ascii="仿宋" w:hAnsi="仿宋" w:cs="仿宋"/>
                <w:bCs/>
                <w:color w:val="auto"/>
                <w:highlight w:val="none"/>
              </w:rPr>
            </w:pPr>
            <w:r>
              <w:rPr>
                <w:rFonts w:hint="eastAsia" w:ascii="仿宋" w:hAnsi="仿宋" w:cs="仿宋"/>
                <w:bCs/>
                <w:color w:val="auto"/>
                <w:highlight w:val="none"/>
              </w:rPr>
              <w:t>（）增值税普通发票</w:t>
            </w:r>
          </w:p>
          <w:p w14:paraId="21760C4D">
            <w:pPr>
              <w:autoSpaceDE w:val="0"/>
              <w:autoSpaceDN w:val="0"/>
              <w:spacing w:line="360" w:lineRule="auto"/>
              <w:rPr>
                <w:rFonts w:hint="eastAsia" w:ascii="仿宋" w:hAnsi="仿宋" w:cs="仿宋"/>
                <w:bCs/>
                <w:color w:val="auto"/>
                <w:highlight w:val="none"/>
              </w:rPr>
            </w:pPr>
            <w:r>
              <w:rPr>
                <w:rFonts w:hint="eastAsia" w:ascii="仿宋" w:hAnsi="仿宋" w:cs="仿宋"/>
                <w:bCs/>
                <w:color w:val="auto"/>
                <w:highlight w:val="none"/>
              </w:rPr>
              <w:t>（）增值税专用发票</w:t>
            </w:r>
          </w:p>
        </w:tc>
      </w:tr>
      <w:tr w14:paraId="6DD3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B3B2999">
            <w:pPr>
              <w:autoSpaceDE w:val="0"/>
              <w:autoSpaceDN w:val="0"/>
              <w:spacing w:line="360" w:lineRule="auto"/>
              <w:jc w:val="center"/>
              <w:rPr>
                <w:rFonts w:hint="eastAsia" w:ascii="仿宋" w:hAnsi="仿宋" w:cs="仿宋"/>
                <w:bCs/>
                <w:color w:val="auto"/>
                <w:highlight w:val="none"/>
              </w:rPr>
            </w:pPr>
            <w:r>
              <w:rPr>
                <w:rFonts w:hint="eastAsia" w:ascii="仿宋" w:hAnsi="仿宋" w:cs="仿宋"/>
                <w:bCs/>
                <w:color w:val="auto"/>
                <w:highlight w:val="none"/>
              </w:rPr>
              <w:t>开票信息</w:t>
            </w:r>
          </w:p>
          <w:p w14:paraId="6AD46FC1">
            <w:pPr>
              <w:autoSpaceDE w:val="0"/>
              <w:autoSpaceDN w:val="0"/>
              <w:spacing w:line="360" w:lineRule="auto"/>
              <w:jc w:val="center"/>
              <w:rPr>
                <w:rFonts w:hint="eastAsia" w:ascii="仿宋" w:hAnsi="仿宋" w:cs="仿宋"/>
                <w:bCs/>
                <w:color w:val="auto"/>
                <w:highlight w:val="none"/>
              </w:rPr>
            </w:pPr>
            <w:r>
              <w:rPr>
                <w:rFonts w:hint="eastAsia" w:ascii="仿宋" w:hAnsi="仿宋" w:cs="仿宋"/>
                <w:bCs/>
                <w:color w:val="auto"/>
                <w:highlight w:val="none"/>
              </w:rPr>
              <w:t>（普通发票只需要提供纳税识别号，专用发票需要财务确认过的开票信息）</w:t>
            </w:r>
          </w:p>
        </w:tc>
        <w:tc>
          <w:tcPr>
            <w:tcW w:w="5598" w:type="dxa"/>
          </w:tcPr>
          <w:p w14:paraId="09AADEAB">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纳税识别号：</w:t>
            </w:r>
          </w:p>
          <w:p w14:paraId="688F31B9">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（税务部门备案的）地址：</w:t>
            </w:r>
          </w:p>
          <w:p w14:paraId="5BC47569">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（税务部门备案的）电话：</w:t>
            </w:r>
          </w:p>
          <w:p w14:paraId="77538B0D">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开户行：</w:t>
            </w:r>
          </w:p>
          <w:p w14:paraId="36A08503">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银行账号：</w:t>
            </w:r>
          </w:p>
        </w:tc>
      </w:tr>
      <w:tr w14:paraId="018B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668F7C25">
            <w:pPr>
              <w:autoSpaceDE w:val="0"/>
              <w:autoSpaceDN w:val="0"/>
              <w:spacing w:line="360" w:lineRule="auto"/>
              <w:rPr>
                <w:rFonts w:hint="eastAsia" w:ascii="仿宋" w:hAnsi="仿宋" w:cs="仿宋"/>
                <w:bCs/>
                <w:color w:val="auto"/>
                <w:highlight w:val="none"/>
              </w:rPr>
            </w:pPr>
            <w:r>
              <w:rPr>
                <w:rFonts w:hint="eastAsia" w:ascii="仿宋" w:hAnsi="仿宋" w:cs="仿宋"/>
                <w:bCs/>
                <w:color w:val="auto"/>
                <w:highlight w:val="none"/>
              </w:rPr>
              <w:t>若中标，服务费发票快递接收地址、联系人、电话</w:t>
            </w:r>
          </w:p>
        </w:tc>
        <w:tc>
          <w:tcPr>
            <w:tcW w:w="5598" w:type="dxa"/>
          </w:tcPr>
          <w:p w14:paraId="7B2D8113">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地址：</w:t>
            </w:r>
          </w:p>
          <w:p w14:paraId="4506AD56">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收件人：</w:t>
            </w:r>
          </w:p>
          <w:p w14:paraId="5A35BEC0">
            <w:pPr>
              <w:autoSpaceDE w:val="0"/>
              <w:autoSpaceDN w:val="0"/>
              <w:spacing w:line="360" w:lineRule="auto"/>
              <w:rPr>
                <w:rFonts w:hint="eastAsia" w:ascii="仿宋" w:hAnsi="仿宋" w:cs="仿宋"/>
                <w:b/>
                <w:bCs/>
                <w:color w:val="auto"/>
                <w:highlight w:val="none"/>
              </w:rPr>
            </w:pPr>
            <w:r>
              <w:rPr>
                <w:rFonts w:hint="eastAsia" w:ascii="仿宋" w:hAnsi="仿宋" w:cs="仿宋"/>
                <w:b/>
                <w:bCs/>
                <w:color w:val="auto"/>
                <w:highlight w:val="none"/>
              </w:rPr>
              <w:t>电话：</w:t>
            </w:r>
          </w:p>
        </w:tc>
      </w:tr>
    </w:tbl>
    <w:p w14:paraId="31785165">
      <w:pPr>
        <w:rPr>
          <w:rFonts w:hint="eastAsia" w:ascii="仿宋" w:hAnsi="仿宋" w:cs="仿宋"/>
          <w:b/>
          <w:bCs/>
          <w:color w:val="auto"/>
          <w:highlight w:val="none"/>
        </w:rPr>
      </w:pPr>
      <w:r>
        <w:rPr>
          <w:rFonts w:hint="eastAsia" w:ascii="仿宋" w:hAnsi="仿宋" w:cs="仿宋"/>
          <w:b/>
          <w:bCs/>
          <w:color w:val="auto"/>
          <w:highlight w:val="none"/>
        </w:rPr>
        <w:t>1、此表内容填好在开标前</w:t>
      </w:r>
      <w:r>
        <w:rPr>
          <w:color w:val="auto"/>
          <w:highlight w:val="none"/>
        </w:rPr>
        <w:fldChar w:fldCharType="begin"/>
      </w:r>
      <w:r>
        <w:rPr>
          <w:color w:val="auto"/>
          <w:highlight w:val="none"/>
        </w:rPr>
        <w:instrText xml:space="preserve"> HYPERLINK "mailto:填完后发送至1181022@qq.com" </w:instrText>
      </w:r>
      <w:r>
        <w:rPr>
          <w:color w:val="auto"/>
          <w:highlight w:val="none"/>
        </w:rPr>
        <w:fldChar w:fldCharType="separate"/>
      </w:r>
      <w:r>
        <w:rPr>
          <w:rStyle w:val="76"/>
          <w:rFonts w:hint="eastAsia" w:ascii="仿宋" w:hAnsi="仿宋" w:eastAsia="仿宋" w:cs="仿宋"/>
          <w:b/>
          <w:bCs/>
          <w:color w:val="auto"/>
          <w:sz w:val="24"/>
          <w:highlight w:val="none"/>
        </w:rPr>
        <w:t>发送word版电子稿至邮箱</w:t>
      </w:r>
      <w:r>
        <w:rPr>
          <w:rStyle w:val="76"/>
          <w:rFonts w:hint="eastAsia" w:ascii="仿宋" w:hAnsi="仿宋" w:cs="仿宋"/>
          <w:b/>
          <w:bCs/>
          <w:color w:val="auto"/>
          <w:sz w:val="24"/>
          <w:highlight w:val="none"/>
        </w:rPr>
        <w:t>231845135</w:t>
      </w:r>
      <w:r>
        <w:rPr>
          <w:rStyle w:val="76"/>
          <w:rFonts w:hint="eastAsia" w:ascii="仿宋" w:hAnsi="仿宋" w:eastAsia="仿宋" w:cs="仿宋"/>
          <w:b/>
          <w:bCs/>
          <w:color w:val="auto"/>
          <w:sz w:val="24"/>
          <w:highlight w:val="none"/>
        </w:rPr>
        <w:t>@</w:t>
      </w:r>
      <w:r>
        <w:rPr>
          <w:rStyle w:val="76"/>
          <w:rFonts w:hint="eastAsia" w:ascii="仿宋" w:hAnsi="仿宋" w:cs="仿宋"/>
          <w:b/>
          <w:bCs/>
          <w:color w:val="auto"/>
          <w:sz w:val="24"/>
          <w:highlight w:val="none"/>
        </w:rPr>
        <w:t>qq</w:t>
      </w:r>
      <w:r>
        <w:rPr>
          <w:rStyle w:val="76"/>
          <w:rFonts w:hint="eastAsia" w:ascii="仿宋" w:hAnsi="仿宋" w:eastAsia="仿宋" w:cs="仿宋"/>
          <w:b/>
          <w:bCs/>
          <w:color w:val="auto"/>
          <w:sz w:val="24"/>
          <w:highlight w:val="none"/>
        </w:rPr>
        <w:t>.com</w:t>
      </w:r>
      <w:r>
        <w:rPr>
          <w:rStyle w:val="76"/>
          <w:rFonts w:hint="eastAsia" w:ascii="仿宋" w:hAnsi="仿宋" w:eastAsia="仿宋" w:cs="仿宋"/>
          <w:b/>
          <w:bCs/>
          <w:color w:val="auto"/>
          <w:sz w:val="24"/>
          <w:highlight w:val="none"/>
        </w:rPr>
        <w:fldChar w:fldCharType="end"/>
      </w:r>
      <w:r>
        <w:rPr>
          <w:rFonts w:hint="eastAsia" w:ascii="仿宋" w:hAnsi="仿宋" w:cs="仿宋"/>
          <w:b/>
          <w:bCs/>
          <w:color w:val="auto"/>
          <w:highlight w:val="none"/>
        </w:rPr>
        <w:t>。邮件名称为供应商单位名称，以便中标服务费结算。</w:t>
      </w:r>
    </w:p>
    <w:p w14:paraId="79F68CFC">
      <w:pPr>
        <w:rPr>
          <w:rFonts w:hint="eastAsia" w:ascii="仿宋" w:hAnsi="仿宋" w:cs="仿宋"/>
          <w:b/>
          <w:bCs/>
          <w:color w:val="auto"/>
          <w:highlight w:val="none"/>
        </w:rPr>
      </w:pPr>
      <w:r>
        <w:rPr>
          <w:rFonts w:hint="eastAsia" w:ascii="仿宋" w:hAnsi="仿宋" w:cs="仿宋"/>
          <w:b/>
          <w:bCs/>
          <w:color w:val="auto"/>
          <w:highlight w:val="none"/>
        </w:rPr>
        <w:t>2、中标服务费的金额将在中标结果公告网页上明示，采购代理机构不再另行通知。</w:t>
      </w:r>
    </w:p>
    <w:p w14:paraId="4016151C">
      <w:pPr>
        <w:rPr>
          <w:rFonts w:hint="eastAsia" w:ascii="仿宋" w:hAnsi="仿宋" w:cs="仿宋"/>
          <w:b/>
          <w:color w:val="auto"/>
          <w:sz w:val="32"/>
          <w:szCs w:val="32"/>
          <w:highlight w:val="none"/>
        </w:rPr>
      </w:pPr>
      <w:r>
        <w:rPr>
          <w:rFonts w:hint="eastAsia" w:ascii="仿宋" w:hAnsi="仿宋" w:cs="仿宋"/>
          <w:b/>
          <w:color w:val="auto"/>
          <w:sz w:val="32"/>
          <w:szCs w:val="32"/>
          <w:highlight w:val="none"/>
        </w:rPr>
        <w:br w:type="page"/>
      </w:r>
    </w:p>
    <w:p w14:paraId="380BAAC2">
      <w:pPr>
        <w:rPr>
          <w:rFonts w:hint="eastAsia" w:ascii="仿宋" w:hAnsi="仿宋" w:cs="仿宋"/>
          <w:b/>
          <w:color w:val="auto"/>
          <w:kern w:val="0"/>
          <w:sz w:val="32"/>
          <w:szCs w:val="32"/>
          <w:highlight w:val="none"/>
        </w:rPr>
      </w:pPr>
      <w:bookmarkStart w:id="620" w:name="_Toc465665161"/>
    </w:p>
    <w:p w14:paraId="30EF3298">
      <w:pPr>
        <w:spacing w:line="360" w:lineRule="auto"/>
        <w:jc w:val="center"/>
        <w:outlineLvl w:val="1"/>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附件</w:t>
      </w:r>
      <w:bookmarkEnd w:id="620"/>
    </w:p>
    <w:p w14:paraId="4699FFB6">
      <w:pPr>
        <w:spacing w:line="360" w:lineRule="auto"/>
        <w:jc w:val="center"/>
        <w:outlineLvl w:val="2"/>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附件1：</w:t>
      </w:r>
      <w:bookmarkStart w:id="621" w:name="OLE_LINK13"/>
      <w:bookmarkStart w:id="622" w:name="OLE_LINK14"/>
      <w:r>
        <w:rPr>
          <w:rFonts w:hint="eastAsia" w:ascii="仿宋" w:hAnsi="仿宋" w:cs="仿宋"/>
          <w:b/>
          <w:color w:val="auto"/>
          <w:spacing w:val="6"/>
          <w:sz w:val="32"/>
          <w:szCs w:val="32"/>
          <w:highlight w:val="none"/>
        </w:rPr>
        <w:t>残疾人福利性单位声明函</w:t>
      </w:r>
    </w:p>
    <w:bookmarkEnd w:id="621"/>
    <w:bookmarkEnd w:id="622"/>
    <w:p w14:paraId="0CC1C04D">
      <w:pPr>
        <w:spacing w:line="360" w:lineRule="auto"/>
        <w:rPr>
          <w:rFonts w:hint="eastAsia" w:ascii="仿宋" w:hAnsi="仿宋" w:cs="仿宋"/>
          <w:b/>
          <w:color w:val="auto"/>
          <w:spacing w:val="6"/>
          <w:sz w:val="30"/>
          <w:szCs w:val="30"/>
          <w:highlight w:val="none"/>
        </w:rPr>
      </w:pPr>
    </w:p>
    <w:p w14:paraId="79E8680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auto"/>
          <w:highlight w:val="none"/>
          <w:u w:val="single"/>
        </w:rPr>
        <w:t>（采购人）</w:t>
      </w:r>
      <w:r>
        <w:rPr>
          <w:rFonts w:hint="eastAsia" w:ascii="仿宋" w:hAnsi="仿宋" w:cs="仿宋"/>
          <w:color w:val="auto"/>
          <w:highlight w:val="none"/>
        </w:rPr>
        <w:t>单位的</w:t>
      </w:r>
      <w:r>
        <w:rPr>
          <w:rFonts w:hint="eastAsia" w:ascii="仿宋" w:hAnsi="仿宋" w:cs="仿宋"/>
          <w:color w:val="auto"/>
          <w:highlight w:val="none"/>
          <w:u w:val="single"/>
        </w:rPr>
        <w:t xml:space="preserve"> （项目名称） </w:t>
      </w:r>
      <w:r>
        <w:rPr>
          <w:rFonts w:hint="eastAsia" w:ascii="仿宋" w:hAnsi="仿宋" w:cs="仿宋"/>
          <w:color w:val="auto"/>
          <w:highlight w:val="none"/>
        </w:rPr>
        <w:t>项目采购活动提供本单位制造的货物（由本单位承担工程/提供服务），或者提供其他残疾人福利性单位制造的货物（不包括使用非残疾人福利性单位注册商标的货物）。</w:t>
      </w:r>
    </w:p>
    <w:p w14:paraId="10A16032">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本单位对上述声明的真实性负责。如有虚假，将依法承担相应责任。</w:t>
      </w:r>
    </w:p>
    <w:p w14:paraId="6B3835E5">
      <w:pPr>
        <w:spacing w:line="360" w:lineRule="auto"/>
        <w:ind w:firstLine="480" w:firstLineChars="200"/>
        <w:rPr>
          <w:rFonts w:hint="eastAsia" w:ascii="仿宋" w:hAnsi="仿宋" w:cs="仿宋"/>
          <w:color w:val="auto"/>
          <w:highlight w:val="none"/>
        </w:rPr>
      </w:pPr>
    </w:p>
    <w:p w14:paraId="7DDC860E">
      <w:pPr>
        <w:spacing w:line="360" w:lineRule="auto"/>
        <w:ind w:firstLine="480" w:firstLineChars="200"/>
        <w:rPr>
          <w:rFonts w:hint="eastAsia" w:ascii="仿宋" w:hAnsi="仿宋" w:cs="仿宋"/>
          <w:color w:val="auto"/>
          <w:highlight w:val="none"/>
        </w:rPr>
      </w:pPr>
    </w:p>
    <w:p w14:paraId="3FD4E8B7">
      <w:pPr>
        <w:tabs>
          <w:tab w:val="left" w:pos="4860"/>
        </w:tabs>
        <w:spacing w:line="360" w:lineRule="auto"/>
        <w:ind w:right="1560" w:firstLine="480" w:firstLineChars="200"/>
        <w:jc w:val="center"/>
        <w:rPr>
          <w:rFonts w:hint="eastAsia" w:ascii="仿宋" w:hAnsi="仿宋" w:cs="仿宋"/>
          <w:color w:val="auto"/>
          <w:highlight w:val="none"/>
        </w:rPr>
      </w:pPr>
      <w:r>
        <w:rPr>
          <w:rFonts w:hint="eastAsia" w:ascii="仿宋" w:hAnsi="仿宋" w:cs="仿宋"/>
          <w:color w:val="auto"/>
          <w:kern w:val="0"/>
          <w:highlight w:val="none"/>
          <w:lang w:val="zh-CN"/>
        </w:rPr>
        <w:t>投标人名称（电子签名）</w:t>
      </w:r>
      <w:r>
        <w:rPr>
          <w:rFonts w:hint="eastAsia" w:ascii="仿宋" w:hAnsi="仿宋" w:cs="仿宋"/>
          <w:color w:val="auto"/>
          <w:highlight w:val="none"/>
        </w:rPr>
        <w:t>：</w:t>
      </w:r>
    </w:p>
    <w:p w14:paraId="230279A4">
      <w:pPr>
        <w:tabs>
          <w:tab w:val="left" w:pos="4860"/>
        </w:tabs>
        <w:spacing w:line="360" w:lineRule="auto"/>
        <w:ind w:right="1560" w:firstLine="480" w:firstLineChars="200"/>
        <w:jc w:val="center"/>
        <w:rPr>
          <w:rFonts w:hint="eastAsia" w:ascii="仿宋" w:hAnsi="仿宋" w:cs="仿宋"/>
          <w:color w:val="auto"/>
          <w:highlight w:val="none"/>
        </w:rPr>
      </w:pPr>
      <w:r>
        <w:rPr>
          <w:rFonts w:hint="eastAsia" w:ascii="仿宋" w:hAnsi="仿宋" w:cs="仿宋"/>
          <w:color w:val="auto"/>
          <w:highlight w:val="none"/>
        </w:rPr>
        <w:t xml:space="preserve">       日  期：</w:t>
      </w:r>
    </w:p>
    <w:p w14:paraId="71E39B4A">
      <w:pPr>
        <w:spacing w:line="360" w:lineRule="auto"/>
        <w:ind w:firstLine="480" w:firstLineChars="200"/>
        <w:rPr>
          <w:rFonts w:hint="eastAsia" w:ascii="仿宋" w:hAnsi="仿宋" w:cs="仿宋"/>
          <w:color w:val="auto"/>
          <w:highlight w:val="none"/>
        </w:rPr>
      </w:pPr>
    </w:p>
    <w:p w14:paraId="2EBC86EF">
      <w:pP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br w:type="page"/>
      </w:r>
    </w:p>
    <w:p w14:paraId="718843FC">
      <w:pPr>
        <w:spacing w:line="360" w:lineRule="auto"/>
        <w:jc w:val="left"/>
        <w:outlineLvl w:val="2"/>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附件2：质疑函范本及制作说明</w:t>
      </w:r>
    </w:p>
    <w:p w14:paraId="2571E826">
      <w:pPr>
        <w:spacing w:line="360" w:lineRule="auto"/>
        <w:jc w:val="cente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质疑函范本</w:t>
      </w:r>
    </w:p>
    <w:p w14:paraId="695D1777">
      <w:pPr>
        <w:spacing w:before="240" w:beforeLines="100" w:line="360" w:lineRule="auto"/>
        <w:rPr>
          <w:rFonts w:hint="eastAsia" w:ascii="仿宋" w:hAnsi="仿宋" w:cs="仿宋"/>
          <w:bCs/>
          <w:color w:val="auto"/>
          <w:highlight w:val="none"/>
        </w:rPr>
      </w:pPr>
      <w:r>
        <w:rPr>
          <w:rFonts w:hint="eastAsia" w:ascii="仿宋" w:hAnsi="仿宋" w:cs="仿宋"/>
          <w:bCs/>
          <w:color w:val="auto"/>
          <w:highlight w:val="none"/>
        </w:rPr>
        <w:t>一、质疑供应商基本信息</w:t>
      </w:r>
    </w:p>
    <w:p w14:paraId="4CDA447C">
      <w:pPr>
        <w:spacing w:line="360" w:lineRule="auto"/>
        <w:rPr>
          <w:rFonts w:hint="eastAsia" w:ascii="仿宋" w:hAnsi="仿宋" w:cs="仿宋"/>
          <w:color w:val="auto"/>
          <w:highlight w:val="none"/>
          <w:u w:val="dotted"/>
        </w:rPr>
      </w:pPr>
      <w:r>
        <w:rPr>
          <w:rFonts w:hint="eastAsia" w:ascii="仿宋" w:hAnsi="仿宋" w:cs="仿宋"/>
          <w:color w:val="auto"/>
          <w:highlight w:val="none"/>
        </w:rPr>
        <w:t>质疑供应商：</w:t>
      </w:r>
    </w:p>
    <w:p w14:paraId="5AFDAC9B">
      <w:pPr>
        <w:spacing w:line="360" w:lineRule="auto"/>
        <w:rPr>
          <w:rFonts w:hint="eastAsia" w:ascii="仿宋" w:hAnsi="仿宋" w:cs="仿宋"/>
          <w:color w:val="auto"/>
          <w:highlight w:val="none"/>
        </w:rPr>
      </w:pPr>
      <w:r>
        <w:rPr>
          <w:rFonts w:hint="eastAsia" w:ascii="仿宋" w:hAnsi="仿宋" w:cs="仿宋"/>
          <w:color w:val="auto"/>
          <w:highlight w:val="none"/>
        </w:rPr>
        <w:t>地址：邮编：</w:t>
      </w:r>
    </w:p>
    <w:p w14:paraId="2CFFAA02">
      <w:pPr>
        <w:spacing w:line="360" w:lineRule="auto"/>
        <w:rPr>
          <w:rFonts w:hint="eastAsia" w:ascii="仿宋" w:hAnsi="仿宋" w:cs="仿宋"/>
          <w:color w:val="auto"/>
          <w:highlight w:val="none"/>
        </w:rPr>
      </w:pPr>
      <w:r>
        <w:rPr>
          <w:rFonts w:hint="eastAsia" w:ascii="仿宋" w:hAnsi="仿宋" w:cs="仿宋"/>
          <w:color w:val="auto"/>
          <w:highlight w:val="none"/>
        </w:rPr>
        <w:t>联系人：联系电话：</w:t>
      </w:r>
    </w:p>
    <w:p w14:paraId="1D052E80">
      <w:pPr>
        <w:spacing w:line="360" w:lineRule="auto"/>
        <w:rPr>
          <w:rFonts w:hint="eastAsia" w:ascii="仿宋" w:hAnsi="仿宋" w:cs="仿宋"/>
          <w:color w:val="auto"/>
          <w:highlight w:val="none"/>
          <w:u w:val="dotted"/>
        </w:rPr>
      </w:pPr>
      <w:r>
        <w:rPr>
          <w:rFonts w:hint="eastAsia" w:ascii="仿宋" w:hAnsi="仿宋" w:cs="仿宋"/>
          <w:color w:val="auto"/>
          <w:highlight w:val="none"/>
        </w:rPr>
        <w:t>授权代表：</w:t>
      </w:r>
    </w:p>
    <w:p w14:paraId="327D57BF">
      <w:pPr>
        <w:spacing w:line="360" w:lineRule="auto"/>
        <w:rPr>
          <w:rFonts w:hint="eastAsia" w:ascii="仿宋" w:hAnsi="仿宋" w:cs="仿宋"/>
          <w:color w:val="auto"/>
          <w:highlight w:val="none"/>
        </w:rPr>
      </w:pPr>
      <w:r>
        <w:rPr>
          <w:rFonts w:hint="eastAsia" w:ascii="仿宋" w:hAnsi="仿宋" w:cs="仿宋"/>
          <w:color w:val="auto"/>
          <w:highlight w:val="none"/>
        </w:rPr>
        <w:t>联系电话：</w:t>
      </w:r>
    </w:p>
    <w:p w14:paraId="17150C50">
      <w:pPr>
        <w:spacing w:line="360" w:lineRule="auto"/>
        <w:rPr>
          <w:rFonts w:hint="eastAsia" w:ascii="仿宋" w:hAnsi="仿宋" w:cs="仿宋"/>
          <w:color w:val="auto"/>
          <w:highlight w:val="none"/>
        </w:rPr>
      </w:pPr>
      <w:r>
        <w:rPr>
          <w:rFonts w:hint="eastAsia" w:ascii="仿宋" w:hAnsi="仿宋" w:cs="仿宋"/>
          <w:color w:val="auto"/>
          <w:highlight w:val="none"/>
        </w:rPr>
        <w:t>地址：邮编：</w:t>
      </w:r>
    </w:p>
    <w:p w14:paraId="500F962C">
      <w:pPr>
        <w:spacing w:line="360" w:lineRule="auto"/>
        <w:rPr>
          <w:rFonts w:hint="eastAsia" w:ascii="仿宋" w:hAnsi="仿宋" w:cs="仿宋"/>
          <w:bCs/>
          <w:color w:val="auto"/>
          <w:highlight w:val="none"/>
        </w:rPr>
      </w:pPr>
      <w:r>
        <w:rPr>
          <w:rFonts w:hint="eastAsia" w:ascii="仿宋" w:hAnsi="仿宋" w:cs="仿宋"/>
          <w:bCs/>
          <w:color w:val="auto"/>
          <w:highlight w:val="none"/>
        </w:rPr>
        <w:t>二、质疑项目基本情况</w:t>
      </w:r>
    </w:p>
    <w:p w14:paraId="453EBBE2">
      <w:pPr>
        <w:spacing w:line="360" w:lineRule="auto"/>
        <w:rPr>
          <w:rFonts w:hint="eastAsia" w:ascii="仿宋" w:hAnsi="仿宋" w:cs="仿宋"/>
          <w:color w:val="auto"/>
          <w:highlight w:val="none"/>
        </w:rPr>
      </w:pPr>
      <w:r>
        <w:rPr>
          <w:rFonts w:hint="eastAsia" w:ascii="仿宋" w:hAnsi="仿宋" w:cs="仿宋"/>
          <w:color w:val="auto"/>
          <w:highlight w:val="none"/>
        </w:rPr>
        <w:t>质疑项目的名称：</w:t>
      </w:r>
    </w:p>
    <w:p w14:paraId="28CB9CED">
      <w:pPr>
        <w:spacing w:line="360" w:lineRule="auto"/>
        <w:rPr>
          <w:rFonts w:hint="eastAsia" w:ascii="仿宋" w:hAnsi="仿宋" w:cs="仿宋"/>
          <w:color w:val="auto"/>
          <w:highlight w:val="none"/>
        </w:rPr>
      </w:pPr>
      <w:r>
        <w:rPr>
          <w:rFonts w:hint="eastAsia" w:ascii="仿宋" w:hAnsi="仿宋" w:cs="仿宋"/>
          <w:color w:val="auto"/>
          <w:highlight w:val="none"/>
        </w:rPr>
        <w:t>质疑项目的编号：包号：</w:t>
      </w:r>
    </w:p>
    <w:p w14:paraId="0B150E4B">
      <w:pPr>
        <w:spacing w:line="360" w:lineRule="auto"/>
        <w:rPr>
          <w:rFonts w:hint="eastAsia" w:ascii="仿宋" w:hAnsi="仿宋" w:cs="仿宋"/>
          <w:color w:val="auto"/>
          <w:highlight w:val="none"/>
          <w:u w:val="dotted"/>
        </w:rPr>
      </w:pPr>
      <w:r>
        <w:rPr>
          <w:rFonts w:hint="eastAsia" w:ascii="仿宋" w:hAnsi="仿宋" w:cs="仿宋"/>
          <w:color w:val="auto"/>
          <w:highlight w:val="none"/>
        </w:rPr>
        <w:t>采购人名称：</w:t>
      </w:r>
    </w:p>
    <w:p w14:paraId="03CA83C4">
      <w:pPr>
        <w:spacing w:line="360" w:lineRule="auto"/>
        <w:rPr>
          <w:rFonts w:hint="eastAsia" w:ascii="仿宋" w:hAnsi="仿宋" w:cs="仿宋"/>
          <w:color w:val="auto"/>
          <w:highlight w:val="none"/>
        </w:rPr>
      </w:pPr>
      <w:r>
        <w:rPr>
          <w:rFonts w:hint="eastAsia" w:ascii="仿宋" w:hAnsi="仿宋" w:cs="仿宋"/>
          <w:color w:val="auto"/>
          <w:highlight w:val="none"/>
        </w:rPr>
        <w:t>采购文件获取日期：</w:t>
      </w:r>
    </w:p>
    <w:p w14:paraId="05D31F6C">
      <w:pPr>
        <w:spacing w:line="360" w:lineRule="auto"/>
        <w:rPr>
          <w:rFonts w:hint="eastAsia" w:ascii="仿宋" w:hAnsi="仿宋" w:cs="仿宋"/>
          <w:bCs/>
          <w:color w:val="auto"/>
          <w:highlight w:val="none"/>
        </w:rPr>
      </w:pPr>
      <w:r>
        <w:rPr>
          <w:rFonts w:hint="eastAsia" w:ascii="仿宋" w:hAnsi="仿宋" w:cs="仿宋"/>
          <w:bCs/>
          <w:color w:val="auto"/>
          <w:highlight w:val="none"/>
        </w:rPr>
        <w:t>三、质疑事项具体内容</w:t>
      </w:r>
    </w:p>
    <w:p w14:paraId="626E933F">
      <w:pPr>
        <w:spacing w:line="360" w:lineRule="auto"/>
        <w:rPr>
          <w:rFonts w:hint="eastAsia" w:ascii="仿宋" w:hAnsi="仿宋" w:cs="仿宋"/>
          <w:color w:val="auto"/>
          <w:highlight w:val="none"/>
          <w:u w:val="dotted"/>
        </w:rPr>
      </w:pPr>
      <w:r>
        <w:rPr>
          <w:rFonts w:hint="eastAsia" w:ascii="仿宋" w:hAnsi="仿宋" w:cs="仿宋"/>
          <w:color w:val="auto"/>
          <w:highlight w:val="none"/>
        </w:rPr>
        <w:t>质疑事项1：</w:t>
      </w:r>
    </w:p>
    <w:p w14:paraId="1401E156">
      <w:pPr>
        <w:spacing w:line="360" w:lineRule="auto"/>
        <w:rPr>
          <w:rFonts w:hint="eastAsia" w:ascii="仿宋" w:hAnsi="仿宋" w:cs="仿宋"/>
          <w:color w:val="auto"/>
          <w:highlight w:val="none"/>
          <w:u w:val="dotted"/>
        </w:rPr>
      </w:pPr>
      <w:r>
        <w:rPr>
          <w:rFonts w:hint="eastAsia" w:ascii="仿宋" w:hAnsi="仿宋" w:cs="仿宋"/>
          <w:color w:val="auto"/>
          <w:highlight w:val="none"/>
        </w:rPr>
        <w:t>事实依据：</w:t>
      </w:r>
    </w:p>
    <w:p w14:paraId="637639D4">
      <w:pPr>
        <w:spacing w:line="360" w:lineRule="auto"/>
        <w:rPr>
          <w:rFonts w:hint="eastAsia" w:ascii="仿宋" w:hAnsi="仿宋" w:cs="仿宋"/>
          <w:color w:val="auto"/>
          <w:highlight w:val="none"/>
        </w:rPr>
      </w:pPr>
    </w:p>
    <w:p w14:paraId="1E8CAAE1">
      <w:pPr>
        <w:spacing w:line="360" w:lineRule="auto"/>
        <w:rPr>
          <w:rFonts w:hint="eastAsia" w:ascii="仿宋" w:hAnsi="仿宋" w:cs="仿宋"/>
          <w:color w:val="auto"/>
          <w:highlight w:val="none"/>
          <w:u w:val="dotted"/>
        </w:rPr>
      </w:pPr>
      <w:r>
        <w:rPr>
          <w:rFonts w:hint="eastAsia" w:ascii="仿宋" w:hAnsi="仿宋" w:cs="仿宋"/>
          <w:color w:val="auto"/>
          <w:highlight w:val="none"/>
        </w:rPr>
        <w:t>法律依据：</w:t>
      </w:r>
    </w:p>
    <w:p w14:paraId="23F9BCCA">
      <w:pPr>
        <w:spacing w:line="360" w:lineRule="auto"/>
        <w:rPr>
          <w:rFonts w:hint="eastAsia" w:ascii="仿宋" w:hAnsi="仿宋" w:cs="仿宋"/>
          <w:color w:val="auto"/>
          <w:highlight w:val="none"/>
          <w:u w:val="dotted"/>
        </w:rPr>
      </w:pPr>
    </w:p>
    <w:p w14:paraId="571C4113">
      <w:pPr>
        <w:spacing w:line="360" w:lineRule="auto"/>
        <w:rPr>
          <w:rFonts w:hint="eastAsia" w:ascii="仿宋" w:hAnsi="仿宋" w:cs="仿宋"/>
          <w:color w:val="auto"/>
          <w:highlight w:val="none"/>
          <w:u w:val="dotted"/>
        </w:rPr>
      </w:pPr>
      <w:r>
        <w:rPr>
          <w:rFonts w:hint="eastAsia" w:ascii="仿宋" w:hAnsi="仿宋" w:cs="仿宋"/>
          <w:color w:val="auto"/>
          <w:highlight w:val="none"/>
        </w:rPr>
        <w:t>质疑事项2</w:t>
      </w:r>
    </w:p>
    <w:p w14:paraId="0E0156EA">
      <w:pPr>
        <w:spacing w:line="360" w:lineRule="auto"/>
        <w:rPr>
          <w:rFonts w:hint="eastAsia" w:ascii="仿宋" w:hAnsi="仿宋" w:cs="仿宋"/>
          <w:color w:val="auto"/>
          <w:highlight w:val="none"/>
        </w:rPr>
      </w:pPr>
      <w:r>
        <w:rPr>
          <w:rFonts w:hint="eastAsia" w:ascii="仿宋" w:hAnsi="仿宋" w:cs="仿宋"/>
          <w:color w:val="auto"/>
          <w:highlight w:val="none"/>
        </w:rPr>
        <w:t>……</w:t>
      </w:r>
    </w:p>
    <w:p w14:paraId="2BCF961F">
      <w:pPr>
        <w:spacing w:line="360" w:lineRule="auto"/>
        <w:rPr>
          <w:rFonts w:hint="eastAsia" w:ascii="仿宋" w:hAnsi="仿宋" w:cs="仿宋"/>
          <w:bCs/>
          <w:color w:val="auto"/>
          <w:highlight w:val="none"/>
        </w:rPr>
      </w:pPr>
      <w:r>
        <w:rPr>
          <w:rFonts w:hint="eastAsia" w:ascii="仿宋" w:hAnsi="仿宋" w:cs="仿宋"/>
          <w:bCs/>
          <w:color w:val="auto"/>
          <w:highlight w:val="none"/>
        </w:rPr>
        <w:t>四、与质疑事项相关的质疑请求</w:t>
      </w:r>
    </w:p>
    <w:p w14:paraId="7274D2DB">
      <w:pPr>
        <w:spacing w:line="360" w:lineRule="auto"/>
        <w:rPr>
          <w:rFonts w:hint="eastAsia" w:ascii="仿宋" w:hAnsi="仿宋" w:cs="仿宋"/>
          <w:color w:val="auto"/>
          <w:highlight w:val="none"/>
          <w:u w:val="dotted"/>
        </w:rPr>
      </w:pPr>
      <w:r>
        <w:rPr>
          <w:rFonts w:hint="eastAsia" w:ascii="仿宋" w:hAnsi="仿宋" w:cs="仿宋"/>
          <w:color w:val="auto"/>
          <w:highlight w:val="none"/>
        </w:rPr>
        <w:t>请求：</w:t>
      </w:r>
    </w:p>
    <w:p w14:paraId="7798AEDB">
      <w:pPr>
        <w:spacing w:line="360" w:lineRule="auto"/>
        <w:rPr>
          <w:rFonts w:hint="eastAsia" w:ascii="仿宋" w:hAnsi="仿宋" w:cs="仿宋"/>
          <w:color w:val="auto"/>
          <w:highlight w:val="none"/>
        </w:rPr>
      </w:pPr>
      <w:r>
        <w:rPr>
          <w:rFonts w:hint="eastAsia" w:ascii="仿宋" w:hAnsi="仿宋" w:cs="仿宋"/>
          <w:color w:val="auto"/>
          <w:highlight w:val="none"/>
        </w:rPr>
        <w:t xml:space="preserve">签字(签章)：                   公章：                      </w:t>
      </w:r>
    </w:p>
    <w:p w14:paraId="1CF26689">
      <w:pPr>
        <w:spacing w:line="360" w:lineRule="auto"/>
        <w:rPr>
          <w:rFonts w:hint="eastAsia" w:ascii="仿宋" w:hAnsi="仿宋" w:cs="仿宋"/>
          <w:color w:val="auto"/>
          <w:highlight w:val="none"/>
        </w:rPr>
      </w:pPr>
      <w:r>
        <w:rPr>
          <w:rFonts w:hint="eastAsia" w:ascii="仿宋" w:hAnsi="仿宋" w:cs="仿宋"/>
          <w:color w:val="auto"/>
          <w:highlight w:val="none"/>
        </w:rPr>
        <w:t>日期：</w:t>
      </w:r>
    </w:p>
    <w:p w14:paraId="41EDFB18">
      <w:pPr>
        <w:spacing w:line="360" w:lineRule="auto"/>
        <w:jc w:val="center"/>
        <w:rPr>
          <w:rFonts w:hint="eastAsia" w:ascii="仿宋" w:hAnsi="仿宋" w:cs="仿宋"/>
          <w:b/>
          <w:bCs/>
          <w:color w:val="auto"/>
          <w:highlight w:val="none"/>
        </w:rPr>
      </w:pPr>
    </w:p>
    <w:p w14:paraId="76535E51">
      <w:pPr>
        <w:spacing w:line="360" w:lineRule="auto"/>
        <w:rPr>
          <w:rFonts w:hint="eastAsia" w:ascii="仿宋" w:hAnsi="仿宋" w:cs="仿宋"/>
          <w:b/>
          <w:color w:val="auto"/>
          <w:highlight w:val="none"/>
        </w:rPr>
      </w:pPr>
    </w:p>
    <w:p w14:paraId="25EBA702">
      <w:pPr>
        <w:spacing w:line="360" w:lineRule="auto"/>
        <w:rPr>
          <w:rFonts w:hint="eastAsia" w:ascii="仿宋" w:hAnsi="仿宋" w:cs="仿宋"/>
          <w:b/>
          <w:color w:val="auto"/>
          <w:highlight w:val="none"/>
        </w:rPr>
      </w:pPr>
    </w:p>
    <w:p w14:paraId="491E3A27">
      <w:pPr>
        <w:spacing w:line="360" w:lineRule="auto"/>
        <w:rPr>
          <w:rFonts w:hint="eastAsia" w:ascii="仿宋" w:hAnsi="仿宋" w:cs="仿宋"/>
          <w:b/>
          <w:color w:val="auto"/>
          <w:highlight w:val="none"/>
        </w:rPr>
      </w:pPr>
    </w:p>
    <w:p w14:paraId="6C9AFB77">
      <w:pPr>
        <w:spacing w:line="360" w:lineRule="auto"/>
        <w:rPr>
          <w:rFonts w:hint="eastAsia" w:ascii="仿宋" w:hAnsi="仿宋" w:cs="仿宋"/>
          <w:b/>
          <w:color w:val="auto"/>
          <w:highlight w:val="none"/>
        </w:rPr>
      </w:pPr>
      <w:r>
        <w:rPr>
          <w:rFonts w:hint="eastAsia" w:ascii="仿宋" w:hAnsi="仿宋" w:cs="仿宋"/>
          <w:b/>
          <w:color w:val="auto"/>
          <w:highlight w:val="none"/>
        </w:rPr>
        <w:t>质疑函制作说明：</w:t>
      </w:r>
    </w:p>
    <w:p w14:paraId="1E91CC49">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1.供应商提出质疑时，应提交质疑函和必要的证明材料。</w:t>
      </w:r>
    </w:p>
    <w:p w14:paraId="1EFD7049">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2.质疑供应商若委托代理人进行质疑的，质疑函应按要求列明“授权代表”的有关内容，并在附件中提交由质疑</w:t>
      </w:r>
      <w:r>
        <w:rPr>
          <w:rFonts w:hint="eastAsia" w:ascii="仿宋" w:hAnsi="仿宋" w:cs="仿宋"/>
          <w:color w:val="auto"/>
          <w:kern w:val="0"/>
          <w:highlight w:val="none"/>
        </w:rPr>
        <w:t>供应商签署的授权委托书。授权委托书应载明代理人的姓名或者名称、代理事项、具体权限、期限和相关事项。</w:t>
      </w:r>
    </w:p>
    <w:p w14:paraId="5329157A">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3.质疑供应商若对项目的某一分包进行质疑，质疑函中应列明具体分包号。</w:t>
      </w:r>
    </w:p>
    <w:p w14:paraId="4EFC6F82">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4.质疑函的质疑事项应具体、明确，并有必要的事实依据和法律依据。</w:t>
      </w:r>
    </w:p>
    <w:p w14:paraId="1A362B07">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5.质疑函的质疑请求应与质疑事项相关。</w:t>
      </w:r>
    </w:p>
    <w:p w14:paraId="1C3F4919">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05167C55">
      <w:pPr>
        <w:widowControl/>
        <w:spacing w:line="360" w:lineRule="auto"/>
        <w:ind w:firstLine="600" w:firstLineChars="200"/>
        <w:jc w:val="left"/>
        <w:rPr>
          <w:rFonts w:hint="eastAsia" w:ascii="仿宋" w:hAnsi="仿宋" w:cs="仿宋"/>
          <w:color w:val="auto"/>
          <w:sz w:val="30"/>
          <w:szCs w:val="30"/>
          <w:highlight w:val="none"/>
        </w:rPr>
      </w:pPr>
    </w:p>
    <w:p w14:paraId="421164F3">
      <w:pPr>
        <w:spacing w:line="360" w:lineRule="auto"/>
        <w:jc w:val="center"/>
        <w:rPr>
          <w:rFonts w:hint="eastAsia" w:ascii="仿宋" w:hAnsi="仿宋" w:cs="仿宋"/>
          <w:b/>
          <w:color w:val="auto"/>
          <w:spacing w:val="6"/>
          <w:sz w:val="32"/>
          <w:szCs w:val="32"/>
          <w:highlight w:val="none"/>
        </w:rPr>
      </w:pPr>
    </w:p>
    <w:p w14:paraId="7DE275BF">
      <w:pPr>
        <w:spacing w:line="360" w:lineRule="auto"/>
        <w:jc w:val="center"/>
        <w:rPr>
          <w:rFonts w:hint="eastAsia" w:ascii="仿宋" w:hAnsi="仿宋" w:cs="仿宋"/>
          <w:b/>
          <w:color w:val="auto"/>
          <w:spacing w:val="6"/>
          <w:sz w:val="32"/>
          <w:szCs w:val="32"/>
          <w:highlight w:val="none"/>
        </w:rPr>
      </w:pPr>
    </w:p>
    <w:p w14:paraId="49ADB18B">
      <w:pPr>
        <w:spacing w:line="360" w:lineRule="auto"/>
        <w:jc w:val="center"/>
        <w:rPr>
          <w:rFonts w:hint="eastAsia" w:ascii="仿宋" w:hAnsi="仿宋" w:cs="仿宋"/>
          <w:b/>
          <w:color w:val="auto"/>
          <w:spacing w:val="6"/>
          <w:sz w:val="32"/>
          <w:szCs w:val="32"/>
          <w:highlight w:val="none"/>
        </w:rPr>
      </w:pPr>
    </w:p>
    <w:p w14:paraId="343AB2BF">
      <w:pPr>
        <w:spacing w:line="360" w:lineRule="auto"/>
        <w:jc w:val="center"/>
        <w:rPr>
          <w:rFonts w:hint="eastAsia" w:ascii="仿宋" w:hAnsi="仿宋" w:cs="仿宋"/>
          <w:b/>
          <w:color w:val="auto"/>
          <w:spacing w:val="6"/>
          <w:sz w:val="32"/>
          <w:szCs w:val="32"/>
          <w:highlight w:val="none"/>
        </w:rPr>
      </w:pPr>
    </w:p>
    <w:p w14:paraId="0F487CAC">
      <w:pPr>
        <w:spacing w:line="360" w:lineRule="auto"/>
        <w:jc w:val="center"/>
        <w:rPr>
          <w:rFonts w:hint="eastAsia" w:ascii="仿宋" w:hAnsi="仿宋" w:cs="仿宋"/>
          <w:b/>
          <w:color w:val="auto"/>
          <w:spacing w:val="6"/>
          <w:sz w:val="32"/>
          <w:szCs w:val="32"/>
          <w:highlight w:val="none"/>
        </w:rPr>
      </w:pPr>
    </w:p>
    <w:p w14:paraId="0A6D82F7">
      <w:pPr>
        <w:spacing w:line="360" w:lineRule="auto"/>
        <w:jc w:val="center"/>
        <w:rPr>
          <w:rFonts w:hint="eastAsia" w:ascii="仿宋" w:hAnsi="仿宋" w:cs="仿宋"/>
          <w:b/>
          <w:color w:val="auto"/>
          <w:spacing w:val="6"/>
          <w:sz w:val="32"/>
          <w:szCs w:val="32"/>
          <w:highlight w:val="none"/>
        </w:rPr>
      </w:pPr>
    </w:p>
    <w:p w14:paraId="34CC0F34">
      <w:pPr>
        <w:spacing w:line="360" w:lineRule="auto"/>
        <w:jc w:val="center"/>
        <w:rPr>
          <w:rFonts w:hint="eastAsia" w:ascii="仿宋" w:hAnsi="仿宋" w:cs="仿宋"/>
          <w:b/>
          <w:color w:val="auto"/>
          <w:spacing w:val="6"/>
          <w:sz w:val="32"/>
          <w:szCs w:val="32"/>
          <w:highlight w:val="none"/>
        </w:rPr>
      </w:pPr>
    </w:p>
    <w:p w14:paraId="588462AE">
      <w:pPr>
        <w:spacing w:line="360" w:lineRule="auto"/>
        <w:jc w:val="center"/>
        <w:rPr>
          <w:rFonts w:hint="eastAsia" w:ascii="仿宋" w:hAnsi="仿宋" w:cs="仿宋"/>
          <w:b/>
          <w:color w:val="auto"/>
          <w:spacing w:val="6"/>
          <w:sz w:val="32"/>
          <w:szCs w:val="32"/>
          <w:highlight w:val="none"/>
        </w:rPr>
      </w:pPr>
    </w:p>
    <w:p w14:paraId="18B78FF3">
      <w:pPr>
        <w:spacing w:line="360" w:lineRule="auto"/>
        <w:jc w:val="center"/>
        <w:rPr>
          <w:rFonts w:hint="eastAsia" w:ascii="仿宋" w:hAnsi="仿宋" w:cs="仿宋"/>
          <w:b/>
          <w:color w:val="auto"/>
          <w:spacing w:val="6"/>
          <w:sz w:val="32"/>
          <w:szCs w:val="32"/>
          <w:highlight w:val="none"/>
        </w:rPr>
      </w:pPr>
    </w:p>
    <w:p w14:paraId="4483A48B">
      <w:pPr>
        <w:spacing w:line="360" w:lineRule="auto"/>
        <w:jc w:val="center"/>
        <w:rPr>
          <w:rFonts w:hint="eastAsia" w:ascii="仿宋" w:hAnsi="仿宋" w:cs="仿宋"/>
          <w:b/>
          <w:color w:val="auto"/>
          <w:spacing w:val="6"/>
          <w:sz w:val="32"/>
          <w:szCs w:val="32"/>
          <w:highlight w:val="none"/>
        </w:rPr>
      </w:pPr>
    </w:p>
    <w:p w14:paraId="3A0F3879">
      <w:pPr>
        <w:spacing w:line="360" w:lineRule="auto"/>
        <w:jc w:val="center"/>
        <w:rPr>
          <w:rFonts w:hint="eastAsia" w:ascii="仿宋" w:hAnsi="仿宋" w:cs="仿宋"/>
          <w:b/>
          <w:color w:val="auto"/>
          <w:spacing w:val="6"/>
          <w:sz w:val="32"/>
          <w:szCs w:val="32"/>
          <w:highlight w:val="none"/>
        </w:rPr>
      </w:pPr>
    </w:p>
    <w:p w14:paraId="69D86549">
      <w:pPr>
        <w:spacing w:line="360" w:lineRule="auto"/>
        <w:jc w:val="center"/>
        <w:rPr>
          <w:rFonts w:hint="eastAsia" w:ascii="仿宋" w:hAnsi="仿宋" w:cs="仿宋"/>
          <w:b/>
          <w:color w:val="auto"/>
          <w:spacing w:val="6"/>
          <w:sz w:val="32"/>
          <w:szCs w:val="32"/>
          <w:highlight w:val="none"/>
        </w:rPr>
      </w:pPr>
    </w:p>
    <w:p w14:paraId="367EDB66">
      <w:pPr>
        <w:spacing w:line="360" w:lineRule="auto"/>
        <w:jc w:val="left"/>
        <w:rPr>
          <w:rFonts w:hint="eastAsia" w:ascii="仿宋" w:hAnsi="仿宋" w:cs="仿宋"/>
          <w:b/>
          <w:color w:val="auto"/>
          <w:spacing w:val="6"/>
          <w:sz w:val="32"/>
          <w:szCs w:val="32"/>
          <w:highlight w:val="none"/>
        </w:rPr>
      </w:pPr>
    </w:p>
    <w:p w14:paraId="0A603AAE">
      <w:pPr>
        <w:spacing w:line="360" w:lineRule="auto"/>
        <w:jc w:val="left"/>
        <w:rPr>
          <w:rFonts w:hint="eastAsia" w:ascii="仿宋" w:hAnsi="仿宋" w:cs="仿宋"/>
          <w:b/>
          <w:color w:val="auto"/>
          <w:spacing w:val="6"/>
          <w:sz w:val="32"/>
          <w:szCs w:val="32"/>
          <w:highlight w:val="none"/>
        </w:rPr>
      </w:pPr>
    </w:p>
    <w:p w14:paraId="6D9BDCD9">
      <w:pPr>
        <w:spacing w:line="360" w:lineRule="auto"/>
        <w:jc w:val="left"/>
        <w:outlineLvl w:val="2"/>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附件3：投诉书范本及制作说明</w:t>
      </w:r>
    </w:p>
    <w:p w14:paraId="55EAA08A">
      <w:pPr>
        <w:spacing w:line="360" w:lineRule="auto"/>
        <w:jc w:val="center"/>
        <w:rPr>
          <w:rFonts w:hint="eastAsia" w:ascii="仿宋" w:hAnsi="仿宋" w:cs="仿宋"/>
          <w:b/>
          <w:color w:val="auto"/>
          <w:highlight w:val="none"/>
        </w:rPr>
      </w:pPr>
    </w:p>
    <w:p w14:paraId="09268CF9">
      <w:pPr>
        <w:spacing w:line="360" w:lineRule="auto"/>
        <w:jc w:val="cente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投诉书范本</w:t>
      </w:r>
    </w:p>
    <w:p w14:paraId="40EFE02C">
      <w:pPr>
        <w:spacing w:line="360" w:lineRule="auto"/>
        <w:rPr>
          <w:rFonts w:hint="eastAsia" w:ascii="仿宋" w:hAnsi="仿宋" w:cs="仿宋"/>
          <w:color w:val="auto"/>
          <w:highlight w:val="none"/>
        </w:rPr>
      </w:pPr>
      <w:r>
        <w:rPr>
          <w:rFonts w:hint="eastAsia" w:ascii="仿宋" w:hAnsi="仿宋" w:cs="仿宋"/>
          <w:color w:val="auto"/>
          <w:highlight w:val="none"/>
        </w:rPr>
        <w:t>一、投诉相关主体基本情况</w:t>
      </w:r>
    </w:p>
    <w:p w14:paraId="6CE69161">
      <w:pPr>
        <w:spacing w:line="360" w:lineRule="auto"/>
        <w:rPr>
          <w:rFonts w:hint="eastAsia" w:ascii="仿宋" w:hAnsi="仿宋" w:cs="仿宋"/>
          <w:color w:val="auto"/>
          <w:highlight w:val="none"/>
          <w:u w:val="dotted"/>
        </w:rPr>
      </w:pPr>
      <w:r>
        <w:rPr>
          <w:rFonts w:hint="eastAsia" w:ascii="仿宋" w:hAnsi="仿宋" w:cs="仿宋"/>
          <w:color w:val="auto"/>
          <w:highlight w:val="none"/>
        </w:rPr>
        <w:t>投诉人：</w:t>
      </w:r>
    </w:p>
    <w:p w14:paraId="6EFB5D5F">
      <w:pPr>
        <w:spacing w:line="360" w:lineRule="auto"/>
        <w:rPr>
          <w:rFonts w:hint="eastAsia" w:ascii="仿宋" w:hAnsi="仿宋" w:cs="仿宋"/>
          <w:color w:val="auto"/>
          <w:highlight w:val="none"/>
          <w:u w:val="single"/>
        </w:rPr>
      </w:pPr>
      <w:r>
        <w:rPr>
          <w:rFonts w:hint="eastAsia" w:ascii="仿宋" w:hAnsi="仿宋" w:cs="仿宋"/>
          <w:color w:val="auto"/>
          <w:highlight w:val="none"/>
        </w:rPr>
        <w:t>地址：邮编：</w:t>
      </w:r>
    </w:p>
    <w:p w14:paraId="59A5EA4B">
      <w:pPr>
        <w:tabs>
          <w:tab w:val="left" w:pos="6510"/>
        </w:tabs>
        <w:spacing w:line="360" w:lineRule="auto"/>
        <w:jc w:val="left"/>
        <w:rPr>
          <w:rFonts w:hint="eastAsia" w:ascii="仿宋" w:hAnsi="仿宋" w:cs="仿宋"/>
          <w:color w:val="auto"/>
          <w:highlight w:val="none"/>
        </w:rPr>
      </w:pPr>
      <w:r>
        <w:rPr>
          <w:rFonts w:hint="eastAsia" w:ascii="仿宋" w:hAnsi="仿宋" w:cs="仿宋"/>
          <w:color w:val="auto"/>
          <w:highlight w:val="none"/>
        </w:rPr>
        <w:t>法定代表人/主要负责人：</w:t>
      </w:r>
    </w:p>
    <w:p w14:paraId="77250E24">
      <w:pPr>
        <w:tabs>
          <w:tab w:val="left" w:pos="6510"/>
        </w:tabs>
        <w:spacing w:line="360" w:lineRule="auto"/>
        <w:rPr>
          <w:rFonts w:hint="eastAsia" w:ascii="仿宋" w:hAnsi="仿宋" w:cs="仿宋"/>
          <w:color w:val="auto"/>
          <w:highlight w:val="none"/>
          <w:u w:val="dotted"/>
        </w:rPr>
      </w:pPr>
      <w:r>
        <w:rPr>
          <w:rFonts w:hint="eastAsia" w:ascii="仿宋" w:hAnsi="仿宋" w:cs="仿宋"/>
          <w:color w:val="auto"/>
          <w:highlight w:val="none"/>
        </w:rPr>
        <w:t>联系电话：</w:t>
      </w:r>
    </w:p>
    <w:p w14:paraId="643C388C">
      <w:pPr>
        <w:spacing w:line="360" w:lineRule="auto"/>
        <w:rPr>
          <w:rFonts w:hint="eastAsia" w:ascii="仿宋" w:hAnsi="仿宋" w:cs="仿宋"/>
          <w:color w:val="auto"/>
          <w:highlight w:val="none"/>
          <w:u w:val="dotted"/>
        </w:rPr>
      </w:pPr>
      <w:r>
        <w:rPr>
          <w:rFonts w:hint="eastAsia" w:ascii="仿宋" w:hAnsi="仿宋" w:cs="仿宋"/>
          <w:color w:val="auto"/>
          <w:highlight w:val="none"/>
        </w:rPr>
        <w:t>授权代表：联系电话</w:t>
      </w:r>
      <w:r>
        <w:rPr>
          <w:rFonts w:hint="eastAsia" w:ascii="仿宋" w:hAnsi="仿宋" w:cs="仿宋"/>
          <w:color w:val="auto"/>
          <w:highlight w:val="none"/>
          <w:u w:val="dotted"/>
        </w:rPr>
        <w:t>：</w:t>
      </w:r>
    </w:p>
    <w:p w14:paraId="1D8E3437">
      <w:pPr>
        <w:spacing w:line="360" w:lineRule="auto"/>
        <w:rPr>
          <w:rFonts w:hint="eastAsia" w:ascii="仿宋" w:hAnsi="仿宋" w:cs="仿宋"/>
          <w:color w:val="auto"/>
          <w:highlight w:val="none"/>
          <w:u w:val="dotted"/>
        </w:rPr>
      </w:pPr>
      <w:r>
        <w:rPr>
          <w:rFonts w:hint="eastAsia" w:ascii="仿宋" w:hAnsi="仿宋" w:cs="仿宋"/>
          <w:color w:val="auto"/>
          <w:highlight w:val="none"/>
        </w:rPr>
        <w:t>地址：邮编：</w:t>
      </w:r>
    </w:p>
    <w:p w14:paraId="78D9B71E">
      <w:pPr>
        <w:spacing w:line="360" w:lineRule="auto"/>
        <w:rPr>
          <w:rFonts w:hint="eastAsia" w:ascii="仿宋" w:hAnsi="仿宋" w:cs="仿宋"/>
          <w:color w:val="auto"/>
          <w:highlight w:val="none"/>
          <w:u w:val="single"/>
        </w:rPr>
      </w:pPr>
      <w:r>
        <w:rPr>
          <w:rFonts w:hint="eastAsia" w:ascii="仿宋" w:hAnsi="仿宋" w:cs="仿宋"/>
          <w:color w:val="auto"/>
          <w:highlight w:val="none"/>
        </w:rPr>
        <w:t>被投诉人1：</w:t>
      </w:r>
    </w:p>
    <w:p w14:paraId="57AF295D">
      <w:pPr>
        <w:spacing w:line="360" w:lineRule="auto"/>
        <w:rPr>
          <w:rFonts w:hint="eastAsia" w:ascii="仿宋" w:hAnsi="仿宋" w:cs="仿宋"/>
          <w:color w:val="auto"/>
          <w:highlight w:val="none"/>
          <w:u w:val="single"/>
        </w:rPr>
      </w:pPr>
      <w:r>
        <w:rPr>
          <w:rFonts w:hint="eastAsia" w:ascii="仿宋" w:hAnsi="仿宋" w:cs="仿宋"/>
          <w:color w:val="auto"/>
          <w:highlight w:val="none"/>
        </w:rPr>
        <w:t>地址：邮编：</w:t>
      </w:r>
    </w:p>
    <w:p w14:paraId="32A0C78C">
      <w:pPr>
        <w:spacing w:line="360" w:lineRule="auto"/>
        <w:rPr>
          <w:rFonts w:hint="eastAsia" w:ascii="仿宋" w:hAnsi="仿宋" w:cs="仿宋"/>
          <w:color w:val="auto"/>
          <w:highlight w:val="none"/>
          <w:u w:val="single"/>
        </w:rPr>
      </w:pPr>
      <w:r>
        <w:rPr>
          <w:rFonts w:hint="eastAsia" w:ascii="仿宋" w:hAnsi="仿宋" w:cs="仿宋"/>
          <w:color w:val="auto"/>
          <w:highlight w:val="none"/>
        </w:rPr>
        <w:t>联系人：联系电话：</w:t>
      </w:r>
    </w:p>
    <w:p w14:paraId="61BF6EE6">
      <w:pPr>
        <w:spacing w:line="360" w:lineRule="auto"/>
        <w:rPr>
          <w:rFonts w:hint="eastAsia" w:ascii="仿宋" w:hAnsi="仿宋" w:cs="仿宋"/>
          <w:color w:val="auto"/>
          <w:highlight w:val="none"/>
        </w:rPr>
      </w:pPr>
      <w:r>
        <w:rPr>
          <w:rFonts w:hint="eastAsia" w:ascii="仿宋" w:hAnsi="仿宋" w:cs="仿宋"/>
          <w:color w:val="auto"/>
          <w:highlight w:val="none"/>
        </w:rPr>
        <w:t>被投诉人2</w:t>
      </w:r>
    </w:p>
    <w:p w14:paraId="59C24C2D">
      <w:pPr>
        <w:spacing w:line="360" w:lineRule="auto"/>
        <w:rPr>
          <w:rFonts w:hint="eastAsia" w:ascii="仿宋" w:hAnsi="仿宋" w:cs="仿宋"/>
          <w:color w:val="auto"/>
          <w:highlight w:val="none"/>
          <w:u w:val="dotted"/>
        </w:rPr>
      </w:pPr>
      <w:r>
        <w:rPr>
          <w:rFonts w:hint="eastAsia" w:ascii="仿宋" w:hAnsi="仿宋" w:cs="仿宋"/>
          <w:color w:val="auto"/>
          <w:highlight w:val="none"/>
        </w:rPr>
        <w:t>……</w:t>
      </w:r>
    </w:p>
    <w:p w14:paraId="66944198">
      <w:pPr>
        <w:spacing w:line="360" w:lineRule="auto"/>
        <w:rPr>
          <w:rFonts w:hint="eastAsia" w:ascii="仿宋" w:hAnsi="仿宋" w:cs="仿宋"/>
          <w:color w:val="auto"/>
          <w:highlight w:val="none"/>
          <w:u w:val="single"/>
        </w:rPr>
      </w:pPr>
      <w:r>
        <w:rPr>
          <w:rFonts w:hint="eastAsia" w:ascii="仿宋" w:hAnsi="仿宋" w:cs="仿宋"/>
          <w:color w:val="auto"/>
          <w:highlight w:val="none"/>
        </w:rPr>
        <w:t>相关供应商：</w:t>
      </w:r>
    </w:p>
    <w:p w14:paraId="0FEC98FF">
      <w:pPr>
        <w:spacing w:line="360" w:lineRule="auto"/>
        <w:rPr>
          <w:rFonts w:hint="eastAsia" w:ascii="仿宋" w:hAnsi="仿宋" w:cs="仿宋"/>
          <w:color w:val="auto"/>
          <w:highlight w:val="none"/>
          <w:u w:val="single"/>
        </w:rPr>
      </w:pPr>
      <w:r>
        <w:rPr>
          <w:rFonts w:hint="eastAsia" w:ascii="仿宋" w:hAnsi="仿宋" w:cs="仿宋"/>
          <w:color w:val="auto"/>
          <w:highlight w:val="none"/>
        </w:rPr>
        <w:t>地址：邮编：</w:t>
      </w:r>
    </w:p>
    <w:p w14:paraId="42C27CB8">
      <w:pPr>
        <w:spacing w:line="360" w:lineRule="auto"/>
        <w:rPr>
          <w:rFonts w:hint="eastAsia" w:ascii="仿宋" w:hAnsi="仿宋" w:cs="仿宋"/>
          <w:color w:val="auto"/>
          <w:highlight w:val="none"/>
          <w:u w:val="single"/>
        </w:rPr>
      </w:pPr>
      <w:r>
        <w:rPr>
          <w:rFonts w:hint="eastAsia" w:ascii="仿宋" w:hAnsi="仿宋" w:cs="仿宋"/>
          <w:color w:val="auto"/>
          <w:highlight w:val="none"/>
        </w:rPr>
        <w:t>联系人：联系电话：</w:t>
      </w:r>
    </w:p>
    <w:p w14:paraId="79B35BB2">
      <w:pPr>
        <w:spacing w:line="360" w:lineRule="auto"/>
        <w:rPr>
          <w:rFonts w:hint="eastAsia" w:ascii="仿宋" w:hAnsi="仿宋" w:cs="仿宋"/>
          <w:color w:val="auto"/>
          <w:highlight w:val="none"/>
        </w:rPr>
      </w:pPr>
      <w:r>
        <w:rPr>
          <w:rFonts w:hint="eastAsia" w:ascii="仿宋" w:hAnsi="仿宋" w:cs="仿宋"/>
          <w:color w:val="auto"/>
          <w:highlight w:val="none"/>
        </w:rPr>
        <w:t>二、投诉项目基本情况</w:t>
      </w:r>
    </w:p>
    <w:p w14:paraId="39DA8433">
      <w:pPr>
        <w:spacing w:line="360" w:lineRule="auto"/>
        <w:rPr>
          <w:rFonts w:hint="eastAsia" w:ascii="仿宋" w:hAnsi="仿宋" w:cs="仿宋"/>
          <w:color w:val="auto"/>
          <w:highlight w:val="none"/>
          <w:u w:val="dotted"/>
        </w:rPr>
      </w:pPr>
      <w:r>
        <w:rPr>
          <w:rFonts w:hint="eastAsia" w:ascii="仿宋" w:hAnsi="仿宋" w:cs="仿宋"/>
          <w:color w:val="auto"/>
          <w:highlight w:val="none"/>
        </w:rPr>
        <w:t>采购项目名称：</w:t>
      </w:r>
    </w:p>
    <w:p w14:paraId="77AF36A4">
      <w:pPr>
        <w:spacing w:line="360" w:lineRule="auto"/>
        <w:rPr>
          <w:rFonts w:hint="eastAsia" w:ascii="仿宋" w:hAnsi="仿宋" w:cs="仿宋"/>
          <w:color w:val="auto"/>
          <w:highlight w:val="none"/>
          <w:u w:val="single"/>
        </w:rPr>
      </w:pPr>
      <w:r>
        <w:rPr>
          <w:rFonts w:hint="eastAsia" w:ascii="仿宋" w:hAnsi="仿宋" w:cs="仿宋"/>
          <w:color w:val="auto"/>
          <w:highlight w:val="none"/>
        </w:rPr>
        <w:t>采购项目编号：包号：</w:t>
      </w:r>
    </w:p>
    <w:p w14:paraId="6EEA6CBE">
      <w:pPr>
        <w:spacing w:line="360" w:lineRule="auto"/>
        <w:rPr>
          <w:rFonts w:hint="eastAsia" w:ascii="仿宋" w:hAnsi="仿宋" w:cs="仿宋"/>
          <w:color w:val="auto"/>
          <w:highlight w:val="none"/>
        </w:rPr>
      </w:pPr>
      <w:r>
        <w:rPr>
          <w:rFonts w:hint="eastAsia" w:ascii="仿宋" w:hAnsi="仿宋" w:cs="仿宋"/>
          <w:color w:val="auto"/>
          <w:highlight w:val="none"/>
        </w:rPr>
        <w:t>采购人名称：</w:t>
      </w:r>
    </w:p>
    <w:p w14:paraId="4F589C0E">
      <w:pPr>
        <w:spacing w:line="360" w:lineRule="auto"/>
        <w:rPr>
          <w:rFonts w:hint="eastAsia" w:ascii="仿宋" w:hAnsi="仿宋" w:cs="仿宋"/>
          <w:color w:val="auto"/>
          <w:highlight w:val="none"/>
          <w:u w:val="single"/>
        </w:rPr>
      </w:pPr>
      <w:r>
        <w:rPr>
          <w:rFonts w:hint="eastAsia" w:ascii="仿宋" w:hAnsi="仿宋" w:cs="仿宋"/>
          <w:color w:val="auto"/>
          <w:highlight w:val="none"/>
        </w:rPr>
        <w:t>代理机构名称：</w:t>
      </w:r>
    </w:p>
    <w:p w14:paraId="3533F5AF">
      <w:pPr>
        <w:spacing w:line="360" w:lineRule="auto"/>
        <w:rPr>
          <w:rFonts w:hint="eastAsia" w:ascii="仿宋" w:hAnsi="仿宋" w:cs="仿宋"/>
          <w:color w:val="auto"/>
          <w:highlight w:val="none"/>
          <w:u w:val="dotted"/>
        </w:rPr>
      </w:pPr>
      <w:r>
        <w:rPr>
          <w:rFonts w:hint="eastAsia" w:ascii="仿宋" w:hAnsi="仿宋" w:cs="仿宋"/>
          <w:color w:val="auto"/>
          <w:highlight w:val="none"/>
        </w:rPr>
        <w:t>采购文件公告: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p>
    <w:p w14:paraId="49B181C7">
      <w:pPr>
        <w:spacing w:line="360" w:lineRule="auto"/>
        <w:rPr>
          <w:rFonts w:hint="eastAsia" w:ascii="仿宋" w:hAnsi="仿宋" w:cs="仿宋"/>
          <w:color w:val="auto"/>
          <w:highlight w:val="none"/>
          <w:u w:val="single"/>
        </w:rPr>
      </w:pPr>
      <w:r>
        <w:rPr>
          <w:rFonts w:hint="eastAsia" w:ascii="仿宋" w:hAnsi="仿宋" w:cs="仿宋"/>
          <w:color w:val="auto"/>
          <w:highlight w:val="none"/>
        </w:rPr>
        <w:t>采购结果公告: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p>
    <w:p w14:paraId="23A166F1">
      <w:pPr>
        <w:spacing w:line="360" w:lineRule="auto"/>
        <w:rPr>
          <w:rFonts w:hint="eastAsia" w:ascii="仿宋" w:hAnsi="仿宋" w:cs="仿宋"/>
          <w:color w:val="auto"/>
          <w:highlight w:val="none"/>
        </w:rPr>
      </w:pPr>
      <w:r>
        <w:rPr>
          <w:rFonts w:hint="eastAsia" w:ascii="仿宋" w:hAnsi="仿宋" w:cs="仿宋"/>
          <w:color w:val="auto"/>
          <w:highlight w:val="none"/>
        </w:rPr>
        <w:t>三、质疑基本情况</w:t>
      </w:r>
    </w:p>
    <w:p w14:paraId="7CAE1ECA">
      <w:pPr>
        <w:spacing w:line="360" w:lineRule="auto"/>
        <w:ind w:firstLine="480" w:firstLineChars="200"/>
        <w:rPr>
          <w:rFonts w:hint="eastAsia" w:ascii="仿宋" w:hAnsi="仿宋" w:cs="仿宋"/>
          <w:color w:val="auto"/>
          <w:highlight w:val="none"/>
          <w:u w:val="dotted"/>
        </w:rPr>
      </w:pPr>
      <w:r>
        <w:rPr>
          <w:rFonts w:hint="eastAsia" w:ascii="仿宋" w:hAnsi="仿宋" w:cs="仿宋"/>
          <w:color w:val="auto"/>
          <w:highlight w:val="none"/>
        </w:rPr>
        <w:t>投诉人于年月日,向提出质疑，质疑事项为：</w:t>
      </w:r>
    </w:p>
    <w:p w14:paraId="168D2989">
      <w:pPr>
        <w:spacing w:line="360" w:lineRule="auto"/>
        <w:rPr>
          <w:rFonts w:hint="eastAsia" w:ascii="仿宋" w:hAnsi="仿宋" w:cs="仿宋"/>
          <w:color w:val="auto"/>
          <w:highlight w:val="none"/>
          <w:u w:val="dotted"/>
        </w:rPr>
      </w:pPr>
    </w:p>
    <w:p w14:paraId="3CC3FE02">
      <w:pPr>
        <w:spacing w:line="360" w:lineRule="auto"/>
        <w:ind w:firstLine="360" w:firstLineChars="150"/>
        <w:rPr>
          <w:rFonts w:hint="eastAsia" w:ascii="仿宋" w:hAnsi="仿宋" w:cs="仿宋"/>
          <w:color w:val="auto"/>
          <w:highlight w:val="none"/>
        </w:rPr>
      </w:pPr>
      <w:r>
        <w:rPr>
          <w:rFonts w:hint="eastAsia" w:ascii="仿宋" w:hAnsi="仿宋" w:cs="仿宋"/>
          <w:color w:val="auto"/>
          <w:highlight w:val="none"/>
          <w:u w:val="dotted"/>
        </w:rPr>
        <w:t>采购人/代理机构</w:t>
      </w:r>
      <w:r>
        <w:rPr>
          <w:rFonts w:hint="eastAsia" w:ascii="仿宋" w:hAnsi="仿宋" w:cs="仿宋"/>
          <w:color w:val="auto"/>
          <w:highlight w:val="none"/>
        </w:rPr>
        <w:t>于年月日,就质疑事项作出了答复/没有在法定期限内作出答复。</w:t>
      </w:r>
    </w:p>
    <w:p w14:paraId="3F600C4E">
      <w:pPr>
        <w:spacing w:line="360" w:lineRule="auto"/>
        <w:rPr>
          <w:rFonts w:hint="eastAsia" w:ascii="仿宋" w:hAnsi="仿宋" w:cs="仿宋"/>
          <w:color w:val="auto"/>
          <w:highlight w:val="none"/>
        </w:rPr>
      </w:pPr>
      <w:r>
        <w:rPr>
          <w:rFonts w:hint="eastAsia" w:ascii="仿宋" w:hAnsi="仿宋" w:cs="仿宋"/>
          <w:color w:val="auto"/>
          <w:highlight w:val="none"/>
        </w:rPr>
        <w:t>四、投诉事项具体内容</w:t>
      </w:r>
    </w:p>
    <w:p w14:paraId="3282D6CD">
      <w:pPr>
        <w:spacing w:line="360" w:lineRule="auto"/>
        <w:rPr>
          <w:rFonts w:hint="eastAsia" w:ascii="仿宋" w:hAnsi="仿宋" w:cs="仿宋"/>
          <w:color w:val="auto"/>
          <w:highlight w:val="none"/>
          <w:u w:val="single"/>
        </w:rPr>
      </w:pPr>
      <w:r>
        <w:rPr>
          <w:rFonts w:hint="eastAsia" w:ascii="仿宋" w:hAnsi="仿宋" w:cs="仿宋"/>
          <w:color w:val="auto"/>
          <w:highlight w:val="none"/>
        </w:rPr>
        <w:t>投诉事项 1：</w:t>
      </w:r>
    </w:p>
    <w:p w14:paraId="09DBFAA9">
      <w:pPr>
        <w:spacing w:line="360" w:lineRule="auto"/>
        <w:rPr>
          <w:rFonts w:hint="eastAsia" w:ascii="仿宋" w:hAnsi="仿宋" w:cs="仿宋"/>
          <w:color w:val="auto"/>
          <w:highlight w:val="none"/>
        </w:rPr>
      </w:pPr>
      <w:r>
        <w:rPr>
          <w:rFonts w:hint="eastAsia" w:ascii="仿宋" w:hAnsi="仿宋" w:cs="仿宋"/>
          <w:color w:val="auto"/>
          <w:highlight w:val="none"/>
        </w:rPr>
        <w:t>事实依据：</w:t>
      </w:r>
    </w:p>
    <w:p w14:paraId="3D5C28F2">
      <w:pPr>
        <w:spacing w:line="360" w:lineRule="auto"/>
        <w:rPr>
          <w:rFonts w:hint="eastAsia" w:ascii="仿宋" w:hAnsi="仿宋" w:cs="仿宋"/>
          <w:color w:val="auto"/>
          <w:highlight w:val="none"/>
          <w:u w:val="dotted"/>
        </w:rPr>
      </w:pPr>
    </w:p>
    <w:p w14:paraId="16C64FF6">
      <w:pPr>
        <w:spacing w:line="360" w:lineRule="auto"/>
        <w:rPr>
          <w:rFonts w:hint="eastAsia" w:ascii="仿宋" w:hAnsi="仿宋" w:cs="仿宋"/>
          <w:color w:val="auto"/>
          <w:highlight w:val="none"/>
          <w:u w:val="single"/>
        </w:rPr>
      </w:pPr>
      <w:r>
        <w:rPr>
          <w:rFonts w:hint="eastAsia" w:ascii="仿宋" w:hAnsi="仿宋" w:cs="仿宋"/>
          <w:color w:val="auto"/>
          <w:highlight w:val="none"/>
        </w:rPr>
        <w:t>法律依据：</w:t>
      </w:r>
    </w:p>
    <w:p w14:paraId="455FC2D7">
      <w:pPr>
        <w:spacing w:line="360" w:lineRule="auto"/>
        <w:rPr>
          <w:rFonts w:hint="eastAsia" w:ascii="仿宋" w:hAnsi="仿宋" w:cs="仿宋"/>
          <w:color w:val="auto"/>
          <w:highlight w:val="none"/>
          <w:u w:val="dotted"/>
        </w:rPr>
      </w:pPr>
    </w:p>
    <w:p w14:paraId="0859F104">
      <w:pPr>
        <w:spacing w:line="360" w:lineRule="auto"/>
        <w:rPr>
          <w:rFonts w:hint="eastAsia" w:ascii="仿宋" w:hAnsi="仿宋" w:cs="仿宋"/>
          <w:color w:val="auto"/>
          <w:highlight w:val="none"/>
        </w:rPr>
      </w:pPr>
      <w:r>
        <w:rPr>
          <w:rFonts w:hint="eastAsia" w:ascii="仿宋" w:hAnsi="仿宋" w:cs="仿宋"/>
          <w:color w:val="auto"/>
          <w:highlight w:val="none"/>
        </w:rPr>
        <w:t>投诉事项2</w:t>
      </w:r>
    </w:p>
    <w:p w14:paraId="6DB84A03">
      <w:pPr>
        <w:spacing w:line="360" w:lineRule="auto"/>
        <w:rPr>
          <w:rFonts w:hint="eastAsia" w:ascii="仿宋" w:hAnsi="仿宋" w:cs="仿宋"/>
          <w:color w:val="auto"/>
          <w:highlight w:val="none"/>
          <w:u w:val="dotted"/>
        </w:rPr>
      </w:pPr>
      <w:r>
        <w:rPr>
          <w:rFonts w:hint="eastAsia" w:ascii="仿宋" w:hAnsi="仿宋" w:cs="仿宋"/>
          <w:color w:val="auto"/>
          <w:highlight w:val="none"/>
        </w:rPr>
        <w:t>……</w:t>
      </w:r>
    </w:p>
    <w:p w14:paraId="0B5B4CDC">
      <w:pPr>
        <w:spacing w:line="360" w:lineRule="auto"/>
        <w:rPr>
          <w:rFonts w:hint="eastAsia" w:ascii="仿宋" w:hAnsi="仿宋" w:cs="仿宋"/>
          <w:color w:val="auto"/>
          <w:highlight w:val="none"/>
        </w:rPr>
      </w:pPr>
      <w:r>
        <w:rPr>
          <w:rFonts w:hint="eastAsia" w:ascii="仿宋" w:hAnsi="仿宋" w:cs="仿宋"/>
          <w:color w:val="auto"/>
          <w:highlight w:val="none"/>
        </w:rPr>
        <w:t>五、与投诉事项相关的投诉请求</w:t>
      </w:r>
    </w:p>
    <w:p w14:paraId="2F7B2962">
      <w:pPr>
        <w:spacing w:line="360" w:lineRule="auto"/>
        <w:rPr>
          <w:rFonts w:hint="eastAsia" w:ascii="仿宋" w:hAnsi="仿宋" w:cs="仿宋"/>
          <w:color w:val="auto"/>
          <w:highlight w:val="none"/>
        </w:rPr>
      </w:pPr>
      <w:r>
        <w:rPr>
          <w:rFonts w:hint="eastAsia" w:ascii="仿宋" w:hAnsi="仿宋" w:cs="仿宋"/>
          <w:color w:val="auto"/>
          <w:highlight w:val="none"/>
        </w:rPr>
        <w:t>请求：</w:t>
      </w:r>
    </w:p>
    <w:p w14:paraId="64C51E48">
      <w:pPr>
        <w:spacing w:line="360" w:lineRule="auto"/>
        <w:rPr>
          <w:rFonts w:hint="eastAsia" w:ascii="仿宋" w:hAnsi="仿宋" w:cs="仿宋"/>
          <w:color w:val="auto"/>
          <w:highlight w:val="none"/>
          <w:u w:val="single"/>
        </w:rPr>
      </w:pPr>
    </w:p>
    <w:p w14:paraId="1F4ABD7E">
      <w:pPr>
        <w:spacing w:line="360" w:lineRule="auto"/>
        <w:rPr>
          <w:rFonts w:hint="eastAsia" w:ascii="仿宋" w:hAnsi="仿宋" w:cs="仿宋"/>
          <w:color w:val="auto"/>
          <w:highlight w:val="none"/>
        </w:rPr>
      </w:pPr>
      <w:r>
        <w:rPr>
          <w:rFonts w:hint="eastAsia" w:ascii="仿宋" w:hAnsi="仿宋" w:cs="仿宋"/>
          <w:color w:val="auto"/>
          <w:highlight w:val="none"/>
        </w:rPr>
        <w:t xml:space="preserve">签字(签章)：                   公章：                      </w:t>
      </w:r>
    </w:p>
    <w:p w14:paraId="75B21CF5">
      <w:pPr>
        <w:spacing w:line="360" w:lineRule="auto"/>
        <w:rPr>
          <w:rFonts w:hint="eastAsia" w:ascii="仿宋" w:hAnsi="仿宋" w:cs="仿宋"/>
          <w:color w:val="auto"/>
          <w:highlight w:val="none"/>
        </w:rPr>
      </w:pPr>
      <w:r>
        <w:rPr>
          <w:rFonts w:hint="eastAsia" w:ascii="仿宋" w:hAnsi="仿宋" w:cs="仿宋"/>
          <w:color w:val="auto"/>
          <w:highlight w:val="none"/>
        </w:rPr>
        <w:t>日期：</w:t>
      </w:r>
    </w:p>
    <w:p w14:paraId="3AE606B9">
      <w:pPr>
        <w:spacing w:line="360" w:lineRule="auto"/>
        <w:rPr>
          <w:rFonts w:hint="eastAsia" w:ascii="仿宋" w:hAnsi="仿宋" w:cs="仿宋"/>
          <w:b/>
          <w:color w:val="auto"/>
          <w:highlight w:val="none"/>
        </w:rPr>
      </w:pPr>
    </w:p>
    <w:p w14:paraId="0B98388C">
      <w:pPr>
        <w:spacing w:line="360" w:lineRule="auto"/>
        <w:rPr>
          <w:rFonts w:hint="eastAsia" w:ascii="仿宋" w:hAnsi="仿宋" w:cs="仿宋"/>
          <w:b/>
          <w:color w:val="auto"/>
          <w:highlight w:val="none"/>
        </w:rPr>
      </w:pPr>
    </w:p>
    <w:p w14:paraId="02064FB8">
      <w:pPr>
        <w:spacing w:line="360" w:lineRule="auto"/>
        <w:rPr>
          <w:rFonts w:hint="eastAsia" w:ascii="仿宋" w:hAnsi="仿宋" w:cs="仿宋"/>
          <w:b/>
          <w:color w:val="auto"/>
          <w:highlight w:val="none"/>
        </w:rPr>
      </w:pPr>
      <w:r>
        <w:rPr>
          <w:rFonts w:hint="eastAsia" w:ascii="仿宋" w:hAnsi="仿宋" w:cs="仿宋"/>
          <w:b/>
          <w:color w:val="auto"/>
          <w:highlight w:val="none"/>
        </w:rPr>
        <w:t>投诉书制作说明：</w:t>
      </w:r>
    </w:p>
    <w:p w14:paraId="630A85F8">
      <w:pPr>
        <w:widowControl/>
        <w:spacing w:line="360" w:lineRule="auto"/>
        <w:ind w:firstLine="480" w:firstLineChars="200"/>
        <w:rPr>
          <w:rFonts w:hint="eastAsia" w:ascii="仿宋" w:hAnsi="仿宋" w:cs="仿宋"/>
          <w:color w:val="auto"/>
          <w:kern w:val="0"/>
          <w:highlight w:val="none"/>
        </w:rPr>
      </w:pPr>
      <w:r>
        <w:rPr>
          <w:rFonts w:hint="eastAsia" w:ascii="仿宋" w:hAnsi="仿宋" w:cs="仿宋"/>
          <w:color w:val="auto"/>
          <w:highlight w:val="none"/>
        </w:rPr>
        <w:t>1.投诉人提起投诉时，应当提交投诉书和必要的证明材料，并按照被投诉人和与投诉事项有关的供应商数量提供投诉书副本。</w:t>
      </w:r>
    </w:p>
    <w:p w14:paraId="1C4360C6">
      <w:pPr>
        <w:widowControl/>
        <w:spacing w:line="360" w:lineRule="auto"/>
        <w:ind w:firstLine="480" w:firstLineChars="200"/>
        <w:jc w:val="left"/>
        <w:rPr>
          <w:rFonts w:hint="eastAsia" w:ascii="仿宋" w:hAnsi="仿宋" w:cs="仿宋"/>
          <w:color w:val="auto"/>
          <w:kern w:val="0"/>
          <w:highlight w:val="none"/>
        </w:rPr>
      </w:pPr>
      <w:r>
        <w:rPr>
          <w:rFonts w:hint="eastAsia" w:ascii="仿宋" w:hAnsi="仿宋" w:cs="仿宋"/>
          <w:color w:val="auto"/>
          <w:highlight w:val="none"/>
        </w:rPr>
        <w:t>2.投诉人若委托代理人进行投诉的，投诉书应按照要求列明“授权代表”的有关内容，并在附件中提交由</w:t>
      </w:r>
      <w:r>
        <w:rPr>
          <w:rFonts w:hint="eastAsia" w:ascii="仿宋" w:hAnsi="仿宋" w:cs="仿宋"/>
          <w:color w:val="auto"/>
          <w:kern w:val="0"/>
          <w:highlight w:val="none"/>
        </w:rPr>
        <w:t>投诉人签署的授权委托书。授权委托书应当载明代理人的姓名或者名称、代理事项、具体权限、期限和相关事项。</w:t>
      </w:r>
    </w:p>
    <w:p w14:paraId="1CDA1238">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3.投诉人若对项目的某一分包进行投诉，投诉书应列明具体分包号。</w:t>
      </w:r>
    </w:p>
    <w:p w14:paraId="004819A1">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4.投诉书应简要列明质疑事项，质疑函、质疑答复等作为附件材料提供。</w:t>
      </w:r>
    </w:p>
    <w:p w14:paraId="18E28F3C">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5.投诉书的投诉事项应具体、明确，并有必要的事实依据和法律依据。</w:t>
      </w:r>
    </w:p>
    <w:p w14:paraId="266F951C">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6.投诉书的投诉请求应与投诉事项相关。</w:t>
      </w:r>
    </w:p>
    <w:p w14:paraId="5ABBEE9D">
      <w:pPr>
        <w:widowControl/>
        <w:spacing w:line="360" w:lineRule="auto"/>
        <w:ind w:firstLine="480" w:firstLineChars="200"/>
        <w:jc w:val="left"/>
        <w:rPr>
          <w:rFonts w:hint="eastAsia" w:ascii="仿宋" w:hAnsi="仿宋" w:cs="仿宋"/>
          <w:color w:val="auto"/>
          <w:kern w:val="0"/>
          <w:highlight w:val="none"/>
        </w:rPr>
      </w:pPr>
      <w:r>
        <w:rPr>
          <w:rFonts w:hint="eastAsia" w:ascii="仿宋" w:hAnsi="仿宋" w:cs="仿宋"/>
          <w:color w:val="auto"/>
          <w:highlight w:val="none"/>
        </w:rPr>
        <w:t>7.投诉人为自然人的，投诉书应当由本人签字；投诉人为法人或者其他组织的，投诉书应当由法定代表人、主要负责人，或者其授权代表签字或者盖章，并加盖公章。</w:t>
      </w:r>
    </w:p>
    <w:p w14:paraId="28EB74A6">
      <w:pPr>
        <w:spacing w:line="360" w:lineRule="auto"/>
        <w:rPr>
          <w:rFonts w:hint="eastAsia" w:ascii="仿宋" w:hAnsi="仿宋" w:cs="仿宋"/>
          <w:b/>
          <w:color w:val="auto"/>
          <w:highlight w:val="none"/>
        </w:rPr>
      </w:pPr>
    </w:p>
    <w:p w14:paraId="4CEF2EEB">
      <w:pPr>
        <w:jc w:val="left"/>
        <w:rPr>
          <w:rFonts w:hint="eastAsia" w:ascii="仿宋" w:hAnsi="仿宋" w:cs="仿宋"/>
          <w:b/>
          <w:color w:val="auto"/>
          <w:spacing w:val="6"/>
          <w:sz w:val="32"/>
          <w:szCs w:val="32"/>
          <w:highlight w:val="none"/>
        </w:rPr>
      </w:pPr>
    </w:p>
    <w:p w14:paraId="725109F2">
      <w:pP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br w:type="page"/>
      </w:r>
    </w:p>
    <w:p w14:paraId="7C1B1339">
      <w:pPr>
        <w:autoSpaceDE w:val="0"/>
        <w:autoSpaceDN w:val="0"/>
        <w:jc w:val="center"/>
        <w:outlineLvl w:val="2"/>
        <w:rPr>
          <w:rFonts w:hint="eastAsia" w:ascii="仿宋" w:hAnsi="仿宋" w:cs="仿宋"/>
          <w:b/>
          <w:bCs/>
          <w:color w:val="auto"/>
          <w:sz w:val="32"/>
          <w:szCs w:val="32"/>
          <w:highlight w:val="none"/>
        </w:rPr>
      </w:pPr>
      <w:r>
        <w:rPr>
          <w:rFonts w:hint="eastAsia" w:ascii="仿宋" w:hAnsi="仿宋" w:cs="仿宋"/>
          <w:b/>
          <w:color w:val="auto"/>
          <w:spacing w:val="6"/>
          <w:sz w:val="32"/>
          <w:szCs w:val="32"/>
          <w:highlight w:val="none"/>
        </w:rPr>
        <w:t>附件4：</w:t>
      </w:r>
      <w:r>
        <w:rPr>
          <w:rFonts w:hint="eastAsia" w:ascii="仿宋" w:hAnsi="仿宋" w:cs="仿宋"/>
          <w:b/>
          <w:bCs/>
          <w:color w:val="auto"/>
          <w:sz w:val="32"/>
          <w:szCs w:val="32"/>
          <w:highlight w:val="none"/>
        </w:rPr>
        <w:t>业务专用章使用说明函</w:t>
      </w:r>
    </w:p>
    <w:p w14:paraId="1027BF07">
      <w:pPr>
        <w:spacing w:line="360" w:lineRule="auto"/>
        <w:rPr>
          <w:rFonts w:hint="eastAsia" w:ascii="仿宋" w:hAnsi="仿宋" w:cs="仿宋"/>
          <w:color w:val="auto"/>
          <w:highlight w:val="none"/>
          <w:u w:val="single"/>
        </w:rPr>
      </w:pPr>
    </w:p>
    <w:p w14:paraId="4879DCBE">
      <w:pPr>
        <w:spacing w:line="360" w:lineRule="auto"/>
        <w:rPr>
          <w:rFonts w:hint="eastAsia" w:ascii="仿宋" w:hAnsi="仿宋" w:cs="仿宋"/>
          <w:color w:val="auto"/>
          <w:highlight w:val="none"/>
        </w:rPr>
      </w:pPr>
      <w:r>
        <w:rPr>
          <w:rFonts w:hint="eastAsia" w:ascii="仿宋" w:hAnsi="仿宋" w:cs="仿宋"/>
          <w:color w:val="auto"/>
          <w:highlight w:val="none"/>
          <w:u w:val="single"/>
        </w:rPr>
        <w:t>浙江省钱塘江流域中心、浙江中际工程项目管理有限公司</w:t>
      </w:r>
      <w:r>
        <w:rPr>
          <w:rFonts w:hint="eastAsia" w:ascii="仿宋" w:hAnsi="仿宋" w:cs="仿宋"/>
          <w:color w:val="auto"/>
          <w:highlight w:val="none"/>
        </w:rPr>
        <w:t>：</w:t>
      </w:r>
    </w:p>
    <w:p w14:paraId="7DBE5D00">
      <w:pPr>
        <w:spacing w:line="360" w:lineRule="auto"/>
        <w:ind w:firstLine="480" w:firstLineChars="200"/>
        <w:rPr>
          <w:rFonts w:hint="eastAsia" w:ascii="仿宋" w:hAnsi="仿宋" w:cs="仿宋"/>
          <w:color w:val="auto"/>
          <w:highlight w:val="none"/>
        </w:rPr>
      </w:pPr>
      <w:r>
        <w:rPr>
          <w:rFonts w:hint="eastAsia" w:ascii="仿宋" w:hAnsi="仿宋" w:cs="仿宋"/>
          <w:color w:val="auto"/>
          <w:kern w:val="0"/>
          <w:highlight w:val="none"/>
          <w:lang w:val="zh-CN"/>
        </w:rPr>
        <w:t>我方</w:t>
      </w:r>
      <w:r>
        <w:rPr>
          <w:rFonts w:hint="eastAsia" w:ascii="仿宋" w:hAnsi="仿宋" w:cs="仿宋"/>
          <w:color w:val="auto"/>
          <w:highlight w:val="none"/>
        </w:rPr>
        <w:t>(投标人全称)是中华人民共和国依法登记注册的合法企业，</w:t>
      </w:r>
      <w:r>
        <w:rPr>
          <w:rFonts w:hint="eastAsia" w:ascii="仿宋" w:hAnsi="仿宋" w:cs="仿宋"/>
          <w:bCs/>
          <w:color w:val="auto"/>
          <w:highlight w:val="none"/>
        </w:rPr>
        <w:t>在参加</w:t>
      </w:r>
      <w:r>
        <w:rPr>
          <w:rFonts w:hint="eastAsia" w:ascii="仿宋" w:hAnsi="仿宋" w:cs="仿宋"/>
          <w:color w:val="auto"/>
          <w:highlight w:val="none"/>
        </w:rPr>
        <w:t>你方组织的（项目名称）项目【招标编号：（采购编号）】</w:t>
      </w:r>
      <w:r>
        <w:rPr>
          <w:rFonts w:hint="eastAsia" w:ascii="仿宋" w:hAnsi="仿宋" w:cs="仿宋"/>
          <w:bCs/>
          <w:color w:val="auto"/>
          <w:highlight w:val="none"/>
        </w:rPr>
        <w:t>投标活动中作如下说明：</w:t>
      </w:r>
      <w:r>
        <w:rPr>
          <w:rFonts w:hint="eastAsia" w:ascii="仿宋" w:hAnsi="仿宋" w:cs="仿宋"/>
          <w:color w:val="auto"/>
          <w:highlight w:val="none"/>
        </w:rPr>
        <w:t>我方所使用的“XX专用章”与法定名称章具有同等的法律效力，对使用“XX专用章”的行为予以完全承认，并愿意承担相应责任。</w:t>
      </w:r>
    </w:p>
    <w:p w14:paraId="168723B2">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特此说明。</w:t>
      </w:r>
    </w:p>
    <w:p w14:paraId="3B09B739">
      <w:pPr>
        <w:spacing w:line="360" w:lineRule="auto"/>
        <w:ind w:firstLine="494"/>
        <w:rPr>
          <w:rFonts w:hint="eastAsia" w:ascii="仿宋" w:hAnsi="仿宋" w:cs="仿宋"/>
          <w:color w:val="auto"/>
          <w:highlight w:val="none"/>
        </w:rPr>
      </w:pPr>
    </w:p>
    <w:p w14:paraId="0CC8DB76">
      <w:pPr>
        <w:spacing w:line="360" w:lineRule="auto"/>
        <w:ind w:firstLine="494"/>
        <w:rPr>
          <w:rFonts w:hint="eastAsia" w:ascii="仿宋" w:hAnsi="仿宋" w:cs="仿宋"/>
          <w:color w:val="auto"/>
          <w:highlight w:val="none"/>
        </w:rPr>
      </w:pPr>
    </w:p>
    <w:p w14:paraId="04C909D9">
      <w:pPr>
        <w:spacing w:line="360" w:lineRule="auto"/>
        <w:ind w:firstLine="494"/>
        <w:rPr>
          <w:rFonts w:hint="eastAsia" w:ascii="仿宋" w:hAnsi="仿宋" w:cs="仿宋"/>
          <w:color w:val="auto"/>
          <w:highlight w:val="none"/>
        </w:rPr>
      </w:pPr>
    </w:p>
    <w:p w14:paraId="73073A41">
      <w:pPr>
        <w:spacing w:line="360" w:lineRule="auto"/>
        <w:ind w:firstLine="494"/>
        <w:rPr>
          <w:rFonts w:hint="eastAsia" w:ascii="仿宋" w:hAnsi="仿宋" w:cs="仿宋"/>
          <w:color w:val="auto"/>
          <w:highlight w:val="none"/>
        </w:rPr>
      </w:pPr>
    </w:p>
    <w:p w14:paraId="61A076C8">
      <w:pPr>
        <w:spacing w:line="360" w:lineRule="auto"/>
        <w:ind w:right="480" w:firstLine="4080" w:firstLineChars="1700"/>
        <w:rPr>
          <w:rFonts w:hint="eastAsia" w:ascii="仿宋" w:hAnsi="仿宋" w:cs="仿宋"/>
          <w:color w:val="auto"/>
          <w:highlight w:val="none"/>
        </w:rPr>
      </w:pPr>
      <w:r>
        <w:rPr>
          <w:rFonts w:hint="eastAsia" w:ascii="仿宋" w:hAnsi="仿宋" w:cs="仿宋"/>
          <w:color w:val="auto"/>
          <w:highlight w:val="none"/>
        </w:rPr>
        <w:t>投标单位（法定名称章）：</w:t>
      </w:r>
    </w:p>
    <w:p w14:paraId="3DC00974">
      <w:pPr>
        <w:ind w:right="1440" w:firstLine="494"/>
        <w:jc w:val="center"/>
        <w:rPr>
          <w:rFonts w:hint="eastAsia" w:ascii="仿宋" w:hAnsi="仿宋" w:cs="仿宋"/>
          <w:color w:val="auto"/>
          <w:highlight w:val="none"/>
        </w:rPr>
      </w:pPr>
      <w:r>
        <w:rPr>
          <w:rFonts w:hint="eastAsia" w:ascii="仿宋" w:hAnsi="仿宋" w:cs="仿宋"/>
          <w:color w:val="auto"/>
          <w:highlight w:val="none"/>
        </w:rPr>
        <w:t xml:space="preserve">                              日期：  年月日</w:t>
      </w:r>
    </w:p>
    <w:p w14:paraId="2767C48B">
      <w:pPr>
        <w:rPr>
          <w:rFonts w:hint="eastAsia" w:ascii="仿宋" w:hAnsi="仿宋" w:cs="仿宋"/>
          <w:color w:val="auto"/>
          <w:highlight w:val="none"/>
        </w:rPr>
      </w:pPr>
      <w:r>
        <w:rPr>
          <w:rFonts w:hint="eastAsia" w:ascii="仿宋" w:hAnsi="仿宋" w:cs="仿宋"/>
          <w:b/>
          <w:bCs/>
          <w:color w:val="auto"/>
          <w:highlight w:val="none"/>
        </w:rPr>
        <w:t>附：</w:t>
      </w:r>
    </w:p>
    <w:p w14:paraId="581B74BD">
      <w:pPr>
        <w:spacing w:line="360" w:lineRule="auto"/>
        <w:rPr>
          <w:rFonts w:hint="eastAsia" w:ascii="仿宋" w:hAnsi="仿宋" w:cs="仿宋"/>
          <w:bCs/>
          <w:color w:val="auto"/>
          <w:highlight w:val="none"/>
        </w:rPr>
      </w:pPr>
      <w:r>
        <w:rPr>
          <w:rFonts w:ascii="仿宋" w:hAnsi="仿宋" w:cs="仿宋"/>
          <w:b/>
          <w:bCs/>
          <w:color w:val="auto"/>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color w:val="auto"/>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color w:val="auto"/>
          <w:highlight w:val="none"/>
        </w:rPr>
        <w:t>投标单位法定名称章（印模）投标单位“XX专用章”（印模）</w:t>
      </w:r>
    </w:p>
    <w:p w14:paraId="43795B32">
      <w:pPr>
        <w:autoSpaceDE w:val="0"/>
        <w:autoSpaceDN w:val="0"/>
        <w:jc w:val="center"/>
        <w:rPr>
          <w:rFonts w:hint="eastAsia" w:ascii="仿宋" w:hAnsi="仿宋" w:cs="仿宋"/>
          <w:b/>
          <w:color w:val="auto"/>
          <w:spacing w:val="6"/>
          <w:sz w:val="32"/>
          <w:szCs w:val="32"/>
          <w:highlight w:val="none"/>
        </w:rPr>
      </w:pPr>
    </w:p>
    <w:p w14:paraId="356B984C">
      <w:pPr>
        <w:autoSpaceDE w:val="0"/>
        <w:autoSpaceDN w:val="0"/>
        <w:jc w:val="center"/>
        <w:rPr>
          <w:rFonts w:hint="eastAsia" w:ascii="仿宋" w:hAnsi="仿宋" w:cs="仿宋"/>
          <w:b/>
          <w:color w:val="auto"/>
          <w:spacing w:val="6"/>
          <w:sz w:val="32"/>
          <w:szCs w:val="32"/>
          <w:highlight w:val="none"/>
        </w:rPr>
      </w:pPr>
    </w:p>
    <w:p w14:paraId="3DFE32CE">
      <w:pPr>
        <w:autoSpaceDE w:val="0"/>
        <w:autoSpaceDN w:val="0"/>
        <w:jc w:val="center"/>
        <w:rPr>
          <w:rFonts w:hint="eastAsia" w:ascii="仿宋" w:hAnsi="仿宋" w:cs="仿宋"/>
          <w:b/>
          <w:color w:val="auto"/>
          <w:spacing w:val="6"/>
          <w:sz w:val="32"/>
          <w:szCs w:val="32"/>
          <w:highlight w:val="none"/>
        </w:rPr>
      </w:pPr>
    </w:p>
    <w:p w14:paraId="2E13BF17">
      <w:pPr>
        <w:autoSpaceDE w:val="0"/>
        <w:autoSpaceDN w:val="0"/>
        <w:jc w:val="center"/>
        <w:rPr>
          <w:rFonts w:hint="eastAsia" w:ascii="仿宋" w:hAnsi="仿宋" w:cs="仿宋"/>
          <w:b/>
          <w:color w:val="auto"/>
          <w:spacing w:val="6"/>
          <w:sz w:val="32"/>
          <w:szCs w:val="32"/>
          <w:highlight w:val="none"/>
        </w:rPr>
      </w:pPr>
    </w:p>
    <w:p w14:paraId="46D6B27D">
      <w:pPr>
        <w:autoSpaceDE w:val="0"/>
        <w:autoSpaceDN w:val="0"/>
        <w:jc w:val="center"/>
        <w:rPr>
          <w:rFonts w:hint="eastAsia" w:ascii="仿宋" w:hAnsi="仿宋" w:cs="仿宋"/>
          <w:b/>
          <w:color w:val="auto"/>
          <w:spacing w:val="6"/>
          <w:sz w:val="32"/>
          <w:szCs w:val="32"/>
          <w:highlight w:val="none"/>
        </w:rPr>
      </w:pPr>
    </w:p>
    <w:p w14:paraId="77B48A79">
      <w:pPr>
        <w:autoSpaceDE w:val="0"/>
        <w:autoSpaceDN w:val="0"/>
        <w:jc w:val="center"/>
        <w:rPr>
          <w:rFonts w:hint="eastAsia" w:ascii="仿宋" w:hAnsi="仿宋" w:cs="仿宋"/>
          <w:b/>
          <w:color w:val="auto"/>
          <w:spacing w:val="6"/>
          <w:sz w:val="32"/>
          <w:szCs w:val="32"/>
          <w:highlight w:val="none"/>
        </w:rPr>
      </w:pPr>
    </w:p>
    <w:p w14:paraId="4E442650">
      <w:pPr>
        <w:autoSpaceDE w:val="0"/>
        <w:autoSpaceDN w:val="0"/>
        <w:jc w:val="center"/>
        <w:rPr>
          <w:rFonts w:hint="eastAsia" w:ascii="仿宋" w:hAnsi="仿宋" w:cs="仿宋"/>
          <w:b/>
          <w:color w:val="auto"/>
          <w:spacing w:val="6"/>
          <w:sz w:val="32"/>
          <w:szCs w:val="32"/>
          <w:highlight w:val="none"/>
        </w:rPr>
      </w:pPr>
    </w:p>
    <w:p w14:paraId="76A4AFCC">
      <w:pPr>
        <w:autoSpaceDE w:val="0"/>
        <w:autoSpaceDN w:val="0"/>
        <w:jc w:val="center"/>
        <w:rPr>
          <w:rFonts w:hint="eastAsia" w:ascii="仿宋" w:hAnsi="仿宋" w:cs="仿宋"/>
          <w:b/>
          <w:color w:val="auto"/>
          <w:spacing w:val="6"/>
          <w:sz w:val="32"/>
          <w:szCs w:val="32"/>
          <w:highlight w:val="none"/>
        </w:rPr>
      </w:pPr>
    </w:p>
    <w:p w14:paraId="37687EA8">
      <w:pPr>
        <w:autoSpaceDE w:val="0"/>
        <w:autoSpaceDN w:val="0"/>
        <w:jc w:val="center"/>
        <w:rPr>
          <w:rFonts w:hint="eastAsia" w:ascii="仿宋" w:hAnsi="仿宋" w:cs="仿宋"/>
          <w:b/>
          <w:color w:val="auto"/>
          <w:spacing w:val="6"/>
          <w:sz w:val="32"/>
          <w:szCs w:val="32"/>
          <w:highlight w:val="none"/>
        </w:rPr>
      </w:pPr>
    </w:p>
    <w:p w14:paraId="3EE1EAE6">
      <w:pPr>
        <w:autoSpaceDE w:val="0"/>
        <w:autoSpaceDN w:val="0"/>
        <w:jc w:val="center"/>
        <w:rPr>
          <w:rFonts w:hint="eastAsia" w:ascii="仿宋" w:hAnsi="仿宋" w:cs="仿宋"/>
          <w:b/>
          <w:color w:val="auto"/>
          <w:spacing w:val="6"/>
          <w:sz w:val="32"/>
          <w:szCs w:val="32"/>
          <w:highlight w:val="none"/>
        </w:rPr>
      </w:pPr>
    </w:p>
    <w:p w14:paraId="7E533C88">
      <w:pPr>
        <w:autoSpaceDE w:val="0"/>
        <w:autoSpaceDN w:val="0"/>
        <w:jc w:val="center"/>
        <w:rPr>
          <w:rFonts w:hint="eastAsia" w:ascii="仿宋" w:hAnsi="仿宋" w:cs="仿宋"/>
          <w:b/>
          <w:color w:val="auto"/>
          <w:spacing w:val="6"/>
          <w:sz w:val="32"/>
          <w:szCs w:val="32"/>
          <w:highlight w:val="none"/>
        </w:rPr>
      </w:pPr>
    </w:p>
    <w:p w14:paraId="48FBB254">
      <w:pPr>
        <w:rPr>
          <w:rFonts w:hint="eastAsia" w:ascii="仿宋" w:hAnsi="仿宋" w:cs="仿宋"/>
          <w:b/>
          <w:color w:val="auto"/>
          <w:spacing w:val="6"/>
          <w:sz w:val="32"/>
          <w:szCs w:val="32"/>
          <w:highlight w:val="none"/>
        </w:rPr>
      </w:pPr>
    </w:p>
    <w:p w14:paraId="7E929442">
      <w:pPr>
        <w:spacing w:line="360" w:lineRule="auto"/>
        <w:jc w:val="center"/>
        <w:outlineLvl w:val="2"/>
        <w:rPr>
          <w:rFonts w:hint="eastAsia" w:ascii="仿宋" w:hAnsi="仿宋" w:cs="仿宋"/>
          <w:b/>
          <w:color w:val="auto"/>
          <w:kern w:val="0"/>
          <w:sz w:val="32"/>
          <w:szCs w:val="32"/>
          <w:highlight w:val="none"/>
        </w:rPr>
      </w:pPr>
      <w:r>
        <w:rPr>
          <w:rFonts w:hint="eastAsia" w:ascii="仿宋" w:hAnsi="仿宋" w:cs="仿宋"/>
          <w:b/>
          <w:color w:val="auto"/>
          <w:spacing w:val="6"/>
          <w:sz w:val="32"/>
          <w:szCs w:val="32"/>
          <w:highlight w:val="none"/>
        </w:rPr>
        <w:br w:type="page"/>
      </w:r>
      <w:r>
        <w:rPr>
          <w:rFonts w:hint="eastAsia" w:ascii="仿宋" w:hAnsi="仿宋" w:cs="仿宋"/>
          <w:b/>
          <w:color w:val="auto"/>
          <w:kern w:val="0"/>
          <w:sz w:val="32"/>
          <w:szCs w:val="32"/>
          <w:highlight w:val="none"/>
        </w:rPr>
        <w:t>附件5：联合协议</w:t>
      </w:r>
    </w:p>
    <w:p w14:paraId="480B01FC">
      <w:pPr>
        <w:widowControl/>
        <w:spacing w:line="360" w:lineRule="auto"/>
        <w:ind w:firstLine="482" w:firstLineChars="200"/>
        <w:jc w:val="left"/>
        <w:rPr>
          <w:rFonts w:hint="eastAsia" w:ascii="仿宋" w:hAnsi="仿宋" w:cs="仿宋"/>
          <w:b/>
          <w:color w:val="auto"/>
          <w:highlight w:val="none"/>
        </w:rPr>
      </w:pPr>
      <w:r>
        <w:rPr>
          <w:rFonts w:hint="eastAsia" w:ascii="仿宋" w:hAnsi="仿宋" w:cs="仿宋"/>
          <w:b/>
          <w:color w:val="auto"/>
          <w:highlight w:val="none"/>
        </w:rPr>
        <w:t>（以联合体形式投标的，提供联合协议；本项目不接受联合体投标或者投标人不以联合体形式投标的，则不需要提供）</w:t>
      </w:r>
    </w:p>
    <w:p w14:paraId="371F7136">
      <w:pPr>
        <w:rPr>
          <w:rFonts w:hint="eastAsia" w:ascii="仿宋" w:hAnsi="仿宋" w:cs="仿宋"/>
          <w:color w:val="auto"/>
          <w:highlight w:val="none"/>
        </w:rPr>
      </w:pPr>
    </w:p>
    <w:p w14:paraId="14878E3E">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u w:val="single"/>
        </w:rPr>
        <w:t>（联合体所有成员名称）</w:t>
      </w:r>
      <w:r>
        <w:rPr>
          <w:rFonts w:hint="eastAsia" w:ascii="仿宋" w:hAnsi="仿宋" w:cs="仿宋"/>
          <w:color w:val="auto"/>
          <w:kern w:val="0"/>
          <w:highlight w:val="none"/>
        </w:rPr>
        <w:t>自愿</w:t>
      </w:r>
      <w:r>
        <w:rPr>
          <w:rFonts w:hint="eastAsia" w:ascii="仿宋" w:hAnsi="仿宋" w:cs="仿宋"/>
          <w:color w:val="auto"/>
          <w:kern w:val="0"/>
          <w:highlight w:val="none"/>
          <w:lang w:val="zh-CN"/>
        </w:rPr>
        <w:t>组成一个联合体，以一个投标人的身份</w:t>
      </w:r>
      <w:r>
        <w:rPr>
          <w:rFonts w:hint="eastAsia" w:ascii="仿宋" w:hAnsi="仿宋" w:cs="仿宋"/>
          <w:color w:val="auto"/>
          <w:kern w:val="0"/>
          <w:highlight w:val="none"/>
        </w:rPr>
        <w:t>参加</w:t>
      </w:r>
      <w:r>
        <w:rPr>
          <w:rFonts w:hint="eastAsia" w:ascii="仿宋" w:hAnsi="仿宋" w:cs="仿宋"/>
          <w:color w:val="auto"/>
          <w:highlight w:val="none"/>
        </w:rPr>
        <w:t>（项目名称）【招标编号：（采购编号）】</w:t>
      </w:r>
      <w:r>
        <w:rPr>
          <w:rFonts w:hint="eastAsia" w:ascii="仿宋" w:hAnsi="仿宋" w:cs="仿宋"/>
          <w:color w:val="auto"/>
          <w:kern w:val="0"/>
          <w:highlight w:val="none"/>
          <w:lang w:val="zh-CN"/>
        </w:rPr>
        <w:t xml:space="preserve">投标。 </w:t>
      </w:r>
    </w:p>
    <w:p w14:paraId="2F945C2D">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一、各方一致决定，</w:t>
      </w:r>
      <w:r>
        <w:rPr>
          <w:rFonts w:hint="eastAsia" w:ascii="仿宋" w:hAnsi="仿宋" w:cs="仿宋"/>
          <w:color w:val="auto"/>
          <w:kern w:val="0"/>
          <w:highlight w:val="none"/>
          <w:u w:val="single"/>
        </w:rPr>
        <w:t>（某联合体成员名称）</w:t>
      </w:r>
      <w:r>
        <w:rPr>
          <w:rFonts w:hint="eastAsia" w:ascii="仿宋" w:hAnsi="仿宋" w:cs="仿宋"/>
          <w:color w:val="auto"/>
          <w:kern w:val="0"/>
          <w:highlight w:val="none"/>
        </w:rPr>
        <w:t>为联合体</w:t>
      </w:r>
      <w:r>
        <w:rPr>
          <w:rFonts w:hint="eastAsia" w:ascii="仿宋" w:hAnsi="仿宋" w:cs="仿宋"/>
          <w:color w:val="auto"/>
          <w:kern w:val="0"/>
          <w:highlight w:val="none"/>
          <w:lang w:val="zh-CN"/>
        </w:rPr>
        <w:t>牵头人</w:t>
      </w:r>
      <w:r>
        <w:rPr>
          <w:rFonts w:hint="eastAsia" w:ascii="仿宋" w:hAnsi="仿宋" w:cs="仿宋"/>
          <w:color w:val="auto"/>
          <w:highlight w:val="none"/>
        </w:rPr>
        <w:t>，代表所有联合体成员负责投标和合同实施阶段的主办、协调工作</w:t>
      </w:r>
      <w:r>
        <w:rPr>
          <w:rFonts w:hint="eastAsia" w:ascii="仿宋" w:hAnsi="仿宋" w:cs="仿宋"/>
          <w:color w:val="auto"/>
          <w:kern w:val="0"/>
          <w:highlight w:val="none"/>
          <w:lang w:val="zh-CN"/>
        </w:rPr>
        <w:t>。</w:t>
      </w:r>
    </w:p>
    <w:p w14:paraId="6C480486">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二、</w:t>
      </w:r>
      <w:r>
        <w:rPr>
          <w:rFonts w:hint="eastAsia" w:ascii="仿宋" w:hAnsi="仿宋" w:cs="仿宋"/>
          <w:color w:val="auto"/>
          <w:highlight w:val="none"/>
        </w:rPr>
        <w:t>所有联合体成员各方签署授权书，授权书载明的</w:t>
      </w:r>
      <w:r>
        <w:rPr>
          <w:rFonts w:hint="eastAsia" w:ascii="仿宋" w:hAnsi="仿宋" w:cs="仿宋"/>
          <w:color w:val="auto"/>
          <w:kern w:val="0"/>
          <w:highlight w:val="none"/>
          <w:lang w:val="zh-CN"/>
        </w:rPr>
        <w:t>授权代表根据招标文件规定及投标内容而对采购人、采购机构所作的任何合法承诺，包括书面澄清及相应等均对联合投标各方产生约束力。</w:t>
      </w:r>
    </w:p>
    <w:p w14:paraId="361B16C0">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三、本次联合投标中，分工如下：</w:t>
      </w:r>
    </w:p>
    <w:p w14:paraId="538A53BD">
      <w:pPr>
        <w:spacing w:line="360" w:lineRule="auto"/>
        <w:ind w:firstLine="576"/>
        <w:rPr>
          <w:rFonts w:hint="eastAsia" w:ascii="仿宋" w:hAnsi="仿宋" w:cs="仿宋"/>
          <w:color w:val="auto"/>
          <w:kern w:val="0"/>
          <w:highlight w:val="none"/>
          <w:lang w:val="zh-CN"/>
        </w:rPr>
      </w:pPr>
      <w:bookmarkStart w:id="623" w:name="_Hlk101134295"/>
      <w:r>
        <w:rPr>
          <w:rFonts w:hint="eastAsia" w:ascii="仿宋" w:hAnsi="仿宋" w:cs="仿宋"/>
          <w:color w:val="auto"/>
          <w:kern w:val="0"/>
          <w:highlight w:val="none"/>
          <w:u w:val="single"/>
        </w:rPr>
        <w:t>（联合体成员1）</w:t>
      </w:r>
      <w:r>
        <w:rPr>
          <w:rFonts w:hint="eastAsia" w:ascii="仿宋" w:hAnsi="仿宋" w:cs="仿宋"/>
          <w:color w:val="auto"/>
          <w:kern w:val="0"/>
          <w:highlight w:val="none"/>
          <w:lang w:val="zh-CN"/>
        </w:rPr>
        <w:t>承担的工作和义务为：；</w:t>
      </w:r>
    </w:p>
    <w:p w14:paraId="3052F4E0">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u w:val="single"/>
        </w:rPr>
        <w:t>（联合体成员2）</w:t>
      </w:r>
      <w:r>
        <w:rPr>
          <w:rFonts w:hint="eastAsia" w:ascii="仿宋" w:hAnsi="仿宋" w:cs="仿宋"/>
          <w:color w:val="auto"/>
          <w:kern w:val="0"/>
          <w:highlight w:val="none"/>
          <w:lang w:val="zh-CN"/>
        </w:rPr>
        <w:t>承担的工作和义务为：；</w:t>
      </w:r>
    </w:p>
    <w:p w14:paraId="3992F01D">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w:t>
      </w:r>
    </w:p>
    <w:bookmarkEnd w:id="623"/>
    <w:p w14:paraId="6D308337">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四、联合体成员中小企业合同份额。</w:t>
      </w:r>
    </w:p>
    <w:p w14:paraId="5B6939D0">
      <w:pPr>
        <w:spacing w:line="360" w:lineRule="auto"/>
        <w:ind w:firstLine="576"/>
        <w:rPr>
          <w:rFonts w:hint="eastAsia" w:ascii="仿宋" w:hAnsi="仿宋" w:cs="仿宋"/>
          <w:b/>
          <w:color w:val="auto"/>
          <w:kern w:val="0"/>
          <w:highlight w:val="none"/>
          <w:lang w:val="zh-CN"/>
        </w:rPr>
      </w:pPr>
      <w:r>
        <w:rPr>
          <w:rFonts w:hint="eastAsia" w:ascii="仿宋" w:hAnsi="仿宋" w:cs="仿宋"/>
          <w:color w:val="auto"/>
          <w:kern w:val="0"/>
          <w:highlight w:val="none"/>
          <w:lang w:val="zh-CN"/>
        </w:rPr>
        <w:t>1、</w:t>
      </w:r>
      <w:r>
        <w:rPr>
          <w:rFonts w:hint="eastAsia" w:ascii="仿宋" w:hAnsi="仿宋" w:cs="仿宋"/>
          <w:color w:val="auto"/>
          <w:kern w:val="0"/>
          <w:highlight w:val="none"/>
          <w:u w:val="single"/>
        </w:rPr>
        <w:t>（联合体成员X,……）</w:t>
      </w:r>
      <w:r>
        <w:rPr>
          <w:rFonts w:hint="eastAsia" w:ascii="仿宋" w:hAnsi="仿宋" w:cs="仿宋"/>
          <w:color w:val="auto"/>
          <w:kern w:val="0"/>
          <w:highlight w:val="none"/>
        </w:rPr>
        <w:t>提供的全部货物由小微企业制造，其合同份额占到合同总金额</w:t>
      </w:r>
      <w:r>
        <w:rPr>
          <w:rFonts w:hint="eastAsia" w:ascii="仿宋" w:hAnsi="仿宋" w:cs="仿宋"/>
          <w:color w:val="auto"/>
          <w:highlight w:val="none"/>
        </w:rPr>
        <w:t>_</w:t>
      </w:r>
      <w:r>
        <w:rPr>
          <w:rFonts w:hint="eastAsia" w:ascii="仿宋" w:hAnsi="仿宋" w:cs="仿宋"/>
          <w:color w:val="auto"/>
          <w:kern w:val="0"/>
          <w:highlight w:val="none"/>
        </w:rPr>
        <w:t>%以上；</w:t>
      </w:r>
      <w:r>
        <w:rPr>
          <w:rFonts w:hint="eastAsia" w:ascii="仿宋" w:hAnsi="仿宋" w:cs="仿宋"/>
          <w:color w:val="auto"/>
          <w:kern w:val="0"/>
          <w:highlight w:val="none"/>
          <w:lang w:val="zh-CN"/>
        </w:rPr>
        <w:t>……。</w:t>
      </w:r>
      <w:r>
        <w:rPr>
          <w:rFonts w:hint="eastAsia" w:ascii="仿宋" w:hAnsi="仿宋" w:cs="仿宋"/>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color w:val="auto"/>
          <w:highlight w:val="none"/>
        </w:rPr>
        <w:t>拟享受以上价格扣除政策的，填写有关内容。</w:t>
      </w:r>
      <w:r>
        <w:rPr>
          <w:rFonts w:hint="eastAsia" w:ascii="仿宋" w:hAnsi="仿宋" w:cs="仿宋"/>
          <w:b/>
          <w:color w:val="auto"/>
          <w:kern w:val="0"/>
          <w:highlight w:val="none"/>
          <w:lang w:val="zh-CN"/>
        </w:rPr>
        <w:t>）</w:t>
      </w:r>
    </w:p>
    <w:p w14:paraId="21DBD002">
      <w:pPr>
        <w:spacing w:line="360" w:lineRule="auto"/>
        <w:ind w:firstLine="576"/>
        <w:rPr>
          <w:rFonts w:hint="eastAsia" w:ascii="仿宋" w:hAnsi="仿宋" w:cs="仿宋"/>
          <w:color w:val="auto"/>
          <w:kern w:val="0"/>
          <w:highlight w:val="none"/>
          <w:lang w:val="zh-CN"/>
        </w:rPr>
      </w:pPr>
      <w:r>
        <w:rPr>
          <w:rFonts w:hint="eastAsia" w:ascii="仿宋" w:hAnsi="仿宋" w:cs="仿宋"/>
          <w:color w:val="auto"/>
          <w:highlight w:val="none"/>
        </w:rPr>
        <w:t>2、中小企业合同金额达到_%，小微企业合同金额达到_%</w:t>
      </w:r>
      <w:r>
        <w:rPr>
          <w:rFonts w:hint="eastAsia" w:ascii="仿宋" w:hAnsi="仿宋" w:cs="仿宋"/>
          <w:color w:val="auto"/>
          <w:kern w:val="0"/>
          <w:highlight w:val="none"/>
          <w:lang w:val="zh-CN"/>
        </w:rPr>
        <w:t>。</w:t>
      </w:r>
      <w:r>
        <w:rPr>
          <w:rFonts w:hint="eastAsia" w:ascii="仿宋" w:hAnsi="仿宋" w:cs="仿宋"/>
          <w:b/>
          <w:bCs/>
          <w:color w:val="auto"/>
          <w:kern w:val="0"/>
          <w:highlight w:val="none"/>
          <w:lang w:val="zh-CN"/>
        </w:rPr>
        <w:t>（</w:t>
      </w:r>
      <w:r>
        <w:rPr>
          <w:rFonts w:hint="eastAsia" w:ascii="仿宋" w:hAnsi="仿宋" w:cs="仿宋"/>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color w:val="auto"/>
          <w:kern w:val="0"/>
          <w:highlight w:val="none"/>
          <w:lang w:val="zh-CN"/>
        </w:rPr>
        <w:t>）</w:t>
      </w:r>
    </w:p>
    <w:p w14:paraId="097D2B08">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五、如果中标，</w:t>
      </w:r>
      <w:r>
        <w:rPr>
          <w:rFonts w:hint="eastAsia" w:ascii="仿宋" w:hAnsi="仿宋" w:cs="仿宋"/>
          <w:color w:val="auto"/>
          <w:highlight w:val="none"/>
        </w:rPr>
        <w:t>联合体各成员方共同与采购人签订合同，并就采购合同约定的事项对采购人承担连带责任。</w:t>
      </w:r>
    </w:p>
    <w:p w14:paraId="13F69D53">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六、有关本次联合投标的其他事宜：</w:t>
      </w:r>
    </w:p>
    <w:p w14:paraId="077623A4">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1、联合体各方不再单独参加或者与其他供应商另外组成联合体参加同一合同项下的政府采购活动。</w:t>
      </w:r>
    </w:p>
    <w:p w14:paraId="6C1B6182">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2、联合体中有同类资质的各方按照联合体分工承担相同工作的，按照资质等级较低的供应商确定资质等级。</w:t>
      </w:r>
    </w:p>
    <w:p w14:paraId="186B1143">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3、本协议提交采购人、采购机构后，联合体各方不得以任何形式对上述内容进行修改或撤销。</w:t>
      </w:r>
    </w:p>
    <w:p w14:paraId="4A40DA21">
      <w:pPr>
        <w:spacing w:line="360" w:lineRule="auto"/>
        <w:ind w:firstLine="5040" w:firstLineChars="2100"/>
        <w:rPr>
          <w:rFonts w:hint="eastAsia"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7919F7AE">
      <w:pPr>
        <w:spacing w:line="360" w:lineRule="auto"/>
        <w:ind w:firstLine="5040" w:firstLineChars="2100"/>
        <w:rPr>
          <w:rFonts w:hint="eastAsia" w:ascii="仿宋" w:hAnsi="仿宋" w:cs="仿宋"/>
          <w:color w:val="auto"/>
          <w:kern w:val="0"/>
          <w:highlight w:val="none"/>
          <w:lang w:val="zh-CN"/>
        </w:rPr>
      </w:pPr>
      <w:r>
        <w:rPr>
          <w:rFonts w:hint="eastAsia" w:ascii="仿宋" w:hAnsi="仿宋" w:cs="仿宋"/>
          <w:color w:val="auto"/>
          <w:kern w:val="0"/>
          <w:highlight w:val="none"/>
          <w:lang w:val="zh-CN"/>
        </w:rPr>
        <w:t>联合体成员名称(电子签名/公章)：</w:t>
      </w:r>
    </w:p>
    <w:p w14:paraId="0BF324E1">
      <w:pPr>
        <w:spacing w:line="360" w:lineRule="auto"/>
        <w:ind w:right="96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6B905A55">
      <w:pPr>
        <w:spacing w:line="360" w:lineRule="auto"/>
        <w:jc w:val="right"/>
        <w:rPr>
          <w:rFonts w:hint="eastAsia" w:ascii="仿宋" w:hAnsi="仿宋" w:cs="仿宋"/>
          <w:color w:val="auto"/>
          <w:kern w:val="0"/>
          <w:highlight w:val="none"/>
          <w:lang w:val="zh-CN"/>
        </w:rPr>
      </w:pPr>
      <w:r>
        <w:rPr>
          <w:rFonts w:hint="eastAsia" w:ascii="仿宋" w:hAnsi="仿宋" w:cs="仿宋"/>
          <w:color w:val="auto"/>
          <w:kern w:val="0"/>
          <w:highlight w:val="none"/>
          <w:lang w:val="zh-CN"/>
        </w:rPr>
        <w:t>日期：  年  月   日</w:t>
      </w:r>
    </w:p>
    <w:p w14:paraId="299B5DCF">
      <w:pPr>
        <w:spacing w:line="360" w:lineRule="auto"/>
        <w:ind w:right="420"/>
        <w:rPr>
          <w:rFonts w:hint="eastAsia" w:ascii="仿宋" w:hAnsi="仿宋" w:cs="仿宋"/>
          <w:color w:val="auto"/>
          <w:highlight w:val="none"/>
        </w:rPr>
      </w:pPr>
      <w:r>
        <w:rPr>
          <w:rFonts w:hint="eastAsia" w:ascii="仿宋" w:hAnsi="仿宋" w:cs="仿宋"/>
          <w:color w:val="auto"/>
          <w:highlight w:val="none"/>
        </w:rPr>
        <w:t>注：按本格式和要求提供。</w:t>
      </w:r>
    </w:p>
    <w:p w14:paraId="2DFC95B7">
      <w:pPr>
        <w:autoSpaceDE w:val="0"/>
        <w:autoSpaceDN w:val="0"/>
        <w:jc w:val="center"/>
        <w:rPr>
          <w:rFonts w:hint="eastAsia" w:ascii="仿宋" w:hAnsi="仿宋" w:cs="仿宋"/>
          <w:b/>
          <w:color w:val="auto"/>
          <w:spacing w:val="6"/>
          <w:sz w:val="32"/>
          <w:szCs w:val="32"/>
          <w:highlight w:val="none"/>
        </w:rPr>
      </w:pPr>
    </w:p>
    <w:p w14:paraId="37BC334F">
      <w:pPr>
        <w:autoSpaceDE w:val="0"/>
        <w:autoSpaceDN w:val="0"/>
        <w:jc w:val="center"/>
        <w:rPr>
          <w:rFonts w:hint="eastAsia" w:ascii="仿宋" w:hAnsi="仿宋" w:cs="仿宋"/>
          <w:b/>
          <w:color w:val="auto"/>
          <w:spacing w:val="6"/>
          <w:sz w:val="32"/>
          <w:szCs w:val="32"/>
          <w:highlight w:val="none"/>
        </w:rPr>
      </w:pPr>
    </w:p>
    <w:p w14:paraId="569D59C7">
      <w:pPr>
        <w:autoSpaceDE w:val="0"/>
        <w:autoSpaceDN w:val="0"/>
        <w:jc w:val="center"/>
        <w:rPr>
          <w:rFonts w:hint="eastAsia" w:ascii="仿宋" w:hAnsi="仿宋" w:cs="仿宋"/>
          <w:b/>
          <w:color w:val="auto"/>
          <w:spacing w:val="6"/>
          <w:sz w:val="32"/>
          <w:szCs w:val="32"/>
          <w:highlight w:val="none"/>
        </w:rPr>
      </w:pPr>
    </w:p>
    <w:p w14:paraId="59440BA1">
      <w:pPr>
        <w:autoSpaceDE w:val="0"/>
        <w:autoSpaceDN w:val="0"/>
        <w:jc w:val="center"/>
        <w:rPr>
          <w:rFonts w:hint="eastAsia" w:ascii="仿宋" w:hAnsi="仿宋" w:cs="仿宋"/>
          <w:b/>
          <w:color w:val="auto"/>
          <w:spacing w:val="6"/>
          <w:sz w:val="32"/>
          <w:szCs w:val="32"/>
          <w:highlight w:val="none"/>
        </w:rPr>
      </w:pPr>
    </w:p>
    <w:p w14:paraId="5783E40F">
      <w:pPr>
        <w:autoSpaceDE w:val="0"/>
        <w:autoSpaceDN w:val="0"/>
        <w:jc w:val="center"/>
        <w:rPr>
          <w:rFonts w:hint="eastAsia" w:ascii="仿宋" w:hAnsi="仿宋" w:cs="仿宋"/>
          <w:b/>
          <w:color w:val="auto"/>
          <w:spacing w:val="6"/>
          <w:sz w:val="32"/>
          <w:szCs w:val="32"/>
          <w:highlight w:val="none"/>
        </w:rPr>
      </w:pPr>
    </w:p>
    <w:p w14:paraId="154027E7">
      <w:pPr>
        <w:autoSpaceDE w:val="0"/>
        <w:autoSpaceDN w:val="0"/>
        <w:jc w:val="center"/>
        <w:rPr>
          <w:rFonts w:hint="eastAsia" w:ascii="仿宋" w:hAnsi="仿宋" w:cs="仿宋"/>
          <w:b/>
          <w:color w:val="auto"/>
          <w:spacing w:val="6"/>
          <w:sz w:val="32"/>
          <w:szCs w:val="32"/>
          <w:highlight w:val="none"/>
        </w:rPr>
      </w:pPr>
    </w:p>
    <w:p w14:paraId="4CB0B93F">
      <w:pPr>
        <w:autoSpaceDE w:val="0"/>
        <w:autoSpaceDN w:val="0"/>
        <w:jc w:val="center"/>
        <w:rPr>
          <w:rFonts w:hint="eastAsia" w:ascii="仿宋" w:hAnsi="仿宋" w:cs="仿宋"/>
          <w:b/>
          <w:color w:val="auto"/>
          <w:spacing w:val="6"/>
          <w:sz w:val="32"/>
          <w:szCs w:val="32"/>
          <w:highlight w:val="none"/>
        </w:rPr>
      </w:pPr>
    </w:p>
    <w:p w14:paraId="41B6AC3B">
      <w:pPr>
        <w:autoSpaceDE w:val="0"/>
        <w:autoSpaceDN w:val="0"/>
        <w:jc w:val="center"/>
        <w:rPr>
          <w:rFonts w:hint="eastAsia" w:ascii="仿宋" w:hAnsi="仿宋" w:cs="仿宋"/>
          <w:b/>
          <w:color w:val="auto"/>
          <w:spacing w:val="6"/>
          <w:sz w:val="32"/>
          <w:szCs w:val="32"/>
          <w:highlight w:val="none"/>
        </w:rPr>
      </w:pPr>
    </w:p>
    <w:p w14:paraId="4432C8F2">
      <w:pPr>
        <w:autoSpaceDE w:val="0"/>
        <w:autoSpaceDN w:val="0"/>
        <w:jc w:val="center"/>
        <w:rPr>
          <w:rFonts w:hint="eastAsia" w:ascii="仿宋" w:hAnsi="仿宋" w:cs="仿宋"/>
          <w:b/>
          <w:color w:val="auto"/>
          <w:spacing w:val="6"/>
          <w:sz w:val="32"/>
          <w:szCs w:val="32"/>
          <w:highlight w:val="none"/>
        </w:rPr>
      </w:pPr>
    </w:p>
    <w:p w14:paraId="7103F3F1">
      <w:pPr>
        <w:autoSpaceDE w:val="0"/>
        <w:autoSpaceDN w:val="0"/>
        <w:jc w:val="center"/>
        <w:rPr>
          <w:rFonts w:hint="eastAsia" w:ascii="仿宋" w:hAnsi="仿宋" w:cs="仿宋"/>
          <w:b/>
          <w:color w:val="auto"/>
          <w:spacing w:val="6"/>
          <w:sz w:val="32"/>
          <w:szCs w:val="32"/>
          <w:highlight w:val="none"/>
        </w:rPr>
      </w:pPr>
    </w:p>
    <w:p w14:paraId="15973EF7">
      <w:pPr>
        <w:autoSpaceDE w:val="0"/>
        <w:autoSpaceDN w:val="0"/>
        <w:jc w:val="center"/>
        <w:rPr>
          <w:rFonts w:hint="eastAsia" w:ascii="仿宋" w:hAnsi="仿宋" w:cs="仿宋"/>
          <w:b/>
          <w:color w:val="auto"/>
          <w:spacing w:val="6"/>
          <w:sz w:val="32"/>
          <w:szCs w:val="32"/>
          <w:highlight w:val="none"/>
        </w:rPr>
      </w:pPr>
    </w:p>
    <w:p w14:paraId="047787E9">
      <w:pPr>
        <w:autoSpaceDE w:val="0"/>
        <w:autoSpaceDN w:val="0"/>
        <w:jc w:val="center"/>
        <w:rPr>
          <w:rFonts w:hint="eastAsia" w:ascii="仿宋" w:hAnsi="仿宋" w:cs="仿宋"/>
          <w:b/>
          <w:color w:val="auto"/>
          <w:spacing w:val="6"/>
          <w:sz w:val="32"/>
          <w:szCs w:val="32"/>
          <w:highlight w:val="none"/>
        </w:rPr>
      </w:pPr>
    </w:p>
    <w:p w14:paraId="68D82EC3">
      <w:pPr>
        <w:autoSpaceDE w:val="0"/>
        <w:autoSpaceDN w:val="0"/>
        <w:jc w:val="center"/>
        <w:rPr>
          <w:rFonts w:hint="eastAsia" w:ascii="仿宋" w:hAnsi="仿宋" w:cs="仿宋"/>
          <w:b/>
          <w:color w:val="auto"/>
          <w:spacing w:val="6"/>
          <w:sz w:val="32"/>
          <w:szCs w:val="32"/>
          <w:highlight w:val="none"/>
        </w:rPr>
      </w:pPr>
    </w:p>
    <w:p w14:paraId="11E313C5">
      <w:pPr>
        <w:autoSpaceDE w:val="0"/>
        <w:autoSpaceDN w:val="0"/>
        <w:jc w:val="center"/>
        <w:rPr>
          <w:rFonts w:hint="eastAsia" w:ascii="仿宋" w:hAnsi="仿宋" w:cs="仿宋"/>
          <w:b/>
          <w:color w:val="auto"/>
          <w:spacing w:val="6"/>
          <w:sz w:val="32"/>
          <w:szCs w:val="32"/>
          <w:highlight w:val="none"/>
        </w:rPr>
      </w:pPr>
    </w:p>
    <w:p w14:paraId="0393C638">
      <w:pPr>
        <w:autoSpaceDE w:val="0"/>
        <w:autoSpaceDN w:val="0"/>
        <w:jc w:val="center"/>
        <w:rPr>
          <w:rFonts w:hint="eastAsia" w:ascii="仿宋" w:hAnsi="仿宋" w:cs="仿宋"/>
          <w:b/>
          <w:color w:val="auto"/>
          <w:spacing w:val="6"/>
          <w:sz w:val="32"/>
          <w:szCs w:val="32"/>
          <w:highlight w:val="none"/>
        </w:rPr>
      </w:pPr>
    </w:p>
    <w:p w14:paraId="4792470D">
      <w:pPr>
        <w:autoSpaceDE w:val="0"/>
        <w:autoSpaceDN w:val="0"/>
        <w:jc w:val="center"/>
        <w:rPr>
          <w:rFonts w:hint="eastAsia" w:ascii="仿宋" w:hAnsi="仿宋" w:cs="仿宋"/>
          <w:b/>
          <w:color w:val="auto"/>
          <w:spacing w:val="6"/>
          <w:sz w:val="32"/>
          <w:szCs w:val="32"/>
          <w:highlight w:val="none"/>
        </w:rPr>
      </w:pPr>
    </w:p>
    <w:p w14:paraId="6A7EA5F1">
      <w:pPr>
        <w:autoSpaceDE w:val="0"/>
        <w:autoSpaceDN w:val="0"/>
        <w:jc w:val="center"/>
        <w:rPr>
          <w:rFonts w:hint="eastAsia" w:ascii="仿宋" w:hAnsi="仿宋" w:cs="仿宋"/>
          <w:b/>
          <w:color w:val="auto"/>
          <w:spacing w:val="6"/>
          <w:sz w:val="32"/>
          <w:szCs w:val="32"/>
          <w:highlight w:val="none"/>
        </w:rPr>
      </w:pPr>
    </w:p>
    <w:p w14:paraId="1ACCC39F">
      <w:pPr>
        <w:autoSpaceDE w:val="0"/>
        <w:autoSpaceDN w:val="0"/>
        <w:jc w:val="center"/>
        <w:rPr>
          <w:rFonts w:hint="eastAsia" w:ascii="仿宋" w:hAnsi="仿宋" w:cs="仿宋"/>
          <w:b/>
          <w:color w:val="auto"/>
          <w:spacing w:val="6"/>
          <w:sz w:val="32"/>
          <w:szCs w:val="32"/>
          <w:highlight w:val="none"/>
        </w:rPr>
      </w:pPr>
    </w:p>
    <w:p w14:paraId="14721B1F">
      <w:pPr>
        <w:autoSpaceDE w:val="0"/>
        <w:autoSpaceDN w:val="0"/>
        <w:jc w:val="center"/>
        <w:rPr>
          <w:rFonts w:hint="eastAsia" w:ascii="仿宋" w:hAnsi="仿宋" w:cs="仿宋"/>
          <w:b/>
          <w:color w:val="auto"/>
          <w:spacing w:val="6"/>
          <w:sz w:val="32"/>
          <w:szCs w:val="32"/>
          <w:highlight w:val="none"/>
        </w:rPr>
      </w:pPr>
    </w:p>
    <w:p w14:paraId="13AC8AF2">
      <w:pPr>
        <w:spacing w:line="360" w:lineRule="auto"/>
        <w:jc w:val="center"/>
        <w:outlineLvl w:val="2"/>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附件6：分包意向协议</w:t>
      </w:r>
    </w:p>
    <w:p w14:paraId="48CA60F0">
      <w:pPr>
        <w:widowControl/>
        <w:spacing w:line="360" w:lineRule="auto"/>
        <w:ind w:firstLine="120" w:firstLineChars="50"/>
        <w:jc w:val="left"/>
        <w:rPr>
          <w:rFonts w:hint="eastAsia" w:ascii="仿宋" w:hAnsi="仿宋" w:cs="仿宋"/>
          <w:color w:val="auto"/>
          <w:highlight w:val="none"/>
        </w:rPr>
      </w:pPr>
      <w:r>
        <w:rPr>
          <w:rFonts w:hint="eastAsia" w:ascii="仿宋" w:hAnsi="仿宋" w:cs="仿宋"/>
          <w:color w:val="auto"/>
          <w:highlight w:val="none"/>
        </w:rPr>
        <w:t>（</w:t>
      </w:r>
      <w:r>
        <w:rPr>
          <w:rFonts w:hint="eastAsia" w:ascii="仿宋" w:hAnsi="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cs="仿宋"/>
          <w:color w:val="auto"/>
          <w:highlight w:val="none"/>
        </w:rPr>
        <w:t>）</w:t>
      </w:r>
    </w:p>
    <w:p w14:paraId="123CF503">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u w:val="single"/>
        </w:rPr>
        <w:t>（投标人名称）</w:t>
      </w:r>
      <w:r>
        <w:rPr>
          <w:rFonts w:hint="eastAsia" w:ascii="仿宋" w:hAnsi="仿宋" w:cs="仿宋"/>
          <w:color w:val="auto"/>
          <w:kern w:val="0"/>
          <w:highlight w:val="none"/>
          <w:lang w:val="zh-CN"/>
        </w:rPr>
        <w:t>若成为</w:t>
      </w:r>
      <w:r>
        <w:rPr>
          <w:rFonts w:hint="eastAsia" w:ascii="仿宋" w:hAnsi="仿宋" w:cs="仿宋"/>
          <w:color w:val="auto"/>
          <w:highlight w:val="none"/>
        </w:rPr>
        <w:t>（项目名称）【招标编号：】</w:t>
      </w:r>
      <w:r>
        <w:rPr>
          <w:rFonts w:hint="eastAsia" w:ascii="仿宋" w:hAnsi="仿宋" w:cs="仿宋"/>
          <w:color w:val="auto"/>
          <w:kern w:val="0"/>
          <w:highlight w:val="none"/>
          <w:lang w:val="zh-CN"/>
        </w:rPr>
        <w:t>的中标供应商，将依法采取分包方式履行合同。</w:t>
      </w:r>
      <w:r>
        <w:rPr>
          <w:rFonts w:hint="eastAsia" w:ascii="仿宋" w:hAnsi="仿宋" w:cs="仿宋"/>
          <w:color w:val="auto"/>
          <w:kern w:val="0"/>
          <w:highlight w:val="none"/>
          <w:u w:val="single"/>
        </w:rPr>
        <w:t>（投标人名称）</w:t>
      </w:r>
      <w:r>
        <w:rPr>
          <w:rFonts w:hint="eastAsia" w:ascii="仿宋" w:hAnsi="仿宋" w:cs="仿宋"/>
          <w:color w:val="auto"/>
          <w:kern w:val="0"/>
          <w:highlight w:val="none"/>
        </w:rPr>
        <w:t>与</w:t>
      </w:r>
      <w:r>
        <w:rPr>
          <w:rFonts w:hint="eastAsia" w:ascii="仿宋" w:hAnsi="仿宋" w:cs="仿宋"/>
          <w:color w:val="auto"/>
          <w:kern w:val="0"/>
          <w:highlight w:val="none"/>
          <w:u w:val="single"/>
        </w:rPr>
        <w:t>（所有分包供应商名称）</w:t>
      </w:r>
      <w:r>
        <w:rPr>
          <w:rFonts w:hint="eastAsia" w:ascii="仿宋" w:hAnsi="仿宋" w:cs="仿宋"/>
          <w:color w:val="auto"/>
          <w:kern w:val="0"/>
          <w:highlight w:val="none"/>
        </w:rPr>
        <w:t>达成分包意向协议</w:t>
      </w:r>
      <w:r>
        <w:rPr>
          <w:rFonts w:hint="eastAsia" w:ascii="仿宋" w:hAnsi="仿宋" w:cs="仿宋"/>
          <w:color w:val="auto"/>
          <w:kern w:val="0"/>
          <w:highlight w:val="none"/>
          <w:lang w:val="zh-CN"/>
        </w:rPr>
        <w:t xml:space="preserve">。 </w:t>
      </w:r>
    </w:p>
    <w:p w14:paraId="0F07566B">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一、分包标的及数量</w:t>
      </w:r>
    </w:p>
    <w:p w14:paraId="18AE4894">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u w:val="single"/>
        </w:rPr>
        <w:t>（投标人名称）</w:t>
      </w:r>
      <w:r>
        <w:rPr>
          <w:rFonts w:hint="eastAsia" w:ascii="仿宋" w:hAnsi="仿宋" w:cs="仿宋"/>
          <w:color w:val="auto"/>
          <w:kern w:val="0"/>
          <w:highlight w:val="none"/>
          <w:lang w:val="zh-CN"/>
        </w:rPr>
        <w:t>将</w:t>
      </w:r>
      <w:r>
        <w:rPr>
          <w:rFonts w:hint="eastAsia" w:ascii="仿宋" w:hAnsi="仿宋" w:cs="仿宋"/>
          <w:color w:val="auto"/>
          <w:kern w:val="0"/>
          <w:highlight w:val="none"/>
          <w:u w:val="single"/>
        </w:rPr>
        <w:t xml:space="preserve">  XX工作内容   </w:t>
      </w:r>
      <w:r>
        <w:rPr>
          <w:rFonts w:hint="eastAsia" w:ascii="仿宋" w:hAnsi="仿宋" w:cs="仿宋"/>
          <w:color w:val="auto"/>
          <w:highlight w:val="none"/>
        </w:rPr>
        <w:t>分包给</w:t>
      </w:r>
      <w:r>
        <w:rPr>
          <w:rFonts w:hint="eastAsia" w:ascii="仿宋" w:hAnsi="仿宋" w:cs="仿宋"/>
          <w:color w:val="auto"/>
          <w:kern w:val="0"/>
          <w:highlight w:val="none"/>
          <w:u w:val="single"/>
        </w:rPr>
        <w:t>（分包供应商1名称）</w:t>
      </w:r>
      <w:r>
        <w:rPr>
          <w:rFonts w:hint="eastAsia" w:ascii="仿宋" w:hAnsi="仿宋" w:cs="仿宋"/>
          <w:color w:val="auto"/>
          <w:kern w:val="0"/>
          <w:highlight w:val="none"/>
          <w:lang w:val="zh-CN"/>
        </w:rPr>
        <w:t>，</w:t>
      </w:r>
      <w:r>
        <w:rPr>
          <w:rFonts w:hint="eastAsia" w:ascii="仿宋" w:hAnsi="仿宋" w:cs="仿宋"/>
          <w:color w:val="auto"/>
          <w:kern w:val="0"/>
          <w:highlight w:val="none"/>
          <w:u w:val="single"/>
        </w:rPr>
        <w:t>（分包供应商1名称），</w:t>
      </w:r>
      <w:r>
        <w:rPr>
          <w:rFonts w:hint="eastAsia" w:ascii="仿宋" w:hAnsi="仿宋" w:cs="仿宋"/>
          <w:color w:val="auto"/>
          <w:kern w:val="0"/>
          <w:highlight w:val="none"/>
          <w:lang w:val="zh-CN"/>
        </w:rPr>
        <w:t>具备承</w:t>
      </w:r>
      <w:r>
        <w:rPr>
          <w:rFonts w:hint="eastAsia" w:ascii="仿宋" w:hAnsi="仿宋" w:cs="仿宋"/>
          <w:color w:val="auto"/>
          <w:kern w:val="0"/>
          <w:highlight w:val="none"/>
        </w:rPr>
        <w:t>担</w:t>
      </w:r>
      <w:r>
        <w:rPr>
          <w:rFonts w:hint="eastAsia" w:ascii="仿宋" w:hAnsi="仿宋" w:cs="仿宋"/>
          <w:color w:val="auto"/>
          <w:kern w:val="0"/>
          <w:highlight w:val="none"/>
          <w:u w:val="single"/>
          <w:lang w:val="zh-CN"/>
        </w:rPr>
        <w:t>XX工作内容</w:t>
      </w:r>
      <w:r>
        <w:rPr>
          <w:rFonts w:hint="eastAsia" w:ascii="仿宋" w:hAnsi="仿宋" w:cs="仿宋"/>
          <w:color w:val="auto"/>
          <w:kern w:val="0"/>
          <w:highlight w:val="none"/>
          <w:lang w:val="zh-CN"/>
        </w:rPr>
        <w:t>相应资质条件且不得再次分包；</w:t>
      </w:r>
    </w:p>
    <w:p w14:paraId="1E163A04">
      <w:pPr>
        <w:rPr>
          <w:rFonts w:hint="eastAsia" w:ascii="仿宋" w:hAnsi="仿宋" w:cs="仿宋"/>
          <w:color w:val="auto"/>
          <w:highlight w:val="none"/>
        </w:rPr>
      </w:pPr>
      <w:r>
        <w:rPr>
          <w:rFonts w:hint="eastAsia" w:ascii="仿宋" w:hAnsi="仿宋" w:cs="仿宋"/>
          <w:color w:val="auto"/>
          <w:highlight w:val="none"/>
        </w:rPr>
        <w:t>……</w:t>
      </w:r>
    </w:p>
    <w:p w14:paraId="585BDEC8">
      <w:pPr>
        <w:spacing w:line="360" w:lineRule="auto"/>
        <w:ind w:firstLine="576"/>
        <w:rPr>
          <w:rFonts w:hint="eastAsia" w:ascii="仿宋" w:hAnsi="仿宋" w:cs="仿宋"/>
          <w:color w:val="auto"/>
          <w:kern w:val="0"/>
          <w:highlight w:val="none"/>
          <w:lang w:val="zh-CN"/>
        </w:rPr>
      </w:pPr>
      <w:r>
        <w:rPr>
          <w:rFonts w:hint="eastAsia" w:ascii="仿宋" w:hAnsi="仿宋" w:cs="仿宋"/>
          <w:color w:val="auto"/>
          <w:kern w:val="0"/>
          <w:highlight w:val="none"/>
          <w:lang w:val="zh-CN"/>
        </w:rPr>
        <w:t>二、分包供应商中小企业合同份额</w:t>
      </w:r>
    </w:p>
    <w:p w14:paraId="02F0B70F">
      <w:pPr>
        <w:spacing w:line="360" w:lineRule="auto"/>
        <w:ind w:firstLine="576"/>
        <w:rPr>
          <w:rFonts w:hint="eastAsia" w:ascii="仿宋" w:hAnsi="仿宋" w:cs="仿宋"/>
          <w:b/>
          <w:color w:val="auto"/>
          <w:kern w:val="0"/>
          <w:highlight w:val="none"/>
          <w:lang w:val="zh-CN"/>
        </w:rPr>
      </w:pPr>
      <w:r>
        <w:rPr>
          <w:rFonts w:hint="eastAsia" w:ascii="仿宋" w:hAnsi="仿宋" w:cs="仿宋"/>
          <w:color w:val="auto"/>
          <w:kern w:val="0"/>
          <w:highlight w:val="none"/>
        </w:rPr>
        <w:t>1、</w:t>
      </w:r>
      <w:r>
        <w:rPr>
          <w:rFonts w:hint="eastAsia" w:ascii="仿宋" w:hAnsi="仿宋" w:cs="仿宋"/>
          <w:color w:val="auto"/>
          <w:kern w:val="0"/>
          <w:highlight w:val="none"/>
          <w:u w:val="single"/>
        </w:rPr>
        <w:t>（分包供应商X,……）提供的服务全部由小微企业承接，</w:t>
      </w:r>
      <w:r>
        <w:rPr>
          <w:rFonts w:hint="eastAsia" w:ascii="仿宋" w:hAnsi="仿宋" w:cs="仿宋"/>
          <w:color w:val="auto"/>
          <w:kern w:val="0"/>
          <w:highlight w:val="none"/>
        </w:rPr>
        <w:t>其合同份额占到合同总金额__%以上</w:t>
      </w:r>
      <w:r>
        <w:rPr>
          <w:rFonts w:hint="eastAsia" w:ascii="仿宋" w:hAnsi="仿宋" w:cs="仿宋"/>
          <w:color w:val="auto"/>
          <w:highlight w:val="none"/>
        </w:rPr>
        <w:t>。</w:t>
      </w:r>
      <w:r>
        <w:rPr>
          <w:rFonts w:hint="eastAsia" w:ascii="仿宋" w:hAnsi="仿宋" w:cs="仿宋"/>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color w:val="auto"/>
          <w:highlight w:val="none"/>
        </w:rPr>
        <w:t>拟享受以上价格扣除政策的，填写有关内容。</w:t>
      </w:r>
      <w:r>
        <w:rPr>
          <w:rFonts w:hint="eastAsia" w:ascii="仿宋" w:hAnsi="仿宋" w:cs="仿宋"/>
          <w:b/>
          <w:color w:val="auto"/>
          <w:kern w:val="0"/>
          <w:highlight w:val="none"/>
          <w:lang w:val="zh-CN"/>
        </w:rPr>
        <w:t>）</w:t>
      </w:r>
    </w:p>
    <w:p w14:paraId="3579B8BA">
      <w:pPr>
        <w:spacing w:line="360" w:lineRule="auto"/>
        <w:ind w:firstLine="480" w:firstLineChars="200"/>
        <w:rPr>
          <w:rFonts w:hint="eastAsia" w:ascii="仿宋" w:hAnsi="仿宋" w:cs="仿宋"/>
          <w:b/>
          <w:bCs/>
          <w:color w:val="auto"/>
          <w:kern w:val="0"/>
          <w:highlight w:val="none"/>
          <w:lang w:val="zh-CN"/>
        </w:rPr>
      </w:pPr>
      <w:r>
        <w:rPr>
          <w:rFonts w:hint="eastAsia" w:ascii="仿宋" w:hAnsi="仿宋" w:cs="仿宋"/>
          <w:color w:val="auto"/>
          <w:highlight w:val="none"/>
        </w:rPr>
        <w:t>2、</w:t>
      </w:r>
      <w:bookmarkStart w:id="624" w:name="_Hlk101133173"/>
      <w:r>
        <w:rPr>
          <w:rFonts w:hint="eastAsia" w:ascii="仿宋" w:hAnsi="仿宋" w:cs="仿宋"/>
          <w:color w:val="auto"/>
          <w:highlight w:val="none"/>
        </w:rPr>
        <w:t>中小企业合同金额达到__%，小微企业合同金额达到__%</w:t>
      </w:r>
      <w:r>
        <w:rPr>
          <w:rFonts w:hint="eastAsia" w:ascii="仿宋" w:hAnsi="仿宋" w:cs="仿宋"/>
          <w:color w:val="auto"/>
          <w:kern w:val="0"/>
          <w:highlight w:val="none"/>
          <w:lang w:val="zh-CN"/>
        </w:rPr>
        <w:t>。</w:t>
      </w:r>
      <w:r>
        <w:rPr>
          <w:rFonts w:hint="eastAsia" w:ascii="仿宋" w:hAnsi="仿宋" w:cs="仿宋"/>
          <w:b/>
          <w:bCs/>
          <w:color w:val="auto"/>
          <w:kern w:val="0"/>
          <w:highlight w:val="none"/>
          <w:lang w:val="zh-CN"/>
        </w:rPr>
        <w:t>（</w:t>
      </w:r>
      <w:r>
        <w:rPr>
          <w:rFonts w:hint="eastAsia" w:ascii="仿宋" w:hAnsi="仿宋" w:cs="仿宋"/>
          <w:b/>
          <w:bCs/>
          <w:color w:val="auto"/>
          <w:highlight w:val="none"/>
        </w:rPr>
        <w:t>要求合同分包形式参加的项目或采购包，供应商按招标文件第一部分招标公告申请人的资格要求中规定的</w:t>
      </w:r>
      <w:r>
        <w:rPr>
          <w:rFonts w:hint="eastAsia" w:ascii="仿宋" w:hAnsi="仿宋" w:cs="仿宋"/>
          <w:b/>
          <w:color w:val="auto"/>
          <w:kern w:val="0"/>
          <w:highlight w:val="none"/>
          <w:lang w:val="zh-CN"/>
        </w:rPr>
        <w:t>分包意向协议</w:t>
      </w:r>
      <w:r>
        <w:rPr>
          <w:rFonts w:hint="eastAsia" w:ascii="仿宋" w:hAnsi="仿宋" w:cs="仿宋"/>
          <w:b/>
          <w:bCs/>
          <w:color w:val="auto"/>
          <w:highlight w:val="none"/>
        </w:rPr>
        <w:t>中中小企业、小微企业合同金额应当达到的比例要求填写。</w:t>
      </w:r>
      <w:r>
        <w:rPr>
          <w:rFonts w:hint="eastAsia" w:ascii="仿宋" w:hAnsi="仿宋" w:cs="仿宋"/>
          <w:b/>
          <w:bCs/>
          <w:color w:val="auto"/>
          <w:kern w:val="0"/>
          <w:highlight w:val="none"/>
          <w:lang w:val="zh-CN"/>
        </w:rPr>
        <w:t>）</w:t>
      </w:r>
      <w:bookmarkEnd w:id="624"/>
    </w:p>
    <w:p w14:paraId="7A2479A4">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三、分包工作履行期限、地点、方式</w:t>
      </w:r>
    </w:p>
    <w:p w14:paraId="4E5FD48A">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四、质量</w:t>
      </w:r>
    </w:p>
    <w:p w14:paraId="30E279D4">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五、价款或者报酬</w:t>
      </w:r>
    </w:p>
    <w:p w14:paraId="0B3680D0">
      <w:pPr>
        <w:spacing w:line="360" w:lineRule="auto"/>
        <w:ind w:left="0" w:leftChars="0"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六、违约责任</w:t>
      </w:r>
    </w:p>
    <w:p w14:paraId="340A53F5">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七、争议解决的办法</w:t>
      </w:r>
    </w:p>
    <w:p w14:paraId="028188A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EBDD596">
      <w:pPr>
        <w:pStyle w:val="79"/>
        <w:spacing w:line="360" w:lineRule="auto"/>
        <w:ind w:left="5861" w:leftChars="342" w:hanging="5040" w:hangingChars="2100"/>
        <w:rPr>
          <w:rFonts w:hint="eastAsia" w:ascii="仿宋" w:hAnsi="仿宋" w:cs="仿宋"/>
          <w:color w:val="auto"/>
          <w:kern w:val="0"/>
          <w:highlight w:val="none"/>
          <w:lang w:val="zh-CN"/>
        </w:rPr>
      </w:pPr>
      <w:r>
        <w:rPr>
          <w:rFonts w:hint="eastAsia" w:ascii="仿宋" w:hAnsi="仿宋" w:eastAsia="仿宋" w:cs="仿宋"/>
          <w:color w:val="auto"/>
          <w:sz w:val="24"/>
          <w:szCs w:val="24"/>
          <w:highlight w:val="none"/>
          <w:lang w:val="zh-CN"/>
        </w:rPr>
        <w:t>中小企业合同金额达到</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lang w:val="zh-CN"/>
        </w:rPr>
        <w:t>%，小微企业合同金额达到</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lang w:val="zh-CN"/>
        </w:rPr>
        <w:t xml:space="preserve">  。</w:t>
      </w:r>
      <w:r>
        <w:rPr>
          <w:rFonts w:hint="eastAsia" w:ascii="仿宋" w:hAnsi="仿宋" w:cs="仿宋"/>
          <w:color w:val="auto"/>
          <w:kern w:val="0"/>
          <w:highlight w:val="none"/>
          <w:lang w:val="zh-CN"/>
        </w:rPr>
        <w:t xml:space="preserve">                             </w:t>
      </w:r>
    </w:p>
    <w:p w14:paraId="4BB29FAF">
      <w:pPr>
        <w:spacing w:line="360" w:lineRule="auto"/>
        <w:ind w:left="5861" w:leftChars="342" w:hanging="5040" w:hangingChars="2100"/>
        <w:jc w:val="right"/>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投标人名称(电子签名)：</w:t>
      </w:r>
    </w:p>
    <w:p w14:paraId="05B78583">
      <w:pPr>
        <w:spacing w:line="360" w:lineRule="auto"/>
        <w:jc w:val="right"/>
        <w:rPr>
          <w:rFonts w:hint="eastAsia" w:ascii="仿宋" w:hAnsi="仿宋" w:cs="仿宋"/>
          <w:color w:val="auto"/>
          <w:kern w:val="0"/>
          <w:highlight w:val="none"/>
          <w:lang w:val="zh-CN"/>
        </w:rPr>
      </w:pPr>
      <w:r>
        <w:rPr>
          <w:rFonts w:hint="eastAsia" w:ascii="仿宋" w:hAnsi="仿宋" w:cs="仿宋"/>
          <w:color w:val="auto"/>
          <w:kern w:val="0"/>
          <w:highlight w:val="none"/>
          <w:lang w:val="zh-CN"/>
        </w:rPr>
        <w:t>分包供应商名称(电子签名/公章)：</w:t>
      </w:r>
    </w:p>
    <w:p w14:paraId="2724B604">
      <w:pPr>
        <w:spacing w:line="360" w:lineRule="auto"/>
        <w:ind w:firstLine="5760" w:firstLineChars="2400"/>
        <w:rPr>
          <w:rFonts w:hint="eastAsia" w:ascii="仿宋" w:hAnsi="仿宋" w:cs="仿宋"/>
          <w:color w:val="auto"/>
          <w:highlight w:val="none"/>
        </w:rPr>
      </w:pPr>
      <w:r>
        <w:rPr>
          <w:rFonts w:hint="eastAsia" w:ascii="仿宋" w:hAnsi="仿宋" w:cs="仿宋"/>
          <w:color w:val="auto"/>
          <w:kern w:val="0"/>
          <w:highlight w:val="none"/>
          <w:lang w:val="zh-CN"/>
        </w:rPr>
        <w:t>……</w:t>
      </w:r>
    </w:p>
    <w:p w14:paraId="49BCFDB7">
      <w:pPr>
        <w:spacing w:line="360" w:lineRule="auto"/>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日期：  年  月   日</w:t>
      </w:r>
    </w:p>
    <w:p w14:paraId="48825719">
      <w:pPr>
        <w:rPr>
          <w:rFonts w:hint="eastAsia" w:ascii="仿宋" w:hAnsi="仿宋" w:cs="仿宋"/>
          <w:b/>
          <w:color w:val="auto"/>
          <w:spacing w:val="6"/>
          <w:sz w:val="32"/>
          <w:szCs w:val="32"/>
          <w:highlight w:val="none"/>
        </w:rPr>
      </w:pPr>
      <w:r>
        <w:rPr>
          <w:rFonts w:hint="eastAsia" w:ascii="仿宋" w:hAnsi="仿宋" w:cs="仿宋"/>
          <w:color w:val="auto"/>
          <w:highlight w:val="none"/>
        </w:rPr>
        <w:t>注：按本格式和要求提供。</w:t>
      </w:r>
      <w:r>
        <w:rPr>
          <w:rFonts w:hint="eastAsia" w:ascii="仿宋" w:hAnsi="仿宋" w:cs="仿宋"/>
          <w:b/>
          <w:color w:val="auto"/>
          <w:spacing w:val="6"/>
          <w:sz w:val="32"/>
          <w:szCs w:val="32"/>
          <w:highlight w:val="none"/>
        </w:rPr>
        <w:br w:type="page"/>
      </w:r>
    </w:p>
    <w:p w14:paraId="1F402EE9">
      <w:pPr>
        <w:spacing w:line="360" w:lineRule="auto"/>
        <w:jc w:val="center"/>
        <w:outlineLvl w:val="2"/>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附件7：中小企业声明函</w:t>
      </w:r>
    </w:p>
    <w:p w14:paraId="49B0A069">
      <w:pPr>
        <w:pStyle w:val="79"/>
        <w:rPr>
          <w:rFonts w:hint="eastAsia"/>
          <w:color w:val="auto"/>
          <w:highlight w:val="none"/>
        </w:rPr>
      </w:pPr>
    </w:p>
    <w:p w14:paraId="3AC2E2E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C85A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63971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9A20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9B721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3BDA7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3CDB1B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98B56E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8657D22">
      <w:pPr>
        <w:ind w:right="30" w:firstLine="480" w:firstLineChars="200"/>
        <w:jc w:val="both"/>
        <w:rPr>
          <w:color w:val="auto"/>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9FDB115">
      <w:pPr>
        <w:rPr>
          <w:color w:val="auto"/>
          <w:highlight w:val="none"/>
        </w:rPr>
      </w:pPr>
    </w:p>
    <w:sectPr>
      <w:footerReference r:id="rId15" w:type="first"/>
      <w:footerReference r:id="rId14"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8916">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1DEEA">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8E1DEEA">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A635">
    <w:pPr>
      <w:pStyle w:val="41"/>
      <w:framePr w:wrap="around" w:vAnchor="text" w:hAnchor="margin" w:xAlign="right" w:y="1"/>
      <w:rPr>
        <w:rStyle w:val="72"/>
      </w:rPr>
    </w:pPr>
    <w:r>
      <w:fldChar w:fldCharType="begin"/>
    </w:r>
    <w:r>
      <w:rPr>
        <w:rStyle w:val="72"/>
      </w:rPr>
      <w:instrText xml:space="preserve">PAGE  </w:instrText>
    </w:r>
    <w:r>
      <w:fldChar w:fldCharType="end"/>
    </w:r>
  </w:p>
  <w:p w14:paraId="5826F18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5712">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5960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E5960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504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5718B">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135718B">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1987">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1C205">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821C205">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77BE">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7BA3">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7BFB7BA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C880">
    <w:pPr>
      <w:pStyle w:val="41"/>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864F7">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F864F7">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AF85">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1A883">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9C1A883">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18CF">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A032">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C736">
    <w:pPr>
      <w:pStyle w:val="42"/>
      <w:pBdr>
        <w:bottom w:val="none" w:color="auto" w:sz="0" w:space="1"/>
      </w:pBdr>
      <w:tabs>
        <w:tab w:val="left" w:pos="699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433B800"/>
    <w:multiLevelType w:val="singleLevel"/>
    <w:tmpl w:val="E433B800"/>
    <w:lvl w:ilvl="0" w:tentative="0">
      <w:start w:val="2"/>
      <w:numFmt w:val="chineseCounting"/>
      <w:suff w:val="nothing"/>
      <w:lvlText w:val="%1、"/>
      <w:lvlJc w:val="left"/>
      <w:rPr>
        <w:rFonts w:hint="eastAsia"/>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A5E7F1C"/>
    <w:multiLevelType w:val="singleLevel"/>
    <w:tmpl w:val="0A5E7F1C"/>
    <w:lvl w:ilvl="0" w:tentative="0">
      <w:start w:val="5"/>
      <w:numFmt w:val="decimal"/>
      <w:suff w:val="nothing"/>
      <w:lvlText w:val="%1、"/>
      <w:lvlJc w:val="left"/>
    </w:lvl>
  </w:abstractNum>
  <w:abstractNum w:abstractNumId="8">
    <w:nsid w:val="2706A80D"/>
    <w:multiLevelType w:val="singleLevel"/>
    <w:tmpl w:val="2706A80D"/>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794C054"/>
    <w:multiLevelType w:val="singleLevel"/>
    <w:tmpl w:val="5794C054"/>
    <w:lvl w:ilvl="0" w:tentative="0">
      <w:start w:val="2"/>
      <w:numFmt w:val="chineseCounting"/>
      <w:suff w:val="nothing"/>
      <w:lvlText w:val="%1、"/>
      <w:lvlJc w:val="left"/>
    </w:lvl>
  </w:abstractNum>
  <w:abstractNum w:abstractNumId="12">
    <w:nsid w:val="5859BC0B"/>
    <w:multiLevelType w:val="singleLevel"/>
    <w:tmpl w:val="5859BC0B"/>
    <w:lvl w:ilvl="0" w:tentative="0">
      <w:start w:val="4"/>
      <w:numFmt w:val="decimal"/>
      <w:lvlText w:val="%1."/>
      <w:lvlJc w:val="left"/>
      <w:pPr>
        <w:tabs>
          <w:tab w:val="left" w:pos="312"/>
        </w:tabs>
      </w:pPr>
    </w:lvl>
  </w:abstractNum>
  <w:abstractNum w:abstractNumId="13">
    <w:nsid w:val="585A364D"/>
    <w:multiLevelType w:val="singleLevel"/>
    <w:tmpl w:val="585A364D"/>
    <w:lvl w:ilvl="0" w:tentative="0">
      <w:start w:val="1"/>
      <w:numFmt w:val="decimal"/>
      <w:suff w:val="nothing"/>
      <w:lvlText w:val="%1、"/>
      <w:lvlJc w:val="left"/>
    </w:lvl>
  </w:abstractNum>
  <w:abstractNum w:abstractNumId="14">
    <w:nsid w:val="63617FC0"/>
    <w:multiLevelType w:val="singleLevel"/>
    <w:tmpl w:val="63617FC0"/>
    <w:lvl w:ilvl="0" w:tentative="0">
      <w:start w:val="1"/>
      <w:numFmt w:val="decimal"/>
      <w:lvlText w:val="(%1)"/>
      <w:lvlJc w:val="left"/>
      <w:pPr>
        <w:ind w:left="425" w:hanging="425"/>
      </w:pPr>
      <w:rPr>
        <w:rFonts w:hint="default"/>
      </w:rPr>
    </w:lvl>
  </w:abstractNum>
  <w:abstractNum w:abstractNumId="15">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7FE13FB3"/>
    <w:multiLevelType w:val="multilevel"/>
    <w:tmpl w:val="7FE13FB3"/>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2"/>
  </w:num>
  <w:num w:numId="2">
    <w:abstractNumId w:val="1"/>
  </w:num>
  <w:num w:numId="3">
    <w:abstractNumId w:val="2"/>
  </w:num>
  <w:num w:numId="4">
    <w:abstractNumId w:val="9"/>
  </w:num>
  <w:num w:numId="5">
    <w:abstractNumId w:val="4"/>
  </w:num>
  <w:num w:numId="6">
    <w:abstractNumId w:val="11"/>
  </w:num>
  <w:num w:numId="7">
    <w:abstractNumId w:val="16"/>
  </w:num>
  <w:num w:numId="8">
    <w:abstractNumId w:val="0"/>
  </w:num>
  <w:num w:numId="9">
    <w:abstractNumId w:val="15"/>
  </w:num>
  <w:num w:numId="10">
    <w:abstractNumId w:val="5"/>
  </w:num>
  <w:num w:numId="11">
    <w:abstractNumId w:val="6"/>
  </w:num>
  <w:num w:numId="12">
    <w:abstractNumId w:val="14"/>
  </w:num>
  <w:num w:numId="13">
    <w:abstractNumId w:val="13"/>
  </w:num>
  <w:num w:numId="14">
    <w:abstractNumId w:val="10"/>
  </w:num>
  <w:num w:numId="15">
    <w:abstractNumId w:val="7"/>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DliMjA1NWNkNTlkYjNlMTUwZGUwOGM4MDY3Nm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0073"/>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043"/>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E"/>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5EE"/>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597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A1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4EEC"/>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106"/>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AB2"/>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0B6"/>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44D"/>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13A"/>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13D6B"/>
    <w:rsid w:val="0112363F"/>
    <w:rsid w:val="011B6997"/>
    <w:rsid w:val="011E3D92"/>
    <w:rsid w:val="011F6449"/>
    <w:rsid w:val="01213882"/>
    <w:rsid w:val="01236AFB"/>
    <w:rsid w:val="012670EA"/>
    <w:rsid w:val="012B4701"/>
    <w:rsid w:val="01317F69"/>
    <w:rsid w:val="01341807"/>
    <w:rsid w:val="01374E54"/>
    <w:rsid w:val="013B1B11"/>
    <w:rsid w:val="013E54DE"/>
    <w:rsid w:val="014A102B"/>
    <w:rsid w:val="01505F15"/>
    <w:rsid w:val="01545A05"/>
    <w:rsid w:val="015974C0"/>
    <w:rsid w:val="015D0D5E"/>
    <w:rsid w:val="015E4AD6"/>
    <w:rsid w:val="016025FC"/>
    <w:rsid w:val="01655E65"/>
    <w:rsid w:val="016D4C76"/>
    <w:rsid w:val="01714809"/>
    <w:rsid w:val="01730582"/>
    <w:rsid w:val="017F087E"/>
    <w:rsid w:val="0186472A"/>
    <w:rsid w:val="0192652E"/>
    <w:rsid w:val="019404F8"/>
    <w:rsid w:val="0194674A"/>
    <w:rsid w:val="01977119"/>
    <w:rsid w:val="019F7441"/>
    <w:rsid w:val="01A7647D"/>
    <w:rsid w:val="01AC75F0"/>
    <w:rsid w:val="01B36BD0"/>
    <w:rsid w:val="01B37585"/>
    <w:rsid w:val="01BD35AB"/>
    <w:rsid w:val="01BF37C7"/>
    <w:rsid w:val="01C67587"/>
    <w:rsid w:val="01C7267B"/>
    <w:rsid w:val="01CE57B8"/>
    <w:rsid w:val="01CF32DE"/>
    <w:rsid w:val="01D34B7C"/>
    <w:rsid w:val="01D55165"/>
    <w:rsid w:val="01DA20AA"/>
    <w:rsid w:val="01DB1C83"/>
    <w:rsid w:val="01DE1773"/>
    <w:rsid w:val="01DF6BF8"/>
    <w:rsid w:val="01DF79C5"/>
    <w:rsid w:val="01E23011"/>
    <w:rsid w:val="01E74ACC"/>
    <w:rsid w:val="01E90844"/>
    <w:rsid w:val="01EC2C57"/>
    <w:rsid w:val="01F33470"/>
    <w:rsid w:val="01F3521E"/>
    <w:rsid w:val="01F66ABD"/>
    <w:rsid w:val="01F82835"/>
    <w:rsid w:val="01FA47FF"/>
    <w:rsid w:val="01FA65AD"/>
    <w:rsid w:val="020A2568"/>
    <w:rsid w:val="02225B04"/>
    <w:rsid w:val="022573A2"/>
    <w:rsid w:val="02274EC8"/>
    <w:rsid w:val="02296E92"/>
    <w:rsid w:val="0233386D"/>
    <w:rsid w:val="02372857"/>
    <w:rsid w:val="023B0973"/>
    <w:rsid w:val="023F0464"/>
    <w:rsid w:val="024261A6"/>
    <w:rsid w:val="024E37FE"/>
    <w:rsid w:val="025F4662"/>
    <w:rsid w:val="0261662C"/>
    <w:rsid w:val="02641C78"/>
    <w:rsid w:val="02671768"/>
    <w:rsid w:val="026954E1"/>
    <w:rsid w:val="026B1259"/>
    <w:rsid w:val="026B2E25"/>
    <w:rsid w:val="02702D13"/>
    <w:rsid w:val="0270686F"/>
    <w:rsid w:val="02752FD4"/>
    <w:rsid w:val="02753E85"/>
    <w:rsid w:val="0281282A"/>
    <w:rsid w:val="02824D4D"/>
    <w:rsid w:val="029307AF"/>
    <w:rsid w:val="02963DFC"/>
    <w:rsid w:val="02987B74"/>
    <w:rsid w:val="02A458A4"/>
    <w:rsid w:val="02A604E3"/>
    <w:rsid w:val="02A76009"/>
    <w:rsid w:val="02A824AD"/>
    <w:rsid w:val="02AB78A7"/>
    <w:rsid w:val="02AF383B"/>
    <w:rsid w:val="02B01361"/>
    <w:rsid w:val="02B06E10"/>
    <w:rsid w:val="02B81FC4"/>
    <w:rsid w:val="02BC7D06"/>
    <w:rsid w:val="02BF3353"/>
    <w:rsid w:val="02CE17E8"/>
    <w:rsid w:val="02D768EE"/>
    <w:rsid w:val="02D92666"/>
    <w:rsid w:val="02DC4B10"/>
    <w:rsid w:val="02DC50F8"/>
    <w:rsid w:val="02DD76CE"/>
    <w:rsid w:val="02DE07C3"/>
    <w:rsid w:val="02E1151B"/>
    <w:rsid w:val="02E1776D"/>
    <w:rsid w:val="02E20138"/>
    <w:rsid w:val="02E92B06"/>
    <w:rsid w:val="02F32FFC"/>
    <w:rsid w:val="02F36323"/>
    <w:rsid w:val="02F5619C"/>
    <w:rsid w:val="02F72AEC"/>
    <w:rsid w:val="02F96864"/>
    <w:rsid w:val="02FA1C79"/>
    <w:rsid w:val="02FA438B"/>
    <w:rsid w:val="02FC6355"/>
    <w:rsid w:val="02FE031F"/>
    <w:rsid w:val="02FE3E7B"/>
    <w:rsid w:val="02FF5E45"/>
    <w:rsid w:val="03035935"/>
    <w:rsid w:val="03065668"/>
    <w:rsid w:val="03067533"/>
    <w:rsid w:val="03092820"/>
    <w:rsid w:val="030A0A72"/>
    <w:rsid w:val="03100052"/>
    <w:rsid w:val="0317318F"/>
    <w:rsid w:val="03195159"/>
    <w:rsid w:val="03196F07"/>
    <w:rsid w:val="031B2C7F"/>
    <w:rsid w:val="031C69F7"/>
    <w:rsid w:val="031E276F"/>
    <w:rsid w:val="03217B69"/>
    <w:rsid w:val="0326446A"/>
    <w:rsid w:val="032D5555"/>
    <w:rsid w:val="032F2286"/>
    <w:rsid w:val="033124A2"/>
    <w:rsid w:val="03323B24"/>
    <w:rsid w:val="03345AEF"/>
    <w:rsid w:val="033F7CB3"/>
    <w:rsid w:val="034321D6"/>
    <w:rsid w:val="034A3564"/>
    <w:rsid w:val="034D095E"/>
    <w:rsid w:val="034F2928"/>
    <w:rsid w:val="034F71B9"/>
    <w:rsid w:val="03547CE9"/>
    <w:rsid w:val="035717DD"/>
    <w:rsid w:val="035C5045"/>
    <w:rsid w:val="036634D2"/>
    <w:rsid w:val="03676684"/>
    <w:rsid w:val="036839EA"/>
    <w:rsid w:val="036A1510"/>
    <w:rsid w:val="036D7252"/>
    <w:rsid w:val="0374238F"/>
    <w:rsid w:val="037759DB"/>
    <w:rsid w:val="03791753"/>
    <w:rsid w:val="037B196F"/>
    <w:rsid w:val="037B371D"/>
    <w:rsid w:val="0381685A"/>
    <w:rsid w:val="03822CFE"/>
    <w:rsid w:val="03883540"/>
    <w:rsid w:val="03912F41"/>
    <w:rsid w:val="03A013D6"/>
    <w:rsid w:val="03A2514E"/>
    <w:rsid w:val="03AA5DB1"/>
    <w:rsid w:val="03AE3AF3"/>
    <w:rsid w:val="03B409DD"/>
    <w:rsid w:val="03C2759E"/>
    <w:rsid w:val="03CC06C2"/>
    <w:rsid w:val="03CC315E"/>
    <w:rsid w:val="03CC3F79"/>
    <w:rsid w:val="03CF3A69"/>
    <w:rsid w:val="03D41080"/>
    <w:rsid w:val="03DD35E4"/>
    <w:rsid w:val="03DD7F34"/>
    <w:rsid w:val="03F11C32"/>
    <w:rsid w:val="03F359AA"/>
    <w:rsid w:val="03F82FC0"/>
    <w:rsid w:val="03FF60FC"/>
    <w:rsid w:val="04041965"/>
    <w:rsid w:val="04076900"/>
    <w:rsid w:val="040A2CF3"/>
    <w:rsid w:val="04155920"/>
    <w:rsid w:val="041651F4"/>
    <w:rsid w:val="041871BE"/>
    <w:rsid w:val="041A5A3B"/>
    <w:rsid w:val="041B280B"/>
    <w:rsid w:val="041D6583"/>
    <w:rsid w:val="041F054D"/>
    <w:rsid w:val="04212517"/>
    <w:rsid w:val="042311BA"/>
    <w:rsid w:val="04233CA6"/>
    <w:rsid w:val="04245B63"/>
    <w:rsid w:val="042B157A"/>
    <w:rsid w:val="042C0EBC"/>
    <w:rsid w:val="042F4508"/>
    <w:rsid w:val="04357D70"/>
    <w:rsid w:val="04447FB3"/>
    <w:rsid w:val="04497378"/>
    <w:rsid w:val="045126D0"/>
    <w:rsid w:val="045521C0"/>
    <w:rsid w:val="045D2E23"/>
    <w:rsid w:val="04620439"/>
    <w:rsid w:val="04671EF4"/>
    <w:rsid w:val="046B3792"/>
    <w:rsid w:val="046B5540"/>
    <w:rsid w:val="04761F7C"/>
    <w:rsid w:val="04814D63"/>
    <w:rsid w:val="048900BC"/>
    <w:rsid w:val="04893C18"/>
    <w:rsid w:val="048B5043"/>
    <w:rsid w:val="048F763B"/>
    <w:rsid w:val="049525BD"/>
    <w:rsid w:val="049A7F93"/>
    <w:rsid w:val="049C7DEF"/>
    <w:rsid w:val="049D3B67"/>
    <w:rsid w:val="049F330E"/>
    <w:rsid w:val="04A44EF6"/>
    <w:rsid w:val="04A647CA"/>
    <w:rsid w:val="04A92EE3"/>
    <w:rsid w:val="04AA775C"/>
    <w:rsid w:val="04AC7907"/>
    <w:rsid w:val="04AF1889"/>
    <w:rsid w:val="04BD7D66"/>
    <w:rsid w:val="04BE5FB8"/>
    <w:rsid w:val="04BF588C"/>
    <w:rsid w:val="04C17856"/>
    <w:rsid w:val="04C3537C"/>
    <w:rsid w:val="04C82992"/>
    <w:rsid w:val="04CD7FA9"/>
    <w:rsid w:val="04D1736D"/>
    <w:rsid w:val="04DE21B6"/>
    <w:rsid w:val="04E11CA6"/>
    <w:rsid w:val="04E15802"/>
    <w:rsid w:val="04E452F2"/>
    <w:rsid w:val="04EF1BCF"/>
    <w:rsid w:val="04F217BD"/>
    <w:rsid w:val="04F25C61"/>
    <w:rsid w:val="04F30983"/>
    <w:rsid w:val="04F55751"/>
    <w:rsid w:val="04F66F48"/>
    <w:rsid w:val="04FD0162"/>
    <w:rsid w:val="050249C7"/>
    <w:rsid w:val="05055969"/>
    <w:rsid w:val="051200B1"/>
    <w:rsid w:val="051C2CDE"/>
    <w:rsid w:val="051E0804"/>
    <w:rsid w:val="051F632A"/>
    <w:rsid w:val="052439C6"/>
    <w:rsid w:val="05251E14"/>
    <w:rsid w:val="052877B3"/>
    <w:rsid w:val="052878D5"/>
    <w:rsid w:val="052B2F21"/>
    <w:rsid w:val="052D0A47"/>
    <w:rsid w:val="052E6005"/>
    <w:rsid w:val="05355B4E"/>
    <w:rsid w:val="053C0C8A"/>
    <w:rsid w:val="05401B5B"/>
    <w:rsid w:val="05410997"/>
    <w:rsid w:val="05432019"/>
    <w:rsid w:val="05452235"/>
    <w:rsid w:val="054A784B"/>
    <w:rsid w:val="054F4E62"/>
    <w:rsid w:val="05542478"/>
    <w:rsid w:val="05550F3F"/>
    <w:rsid w:val="05573D16"/>
    <w:rsid w:val="05595CE0"/>
    <w:rsid w:val="055A55B4"/>
    <w:rsid w:val="056106F1"/>
    <w:rsid w:val="056A1C9B"/>
    <w:rsid w:val="05723978"/>
    <w:rsid w:val="05760640"/>
    <w:rsid w:val="05776166"/>
    <w:rsid w:val="05786A20"/>
    <w:rsid w:val="0579128D"/>
    <w:rsid w:val="057F6DC9"/>
    <w:rsid w:val="0580326D"/>
    <w:rsid w:val="05834B0B"/>
    <w:rsid w:val="0586734B"/>
    <w:rsid w:val="058A7C48"/>
    <w:rsid w:val="05940AC6"/>
    <w:rsid w:val="059D4972"/>
    <w:rsid w:val="05A0746B"/>
    <w:rsid w:val="05A16594"/>
    <w:rsid w:val="05A36F5B"/>
    <w:rsid w:val="05A625A8"/>
    <w:rsid w:val="05A76A4C"/>
    <w:rsid w:val="05A7762D"/>
    <w:rsid w:val="05AB7BBE"/>
    <w:rsid w:val="05AC4062"/>
    <w:rsid w:val="05B13426"/>
    <w:rsid w:val="05B20F4D"/>
    <w:rsid w:val="05B747B5"/>
    <w:rsid w:val="05B9677F"/>
    <w:rsid w:val="05BA3AE9"/>
    <w:rsid w:val="05D15877"/>
    <w:rsid w:val="05D37841"/>
    <w:rsid w:val="05D435B9"/>
    <w:rsid w:val="05DB04A3"/>
    <w:rsid w:val="05E41A4E"/>
    <w:rsid w:val="05E530D0"/>
    <w:rsid w:val="05EC19EA"/>
    <w:rsid w:val="05EC26B0"/>
    <w:rsid w:val="06021ED4"/>
    <w:rsid w:val="060774EA"/>
    <w:rsid w:val="060C68AF"/>
    <w:rsid w:val="060D2627"/>
    <w:rsid w:val="060E0879"/>
    <w:rsid w:val="060E5941"/>
    <w:rsid w:val="06110369"/>
    <w:rsid w:val="06110FAF"/>
    <w:rsid w:val="06175254"/>
    <w:rsid w:val="06293905"/>
    <w:rsid w:val="062956B3"/>
    <w:rsid w:val="062C51A3"/>
    <w:rsid w:val="062F6A41"/>
    <w:rsid w:val="0633208D"/>
    <w:rsid w:val="0639166E"/>
    <w:rsid w:val="063F6C84"/>
    <w:rsid w:val="06420522"/>
    <w:rsid w:val="064217FF"/>
    <w:rsid w:val="06467818"/>
    <w:rsid w:val="06475B39"/>
    <w:rsid w:val="06493CA7"/>
    <w:rsid w:val="064A387B"/>
    <w:rsid w:val="064F2C3F"/>
    <w:rsid w:val="06530982"/>
    <w:rsid w:val="06565D7C"/>
    <w:rsid w:val="065A6178"/>
    <w:rsid w:val="06620BC5"/>
    <w:rsid w:val="06631CDC"/>
    <w:rsid w:val="06640499"/>
    <w:rsid w:val="066C1A43"/>
    <w:rsid w:val="066F1CF3"/>
    <w:rsid w:val="06712BB6"/>
    <w:rsid w:val="06714493"/>
    <w:rsid w:val="06764670"/>
    <w:rsid w:val="067A4160"/>
    <w:rsid w:val="06826B71"/>
    <w:rsid w:val="0687687D"/>
    <w:rsid w:val="068E3768"/>
    <w:rsid w:val="069114AA"/>
    <w:rsid w:val="06930BB8"/>
    <w:rsid w:val="06A0349B"/>
    <w:rsid w:val="06A20FC1"/>
    <w:rsid w:val="06A765D7"/>
    <w:rsid w:val="06AB431A"/>
    <w:rsid w:val="06B01930"/>
    <w:rsid w:val="06B07B82"/>
    <w:rsid w:val="06B74C51"/>
    <w:rsid w:val="06BA27AF"/>
    <w:rsid w:val="06BC02D5"/>
    <w:rsid w:val="06BE3405"/>
    <w:rsid w:val="06C07699"/>
    <w:rsid w:val="06C4362D"/>
    <w:rsid w:val="06C453DB"/>
    <w:rsid w:val="06C62F02"/>
    <w:rsid w:val="06CB676A"/>
    <w:rsid w:val="06D118A6"/>
    <w:rsid w:val="06D7510F"/>
    <w:rsid w:val="06DC0977"/>
    <w:rsid w:val="06E11AE9"/>
    <w:rsid w:val="06E65352"/>
    <w:rsid w:val="06E94E42"/>
    <w:rsid w:val="06F21F49"/>
    <w:rsid w:val="06F64817"/>
    <w:rsid w:val="06FA704F"/>
    <w:rsid w:val="06FC2DC7"/>
    <w:rsid w:val="06FD269B"/>
    <w:rsid w:val="07027CB2"/>
    <w:rsid w:val="07047ECE"/>
    <w:rsid w:val="0708351A"/>
    <w:rsid w:val="070B4DB8"/>
    <w:rsid w:val="070E2AFA"/>
    <w:rsid w:val="07100621"/>
    <w:rsid w:val="07133C6D"/>
    <w:rsid w:val="07177C01"/>
    <w:rsid w:val="072365A6"/>
    <w:rsid w:val="07245D42"/>
    <w:rsid w:val="07264C62"/>
    <w:rsid w:val="072E6CF9"/>
    <w:rsid w:val="07302A71"/>
    <w:rsid w:val="0730481F"/>
    <w:rsid w:val="07372051"/>
    <w:rsid w:val="074107DA"/>
    <w:rsid w:val="074402CA"/>
    <w:rsid w:val="074A3B33"/>
    <w:rsid w:val="075524D7"/>
    <w:rsid w:val="075B5D40"/>
    <w:rsid w:val="075F5104"/>
    <w:rsid w:val="07656115"/>
    <w:rsid w:val="076646E5"/>
    <w:rsid w:val="0769037B"/>
    <w:rsid w:val="07784709"/>
    <w:rsid w:val="0779354C"/>
    <w:rsid w:val="07794418"/>
    <w:rsid w:val="077A1BC9"/>
    <w:rsid w:val="078108FA"/>
    <w:rsid w:val="07830DF3"/>
    <w:rsid w:val="079923C4"/>
    <w:rsid w:val="079E79DA"/>
    <w:rsid w:val="079F3753"/>
    <w:rsid w:val="07A11279"/>
    <w:rsid w:val="07A116DA"/>
    <w:rsid w:val="07A34FF1"/>
    <w:rsid w:val="07A64AE1"/>
    <w:rsid w:val="07A80859"/>
    <w:rsid w:val="07AA6C9E"/>
    <w:rsid w:val="07B74F40"/>
    <w:rsid w:val="07C05BA3"/>
    <w:rsid w:val="07C531B9"/>
    <w:rsid w:val="07C84A57"/>
    <w:rsid w:val="07CD4764"/>
    <w:rsid w:val="07CF228A"/>
    <w:rsid w:val="07D63618"/>
    <w:rsid w:val="07DA001C"/>
    <w:rsid w:val="07E07FF3"/>
    <w:rsid w:val="07E43C8F"/>
    <w:rsid w:val="07E61381"/>
    <w:rsid w:val="07EC6998"/>
    <w:rsid w:val="07F10452"/>
    <w:rsid w:val="07F25F78"/>
    <w:rsid w:val="07F51244"/>
    <w:rsid w:val="07F92796"/>
    <w:rsid w:val="07FD6DF7"/>
    <w:rsid w:val="07FE491D"/>
    <w:rsid w:val="07FF2A68"/>
    <w:rsid w:val="080003B6"/>
    <w:rsid w:val="08053EFD"/>
    <w:rsid w:val="08061376"/>
    <w:rsid w:val="0808754A"/>
    <w:rsid w:val="080A32C2"/>
    <w:rsid w:val="081E6D6D"/>
    <w:rsid w:val="08202AE5"/>
    <w:rsid w:val="08206641"/>
    <w:rsid w:val="082500FC"/>
    <w:rsid w:val="08304675"/>
    <w:rsid w:val="08393BA7"/>
    <w:rsid w:val="08397703"/>
    <w:rsid w:val="083B0A5F"/>
    <w:rsid w:val="083D5445"/>
    <w:rsid w:val="08404F36"/>
    <w:rsid w:val="08444D3B"/>
    <w:rsid w:val="08452D77"/>
    <w:rsid w:val="08485B98"/>
    <w:rsid w:val="084A7B62"/>
    <w:rsid w:val="084C38DA"/>
    <w:rsid w:val="084E7652"/>
    <w:rsid w:val="084F5179"/>
    <w:rsid w:val="08536A17"/>
    <w:rsid w:val="0858227F"/>
    <w:rsid w:val="085A5FF7"/>
    <w:rsid w:val="086401F8"/>
    <w:rsid w:val="086E1AA3"/>
    <w:rsid w:val="08732C15"/>
    <w:rsid w:val="08744BDF"/>
    <w:rsid w:val="08751CAA"/>
    <w:rsid w:val="087921F6"/>
    <w:rsid w:val="087D1CE6"/>
    <w:rsid w:val="087E4C40"/>
    <w:rsid w:val="08843074"/>
    <w:rsid w:val="08844E22"/>
    <w:rsid w:val="08872B64"/>
    <w:rsid w:val="088C763C"/>
    <w:rsid w:val="089239B9"/>
    <w:rsid w:val="08981017"/>
    <w:rsid w:val="08987BE8"/>
    <w:rsid w:val="089A2898"/>
    <w:rsid w:val="08A6123D"/>
    <w:rsid w:val="08A94889"/>
    <w:rsid w:val="08AA0601"/>
    <w:rsid w:val="08AB6853"/>
    <w:rsid w:val="08B82D1E"/>
    <w:rsid w:val="08B84ACC"/>
    <w:rsid w:val="08BD20E2"/>
    <w:rsid w:val="08C43471"/>
    <w:rsid w:val="08CE609D"/>
    <w:rsid w:val="08CE6A87"/>
    <w:rsid w:val="08D132DE"/>
    <w:rsid w:val="08D31906"/>
    <w:rsid w:val="08D613F6"/>
    <w:rsid w:val="08D66AD6"/>
    <w:rsid w:val="08D833C0"/>
    <w:rsid w:val="08DA33A3"/>
    <w:rsid w:val="08DF02AB"/>
    <w:rsid w:val="08E65ADD"/>
    <w:rsid w:val="08E80F13"/>
    <w:rsid w:val="08F024B8"/>
    <w:rsid w:val="08F5187C"/>
    <w:rsid w:val="08F902D0"/>
    <w:rsid w:val="08FC0E5C"/>
    <w:rsid w:val="08FF7E1C"/>
    <w:rsid w:val="09063A89"/>
    <w:rsid w:val="09075A53"/>
    <w:rsid w:val="090D25F9"/>
    <w:rsid w:val="090E293E"/>
    <w:rsid w:val="09173EE8"/>
    <w:rsid w:val="092263E9"/>
    <w:rsid w:val="09271C52"/>
    <w:rsid w:val="09335624"/>
    <w:rsid w:val="093700E7"/>
    <w:rsid w:val="09385C0D"/>
    <w:rsid w:val="093A7BD7"/>
    <w:rsid w:val="093C394F"/>
    <w:rsid w:val="0944690F"/>
    <w:rsid w:val="09491BC8"/>
    <w:rsid w:val="094E3682"/>
    <w:rsid w:val="09535675"/>
    <w:rsid w:val="09563B8E"/>
    <w:rsid w:val="095A2027"/>
    <w:rsid w:val="095E1B17"/>
    <w:rsid w:val="095F057D"/>
    <w:rsid w:val="095F13EB"/>
    <w:rsid w:val="09642282"/>
    <w:rsid w:val="0966277A"/>
    <w:rsid w:val="096864F2"/>
    <w:rsid w:val="096B7E2B"/>
    <w:rsid w:val="09733572"/>
    <w:rsid w:val="09772C16"/>
    <w:rsid w:val="09774987"/>
    <w:rsid w:val="0978425B"/>
    <w:rsid w:val="097A7FD3"/>
    <w:rsid w:val="097D1872"/>
    <w:rsid w:val="098350DA"/>
    <w:rsid w:val="098353B5"/>
    <w:rsid w:val="09840E52"/>
    <w:rsid w:val="09864BCA"/>
    <w:rsid w:val="098B21E0"/>
    <w:rsid w:val="098F7F23"/>
    <w:rsid w:val="099C263F"/>
    <w:rsid w:val="09A432A2"/>
    <w:rsid w:val="09A92330"/>
    <w:rsid w:val="09AF5ECF"/>
    <w:rsid w:val="09B06B87"/>
    <w:rsid w:val="09C13146"/>
    <w:rsid w:val="09C35E1E"/>
    <w:rsid w:val="09C556F2"/>
    <w:rsid w:val="09C86F91"/>
    <w:rsid w:val="09CB082F"/>
    <w:rsid w:val="09CB4CD3"/>
    <w:rsid w:val="09D05E45"/>
    <w:rsid w:val="09DB4F16"/>
    <w:rsid w:val="09E04166"/>
    <w:rsid w:val="09E244F6"/>
    <w:rsid w:val="09E518F1"/>
    <w:rsid w:val="09ED2E9B"/>
    <w:rsid w:val="09ED69F7"/>
    <w:rsid w:val="09EE3789"/>
    <w:rsid w:val="09F00295"/>
    <w:rsid w:val="0A026946"/>
    <w:rsid w:val="0A0E1331"/>
    <w:rsid w:val="0A116B8A"/>
    <w:rsid w:val="0A1506D3"/>
    <w:rsid w:val="0A171CC6"/>
    <w:rsid w:val="0A1C0718"/>
    <w:rsid w:val="0A27015B"/>
    <w:rsid w:val="0A285C81"/>
    <w:rsid w:val="0A2957BF"/>
    <w:rsid w:val="0A2D14EA"/>
    <w:rsid w:val="0A310FDA"/>
    <w:rsid w:val="0A344626"/>
    <w:rsid w:val="0A3B3C06"/>
    <w:rsid w:val="0A3E7710"/>
    <w:rsid w:val="0A456833"/>
    <w:rsid w:val="0A481E7F"/>
    <w:rsid w:val="0A4F320E"/>
    <w:rsid w:val="0A516F86"/>
    <w:rsid w:val="0A5B7E63"/>
    <w:rsid w:val="0A5C592B"/>
    <w:rsid w:val="0A60541B"/>
    <w:rsid w:val="0A641F8C"/>
    <w:rsid w:val="0A690774"/>
    <w:rsid w:val="0A6A0048"/>
    <w:rsid w:val="0A717628"/>
    <w:rsid w:val="0A79028B"/>
    <w:rsid w:val="0A7B04A7"/>
    <w:rsid w:val="0A917CCA"/>
    <w:rsid w:val="0A93381B"/>
    <w:rsid w:val="0A951569"/>
    <w:rsid w:val="0A960E3D"/>
    <w:rsid w:val="0A99092D"/>
    <w:rsid w:val="0A9B46A5"/>
    <w:rsid w:val="0AA374A5"/>
    <w:rsid w:val="0AA74DF8"/>
    <w:rsid w:val="0AAA1590"/>
    <w:rsid w:val="0AAB7649"/>
    <w:rsid w:val="0AAC0660"/>
    <w:rsid w:val="0ABB08A3"/>
    <w:rsid w:val="0ABC5606"/>
    <w:rsid w:val="0ABD286D"/>
    <w:rsid w:val="0ABF65E6"/>
    <w:rsid w:val="0ACA6D38"/>
    <w:rsid w:val="0ACC6B2A"/>
    <w:rsid w:val="0ACE4A7B"/>
    <w:rsid w:val="0AD11E75"/>
    <w:rsid w:val="0AD3127A"/>
    <w:rsid w:val="0AD32091"/>
    <w:rsid w:val="0ADD4CBE"/>
    <w:rsid w:val="0ADD6A6C"/>
    <w:rsid w:val="0AE0030A"/>
    <w:rsid w:val="0AE579F8"/>
    <w:rsid w:val="0AEB1631"/>
    <w:rsid w:val="0AEF054D"/>
    <w:rsid w:val="0AF0679F"/>
    <w:rsid w:val="0AF10769"/>
    <w:rsid w:val="0AF73FD1"/>
    <w:rsid w:val="0AFD710E"/>
    <w:rsid w:val="0AFF2E86"/>
    <w:rsid w:val="0B02445E"/>
    <w:rsid w:val="0B071D3B"/>
    <w:rsid w:val="0B0A5387"/>
    <w:rsid w:val="0B0E131B"/>
    <w:rsid w:val="0B161F7E"/>
    <w:rsid w:val="0B183F48"/>
    <w:rsid w:val="0B1A381C"/>
    <w:rsid w:val="0B1B1342"/>
    <w:rsid w:val="0B1C3A38"/>
    <w:rsid w:val="0B291CB1"/>
    <w:rsid w:val="0B30404E"/>
    <w:rsid w:val="0B3F14D4"/>
    <w:rsid w:val="0B460AB5"/>
    <w:rsid w:val="0B464611"/>
    <w:rsid w:val="0B4C6C14"/>
    <w:rsid w:val="0B4E7969"/>
    <w:rsid w:val="0B5331D2"/>
    <w:rsid w:val="0B5F1DB6"/>
    <w:rsid w:val="0B631A88"/>
    <w:rsid w:val="0B680A2B"/>
    <w:rsid w:val="0B683D45"/>
    <w:rsid w:val="0B696551"/>
    <w:rsid w:val="0B6B22C9"/>
    <w:rsid w:val="0B6E5916"/>
    <w:rsid w:val="0B732F2C"/>
    <w:rsid w:val="0B794AD1"/>
    <w:rsid w:val="0B7D1FFD"/>
    <w:rsid w:val="0B7F3F11"/>
    <w:rsid w:val="0B837613"/>
    <w:rsid w:val="0B84338B"/>
    <w:rsid w:val="0B8769D7"/>
    <w:rsid w:val="0B884417"/>
    <w:rsid w:val="0B8B471A"/>
    <w:rsid w:val="0B980BE5"/>
    <w:rsid w:val="0B9A2BAF"/>
    <w:rsid w:val="0BA17A99"/>
    <w:rsid w:val="0BA31A63"/>
    <w:rsid w:val="0BA375C8"/>
    <w:rsid w:val="0BA648D7"/>
    <w:rsid w:val="0BA80E28"/>
    <w:rsid w:val="0BA94BA0"/>
    <w:rsid w:val="0BB21CA6"/>
    <w:rsid w:val="0BC1013B"/>
    <w:rsid w:val="0BCB2D68"/>
    <w:rsid w:val="0BDE2A9B"/>
    <w:rsid w:val="0BE36304"/>
    <w:rsid w:val="0BE81B6C"/>
    <w:rsid w:val="0BED0F30"/>
    <w:rsid w:val="0BEF4CA9"/>
    <w:rsid w:val="0BEF6A57"/>
    <w:rsid w:val="0BF00A21"/>
    <w:rsid w:val="0BF202F5"/>
    <w:rsid w:val="0BF6188C"/>
    <w:rsid w:val="0BF73C91"/>
    <w:rsid w:val="0BF978D5"/>
    <w:rsid w:val="0BFA53FB"/>
    <w:rsid w:val="0BFC1173"/>
    <w:rsid w:val="0BFE6C9A"/>
    <w:rsid w:val="0C087B18"/>
    <w:rsid w:val="0C0B13B7"/>
    <w:rsid w:val="0C0D512F"/>
    <w:rsid w:val="0C0F534B"/>
    <w:rsid w:val="0C1110C3"/>
    <w:rsid w:val="0C170175"/>
    <w:rsid w:val="0C174B2C"/>
    <w:rsid w:val="0C252478"/>
    <w:rsid w:val="0C2D57D1"/>
    <w:rsid w:val="0C30706F"/>
    <w:rsid w:val="0C324B95"/>
    <w:rsid w:val="0C360E8F"/>
    <w:rsid w:val="0C37664F"/>
    <w:rsid w:val="0C3B7EEE"/>
    <w:rsid w:val="0C3D3FF4"/>
    <w:rsid w:val="0C403756"/>
    <w:rsid w:val="0C41302A"/>
    <w:rsid w:val="0C482DA4"/>
    <w:rsid w:val="0C4C2CDB"/>
    <w:rsid w:val="0C5316BA"/>
    <w:rsid w:val="0C571A41"/>
    <w:rsid w:val="0C594C5D"/>
    <w:rsid w:val="0C5C1171"/>
    <w:rsid w:val="0C5C7E64"/>
    <w:rsid w:val="0C5E1CBC"/>
    <w:rsid w:val="0C615B50"/>
    <w:rsid w:val="0C62191E"/>
    <w:rsid w:val="0C774C9E"/>
    <w:rsid w:val="0C7C4062"/>
    <w:rsid w:val="0C825B1D"/>
    <w:rsid w:val="0C8278CB"/>
    <w:rsid w:val="0C8353F1"/>
    <w:rsid w:val="0C8445DA"/>
    <w:rsid w:val="0C87121B"/>
    <w:rsid w:val="0C913FB2"/>
    <w:rsid w:val="0C9C64B3"/>
    <w:rsid w:val="0CA27F6D"/>
    <w:rsid w:val="0CA75583"/>
    <w:rsid w:val="0CA912FB"/>
    <w:rsid w:val="0CAB2DC4"/>
    <w:rsid w:val="0CAC2B9A"/>
    <w:rsid w:val="0CAC4948"/>
    <w:rsid w:val="0CAF4438"/>
    <w:rsid w:val="0CB169C3"/>
    <w:rsid w:val="0CB657C6"/>
    <w:rsid w:val="0CB90E13"/>
    <w:rsid w:val="0CBB4B8B"/>
    <w:rsid w:val="0CC007F7"/>
    <w:rsid w:val="0CC46135"/>
    <w:rsid w:val="0CC47EE3"/>
    <w:rsid w:val="0CCD43BF"/>
    <w:rsid w:val="0CD93263"/>
    <w:rsid w:val="0CE045F1"/>
    <w:rsid w:val="0CE340E1"/>
    <w:rsid w:val="0CE42333"/>
    <w:rsid w:val="0CE560AB"/>
    <w:rsid w:val="0CF85DDF"/>
    <w:rsid w:val="0CFB58CF"/>
    <w:rsid w:val="0CFE707A"/>
    <w:rsid w:val="0D026C5D"/>
    <w:rsid w:val="0D063BDA"/>
    <w:rsid w:val="0D077DD0"/>
    <w:rsid w:val="0D08375F"/>
    <w:rsid w:val="0D0A78C0"/>
    <w:rsid w:val="0D166265"/>
    <w:rsid w:val="0D184CFB"/>
    <w:rsid w:val="0D272220"/>
    <w:rsid w:val="0D2A6FC1"/>
    <w:rsid w:val="0D2E35AF"/>
    <w:rsid w:val="0D3B41D4"/>
    <w:rsid w:val="0D4032E2"/>
    <w:rsid w:val="0D444B80"/>
    <w:rsid w:val="0D4A5F0F"/>
    <w:rsid w:val="0D4A7419"/>
    <w:rsid w:val="0D555D85"/>
    <w:rsid w:val="0D584ACF"/>
    <w:rsid w:val="0D63594E"/>
    <w:rsid w:val="0D643474"/>
    <w:rsid w:val="0D645222"/>
    <w:rsid w:val="0D646FD0"/>
    <w:rsid w:val="0D6C40D7"/>
    <w:rsid w:val="0D6E293C"/>
    <w:rsid w:val="0D786F20"/>
    <w:rsid w:val="0D7D0092"/>
    <w:rsid w:val="0D7D62E4"/>
    <w:rsid w:val="0D821B4C"/>
    <w:rsid w:val="0D827401"/>
    <w:rsid w:val="0D84094E"/>
    <w:rsid w:val="0D8853B5"/>
    <w:rsid w:val="0D8A00E9"/>
    <w:rsid w:val="0D8A6105"/>
    <w:rsid w:val="0D8D29CB"/>
    <w:rsid w:val="0D8D589E"/>
    <w:rsid w:val="0D8E229F"/>
    <w:rsid w:val="0D913B3D"/>
    <w:rsid w:val="0DA01C73"/>
    <w:rsid w:val="0DAB10A3"/>
    <w:rsid w:val="0DAD4E1B"/>
    <w:rsid w:val="0DC3019B"/>
    <w:rsid w:val="0DC45CC1"/>
    <w:rsid w:val="0DC83A03"/>
    <w:rsid w:val="0DD00B0A"/>
    <w:rsid w:val="0DD06C7C"/>
    <w:rsid w:val="0DD63300"/>
    <w:rsid w:val="0DE14AC5"/>
    <w:rsid w:val="0DE545B5"/>
    <w:rsid w:val="0DE93979"/>
    <w:rsid w:val="0DEC6932"/>
    <w:rsid w:val="0DED346A"/>
    <w:rsid w:val="0DED5218"/>
    <w:rsid w:val="0DED6FC6"/>
    <w:rsid w:val="0DF50604"/>
    <w:rsid w:val="0DF5570B"/>
    <w:rsid w:val="0DF702FE"/>
    <w:rsid w:val="0DFC545B"/>
    <w:rsid w:val="0DFE5677"/>
    <w:rsid w:val="0E0407B3"/>
    <w:rsid w:val="0E060E51"/>
    <w:rsid w:val="0E06452B"/>
    <w:rsid w:val="0E082052"/>
    <w:rsid w:val="0E123986"/>
    <w:rsid w:val="0E15476E"/>
    <w:rsid w:val="0E1B7BAF"/>
    <w:rsid w:val="0E1E3623"/>
    <w:rsid w:val="0E2350DD"/>
    <w:rsid w:val="0E2B5D40"/>
    <w:rsid w:val="0E342E47"/>
    <w:rsid w:val="0E4017EB"/>
    <w:rsid w:val="0E407A3D"/>
    <w:rsid w:val="0E4137B5"/>
    <w:rsid w:val="0E4312DC"/>
    <w:rsid w:val="0E455CF9"/>
    <w:rsid w:val="0E4B0190"/>
    <w:rsid w:val="0E5604B2"/>
    <w:rsid w:val="0E5B6625"/>
    <w:rsid w:val="0E5E6674"/>
    <w:rsid w:val="0E6574A4"/>
    <w:rsid w:val="0E6D5D79"/>
    <w:rsid w:val="0E6F3E7F"/>
    <w:rsid w:val="0E772D33"/>
    <w:rsid w:val="0E7D7D70"/>
    <w:rsid w:val="0E811E04"/>
    <w:rsid w:val="0E8518F4"/>
    <w:rsid w:val="0E963B01"/>
    <w:rsid w:val="0E9B1118"/>
    <w:rsid w:val="0E9D0089"/>
    <w:rsid w:val="0EA224A6"/>
    <w:rsid w:val="0EA33B28"/>
    <w:rsid w:val="0EAC0C2F"/>
    <w:rsid w:val="0EAF24CD"/>
    <w:rsid w:val="0EB21FBD"/>
    <w:rsid w:val="0EB61AAE"/>
    <w:rsid w:val="0EB803EE"/>
    <w:rsid w:val="0EBB70C4"/>
    <w:rsid w:val="0EBD2E3C"/>
    <w:rsid w:val="0EC00B7E"/>
    <w:rsid w:val="0EC35F79"/>
    <w:rsid w:val="0EC73CBB"/>
    <w:rsid w:val="0EC764FA"/>
    <w:rsid w:val="0EC8358F"/>
    <w:rsid w:val="0ECA37AB"/>
    <w:rsid w:val="0ECC307F"/>
    <w:rsid w:val="0ED32660"/>
    <w:rsid w:val="0ED71A24"/>
    <w:rsid w:val="0ED87C76"/>
    <w:rsid w:val="0EE26D46"/>
    <w:rsid w:val="0EE4486D"/>
    <w:rsid w:val="0EE7435D"/>
    <w:rsid w:val="0EEB125D"/>
    <w:rsid w:val="0EF5181D"/>
    <w:rsid w:val="0EF94D4B"/>
    <w:rsid w:val="0EFD148A"/>
    <w:rsid w:val="0F022F45"/>
    <w:rsid w:val="0F0767AD"/>
    <w:rsid w:val="0F0E18EA"/>
    <w:rsid w:val="0F1D151B"/>
    <w:rsid w:val="0F1D7D7F"/>
    <w:rsid w:val="0F1F58A5"/>
    <w:rsid w:val="0F205179"/>
    <w:rsid w:val="0F2509E1"/>
    <w:rsid w:val="0F334EAC"/>
    <w:rsid w:val="0F3A0931"/>
    <w:rsid w:val="0F40581B"/>
    <w:rsid w:val="0F4958DC"/>
    <w:rsid w:val="0F4B48EC"/>
    <w:rsid w:val="0F515DF7"/>
    <w:rsid w:val="0F557518"/>
    <w:rsid w:val="0F580EBC"/>
    <w:rsid w:val="0F596BA8"/>
    <w:rsid w:val="0F5A4B2F"/>
    <w:rsid w:val="0F5B4403"/>
    <w:rsid w:val="0F5F0397"/>
    <w:rsid w:val="0F6248D2"/>
    <w:rsid w:val="0F693536"/>
    <w:rsid w:val="0F696B20"/>
    <w:rsid w:val="0F6B71EB"/>
    <w:rsid w:val="0F6C03BE"/>
    <w:rsid w:val="0F701F81"/>
    <w:rsid w:val="0F73799F"/>
    <w:rsid w:val="0F781459"/>
    <w:rsid w:val="0F7A4A8E"/>
    <w:rsid w:val="0F7B0511"/>
    <w:rsid w:val="0F7B76D9"/>
    <w:rsid w:val="0F8120BC"/>
    <w:rsid w:val="0F816ACD"/>
    <w:rsid w:val="0F847DFE"/>
    <w:rsid w:val="0F87344A"/>
    <w:rsid w:val="0F8B2F3A"/>
    <w:rsid w:val="0F8C280E"/>
    <w:rsid w:val="0F8E47D8"/>
    <w:rsid w:val="0F9718DF"/>
    <w:rsid w:val="0F9832DB"/>
    <w:rsid w:val="0F985657"/>
    <w:rsid w:val="0F9C29B1"/>
    <w:rsid w:val="0F9C6EF5"/>
    <w:rsid w:val="0F9F25EE"/>
    <w:rsid w:val="0FA062BA"/>
    <w:rsid w:val="0FA27E8A"/>
    <w:rsid w:val="0FA43FFC"/>
    <w:rsid w:val="0FA45DAA"/>
    <w:rsid w:val="0FA67D74"/>
    <w:rsid w:val="0FA91612"/>
    <w:rsid w:val="0FAB7138"/>
    <w:rsid w:val="0FAC4C5F"/>
    <w:rsid w:val="0FAE6C29"/>
    <w:rsid w:val="0FB35FED"/>
    <w:rsid w:val="0FB519B6"/>
    <w:rsid w:val="0FB56209"/>
    <w:rsid w:val="0FBF3FD2"/>
    <w:rsid w:val="0FBF7FF3"/>
    <w:rsid w:val="0FCE1079"/>
    <w:rsid w:val="0FD52407"/>
    <w:rsid w:val="0FD91EF8"/>
    <w:rsid w:val="0FE35C25"/>
    <w:rsid w:val="0FE8038D"/>
    <w:rsid w:val="0FEB5787"/>
    <w:rsid w:val="0FED7687"/>
    <w:rsid w:val="0FF02D9D"/>
    <w:rsid w:val="0FF22FB9"/>
    <w:rsid w:val="0FF860F6"/>
    <w:rsid w:val="0FFC1742"/>
    <w:rsid w:val="10042CED"/>
    <w:rsid w:val="101C3B92"/>
    <w:rsid w:val="101F18D4"/>
    <w:rsid w:val="1021389E"/>
    <w:rsid w:val="102173FB"/>
    <w:rsid w:val="10240C99"/>
    <w:rsid w:val="10264A11"/>
    <w:rsid w:val="10294501"/>
    <w:rsid w:val="10433815"/>
    <w:rsid w:val="10484987"/>
    <w:rsid w:val="104A4BA3"/>
    <w:rsid w:val="10505F32"/>
    <w:rsid w:val="10507CE0"/>
    <w:rsid w:val="1053332C"/>
    <w:rsid w:val="105B0B5E"/>
    <w:rsid w:val="105E41AB"/>
    <w:rsid w:val="10646583"/>
    <w:rsid w:val="10686DD7"/>
    <w:rsid w:val="106A6FF4"/>
    <w:rsid w:val="10711DBE"/>
    <w:rsid w:val="10757746"/>
    <w:rsid w:val="107D4B15"/>
    <w:rsid w:val="10846DA4"/>
    <w:rsid w:val="108A3C80"/>
    <w:rsid w:val="108A4FA0"/>
    <w:rsid w:val="108B0D18"/>
    <w:rsid w:val="108C6F6A"/>
    <w:rsid w:val="108F6A5A"/>
    <w:rsid w:val="109016E9"/>
    <w:rsid w:val="10914580"/>
    <w:rsid w:val="109220A6"/>
    <w:rsid w:val="10953945"/>
    <w:rsid w:val="109776BD"/>
    <w:rsid w:val="10A36062"/>
    <w:rsid w:val="10AB4F16"/>
    <w:rsid w:val="10BA52FE"/>
    <w:rsid w:val="10C26171"/>
    <w:rsid w:val="10C83D1A"/>
    <w:rsid w:val="10C85AC8"/>
    <w:rsid w:val="10D64689"/>
    <w:rsid w:val="10E02E12"/>
    <w:rsid w:val="10E24DDC"/>
    <w:rsid w:val="10E70644"/>
    <w:rsid w:val="10EE19D3"/>
    <w:rsid w:val="10EF5293"/>
    <w:rsid w:val="10F33360"/>
    <w:rsid w:val="10F44B0F"/>
    <w:rsid w:val="10FC16EA"/>
    <w:rsid w:val="11020FDA"/>
    <w:rsid w:val="11032084"/>
    <w:rsid w:val="11050ACA"/>
    <w:rsid w:val="11052878"/>
    <w:rsid w:val="110A4333"/>
    <w:rsid w:val="110E5BD1"/>
    <w:rsid w:val="110F1D40"/>
    <w:rsid w:val="111331E7"/>
    <w:rsid w:val="111B209C"/>
    <w:rsid w:val="111E1B8C"/>
    <w:rsid w:val="11205904"/>
    <w:rsid w:val="112278CE"/>
    <w:rsid w:val="11266F33"/>
    <w:rsid w:val="11273BBE"/>
    <w:rsid w:val="112C6057"/>
    <w:rsid w:val="112E1DCF"/>
    <w:rsid w:val="11317B11"/>
    <w:rsid w:val="11335637"/>
    <w:rsid w:val="113530C8"/>
    <w:rsid w:val="11380EA0"/>
    <w:rsid w:val="113B0990"/>
    <w:rsid w:val="113B4369"/>
    <w:rsid w:val="113D0264"/>
    <w:rsid w:val="113D2012"/>
    <w:rsid w:val="113D64B6"/>
    <w:rsid w:val="11472E91"/>
    <w:rsid w:val="114B0B6F"/>
    <w:rsid w:val="114B3E31"/>
    <w:rsid w:val="11513D10"/>
    <w:rsid w:val="11515ABE"/>
    <w:rsid w:val="115832F0"/>
    <w:rsid w:val="1158509E"/>
    <w:rsid w:val="115D4462"/>
    <w:rsid w:val="115D76FC"/>
    <w:rsid w:val="11697F6F"/>
    <w:rsid w:val="1178129C"/>
    <w:rsid w:val="117A5014"/>
    <w:rsid w:val="117F6ACF"/>
    <w:rsid w:val="118539B9"/>
    <w:rsid w:val="118631EB"/>
    <w:rsid w:val="118714DF"/>
    <w:rsid w:val="118916FB"/>
    <w:rsid w:val="118963A1"/>
    <w:rsid w:val="119333A6"/>
    <w:rsid w:val="119360D6"/>
    <w:rsid w:val="119F0F1F"/>
    <w:rsid w:val="11A00946"/>
    <w:rsid w:val="11A13517"/>
    <w:rsid w:val="11A42091"/>
    <w:rsid w:val="11B04EDA"/>
    <w:rsid w:val="11C049F1"/>
    <w:rsid w:val="11C6522A"/>
    <w:rsid w:val="11C72224"/>
    <w:rsid w:val="11C91AF8"/>
    <w:rsid w:val="11C95F9C"/>
    <w:rsid w:val="11CB3AC2"/>
    <w:rsid w:val="11CC3A28"/>
    <w:rsid w:val="11D341F5"/>
    <w:rsid w:val="11D84431"/>
    <w:rsid w:val="11D87F8D"/>
    <w:rsid w:val="11D97F81"/>
    <w:rsid w:val="11E104CC"/>
    <w:rsid w:val="11E20309"/>
    <w:rsid w:val="11E46932"/>
    <w:rsid w:val="11F528ED"/>
    <w:rsid w:val="11F8418B"/>
    <w:rsid w:val="11FF19BD"/>
    <w:rsid w:val="12011237"/>
    <w:rsid w:val="12062D4C"/>
    <w:rsid w:val="12080872"/>
    <w:rsid w:val="120A5BAF"/>
    <w:rsid w:val="120C7C36"/>
    <w:rsid w:val="120D6537"/>
    <w:rsid w:val="120E39AF"/>
    <w:rsid w:val="12130FC5"/>
    <w:rsid w:val="121A2353"/>
    <w:rsid w:val="122136E2"/>
    <w:rsid w:val="122356AC"/>
    <w:rsid w:val="12255233"/>
    <w:rsid w:val="122D02D9"/>
    <w:rsid w:val="124318AA"/>
    <w:rsid w:val="12443874"/>
    <w:rsid w:val="12463148"/>
    <w:rsid w:val="12490E8B"/>
    <w:rsid w:val="124949E7"/>
    <w:rsid w:val="124B4C03"/>
    <w:rsid w:val="124D097B"/>
    <w:rsid w:val="12502219"/>
    <w:rsid w:val="12530213"/>
    <w:rsid w:val="12535865"/>
    <w:rsid w:val="125910CE"/>
    <w:rsid w:val="125C6E10"/>
    <w:rsid w:val="126F6B43"/>
    <w:rsid w:val="127723A9"/>
    <w:rsid w:val="127952CC"/>
    <w:rsid w:val="127C6B6A"/>
    <w:rsid w:val="12862074"/>
    <w:rsid w:val="128679E9"/>
    <w:rsid w:val="12883966"/>
    <w:rsid w:val="128A74D9"/>
    <w:rsid w:val="12906AB9"/>
    <w:rsid w:val="12942091"/>
    <w:rsid w:val="12971BF6"/>
    <w:rsid w:val="12977E48"/>
    <w:rsid w:val="129E11D6"/>
    <w:rsid w:val="129E45B4"/>
    <w:rsid w:val="12A14823"/>
    <w:rsid w:val="12A26ED5"/>
    <w:rsid w:val="12A85BB1"/>
    <w:rsid w:val="12AA36D7"/>
    <w:rsid w:val="12C02EFB"/>
    <w:rsid w:val="12C64289"/>
    <w:rsid w:val="12C8390D"/>
    <w:rsid w:val="12CD386A"/>
    <w:rsid w:val="12D20E80"/>
    <w:rsid w:val="12D81596"/>
    <w:rsid w:val="12DB5F87"/>
    <w:rsid w:val="12DB71B2"/>
    <w:rsid w:val="12DD1CFF"/>
    <w:rsid w:val="12F47048"/>
    <w:rsid w:val="12F6691D"/>
    <w:rsid w:val="12F9465F"/>
    <w:rsid w:val="12FC7CAB"/>
    <w:rsid w:val="13051255"/>
    <w:rsid w:val="13064FC2"/>
    <w:rsid w:val="13070B2A"/>
    <w:rsid w:val="13072A44"/>
    <w:rsid w:val="13086650"/>
    <w:rsid w:val="131C4CCA"/>
    <w:rsid w:val="131E2FC6"/>
    <w:rsid w:val="132536A6"/>
    <w:rsid w:val="13265254"/>
    <w:rsid w:val="13307FAC"/>
    <w:rsid w:val="13347445"/>
    <w:rsid w:val="133D279D"/>
    <w:rsid w:val="133E25B0"/>
    <w:rsid w:val="134A0A16"/>
    <w:rsid w:val="134E49AB"/>
    <w:rsid w:val="134F24D1"/>
    <w:rsid w:val="135F0966"/>
    <w:rsid w:val="135F4BE2"/>
    <w:rsid w:val="136E0BA9"/>
    <w:rsid w:val="136E2957"/>
    <w:rsid w:val="137D2B9A"/>
    <w:rsid w:val="137D5290"/>
    <w:rsid w:val="13826402"/>
    <w:rsid w:val="138C0E00"/>
    <w:rsid w:val="139B1A0A"/>
    <w:rsid w:val="139D25C7"/>
    <w:rsid w:val="139F6FB4"/>
    <w:rsid w:val="13AC16D1"/>
    <w:rsid w:val="13B660AC"/>
    <w:rsid w:val="13BD743A"/>
    <w:rsid w:val="13BF3CE4"/>
    <w:rsid w:val="13BF7656"/>
    <w:rsid w:val="13C36177"/>
    <w:rsid w:val="13CA1B57"/>
    <w:rsid w:val="13CC58CF"/>
    <w:rsid w:val="13D1738A"/>
    <w:rsid w:val="13D33102"/>
    <w:rsid w:val="13D80718"/>
    <w:rsid w:val="13E72709"/>
    <w:rsid w:val="13E744B7"/>
    <w:rsid w:val="13F56BD4"/>
    <w:rsid w:val="14067033"/>
    <w:rsid w:val="140E5EE8"/>
    <w:rsid w:val="141008D8"/>
    <w:rsid w:val="14110DA4"/>
    <w:rsid w:val="14125FE6"/>
    <w:rsid w:val="14213E6D"/>
    <w:rsid w:val="142179C9"/>
    <w:rsid w:val="14264FE0"/>
    <w:rsid w:val="142B0848"/>
    <w:rsid w:val="142D3A7B"/>
    <w:rsid w:val="143516C6"/>
    <w:rsid w:val="14373691"/>
    <w:rsid w:val="1437543F"/>
    <w:rsid w:val="143811B7"/>
    <w:rsid w:val="14382516"/>
    <w:rsid w:val="143C2A55"/>
    <w:rsid w:val="1444190A"/>
    <w:rsid w:val="14445DAD"/>
    <w:rsid w:val="14447B5C"/>
    <w:rsid w:val="144E2FDE"/>
    <w:rsid w:val="144E4536"/>
    <w:rsid w:val="14515DD5"/>
    <w:rsid w:val="14535FF1"/>
    <w:rsid w:val="14575AE1"/>
    <w:rsid w:val="145A2EDB"/>
    <w:rsid w:val="145C4EA5"/>
    <w:rsid w:val="146401FE"/>
    <w:rsid w:val="14681A9C"/>
    <w:rsid w:val="146A2525"/>
    <w:rsid w:val="146D271E"/>
    <w:rsid w:val="14757D15"/>
    <w:rsid w:val="147D6BCA"/>
    <w:rsid w:val="147E12BF"/>
    <w:rsid w:val="147F6DE6"/>
    <w:rsid w:val="14902DA1"/>
    <w:rsid w:val="149503B7"/>
    <w:rsid w:val="14982588"/>
    <w:rsid w:val="149A5AD9"/>
    <w:rsid w:val="149C7998"/>
    <w:rsid w:val="149F4D92"/>
    <w:rsid w:val="14A7619D"/>
    <w:rsid w:val="14A83BE9"/>
    <w:rsid w:val="14A95079"/>
    <w:rsid w:val="14B922F8"/>
    <w:rsid w:val="14B95E54"/>
    <w:rsid w:val="14BC76F2"/>
    <w:rsid w:val="14D233B9"/>
    <w:rsid w:val="14D44347"/>
    <w:rsid w:val="14D92A17"/>
    <w:rsid w:val="14DC5FE6"/>
    <w:rsid w:val="14E05AD6"/>
    <w:rsid w:val="14E153AA"/>
    <w:rsid w:val="14E37374"/>
    <w:rsid w:val="14F524A7"/>
    <w:rsid w:val="14F82861"/>
    <w:rsid w:val="14FB646C"/>
    <w:rsid w:val="14FE7D0A"/>
    <w:rsid w:val="15035321"/>
    <w:rsid w:val="150536C3"/>
    <w:rsid w:val="150C0679"/>
    <w:rsid w:val="150C1963"/>
    <w:rsid w:val="150D619F"/>
    <w:rsid w:val="151447A0"/>
    <w:rsid w:val="15190FE8"/>
    <w:rsid w:val="151C63E2"/>
    <w:rsid w:val="151E65FF"/>
    <w:rsid w:val="15210797"/>
    <w:rsid w:val="152534E9"/>
    <w:rsid w:val="152859D1"/>
    <w:rsid w:val="152A6D51"/>
    <w:rsid w:val="15301336"/>
    <w:rsid w:val="15363948"/>
    <w:rsid w:val="1537321C"/>
    <w:rsid w:val="153C0833"/>
    <w:rsid w:val="153D4CD7"/>
    <w:rsid w:val="154716B1"/>
    <w:rsid w:val="1548367B"/>
    <w:rsid w:val="154A6454"/>
    <w:rsid w:val="154F4A0A"/>
    <w:rsid w:val="15506AD3"/>
    <w:rsid w:val="15581B10"/>
    <w:rsid w:val="156367B1"/>
    <w:rsid w:val="1571672E"/>
    <w:rsid w:val="15762120"/>
    <w:rsid w:val="15793835"/>
    <w:rsid w:val="1585667E"/>
    <w:rsid w:val="15891CCA"/>
    <w:rsid w:val="15897F1C"/>
    <w:rsid w:val="158C5316"/>
    <w:rsid w:val="158F12AA"/>
    <w:rsid w:val="15900494"/>
    <w:rsid w:val="15932B49"/>
    <w:rsid w:val="15973CBB"/>
    <w:rsid w:val="159D39C7"/>
    <w:rsid w:val="15B34F99"/>
    <w:rsid w:val="15B42ABF"/>
    <w:rsid w:val="15B4486D"/>
    <w:rsid w:val="15C01464"/>
    <w:rsid w:val="15C745A0"/>
    <w:rsid w:val="15CA4090"/>
    <w:rsid w:val="15CE592F"/>
    <w:rsid w:val="15D00040"/>
    <w:rsid w:val="15DA0777"/>
    <w:rsid w:val="15F07F9B"/>
    <w:rsid w:val="1602382A"/>
    <w:rsid w:val="160457F4"/>
    <w:rsid w:val="16061850"/>
    <w:rsid w:val="160B0931"/>
    <w:rsid w:val="160C6457"/>
    <w:rsid w:val="160D5155"/>
    <w:rsid w:val="16104199"/>
    <w:rsid w:val="161377E5"/>
    <w:rsid w:val="16175528"/>
    <w:rsid w:val="16297009"/>
    <w:rsid w:val="16314110"/>
    <w:rsid w:val="163A2FC4"/>
    <w:rsid w:val="16491459"/>
    <w:rsid w:val="16504596"/>
    <w:rsid w:val="1658169C"/>
    <w:rsid w:val="165E3157"/>
    <w:rsid w:val="165F0C7D"/>
    <w:rsid w:val="166167A3"/>
    <w:rsid w:val="1662251B"/>
    <w:rsid w:val="16663DB9"/>
    <w:rsid w:val="16797F90"/>
    <w:rsid w:val="167A5AB7"/>
    <w:rsid w:val="1683496B"/>
    <w:rsid w:val="168801D3"/>
    <w:rsid w:val="168C1346"/>
    <w:rsid w:val="16946B78"/>
    <w:rsid w:val="1699418F"/>
    <w:rsid w:val="16A14DF1"/>
    <w:rsid w:val="16A40FB8"/>
    <w:rsid w:val="16A448E1"/>
    <w:rsid w:val="16A8729C"/>
    <w:rsid w:val="16AD19E8"/>
    <w:rsid w:val="16AD214A"/>
    <w:rsid w:val="16B33777"/>
    <w:rsid w:val="16B72867"/>
    <w:rsid w:val="16B8213B"/>
    <w:rsid w:val="16BC70A7"/>
    <w:rsid w:val="16C6339E"/>
    <w:rsid w:val="16D36F75"/>
    <w:rsid w:val="16DF2025"/>
    <w:rsid w:val="16E55626"/>
    <w:rsid w:val="16EB2510"/>
    <w:rsid w:val="16ED6288"/>
    <w:rsid w:val="16F5513D"/>
    <w:rsid w:val="16F77107"/>
    <w:rsid w:val="16FC471D"/>
    <w:rsid w:val="17033CFE"/>
    <w:rsid w:val="170535D2"/>
    <w:rsid w:val="17101F77"/>
    <w:rsid w:val="1715758D"/>
    <w:rsid w:val="171657DF"/>
    <w:rsid w:val="17237EFC"/>
    <w:rsid w:val="17283764"/>
    <w:rsid w:val="172F2D79"/>
    <w:rsid w:val="172F68A1"/>
    <w:rsid w:val="17345C65"/>
    <w:rsid w:val="173619DD"/>
    <w:rsid w:val="17397720"/>
    <w:rsid w:val="173C0FBE"/>
    <w:rsid w:val="17435EA8"/>
    <w:rsid w:val="17487963"/>
    <w:rsid w:val="174C51CF"/>
    <w:rsid w:val="17557BEF"/>
    <w:rsid w:val="175F1F04"/>
    <w:rsid w:val="176302F9"/>
    <w:rsid w:val="176D73C9"/>
    <w:rsid w:val="1776002C"/>
    <w:rsid w:val="177B3894"/>
    <w:rsid w:val="178A3AD7"/>
    <w:rsid w:val="178D35C8"/>
    <w:rsid w:val="178E7A6B"/>
    <w:rsid w:val="178F7340"/>
    <w:rsid w:val="17914E66"/>
    <w:rsid w:val="179E3A27"/>
    <w:rsid w:val="17AD23E0"/>
    <w:rsid w:val="17BE7C25"/>
    <w:rsid w:val="17CD0F85"/>
    <w:rsid w:val="17D336D0"/>
    <w:rsid w:val="17D349C1"/>
    <w:rsid w:val="17DB07D7"/>
    <w:rsid w:val="17DB37CE"/>
    <w:rsid w:val="17DB4333"/>
    <w:rsid w:val="17DFB5AC"/>
    <w:rsid w:val="17E94CA2"/>
    <w:rsid w:val="17F378CF"/>
    <w:rsid w:val="17F6116D"/>
    <w:rsid w:val="17F65611"/>
    <w:rsid w:val="17FB49D5"/>
    <w:rsid w:val="17FB6783"/>
    <w:rsid w:val="17FE7DB3"/>
    <w:rsid w:val="180A2E6A"/>
    <w:rsid w:val="180A4C18"/>
    <w:rsid w:val="18116229"/>
    <w:rsid w:val="18137F71"/>
    <w:rsid w:val="181810E3"/>
    <w:rsid w:val="181D15CF"/>
    <w:rsid w:val="1821268E"/>
    <w:rsid w:val="182757CA"/>
    <w:rsid w:val="182F467F"/>
    <w:rsid w:val="1830729E"/>
    <w:rsid w:val="18335F1D"/>
    <w:rsid w:val="183D0B4A"/>
    <w:rsid w:val="1844012A"/>
    <w:rsid w:val="18455C50"/>
    <w:rsid w:val="184A42DA"/>
    <w:rsid w:val="18534811"/>
    <w:rsid w:val="185365BF"/>
    <w:rsid w:val="18622CA6"/>
    <w:rsid w:val="186662F2"/>
    <w:rsid w:val="1867206B"/>
    <w:rsid w:val="1869193F"/>
    <w:rsid w:val="1870062C"/>
    <w:rsid w:val="187327BD"/>
    <w:rsid w:val="18756535"/>
    <w:rsid w:val="187C78C4"/>
    <w:rsid w:val="18817102"/>
    <w:rsid w:val="18830A15"/>
    <w:rsid w:val="188449CB"/>
    <w:rsid w:val="18852B28"/>
    <w:rsid w:val="188B5321"/>
    <w:rsid w:val="188C387F"/>
    <w:rsid w:val="18925339"/>
    <w:rsid w:val="18934C0E"/>
    <w:rsid w:val="189746FE"/>
    <w:rsid w:val="18A1732B"/>
    <w:rsid w:val="18A46E1B"/>
    <w:rsid w:val="18A84B5D"/>
    <w:rsid w:val="18BC23B6"/>
    <w:rsid w:val="18BF5A03"/>
    <w:rsid w:val="18C15C1F"/>
    <w:rsid w:val="18C662FD"/>
    <w:rsid w:val="18C66D91"/>
    <w:rsid w:val="18C748B7"/>
    <w:rsid w:val="18CB084B"/>
    <w:rsid w:val="18CD0120"/>
    <w:rsid w:val="18CE7660"/>
    <w:rsid w:val="18D019BE"/>
    <w:rsid w:val="18DE057F"/>
    <w:rsid w:val="18E57134"/>
    <w:rsid w:val="18EA78A5"/>
    <w:rsid w:val="18F51424"/>
    <w:rsid w:val="18F57676"/>
    <w:rsid w:val="1901601B"/>
    <w:rsid w:val="1902223E"/>
    <w:rsid w:val="19061883"/>
    <w:rsid w:val="190F698A"/>
    <w:rsid w:val="19120228"/>
    <w:rsid w:val="19121FD6"/>
    <w:rsid w:val="192D6E10"/>
    <w:rsid w:val="193444F2"/>
    <w:rsid w:val="19353F17"/>
    <w:rsid w:val="19371A3D"/>
    <w:rsid w:val="19375EE1"/>
    <w:rsid w:val="193C52A5"/>
    <w:rsid w:val="1941466A"/>
    <w:rsid w:val="19461C80"/>
    <w:rsid w:val="19467ED2"/>
    <w:rsid w:val="194B7296"/>
    <w:rsid w:val="195E16BF"/>
    <w:rsid w:val="19622F5E"/>
    <w:rsid w:val="196842EC"/>
    <w:rsid w:val="196F7429"/>
    <w:rsid w:val="1977452F"/>
    <w:rsid w:val="197B5DCD"/>
    <w:rsid w:val="197B7B7C"/>
    <w:rsid w:val="197C1B46"/>
    <w:rsid w:val="197E766C"/>
    <w:rsid w:val="19810F0A"/>
    <w:rsid w:val="19856C4C"/>
    <w:rsid w:val="19882298"/>
    <w:rsid w:val="19921369"/>
    <w:rsid w:val="19932372"/>
    <w:rsid w:val="1997072D"/>
    <w:rsid w:val="1998697F"/>
    <w:rsid w:val="199B1FCC"/>
    <w:rsid w:val="199C02DC"/>
    <w:rsid w:val="19A03A86"/>
    <w:rsid w:val="19A20DD5"/>
    <w:rsid w:val="19A30E80"/>
    <w:rsid w:val="19A8293B"/>
    <w:rsid w:val="19AD7F51"/>
    <w:rsid w:val="19AE03F1"/>
    <w:rsid w:val="19B47531"/>
    <w:rsid w:val="19B968F6"/>
    <w:rsid w:val="19BB441C"/>
    <w:rsid w:val="19BE5CBA"/>
    <w:rsid w:val="19C31523"/>
    <w:rsid w:val="19C72DC1"/>
    <w:rsid w:val="19C86B39"/>
    <w:rsid w:val="19D071CC"/>
    <w:rsid w:val="19D92AF4"/>
    <w:rsid w:val="19DB4C55"/>
    <w:rsid w:val="19DE1A34"/>
    <w:rsid w:val="19E576EB"/>
    <w:rsid w:val="19E85593"/>
    <w:rsid w:val="19ED659F"/>
    <w:rsid w:val="19EF2318"/>
    <w:rsid w:val="19F142E2"/>
    <w:rsid w:val="19FB6F0E"/>
    <w:rsid w:val="19FF69FF"/>
    <w:rsid w:val="1A071A03"/>
    <w:rsid w:val="1A0C2EC9"/>
    <w:rsid w:val="1A1F16AE"/>
    <w:rsid w:val="1A22449B"/>
    <w:rsid w:val="1A226A73"/>
    <w:rsid w:val="1A2A51C2"/>
    <w:rsid w:val="1A3B5C77"/>
    <w:rsid w:val="1A3D7527"/>
    <w:rsid w:val="1A402B73"/>
    <w:rsid w:val="1A4B1C44"/>
    <w:rsid w:val="1A4C776A"/>
    <w:rsid w:val="1A4E5290"/>
    <w:rsid w:val="1A58610F"/>
    <w:rsid w:val="1A5959E3"/>
    <w:rsid w:val="1A5B175B"/>
    <w:rsid w:val="1A75606A"/>
    <w:rsid w:val="1A8567D8"/>
    <w:rsid w:val="1A8E38DF"/>
    <w:rsid w:val="1A903AFB"/>
    <w:rsid w:val="1A9058A9"/>
    <w:rsid w:val="1A9133CF"/>
    <w:rsid w:val="1A984BAD"/>
    <w:rsid w:val="1A9A2283"/>
    <w:rsid w:val="1A9B5FFB"/>
    <w:rsid w:val="1A9C249F"/>
    <w:rsid w:val="1AA2738A"/>
    <w:rsid w:val="1AA66E7A"/>
    <w:rsid w:val="1AA94BBC"/>
    <w:rsid w:val="1AB33345"/>
    <w:rsid w:val="1AB8220E"/>
    <w:rsid w:val="1ABD2416"/>
    <w:rsid w:val="1ABD5F72"/>
    <w:rsid w:val="1AC13CB4"/>
    <w:rsid w:val="1ACC5BD5"/>
    <w:rsid w:val="1ACD2659"/>
    <w:rsid w:val="1AE16104"/>
    <w:rsid w:val="1AE17EB2"/>
    <w:rsid w:val="1AE4166C"/>
    <w:rsid w:val="1AE479A2"/>
    <w:rsid w:val="1AEE25CF"/>
    <w:rsid w:val="1AEF6A73"/>
    <w:rsid w:val="1AF06CFB"/>
    <w:rsid w:val="1AF11B8D"/>
    <w:rsid w:val="1AF37BE5"/>
    <w:rsid w:val="1AFC2F3E"/>
    <w:rsid w:val="1B0D75A0"/>
    <w:rsid w:val="1B11359C"/>
    <w:rsid w:val="1B1C0EEA"/>
    <w:rsid w:val="1B261D69"/>
    <w:rsid w:val="1B2A271F"/>
    <w:rsid w:val="1B2B3823"/>
    <w:rsid w:val="1B2D30F7"/>
    <w:rsid w:val="1B3E3557"/>
    <w:rsid w:val="1B4072CF"/>
    <w:rsid w:val="1B4318B7"/>
    <w:rsid w:val="1B43291B"/>
    <w:rsid w:val="1B440441"/>
    <w:rsid w:val="1B4B17D0"/>
    <w:rsid w:val="1B4B5C73"/>
    <w:rsid w:val="1B4D19EC"/>
    <w:rsid w:val="1B4E306E"/>
    <w:rsid w:val="1B530544"/>
    <w:rsid w:val="1B60171F"/>
    <w:rsid w:val="1B650AE3"/>
    <w:rsid w:val="1B6805D3"/>
    <w:rsid w:val="1B6A60FA"/>
    <w:rsid w:val="1B713184"/>
    <w:rsid w:val="1B7725C5"/>
    <w:rsid w:val="1B8C2514"/>
    <w:rsid w:val="1B8F5B60"/>
    <w:rsid w:val="1B9413C8"/>
    <w:rsid w:val="1B974A15"/>
    <w:rsid w:val="1B99078D"/>
    <w:rsid w:val="1B9C202B"/>
    <w:rsid w:val="1BA01B1B"/>
    <w:rsid w:val="1BA209CF"/>
    <w:rsid w:val="1BA809D0"/>
    <w:rsid w:val="1BB2184F"/>
    <w:rsid w:val="1BB43819"/>
    <w:rsid w:val="1BB455C7"/>
    <w:rsid w:val="1BB4777D"/>
    <w:rsid w:val="1BB750B7"/>
    <w:rsid w:val="1BC31CAE"/>
    <w:rsid w:val="1BC670A8"/>
    <w:rsid w:val="1BC81072"/>
    <w:rsid w:val="1BD143CB"/>
    <w:rsid w:val="1BD16179"/>
    <w:rsid w:val="1BD33001"/>
    <w:rsid w:val="1BD45C69"/>
    <w:rsid w:val="1BD6553D"/>
    <w:rsid w:val="1BD712B5"/>
    <w:rsid w:val="1BD75AB8"/>
    <w:rsid w:val="1BD9502D"/>
    <w:rsid w:val="1BE063BC"/>
    <w:rsid w:val="1BE3162A"/>
    <w:rsid w:val="1BE614F8"/>
    <w:rsid w:val="1BE91714"/>
    <w:rsid w:val="1BEA0FE8"/>
    <w:rsid w:val="1BEF4851"/>
    <w:rsid w:val="1BF12377"/>
    <w:rsid w:val="1BF43C15"/>
    <w:rsid w:val="1BFB4FA4"/>
    <w:rsid w:val="1BFC4128"/>
    <w:rsid w:val="1BFD6F6E"/>
    <w:rsid w:val="1C006A5E"/>
    <w:rsid w:val="1C0227D6"/>
    <w:rsid w:val="1C0459C2"/>
    <w:rsid w:val="1C071B9A"/>
    <w:rsid w:val="1C0F4EF3"/>
    <w:rsid w:val="1C0F6CA1"/>
    <w:rsid w:val="1C183DA8"/>
    <w:rsid w:val="1C1B3B4A"/>
    <w:rsid w:val="1C1B5646"/>
    <w:rsid w:val="1C24274C"/>
    <w:rsid w:val="1C252021"/>
    <w:rsid w:val="1C2D7127"/>
    <w:rsid w:val="1C2F2E9F"/>
    <w:rsid w:val="1C3109C5"/>
    <w:rsid w:val="1C381D54"/>
    <w:rsid w:val="1C427076"/>
    <w:rsid w:val="1C4E0CFD"/>
    <w:rsid w:val="1C550B58"/>
    <w:rsid w:val="1C5B5A42"/>
    <w:rsid w:val="1C6568C1"/>
    <w:rsid w:val="1C6C40F3"/>
    <w:rsid w:val="1C6E7E6B"/>
    <w:rsid w:val="1C784846"/>
    <w:rsid w:val="1C8256C5"/>
    <w:rsid w:val="1C856F63"/>
    <w:rsid w:val="1C88086E"/>
    <w:rsid w:val="1C9378D2"/>
    <w:rsid w:val="1C9553F8"/>
    <w:rsid w:val="1C9D605B"/>
    <w:rsid w:val="1C9F6277"/>
    <w:rsid w:val="1CA27B15"/>
    <w:rsid w:val="1CA4563B"/>
    <w:rsid w:val="1CA473E9"/>
    <w:rsid w:val="1CAC2742"/>
    <w:rsid w:val="1CB17D58"/>
    <w:rsid w:val="1CB6536F"/>
    <w:rsid w:val="1CBF4223"/>
    <w:rsid w:val="1CC01D49"/>
    <w:rsid w:val="1CC161ED"/>
    <w:rsid w:val="1CC45CDD"/>
    <w:rsid w:val="1CC651D8"/>
    <w:rsid w:val="1CC655B2"/>
    <w:rsid w:val="1CCE26B8"/>
    <w:rsid w:val="1CCE4466"/>
    <w:rsid w:val="1CCF69CF"/>
    <w:rsid w:val="1CD06430"/>
    <w:rsid w:val="1CD203FA"/>
    <w:rsid w:val="1CD6156D"/>
    <w:rsid w:val="1CD87093"/>
    <w:rsid w:val="1CE04199"/>
    <w:rsid w:val="1CF10155"/>
    <w:rsid w:val="1CF2284B"/>
    <w:rsid w:val="1CF30371"/>
    <w:rsid w:val="1CFA34AD"/>
    <w:rsid w:val="1CFC5477"/>
    <w:rsid w:val="1D022362"/>
    <w:rsid w:val="1D0600A4"/>
    <w:rsid w:val="1D0936F0"/>
    <w:rsid w:val="1D116E78"/>
    <w:rsid w:val="1D235971"/>
    <w:rsid w:val="1D266CE1"/>
    <w:rsid w:val="1D2F75FB"/>
    <w:rsid w:val="1D344C11"/>
    <w:rsid w:val="1D353C90"/>
    <w:rsid w:val="1D385D84"/>
    <w:rsid w:val="1D3963AF"/>
    <w:rsid w:val="1D3A7D4E"/>
    <w:rsid w:val="1D3D339A"/>
    <w:rsid w:val="1D444728"/>
    <w:rsid w:val="1D4604A0"/>
    <w:rsid w:val="1D484219"/>
    <w:rsid w:val="1D4961E3"/>
    <w:rsid w:val="1D4B3D09"/>
    <w:rsid w:val="1D530C7D"/>
    <w:rsid w:val="1D57445C"/>
    <w:rsid w:val="1D6A673C"/>
    <w:rsid w:val="1D725739"/>
    <w:rsid w:val="1D774AFE"/>
    <w:rsid w:val="1D7E5E8C"/>
    <w:rsid w:val="1D840FC9"/>
    <w:rsid w:val="1D85546D"/>
    <w:rsid w:val="1D8D60CF"/>
    <w:rsid w:val="1D9247AE"/>
    <w:rsid w:val="1D9B4C90"/>
    <w:rsid w:val="1DA022A7"/>
    <w:rsid w:val="1DAA4ED3"/>
    <w:rsid w:val="1DAF6046"/>
    <w:rsid w:val="1DB567EC"/>
    <w:rsid w:val="1DBB273F"/>
    <w:rsid w:val="1DCB4E4A"/>
    <w:rsid w:val="1DCF66E8"/>
    <w:rsid w:val="1DD261D8"/>
    <w:rsid w:val="1DD41F50"/>
    <w:rsid w:val="1DD7559C"/>
    <w:rsid w:val="1DE008F5"/>
    <w:rsid w:val="1DE303E5"/>
    <w:rsid w:val="1DF20628"/>
    <w:rsid w:val="1DF3687A"/>
    <w:rsid w:val="1DF51A98"/>
    <w:rsid w:val="1DFE6FCD"/>
    <w:rsid w:val="1E0A0959"/>
    <w:rsid w:val="1E0C793C"/>
    <w:rsid w:val="1E1467F1"/>
    <w:rsid w:val="1E162569"/>
    <w:rsid w:val="1E197963"/>
    <w:rsid w:val="1E206F43"/>
    <w:rsid w:val="1E2F7187"/>
    <w:rsid w:val="1E37428D"/>
    <w:rsid w:val="1E3824DF"/>
    <w:rsid w:val="1E396257"/>
    <w:rsid w:val="1E3D060F"/>
    <w:rsid w:val="1E3F7D2E"/>
    <w:rsid w:val="1E401394"/>
    <w:rsid w:val="1E4134E4"/>
    <w:rsid w:val="1E4569AA"/>
    <w:rsid w:val="1E4F7829"/>
    <w:rsid w:val="1E5062B3"/>
    <w:rsid w:val="1E523514"/>
    <w:rsid w:val="1E543091"/>
    <w:rsid w:val="1E562965"/>
    <w:rsid w:val="1E592455"/>
    <w:rsid w:val="1E5D0198"/>
    <w:rsid w:val="1E650DFA"/>
    <w:rsid w:val="1E6C03DB"/>
    <w:rsid w:val="1E707ECB"/>
    <w:rsid w:val="1E71154D"/>
    <w:rsid w:val="1E714A66"/>
    <w:rsid w:val="1E7E3C6A"/>
    <w:rsid w:val="1E802593"/>
    <w:rsid w:val="1E811F72"/>
    <w:rsid w:val="1E8F40C9"/>
    <w:rsid w:val="1E911BEF"/>
    <w:rsid w:val="1E934CC5"/>
    <w:rsid w:val="1E955C6F"/>
    <w:rsid w:val="1E982F7E"/>
    <w:rsid w:val="1E990AA4"/>
    <w:rsid w:val="1E9D0594"/>
    <w:rsid w:val="1EA25BAA"/>
    <w:rsid w:val="1EA703CC"/>
    <w:rsid w:val="1EAA2CB1"/>
    <w:rsid w:val="1EAC4C7B"/>
    <w:rsid w:val="1EB1403F"/>
    <w:rsid w:val="1EB4768C"/>
    <w:rsid w:val="1EB63404"/>
    <w:rsid w:val="1EB7330C"/>
    <w:rsid w:val="1EBC3110"/>
    <w:rsid w:val="1EBD4792"/>
    <w:rsid w:val="1ECD4970"/>
    <w:rsid w:val="1ED146E2"/>
    <w:rsid w:val="1EDB10BC"/>
    <w:rsid w:val="1EDF6DFF"/>
    <w:rsid w:val="1EE066D3"/>
    <w:rsid w:val="1EE77A61"/>
    <w:rsid w:val="1EF26B32"/>
    <w:rsid w:val="1EF36406"/>
    <w:rsid w:val="1EFD6921"/>
    <w:rsid w:val="1EFF4DAB"/>
    <w:rsid w:val="1F0138E4"/>
    <w:rsid w:val="1F022AED"/>
    <w:rsid w:val="1F0A0FF3"/>
    <w:rsid w:val="1F0C1276"/>
    <w:rsid w:val="1F0E4FEE"/>
    <w:rsid w:val="1F100D66"/>
    <w:rsid w:val="1F136AA8"/>
    <w:rsid w:val="1F1559C4"/>
    <w:rsid w:val="1F166F07"/>
    <w:rsid w:val="1F1F369F"/>
    <w:rsid w:val="1F234F3D"/>
    <w:rsid w:val="1F242A63"/>
    <w:rsid w:val="1F323508"/>
    <w:rsid w:val="1F354C71"/>
    <w:rsid w:val="1F424E16"/>
    <w:rsid w:val="1F464788"/>
    <w:rsid w:val="1F494278"/>
    <w:rsid w:val="1F4C5B16"/>
    <w:rsid w:val="1F4D3D68"/>
    <w:rsid w:val="1F4E5D32"/>
    <w:rsid w:val="1F5275D0"/>
    <w:rsid w:val="1F5771FF"/>
    <w:rsid w:val="1F63358C"/>
    <w:rsid w:val="1F751511"/>
    <w:rsid w:val="1F775289"/>
    <w:rsid w:val="1F777037"/>
    <w:rsid w:val="1F861028"/>
    <w:rsid w:val="1F875CE6"/>
    <w:rsid w:val="1F8D23B7"/>
    <w:rsid w:val="1F8D685B"/>
    <w:rsid w:val="1F8E612F"/>
    <w:rsid w:val="1F925C1F"/>
    <w:rsid w:val="1F947BE9"/>
    <w:rsid w:val="1FA6791C"/>
    <w:rsid w:val="1FAA740D"/>
    <w:rsid w:val="1FB5190D"/>
    <w:rsid w:val="1FBA5176"/>
    <w:rsid w:val="1FBB33C8"/>
    <w:rsid w:val="1FBC0EEE"/>
    <w:rsid w:val="1FBC7140"/>
    <w:rsid w:val="1FC61D6D"/>
    <w:rsid w:val="1FC81641"/>
    <w:rsid w:val="1FC85AE5"/>
    <w:rsid w:val="1FCA53B9"/>
    <w:rsid w:val="1FCB2EDF"/>
    <w:rsid w:val="1FD75D28"/>
    <w:rsid w:val="1FD83A4D"/>
    <w:rsid w:val="1FDD4B78"/>
    <w:rsid w:val="1FE67D19"/>
    <w:rsid w:val="1FE868A9"/>
    <w:rsid w:val="1FEB532F"/>
    <w:rsid w:val="1FED10A7"/>
    <w:rsid w:val="1FF22B62"/>
    <w:rsid w:val="1FF266BE"/>
    <w:rsid w:val="1FF71F26"/>
    <w:rsid w:val="1FF93EF0"/>
    <w:rsid w:val="1FFB37C4"/>
    <w:rsid w:val="1FFC753C"/>
    <w:rsid w:val="2000527E"/>
    <w:rsid w:val="2000702C"/>
    <w:rsid w:val="20012DA5"/>
    <w:rsid w:val="20034907"/>
    <w:rsid w:val="2006233A"/>
    <w:rsid w:val="20084133"/>
    <w:rsid w:val="200A3D75"/>
    <w:rsid w:val="20124FB2"/>
    <w:rsid w:val="20144886"/>
    <w:rsid w:val="20173E4B"/>
    <w:rsid w:val="20176124"/>
    <w:rsid w:val="201900EE"/>
    <w:rsid w:val="20191E9C"/>
    <w:rsid w:val="20196340"/>
    <w:rsid w:val="201E48A5"/>
    <w:rsid w:val="20210D51"/>
    <w:rsid w:val="202A22FB"/>
    <w:rsid w:val="202D1DEC"/>
    <w:rsid w:val="20354669"/>
    <w:rsid w:val="2040567B"/>
    <w:rsid w:val="20452C91"/>
    <w:rsid w:val="20457135"/>
    <w:rsid w:val="204607B7"/>
    <w:rsid w:val="20471345"/>
    <w:rsid w:val="204D5FEA"/>
    <w:rsid w:val="204E48BC"/>
    <w:rsid w:val="205729C5"/>
    <w:rsid w:val="20673637"/>
    <w:rsid w:val="20713A86"/>
    <w:rsid w:val="20735A50"/>
    <w:rsid w:val="2077343C"/>
    <w:rsid w:val="20790B8D"/>
    <w:rsid w:val="207E61A3"/>
    <w:rsid w:val="207F2647"/>
    <w:rsid w:val="208539D6"/>
    <w:rsid w:val="208921B3"/>
    <w:rsid w:val="208A4B48"/>
    <w:rsid w:val="20932C15"/>
    <w:rsid w:val="20973DEB"/>
    <w:rsid w:val="209F07ED"/>
    <w:rsid w:val="209F6845"/>
    <w:rsid w:val="20A51982"/>
    <w:rsid w:val="20AD0837"/>
    <w:rsid w:val="20AE6A88"/>
    <w:rsid w:val="20B16579"/>
    <w:rsid w:val="20B26522"/>
    <w:rsid w:val="20B44310"/>
    <w:rsid w:val="20BD316F"/>
    <w:rsid w:val="20BE3059"/>
    <w:rsid w:val="20BF0C96"/>
    <w:rsid w:val="20C55B80"/>
    <w:rsid w:val="20CA3197"/>
    <w:rsid w:val="20CA763A"/>
    <w:rsid w:val="20D14525"/>
    <w:rsid w:val="20D504B9"/>
    <w:rsid w:val="20D52267"/>
    <w:rsid w:val="20D65FDF"/>
    <w:rsid w:val="20D858B3"/>
    <w:rsid w:val="20E701EC"/>
    <w:rsid w:val="20F16975"/>
    <w:rsid w:val="20F621DE"/>
    <w:rsid w:val="20F841A8"/>
    <w:rsid w:val="20FB17E4"/>
    <w:rsid w:val="21042B4C"/>
    <w:rsid w:val="210466A8"/>
    <w:rsid w:val="21076199"/>
    <w:rsid w:val="21091F11"/>
    <w:rsid w:val="210C1A01"/>
    <w:rsid w:val="211116EB"/>
    <w:rsid w:val="21132D8F"/>
    <w:rsid w:val="211663DC"/>
    <w:rsid w:val="2117610B"/>
    <w:rsid w:val="211A411E"/>
    <w:rsid w:val="211C60E8"/>
    <w:rsid w:val="21244F9D"/>
    <w:rsid w:val="21303941"/>
    <w:rsid w:val="213170F5"/>
    <w:rsid w:val="21374CD0"/>
    <w:rsid w:val="213977FF"/>
    <w:rsid w:val="213B5E42"/>
    <w:rsid w:val="21486EDD"/>
    <w:rsid w:val="214C004F"/>
    <w:rsid w:val="214C62A1"/>
    <w:rsid w:val="21577120"/>
    <w:rsid w:val="215869F4"/>
    <w:rsid w:val="215A276C"/>
    <w:rsid w:val="216133FC"/>
    <w:rsid w:val="216361B0"/>
    <w:rsid w:val="21661111"/>
    <w:rsid w:val="216E4D96"/>
    <w:rsid w:val="217001E2"/>
    <w:rsid w:val="21713385"/>
    <w:rsid w:val="217750CC"/>
    <w:rsid w:val="217C26E3"/>
    <w:rsid w:val="218872DA"/>
    <w:rsid w:val="218B501C"/>
    <w:rsid w:val="219739C1"/>
    <w:rsid w:val="219914E7"/>
    <w:rsid w:val="219C2D85"/>
    <w:rsid w:val="21AD6D40"/>
    <w:rsid w:val="21BC3427"/>
    <w:rsid w:val="21C25055"/>
    <w:rsid w:val="21C67E02"/>
    <w:rsid w:val="21D267A7"/>
    <w:rsid w:val="21D50045"/>
    <w:rsid w:val="21D56769"/>
    <w:rsid w:val="21D818E3"/>
    <w:rsid w:val="21D97B35"/>
    <w:rsid w:val="21E40288"/>
    <w:rsid w:val="21E52EF3"/>
    <w:rsid w:val="21E93AF0"/>
    <w:rsid w:val="21F11323"/>
    <w:rsid w:val="21F944FD"/>
    <w:rsid w:val="21FB5D7B"/>
    <w:rsid w:val="22010E3A"/>
    <w:rsid w:val="220B1C3D"/>
    <w:rsid w:val="220B1CB9"/>
    <w:rsid w:val="22105521"/>
    <w:rsid w:val="22192627"/>
    <w:rsid w:val="221943D6"/>
    <w:rsid w:val="221D1D20"/>
    <w:rsid w:val="221F7512"/>
    <w:rsid w:val="222114DC"/>
    <w:rsid w:val="22230DB0"/>
    <w:rsid w:val="22250FCC"/>
    <w:rsid w:val="2230171F"/>
    <w:rsid w:val="22334A87"/>
    <w:rsid w:val="223C00C4"/>
    <w:rsid w:val="224156DA"/>
    <w:rsid w:val="224A458F"/>
    <w:rsid w:val="224F6049"/>
    <w:rsid w:val="22573150"/>
    <w:rsid w:val="225B679C"/>
    <w:rsid w:val="225E5206"/>
    <w:rsid w:val="22635651"/>
    <w:rsid w:val="226D4721"/>
    <w:rsid w:val="226D64CF"/>
    <w:rsid w:val="22743D02"/>
    <w:rsid w:val="227C6712"/>
    <w:rsid w:val="22804455"/>
    <w:rsid w:val="22813DB4"/>
    <w:rsid w:val="22833F45"/>
    <w:rsid w:val="22835CF3"/>
    <w:rsid w:val="228710B6"/>
    <w:rsid w:val="228C4BA7"/>
    <w:rsid w:val="228D0920"/>
    <w:rsid w:val="228F28EA"/>
    <w:rsid w:val="229323DA"/>
    <w:rsid w:val="229E2B2D"/>
    <w:rsid w:val="22A00653"/>
    <w:rsid w:val="22A0413C"/>
    <w:rsid w:val="22A04AF7"/>
    <w:rsid w:val="22A30143"/>
    <w:rsid w:val="22A31EF1"/>
    <w:rsid w:val="22A448F0"/>
    <w:rsid w:val="22A53EBB"/>
    <w:rsid w:val="22B440FE"/>
    <w:rsid w:val="22B91715"/>
    <w:rsid w:val="22BE6801"/>
    <w:rsid w:val="22C500B9"/>
    <w:rsid w:val="22CA2A17"/>
    <w:rsid w:val="22CE3412"/>
    <w:rsid w:val="22D14CB0"/>
    <w:rsid w:val="22D4654E"/>
    <w:rsid w:val="22D93B65"/>
    <w:rsid w:val="22D95913"/>
    <w:rsid w:val="22DB5B2F"/>
    <w:rsid w:val="22EE5862"/>
    <w:rsid w:val="22F015DA"/>
    <w:rsid w:val="22F8048F"/>
    <w:rsid w:val="22FB7F7F"/>
    <w:rsid w:val="22FE2BA5"/>
    <w:rsid w:val="230961F8"/>
    <w:rsid w:val="230C3F3A"/>
    <w:rsid w:val="23103A2A"/>
    <w:rsid w:val="231336BF"/>
    <w:rsid w:val="23151041"/>
    <w:rsid w:val="23160915"/>
    <w:rsid w:val="23164DB9"/>
    <w:rsid w:val="232C638A"/>
    <w:rsid w:val="2331285C"/>
    <w:rsid w:val="233500BF"/>
    <w:rsid w:val="23377FF7"/>
    <w:rsid w:val="233A2855"/>
    <w:rsid w:val="233D0598"/>
    <w:rsid w:val="23403BE4"/>
    <w:rsid w:val="23411E36"/>
    <w:rsid w:val="2342795C"/>
    <w:rsid w:val="234550BE"/>
    <w:rsid w:val="234731C4"/>
    <w:rsid w:val="23474F72"/>
    <w:rsid w:val="23476D20"/>
    <w:rsid w:val="23496F3C"/>
    <w:rsid w:val="234B6811"/>
    <w:rsid w:val="234C4BAE"/>
    <w:rsid w:val="23512194"/>
    <w:rsid w:val="23517B9F"/>
    <w:rsid w:val="23582CDC"/>
    <w:rsid w:val="23675615"/>
    <w:rsid w:val="236B0C61"/>
    <w:rsid w:val="236B425F"/>
    <w:rsid w:val="236C6787"/>
    <w:rsid w:val="23720241"/>
    <w:rsid w:val="237A203E"/>
    <w:rsid w:val="237A543E"/>
    <w:rsid w:val="237A70F6"/>
    <w:rsid w:val="237D6BE6"/>
    <w:rsid w:val="23836192"/>
    <w:rsid w:val="23843AD1"/>
    <w:rsid w:val="23847F75"/>
    <w:rsid w:val="238E0DF3"/>
    <w:rsid w:val="238E2BA1"/>
    <w:rsid w:val="23901F29"/>
    <w:rsid w:val="23977CA8"/>
    <w:rsid w:val="23990716"/>
    <w:rsid w:val="239C0061"/>
    <w:rsid w:val="239F090A"/>
    <w:rsid w:val="23A3664D"/>
    <w:rsid w:val="23A67EEB"/>
    <w:rsid w:val="23A93537"/>
    <w:rsid w:val="23A979DB"/>
    <w:rsid w:val="23AF407D"/>
    <w:rsid w:val="23B908A4"/>
    <w:rsid w:val="23B95E70"/>
    <w:rsid w:val="23C10881"/>
    <w:rsid w:val="23C16AD3"/>
    <w:rsid w:val="23CD36CA"/>
    <w:rsid w:val="23D031BA"/>
    <w:rsid w:val="23D17CF2"/>
    <w:rsid w:val="23D83E1C"/>
    <w:rsid w:val="23DA5DE6"/>
    <w:rsid w:val="23E40A13"/>
    <w:rsid w:val="23E95BEF"/>
    <w:rsid w:val="23ED5B1A"/>
    <w:rsid w:val="23F21382"/>
    <w:rsid w:val="23FD0064"/>
    <w:rsid w:val="2403691B"/>
    <w:rsid w:val="240370EB"/>
    <w:rsid w:val="24044C11"/>
    <w:rsid w:val="240B41F2"/>
    <w:rsid w:val="241A2687"/>
    <w:rsid w:val="24217571"/>
    <w:rsid w:val="2423778D"/>
    <w:rsid w:val="2426102C"/>
    <w:rsid w:val="24262DDA"/>
    <w:rsid w:val="242B03F0"/>
    <w:rsid w:val="242B219E"/>
    <w:rsid w:val="24314C44"/>
    <w:rsid w:val="243454F7"/>
    <w:rsid w:val="243E6375"/>
    <w:rsid w:val="2443573A"/>
    <w:rsid w:val="24466FD8"/>
    <w:rsid w:val="24482D50"/>
    <w:rsid w:val="244D65B8"/>
    <w:rsid w:val="245375B0"/>
    <w:rsid w:val="245B6F27"/>
    <w:rsid w:val="245E07C6"/>
    <w:rsid w:val="246062EC"/>
    <w:rsid w:val="24642C0A"/>
    <w:rsid w:val="246851A0"/>
    <w:rsid w:val="246A53BC"/>
    <w:rsid w:val="246B6A3F"/>
    <w:rsid w:val="246D0A09"/>
    <w:rsid w:val="246D6C5B"/>
    <w:rsid w:val="246F4EFF"/>
    <w:rsid w:val="247022A7"/>
    <w:rsid w:val="24747FE9"/>
    <w:rsid w:val="247578BD"/>
    <w:rsid w:val="24763D61"/>
    <w:rsid w:val="247C0C4C"/>
    <w:rsid w:val="247D6439"/>
    <w:rsid w:val="247E2C16"/>
    <w:rsid w:val="24832617"/>
    <w:rsid w:val="248D2E59"/>
    <w:rsid w:val="24961D0D"/>
    <w:rsid w:val="24A26904"/>
    <w:rsid w:val="24A85EE5"/>
    <w:rsid w:val="24AA2A5A"/>
    <w:rsid w:val="24AB32DF"/>
    <w:rsid w:val="24AC1531"/>
    <w:rsid w:val="24AD7057"/>
    <w:rsid w:val="24B14D99"/>
    <w:rsid w:val="24B22173"/>
    <w:rsid w:val="24B30B11"/>
    <w:rsid w:val="24B95AD9"/>
    <w:rsid w:val="24BB1774"/>
    <w:rsid w:val="24BE24DA"/>
    <w:rsid w:val="24C20D54"/>
    <w:rsid w:val="24CE594B"/>
    <w:rsid w:val="24CF5825"/>
    <w:rsid w:val="24D26ABE"/>
    <w:rsid w:val="24D64800"/>
    <w:rsid w:val="24D663E6"/>
    <w:rsid w:val="24D77F2B"/>
    <w:rsid w:val="24DB5972"/>
    <w:rsid w:val="24DE36B4"/>
    <w:rsid w:val="24E0551A"/>
    <w:rsid w:val="24EE1B49"/>
    <w:rsid w:val="24EF141E"/>
    <w:rsid w:val="24F579FC"/>
    <w:rsid w:val="24F66C50"/>
    <w:rsid w:val="24FB2FF9"/>
    <w:rsid w:val="24FF3AEE"/>
    <w:rsid w:val="25004B0F"/>
    <w:rsid w:val="250C0222"/>
    <w:rsid w:val="250F386E"/>
    <w:rsid w:val="25101FD3"/>
    <w:rsid w:val="25140E84"/>
    <w:rsid w:val="251A0B90"/>
    <w:rsid w:val="251C31E3"/>
    <w:rsid w:val="251E1D03"/>
    <w:rsid w:val="25287F65"/>
    <w:rsid w:val="252A06A8"/>
    <w:rsid w:val="253634F0"/>
    <w:rsid w:val="2536529E"/>
    <w:rsid w:val="253A30B9"/>
    <w:rsid w:val="253A4D8F"/>
    <w:rsid w:val="253F05F7"/>
    <w:rsid w:val="254259F1"/>
    <w:rsid w:val="25453733"/>
    <w:rsid w:val="25553977"/>
    <w:rsid w:val="2556149D"/>
    <w:rsid w:val="25592D3B"/>
    <w:rsid w:val="255A0F8D"/>
    <w:rsid w:val="255E0351"/>
    <w:rsid w:val="256040C9"/>
    <w:rsid w:val="256516E0"/>
    <w:rsid w:val="25667F11"/>
    <w:rsid w:val="25675458"/>
    <w:rsid w:val="257638ED"/>
    <w:rsid w:val="257D4C7B"/>
    <w:rsid w:val="2584600A"/>
    <w:rsid w:val="25853B30"/>
    <w:rsid w:val="258B00E2"/>
    <w:rsid w:val="258B383C"/>
    <w:rsid w:val="258C1362"/>
    <w:rsid w:val="259D152E"/>
    <w:rsid w:val="25A55F80"/>
    <w:rsid w:val="25A62424"/>
    <w:rsid w:val="25A8619C"/>
    <w:rsid w:val="25A917A6"/>
    <w:rsid w:val="25AD37B3"/>
    <w:rsid w:val="25B032A3"/>
    <w:rsid w:val="25B276F2"/>
    <w:rsid w:val="25B60C44"/>
    <w:rsid w:val="25B61F3B"/>
    <w:rsid w:val="25BE27CC"/>
    <w:rsid w:val="25C1100C"/>
    <w:rsid w:val="25C32FD6"/>
    <w:rsid w:val="25C7239A"/>
    <w:rsid w:val="25CB3C39"/>
    <w:rsid w:val="25CE197B"/>
    <w:rsid w:val="25D02FFD"/>
    <w:rsid w:val="25D32D3D"/>
    <w:rsid w:val="25E1345C"/>
    <w:rsid w:val="25E42F4C"/>
    <w:rsid w:val="25E847EB"/>
    <w:rsid w:val="25EB6089"/>
    <w:rsid w:val="25F3318F"/>
    <w:rsid w:val="25F34F3E"/>
    <w:rsid w:val="25F52A64"/>
    <w:rsid w:val="25F74A5C"/>
    <w:rsid w:val="25FF38E2"/>
    <w:rsid w:val="2601765A"/>
    <w:rsid w:val="26031625"/>
    <w:rsid w:val="260E7FC9"/>
    <w:rsid w:val="2613738E"/>
    <w:rsid w:val="26143832"/>
    <w:rsid w:val="26181471"/>
    <w:rsid w:val="2628662C"/>
    <w:rsid w:val="26296BB1"/>
    <w:rsid w:val="262B0B7B"/>
    <w:rsid w:val="262D45DE"/>
    <w:rsid w:val="26307F40"/>
    <w:rsid w:val="26325A66"/>
    <w:rsid w:val="263317DE"/>
    <w:rsid w:val="263537A8"/>
    <w:rsid w:val="26393298"/>
    <w:rsid w:val="263A491A"/>
    <w:rsid w:val="263A5E5B"/>
    <w:rsid w:val="263B480B"/>
    <w:rsid w:val="26467763"/>
    <w:rsid w:val="264A7253"/>
    <w:rsid w:val="264D464E"/>
    <w:rsid w:val="264E2349"/>
    <w:rsid w:val="26541E80"/>
    <w:rsid w:val="26555BF8"/>
    <w:rsid w:val="265C6F87"/>
    <w:rsid w:val="2668592C"/>
    <w:rsid w:val="26695200"/>
    <w:rsid w:val="266A4519"/>
    <w:rsid w:val="267E6EFD"/>
    <w:rsid w:val="26802C75"/>
    <w:rsid w:val="26812549"/>
    <w:rsid w:val="268134B5"/>
    <w:rsid w:val="2685028B"/>
    <w:rsid w:val="26864004"/>
    <w:rsid w:val="268A3AF4"/>
    <w:rsid w:val="268B161A"/>
    <w:rsid w:val="268C786C"/>
    <w:rsid w:val="269009DE"/>
    <w:rsid w:val="269404CF"/>
    <w:rsid w:val="26966C1A"/>
    <w:rsid w:val="269A66B7"/>
    <w:rsid w:val="269E134D"/>
    <w:rsid w:val="26A06E73"/>
    <w:rsid w:val="26A526DC"/>
    <w:rsid w:val="26A53EF9"/>
    <w:rsid w:val="26A94201"/>
    <w:rsid w:val="26AC274F"/>
    <w:rsid w:val="26AF355A"/>
    <w:rsid w:val="26B75BDF"/>
    <w:rsid w:val="26BE554B"/>
    <w:rsid w:val="26C32B62"/>
    <w:rsid w:val="26CD578F"/>
    <w:rsid w:val="26D92385"/>
    <w:rsid w:val="26DE799C"/>
    <w:rsid w:val="26E01966"/>
    <w:rsid w:val="26E2748C"/>
    <w:rsid w:val="26E34FB2"/>
    <w:rsid w:val="26E36D60"/>
    <w:rsid w:val="26E74CBE"/>
    <w:rsid w:val="26E8081A"/>
    <w:rsid w:val="26EC20B9"/>
    <w:rsid w:val="26EC3886"/>
    <w:rsid w:val="26ED7BDF"/>
    <w:rsid w:val="26F70A5D"/>
    <w:rsid w:val="26FE1DEC"/>
    <w:rsid w:val="27044A29"/>
    <w:rsid w:val="27054F28"/>
    <w:rsid w:val="270C62B7"/>
    <w:rsid w:val="27133AE9"/>
    <w:rsid w:val="27182EAE"/>
    <w:rsid w:val="27194E78"/>
    <w:rsid w:val="271D34C8"/>
    <w:rsid w:val="27201D62"/>
    <w:rsid w:val="27207FB4"/>
    <w:rsid w:val="27225ADA"/>
    <w:rsid w:val="27230BFF"/>
    <w:rsid w:val="27231852"/>
    <w:rsid w:val="272555CB"/>
    <w:rsid w:val="27294DCB"/>
    <w:rsid w:val="272A0E33"/>
    <w:rsid w:val="272F6449"/>
    <w:rsid w:val="273870AC"/>
    <w:rsid w:val="273B3040"/>
    <w:rsid w:val="273D0B66"/>
    <w:rsid w:val="273F48DE"/>
    <w:rsid w:val="2741395D"/>
    <w:rsid w:val="274719E5"/>
    <w:rsid w:val="274A6DDF"/>
    <w:rsid w:val="274C0DA9"/>
    <w:rsid w:val="274E4B21"/>
    <w:rsid w:val="274E68CF"/>
    <w:rsid w:val="274F0899"/>
    <w:rsid w:val="27514612"/>
    <w:rsid w:val="2753038A"/>
    <w:rsid w:val="27533EE6"/>
    <w:rsid w:val="27570020"/>
    <w:rsid w:val="275A1718"/>
    <w:rsid w:val="275A572B"/>
    <w:rsid w:val="275D6B12"/>
    <w:rsid w:val="275F0ADD"/>
    <w:rsid w:val="276142BF"/>
    <w:rsid w:val="276500BD"/>
    <w:rsid w:val="276C144B"/>
    <w:rsid w:val="27710810"/>
    <w:rsid w:val="277125BE"/>
    <w:rsid w:val="27747016"/>
    <w:rsid w:val="27751441"/>
    <w:rsid w:val="27783712"/>
    <w:rsid w:val="27870033"/>
    <w:rsid w:val="27906EE8"/>
    <w:rsid w:val="27907362"/>
    <w:rsid w:val="27930786"/>
    <w:rsid w:val="279B588D"/>
    <w:rsid w:val="279D33B3"/>
    <w:rsid w:val="27A110F5"/>
    <w:rsid w:val="27A6670B"/>
    <w:rsid w:val="27A95C55"/>
    <w:rsid w:val="27B70919"/>
    <w:rsid w:val="27C052F3"/>
    <w:rsid w:val="27C748D4"/>
    <w:rsid w:val="27C9309C"/>
    <w:rsid w:val="27CB7B5F"/>
    <w:rsid w:val="27CB7F20"/>
    <w:rsid w:val="27D019DA"/>
    <w:rsid w:val="27D36DD5"/>
    <w:rsid w:val="27D843EB"/>
    <w:rsid w:val="27E62FAC"/>
    <w:rsid w:val="27EB411E"/>
    <w:rsid w:val="27ED433A"/>
    <w:rsid w:val="27EE1E60"/>
    <w:rsid w:val="27EE63F8"/>
    <w:rsid w:val="27F21951"/>
    <w:rsid w:val="27FD412F"/>
    <w:rsid w:val="28017DE6"/>
    <w:rsid w:val="28041684"/>
    <w:rsid w:val="280671AA"/>
    <w:rsid w:val="28081174"/>
    <w:rsid w:val="28101024"/>
    <w:rsid w:val="282633A8"/>
    <w:rsid w:val="282E04AF"/>
    <w:rsid w:val="28304227"/>
    <w:rsid w:val="283261F1"/>
    <w:rsid w:val="28333E1D"/>
    <w:rsid w:val="28341F69"/>
    <w:rsid w:val="28355CE1"/>
    <w:rsid w:val="283C7460"/>
    <w:rsid w:val="28416434"/>
    <w:rsid w:val="28425D08"/>
    <w:rsid w:val="28445F24"/>
    <w:rsid w:val="28454BD6"/>
    <w:rsid w:val="28455253"/>
    <w:rsid w:val="284657F9"/>
    <w:rsid w:val="28485A15"/>
    <w:rsid w:val="284877C3"/>
    <w:rsid w:val="284E0B51"/>
    <w:rsid w:val="284F6DA3"/>
    <w:rsid w:val="28520641"/>
    <w:rsid w:val="28546167"/>
    <w:rsid w:val="28551971"/>
    <w:rsid w:val="2858552C"/>
    <w:rsid w:val="285B1C53"/>
    <w:rsid w:val="286345FC"/>
    <w:rsid w:val="28650F8E"/>
    <w:rsid w:val="286914E7"/>
    <w:rsid w:val="286B1703"/>
    <w:rsid w:val="286D7229"/>
    <w:rsid w:val="287405B8"/>
    <w:rsid w:val="288527C5"/>
    <w:rsid w:val="28870BE3"/>
    <w:rsid w:val="288F53F1"/>
    <w:rsid w:val="289C366A"/>
    <w:rsid w:val="289F7086"/>
    <w:rsid w:val="28AF7842"/>
    <w:rsid w:val="28B135BA"/>
    <w:rsid w:val="28B5472C"/>
    <w:rsid w:val="28B9421C"/>
    <w:rsid w:val="28C32028"/>
    <w:rsid w:val="28C441DC"/>
    <w:rsid w:val="28CC490F"/>
    <w:rsid w:val="28CD7CC8"/>
    <w:rsid w:val="28D9666D"/>
    <w:rsid w:val="28DE1ED5"/>
    <w:rsid w:val="28DE3C83"/>
    <w:rsid w:val="28DE40AA"/>
    <w:rsid w:val="28E05C4D"/>
    <w:rsid w:val="28E13773"/>
    <w:rsid w:val="28E55011"/>
    <w:rsid w:val="28E82D54"/>
    <w:rsid w:val="28F90ABD"/>
    <w:rsid w:val="28F9286B"/>
    <w:rsid w:val="28F96D0F"/>
    <w:rsid w:val="28FC05AD"/>
    <w:rsid w:val="29037B8D"/>
    <w:rsid w:val="29057462"/>
    <w:rsid w:val="290D4568"/>
    <w:rsid w:val="2912392D"/>
    <w:rsid w:val="2915627C"/>
    <w:rsid w:val="2916341D"/>
    <w:rsid w:val="29183639"/>
    <w:rsid w:val="291B0A33"/>
    <w:rsid w:val="291D0C4F"/>
    <w:rsid w:val="29226266"/>
    <w:rsid w:val="29235B3A"/>
    <w:rsid w:val="292813A2"/>
    <w:rsid w:val="292E4C0A"/>
    <w:rsid w:val="29325D7D"/>
    <w:rsid w:val="293372AC"/>
    <w:rsid w:val="29345E77"/>
    <w:rsid w:val="293B7327"/>
    <w:rsid w:val="2940493E"/>
    <w:rsid w:val="294206B6"/>
    <w:rsid w:val="294C65AD"/>
    <w:rsid w:val="29542197"/>
    <w:rsid w:val="29596F58"/>
    <w:rsid w:val="295D104C"/>
    <w:rsid w:val="295E3016"/>
    <w:rsid w:val="29606D8E"/>
    <w:rsid w:val="296E357B"/>
    <w:rsid w:val="297445E7"/>
    <w:rsid w:val="29804D3A"/>
    <w:rsid w:val="29806583"/>
    <w:rsid w:val="29891E41"/>
    <w:rsid w:val="298962E5"/>
    <w:rsid w:val="298B3C4C"/>
    <w:rsid w:val="299407E6"/>
    <w:rsid w:val="299F1664"/>
    <w:rsid w:val="29A529F3"/>
    <w:rsid w:val="29AC5B2F"/>
    <w:rsid w:val="29AE18A7"/>
    <w:rsid w:val="29B80978"/>
    <w:rsid w:val="29BF323E"/>
    <w:rsid w:val="29C015DB"/>
    <w:rsid w:val="29C94933"/>
    <w:rsid w:val="29D3130E"/>
    <w:rsid w:val="29D46E34"/>
    <w:rsid w:val="29DD218D"/>
    <w:rsid w:val="29E259F5"/>
    <w:rsid w:val="29E67293"/>
    <w:rsid w:val="29E96D83"/>
    <w:rsid w:val="29F15C38"/>
    <w:rsid w:val="29F26D24"/>
    <w:rsid w:val="29F64FFC"/>
    <w:rsid w:val="29FD638B"/>
    <w:rsid w:val="2A043BBD"/>
    <w:rsid w:val="2A092F82"/>
    <w:rsid w:val="2A094D30"/>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15D0"/>
    <w:rsid w:val="2A49748E"/>
    <w:rsid w:val="2A497822"/>
    <w:rsid w:val="2A4E45E1"/>
    <w:rsid w:val="2A53244F"/>
    <w:rsid w:val="2A5F0DF4"/>
    <w:rsid w:val="2A622692"/>
    <w:rsid w:val="2A662239"/>
    <w:rsid w:val="2A6D6092"/>
    <w:rsid w:val="2A6E7289"/>
    <w:rsid w:val="2A6F54DA"/>
    <w:rsid w:val="2A720B27"/>
    <w:rsid w:val="2A7228D5"/>
    <w:rsid w:val="2A740F74"/>
    <w:rsid w:val="2A7523C5"/>
    <w:rsid w:val="2A7C19A5"/>
    <w:rsid w:val="2A7D76B4"/>
    <w:rsid w:val="2A7E6069"/>
    <w:rsid w:val="2A81520E"/>
    <w:rsid w:val="2A88659C"/>
    <w:rsid w:val="2A900FAD"/>
    <w:rsid w:val="2A9036A3"/>
    <w:rsid w:val="2A9270B0"/>
    <w:rsid w:val="2A97058D"/>
    <w:rsid w:val="2A9F38E6"/>
    <w:rsid w:val="2AA8279A"/>
    <w:rsid w:val="2AAB228B"/>
    <w:rsid w:val="2AB078A1"/>
    <w:rsid w:val="2AB27175"/>
    <w:rsid w:val="2ABB0720"/>
    <w:rsid w:val="2ABC4498"/>
    <w:rsid w:val="2ABE1FBE"/>
    <w:rsid w:val="2AC33130"/>
    <w:rsid w:val="2AC450FA"/>
    <w:rsid w:val="2AC46EA9"/>
    <w:rsid w:val="2ACB6960"/>
    <w:rsid w:val="2AD215C5"/>
    <w:rsid w:val="2AD52E64"/>
    <w:rsid w:val="2AD6263E"/>
    <w:rsid w:val="2AEB2687"/>
    <w:rsid w:val="2AEC3A3B"/>
    <w:rsid w:val="2AEF03C9"/>
    <w:rsid w:val="2AEF3F25"/>
    <w:rsid w:val="2AF7727E"/>
    <w:rsid w:val="2B057BED"/>
    <w:rsid w:val="2B0A6FB1"/>
    <w:rsid w:val="2B0B2D29"/>
    <w:rsid w:val="2B0D4CF3"/>
    <w:rsid w:val="2B147E30"/>
    <w:rsid w:val="2B1716CE"/>
    <w:rsid w:val="2B1D3F18"/>
    <w:rsid w:val="2B230073"/>
    <w:rsid w:val="2B255CF1"/>
    <w:rsid w:val="2B2A1401"/>
    <w:rsid w:val="2B2C517A"/>
    <w:rsid w:val="2B364ABF"/>
    <w:rsid w:val="2B367D05"/>
    <w:rsid w:val="2B3C1135"/>
    <w:rsid w:val="2B404781"/>
    <w:rsid w:val="2B437463"/>
    <w:rsid w:val="2B457FE9"/>
    <w:rsid w:val="2B4F70BA"/>
    <w:rsid w:val="2B514BE0"/>
    <w:rsid w:val="2B5244B4"/>
    <w:rsid w:val="2B5364B1"/>
    <w:rsid w:val="2B545BC4"/>
    <w:rsid w:val="2B560448"/>
    <w:rsid w:val="2B593A95"/>
    <w:rsid w:val="2B5B780D"/>
    <w:rsid w:val="2B5E554F"/>
    <w:rsid w:val="2B5E72FD"/>
    <w:rsid w:val="2B603075"/>
    <w:rsid w:val="2B683CD8"/>
    <w:rsid w:val="2B6C37C8"/>
    <w:rsid w:val="2B6D12EE"/>
    <w:rsid w:val="2B6D7540"/>
    <w:rsid w:val="2B7807EE"/>
    <w:rsid w:val="2B786611"/>
    <w:rsid w:val="2B794137"/>
    <w:rsid w:val="2B852ADC"/>
    <w:rsid w:val="2B856638"/>
    <w:rsid w:val="2B8723B0"/>
    <w:rsid w:val="2B8E7BE2"/>
    <w:rsid w:val="2B91322F"/>
    <w:rsid w:val="2B942D1F"/>
    <w:rsid w:val="2B95696A"/>
    <w:rsid w:val="2B980A61"/>
    <w:rsid w:val="2B984192"/>
    <w:rsid w:val="2B9845BD"/>
    <w:rsid w:val="2B9B3F1D"/>
    <w:rsid w:val="2BA03472"/>
    <w:rsid w:val="2BA72A52"/>
    <w:rsid w:val="2BA74800"/>
    <w:rsid w:val="2BAE3DE1"/>
    <w:rsid w:val="2BB807BB"/>
    <w:rsid w:val="2BB86A0D"/>
    <w:rsid w:val="2BBF00EC"/>
    <w:rsid w:val="2BC2163A"/>
    <w:rsid w:val="2BC37CFD"/>
    <w:rsid w:val="2BC929C8"/>
    <w:rsid w:val="2BCA6741"/>
    <w:rsid w:val="2BCC24B9"/>
    <w:rsid w:val="2BD5237F"/>
    <w:rsid w:val="2BD575BF"/>
    <w:rsid w:val="2BD631FD"/>
    <w:rsid w:val="2BE536CE"/>
    <w:rsid w:val="2BE758D9"/>
    <w:rsid w:val="2BE961B4"/>
    <w:rsid w:val="2BEE242F"/>
    <w:rsid w:val="2BEF61A7"/>
    <w:rsid w:val="2BEF7F55"/>
    <w:rsid w:val="2BFA78E0"/>
    <w:rsid w:val="2BFD6B16"/>
    <w:rsid w:val="2BFF288E"/>
    <w:rsid w:val="2C09049E"/>
    <w:rsid w:val="2C091017"/>
    <w:rsid w:val="2C0A653C"/>
    <w:rsid w:val="2C0C0B07"/>
    <w:rsid w:val="2C0F23A5"/>
    <w:rsid w:val="2C153E60"/>
    <w:rsid w:val="2C191F85"/>
    <w:rsid w:val="2C1B0D4A"/>
    <w:rsid w:val="2C3562B0"/>
    <w:rsid w:val="2C365B84"/>
    <w:rsid w:val="2C3979F2"/>
    <w:rsid w:val="2C3D70AC"/>
    <w:rsid w:val="2C3E47B1"/>
    <w:rsid w:val="2C3F712F"/>
    <w:rsid w:val="2C416A03"/>
    <w:rsid w:val="2C46307E"/>
    <w:rsid w:val="2C4B162F"/>
    <w:rsid w:val="2C522E51"/>
    <w:rsid w:val="2C631A05"/>
    <w:rsid w:val="2C6721E1"/>
    <w:rsid w:val="2C6941AB"/>
    <w:rsid w:val="2C6D60EB"/>
    <w:rsid w:val="2C7A0167"/>
    <w:rsid w:val="2C7F752B"/>
    <w:rsid w:val="2C803A9A"/>
    <w:rsid w:val="2C866B0B"/>
    <w:rsid w:val="2C8815B2"/>
    <w:rsid w:val="2C884632"/>
    <w:rsid w:val="2C8B5ED0"/>
    <w:rsid w:val="2C931228"/>
    <w:rsid w:val="2C985B8A"/>
    <w:rsid w:val="2C994A91"/>
    <w:rsid w:val="2C9C1E8B"/>
    <w:rsid w:val="2C9C632F"/>
    <w:rsid w:val="2CA60F5C"/>
    <w:rsid w:val="2CA945A8"/>
    <w:rsid w:val="2CAC3FA5"/>
    <w:rsid w:val="2CB371D5"/>
    <w:rsid w:val="2CB52F4D"/>
    <w:rsid w:val="2CB82A3D"/>
    <w:rsid w:val="2CBC42DB"/>
    <w:rsid w:val="2CC15D95"/>
    <w:rsid w:val="2CC3566A"/>
    <w:rsid w:val="2CCD473A"/>
    <w:rsid w:val="2CD31625"/>
    <w:rsid w:val="2CD930DF"/>
    <w:rsid w:val="2CE028C6"/>
    <w:rsid w:val="2CE54D5A"/>
    <w:rsid w:val="2CE657FC"/>
    <w:rsid w:val="2CE82D6F"/>
    <w:rsid w:val="2CED0939"/>
    <w:rsid w:val="2CED6B8B"/>
    <w:rsid w:val="2CF27CFD"/>
    <w:rsid w:val="2CF717B7"/>
    <w:rsid w:val="2CF75313"/>
    <w:rsid w:val="2CFC5020"/>
    <w:rsid w:val="2D085772"/>
    <w:rsid w:val="2D0D4B37"/>
    <w:rsid w:val="2D140E5E"/>
    <w:rsid w:val="2D157E8F"/>
    <w:rsid w:val="2D1B36F8"/>
    <w:rsid w:val="2D287BC3"/>
    <w:rsid w:val="2D2F71A3"/>
    <w:rsid w:val="2D343236"/>
    <w:rsid w:val="2D4744ED"/>
    <w:rsid w:val="2D485B6F"/>
    <w:rsid w:val="2D4C4AC2"/>
    <w:rsid w:val="2D4D13D7"/>
    <w:rsid w:val="2D4F281F"/>
    <w:rsid w:val="2D517119"/>
    <w:rsid w:val="2D524C40"/>
    <w:rsid w:val="2D581E45"/>
    <w:rsid w:val="2D60110A"/>
    <w:rsid w:val="2D6706EB"/>
    <w:rsid w:val="2D684463"/>
    <w:rsid w:val="2D686211"/>
    <w:rsid w:val="2D6A3D37"/>
    <w:rsid w:val="2D6D3827"/>
    <w:rsid w:val="2D742E08"/>
    <w:rsid w:val="2D79041E"/>
    <w:rsid w:val="2D7A1909"/>
    <w:rsid w:val="2D7B4196"/>
    <w:rsid w:val="2D7E5A35"/>
    <w:rsid w:val="2D7E77E3"/>
    <w:rsid w:val="2D8E211C"/>
    <w:rsid w:val="2D92328E"/>
    <w:rsid w:val="2D9708A4"/>
    <w:rsid w:val="2D99461C"/>
    <w:rsid w:val="2D9B65E7"/>
    <w:rsid w:val="2DA134D1"/>
    <w:rsid w:val="2DB06A5A"/>
    <w:rsid w:val="2DB11966"/>
    <w:rsid w:val="2DB43204"/>
    <w:rsid w:val="2DBD6B7D"/>
    <w:rsid w:val="2DBE22D5"/>
    <w:rsid w:val="2DD15014"/>
    <w:rsid w:val="2DD92C6B"/>
    <w:rsid w:val="2DE2019D"/>
    <w:rsid w:val="2DEC0BF0"/>
    <w:rsid w:val="2DF72DE4"/>
    <w:rsid w:val="2E0220AF"/>
    <w:rsid w:val="2E0A72C8"/>
    <w:rsid w:val="2E0C4DEE"/>
    <w:rsid w:val="2E13412C"/>
    <w:rsid w:val="2E141EF5"/>
    <w:rsid w:val="2E1B7727"/>
    <w:rsid w:val="2E2445EA"/>
    <w:rsid w:val="2E3305CD"/>
    <w:rsid w:val="2E3D585B"/>
    <w:rsid w:val="2E483EDC"/>
    <w:rsid w:val="2E4B082A"/>
    <w:rsid w:val="2E4C78E1"/>
    <w:rsid w:val="2E4E3659"/>
    <w:rsid w:val="2E532A1D"/>
    <w:rsid w:val="2E552C39"/>
    <w:rsid w:val="2E556795"/>
    <w:rsid w:val="2E5D4E86"/>
    <w:rsid w:val="2E5D52EE"/>
    <w:rsid w:val="2E5D790B"/>
    <w:rsid w:val="2E61338C"/>
    <w:rsid w:val="2E690493"/>
    <w:rsid w:val="2E6966E5"/>
    <w:rsid w:val="2E6B020F"/>
    <w:rsid w:val="2E6B1950"/>
    <w:rsid w:val="2E7035CF"/>
    <w:rsid w:val="2E717347"/>
    <w:rsid w:val="2E742A02"/>
    <w:rsid w:val="2E7E5716"/>
    <w:rsid w:val="2E7F1A64"/>
    <w:rsid w:val="2E8928E3"/>
    <w:rsid w:val="2E89643F"/>
    <w:rsid w:val="2E8B21B7"/>
    <w:rsid w:val="2E924AFA"/>
    <w:rsid w:val="2E953036"/>
    <w:rsid w:val="2E9A3C18"/>
    <w:rsid w:val="2EA27501"/>
    <w:rsid w:val="2EA54963"/>
    <w:rsid w:val="2EAB2859"/>
    <w:rsid w:val="2EB86D24"/>
    <w:rsid w:val="2EBB0FEE"/>
    <w:rsid w:val="2EBD258D"/>
    <w:rsid w:val="2EC102CF"/>
    <w:rsid w:val="2EC15BD9"/>
    <w:rsid w:val="2EC63002"/>
    <w:rsid w:val="2ED10AFD"/>
    <w:rsid w:val="2EE30245"/>
    <w:rsid w:val="2EF266DA"/>
    <w:rsid w:val="2EFC4E63"/>
    <w:rsid w:val="2F0106CB"/>
    <w:rsid w:val="2F0A6B38"/>
    <w:rsid w:val="2F0E4B96"/>
    <w:rsid w:val="2F10090E"/>
    <w:rsid w:val="2F106B60"/>
    <w:rsid w:val="2F125CDF"/>
    <w:rsid w:val="2F146FFE"/>
    <w:rsid w:val="2F154177"/>
    <w:rsid w:val="2F212B1B"/>
    <w:rsid w:val="2F236894"/>
    <w:rsid w:val="2F25260C"/>
    <w:rsid w:val="2F2820FC"/>
    <w:rsid w:val="2F2A22D5"/>
    <w:rsid w:val="2F365B05"/>
    <w:rsid w:val="2F391C13"/>
    <w:rsid w:val="2F3960B7"/>
    <w:rsid w:val="2F3E547B"/>
    <w:rsid w:val="2F5A5701"/>
    <w:rsid w:val="2F601896"/>
    <w:rsid w:val="2F68074A"/>
    <w:rsid w:val="2F697F69"/>
    <w:rsid w:val="2F7013AD"/>
    <w:rsid w:val="2F762E67"/>
    <w:rsid w:val="2F81180C"/>
    <w:rsid w:val="2F8161F0"/>
    <w:rsid w:val="2F8310E0"/>
    <w:rsid w:val="2F884949"/>
    <w:rsid w:val="2F923A19"/>
    <w:rsid w:val="2F946CCB"/>
    <w:rsid w:val="2F9E5F1A"/>
    <w:rsid w:val="2FA5374C"/>
    <w:rsid w:val="2FA572A9"/>
    <w:rsid w:val="2FB254A3"/>
    <w:rsid w:val="2FC35981"/>
    <w:rsid w:val="2FC736C3"/>
    <w:rsid w:val="2FC75471"/>
    <w:rsid w:val="2FCC2A87"/>
    <w:rsid w:val="2FCF0858"/>
    <w:rsid w:val="2FD25781"/>
    <w:rsid w:val="2FD91648"/>
    <w:rsid w:val="2FD933F6"/>
    <w:rsid w:val="2FD951A4"/>
    <w:rsid w:val="2FDD4C94"/>
    <w:rsid w:val="2FE9188B"/>
    <w:rsid w:val="2FEE6EA1"/>
    <w:rsid w:val="2FEF2C1A"/>
    <w:rsid w:val="2FF26266"/>
    <w:rsid w:val="2FF61628"/>
    <w:rsid w:val="2FFD7934"/>
    <w:rsid w:val="2FFE4C0B"/>
    <w:rsid w:val="30055F99"/>
    <w:rsid w:val="30074987"/>
    <w:rsid w:val="30112B90"/>
    <w:rsid w:val="30161F54"/>
    <w:rsid w:val="3019408A"/>
    <w:rsid w:val="301D7787"/>
    <w:rsid w:val="30202DD3"/>
    <w:rsid w:val="302428C3"/>
    <w:rsid w:val="302503E9"/>
    <w:rsid w:val="3038011D"/>
    <w:rsid w:val="30390D12"/>
    <w:rsid w:val="30393E95"/>
    <w:rsid w:val="30395C43"/>
    <w:rsid w:val="303B19BB"/>
    <w:rsid w:val="30403475"/>
    <w:rsid w:val="3049232A"/>
    <w:rsid w:val="304E5B92"/>
    <w:rsid w:val="304F5466"/>
    <w:rsid w:val="30542A7D"/>
    <w:rsid w:val="305B02AF"/>
    <w:rsid w:val="305D4027"/>
    <w:rsid w:val="305F7D9F"/>
    <w:rsid w:val="30670A02"/>
    <w:rsid w:val="306C0F64"/>
    <w:rsid w:val="30733ACD"/>
    <w:rsid w:val="307A0735"/>
    <w:rsid w:val="307C26FF"/>
    <w:rsid w:val="307D1FD3"/>
    <w:rsid w:val="307F7AFA"/>
    <w:rsid w:val="308415B4"/>
    <w:rsid w:val="308570DA"/>
    <w:rsid w:val="308C3862"/>
    <w:rsid w:val="308C66BA"/>
    <w:rsid w:val="308E41E1"/>
    <w:rsid w:val="30901D07"/>
    <w:rsid w:val="30913CD1"/>
    <w:rsid w:val="309379D8"/>
    <w:rsid w:val="309D2676"/>
    <w:rsid w:val="30A05CC2"/>
    <w:rsid w:val="30A13F14"/>
    <w:rsid w:val="30A270F7"/>
    <w:rsid w:val="30A27C8C"/>
    <w:rsid w:val="30AB6B41"/>
    <w:rsid w:val="30B023A9"/>
    <w:rsid w:val="30B04157"/>
    <w:rsid w:val="30B55C11"/>
    <w:rsid w:val="30B579BF"/>
    <w:rsid w:val="30B73737"/>
    <w:rsid w:val="30BA4FD6"/>
    <w:rsid w:val="30C419B0"/>
    <w:rsid w:val="30CE6CD3"/>
    <w:rsid w:val="30DC319E"/>
    <w:rsid w:val="30DD6F16"/>
    <w:rsid w:val="30DF1478"/>
    <w:rsid w:val="30E42053"/>
    <w:rsid w:val="30E738F1"/>
    <w:rsid w:val="30E958BB"/>
    <w:rsid w:val="30EB33E1"/>
    <w:rsid w:val="30EC0F07"/>
    <w:rsid w:val="30EC586F"/>
    <w:rsid w:val="30F304E8"/>
    <w:rsid w:val="30F54260"/>
    <w:rsid w:val="30F71D86"/>
    <w:rsid w:val="31012C04"/>
    <w:rsid w:val="310426F5"/>
    <w:rsid w:val="3106021B"/>
    <w:rsid w:val="3106646D"/>
    <w:rsid w:val="31077AEF"/>
    <w:rsid w:val="310E70CF"/>
    <w:rsid w:val="31126BC0"/>
    <w:rsid w:val="311346E6"/>
    <w:rsid w:val="311D3DF9"/>
    <w:rsid w:val="312A382C"/>
    <w:rsid w:val="312B5ED3"/>
    <w:rsid w:val="313409D0"/>
    <w:rsid w:val="31353510"/>
    <w:rsid w:val="31411253"/>
    <w:rsid w:val="31436D79"/>
    <w:rsid w:val="31466869"/>
    <w:rsid w:val="3148438F"/>
    <w:rsid w:val="314D7BF8"/>
    <w:rsid w:val="3152520E"/>
    <w:rsid w:val="31592A40"/>
    <w:rsid w:val="3166515D"/>
    <w:rsid w:val="317038E6"/>
    <w:rsid w:val="31745184"/>
    <w:rsid w:val="31772EC7"/>
    <w:rsid w:val="317A4765"/>
    <w:rsid w:val="317C672F"/>
    <w:rsid w:val="3183186B"/>
    <w:rsid w:val="318C4BC4"/>
    <w:rsid w:val="318D26EA"/>
    <w:rsid w:val="318D4498"/>
    <w:rsid w:val="319B054E"/>
    <w:rsid w:val="319C6071"/>
    <w:rsid w:val="31A517E2"/>
    <w:rsid w:val="31A737AC"/>
    <w:rsid w:val="31A82D30"/>
    <w:rsid w:val="31AA6DF8"/>
    <w:rsid w:val="31AB0719"/>
    <w:rsid w:val="31AB491E"/>
    <w:rsid w:val="31AC537E"/>
    <w:rsid w:val="31B25CAD"/>
    <w:rsid w:val="31BC4D7D"/>
    <w:rsid w:val="31BC6B2B"/>
    <w:rsid w:val="31C205E6"/>
    <w:rsid w:val="31C3435E"/>
    <w:rsid w:val="31D04895"/>
    <w:rsid w:val="31D40319"/>
    <w:rsid w:val="31DB3455"/>
    <w:rsid w:val="31DB5204"/>
    <w:rsid w:val="31DE2F46"/>
    <w:rsid w:val="31E06245"/>
    <w:rsid w:val="31E340B8"/>
    <w:rsid w:val="31E3679B"/>
    <w:rsid w:val="31E732FD"/>
    <w:rsid w:val="31E87920"/>
    <w:rsid w:val="31ED3189"/>
    <w:rsid w:val="31F369F1"/>
    <w:rsid w:val="31F462C5"/>
    <w:rsid w:val="32081D71"/>
    <w:rsid w:val="32116E77"/>
    <w:rsid w:val="32140715"/>
    <w:rsid w:val="32146967"/>
    <w:rsid w:val="321B1AA4"/>
    <w:rsid w:val="321C75CA"/>
    <w:rsid w:val="321E3342"/>
    <w:rsid w:val="322A1CE7"/>
    <w:rsid w:val="322A618B"/>
    <w:rsid w:val="322A7F39"/>
    <w:rsid w:val="322C02ED"/>
    <w:rsid w:val="322D17D7"/>
    <w:rsid w:val="322F554F"/>
    <w:rsid w:val="32335040"/>
    <w:rsid w:val="3240150B"/>
    <w:rsid w:val="324234D5"/>
    <w:rsid w:val="32423E09"/>
    <w:rsid w:val="324C4353"/>
    <w:rsid w:val="324F5BF1"/>
    <w:rsid w:val="32517576"/>
    <w:rsid w:val="32566F80"/>
    <w:rsid w:val="325D030E"/>
    <w:rsid w:val="325E7BE3"/>
    <w:rsid w:val="325F5E35"/>
    <w:rsid w:val="3260395B"/>
    <w:rsid w:val="32641B63"/>
    <w:rsid w:val="32650F71"/>
    <w:rsid w:val="32676A97"/>
    <w:rsid w:val="32687865"/>
    <w:rsid w:val="326C0551"/>
    <w:rsid w:val="32794A1C"/>
    <w:rsid w:val="32827D75"/>
    <w:rsid w:val="32872F3E"/>
    <w:rsid w:val="328A09D8"/>
    <w:rsid w:val="328B4E7C"/>
    <w:rsid w:val="32957AA8"/>
    <w:rsid w:val="32A001FB"/>
    <w:rsid w:val="32A61CB5"/>
    <w:rsid w:val="32A95302"/>
    <w:rsid w:val="32A970B0"/>
    <w:rsid w:val="32AC3044"/>
    <w:rsid w:val="32B617CD"/>
    <w:rsid w:val="32BA306B"/>
    <w:rsid w:val="32BE5C2C"/>
    <w:rsid w:val="32BF0681"/>
    <w:rsid w:val="32CB5278"/>
    <w:rsid w:val="32CF5A77"/>
    <w:rsid w:val="32DA54BB"/>
    <w:rsid w:val="32E97DF4"/>
    <w:rsid w:val="32EF2C26"/>
    <w:rsid w:val="32F522F5"/>
    <w:rsid w:val="32FA3DAF"/>
    <w:rsid w:val="32FB6478"/>
    <w:rsid w:val="32FC7B27"/>
    <w:rsid w:val="32FD11AA"/>
    <w:rsid w:val="32FF13C6"/>
    <w:rsid w:val="33016EEC"/>
    <w:rsid w:val="33022C64"/>
    <w:rsid w:val="330469DC"/>
    <w:rsid w:val="3307027A"/>
    <w:rsid w:val="330B7D6A"/>
    <w:rsid w:val="331309CD"/>
    <w:rsid w:val="331F55C4"/>
    <w:rsid w:val="33226E62"/>
    <w:rsid w:val="33233306"/>
    <w:rsid w:val="33244988"/>
    <w:rsid w:val="33253A0C"/>
    <w:rsid w:val="33263B3F"/>
    <w:rsid w:val="33294694"/>
    <w:rsid w:val="333077D1"/>
    <w:rsid w:val="333170A5"/>
    <w:rsid w:val="333472C1"/>
    <w:rsid w:val="333C43C8"/>
    <w:rsid w:val="333F7A14"/>
    <w:rsid w:val="33446DD8"/>
    <w:rsid w:val="334F40FB"/>
    <w:rsid w:val="3361798A"/>
    <w:rsid w:val="336807DF"/>
    <w:rsid w:val="33680D19"/>
    <w:rsid w:val="336963EB"/>
    <w:rsid w:val="336E3E55"/>
    <w:rsid w:val="33751688"/>
    <w:rsid w:val="33816EEB"/>
    <w:rsid w:val="33857B1D"/>
    <w:rsid w:val="33863895"/>
    <w:rsid w:val="33883169"/>
    <w:rsid w:val="338B6B22"/>
    <w:rsid w:val="3392223A"/>
    <w:rsid w:val="33955886"/>
    <w:rsid w:val="339733AC"/>
    <w:rsid w:val="339A10EE"/>
    <w:rsid w:val="33A8380B"/>
    <w:rsid w:val="33A855B9"/>
    <w:rsid w:val="33AB6E58"/>
    <w:rsid w:val="33AD7074"/>
    <w:rsid w:val="33AF6948"/>
    <w:rsid w:val="33B65F28"/>
    <w:rsid w:val="33BE302F"/>
    <w:rsid w:val="33C63C91"/>
    <w:rsid w:val="33CB1178"/>
    <w:rsid w:val="33CB74FA"/>
    <w:rsid w:val="33E505BB"/>
    <w:rsid w:val="33EB55CD"/>
    <w:rsid w:val="33EC4C02"/>
    <w:rsid w:val="33ED121E"/>
    <w:rsid w:val="33F407FF"/>
    <w:rsid w:val="33F56325"/>
    <w:rsid w:val="34076784"/>
    <w:rsid w:val="340D2360"/>
    <w:rsid w:val="3410665D"/>
    <w:rsid w:val="341D7D55"/>
    <w:rsid w:val="341E0659"/>
    <w:rsid w:val="341E3ACD"/>
    <w:rsid w:val="341F46BA"/>
    <w:rsid w:val="34211214"/>
    <w:rsid w:val="3421711A"/>
    <w:rsid w:val="3422388C"/>
    <w:rsid w:val="34264730"/>
    <w:rsid w:val="342A4220"/>
    <w:rsid w:val="342E63AB"/>
    <w:rsid w:val="3434509F"/>
    <w:rsid w:val="343520A9"/>
    <w:rsid w:val="343969A2"/>
    <w:rsid w:val="343B01DB"/>
    <w:rsid w:val="343B467F"/>
    <w:rsid w:val="343C3F54"/>
    <w:rsid w:val="343E5F1E"/>
    <w:rsid w:val="34496D9C"/>
    <w:rsid w:val="344A041F"/>
    <w:rsid w:val="344F3C87"/>
    <w:rsid w:val="345117AD"/>
    <w:rsid w:val="3454129D"/>
    <w:rsid w:val="345B6AD0"/>
    <w:rsid w:val="346433A8"/>
    <w:rsid w:val="34645984"/>
    <w:rsid w:val="34670FD0"/>
    <w:rsid w:val="34793D78"/>
    <w:rsid w:val="347B4A7C"/>
    <w:rsid w:val="34814518"/>
    <w:rsid w:val="34831B82"/>
    <w:rsid w:val="3489363D"/>
    <w:rsid w:val="348A4CBF"/>
    <w:rsid w:val="34950E68"/>
    <w:rsid w:val="34986E94"/>
    <w:rsid w:val="34993154"/>
    <w:rsid w:val="34A00986"/>
    <w:rsid w:val="34A22D8F"/>
    <w:rsid w:val="34A51AF9"/>
    <w:rsid w:val="34A83397"/>
    <w:rsid w:val="34AF62C9"/>
    <w:rsid w:val="34B00BC9"/>
    <w:rsid w:val="34B04612"/>
    <w:rsid w:val="34B32468"/>
    <w:rsid w:val="34BD32E6"/>
    <w:rsid w:val="34BF5C85"/>
    <w:rsid w:val="34C44675"/>
    <w:rsid w:val="34CB4388"/>
    <w:rsid w:val="34D0301A"/>
    <w:rsid w:val="34D4239F"/>
    <w:rsid w:val="34D522FE"/>
    <w:rsid w:val="34DF14AF"/>
    <w:rsid w:val="34E46AC5"/>
    <w:rsid w:val="34E56399"/>
    <w:rsid w:val="34E61774"/>
    <w:rsid w:val="34E73EBF"/>
    <w:rsid w:val="34EE16F2"/>
    <w:rsid w:val="34FA6E12"/>
    <w:rsid w:val="350031D3"/>
    <w:rsid w:val="3502780C"/>
    <w:rsid w:val="350A469D"/>
    <w:rsid w:val="35101668"/>
    <w:rsid w:val="35125BC0"/>
    <w:rsid w:val="35156C7E"/>
    <w:rsid w:val="351C000D"/>
    <w:rsid w:val="351F7AFD"/>
    <w:rsid w:val="35213875"/>
    <w:rsid w:val="35215623"/>
    <w:rsid w:val="352769B2"/>
    <w:rsid w:val="352E5F92"/>
    <w:rsid w:val="35327830"/>
    <w:rsid w:val="35357321"/>
    <w:rsid w:val="35380BBF"/>
    <w:rsid w:val="3538471B"/>
    <w:rsid w:val="353C799D"/>
    <w:rsid w:val="353E4427"/>
    <w:rsid w:val="353F3CFB"/>
    <w:rsid w:val="35415CC5"/>
    <w:rsid w:val="35507CB7"/>
    <w:rsid w:val="35523A2F"/>
    <w:rsid w:val="35551771"/>
    <w:rsid w:val="355754E9"/>
    <w:rsid w:val="355F439E"/>
    <w:rsid w:val="35702107"/>
    <w:rsid w:val="357065AB"/>
    <w:rsid w:val="357240D1"/>
    <w:rsid w:val="357F234A"/>
    <w:rsid w:val="35814314"/>
    <w:rsid w:val="358856A2"/>
    <w:rsid w:val="358A766C"/>
    <w:rsid w:val="358B5193"/>
    <w:rsid w:val="358D0F0B"/>
    <w:rsid w:val="358D5588"/>
    <w:rsid w:val="359978AF"/>
    <w:rsid w:val="359D6D3A"/>
    <w:rsid w:val="35A61FCC"/>
    <w:rsid w:val="35A922AF"/>
    <w:rsid w:val="35AA386B"/>
    <w:rsid w:val="35AD5109"/>
    <w:rsid w:val="35C0308E"/>
    <w:rsid w:val="35C16E06"/>
    <w:rsid w:val="35C54A48"/>
    <w:rsid w:val="35C80195"/>
    <w:rsid w:val="35C97A69"/>
    <w:rsid w:val="35D00DF7"/>
    <w:rsid w:val="35DA1C76"/>
    <w:rsid w:val="35DE3514"/>
    <w:rsid w:val="35E36D7D"/>
    <w:rsid w:val="35E87EEF"/>
    <w:rsid w:val="35E93C67"/>
    <w:rsid w:val="35F26FC0"/>
    <w:rsid w:val="360B1E2F"/>
    <w:rsid w:val="360B4FFE"/>
    <w:rsid w:val="36107446"/>
    <w:rsid w:val="36260A17"/>
    <w:rsid w:val="362A675A"/>
    <w:rsid w:val="363A3B40"/>
    <w:rsid w:val="36401AD9"/>
    <w:rsid w:val="36421CF5"/>
    <w:rsid w:val="36486BE0"/>
    <w:rsid w:val="36511F38"/>
    <w:rsid w:val="365302AE"/>
    <w:rsid w:val="365437D6"/>
    <w:rsid w:val="365732C7"/>
    <w:rsid w:val="36607A0A"/>
    <w:rsid w:val="36624145"/>
    <w:rsid w:val="36655284"/>
    <w:rsid w:val="366E227C"/>
    <w:rsid w:val="366F2E0D"/>
    <w:rsid w:val="36745C27"/>
    <w:rsid w:val="3679148F"/>
    <w:rsid w:val="367B6A5C"/>
    <w:rsid w:val="36873BAC"/>
    <w:rsid w:val="368C11C2"/>
    <w:rsid w:val="36910587"/>
    <w:rsid w:val="369B31B3"/>
    <w:rsid w:val="36A4475E"/>
    <w:rsid w:val="36A54032"/>
    <w:rsid w:val="36A74ADA"/>
    <w:rsid w:val="36AD60D5"/>
    <w:rsid w:val="36B224F9"/>
    <w:rsid w:val="36BD75CE"/>
    <w:rsid w:val="36C24BE4"/>
    <w:rsid w:val="36C941C4"/>
    <w:rsid w:val="36CA03D1"/>
    <w:rsid w:val="36CC15BF"/>
    <w:rsid w:val="36E032BC"/>
    <w:rsid w:val="36E56B24"/>
    <w:rsid w:val="36E903B9"/>
    <w:rsid w:val="36E903C3"/>
    <w:rsid w:val="36EC0CC9"/>
    <w:rsid w:val="36F32FEF"/>
    <w:rsid w:val="36F7087E"/>
    <w:rsid w:val="370451FC"/>
    <w:rsid w:val="37076A9B"/>
    <w:rsid w:val="370A4574"/>
    <w:rsid w:val="37135440"/>
    <w:rsid w:val="37184804"/>
    <w:rsid w:val="371F3DE4"/>
    <w:rsid w:val="372431A9"/>
    <w:rsid w:val="37265173"/>
    <w:rsid w:val="3733163E"/>
    <w:rsid w:val="373A6E70"/>
    <w:rsid w:val="373F410B"/>
    <w:rsid w:val="37427AD3"/>
    <w:rsid w:val="37450DA6"/>
    <w:rsid w:val="37476E97"/>
    <w:rsid w:val="374B6987"/>
    <w:rsid w:val="375810A4"/>
    <w:rsid w:val="375A6BCB"/>
    <w:rsid w:val="375D66BB"/>
    <w:rsid w:val="375E41CE"/>
    <w:rsid w:val="3768578B"/>
    <w:rsid w:val="376B0DD8"/>
    <w:rsid w:val="376D0FF4"/>
    <w:rsid w:val="377063EE"/>
    <w:rsid w:val="37751C56"/>
    <w:rsid w:val="377D6D5D"/>
    <w:rsid w:val="377E4FAF"/>
    <w:rsid w:val="37904CE2"/>
    <w:rsid w:val="37936580"/>
    <w:rsid w:val="3798060A"/>
    <w:rsid w:val="379C5435"/>
    <w:rsid w:val="37A161FF"/>
    <w:rsid w:val="37AB5678"/>
    <w:rsid w:val="37AF33BA"/>
    <w:rsid w:val="37B95FE7"/>
    <w:rsid w:val="37BC554C"/>
    <w:rsid w:val="37C16C4A"/>
    <w:rsid w:val="37C30C14"/>
    <w:rsid w:val="37C77A36"/>
    <w:rsid w:val="37CA21FC"/>
    <w:rsid w:val="37CD55EE"/>
    <w:rsid w:val="37D3697D"/>
    <w:rsid w:val="37D512F5"/>
    <w:rsid w:val="37D72911"/>
    <w:rsid w:val="37D746BF"/>
    <w:rsid w:val="37D90437"/>
    <w:rsid w:val="37DC7F27"/>
    <w:rsid w:val="37DD15AA"/>
    <w:rsid w:val="37DE5A4E"/>
    <w:rsid w:val="37E41B2B"/>
    <w:rsid w:val="37E82428"/>
    <w:rsid w:val="37EA2644"/>
    <w:rsid w:val="37EE32D6"/>
    <w:rsid w:val="37EE7094"/>
    <w:rsid w:val="37F54B45"/>
    <w:rsid w:val="37F708BD"/>
    <w:rsid w:val="37FC5ED4"/>
    <w:rsid w:val="37FD193B"/>
    <w:rsid w:val="37FD6D6A"/>
    <w:rsid w:val="3801798E"/>
    <w:rsid w:val="38020203"/>
    <w:rsid w:val="38042FDA"/>
    <w:rsid w:val="3814146F"/>
    <w:rsid w:val="38163439"/>
    <w:rsid w:val="381A45AC"/>
    <w:rsid w:val="381A6292"/>
    <w:rsid w:val="381B27FE"/>
    <w:rsid w:val="381C47C8"/>
    <w:rsid w:val="381E0825"/>
    <w:rsid w:val="381F1BC2"/>
    <w:rsid w:val="382316B2"/>
    <w:rsid w:val="38262F51"/>
    <w:rsid w:val="38286CC9"/>
    <w:rsid w:val="38296C89"/>
    <w:rsid w:val="382B0567"/>
    <w:rsid w:val="382C4A0B"/>
    <w:rsid w:val="383002EB"/>
    <w:rsid w:val="383733B0"/>
    <w:rsid w:val="38392C84"/>
    <w:rsid w:val="383B2EA0"/>
    <w:rsid w:val="383F77B2"/>
    <w:rsid w:val="3842422E"/>
    <w:rsid w:val="38451629"/>
    <w:rsid w:val="38474AEE"/>
    <w:rsid w:val="38547ABE"/>
    <w:rsid w:val="3857135C"/>
    <w:rsid w:val="38586797"/>
    <w:rsid w:val="385B0E4C"/>
    <w:rsid w:val="386661FC"/>
    <w:rsid w:val="38675A43"/>
    <w:rsid w:val="387C7014"/>
    <w:rsid w:val="3882287D"/>
    <w:rsid w:val="388365F5"/>
    <w:rsid w:val="388A7983"/>
    <w:rsid w:val="388D2FD0"/>
    <w:rsid w:val="38975BFC"/>
    <w:rsid w:val="389820A0"/>
    <w:rsid w:val="38991974"/>
    <w:rsid w:val="389C3213"/>
    <w:rsid w:val="389E342F"/>
    <w:rsid w:val="38A00F55"/>
    <w:rsid w:val="38A87E0A"/>
    <w:rsid w:val="38AD5420"/>
    <w:rsid w:val="38AF73EA"/>
    <w:rsid w:val="38B60778"/>
    <w:rsid w:val="38B62526"/>
    <w:rsid w:val="38BC0149"/>
    <w:rsid w:val="38BD6B23"/>
    <w:rsid w:val="38C06F01"/>
    <w:rsid w:val="38C509BB"/>
    <w:rsid w:val="38CC3AF8"/>
    <w:rsid w:val="38D87D1C"/>
    <w:rsid w:val="38DE55D9"/>
    <w:rsid w:val="38DF7CCF"/>
    <w:rsid w:val="38E057F5"/>
    <w:rsid w:val="38EC7CF6"/>
    <w:rsid w:val="38EF77E6"/>
    <w:rsid w:val="38F372D7"/>
    <w:rsid w:val="38FB262F"/>
    <w:rsid w:val="38FD1F03"/>
    <w:rsid w:val="39070FD4"/>
    <w:rsid w:val="39072D82"/>
    <w:rsid w:val="390A63CE"/>
    <w:rsid w:val="3911775D"/>
    <w:rsid w:val="391F631E"/>
    <w:rsid w:val="392C27E9"/>
    <w:rsid w:val="393618B9"/>
    <w:rsid w:val="393873DF"/>
    <w:rsid w:val="393F42CA"/>
    <w:rsid w:val="3942200C"/>
    <w:rsid w:val="39551D3F"/>
    <w:rsid w:val="3958538C"/>
    <w:rsid w:val="39636459"/>
    <w:rsid w:val="39643D30"/>
    <w:rsid w:val="396843AB"/>
    <w:rsid w:val="39691347"/>
    <w:rsid w:val="396957EB"/>
    <w:rsid w:val="396B7F6C"/>
    <w:rsid w:val="396F26D5"/>
    <w:rsid w:val="39755F3E"/>
    <w:rsid w:val="39761CB6"/>
    <w:rsid w:val="39777F08"/>
    <w:rsid w:val="3982065B"/>
    <w:rsid w:val="3986639D"/>
    <w:rsid w:val="39893797"/>
    <w:rsid w:val="39904B26"/>
    <w:rsid w:val="39916AF0"/>
    <w:rsid w:val="399860D0"/>
    <w:rsid w:val="39A14F85"/>
    <w:rsid w:val="39A93E39"/>
    <w:rsid w:val="39A95BE7"/>
    <w:rsid w:val="39AC56D7"/>
    <w:rsid w:val="39AD1B7B"/>
    <w:rsid w:val="39B12CEE"/>
    <w:rsid w:val="39B417A9"/>
    <w:rsid w:val="39B527DE"/>
    <w:rsid w:val="39B822CE"/>
    <w:rsid w:val="39BA4298"/>
    <w:rsid w:val="39BF18AF"/>
    <w:rsid w:val="39C12F31"/>
    <w:rsid w:val="39CD7B28"/>
    <w:rsid w:val="39D569DC"/>
    <w:rsid w:val="39D96633"/>
    <w:rsid w:val="39E210F9"/>
    <w:rsid w:val="39E76710"/>
    <w:rsid w:val="39E82BB3"/>
    <w:rsid w:val="39E84962"/>
    <w:rsid w:val="39E934F2"/>
    <w:rsid w:val="39EB26A4"/>
    <w:rsid w:val="39FC5695"/>
    <w:rsid w:val="39FC6630"/>
    <w:rsid w:val="39FC665F"/>
    <w:rsid w:val="3A006D8E"/>
    <w:rsid w:val="3A045513"/>
    <w:rsid w:val="3A080B60"/>
    <w:rsid w:val="3A0D43C8"/>
    <w:rsid w:val="3A127C30"/>
    <w:rsid w:val="3A137505"/>
    <w:rsid w:val="3A1C73C2"/>
    <w:rsid w:val="3A2160C5"/>
    <w:rsid w:val="3A241712"/>
    <w:rsid w:val="3A2636DC"/>
    <w:rsid w:val="3A340E32"/>
    <w:rsid w:val="3A35391F"/>
    <w:rsid w:val="3A3651E5"/>
    <w:rsid w:val="3A410516"/>
    <w:rsid w:val="3A443B62"/>
    <w:rsid w:val="3A465B2C"/>
    <w:rsid w:val="3A4D6EBA"/>
    <w:rsid w:val="3A501F38"/>
    <w:rsid w:val="3A5169AB"/>
    <w:rsid w:val="3A56234B"/>
    <w:rsid w:val="3A575643"/>
    <w:rsid w:val="3A706705"/>
    <w:rsid w:val="3A744481"/>
    <w:rsid w:val="3A79380C"/>
    <w:rsid w:val="3A797CAF"/>
    <w:rsid w:val="3A7B57D6"/>
    <w:rsid w:val="3A802DEC"/>
    <w:rsid w:val="3A8C7BEF"/>
    <w:rsid w:val="3A906246"/>
    <w:rsid w:val="3A916DA7"/>
    <w:rsid w:val="3A970136"/>
    <w:rsid w:val="3AA16C0F"/>
    <w:rsid w:val="3AA54601"/>
    <w:rsid w:val="3AAF36D1"/>
    <w:rsid w:val="3AB31AA7"/>
    <w:rsid w:val="3AC32CD9"/>
    <w:rsid w:val="3AD1189A"/>
    <w:rsid w:val="3AD273C0"/>
    <w:rsid w:val="3AD35612"/>
    <w:rsid w:val="3AD62A0C"/>
    <w:rsid w:val="3AD71050"/>
    <w:rsid w:val="3ADA3168"/>
    <w:rsid w:val="3ADB379F"/>
    <w:rsid w:val="3ADD023E"/>
    <w:rsid w:val="3AE35129"/>
    <w:rsid w:val="3AE570F3"/>
    <w:rsid w:val="3AED3D86"/>
    <w:rsid w:val="3AEF3ACE"/>
    <w:rsid w:val="3AEF66A6"/>
    <w:rsid w:val="3AF17CC7"/>
    <w:rsid w:val="3AF50AFC"/>
    <w:rsid w:val="3AF9494C"/>
    <w:rsid w:val="3AFD61EB"/>
    <w:rsid w:val="3AFE1F63"/>
    <w:rsid w:val="3B0A4DAB"/>
    <w:rsid w:val="3B0A6B5A"/>
    <w:rsid w:val="3B11613A"/>
    <w:rsid w:val="3B163750"/>
    <w:rsid w:val="3B196D9D"/>
    <w:rsid w:val="3B2349B7"/>
    <w:rsid w:val="3B261813"/>
    <w:rsid w:val="3B2C2F74"/>
    <w:rsid w:val="3B3836C7"/>
    <w:rsid w:val="3B3F2CA7"/>
    <w:rsid w:val="3B471B5C"/>
    <w:rsid w:val="3B616CFF"/>
    <w:rsid w:val="3B6224F2"/>
    <w:rsid w:val="3B6259F6"/>
    <w:rsid w:val="3B673FAC"/>
    <w:rsid w:val="3B6C511E"/>
    <w:rsid w:val="3B7010B2"/>
    <w:rsid w:val="3B714E2B"/>
    <w:rsid w:val="3B74226D"/>
    <w:rsid w:val="3B781D15"/>
    <w:rsid w:val="3B7A783B"/>
    <w:rsid w:val="3B7D37CF"/>
    <w:rsid w:val="3B871F58"/>
    <w:rsid w:val="3B8B7C9A"/>
    <w:rsid w:val="3B8F6E75"/>
    <w:rsid w:val="3B914B85"/>
    <w:rsid w:val="3B934DA1"/>
    <w:rsid w:val="3B9528C7"/>
    <w:rsid w:val="3B974891"/>
    <w:rsid w:val="3B976654"/>
    <w:rsid w:val="3BA448B8"/>
    <w:rsid w:val="3BB05953"/>
    <w:rsid w:val="3BBA0580"/>
    <w:rsid w:val="3BC01EFC"/>
    <w:rsid w:val="3BC44F5A"/>
    <w:rsid w:val="3BC60CD2"/>
    <w:rsid w:val="3BCA786A"/>
    <w:rsid w:val="3BCC3E0F"/>
    <w:rsid w:val="3BD31E2F"/>
    <w:rsid w:val="3BD333EF"/>
    <w:rsid w:val="3BE455FD"/>
    <w:rsid w:val="3BE525AB"/>
    <w:rsid w:val="3BEB698B"/>
    <w:rsid w:val="3BF15831"/>
    <w:rsid w:val="3BFA097C"/>
    <w:rsid w:val="3BFA4E20"/>
    <w:rsid w:val="3BFD221A"/>
    <w:rsid w:val="3C096E11"/>
    <w:rsid w:val="3C105946"/>
    <w:rsid w:val="3C153A08"/>
    <w:rsid w:val="3C1A7270"/>
    <w:rsid w:val="3C1E0B0E"/>
    <w:rsid w:val="3C243C4B"/>
    <w:rsid w:val="3C2D6FA3"/>
    <w:rsid w:val="3C3C7EA1"/>
    <w:rsid w:val="3C461E13"/>
    <w:rsid w:val="3C471448"/>
    <w:rsid w:val="3C4A1903"/>
    <w:rsid w:val="3C4C0A09"/>
    <w:rsid w:val="3C4D13F4"/>
    <w:rsid w:val="3C53727F"/>
    <w:rsid w:val="3C5F759A"/>
    <w:rsid w:val="3C681D8A"/>
    <w:rsid w:val="3C6C525A"/>
    <w:rsid w:val="3C746980"/>
    <w:rsid w:val="3C793F97"/>
    <w:rsid w:val="3C7C3A87"/>
    <w:rsid w:val="3C805325"/>
    <w:rsid w:val="3C81109D"/>
    <w:rsid w:val="3C8A7F52"/>
    <w:rsid w:val="3CAA05F4"/>
    <w:rsid w:val="3CAA4150"/>
    <w:rsid w:val="3CB55266"/>
    <w:rsid w:val="3CB60D47"/>
    <w:rsid w:val="3CB925E5"/>
    <w:rsid w:val="3CBA1FCF"/>
    <w:rsid w:val="3CBC3E83"/>
    <w:rsid w:val="3CC316B6"/>
    <w:rsid w:val="3CC35212"/>
    <w:rsid w:val="3CC52D38"/>
    <w:rsid w:val="3CC86CCC"/>
    <w:rsid w:val="3CCE23CB"/>
    <w:rsid w:val="3CD016DD"/>
    <w:rsid w:val="3CD17D17"/>
    <w:rsid w:val="3CDD2778"/>
    <w:rsid w:val="3CDE6477"/>
    <w:rsid w:val="3CEA09F1"/>
    <w:rsid w:val="3CF74EBC"/>
    <w:rsid w:val="3CF75B8E"/>
    <w:rsid w:val="3CFE26EE"/>
    <w:rsid w:val="3D05582A"/>
    <w:rsid w:val="3D08531B"/>
    <w:rsid w:val="3D141F11"/>
    <w:rsid w:val="3D145A6E"/>
    <w:rsid w:val="3D1617E6"/>
    <w:rsid w:val="3D271C45"/>
    <w:rsid w:val="3D347EBE"/>
    <w:rsid w:val="3D361E88"/>
    <w:rsid w:val="3D3B56F0"/>
    <w:rsid w:val="3D3B749E"/>
    <w:rsid w:val="3D3C7F39"/>
    <w:rsid w:val="3D440F09"/>
    <w:rsid w:val="3D4504A0"/>
    <w:rsid w:val="3D495579"/>
    <w:rsid w:val="3D4A148F"/>
    <w:rsid w:val="3D4D0CA1"/>
    <w:rsid w:val="3D510A70"/>
    <w:rsid w:val="3D5347E8"/>
    <w:rsid w:val="3D5567B2"/>
    <w:rsid w:val="3D580050"/>
    <w:rsid w:val="3D583BAC"/>
    <w:rsid w:val="3D65276D"/>
    <w:rsid w:val="3D65451B"/>
    <w:rsid w:val="3D6E33D0"/>
    <w:rsid w:val="3D733273"/>
    <w:rsid w:val="3D791D75"/>
    <w:rsid w:val="3D8175A7"/>
    <w:rsid w:val="3D8734BB"/>
    <w:rsid w:val="3D891FB8"/>
    <w:rsid w:val="3D8C1AA8"/>
    <w:rsid w:val="3D905756"/>
    <w:rsid w:val="3D9A11D4"/>
    <w:rsid w:val="3D9C247F"/>
    <w:rsid w:val="3DA16D89"/>
    <w:rsid w:val="3DA212CB"/>
    <w:rsid w:val="3DA364BE"/>
    <w:rsid w:val="3DA60DBB"/>
    <w:rsid w:val="3DB334D8"/>
    <w:rsid w:val="3DB35286"/>
    <w:rsid w:val="3DC22A59"/>
    <w:rsid w:val="3DC254CA"/>
    <w:rsid w:val="3DC96858"/>
    <w:rsid w:val="3DCA7E2B"/>
    <w:rsid w:val="3DCB0822"/>
    <w:rsid w:val="3DD1570D"/>
    <w:rsid w:val="3DD60F75"/>
    <w:rsid w:val="3DD84CED"/>
    <w:rsid w:val="3DD93C26"/>
    <w:rsid w:val="3DDD0555"/>
    <w:rsid w:val="3DDF42CD"/>
    <w:rsid w:val="3DE041CB"/>
    <w:rsid w:val="3DE9514C"/>
    <w:rsid w:val="3DEB0EC4"/>
    <w:rsid w:val="3DED69EA"/>
    <w:rsid w:val="3DF5764D"/>
    <w:rsid w:val="3DFD6502"/>
    <w:rsid w:val="3E043D34"/>
    <w:rsid w:val="3E0D48F6"/>
    <w:rsid w:val="3E1868B4"/>
    <w:rsid w:val="3E216694"/>
    <w:rsid w:val="3E330175"/>
    <w:rsid w:val="3E371A14"/>
    <w:rsid w:val="3E377251"/>
    <w:rsid w:val="3E377C66"/>
    <w:rsid w:val="3E42664B"/>
    <w:rsid w:val="3E46434D"/>
    <w:rsid w:val="3E495BEB"/>
    <w:rsid w:val="3E497999"/>
    <w:rsid w:val="3E506F79"/>
    <w:rsid w:val="3E5325C6"/>
    <w:rsid w:val="3E546A69"/>
    <w:rsid w:val="3E5A7334"/>
    <w:rsid w:val="3E5D6110"/>
    <w:rsid w:val="3E66054B"/>
    <w:rsid w:val="3E6F5651"/>
    <w:rsid w:val="3E7B5D6B"/>
    <w:rsid w:val="3E843E66"/>
    <w:rsid w:val="3E871462"/>
    <w:rsid w:val="3E8D5AD7"/>
    <w:rsid w:val="3E8F51FE"/>
    <w:rsid w:val="3E9055C8"/>
    <w:rsid w:val="3E921340"/>
    <w:rsid w:val="3E926F87"/>
    <w:rsid w:val="3E976956"/>
    <w:rsid w:val="3E9A59DE"/>
    <w:rsid w:val="3EAD1CD6"/>
    <w:rsid w:val="3EAF4836"/>
    <w:rsid w:val="3EC33DFA"/>
    <w:rsid w:val="3EC7548D"/>
    <w:rsid w:val="3ED731F7"/>
    <w:rsid w:val="3ED90D1D"/>
    <w:rsid w:val="3EE020AB"/>
    <w:rsid w:val="3EE14075"/>
    <w:rsid w:val="3EE651E8"/>
    <w:rsid w:val="3EEA117C"/>
    <w:rsid w:val="3EEA4CD8"/>
    <w:rsid w:val="3EF06066"/>
    <w:rsid w:val="3EFC4A0B"/>
    <w:rsid w:val="3F033FEC"/>
    <w:rsid w:val="3F060E16"/>
    <w:rsid w:val="3F06588A"/>
    <w:rsid w:val="3F140F43"/>
    <w:rsid w:val="3F163D1F"/>
    <w:rsid w:val="3F180182"/>
    <w:rsid w:val="3F1D1096"/>
    <w:rsid w:val="3F261A88"/>
    <w:rsid w:val="3F2C1AE6"/>
    <w:rsid w:val="3F2D2E17"/>
    <w:rsid w:val="3F2F0234"/>
    <w:rsid w:val="3F32662D"/>
    <w:rsid w:val="3F3423F7"/>
    <w:rsid w:val="3F4C5993"/>
    <w:rsid w:val="3F4F4A76"/>
    <w:rsid w:val="3F520ACF"/>
    <w:rsid w:val="3F56236D"/>
    <w:rsid w:val="3F591E5E"/>
    <w:rsid w:val="3F5B5BD6"/>
    <w:rsid w:val="3F6363FE"/>
    <w:rsid w:val="3F650802"/>
    <w:rsid w:val="3F6525B0"/>
    <w:rsid w:val="3F6E5909"/>
    <w:rsid w:val="3F6F1681"/>
    <w:rsid w:val="3F756B8F"/>
    <w:rsid w:val="3F7B6278"/>
    <w:rsid w:val="3F7C101A"/>
    <w:rsid w:val="3F852C53"/>
    <w:rsid w:val="3F8C5D8F"/>
    <w:rsid w:val="3F93536F"/>
    <w:rsid w:val="3F95482B"/>
    <w:rsid w:val="3F9904AC"/>
    <w:rsid w:val="3FAA090B"/>
    <w:rsid w:val="3FAC01DF"/>
    <w:rsid w:val="3FB11C9A"/>
    <w:rsid w:val="3FB35A12"/>
    <w:rsid w:val="3FB53538"/>
    <w:rsid w:val="3FB928FC"/>
    <w:rsid w:val="3FBD419A"/>
    <w:rsid w:val="3FC1012F"/>
    <w:rsid w:val="3FC714BD"/>
    <w:rsid w:val="3FC92B3F"/>
    <w:rsid w:val="3FCA68B7"/>
    <w:rsid w:val="3FCF3ECE"/>
    <w:rsid w:val="3FD074F4"/>
    <w:rsid w:val="3FDC79A9"/>
    <w:rsid w:val="3FE3596A"/>
    <w:rsid w:val="3FE67B95"/>
    <w:rsid w:val="3FEA3D61"/>
    <w:rsid w:val="3FEB51AC"/>
    <w:rsid w:val="3FF97B90"/>
    <w:rsid w:val="3FFF47B3"/>
    <w:rsid w:val="400C3FD4"/>
    <w:rsid w:val="400D3374"/>
    <w:rsid w:val="401069C0"/>
    <w:rsid w:val="4019356B"/>
    <w:rsid w:val="401A339B"/>
    <w:rsid w:val="401F18AB"/>
    <w:rsid w:val="40271F5C"/>
    <w:rsid w:val="402A2F99"/>
    <w:rsid w:val="403A1C8F"/>
    <w:rsid w:val="4041301D"/>
    <w:rsid w:val="404E1296"/>
    <w:rsid w:val="404F60E0"/>
    <w:rsid w:val="40520D87"/>
    <w:rsid w:val="40565671"/>
    <w:rsid w:val="40580367"/>
    <w:rsid w:val="40592157"/>
    <w:rsid w:val="405C1C05"/>
    <w:rsid w:val="405F16F6"/>
    <w:rsid w:val="405F5252"/>
    <w:rsid w:val="40612D9E"/>
    <w:rsid w:val="40644F5E"/>
    <w:rsid w:val="40646D0C"/>
    <w:rsid w:val="4068375B"/>
    <w:rsid w:val="406D5BC1"/>
    <w:rsid w:val="406E1939"/>
    <w:rsid w:val="406E1CAE"/>
    <w:rsid w:val="407451A1"/>
    <w:rsid w:val="407F76A2"/>
    <w:rsid w:val="40844CB8"/>
    <w:rsid w:val="40860A30"/>
    <w:rsid w:val="40985A3E"/>
    <w:rsid w:val="409A272E"/>
    <w:rsid w:val="40A0133A"/>
    <w:rsid w:val="40A634B2"/>
    <w:rsid w:val="40AC3D4A"/>
    <w:rsid w:val="40B42395"/>
    <w:rsid w:val="40B437EF"/>
    <w:rsid w:val="40B44F66"/>
    <w:rsid w:val="40C17CBA"/>
    <w:rsid w:val="40C31A53"/>
    <w:rsid w:val="40C31C84"/>
    <w:rsid w:val="40C41559"/>
    <w:rsid w:val="40CF687B"/>
    <w:rsid w:val="40D0614F"/>
    <w:rsid w:val="40D519B8"/>
    <w:rsid w:val="40E35E83"/>
    <w:rsid w:val="40E57E4D"/>
    <w:rsid w:val="40E63D94"/>
    <w:rsid w:val="40E85247"/>
    <w:rsid w:val="40EB11DB"/>
    <w:rsid w:val="40F276D3"/>
    <w:rsid w:val="40F7192E"/>
    <w:rsid w:val="40FF545D"/>
    <w:rsid w:val="410067C8"/>
    <w:rsid w:val="41015EE4"/>
    <w:rsid w:val="41032081"/>
    <w:rsid w:val="410D2F00"/>
    <w:rsid w:val="411B386E"/>
    <w:rsid w:val="412546ED"/>
    <w:rsid w:val="41265D6F"/>
    <w:rsid w:val="412D70FE"/>
    <w:rsid w:val="41362456"/>
    <w:rsid w:val="413761CE"/>
    <w:rsid w:val="41384420"/>
    <w:rsid w:val="413973BD"/>
    <w:rsid w:val="413B5CBF"/>
    <w:rsid w:val="413E130B"/>
    <w:rsid w:val="41452699"/>
    <w:rsid w:val="414B31CA"/>
    <w:rsid w:val="41562AF9"/>
    <w:rsid w:val="41586871"/>
    <w:rsid w:val="41652D3C"/>
    <w:rsid w:val="416F3BBA"/>
    <w:rsid w:val="417515BE"/>
    <w:rsid w:val="41780CC1"/>
    <w:rsid w:val="417C1E33"/>
    <w:rsid w:val="418036D2"/>
    <w:rsid w:val="418331C2"/>
    <w:rsid w:val="41847666"/>
    <w:rsid w:val="418D4040"/>
    <w:rsid w:val="418F0D2A"/>
    <w:rsid w:val="418F7DB9"/>
    <w:rsid w:val="419001E6"/>
    <w:rsid w:val="4194717D"/>
    <w:rsid w:val="41950E9A"/>
    <w:rsid w:val="41986C6D"/>
    <w:rsid w:val="419B49AF"/>
    <w:rsid w:val="419D24D5"/>
    <w:rsid w:val="419E53BB"/>
    <w:rsid w:val="41A73354"/>
    <w:rsid w:val="41A76EB0"/>
    <w:rsid w:val="41AA074E"/>
    <w:rsid w:val="41AC44C7"/>
    <w:rsid w:val="41AD023F"/>
    <w:rsid w:val="41B65345"/>
    <w:rsid w:val="41BD0482"/>
    <w:rsid w:val="41BD4926"/>
    <w:rsid w:val="41C07F72"/>
    <w:rsid w:val="41C37A62"/>
    <w:rsid w:val="41D01505"/>
    <w:rsid w:val="41DF2AEE"/>
    <w:rsid w:val="41E9571B"/>
    <w:rsid w:val="41F33DFE"/>
    <w:rsid w:val="41F50C72"/>
    <w:rsid w:val="41F67E38"/>
    <w:rsid w:val="41F83BB0"/>
    <w:rsid w:val="41F850FE"/>
    <w:rsid w:val="41FA7928"/>
    <w:rsid w:val="41FB36A0"/>
    <w:rsid w:val="41FF6CEC"/>
    <w:rsid w:val="4205007B"/>
    <w:rsid w:val="420A6C99"/>
    <w:rsid w:val="422E137F"/>
    <w:rsid w:val="423544BC"/>
    <w:rsid w:val="423F17DF"/>
    <w:rsid w:val="423F4EBB"/>
    <w:rsid w:val="42426BD9"/>
    <w:rsid w:val="4246491B"/>
    <w:rsid w:val="42474939"/>
    <w:rsid w:val="424C3C57"/>
    <w:rsid w:val="424E557E"/>
    <w:rsid w:val="425C5EED"/>
    <w:rsid w:val="42613503"/>
    <w:rsid w:val="42613FF3"/>
    <w:rsid w:val="4262727B"/>
    <w:rsid w:val="42660D96"/>
    <w:rsid w:val="426B4382"/>
    <w:rsid w:val="426E1C5A"/>
    <w:rsid w:val="42723962"/>
    <w:rsid w:val="42731488"/>
    <w:rsid w:val="42772D26"/>
    <w:rsid w:val="42786A9F"/>
    <w:rsid w:val="427D40B5"/>
    <w:rsid w:val="428667D2"/>
    <w:rsid w:val="428B4A24"/>
    <w:rsid w:val="42976F25"/>
    <w:rsid w:val="429D02B3"/>
    <w:rsid w:val="429D5FFE"/>
    <w:rsid w:val="42A60D98"/>
    <w:rsid w:val="42AF1E4A"/>
    <w:rsid w:val="42B23D5F"/>
    <w:rsid w:val="42B71BCE"/>
    <w:rsid w:val="42BE6BA7"/>
    <w:rsid w:val="42C10446"/>
    <w:rsid w:val="42C341BE"/>
    <w:rsid w:val="42C34E0B"/>
    <w:rsid w:val="42CD1CE0"/>
    <w:rsid w:val="42CE4911"/>
    <w:rsid w:val="42CF2B62"/>
    <w:rsid w:val="42E12896"/>
    <w:rsid w:val="42E1381E"/>
    <w:rsid w:val="42E70446"/>
    <w:rsid w:val="42ED6459"/>
    <w:rsid w:val="42F205FF"/>
    <w:rsid w:val="42FE51F6"/>
    <w:rsid w:val="42FE58DD"/>
    <w:rsid w:val="43016A94"/>
    <w:rsid w:val="430F11B1"/>
    <w:rsid w:val="430F2F5F"/>
    <w:rsid w:val="43104F29"/>
    <w:rsid w:val="431467C7"/>
    <w:rsid w:val="43174B3D"/>
    <w:rsid w:val="432033BE"/>
    <w:rsid w:val="43236A0A"/>
    <w:rsid w:val="432A76B1"/>
    <w:rsid w:val="432B30AA"/>
    <w:rsid w:val="432B495E"/>
    <w:rsid w:val="432D5ADB"/>
    <w:rsid w:val="433230F1"/>
    <w:rsid w:val="43344580"/>
    <w:rsid w:val="43364990"/>
    <w:rsid w:val="43370708"/>
    <w:rsid w:val="433A3D54"/>
    <w:rsid w:val="433E1A96"/>
    <w:rsid w:val="434075BC"/>
    <w:rsid w:val="434370AD"/>
    <w:rsid w:val="43457BC0"/>
    <w:rsid w:val="434B790E"/>
    <w:rsid w:val="434B7D0F"/>
    <w:rsid w:val="434F15AD"/>
    <w:rsid w:val="43543068"/>
    <w:rsid w:val="43544E16"/>
    <w:rsid w:val="4355293C"/>
    <w:rsid w:val="43560B8E"/>
    <w:rsid w:val="4359242C"/>
    <w:rsid w:val="43601A0D"/>
    <w:rsid w:val="4360274F"/>
    <w:rsid w:val="43607C5E"/>
    <w:rsid w:val="43617533"/>
    <w:rsid w:val="436A63E7"/>
    <w:rsid w:val="43707776"/>
    <w:rsid w:val="43762FDE"/>
    <w:rsid w:val="4379487C"/>
    <w:rsid w:val="437E00E5"/>
    <w:rsid w:val="43884ABF"/>
    <w:rsid w:val="438A0837"/>
    <w:rsid w:val="438A4CDB"/>
    <w:rsid w:val="43977AB6"/>
    <w:rsid w:val="43A272BB"/>
    <w:rsid w:val="43A3342B"/>
    <w:rsid w:val="43A37B4B"/>
    <w:rsid w:val="43A40AF2"/>
    <w:rsid w:val="43AA0EDA"/>
    <w:rsid w:val="43AC2EA4"/>
    <w:rsid w:val="43AF07D2"/>
    <w:rsid w:val="43B9111D"/>
    <w:rsid w:val="43C10182"/>
    <w:rsid w:val="43C57AC2"/>
    <w:rsid w:val="43C755E8"/>
    <w:rsid w:val="43C77C27"/>
    <w:rsid w:val="43CC6303"/>
    <w:rsid w:val="43CD4BC8"/>
    <w:rsid w:val="43D321DE"/>
    <w:rsid w:val="43D63A7D"/>
    <w:rsid w:val="43DB36F4"/>
    <w:rsid w:val="43DE09EE"/>
    <w:rsid w:val="43E222F0"/>
    <w:rsid w:val="43E268C5"/>
    <w:rsid w:val="43F263DD"/>
    <w:rsid w:val="43F31565"/>
    <w:rsid w:val="43F3462F"/>
    <w:rsid w:val="43F62371"/>
    <w:rsid w:val="43FE4D82"/>
    <w:rsid w:val="44002FAD"/>
    <w:rsid w:val="44020D16"/>
    <w:rsid w:val="4403299E"/>
    <w:rsid w:val="44056110"/>
    <w:rsid w:val="441B5933"/>
    <w:rsid w:val="441D16AC"/>
    <w:rsid w:val="4427252A"/>
    <w:rsid w:val="443133A9"/>
    <w:rsid w:val="44380293"/>
    <w:rsid w:val="44466E54"/>
    <w:rsid w:val="444E3803"/>
    <w:rsid w:val="445A2900"/>
    <w:rsid w:val="445F0B62"/>
    <w:rsid w:val="445F1CC4"/>
    <w:rsid w:val="445F7F16"/>
    <w:rsid w:val="446077EA"/>
    <w:rsid w:val="446A2417"/>
    <w:rsid w:val="446B0669"/>
    <w:rsid w:val="446E0159"/>
    <w:rsid w:val="446E63AB"/>
    <w:rsid w:val="44780FD8"/>
    <w:rsid w:val="44823C05"/>
    <w:rsid w:val="448654A3"/>
    <w:rsid w:val="44870D9A"/>
    <w:rsid w:val="449101DD"/>
    <w:rsid w:val="44913E48"/>
    <w:rsid w:val="449D27EC"/>
    <w:rsid w:val="449F0313"/>
    <w:rsid w:val="44A616A1"/>
    <w:rsid w:val="44AB4F09"/>
    <w:rsid w:val="44B518E4"/>
    <w:rsid w:val="44BA6EFA"/>
    <w:rsid w:val="44BF2763"/>
    <w:rsid w:val="44C164DB"/>
    <w:rsid w:val="44C22253"/>
    <w:rsid w:val="44D53D34"/>
    <w:rsid w:val="44D83825"/>
    <w:rsid w:val="44DE1391"/>
    <w:rsid w:val="44DF1057"/>
    <w:rsid w:val="44E67CEF"/>
    <w:rsid w:val="44ED5522"/>
    <w:rsid w:val="44F87A23"/>
    <w:rsid w:val="44FB6588"/>
    <w:rsid w:val="45034D45"/>
    <w:rsid w:val="45151268"/>
    <w:rsid w:val="4517259F"/>
    <w:rsid w:val="451B225C"/>
    <w:rsid w:val="451C7BB5"/>
    <w:rsid w:val="451F1453"/>
    <w:rsid w:val="452410C9"/>
    <w:rsid w:val="452627E2"/>
    <w:rsid w:val="452A0524"/>
    <w:rsid w:val="45317DFB"/>
    <w:rsid w:val="45321187"/>
    <w:rsid w:val="45367649"/>
    <w:rsid w:val="45372C41"/>
    <w:rsid w:val="453C2005"/>
    <w:rsid w:val="453E3FCF"/>
    <w:rsid w:val="45505AB1"/>
    <w:rsid w:val="4551799A"/>
    <w:rsid w:val="45527138"/>
    <w:rsid w:val="45546CA7"/>
    <w:rsid w:val="45622B78"/>
    <w:rsid w:val="4568104C"/>
    <w:rsid w:val="456D0411"/>
    <w:rsid w:val="456D3CE4"/>
    <w:rsid w:val="456F4189"/>
    <w:rsid w:val="45723C79"/>
    <w:rsid w:val="45763769"/>
    <w:rsid w:val="4577303D"/>
    <w:rsid w:val="4579042C"/>
    <w:rsid w:val="457B2B2E"/>
    <w:rsid w:val="457C4AF8"/>
    <w:rsid w:val="457E261E"/>
    <w:rsid w:val="457F0571"/>
    <w:rsid w:val="458319E2"/>
    <w:rsid w:val="45851176"/>
    <w:rsid w:val="45863281"/>
    <w:rsid w:val="458A0FC3"/>
    <w:rsid w:val="458D0AB3"/>
    <w:rsid w:val="45905EAD"/>
    <w:rsid w:val="45912351"/>
    <w:rsid w:val="459704BE"/>
    <w:rsid w:val="45991206"/>
    <w:rsid w:val="459E05CA"/>
    <w:rsid w:val="459E08D8"/>
    <w:rsid w:val="45A1630C"/>
    <w:rsid w:val="45AA6F6F"/>
    <w:rsid w:val="45AD6A5F"/>
    <w:rsid w:val="45B147A1"/>
    <w:rsid w:val="45B20519"/>
    <w:rsid w:val="45B24076"/>
    <w:rsid w:val="45B55914"/>
    <w:rsid w:val="45BD0F5F"/>
    <w:rsid w:val="45C63001"/>
    <w:rsid w:val="45C63B94"/>
    <w:rsid w:val="45CA13BF"/>
    <w:rsid w:val="45D10865"/>
    <w:rsid w:val="45DD5596"/>
    <w:rsid w:val="45DD7344"/>
    <w:rsid w:val="45E5269D"/>
    <w:rsid w:val="45ED3300"/>
    <w:rsid w:val="45ED50AE"/>
    <w:rsid w:val="45F621B4"/>
    <w:rsid w:val="45FC4A4F"/>
    <w:rsid w:val="45FF375F"/>
    <w:rsid w:val="46001285"/>
    <w:rsid w:val="46050649"/>
    <w:rsid w:val="46081EE8"/>
    <w:rsid w:val="460C5E7C"/>
    <w:rsid w:val="460C7C2A"/>
    <w:rsid w:val="460E39A2"/>
    <w:rsid w:val="460E7DA5"/>
    <w:rsid w:val="46115240"/>
    <w:rsid w:val="461A0599"/>
    <w:rsid w:val="46222FA9"/>
    <w:rsid w:val="46250CEB"/>
    <w:rsid w:val="4627417F"/>
    <w:rsid w:val="462A00B0"/>
    <w:rsid w:val="462C3E28"/>
    <w:rsid w:val="462D194E"/>
    <w:rsid w:val="462E7BA0"/>
    <w:rsid w:val="462F1B6A"/>
    <w:rsid w:val="46326F64"/>
    <w:rsid w:val="46380A1F"/>
    <w:rsid w:val="463827CD"/>
    <w:rsid w:val="463D4287"/>
    <w:rsid w:val="46422483"/>
    <w:rsid w:val="46445615"/>
    <w:rsid w:val="464473C4"/>
    <w:rsid w:val="4646138E"/>
    <w:rsid w:val="464B6EA4"/>
    <w:rsid w:val="464C0026"/>
    <w:rsid w:val="464C07A8"/>
    <w:rsid w:val="46517D32"/>
    <w:rsid w:val="465670F7"/>
    <w:rsid w:val="4659254A"/>
    <w:rsid w:val="465A6BE7"/>
    <w:rsid w:val="465B0637"/>
    <w:rsid w:val="465E3F0D"/>
    <w:rsid w:val="466060B3"/>
    <w:rsid w:val="46677F98"/>
    <w:rsid w:val="466A16E6"/>
    <w:rsid w:val="466C06C8"/>
    <w:rsid w:val="46753A21"/>
    <w:rsid w:val="46763D1E"/>
    <w:rsid w:val="46792EF0"/>
    <w:rsid w:val="46804174"/>
    <w:rsid w:val="46810B28"/>
    <w:rsid w:val="46893F2B"/>
    <w:rsid w:val="468A0B4E"/>
    <w:rsid w:val="46916381"/>
    <w:rsid w:val="46A14816"/>
    <w:rsid w:val="46A55988"/>
    <w:rsid w:val="46A75BA4"/>
    <w:rsid w:val="46B04A59"/>
    <w:rsid w:val="46C16C66"/>
    <w:rsid w:val="46C202E8"/>
    <w:rsid w:val="46C40504"/>
    <w:rsid w:val="46C4686E"/>
    <w:rsid w:val="46CB3641"/>
    <w:rsid w:val="46D02A05"/>
    <w:rsid w:val="46D149CF"/>
    <w:rsid w:val="46DC57DE"/>
    <w:rsid w:val="46E11615"/>
    <w:rsid w:val="46E464B1"/>
    <w:rsid w:val="46E62229"/>
    <w:rsid w:val="46E75FA1"/>
    <w:rsid w:val="46F30EE7"/>
    <w:rsid w:val="46F56910"/>
    <w:rsid w:val="47280A93"/>
    <w:rsid w:val="4732546E"/>
    <w:rsid w:val="47394A4E"/>
    <w:rsid w:val="474A6C5C"/>
    <w:rsid w:val="474B29D4"/>
    <w:rsid w:val="47571378"/>
    <w:rsid w:val="475F3D89"/>
    <w:rsid w:val="4760647F"/>
    <w:rsid w:val="47637D1D"/>
    <w:rsid w:val="47655843"/>
    <w:rsid w:val="47685334"/>
    <w:rsid w:val="47737835"/>
    <w:rsid w:val="47767A51"/>
    <w:rsid w:val="47777325"/>
    <w:rsid w:val="47797541"/>
    <w:rsid w:val="477B778F"/>
    <w:rsid w:val="478203EC"/>
    <w:rsid w:val="47855EE6"/>
    <w:rsid w:val="47941C85"/>
    <w:rsid w:val="47975C19"/>
    <w:rsid w:val="479B74B7"/>
    <w:rsid w:val="47B025FA"/>
    <w:rsid w:val="47B40579"/>
    <w:rsid w:val="47C167F2"/>
    <w:rsid w:val="47C562E2"/>
    <w:rsid w:val="47C63E08"/>
    <w:rsid w:val="47CF7161"/>
    <w:rsid w:val="47D14C87"/>
    <w:rsid w:val="47D227AD"/>
    <w:rsid w:val="47E0311C"/>
    <w:rsid w:val="47E26E94"/>
    <w:rsid w:val="47E349BA"/>
    <w:rsid w:val="47EC1AC1"/>
    <w:rsid w:val="47F866B8"/>
    <w:rsid w:val="47FC5A7C"/>
    <w:rsid w:val="47FE7A46"/>
    <w:rsid w:val="4809698F"/>
    <w:rsid w:val="4810535C"/>
    <w:rsid w:val="4811697D"/>
    <w:rsid w:val="481E1E96"/>
    <w:rsid w:val="481E3C44"/>
    <w:rsid w:val="482079BC"/>
    <w:rsid w:val="48233009"/>
    <w:rsid w:val="48264C12"/>
    <w:rsid w:val="48280C73"/>
    <w:rsid w:val="482C010F"/>
    <w:rsid w:val="48335942"/>
    <w:rsid w:val="483376F0"/>
    <w:rsid w:val="483416BA"/>
    <w:rsid w:val="48362D3C"/>
    <w:rsid w:val="48413FDC"/>
    <w:rsid w:val="48455675"/>
    <w:rsid w:val="484A4A39"/>
    <w:rsid w:val="484E4529"/>
    <w:rsid w:val="484E5BC2"/>
    <w:rsid w:val="48580F04"/>
    <w:rsid w:val="485D651B"/>
    <w:rsid w:val="4860600B"/>
    <w:rsid w:val="48651873"/>
    <w:rsid w:val="48671147"/>
    <w:rsid w:val="486F44A0"/>
    <w:rsid w:val="487A3E25"/>
    <w:rsid w:val="487D6BBD"/>
    <w:rsid w:val="488B5503"/>
    <w:rsid w:val="4893018E"/>
    <w:rsid w:val="48937E21"/>
    <w:rsid w:val="489A0361"/>
    <w:rsid w:val="489E2D6C"/>
    <w:rsid w:val="489F2FD7"/>
    <w:rsid w:val="48AC1250"/>
    <w:rsid w:val="48AC2FFE"/>
    <w:rsid w:val="48B60321"/>
    <w:rsid w:val="48B819A3"/>
    <w:rsid w:val="48B94FF3"/>
    <w:rsid w:val="48BB1493"/>
    <w:rsid w:val="48BD16AF"/>
    <w:rsid w:val="48C52312"/>
    <w:rsid w:val="48C742DC"/>
    <w:rsid w:val="48D03190"/>
    <w:rsid w:val="48D569F9"/>
    <w:rsid w:val="48DF3E68"/>
    <w:rsid w:val="48E37AAB"/>
    <w:rsid w:val="48E44E8E"/>
    <w:rsid w:val="48E629B4"/>
    <w:rsid w:val="48E7672C"/>
    <w:rsid w:val="48EB7FCA"/>
    <w:rsid w:val="48EC3D42"/>
    <w:rsid w:val="48EE7ABB"/>
    <w:rsid w:val="48F03833"/>
    <w:rsid w:val="48F549A5"/>
    <w:rsid w:val="48FD4B4C"/>
    <w:rsid w:val="49033566"/>
    <w:rsid w:val="490525B3"/>
    <w:rsid w:val="490A68E0"/>
    <w:rsid w:val="4910358D"/>
    <w:rsid w:val="491055FE"/>
    <w:rsid w:val="49117305"/>
    <w:rsid w:val="491A440C"/>
    <w:rsid w:val="492359B6"/>
    <w:rsid w:val="49282FCC"/>
    <w:rsid w:val="492B6619"/>
    <w:rsid w:val="493059DD"/>
    <w:rsid w:val="49437E06"/>
    <w:rsid w:val="49441489"/>
    <w:rsid w:val="4944592C"/>
    <w:rsid w:val="494B2817"/>
    <w:rsid w:val="4953791E"/>
    <w:rsid w:val="495518E8"/>
    <w:rsid w:val="495D254A"/>
    <w:rsid w:val="495F5B3E"/>
    <w:rsid w:val="495F62C2"/>
    <w:rsid w:val="49675177"/>
    <w:rsid w:val="496F77D7"/>
    <w:rsid w:val="49731D6E"/>
    <w:rsid w:val="49757894"/>
    <w:rsid w:val="497654FD"/>
    <w:rsid w:val="497955D6"/>
    <w:rsid w:val="497A75A0"/>
    <w:rsid w:val="498521CD"/>
    <w:rsid w:val="49883A6B"/>
    <w:rsid w:val="49920446"/>
    <w:rsid w:val="49A14B2D"/>
    <w:rsid w:val="49A95790"/>
    <w:rsid w:val="49AA39E1"/>
    <w:rsid w:val="49AB775A"/>
    <w:rsid w:val="49AD34D2"/>
    <w:rsid w:val="49B04D70"/>
    <w:rsid w:val="49B1480B"/>
    <w:rsid w:val="49B64211"/>
    <w:rsid w:val="49BC1967"/>
    <w:rsid w:val="49C12AD9"/>
    <w:rsid w:val="49C65DCC"/>
    <w:rsid w:val="49C72C2E"/>
    <w:rsid w:val="49D15412"/>
    <w:rsid w:val="49D2118A"/>
    <w:rsid w:val="49D40A5E"/>
    <w:rsid w:val="49D62A28"/>
    <w:rsid w:val="49D7054F"/>
    <w:rsid w:val="49D942C7"/>
    <w:rsid w:val="49DA3B9B"/>
    <w:rsid w:val="49DC7913"/>
    <w:rsid w:val="49DE7B2F"/>
    <w:rsid w:val="49E05655"/>
    <w:rsid w:val="49E14F29"/>
    <w:rsid w:val="49F106F9"/>
    <w:rsid w:val="49F44C5D"/>
    <w:rsid w:val="49F6167F"/>
    <w:rsid w:val="49F64E79"/>
    <w:rsid w:val="49FA5FEB"/>
    <w:rsid w:val="49FE1F7F"/>
    <w:rsid w:val="4A0155CC"/>
    <w:rsid w:val="4A037596"/>
    <w:rsid w:val="4A05330E"/>
    <w:rsid w:val="4A064FA0"/>
    <w:rsid w:val="4A0D3F70"/>
    <w:rsid w:val="4A16615C"/>
    <w:rsid w:val="4A180A44"/>
    <w:rsid w:val="4A1C41B3"/>
    <w:rsid w:val="4A2C089A"/>
    <w:rsid w:val="4A2C4997"/>
    <w:rsid w:val="4A365275"/>
    <w:rsid w:val="4A3E412A"/>
    <w:rsid w:val="4A3F3BEF"/>
    <w:rsid w:val="4A4424D7"/>
    <w:rsid w:val="4A4A1D68"/>
    <w:rsid w:val="4A510301"/>
    <w:rsid w:val="4A677B24"/>
    <w:rsid w:val="4A6A13C3"/>
    <w:rsid w:val="4A6C6EE9"/>
    <w:rsid w:val="4A77763C"/>
    <w:rsid w:val="4A7E09CA"/>
    <w:rsid w:val="4A8561FD"/>
    <w:rsid w:val="4A8C758B"/>
    <w:rsid w:val="4A97423C"/>
    <w:rsid w:val="4A9B332A"/>
    <w:rsid w:val="4A9D70A2"/>
    <w:rsid w:val="4A9F106C"/>
    <w:rsid w:val="4AA85A47"/>
    <w:rsid w:val="4AB80380"/>
    <w:rsid w:val="4AB82D0F"/>
    <w:rsid w:val="4AB926A2"/>
    <w:rsid w:val="4AB97C54"/>
    <w:rsid w:val="4ABA5EA6"/>
    <w:rsid w:val="4ABB39CC"/>
    <w:rsid w:val="4ABF34BD"/>
    <w:rsid w:val="4AC42881"/>
    <w:rsid w:val="4AC477B5"/>
    <w:rsid w:val="4AC62A9D"/>
    <w:rsid w:val="4ACB00B3"/>
    <w:rsid w:val="4ACC7988"/>
    <w:rsid w:val="4ADA02F6"/>
    <w:rsid w:val="4ADA6548"/>
    <w:rsid w:val="4ADB406F"/>
    <w:rsid w:val="4ADF797C"/>
    <w:rsid w:val="4AE7656F"/>
    <w:rsid w:val="4AE86B80"/>
    <w:rsid w:val="4AEB42B2"/>
    <w:rsid w:val="4AEB7664"/>
    <w:rsid w:val="4AEE78FE"/>
    <w:rsid w:val="4AF173EE"/>
    <w:rsid w:val="4AF23F74"/>
    <w:rsid w:val="4AF56EDE"/>
    <w:rsid w:val="4AF8077D"/>
    <w:rsid w:val="4AFA44F5"/>
    <w:rsid w:val="4AFD7C19"/>
    <w:rsid w:val="4B005BCD"/>
    <w:rsid w:val="4B046389"/>
    <w:rsid w:val="4B0567D1"/>
    <w:rsid w:val="4B090BDC"/>
    <w:rsid w:val="4B0C247A"/>
    <w:rsid w:val="4B155BCD"/>
    <w:rsid w:val="4B1A4B97"/>
    <w:rsid w:val="4B223A4B"/>
    <w:rsid w:val="4B236AAE"/>
    <w:rsid w:val="4B257098"/>
    <w:rsid w:val="4B2B2900"/>
    <w:rsid w:val="4B320132"/>
    <w:rsid w:val="4B34391F"/>
    <w:rsid w:val="4B35552D"/>
    <w:rsid w:val="4B3814C1"/>
    <w:rsid w:val="4B3F0159"/>
    <w:rsid w:val="4B3F45FD"/>
    <w:rsid w:val="4B427C4A"/>
    <w:rsid w:val="4B4B6AFE"/>
    <w:rsid w:val="4B4C0AC8"/>
    <w:rsid w:val="4B517E8D"/>
    <w:rsid w:val="4B571947"/>
    <w:rsid w:val="4B5736F5"/>
    <w:rsid w:val="4B5F6A4E"/>
    <w:rsid w:val="4B6422B6"/>
    <w:rsid w:val="4B66323D"/>
    <w:rsid w:val="4B6C2AE7"/>
    <w:rsid w:val="4B704048"/>
    <w:rsid w:val="4B707271"/>
    <w:rsid w:val="4B75001F"/>
    <w:rsid w:val="4B7B411C"/>
    <w:rsid w:val="4B840262"/>
    <w:rsid w:val="4B8457C6"/>
    <w:rsid w:val="4B86222C"/>
    <w:rsid w:val="4B863FDA"/>
    <w:rsid w:val="4B865D88"/>
    <w:rsid w:val="4B8A01B9"/>
    <w:rsid w:val="4B8B7843"/>
    <w:rsid w:val="4B8D7117"/>
    <w:rsid w:val="4B9739F7"/>
    <w:rsid w:val="4B983D0E"/>
    <w:rsid w:val="4B9A1834"/>
    <w:rsid w:val="4B9A7A86"/>
    <w:rsid w:val="4B9B5C63"/>
    <w:rsid w:val="4B9C37FE"/>
    <w:rsid w:val="4BA44460"/>
    <w:rsid w:val="4BAE52DF"/>
    <w:rsid w:val="4BAF3531"/>
    <w:rsid w:val="4BB24DCF"/>
    <w:rsid w:val="4BB265FE"/>
    <w:rsid w:val="4BB548C0"/>
    <w:rsid w:val="4BBC17AA"/>
    <w:rsid w:val="4BCE14DD"/>
    <w:rsid w:val="4BCF3BD3"/>
    <w:rsid w:val="4BD42F98"/>
    <w:rsid w:val="4BD56D10"/>
    <w:rsid w:val="4BDB2578"/>
    <w:rsid w:val="4BE8259F"/>
    <w:rsid w:val="4BE86A43"/>
    <w:rsid w:val="4BEE2503"/>
    <w:rsid w:val="4BF4363A"/>
    <w:rsid w:val="4BFF5B3B"/>
    <w:rsid w:val="4C03562B"/>
    <w:rsid w:val="4C043151"/>
    <w:rsid w:val="4C0572C2"/>
    <w:rsid w:val="4C12586E"/>
    <w:rsid w:val="4C147838"/>
    <w:rsid w:val="4C1635B0"/>
    <w:rsid w:val="4C1930A0"/>
    <w:rsid w:val="4C194E4E"/>
    <w:rsid w:val="4C1C3BC5"/>
    <w:rsid w:val="4C245A30"/>
    <w:rsid w:val="4C2537F3"/>
    <w:rsid w:val="4C2B6930"/>
    <w:rsid w:val="4C3752D5"/>
    <w:rsid w:val="4C3954F1"/>
    <w:rsid w:val="4C39729F"/>
    <w:rsid w:val="4C3C641A"/>
    <w:rsid w:val="4C4243A5"/>
    <w:rsid w:val="4C5B45D0"/>
    <w:rsid w:val="4C5F3F2E"/>
    <w:rsid w:val="4C651E42"/>
    <w:rsid w:val="4C6F22E2"/>
    <w:rsid w:val="4C7E2F03"/>
    <w:rsid w:val="4C856040"/>
    <w:rsid w:val="4C87000A"/>
    <w:rsid w:val="4C883D82"/>
    <w:rsid w:val="4C8F6EBF"/>
    <w:rsid w:val="4C9269AF"/>
    <w:rsid w:val="4CA26BF2"/>
    <w:rsid w:val="4CA566E2"/>
    <w:rsid w:val="4CA74B4B"/>
    <w:rsid w:val="4CAC7A71"/>
    <w:rsid w:val="4CAD5597"/>
    <w:rsid w:val="4CB6685F"/>
    <w:rsid w:val="4CC367FE"/>
    <w:rsid w:val="4CC528E0"/>
    <w:rsid w:val="4CCF550D"/>
    <w:rsid w:val="4CD02C84"/>
    <w:rsid w:val="4CD83971"/>
    <w:rsid w:val="4CE03BBE"/>
    <w:rsid w:val="4CE71BB7"/>
    <w:rsid w:val="4CE74F4D"/>
    <w:rsid w:val="4CE90CC5"/>
    <w:rsid w:val="4CF83F29"/>
    <w:rsid w:val="4CFD02CC"/>
    <w:rsid w:val="4CFD651E"/>
    <w:rsid w:val="4D01600E"/>
    <w:rsid w:val="4D0454B6"/>
    <w:rsid w:val="4D057181"/>
    <w:rsid w:val="4D072E8F"/>
    <w:rsid w:val="4D077F3C"/>
    <w:rsid w:val="4D094EC3"/>
    <w:rsid w:val="4D0A4797"/>
    <w:rsid w:val="4D0B43E1"/>
    <w:rsid w:val="4D0B7988"/>
    <w:rsid w:val="4D0C6761"/>
    <w:rsid w:val="4D123355"/>
    <w:rsid w:val="4D221AE1"/>
    <w:rsid w:val="4D225F85"/>
    <w:rsid w:val="4D245859"/>
    <w:rsid w:val="4D292E6F"/>
    <w:rsid w:val="4D2A3B31"/>
    <w:rsid w:val="4D2A6BE7"/>
    <w:rsid w:val="4D312C52"/>
    <w:rsid w:val="4D360AE9"/>
    <w:rsid w:val="4D371A30"/>
    <w:rsid w:val="4D3857A8"/>
    <w:rsid w:val="4D3A1520"/>
    <w:rsid w:val="4D3F2693"/>
    <w:rsid w:val="4D40640B"/>
    <w:rsid w:val="4D422183"/>
    <w:rsid w:val="4D470B7A"/>
    <w:rsid w:val="4D477799"/>
    <w:rsid w:val="4D4D7800"/>
    <w:rsid w:val="4D5048A0"/>
    <w:rsid w:val="4D510618"/>
    <w:rsid w:val="4D61085B"/>
    <w:rsid w:val="4D616AAD"/>
    <w:rsid w:val="4D695962"/>
    <w:rsid w:val="4D704F42"/>
    <w:rsid w:val="4D8409ED"/>
    <w:rsid w:val="4D896004"/>
    <w:rsid w:val="4D8973D9"/>
    <w:rsid w:val="4D905305"/>
    <w:rsid w:val="4D9646BE"/>
    <w:rsid w:val="4D964A72"/>
    <w:rsid w:val="4D9C1254"/>
    <w:rsid w:val="4DA42E3E"/>
    <w:rsid w:val="4DA4699A"/>
    <w:rsid w:val="4DBC1F35"/>
    <w:rsid w:val="4DBE3EFF"/>
    <w:rsid w:val="4DC332C4"/>
    <w:rsid w:val="4DD03C33"/>
    <w:rsid w:val="4DD76D6F"/>
    <w:rsid w:val="4DE14B44"/>
    <w:rsid w:val="4DE14C7E"/>
    <w:rsid w:val="4DE60D60"/>
    <w:rsid w:val="4DE82D2A"/>
    <w:rsid w:val="4DF0398D"/>
    <w:rsid w:val="4DF94F37"/>
    <w:rsid w:val="4DFA0CB0"/>
    <w:rsid w:val="4DFA480C"/>
    <w:rsid w:val="4E086F29"/>
    <w:rsid w:val="4E0B6A19"/>
    <w:rsid w:val="4E10402F"/>
    <w:rsid w:val="4E165AE9"/>
    <w:rsid w:val="4E217FEA"/>
    <w:rsid w:val="4E233D62"/>
    <w:rsid w:val="4E236172"/>
    <w:rsid w:val="4E28581D"/>
    <w:rsid w:val="4E2E44B5"/>
    <w:rsid w:val="4E393586"/>
    <w:rsid w:val="4E4168DE"/>
    <w:rsid w:val="4E4361B3"/>
    <w:rsid w:val="4E481A1B"/>
    <w:rsid w:val="4E501CF0"/>
    <w:rsid w:val="4E612ADD"/>
    <w:rsid w:val="4E661EA1"/>
    <w:rsid w:val="4E6C3227"/>
    <w:rsid w:val="4E6C395B"/>
    <w:rsid w:val="4E717099"/>
    <w:rsid w:val="4E740A62"/>
    <w:rsid w:val="4E793892"/>
    <w:rsid w:val="4E797E26"/>
    <w:rsid w:val="4E7E71EB"/>
    <w:rsid w:val="4E800872"/>
    <w:rsid w:val="4E816CDB"/>
    <w:rsid w:val="4E8567CB"/>
    <w:rsid w:val="4E881E17"/>
    <w:rsid w:val="4E994025"/>
    <w:rsid w:val="4E9B1B4B"/>
    <w:rsid w:val="4E9E77F7"/>
    <w:rsid w:val="4EA529C9"/>
    <w:rsid w:val="4EA85EEE"/>
    <w:rsid w:val="4EAD187E"/>
    <w:rsid w:val="4EB2452C"/>
    <w:rsid w:val="4EC41512"/>
    <w:rsid w:val="4EC569ED"/>
    <w:rsid w:val="4ED50EA1"/>
    <w:rsid w:val="4ED736E4"/>
    <w:rsid w:val="4ED82BCE"/>
    <w:rsid w:val="4ED92673"/>
    <w:rsid w:val="4EDD2163"/>
    <w:rsid w:val="4EE2777A"/>
    <w:rsid w:val="4EE74D90"/>
    <w:rsid w:val="4EEC050C"/>
    <w:rsid w:val="4EEF00E8"/>
    <w:rsid w:val="4EEF1E97"/>
    <w:rsid w:val="4F0E4A13"/>
    <w:rsid w:val="4F0F42E7"/>
    <w:rsid w:val="4F104EC3"/>
    <w:rsid w:val="4F1B2C8C"/>
    <w:rsid w:val="4F1B712F"/>
    <w:rsid w:val="4F1D6A04"/>
    <w:rsid w:val="4F240A83"/>
    <w:rsid w:val="4F293ABD"/>
    <w:rsid w:val="4F2A7373"/>
    <w:rsid w:val="4F2C6C47"/>
    <w:rsid w:val="4F3001CE"/>
    <w:rsid w:val="4F361873"/>
    <w:rsid w:val="4F385A1D"/>
    <w:rsid w:val="4F391364"/>
    <w:rsid w:val="4F3B6676"/>
    <w:rsid w:val="4F3D2C02"/>
    <w:rsid w:val="4F455F5A"/>
    <w:rsid w:val="4F47354A"/>
    <w:rsid w:val="4F481D3F"/>
    <w:rsid w:val="4F495A4B"/>
    <w:rsid w:val="4F4C1097"/>
    <w:rsid w:val="4F501413"/>
    <w:rsid w:val="4F512B51"/>
    <w:rsid w:val="4F5166AD"/>
    <w:rsid w:val="4F5F526E"/>
    <w:rsid w:val="4F6C798B"/>
    <w:rsid w:val="4F6E54B1"/>
    <w:rsid w:val="4F6E725F"/>
    <w:rsid w:val="4F730D1A"/>
    <w:rsid w:val="4F732AC8"/>
    <w:rsid w:val="4F766114"/>
    <w:rsid w:val="4F786330"/>
    <w:rsid w:val="4F822D0B"/>
    <w:rsid w:val="4F840831"/>
    <w:rsid w:val="4F895E47"/>
    <w:rsid w:val="4F8D1DDB"/>
    <w:rsid w:val="4F9111A0"/>
    <w:rsid w:val="4F911C54"/>
    <w:rsid w:val="4F934F18"/>
    <w:rsid w:val="4F9A44F8"/>
    <w:rsid w:val="4F9B5B7A"/>
    <w:rsid w:val="4FA47125"/>
    <w:rsid w:val="4FAA5B7A"/>
    <w:rsid w:val="4FB05716"/>
    <w:rsid w:val="4FB82BD0"/>
    <w:rsid w:val="4FBC621D"/>
    <w:rsid w:val="4FBD1F95"/>
    <w:rsid w:val="4FC24FED"/>
    <w:rsid w:val="4FC7696F"/>
    <w:rsid w:val="4FD07F1A"/>
    <w:rsid w:val="4FDA2B47"/>
    <w:rsid w:val="4FE625E0"/>
    <w:rsid w:val="4FF10AAF"/>
    <w:rsid w:val="4FF21C3E"/>
    <w:rsid w:val="50084580"/>
    <w:rsid w:val="500951DA"/>
    <w:rsid w:val="500D481B"/>
    <w:rsid w:val="500E27F0"/>
    <w:rsid w:val="5012408F"/>
    <w:rsid w:val="50125E3D"/>
    <w:rsid w:val="50211ADF"/>
    <w:rsid w:val="5021480F"/>
    <w:rsid w:val="5023629C"/>
    <w:rsid w:val="502E69EF"/>
    <w:rsid w:val="50341765"/>
    <w:rsid w:val="50355FCF"/>
    <w:rsid w:val="5035610E"/>
    <w:rsid w:val="503A5393"/>
    <w:rsid w:val="503F0BFC"/>
    <w:rsid w:val="50483F54"/>
    <w:rsid w:val="504B134F"/>
    <w:rsid w:val="504F52E3"/>
    <w:rsid w:val="5052092F"/>
    <w:rsid w:val="505E7CC2"/>
    <w:rsid w:val="50632B3C"/>
    <w:rsid w:val="5066262C"/>
    <w:rsid w:val="50697A27"/>
    <w:rsid w:val="506D7517"/>
    <w:rsid w:val="507408A5"/>
    <w:rsid w:val="5075461D"/>
    <w:rsid w:val="507B7A10"/>
    <w:rsid w:val="507E7976"/>
    <w:rsid w:val="50854860"/>
    <w:rsid w:val="50854E71"/>
    <w:rsid w:val="508A00C9"/>
    <w:rsid w:val="508B3E41"/>
    <w:rsid w:val="50940F47"/>
    <w:rsid w:val="50947199"/>
    <w:rsid w:val="50962ECB"/>
    <w:rsid w:val="50964CC0"/>
    <w:rsid w:val="50A42E38"/>
    <w:rsid w:val="50A4577F"/>
    <w:rsid w:val="50A76ECD"/>
    <w:rsid w:val="50AB003F"/>
    <w:rsid w:val="50AF1DE6"/>
    <w:rsid w:val="50B73D1F"/>
    <w:rsid w:val="50BD5BC9"/>
    <w:rsid w:val="50BE4F65"/>
    <w:rsid w:val="50C10D15"/>
    <w:rsid w:val="50C11EEE"/>
    <w:rsid w:val="50C3182D"/>
    <w:rsid w:val="50D43A3A"/>
    <w:rsid w:val="50D94BAC"/>
    <w:rsid w:val="50E0418D"/>
    <w:rsid w:val="50E27F05"/>
    <w:rsid w:val="50E84DEF"/>
    <w:rsid w:val="50E97CFC"/>
    <w:rsid w:val="50ED15F9"/>
    <w:rsid w:val="50F25C6E"/>
    <w:rsid w:val="50F96FFC"/>
    <w:rsid w:val="50FA4028"/>
    <w:rsid w:val="50FB0FC7"/>
    <w:rsid w:val="50FD0F68"/>
    <w:rsid w:val="51053BF3"/>
    <w:rsid w:val="51087240"/>
    <w:rsid w:val="510A120A"/>
    <w:rsid w:val="510A2FB8"/>
    <w:rsid w:val="510D65B7"/>
    <w:rsid w:val="511157AB"/>
    <w:rsid w:val="51145BE4"/>
    <w:rsid w:val="51167BAE"/>
    <w:rsid w:val="511D6E11"/>
    <w:rsid w:val="511E4CB5"/>
    <w:rsid w:val="51220301"/>
    <w:rsid w:val="512D6CA6"/>
    <w:rsid w:val="512F0C70"/>
    <w:rsid w:val="51385D77"/>
    <w:rsid w:val="51387B25"/>
    <w:rsid w:val="513D513B"/>
    <w:rsid w:val="514069D9"/>
    <w:rsid w:val="5142540C"/>
    <w:rsid w:val="514566E6"/>
    <w:rsid w:val="51477D68"/>
    <w:rsid w:val="514E559A"/>
    <w:rsid w:val="514F6B70"/>
    <w:rsid w:val="5151508A"/>
    <w:rsid w:val="515406D7"/>
    <w:rsid w:val="51583D23"/>
    <w:rsid w:val="51597A9B"/>
    <w:rsid w:val="515F1555"/>
    <w:rsid w:val="51656440"/>
    <w:rsid w:val="516A3A56"/>
    <w:rsid w:val="51713037"/>
    <w:rsid w:val="518832C8"/>
    <w:rsid w:val="518965D2"/>
    <w:rsid w:val="519311FF"/>
    <w:rsid w:val="51954F77"/>
    <w:rsid w:val="51956D25"/>
    <w:rsid w:val="519B6306"/>
    <w:rsid w:val="519D3E2C"/>
    <w:rsid w:val="51A0432A"/>
    <w:rsid w:val="51A21442"/>
    <w:rsid w:val="51A76A58"/>
    <w:rsid w:val="51A86090"/>
    <w:rsid w:val="51B01DB1"/>
    <w:rsid w:val="51B15B29"/>
    <w:rsid w:val="51B7396D"/>
    <w:rsid w:val="51C23892"/>
    <w:rsid w:val="51D57A6A"/>
    <w:rsid w:val="51DF4444"/>
    <w:rsid w:val="51E05D03"/>
    <w:rsid w:val="51E11F6A"/>
    <w:rsid w:val="51E25CE3"/>
    <w:rsid w:val="51E657D3"/>
    <w:rsid w:val="51ED4DB3"/>
    <w:rsid w:val="51EE4687"/>
    <w:rsid w:val="51F021AD"/>
    <w:rsid w:val="51F53C68"/>
    <w:rsid w:val="520774F7"/>
    <w:rsid w:val="5208399B"/>
    <w:rsid w:val="520E4D2A"/>
    <w:rsid w:val="520E6201"/>
    <w:rsid w:val="52151C14"/>
    <w:rsid w:val="5217348F"/>
    <w:rsid w:val="521A1920"/>
    <w:rsid w:val="521A547C"/>
    <w:rsid w:val="521D4F6D"/>
    <w:rsid w:val="52263E21"/>
    <w:rsid w:val="522E4CC3"/>
    <w:rsid w:val="523227C6"/>
    <w:rsid w:val="52326C6A"/>
    <w:rsid w:val="523302EC"/>
    <w:rsid w:val="52344790"/>
    <w:rsid w:val="523D116B"/>
    <w:rsid w:val="5244713B"/>
    <w:rsid w:val="52524C16"/>
    <w:rsid w:val="52554706"/>
    <w:rsid w:val="525E35BB"/>
    <w:rsid w:val="52615633"/>
    <w:rsid w:val="526A1003"/>
    <w:rsid w:val="526D7CA2"/>
    <w:rsid w:val="527B23BF"/>
    <w:rsid w:val="527C1C93"/>
    <w:rsid w:val="527E5A0B"/>
    <w:rsid w:val="5281374D"/>
    <w:rsid w:val="52977FD4"/>
    <w:rsid w:val="529F276A"/>
    <w:rsid w:val="52A25790"/>
    <w:rsid w:val="52A317F4"/>
    <w:rsid w:val="52A35472"/>
    <w:rsid w:val="52A96B6F"/>
    <w:rsid w:val="52AA2CA4"/>
    <w:rsid w:val="52B256B5"/>
    <w:rsid w:val="52B45975"/>
    <w:rsid w:val="52B4767F"/>
    <w:rsid w:val="52C61160"/>
    <w:rsid w:val="52D03D8D"/>
    <w:rsid w:val="52D65847"/>
    <w:rsid w:val="52D94AA4"/>
    <w:rsid w:val="52DC2732"/>
    <w:rsid w:val="52E066C6"/>
    <w:rsid w:val="52E8557B"/>
    <w:rsid w:val="52EA3A62"/>
    <w:rsid w:val="52F263F9"/>
    <w:rsid w:val="52F50BB8"/>
    <w:rsid w:val="53097272"/>
    <w:rsid w:val="530A729F"/>
    <w:rsid w:val="530D4FE1"/>
    <w:rsid w:val="5311687F"/>
    <w:rsid w:val="53163E96"/>
    <w:rsid w:val="532A16EF"/>
    <w:rsid w:val="533407C0"/>
    <w:rsid w:val="53364538"/>
    <w:rsid w:val="5338205E"/>
    <w:rsid w:val="533D4B9F"/>
    <w:rsid w:val="533D58C6"/>
    <w:rsid w:val="53407165"/>
    <w:rsid w:val="534558E3"/>
    <w:rsid w:val="534A7FE3"/>
    <w:rsid w:val="534F73A8"/>
    <w:rsid w:val="53544462"/>
    <w:rsid w:val="53557FD1"/>
    <w:rsid w:val="5367649F"/>
    <w:rsid w:val="53740BBC"/>
    <w:rsid w:val="53746E0E"/>
    <w:rsid w:val="53760A1B"/>
    <w:rsid w:val="537D5CC3"/>
    <w:rsid w:val="538232D9"/>
    <w:rsid w:val="5382777D"/>
    <w:rsid w:val="53890B0C"/>
    <w:rsid w:val="538F3C48"/>
    <w:rsid w:val="5397158E"/>
    <w:rsid w:val="539D0113"/>
    <w:rsid w:val="53B316E5"/>
    <w:rsid w:val="53B4545D"/>
    <w:rsid w:val="53B8319F"/>
    <w:rsid w:val="53BD07B5"/>
    <w:rsid w:val="53BF452D"/>
    <w:rsid w:val="53C9715A"/>
    <w:rsid w:val="53D31D87"/>
    <w:rsid w:val="53D53D51"/>
    <w:rsid w:val="53D77AC9"/>
    <w:rsid w:val="53D855EF"/>
    <w:rsid w:val="53DA3115"/>
    <w:rsid w:val="53DA4EC3"/>
    <w:rsid w:val="53E47AF0"/>
    <w:rsid w:val="53EB70D0"/>
    <w:rsid w:val="53EE096F"/>
    <w:rsid w:val="53F1220D"/>
    <w:rsid w:val="53F95F9A"/>
    <w:rsid w:val="53FB3B1D"/>
    <w:rsid w:val="53FD5056"/>
    <w:rsid w:val="540006A2"/>
    <w:rsid w:val="54013861"/>
    <w:rsid w:val="54014B46"/>
    <w:rsid w:val="54041F40"/>
    <w:rsid w:val="54065CB8"/>
    <w:rsid w:val="54071A30"/>
    <w:rsid w:val="540E5726"/>
    <w:rsid w:val="54102FDB"/>
    <w:rsid w:val="54104D89"/>
    <w:rsid w:val="54176117"/>
    <w:rsid w:val="541859EC"/>
    <w:rsid w:val="541A79B6"/>
    <w:rsid w:val="54232D0E"/>
    <w:rsid w:val="54297BF9"/>
    <w:rsid w:val="542B3971"/>
    <w:rsid w:val="54372316"/>
    <w:rsid w:val="543A3BB4"/>
    <w:rsid w:val="543E202D"/>
    <w:rsid w:val="54436F0C"/>
    <w:rsid w:val="54487265"/>
    <w:rsid w:val="54493DF7"/>
    <w:rsid w:val="544B6A31"/>
    <w:rsid w:val="544D6070"/>
    <w:rsid w:val="54534C76"/>
    <w:rsid w:val="545509EE"/>
    <w:rsid w:val="54551654"/>
    <w:rsid w:val="54576514"/>
    <w:rsid w:val="5458228C"/>
    <w:rsid w:val="545A24A8"/>
    <w:rsid w:val="545F7ABE"/>
    <w:rsid w:val="54605E1E"/>
    <w:rsid w:val="54624EB9"/>
    <w:rsid w:val="5463135D"/>
    <w:rsid w:val="54632C97"/>
    <w:rsid w:val="546926EB"/>
    <w:rsid w:val="546B6463"/>
    <w:rsid w:val="54774E08"/>
    <w:rsid w:val="547A48F8"/>
    <w:rsid w:val="547D1CF3"/>
    <w:rsid w:val="54817A35"/>
    <w:rsid w:val="54837309"/>
    <w:rsid w:val="548E5CAE"/>
    <w:rsid w:val="549A0AF6"/>
    <w:rsid w:val="549A28A4"/>
    <w:rsid w:val="549E05E7"/>
    <w:rsid w:val="549E2395"/>
    <w:rsid w:val="54A0435F"/>
    <w:rsid w:val="54A11E85"/>
    <w:rsid w:val="54A8078A"/>
    <w:rsid w:val="54A86D6F"/>
    <w:rsid w:val="54AF45A2"/>
    <w:rsid w:val="54B27BEE"/>
    <w:rsid w:val="54B3506A"/>
    <w:rsid w:val="54B43966"/>
    <w:rsid w:val="54B75204"/>
    <w:rsid w:val="54B81F28"/>
    <w:rsid w:val="54B971CF"/>
    <w:rsid w:val="54BF40B9"/>
    <w:rsid w:val="54C0055D"/>
    <w:rsid w:val="54C11331"/>
    <w:rsid w:val="54CA0D16"/>
    <w:rsid w:val="54CB0CB0"/>
    <w:rsid w:val="54CD4A28"/>
    <w:rsid w:val="54D23DEC"/>
    <w:rsid w:val="54D9161F"/>
    <w:rsid w:val="54DD4057"/>
    <w:rsid w:val="54E16725"/>
    <w:rsid w:val="54E7490F"/>
    <w:rsid w:val="54E87AB4"/>
    <w:rsid w:val="54EB4EAE"/>
    <w:rsid w:val="54F72B40"/>
    <w:rsid w:val="54FB1595"/>
    <w:rsid w:val="55006BAB"/>
    <w:rsid w:val="55061CE8"/>
    <w:rsid w:val="55071F45"/>
    <w:rsid w:val="550764A4"/>
    <w:rsid w:val="550B2BF6"/>
    <w:rsid w:val="551360C7"/>
    <w:rsid w:val="55200FFC"/>
    <w:rsid w:val="55214EB5"/>
    <w:rsid w:val="552705DC"/>
    <w:rsid w:val="55287EB0"/>
    <w:rsid w:val="55305F58"/>
    <w:rsid w:val="55364EFD"/>
    <w:rsid w:val="55393E6B"/>
    <w:rsid w:val="553B4087"/>
    <w:rsid w:val="554271C4"/>
    <w:rsid w:val="554747DA"/>
    <w:rsid w:val="554C1DF1"/>
    <w:rsid w:val="554C3B9F"/>
    <w:rsid w:val="555D4828"/>
    <w:rsid w:val="555E1B24"/>
    <w:rsid w:val="55623E8E"/>
    <w:rsid w:val="55664241"/>
    <w:rsid w:val="557430F6"/>
    <w:rsid w:val="55782BE6"/>
    <w:rsid w:val="557A1216"/>
    <w:rsid w:val="557A4C8B"/>
    <w:rsid w:val="557B33C0"/>
    <w:rsid w:val="55833339"/>
    <w:rsid w:val="558477DD"/>
    <w:rsid w:val="558931E1"/>
    <w:rsid w:val="55923347"/>
    <w:rsid w:val="55925180"/>
    <w:rsid w:val="55983B1B"/>
    <w:rsid w:val="559B0682"/>
    <w:rsid w:val="559D43FA"/>
    <w:rsid w:val="559E63C4"/>
    <w:rsid w:val="55A175A6"/>
    <w:rsid w:val="55A734CB"/>
    <w:rsid w:val="55A8376B"/>
    <w:rsid w:val="55AF2CD7"/>
    <w:rsid w:val="55B61960"/>
    <w:rsid w:val="55B87486"/>
    <w:rsid w:val="55BD2CEE"/>
    <w:rsid w:val="55BE25C3"/>
    <w:rsid w:val="55C91693"/>
    <w:rsid w:val="55D27501"/>
    <w:rsid w:val="55D65B5E"/>
    <w:rsid w:val="55DC29B6"/>
    <w:rsid w:val="55DD4241"/>
    <w:rsid w:val="55E262B1"/>
    <w:rsid w:val="55F14746"/>
    <w:rsid w:val="55F34962"/>
    <w:rsid w:val="55F4549E"/>
    <w:rsid w:val="55F94345"/>
    <w:rsid w:val="55FB55C5"/>
    <w:rsid w:val="55FF50B5"/>
    <w:rsid w:val="56004989"/>
    <w:rsid w:val="56044479"/>
    <w:rsid w:val="560B4AC1"/>
    <w:rsid w:val="560E354A"/>
    <w:rsid w:val="560E70A6"/>
    <w:rsid w:val="56101070"/>
    <w:rsid w:val="561548D9"/>
    <w:rsid w:val="561636F1"/>
    <w:rsid w:val="562468CA"/>
    <w:rsid w:val="56272C9A"/>
    <w:rsid w:val="56292132"/>
    <w:rsid w:val="5630526E"/>
    <w:rsid w:val="56333318"/>
    <w:rsid w:val="56352885"/>
    <w:rsid w:val="5641747C"/>
    <w:rsid w:val="56446F6C"/>
    <w:rsid w:val="564601A1"/>
    <w:rsid w:val="5647080A"/>
    <w:rsid w:val="564E3947"/>
    <w:rsid w:val="56530F5D"/>
    <w:rsid w:val="56552F27"/>
    <w:rsid w:val="56554CD5"/>
    <w:rsid w:val="565A678F"/>
    <w:rsid w:val="565D3B8A"/>
    <w:rsid w:val="565F3DA6"/>
    <w:rsid w:val="5664316A"/>
    <w:rsid w:val="566B274A"/>
    <w:rsid w:val="566B6D1E"/>
    <w:rsid w:val="567A0BDF"/>
    <w:rsid w:val="56813D1C"/>
    <w:rsid w:val="568D26C1"/>
    <w:rsid w:val="56927CD7"/>
    <w:rsid w:val="5697709C"/>
    <w:rsid w:val="569E48CE"/>
    <w:rsid w:val="569F41A2"/>
    <w:rsid w:val="56A1160C"/>
    <w:rsid w:val="56A17F1A"/>
    <w:rsid w:val="56B04601"/>
    <w:rsid w:val="56B55774"/>
    <w:rsid w:val="56BA13E4"/>
    <w:rsid w:val="56C02A96"/>
    <w:rsid w:val="56C075EA"/>
    <w:rsid w:val="56CB4F97"/>
    <w:rsid w:val="56D54068"/>
    <w:rsid w:val="56DE5A0C"/>
    <w:rsid w:val="56E12A0D"/>
    <w:rsid w:val="56E46059"/>
    <w:rsid w:val="56EA7B13"/>
    <w:rsid w:val="56EB388B"/>
    <w:rsid w:val="56EB73E7"/>
    <w:rsid w:val="56F1653F"/>
    <w:rsid w:val="56F664B8"/>
    <w:rsid w:val="57032A2C"/>
    <w:rsid w:val="57064221"/>
    <w:rsid w:val="570D735E"/>
    <w:rsid w:val="570F5219"/>
    <w:rsid w:val="571701DC"/>
    <w:rsid w:val="57172725"/>
    <w:rsid w:val="571A1A7B"/>
    <w:rsid w:val="571C57F3"/>
    <w:rsid w:val="571E156B"/>
    <w:rsid w:val="57203535"/>
    <w:rsid w:val="57236B81"/>
    <w:rsid w:val="572D17AE"/>
    <w:rsid w:val="572F5526"/>
    <w:rsid w:val="57325016"/>
    <w:rsid w:val="5737087F"/>
    <w:rsid w:val="573945F7"/>
    <w:rsid w:val="57454D4A"/>
    <w:rsid w:val="57476D14"/>
    <w:rsid w:val="574865E8"/>
    <w:rsid w:val="574A2D59"/>
    <w:rsid w:val="574C257C"/>
    <w:rsid w:val="574D3BFE"/>
    <w:rsid w:val="57517B92"/>
    <w:rsid w:val="575248A0"/>
    <w:rsid w:val="575D12B5"/>
    <w:rsid w:val="57610A87"/>
    <w:rsid w:val="57623B4D"/>
    <w:rsid w:val="57650F48"/>
    <w:rsid w:val="576C677A"/>
    <w:rsid w:val="57723665"/>
    <w:rsid w:val="577B1140"/>
    <w:rsid w:val="577B7F21"/>
    <w:rsid w:val="577F181B"/>
    <w:rsid w:val="578735B4"/>
    <w:rsid w:val="57921984"/>
    <w:rsid w:val="57923D07"/>
    <w:rsid w:val="579737F0"/>
    <w:rsid w:val="57995095"/>
    <w:rsid w:val="579D2DD8"/>
    <w:rsid w:val="57A777B2"/>
    <w:rsid w:val="57AB7B30"/>
    <w:rsid w:val="57AD28EF"/>
    <w:rsid w:val="57AF5251"/>
    <w:rsid w:val="57B123DF"/>
    <w:rsid w:val="57B1418D"/>
    <w:rsid w:val="57B26373"/>
    <w:rsid w:val="57B32A0E"/>
    <w:rsid w:val="57B63F04"/>
    <w:rsid w:val="57B7551B"/>
    <w:rsid w:val="57CC7219"/>
    <w:rsid w:val="57CD20C2"/>
    <w:rsid w:val="57CF0AB7"/>
    <w:rsid w:val="57D165DD"/>
    <w:rsid w:val="57D52571"/>
    <w:rsid w:val="57D675AB"/>
    <w:rsid w:val="57D95FDD"/>
    <w:rsid w:val="57DB745C"/>
    <w:rsid w:val="57DD4F82"/>
    <w:rsid w:val="57E04A72"/>
    <w:rsid w:val="57E26A3C"/>
    <w:rsid w:val="57EE3633"/>
    <w:rsid w:val="57F329F7"/>
    <w:rsid w:val="57F4051E"/>
    <w:rsid w:val="57F95B34"/>
    <w:rsid w:val="58005114"/>
    <w:rsid w:val="58070251"/>
    <w:rsid w:val="580C03A8"/>
    <w:rsid w:val="580F7106"/>
    <w:rsid w:val="581110D0"/>
    <w:rsid w:val="581D7A74"/>
    <w:rsid w:val="581F559B"/>
    <w:rsid w:val="582B2191"/>
    <w:rsid w:val="583077A8"/>
    <w:rsid w:val="58333CC5"/>
    <w:rsid w:val="58344A22"/>
    <w:rsid w:val="58366D88"/>
    <w:rsid w:val="58466FCB"/>
    <w:rsid w:val="5847689F"/>
    <w:rsid w:val="584D65AC"/>
    <w:rsid w:val="585316E8"/>
    <w:rsid w:val="5855720E"/>
    <w:rsid w:val="585A4825"/>
    <w:rsid w:val="585F3CF0"/>
    <w:rsid w:val="5866766D"/>
    <w:rsid w:val="58675193"/>
    <w:rsid w:val="58690F0C"/>
    <w:rsid w:val="586E207E"/>
    <w:rsid w:val="58705DF6"/>
    <w:rsid w:val="5875165E"/>
    <w:rsid w:val="58782EFD"/>
    <w:rsid w:val="587A5D27"/>
    <w:rsid w:val="587A6C75"/>
    <w:rsid w:val="588418A2"/>
    <w:rsid w:val="58873140"/>
    <w:rsid w:val="58876800"/>
    <w:rsid w:val="58917D2F"/>
    <w:rsid w:val="58931AE5"/>
    <w:rsid w:val="5894085C"/>
    <w:rsid w:val="5895585D"/>
    <w:rsid w:val="5898534D"/>
    <w:rsid w:val="589C6BEB"/>
    <w:rsid w:val="58A27F7A"/>
    <w:rsid w:val="58AD585C"/>
    <w:rsid w:val="58AE24F1"/>
    <w:rsid w:val="58AE2DC2"/>
    <w:rsid w:val="58AE4F0C"/>
    <w:rsid w:val="58B24A28"/>
    <w:rsid w:val="58B85899"/>
    <w:rsid w:val="58BF28DA"/>
    <w:rsid w:val="58C61EBA"/>
    <w:rsid w:val="58C779E0"/>
    <w:rsid w:val="58CB127E"/>
    <w:rsid w:val="58CB5722"/>
    <w:rsid w:val="58DA5965"/>
    <w:rsid w:val="58DC4708"/>
    <w:rsid w:val="58DC50C4"/>
    <w:rsid w:val="58DE7204"/>
    <w:rsid w:val="58E363A9"/>
    <w:rsid w:val="58E81E30"/>
    <w:rsid w:val="58F92290"/>
    <w:rsid w:val="58FD3402"/>
    <w:rsid w:val="5903310E"/>
    <w:rsid w:val="590429E2"/>
    <w:rsid w:val="590B5B1F"/>
    <w:rsid w:val="590F1AB3"/>
    <w:rsid w:val="591075D9"/>
    <w:rsid w:val="59142C25"/>
    <w:rsid w:val="591470C9"/>
    <w:rsid w:val="5915074C"/>
    <w:rsid w:val="591C7D2C"/>
    <w:rsid w:val="591F15CA"/>
    <w:rsid w:val="59215342"/>
    <w:rsid w:val="59260BAB"/>
    <w:rsid w:val="592A2449"/>
    <w:rsid w:val="593037D7"/>
    <w:rsid w:val="59350DEE"/>
    <w:rsid w:val="59362CCA"/>
    <w:rsid w:val="5939268C"/>
    <w:rsid w:val="594D3F55"/>
    <w:rsid w:val="59502516"/>
    <w:rsid w:val="59592D2E"/>
    <w:rsid w:val="595E1678"/>
    <w:rsid w:val="596040BD"/>
    <w:rsid w:val="59637709"/>
    <w:rsid w:val="596D5BD4"/>
    <w:rsid w:val="596D63DB"/>
    <w:rsid w:val="59745DBA"/>
    <w:rsid w:val="597E09E7"/>
    <w:rsid w:val="597E3DD8"/>
    <w:rsid w:val="59875AED"/>
    <w:rsid w:val="598853C1"/>
    <w:rsid w:val="598B6C60"/>
    <w:rsid w:val="598C3104"/>
    <w:rsid w:val="598C5B6B"/>
    <w:rsid w:val="5991071A"/>
    <w:rsid w:val="59920F8F"/>
    <w:rsid w:val="59A26483"/>
    <w:rsid w:val="59A57D21"/>
    <w:rsid w:val="59A71CEC"/>
    <w:rsid w:val="59AC10B0"/>
    <w:rsid w:val="59AD6BD6"/>
    <w:rsid w:val="59B12B6A"/>
    <w:rsid w:val="59B241EC"/>
    <w:rsid w:val="59B44408"/>
    <w:rsid w:val="59B85E5B"/>
    <w:rsid w:val="59BF6BFF"/>
    <w:rsid w:val="59D14FBA"/>
    <w:rsid w:val="59D423B5"/>
    <w:rsid w:val="59DD74BB"/>
    <w:rsid w:val="59DE4FE1"/>
    <w:rsid w:val="59E051FD"/>
    <w:rsid w:val="59E06FAB"/>
    <w:rsid w:val="59E87171"/>
    <w:rsid w:val="59E940B2"/>
    <w:rsid w:val="59EA3055"/>
    <w:rsid w:val="59EA607C"/>
    <w:rsid w:val="59EC5950"/>
    <w:rsid w:val="59EC76FE"/>
    <w:rsid w:val="59ED3476"/>
    <w:rsid w:val="59F111B9"/>
    <w:rsid w:val="59F36CDF"/>
    <w:rsid w:val="59F80043"/>
    <w:rsid w:val="59FB5B93"/>
    <w:rsid w:val="59FD0969"/>
    <w:rsid w:val="5A032C9A"/>
    <w:rsid w:val="5A056A12"/>
    <w:rsid w:val="5A09252F"/>
    <w:rsid w:val="5A0A5DD6"/>
    <w:rsid w:val="5A0B2778"/>
    <w:rsid w:val="5A1F4B06"/>
    <w:rsid w:val="5A221372"/>
    <w:rsid w:val="5A2275C4"/>
    <w:rsid w:val="5A2A7C7B"/>
    <w:rsid w:val="5A307F33"/>
    <w:rsid w:val="5A3612C1"/>
    <w:rsid w:val="5A382944"/>
    <w:rsid w:val="5A3B0686"/>
    <w:rsid w:val="5A3E2560"/>
    <w:rsid w:val="5A407A4A"/>
    <w:rsid w:val="5A455061"/>
    <w:rsid w:val="5A4968FF"/>
    <w:rsid w:val="5A4C14B5"/>
    <w:rsid w:val="5A4F5EDF"/>
    <w:rsid w:val="5A5C0D28"/>
    <w:rsid w:val="5A5D3B6E"/>
    <w:rsid w:val="5A5F4374"/>
    <w:rsid w:val="5A637A76"/>
    <w:rsid w:val="5A6A4AC7"/>
    <w:rsid w:val="5A6D33BA"/>
    <w:rsid w:val="5A6E0A5B"/>
    <w:rsid w:val="5A792B1F"/>
    <w:rsid w:val="5A874767"/>
    <w:rsid w:val="5A8E4C59"/>
    <w:rsid w:val="5A981634"/>
    <w:rsid w:val="5AAC50E0"/>
    <w:rsid w:val="5AAD6F28"/>
    <w:rsid w:val="5AB26B9A"/>
    <w:rsid w:val="5AB53F94"/>
    <w:rsid w:val="5AB67D0C"/>
    <w:rsid w:val="5AB83A84"/>
    <w:rsid w:val="5ACE14FA"/>
    <w:rsid w:val="5ACE32A8"/>
    <w:rsid w:val="5AD63A24"/>
    <w:rsid w:val="5AD7215D"/>
    <w:rsid w:val="5AD76600"/>
    <w:rsid w:val="5ADA1C4D"/>
    <w:rsid w:val="5ADF1BC9"/>
    <w:rsid w:val="5AEB447E"/>
    <w:rsid w:val="5AEE394A"/>
    <w:rsid w:val="5AF21780"/>
    <w:rsid w:val="5AF54CD9"/>
    <w:rsid w:val="5AF745AD"/>
    <w:rsid w:val="5AF77E50"/>
    <w:rsid w:val="5AFA409D"/>
    <w:rsid w:val="5AFB13A2"/>
    <w:rsid w:val="5AFD593B"/>
    <w:rsid w:val="5B01542B"/>
    <w:rsid w:val="5B1D473C"/>
    <w:rsid w:val="5B1F58B2"/>
    <w:rsid w:val="5B24111A"/>
    <w:rsid w:val="5B265CBE"/>
    <w:rsid w:val="5B280C0A"/>
    <w:rsid w:val="5B2D2AF0"/>
    <w:rsid w:val="5B2E1A1D"/>
    <w:rsid w:val="5B345801"/>
    <w:rsid w:val="5B3475AF"/>
    <w:rsid w:val="5B3A26EB"/>
    <w:rsid w:val="5B3B7CC5"/>
    <w:rsid w:val="5B3C46B5"/>
    <w:rsid w:val="5B3E6680"/>
    <w:rsid w:val="5B4041A6"/>
    <w:rsid w:val="5B433C96"/>
    <w:rsid w:val="5B435A44"/>
    <w:rsid w:val="5B4812AC"/>
    <w:rsid w:val="5B4A6DD2"/>
    <w:rsid w:val="5B500161"/>
    <w:rsid w:val="5B525C87"/>
    <w:rsid w:val="5B5437AD"/>
    <w:rsid w:val="5B637E94"/>
    <w:rsid w:val="5B7C0F56"/>
    <w:rsid w:val="5B81031A"/>
    <w:rsid w:val="5B843A1C"/>
    <w:rsid w:val="5B85605C"/>
    <w:rsid w:val="5B873E3F"/>
    <w:rsid w:val="5B894CDD"/>
    <w:rsid w:val="5B8F2A37"/>
    <w:rsid w:val="5B9462A0"/>
    <w:rsid w:val="5B953DC6"/>
    <w:rsid w:val="5B9B5880"/>
    <w:rsid w:val="5BA04C44"/>
    <w:rsid w:val="5BA24CFD"/>
    <w:rsid w:val="5BB57FC4"/>
    <w:rsid w:val="5BB701E0"/>
    <w:rsid w:val="5BBD3A7B"/>
    <w:rsid w:val="5BC16969"/>
    <w:rsid w:val="5BCF552A"/>
    <w:rsid w:val="5BD26DC8"/>
    <w:rsid w:val="5BD3501A"/>
    <w:rsid w:val="5BD42B40"/>
    <w:rsid w:val="5BD82630"/>
    <w:rsid w:val="5BDC19F5"/>
    <w:rsid w:val="5BE03293"/>
    <w:rsid w:val="5BE2700B"/>
    <w:rsid w:val="5BEF1728"/>
    <w:rsid w:val="5BF52B2A"/>
    <w:rsid w:val="5C02690E"/>
    <w:rsid w:val="5C0A6562"/>
    <w:rsid w:val="5C0C4088"/>
    <w:rsid w:val="5C0F1DCA"/>
    <w:rsid w:val="5C1318BA"/>
    <w:rsid w:val="5C142F3C"/>
    <w:rsid w:val="5C1473E0"/>
    <w:rsid w:val="5C163158"/>
    <w:rsid w:val="5C190553"/>
    <w:rsid w:val="5C196DA7"/>
    <w:rsid w:val="5C1B1F35"/>
    <w:rsid w:val="5C205D85"/>
    <w:rsid w:val="5C221AFD"/>
    <w:rsid w:val="5C25339C"/>
    <w:rsid w:val="5C2A048C"/>
    <w:rsid w:val="5C2C472A"/>
    <w:rsid w:val="5C2F5FC8"/>
    <w:rsid w:val="5C335AB8"/>
    <w:rsid w:val="5C361105"/>
    <w:rsid w:val="5C3D2493"/>
    <w:rsid w:val="5C444B32"/>
    <w:rsid w:val="5C4750C0"/>
    <w:rsid w:val="5C563555"/>
    <w:rsid w:val="5C5A6D58"/>
    <w:rsid w:val="5C5B0B6B"/>
    <w:rsid w:val="5C655417"/>
    <w:rsid w:val="5C6914DA"/>
    <w:rsid w:val="5C6C0FCA"/>
    <w:rsid w:val="5C78171D"/>
    <w:rsid w:val="5C7A36E7"/>
    <w:rsid w:val="5C80234E"/>
    <w:rsid w:val="5C8A680C"/>
    <w:rsid w:val="5C8C341B"/>
    <w:rsid w:val="5C8E7193"/>
    <w:rsid w:val="5C910A31"/>
    <w:rsid w:val="5C9918CB"/>
    <w:rsid w:val="5C9E3D89"/>
    <w:rsid w:val="5C9F4EFC"/>
    <w:rsid w:val="5CA97B29"/>
    <w:rsid w:val="5CAC13C7"/>
    <w:rsid w:val="5CAC586B"/>
    <w:rsid w:val="5CB32755"/>
    <w:rsid w:val="5CB5471F"/>
    <w:rsid w:val="5CBD35D4"/>
    <w:rsid w:val="5CBD5382"/>
    <w:rsid w:val="5CC42BB4"/>
    <w:rsid w:val="5CCD7CBB"/>
    <w:rsid w:val="5CD01559"/>
    <w:rsid w:val="5CD050B5"/>
    <w:rsid w:val="5CD34BA6"/>
    <w:rsid w:val="5CD66444"/>
    <w:rsid w:val="5CD821BC"/>
    <w:rsid w:val="5CE13766"/>
    <w:rsid w:val="5CEB1EEF"/>
    <w:rsid w:val="5CEE378D"/>
    <w:rsid w:val="5CF3349A"/>
    <w:rsid w:val="5CF50FC0"/>
    <w:rsid w:val="5CF8285E"/>
    <w:rsid w:val="5D0273FA"/>
    <w:rsid w:val="5D0C4701"/>
    <w:rsid w:val="5D0E2082"/>
    <w:rsid w:val="5D0F0395"/>
    <w:rsid w:val="5D107BA8"/>
    <w:rsid w:val="5D1A4582"/>
    <w:rsid w:val="5D1F603D"/>
    <w:rsid w:val="5D215911"/>
    <w:rsid w:val="5D221076"/>
    <w:rsid w:val="5D261179"/>
    <w:rsid w:val="5D284EF1"/>
    <w:rsid w:val="5D292A17"/>
    <w:rsid w:val="5D2B49E2"/>
    <w:rsid w:val="5D331AE8"/>
    <w:rsid w:val="5D397964"/>
    <w:rsid w:val="5D3C6BEF"/>
    <w:rsid w:val="5D3D1EAB"/>
    <w:rsid w:val="5D4D4958"/>
    <w:rsid w:val="5D4E06D0"/>
    <w:rsid w:val="5D524382"/>
    <w:rsid w:val="5D5850AB"/>
    <w:rsid w:val="5D5A391C"/>
    <w:rsid w:val="5D5A7075"/>
    <w:rsid w:val="5D5B6EE1"/>
    <w:rsid w:val="5D5F10C0"/>
    <w:rsid w:val="5D681792"/>
    <w:rsid w:val="5D683540"/>
    <w:rsid w:val="5D6B3030"/>
    <w:rsid w:val="5D70362F"/>
    <w:rsid w:val="5D746389"/>
    <w:rsid w:val="5D751EE8"/>
    <w:rsid w:val="5D755C5D"/>
    <w:rsid w:val="5D79399F"/>
    <w:rsid w:val="5D7C348F"/>
    <w:rsid w:val="5D7C6FEB"/>
    <w:rsid w:val="5D891B7B"/>
    <w:rsid w:val="5D8A5BAC"/>
    <w:rsid w:val="5D8D744A"/>
    <w:rsid w:val="5D8F31C2"/>
    <w:rsid w:val="5D995DEF"/>
    <w:rsid w:val="5D9A56C3"/>
    <w:rsid w:val="5DAD38EE"/>
    <w:rsid w:val="5DAF5613"/>
    <w:rsid w:val="5DB06C95"/>
    <w:rsid w:val="5DB22A0D"/>
    <w:rsid w:val="5DB9023F"/>
    <w:rsid w:val="5DB91FED"/>
    <w:rsid w:val="5DBF512A"/>
    <w:rsid w:val="5DC015CE"/>
    <w:rsid w:val="5DC56BE4"/>
    <w:rsid w:val="5DC80482"/>
    <w:rsid w:val="5DCA41FA"/>
    <w:rsid w:val="5DCC7F73"/>
    <w:rsid w:val="5DCF7A63"/>
    <w:rsid w:val="5DD07337"/>
    <w:rsid w:val="5DD45079"/>
    <w:rsid w:val="5DD46E27"/>
    <w:rsid w:val="5DD961EC"/>
    <w:rsid w:val="5DE02183"/>
    <w:rsid w:val="5DE51034"/>
    <w:rsid w:val="5DE9235D"/>
    <w:rsid w:val="5DEA03F9"/>
    <w:rsid w:val="5DEF3C61"/>
    <w:rsid w:val="5DF474C9"/>
    <w:rsid w:val="5DF63241"/>
    <w:rsid w:val="5DF66D9E"/>
    <w:rsid w:val="5E006862"/>
    <w:rsid w:val="5E0207B9"/>
    <w:rsid w:val="5E021BE6"/>
    <w:rsid w:val="5E0F1C0D"/>
    <w:rsid w:val="5E1831B8"/>
    <w:rsid w:val="5E1834A1"/>
    <w:rsid w:val="5E192A8C"/>
    <w:rsid w:val="5E1B2CA8"/>
    <w:rsid w:val="5E1C432A"/>
    <w:rsid w:val="5E1D07CE"/>
    <w:rsid w:val="5E1E00A2"/>
    <w:rsid w:val="5E261785"/>
    <w:rsid w:val="5E282CCF"/>
    <w:rsid w:val="5E2C0A11"/>
    <w:rsid w:val="5E2E29DB"/>
    <w:rsid w:val="5E3316E7"/>
    <w:rsid w:val="5E3B0C54"/>
    <w:rsid w:val="5E3D49CC"/>
    <w:rsid w:val="5E426F07"/>
    <w:rsid w:val="5E48511F"/>
    <w:rsid w:val="5E4A7017"/>
    <w:rsid w:val="5E4A70E9"/>
    <w:rsid w:val="5E4D2736"/>
    <w:rsid w:val="5E4E54AA"/>
    <w:rsid w:val="5E552BBA"/>
    <w:rsid w:val="5E5E4943"/>
    <w:rsid w:val="5E604B5F"/>
    <w:rsid w:val="5E611C10"/>
    <w:rsid w:val="5E624433"/>
    <w:rsid w:val="5E6F08FE"/>
    <w:rsid w:val="5E760849"/>
    <w:rsid w:val="5E7E6D93"/>
    <w:rsid w:val="5E826883"/>
    <w:rsid w:val="5E8425FB"/>
    <w:rsid w:val="5E912F6A"/>
    <w:rsid w:val="5E916AC6"/>
    <w:rsid w:val="5E987E55"/>
    <w:rsid w:val="5E9C5E97"/>
    <w:rsid w:val="5E9D190F"/>
    <w:rsid w:val="5E9D36BD"/>
    <w:rsid w:val="5E9F11E3"/>
    <w:rsid w:val="5EB033F0"/>
    <w:rsid w:val="5EB50A07"/>
    <w:rsid w:val="5EB6652D"/>
    <w:rsid w:val="5EB97DCB"/>
    <w:rsid w:val="5EBD3D5F"/>
    <w:rsid w:val="5EC549C2"/>
    <w:rsid w:val="5ECD49E5"/>
    <w:rsid w:val="5ECE1AC8"/>
    <w:rsid w:val="5ECE7D1A"/>
    <w:rsid w:val="5ECF75EF"/>
    <w:rsid w:val="5EDB5F93"/>
    <w:rsid w:val="5EE017FC"/>
    <w:rsid w:val="5EE16246"/>
    <w:rsid w:val="5EE74938"/>
    <w:rsid w:val="5EEE216B"/>
    <w:rsid w:val="5EF05EE3"/>
    <w:rsid w:val="5EF332DD"/>
    <w:rsid w:val="5EF534F9"/>
    <w:rsid w:val="5EFA6915"/>
    <w:rsid w:val="5EFC6636"/>
    <w:rsid w:val="5EFC7377"/>
    <w:rsid w:val="5F06174D"/>
    <w:rsid w:val="5F0B0627"/>
    <w:rsid w:val="5F0E45BB"/>
    <w:rsid w:val="5F105C3D"/>
    <w:rsid w:val="5F150B74"/>
    <w:rsid w:val="5F1A4D0E"/>
    <w:rsid w:val="5F1C2834"/>
    <w:rsid w:val="5F217E4A"/>
    <w:rsid w:val="5F257BD5"/>
    <w:rsid w:val="5F265461"/>
    <w:rsid w:val="5F27742B"/>
    <w:rsid w:val="5F301D3D"/>
    <w:rsid w:val="5F322057"/>
    <w:rsid w:val="5F337B7D"/>
    <w:rsid w:val="5F3A3602"/>
    <w:rsid w:val="5F3C2ED6"/>
    <w:rsid w:val="5F3F6C61"/>
    <w:rsid w:val="5F463D55"/>
    <w:rsid w:val="5F4678B1"/>
    <w:rsid w:val="5F526256"/>
    <w:rsid w:val="5F557AF4"/>
    <w:rsid w:val="5F5923D9"/>
    <w:rsid w:val="5F5C5326"/>
    <w:rsid w:val="5F5D2E4C"/>
    <w:rsid w:val="5F6277C6"/>
    <w:rsid w:val="5F64242D"/>
    <w:rsid w:val="5F681F1D"/>
    <w:rsid w:val="5F6D0B1D"/>
    <w:rsid w:val="5F7268F8"/>
    <w:rsid w:val="5F73441E"/>
    <w:rsid w:val="5F796DF2"/>
    <w:rsid w:val="5F7F2DC3"/>
    <w:rsid w:val="5F893C41"/>
    <w:rsid w:val="5F8959EF"/>
    <w:rsid w:val="5F8B1768"/>
    <w:rsid w:val="5F8B79B9"/>
    <w:rsid w:val="5F8D0B82"/>
    <w:rsid w:val="5F8D1984"/>
    <w:rsid w:val="5F8D54E0"/>
    <w:rsid w:val="5F944AC0"/>
    <w:rsid w:val="5F950838"/>
    <w:rsid w:val="5F970C3A"/>
    <w:rsid w:val="5F9745B0"/>
    <w:rsid w:val="5F9F5213"/>
    <w:rsid w:val="5FA10F8B"/>
    <w:rsid w:val="5FAD7930"/>
    <w:rsid w:val="5FAF18FA"/>
    <w:rsid w:val="5FB46F10"/>
    <w:rsid w:val="5FB567E4"/>
    <w:rsid w:val="5FBA3DFB"/>
    <w:rsid w:val="5FBF1411"/>
    <w:rsid w:val="5FC30F01"/>
    <w:rsid w:val="5FC66C44"/>
    <w:rsid w:val="5FCC5339"/>
    <w:rsid w:val="5FCF3D4A"/>
    <w:rsid w:val="5FD0361E"/>
    <w:rsid w:val="5FD4310E"/>
    <w:rsid w:val="5FD72BFF"/>
    <w:rsid w:val="5FD924D3"/>
    <w:rsid w:val="5FDF3861"/>
    <w:rsid w:val="5FE13A7D"/>
    <w:rsid w:val="5FE34A5B"/>
    <w:rsid w:val="5FF13523"/>
    <w:rsid w:val="5FF23595"/>
    <w:rsid w:val="5FF4555F"/>
    <w:rsid w:val="5FF612D7"/>
    <w:rsid w:val="5FFE1E36"/>
    <w:rsid w:val="5FFE63DD"/>
    <w:rsid w:val="60000E7D"/>
    <w:rsid w:val="6005151A"/>
    <w:rsid w:val="600532C8"/>
    <w:rsid w:val="60123C37"/>
    <w:rsid w:val="601E0D4A"/>
    <w:rsid w:val="601F1CF2"/>
    <w:rsid w:val="60213E7A"/>
    <w:rsid w:val="60232584"/>
    <w:rsid w:val="60243CAF"/>
    <w:rsid w:val="60261490"/>
    <w:rsid w:val="60275934"/>
    <w:rsid w:val="60297C51"/>
    <w:rsid w:val="602A71D2"/>
    <w:rsid w:val="602F6597"/>
    <w:rsid w:val="60327E35"/>
    <w:rsid w:val="60395667"/>
    <w:rsid w:val="603E67DA"/>
    <w:rsid w:val="60402552"/>
    <w:rsid w:val="6045400C"/>
    <w:rsid w:val="60483AFC"/>
    <w:rsid w:val="604A1623"/>
    <w:rsid w:val="604A33D1"/>
    <w:rsid w:val="604C0EF7"/>
    <w:rsid w:val="604D2EC1"/>
    <w:rsid w:val="604D4C6F"/>
    <w:rsid w:val="6051475F"/>
    <w:rsid w:val="605424A1"/>
    <w:rsid w:val="60563B24"/>
    <w:rsid w:val="60566219"/>
    <w:rsid w:val="60567FC7"/>
    <w:rsid w:val="605E0C2A"/>
    <w:rsid w:val="605E6E7C"/>
    <w:rsid w:val="606721D5"/>
    <w:rsid w:val="60714E01"/>
    <w:rsid w:val="607330CE"/>
    <w:rsid w:val="60825176"/>
    <w:rsid w:val="60870181"/>
    <w:rsid w:val="608D150F"/>
    <w:rsid w:val="60912DAE"/>
    <w:rsid w:val="60996106"/>
    <w:rsid w:val="60997EB4"/>
    <w:rsid w:val="609A50F4"/>
    <w:rsid w:val="609B00D0"/>
    <w:rsid w:val="609F2AC4"/>
    <w:rsid w:val="60A01243"/>
    <w:rsid w:val="60A24FBB"/>
    <w:rsid w:val="60A32FB2"/>
    <w:rsid w:val="60A52CFD"/>
    <w:rsid w:val="60A70823"/>
    <w:rsid w:val="60A9459B"/>
    <w:rsid w:val="60AC5E39"/>
    <w:rsid w:val="60B116A2"/>
    <w:rsid w:val="60B62814"/>
    <w:rsid w:val="60B92304"/>
    <w:rsid w:val="60BB42CE"/>
    <w:rsid w:val="60C43183"/>
    <w:rsid w:val="60C50CA9"/>
    <w:rsid w:val="60C82547"/>
    <w:rsid w:val="60CC028A"/>
    <w:rsid w:val="60D13AF2"/>
    <w:rsid w:val="60D45812"/>
    <w:rsid w:val="60D96503"/>
    <w:rsid w:val="60E27AAD"/>
    <w:rsid w:val="60E5134B"/>
    <w:rsid w:val="60F375C4"/>
    <w:rsid w:val="60F4333C"/>
    <w:rsid w:val="60F5158E"/>
    <w:rsid w:val="60F63558"/>
    <w:rsid w:val="60F65306"/>
    <w:rsid w:val="60F811C1"/>
    <w:rsid w:val="60FA2EE8"/>
    <w:rsid w:val="60FD48E7"/>
    <w:rsid w:val="61054A27"/>
    <w:rsid w:val="610619ED"/>
    <w:rsid w:val="610A52BC"/>
    <w:rsid w:val="610B0DB2"/>
    <w:rsid w:val="610C68D8"/>
    <w:rsid w:val="61135DC9"/>
    <w:rsid w:val="611B6B1B"/>
    <w:rsid w:val="611D2366"/>
    <w:rsid w:val="612400C6"/>
    <w:rsid w:val="61265BEC"/>
    <w:rsid w:val="61271964"/>
    <w:rsid w:val="61306A6A"/>
    <w:rsid w:val="61314591"/>
    <w:rsid w:val="61351163"/>
    <w:rsid w:val="61354081"/>
    <w:rsid w:val="613926B5"/>
    <w:rsid w:val="613958BE"/>
    <w:rsid w:val="61421856"/>
    <w:rsid w:val="61446072"/>
    <w:rsid w:val="61504A17"/>
    <w:rsid w:val="615148D9"/>
    <w:rsid w:val="615227C4"/>
    <w:rsid w:val="615A3AE7"/>
    <w:rsid w:val="615D7134"/>
    <w:rsid w:val="61642270"/>
    <w:rsid w:val="61654E3F"/>
    <w:rsid w:val="61693D2A"/>
    <w:rsid w:val="616E7593"/>
    <w:rsid w:val="61706E67"/>
    <w:rsid w:val="61776447"/>
    <w:rsid w:val="61783F6D"/>
    <w:rsid w:val="6182292A"/>
    <w:rsid w:val="618741B1"/>
    <w:rsid w:val="618D5C6B"/>
    <w:rsid w:val="61923281"/>
    <w:rsid w:val="619743F4"/>
    <w:rsid w:val="619863BE"/>
    <w:rsid w:val="61994610"/>
    <w:rsid w:val="619F7F92"/>
    <w:rsid w:val="61A3723C"/>
    <w:rsid w:val="61AD1E69"/>
    <w:rsid w:val="61B825BC"/>
    <w:rsid w:val="61B9080E"/>
    <w:rsid w:val="61C62F2B"/>
    <w:rsid w:val="61C96577"/>
    <w:rsid w:val="61CB22EF"/>
    <w:rsid w:val="61D07906"/>
    <w:rsid w:val="61D54F1C"/>
    <w:rsid w:val="61E942CA"/>
    <w:rsid w:val="61ED04B8"/>
    <w:rsid w:val="61F2422D"/>
    <w:rsid w:val="61F47A98"/>
    <w:rsid w:val="61F94C26"/>
    <w:rsid w:val="61FC06FB"/>
    <w:rsid w:val="61FE26C5"/>
    <w:rsid w:val="62000E56"/>
    <w:rsid w:val="62065A1D"/>
    <w:rsid w:val="620B6B90"/>
    <w:rsid w:val="621041A6"/>
    <w:rsid w:val="621517BC"/>
    <w:rsid w:val="621A5025"/>
    <w:rsid w:val="621E68C3"/>
    <w:rsid w:val="622D6B06"/>
    <w:rsid w:val="62377985"/>
    <w:rsid w:val="62410803"/>
    <w:rsid w:val="62467BC8"/>
    <w:rsid w:val="624A4F9B"/>
    <w:rsid w:val="624C78D4"/>
    <w:rsid w:val="624F1172"/>
    <w:rsid w:val="624F2F20"/>
    <w:rsid w:val="624F3E49"/>
    <w:rsid w:val="62571DD5"/>
    <w:rsid w:val="625A5AA1"/>
    <w:rsid w:val="62614A02"/>
    <w:rsid w:val="62620EA5"/>
    <w:rsid w:val="62632286"/>
    <w:rsid w:val="627209BD"/>
    <w:rsid w:val="62775FD3"/>
    <w:rsid w:val="62782477"/>
    <w:rsid w:val="627B3D15"/>
    <w:rsid w:val="628539FF"/>
    <w:rsid w:val="62885958"/>
    <w:rsid w:val="62894684"/>
    <w:rsid w:val="628E1C9B"/>
    <w:rsid w:val="62946B85"/>
    <w:rsid w:val="629848C7"/>
    <w:rsid w:val="629B43B7"/>
    <w:rsid w:val="629E17B2"/>
    <w:rsid w:val="62A768B8"/>
    <w:rsid w:val="62AB0917"/>
    <w:rsid w:val="62B17737"/>
    <w:rsid w:val="62B31701"/>
    <w:rsid w:val="62B86D17"/>
    <w:rsid w:val="62BB6808"/>
    <w:rsid w:val="62BD2580"/>
    <w:rsid w:val="62BE3C02"/>
    <w:rsid w:val="62BF2ADF"/>
    <w:rsid w:val="62C0797A"/>
    <w:rsid w:val="62C31218"/>
    <w:rsid w:val="62C456BC"/>
    <w:rsid w:val="62C531E2"/>
    <w:rsid w:val="62C76F5B"/>
    <w:rsid w:val="62C84A81"/>
    <w:rsid w:val="62CD2097"/>
    <w:rsid w:val="62CE02E9"/>
    <w:rsid w:val="62D82F16"/>
    <w:rsid w:val="62DD22DA"/>
    <w:rsid w:val="62DD677E"/>
    <w:rsid w:val="62DE6052"/>
    <w:rsid w:val="62E01DCA"/>
    <w:rsid w:val="62E33669"/>
    <w:rsid w:val="62E73159"/>
    <w:rsid w:val="62EC69C1"/>
    <w:rsid w:val="62F40B65"/>
    <w:rsid w:val="62F45876"/>
    <w:rsid w:val="62FB30A8"/>
    <w:rsid w:val="62FC2CFE"/>
    <w:rsid w:val="62FE04A2"/>
    <w:rsid w:val="62FF4946"/>
    <w:rsid w:val="6300421A"/>
    <w:rsid w:val="63024505"/>
    <w:rsid w:val="63041F5D"/>
    <w:rsid w:val="630755A9"/>
    <w:rsid w:val="630C0E11"/>
    <w:rsid w:val="630E587E"/>
    <w:rsid w:val="63100901"/>
    <w:rsid w:val="631321A0"/>
    <w:rsid w:val="631A352E"/>
    <w:rsid w:val="631A52DC"/>
    <w:rsid w:val="6320666B"/>
    <w:rsid w:val="63216475"/>
    <w:rsid w:val="63253C81"/>
    <w:rsid w:val="6329551F"/>
    <w:rsid w:val="632B74E9"/>
    <w:rsid w:val="632C3261"/>
    <w:rsid w:val="63343EC4"/>
    <w:rsid w:val="633C21FE"/>
    <w:rsid w:val="633E3777"/>
    <w:rsid w:val="6343302D"/>
    <w:rsid w:val="634D537E"/>
    <w:rsid w:val="634E4F86"/>
    <w:rsid w:val="635051A2"/>
    <w:rsid w:val="635527B8"/>
    <w:rsid w:val="63554566"/>
    <w:rsid w:val="63556314"/>
    <w:rsid w:val="63585E05"/>
    <w:rsid w:val="635B1DB5"/>
    <w:rsid w:val="6361115D"/>
    <w:rsid w:val="63711FED"/>
    <w:rsid w:val="63730E90"/>
    <w:rsid w:val="63807109"/>
    <w:rsid w:val="63820002"/>
    <w:rsid w:val="6386718D"/>
    <w:rsid w:val="63880DDC"/>
    <w:rsid w:val="63894210"/>
    <w:rsid w:val="638C3D00"/>
    <w:rsid w:val="638D750D"/>
    <w:rsid w:val="63950E07"/>
    <w:rsid w:val="639D7CBB"/>
    <w:rsid w:val="63A025B8"/>
    <w:rsid w:val="63A4729C"/>
    <w:rsid w:val="63A728E8"/>
    <w:rsid w:val="63A76EDE"/>
    <w:rsid w:val="63AB062A"/>
    <w:rsid w:val="63AC6CC0"/>
    <w:rsid w:val="63B23767"/>
    <w:rsid w:val="63B868A3"/>
    <w:rsid w:val="63BC2837"/>
    <w:rsid w:val="63C90AB0"/>
    <w:rsid w:val="63CB4828"/>
    <w:rsid w:val="63CD05A1"/>
    <w:rsid w:val="63CD67F3"/>
    <w:rsid w:val="63D062E3"/>
    <w:rsid w:val="63D70F35"/>
    <w:rsid w:val="63DC07E4"/>
    <w:rsid w:val="63DF2082"/>
    <w:rsid w:val="63E61662"/>
    <w:rsid w:val="63E678B4"/>
    <w:rsid w:val="63E87188"/>
    <w:rsid w:val="63ED479F"/>
    <w:rsid w:val="63F0603D"/>
    <w:rsid w:val="63F7561D"/>
    <w:rsid w:val="63F975E8"/>
    <w:rsid w:val="63FC0E86"/>
    <w:rsid w:val="64020817"/>
    <w:rsid w:val="64055776"/>
    <w:rsid w:val="64065861"/>
    <w:rsid w:val="64085A7D"/>
    <w:rsid w:val="640A35A3"/>
    <w:rsid w:val="640E2967"/>
    <w:rsid w:val="64195594"/>
    <w:rsid w:val="64240056"/>
    <w:rsid w:val="64264155"/>
    <w:rsid w:val="642B176B"/>
    <w:rsid w:val="643423CE"/>
    <w:rsid w:val="64356146"/>
    <w:rsid w:val="643E143A"/>
    <w:rsid w:val="64412E16"/>
    <w:rsid w:val="64524F4A"/>
    <w:rsid w:val="64591E34"/>
    <w:rsid w:val="64601415"/>
    <w:rsid w:val="6461518D"/>
    <w:rsid w:val="646B7DB9"/>
    <w:rsid w:val="64744EC0"/>
    <w:rsid w:val="64747D3B"/>
    <w:rsid w:val="647805F8"/>
    <w:rsid w:val="647924D6"/>
    <w:rsid w:val="64794284"/>
    <w:rsid w:val="647A3F6A"/>
    <w:rsid w:val="64850E7B"/>
    <w:rsid w:val="648A0240"/>
    <w:rsid w:val="648B6EEF"/>
    <w:rsid w:val="648C045C"/>
    <w:rsid w:val="64917820"/>
    <w:rsid w:val="64990483"/>
    <w:rsid w:val="649D4417"/>
    <w:rsid w:val="64A216CA"/>
    <w:rsid w:val="64A82DBC"/>
    <w:rsid w:val="64B12593"/>
    <w:rsid w:val="64B61035"/>
    <w:rsid w:val="64B90B25"/>
    <w:rsid w:val="64BE438D"/>
    <w:rsid w:val="64C158BF"/>
    <w:rsid w:val="64C23E7D"/>
    <w:rsid w:val="64C33752"/>
    <w:rsid w:val="64C51278"/>
    <w:rsid w:val="64C574CA"/>
    <w:rsid w:val="64CE2EAA"/>
    <w:rsid w:val="64CF0348"/>
    <w:rsid w:val="64D23995"/>
    <w:rsid w:val="64DB4F3F"/>
    <w:rsid w:val="64E57B6C"/>
    <w:rsid w:val="64E77440"/>
    <w:rsid w:val="64E8140A"/>
    <w:rsid w:val="64EE6A20"/>
    <w:rsid w:val="64F14763"/>
    <w:rsid w:val="64F16511"/>
    <w:rsid w:val="64F41B5D"/>
    <w:rsid w:val="64FF0C2E"/>
    <w:rsid w:val="65030067"/>
    <w:rsid w:val="65044496"/>
    <w:rsid w:val="650E5143"/>
    <w:rsid w:val="651641C9"/>
    <w:rsid w:val="65183A9D"/>
    <w:rsid w:val="651B69FF"/>
    <w:rsid w:val="652F0DE7"/>
    <w:rsid w:val="652F2B95"/>
    <w:rsid w:val="65332685"/>
    <w:rsid w:val="653A7EB8"/>
    <w:rsid w:val="653B778C"/>
    <w:rsid w:val="653C3090"/>
    <w:rsid w:val="65460C6E"/>
    <w:rsid w:val="65474383"/>
    <w:rsid w:val="654A5C21"/>
    <w:rsid w:val="654D1146"/>
    <w:rsid w:val="654E25D6"/>
    <w:rsid w:val="654E3963"/>
    <w:rsid w:val="65515201"/>
    <w:rsid w:val="6554084E"/>
    <w:rsid w:val="655B1BDC"/>
    <w:rsid w:val="655F5050"/>
    <w:rsid w:val="65605444"/>
    <w:rsid w:val="65660CAD"/>
    <w:rsid w:val="6569254B"/>
    <w:rsid w:val="656942F9"/>
    <w:rsid w:val="656B62C3"/>
    <w:rsid w:val="6578453C"/>
    <w:rsid w:val="657C227E"/>
    <w:rsid w:val="65842EE1"/>
    <w:rsid w:val="65854376"/>
    <w:rsid w:val="6587305C"/>
    <w:rsid w:val="6587477F"/>
    <w:rsid w:val="658767BE"/>
    <w:rsid w:val="65892531"/>
    <w:rsid w:val="658E5B0E"/>
    <w:rsid w:val="65A90B99"/>
    <w:rsid w:val="65AB66C0"/>
    <w:rsid w:val="65AD68DC"/>
    <w:rsid w:val="65B03CD6"/>
    <w:rsid w:val="65B37C6A"/>
    <w:rsid w:val="65BD4645"/>
    <w:rsid w:val="65BD63F3"/>
    <w:rsid w:val="65BD759E"/>
    <w:rsid w:val="65CE0600"/>
    <w:rsid w:val="65D57BE0"/>
    <w:rsid w:val="65D75707"/>
    <w:rsid w:val="65E73470"/>
    <w:rsid w:val="65EB2F60"/>
    <w:rsid w:val="65EE2A50"/>
    <w:rsid w:val="65F362B8"/>
    <w:rsid w:val="65F9196B"/>
    <w:rsid w:val="65FA7647"/>
    <w:rsid w:val="66044022"/>
    <w:rsid w:val="66061B48"/>
    <w:rsid w:val="660B132F"/>
    <w:rsid w:val="661029C7"/>
    <w:rsid w:val="66195831"/>
    <w:rsid w:val="661E50E3"/>
    <w:rsid w:val="6626043C"/>
    <w:rsid w:val="66263F98"/>
    <w:rsid w:val="66287494"/>
    <w:rsid w:val="662B15AE"/>
    <w:rsid w:val="662E109F"/>
    <w:rsid w:val="662E75B1"/>
    <w:rsid w:val="663366B5"/>
    <w:rsid w:val="66342C2E"/>
    <w:rsid w:val="66391F1D"/>
    <w:rsid w:val="663C1A0D"/>
    <w:rsid w:val="663E784C"/>
    <w:rsid w:val="664459EA"/>
    <w:rsid w:val="664663E8"/>
    <w:rsid w:val="6648501B"/>
    <w:rsid w:val="664B39FF"/>
    <w:rsid w:val="665705F5"/>
    <w:rsid w:val="6659611C"/>
    <w:rsid w:val="66640790"/>
    <w:rsid w:val="666920D7"/>
    <w:rsid w:val="666A0329"/>
    <w:rsid w:val="666B22F3"/>
    <w:rsid w:val="666B23BE"/>
    <w:rsid w:val="666F3B91"/>
    <w:rsid w:val="667E3DD4"/>
    <w:rsid w:val="66805D9E"/>
    <w:rsid w:val="66833198"/>
    <w:rsid w:val="6683763C"/>
    <w:rsid w:val="668533B4"/>
    <w:rsid w:val="668B6A45"/>
    <w:rsid w:val="66903B07"/>
    <w:rsid w:val="6692162D"/>
    <w:rsid w:val="669929BC"/>
    <w:rsid w:val="669B4986"/>
    <w:rsid w:val="669E0497"/>
    <w:rsid w:val="66B912B0"/>
    <w:rsid w:val="66BB5F1A"/>
    <w:rsid w:val="66BE68C6"/>
    <w:rsid w:val="66C11F13"/>
    <w:rsid w:val="66CC0FE3"/>
    <w:rsid w:val="66CD08B8"/>
    <w:rsid w:val="66CD4D5B"/>
    <w:rsid w:val="66D165FA"/>
    <w:rsid w:val="66DD4F9F"/>
    <w:rsid w:val="66E16111"/>
    <w:rsid w:val="66E8749F"/>
    <w:rsid w:val="66EC3434"/>
    <w:rsid w:val="66F127F8"/>
    <w:rsid w:val="66F2031E"/>
    <w:rsid w:val="66F66060"/>
    <w:rsid w:val="66F83B86"/>
    <w:rsid w:val="66FB3677"/>
    <w:rsid w:val="67006EDF"/>
    <w:rsid w:val="67073DC9"/>
    <w:rsid w:val="670A38BA"/>
    <w:rsid w:val="670F2C7E"/>
    <w:rsid w:val="671169F6"/>
    <w:rsid w:val="67144738"/>
    <w:rsid w:val="67204E8B"/>
    <w:rsid w:val="672A5D0A"/>
    <w:rsid w:val="672F3F24"/>
    <w:rsid w:val="67334BBF"/>
    <w:rsid w:val="6736645D"/>
    <w:rsid w:val="673E055F"/>
    <w:rsid w:val="674212A6"/>
    <w:rsid w:val="6744501E"/>
    <w:rsid w:val="6747066A"/>
    <w:rsid w:val="674C5C80"/>
    <w:rsid w:val="67551CE3"/>
    <w:rsid w:val="6759214B"/>
    <w:rsid w:val="675B2367"/>
    <w:rsid w:val="676236F6"/>
    <w:rsid w:val="676314F1"/>
    <w:rsid w:val="67696832"/>
    <w:rsid w:val="676C00D0"/>
    <w:rsid w:val="677700BB"/>
    <w:rsid w:val="67796FA3"/>
    <w:rsid w:val="677A0A3F"/>
    <w:rsid w:val="6785237B"/>
    <w:rsid w:val="678673E4"/>
    <w:rsid w:val="67883DC2"/>
    <w:rsid w:val="678E0047"/>
    <w:rsid w:val="67900263"/>
    <w:rsid w:val="67917B37"/>
    <w:rsid w:val="679413D5"/>
    <w:rsid w:val="67987287"/>
    <w:rsid w:val="67A22552"/>
    <w:rsid w:val="67A930D3"/>
    <w:rsid w:val="67B22418"/>
    <w:rsid w:val="67B22DCC"/>
    <w:rsid w:val="67B366D1"/>
    <w:rsid w:val="67B531A3"/>
    <w:rsid w:val="67BC1058"/>
    <w:rsid w:val="67BE71AA"/>
    <w:rsid w:val="67C779FD"/>
    <w:rsid w:val="67CA4DF7"/>
    <w:rsid w:val="67D04C04"/>
    <w:rsid w:val="67D363A2"/>
    <w:rsid w:val="67D72CA3"/>
    <w:rsid w:val="67D87514"/>
    <w:rsid w:val="67D90273"/>
    <w:rsid w:val="67DE5875"/>
    <w:rsid w:val="67DF6AF4"/>
    <w:rsid w:val="67E54529"/>
    <w:rsid w:val="67E55852"/>
    <w:rsid w:val="67EB1AB4"/>
    <w:rsid w:val="67EB2C5D"/>
    <w:rsid w:val="67ED7463"/>
    <w:rsid w:val="67EE0AE5"/>
    <w:rsid w:val="67F02AB0"/>
    <w:rsid w:val="67F24A7A"/>
    <w:rsid w:val="67F56318"/>
    <w:rsid w:val="67F81964"/>
    <w:rsid w:val="67FA1285"/>
    <w:rsid w:val="67FA392E"/>
    <w:rsid w:val="68016A6B"/>
    <w:rsid w:val="68074FF1"/>
    <w:rsid w:val="68120C78"/>
    <w:rsid w:val="68183DB4"/>
    <w:rsid w:val="682269E1"/>
    <w:rsid w:val="6823604A"/>
    <w:rsid w:val="68264723"/>
    <w:rsid w:val="682B7F8C"/>
    <w:rsid w:val="68352BB8"/>
    <w:rsid w:val="683B6DE1"/>
    <w:rsid w:val="683C5CF5"/>
    <w:rsid w:val="683D1E50"/>
    <w:rsid w:val="684352D5"/>
    <w:rsid w:val="68437083"/>
    <w:rsid w:val="68442DFB"/>
    <w:rsid w:val="68444BA9"/>
    <w:rsid w:val="684A23F5"/>
    <w:rsid w:val="684D3A5E"/>
    <w:rsid w:val="684F3C7A"/>
    <w:rsid w:val="68551F4F"/>
    <w:rsid w:val="685748DD"/>
    <w:rsid w:val="685C1EF3"/>
    <w:rsid w:val="685C6397"/>
    <w:rsid w:val="68637725"/>
    <w:rsid w:val="68646FFA"/>
    <w:rsid w:val="68681035"/>
    <w:rsid w:val="687C10C9"/>
    <w:rsid w:val="687C4343"/>
    <w:rsid w:val="68815DFE"/>
    <w:rsid w:val="68840C16"/>
    <w:rsid w:val="688431F8"/>
    <w:rsid w:val="68866F70"/>
    <w:rsid w:val="68874F8A"/>
    <w:rsid w:val="68876EFB"/>
    <w:rsid w:val="68884654"/>
    <w:rsid w:val="688B27D8"/>
    <w:rsid w:val="68921DB9"/>
    <w:rsid w:val="689F444F"/>
    <w:rsid w:val="68AC2EBA"/>
    <w:rsid w:val="68B827A5"/>
    <w:rsid w:val="68B96DBB"/>
    <w:rsid w:val="68BC6E36"/>
    <w:rsid w:val="68C006D4"/>
    <w:rsid w:val="68C1269E"/>
    <w:rsid w:val="68C33D20"/>
    <w:rsid w:val="68C83A2C"/>
    <w:rsid w:val="68C87588"/>
    <w:rsid w:val="68CA2805"/>
    <w:rsid w:val="68CA77A4"/>
    <w:rsid w:val="68CD2DF1"/>
    <w:rsid w:val="68CF4DBB"/>
    <w:rsid w:val="68D221B5"/>
    <w:rsid w:val="68D45F2D"/>
    <w:rsid w:val="68E048D2"/>
    <w:rsid w:val="68E1689C"/>
    <w:rsid w:val="68E36170"/>
    <w:rsid w:val="68E82318"/>
    <w:rsid w:val="68E937A3"/>
    <w:rsid w:val="68EA74FF"/>
    <w:rsid w:val="68F14D31"/>
    <w:rsid w:val="68FE744E"/>
    <w:rsid w:val="69012A9A"/>
    <w:rsid w:val="690507DD"/>
    <w:rsid w:val="69083E29"/>
    <w:rsid w:val="69086D1C"/>
    <w:rsid w:val="690C3919"/>
    <w:rsid w:val="69110F2F"/>
    <w:rsid w:val="6911150F"/>
    <w:rsid w:val="69117181"/>
    <w:rsid w:val="691427CE"/>
    <w:rsid w:val="691B3B5C"/>
    <w:rsid w:val="691E189E"/>
    <w:rsid w:val="69256789"/>
    <w:rsid w:val="693115D2"/>
    <w:rsid w:val="69366BE8"/>
    <w:rsid w:val="69394130"/>
    <w:rsid w:val="693B7D5A"/>
    <w:rsid w:val="693E15D3"/>
    <w:rsid w:val="693E5A9D"/>
    <w:rsid w:val="6942733B"/>
    <w:rsid w:val="694503FF"/>
    <w:rsid w:val="694D5CE0"/>
    <w:rsid w:val="694F7CAA"/>
    <w:rsid w:val="69531548"/>
    <w:rsid w:val="6954706E"/>
    <w:rsid w:val="69564B94"/>
    <w:rsid w:val="69586B5E"/>
    <w:rsid w:val="69627681"/>
    <w:rsid w:val="696A556C"/>
    <w:rsid w:val="697119CE"/>
    <w:rsid w:val="69731BEA"/>
    <w:rsid w:val="69756720"/>
    <w:rsid w:val="6977531D"/>
    <w:rsid w:val="69855479"/>
    <w:rsid w:val="69913E1E"/>
    <w:rsid w:val="699D6C67"/>
    <w:rsid w:val="69A43B52"/>
    <w:rsid w:val="69AE677E"/>
    <w:rsid w:val="69B30239"/>
    <w:rsid w:val="69B55D5F"/>
    <w:rsid w:val="69C51D1A"/>
    <w:rsid w:val="69C9180A"/>
    <w:rsid w:val="69C97A5C"/>
    <w:rsid w:val="69CC2BFF"/>
    <w:rsid w:val="69D00DEB"/>
    <w:rsid w:val="69D56401"/>
    <w:rsid w:val="69DA3ABA"/>
    <w:rsid w:val="69E04D5B"/>
    <w:rsid w:val="69E14DA6"/>
    <w:rsid w:val="69E77EE2"/>
    <w:rsid w:val="69EC374B"/>
    <w:rsid w:val="69F43947"/>
    <w:rsid w:val="69F50851"/>
    <w:rsid w:val="69FB573C"/>
    <w:rsid w:val="69FD55B8"/>
    <w:rsid w:val="69FF6FDA"/>
    <w:rsid w:val="6A0B1C62"/>
    <w:rsid w:val="6A0B3BD1"/>
    <w:rsid w:val="6A0E546F"/>
    <w:rsid w:val="6A1011E7"/>
    <w:rsid w:val="6A113133"/>
    <w:rsid w:val="6A164324"/>
    <w:rsid w:val="6A1F0D5E"/>
    <w:rsid w:val="6A214B0E"/>
    <w:rsid w:val="6A2406C8"/>
    <w:rsid w:val="6A244C92"/>
    <w:rsid w:val="6A246A40"/>
    <w:rsid w:val="6A274783"/>
    <w:rsid w:val="6A325A93"/>
    <w:rsid w:val="6A3C6480"/>
    <w:rsid w:val="6A43612F"/>
    <w:rsid w:val="6A4D41E9"/>
    <w:rsid w:val="6A4E1D0F"/>
    <w:rsid w:val="6A5E63F6"/>
    <w:rsid w:val="6A5F216E"/>
    <w:rsid w:val="6A611A43"/>
    <w:rsid w:val="6A667059"/>
    <w:rsid w:val="6A681023"/>
    <w:rsid w:val="6A6D03E7"/>
    <w:rsid w:val="6A6D488B"/>
    <w:rsid w:val="6A70612A"/>
    <w:rsid w:val="6A7259FE"/>
    <w:rsid w:val="6A745C1A"/>
    <w:rsid w:val="6A773014"/>
    <w:rsid w:val="6A7E0E6D"/>
    <w:rsid w:val="6A8614A9"/>
    <w:rsid w:val="6A8F4802"/>
    <w:rsid w:val="6A9739A1"/>
    <w:rsid w:val="6A975464"/>
    <w:rsid w:val="6AAD4C88"/>
    <w:rsid w:val="6AB37DC4"/>
    <w:rsid w:val="6AB97AD1"/>
    <w:rsid w:val="6ABC4ECB"/>
    <w:rsid w:val="6AC326FD"/>
    <w:rsid w:val="6AC34B1A"/>
    <w:rsid w:val="6AC81AC2"/>
    <w:rsid w:val="6ACA640D"/>
    <w:rsid w:val="6ACD0E86"/>
    <w:rsid w:val="6ACD70D8"/>
    <w:rsid w:val="6AD611D4"/>
    <w:rsid w:val="6AD71D05"/>
    <w:rsid w:val="6ADA17F5"/>
    <w:rsid w:val="6ADE0BD1"/>
    <w:rsid w:val="6ADE7537"/>
    <w:rsid w:val="6AE34B4E"/>
    <w:rsid w:val="6AE508C6"/>
    <w:rsid w:val="6AE8079A"/>
    <w:rsid w:val="6AE96859"/>
    <w:rsid w:val="6AED1528"/>
    <w:rsid w:val="6AF25B1F"/>
    <w:rsid w:val="6AFE3735"/>
    <w:rsid w:val="6B025340"/>
    <w:rsid w:val="6B0D5727"/>
    <w:rsid w:val="6B144D07"/>
    <w:rsid w:val="6B147746"/>
    <w:rsid w:val="6B150BE5"/>
    <w:rsid w:val="6B1855DF"/>
    <w:rsid w:val="6B19231D"/>
    <w:rsid w:val="6B1C1E0E"/>
    <w:rsid w:val="6B24787C"/>
    <w:rsid w:val="6B272C8C"/>
    <w:rsid w:val="6B3158B9"/>
    <w:rsid w:val="6B362ECF"/>
    <w:rsid w:val="6B39651C"/>
    <w:rsid w:val="6B3D425E"/>
    <w:rsid w:val="6B4849B1"/>
    <w:rsid w:val="6B4F3F91"/>
    <w:rsid w:val="6B4F5D3F"/>
    <w:rsid w:val="6B517D09"/>
    <w:rsid w:val="6B573233"/>
    <w:rsid w:val="6B596BBE"/>
    <w:rsid w:val="6B5B6274"/>
    <w:rsid w:val="6B680BAF"/>
    <w:rsid w:val="6B6F4633"/>
    <w:rsid w:val="6B6F63E1"/>
    <w:rsid w:val="6B7834E8"/>
    <w:rsid w:val="6B813C05"/>
    <w:rsid w:val="6B827EC3"/>
    <w:rsid w:val="6B8D6867"/>
    <w:rsid w:val="6B9145AA"/>
    <w:rsid w:val="6B923E7E"/>
    <w:rsid w:val="6B9320D0"/>
    <w:rsid w:val="6B935D53"/>
    <w:rsid w:val="6BA20565"/>
    <w:rsid w:val="6BA3764E"/>
    <w:rsid w:val="6BA53BB1"/>
    <w:rsid w:val="6BB362CE"/>
    <w:rsid w:val="6BB77FE6"/>
    <w:rsid w:val="6BC229B5"/>
    <w:rsid w:val="6BC32289"/>
    <w:rsid w:val="6BCF0C2E"/>
    <w:rsid w:val="6BD10E4A"/>
    <w:rsid w:val="6BD66460"/>
    <w:rsid w:val="6BDF70C3"/>
    <w:rsid w:val="6BE91CF0"/>
    <w:rsid w:val="6BF863D7"/>
    <w:rsid w:val="6BFA3EFD"/>
    <w:rsid w:val="6BFC7F91"/>
    <w:rsid w:val="6BFF1513"/>
    <w:rsid w:val="6C0B610A"/>
    <w:rsid w:val="6C1274B0"/>
    <w:rsid w:val="6C1825D5"/>
    <w:rsid w:val="6C186A79"/>
    <w:rsid w:val="6C186B6B"/>
    <w:rsid w:val="6C196F71"/>
    <w:rsid w:val="6C1B20C5"/>
    <w:rsid w:val="6C1C0317"/>
    <w:rsid w:val="6C20659F"/>
    <w:rsid w:val="6C226FCB"/>
    <w:rsid w:val="6C303DC2"/>
    <w:rsid w:val="6C31226F"/>
    <w:rsid w:val="6C337F2A"/>
    <w:rsid w:val="6C354F35"/>
    <w:rsid w:val="6C375151"/>
    <w:rsid w:val="6C3D64DF"/>
    <w:rsid w:val="6C44161C"/>
    <w:rsid w:val="6C474C68"/>
    <w:rsid w:val="6C552F0B"/>
    <w:rsid w:val="6C5C6966"/>
    <w:rsid w:val="6C5F6456"/>
    <w:rsid w:val="6C627CF4"/>
    <w:rsid w:val="6C67530A"/>
    <w:rsid w:val="6C6E6DCF"/>
    <w:rsid w:val="6C705F6D"/>
    <w:rsid w:val="6C7E4523"/>
    <w:rsid w:val="6C847C6A"/>
    <w:rsid w:val="6C8C67B7"/>
    <w:rsid w:val="6C8D2FC3"/>
    <w:rsid w:val="6C9205D9"/>
    <w:rsid w:val="6C9D744C"/>
    <w:rsid w:val="6C9E6F7E"/>
    <w:rsid w:val="6C9F6852"/>
    <w:rsid w:val="6CA43E69"/>
    <w:rsid w:val="6CAA3F66"/>
    <w:rsid w:val="6CAD0F6F"/>
    <w:rsid w:val="6CAD5413"/>
    <w:rsid w:val="6CAE35A4"/>
    <w:rsid w:val="6CB542C8"/>
    <w:rsid w:val="6CB56076"/>
    <w:rsid w:val="6CBC7404"/>
    <w:rsid w:val="6CC62031"/>
    <w:rsid w:val="6CCB5899"/>
    <w:rsid w:val="6CCC33F6"/>
    <w:rsid w:val="6CCD33BF"/>
    <w:rsid w:val="6CD3474E"/>
    <w:rsid w:val="6CDA3D2E"/>
    <w:rsid w:val="6CDC7AA6"/>
    <w:rsid w:val="6CF272CA"/>
    <w:rsid w:val="6CF37CE2"/>
    <w:rsid w:val="6CF941B4"/>
    <w:rsid w:val="6D0B213A"/>
    <w:rsid w:val="6D0D4104"/>
    <w:rsid w:val="6D111B2A"/>
    <w:rsid w:val="6D167928"/>
    <w:rsid w:val="6D1A237D"/>
    <w:rsid w:val="6D1E00BF"/>
    <w:rsid w:val="6D26299B"/>
    <w:rsid w:val="6D262AD0"/>
    <w:rsid w:val="6D26480F"/>
    <w:rsid w:val="6D286848"/>
    <w:rsid w:val="6D3276C6"/>
    <w:rsid w:val="6D366744"/>
    <w:rsid w:val="6D3E5DE9"/>
    <w:rsid w:val="6D401DE3"/>
    <w:rsid w:val="6D4318D3"/>
    <w:rsid w:val="6D433682"/>
    <w:rsid w:val="6D4772EC"/>
    <w:rsid w:val="6D4876B2"/>
    <w:rsid w:val="6D4D2ACF"/>
    <w:rsid w:val="6D4D62AE"/>
    <w:rsid w:val="6D5533B5"/>
    <w:rsid w:val="6D5E04BB"/>
    <w:rsid w:val="6D6261FE"/>
    <w:rsid w:val="6D7E46BA"/>
    <w:rsid w:val="6D836174"/>
    <w:rsid w:val="6D853C9A"/>
    <w:rsid w:val="6D855A48"/>
    <w:rsid w:val="6D8D0DA1"/>
    <w:rsid w:val="6D8D2B4F"/>
    <w:rsid w:val="6D8F4B19"/>
    <w:rsid w:val="6D9078AF"/>
    <w:rsid w:val="6D965EA7"/>
    <w:rsid w:val="6D9B526C"/>
    <w:rsid w:val="6D9E4D5C"/>
    <w:rsid w:val="6DA700B4"/>
    <w:rsid w:val="6DAA3FEF"/>
    <w:rsid w:val="6DAD31F1"/>
    <w:rsid w:val="6DB14A8F"/>
    <w:rsid w:val="6DB85E1E"/>
    <w:rsid w:val="6DBE0F5A"/>
    <w:rsid w:val="6DC0172B"/>
    <w:rsid w:val="6DCB690C"/>
    <w:rsid w:val="6DCE3893"/>
    <w:rsid w:val="6DCE5641"/>
    <w:rsid w:val="6DD16EDF"/>
    <w:rsid w:val="6DD41A5B"/>
    <w:rsid w:val="6DDE33AA"/>
    <w:rsid w:val="6DE2733E"/>
    <w:rsid w:val="6DE44E65"/>
    <w:rsid w:val="6DE50BDD"/>
    <w:rsid w:val="6DE94229"/>
    <w:rsid w:val="6DEA61F3"/>
    <w:rsid w:val="6DEC1F6B"/>
    <w:rsid w:val="6DF43C2E"/>
    <w:rsid w:val="6DF51CA3"/>
    <w:rsid w:val="6DF80910"/>
    <w:rsid w:val="6DF901E4"/>
    <w:rsid w:val="6DFE57FA"/>
    <w:rsid w:val="6DFF1C9E"/>
    <w:rsid w:val="6E02353D"/>
    <w:rsid w:val="6E094833"/>
    <w:rsid w:val="6E13574A"/>
    <w:rsid w:val="6E160D96"/>
    <w:rsid w:val="6E1F40EF"/>
    <w:rsid w:val="6E250FD9"/>
    <w:rsid w:val="6E296D1B"/>
    <w:rsid w:val="6E2E7E8E"/>
    <w:rsid w:val="6E2F3C06"/>
    <w:rsid w:val="6E3A2CD6"/>
    <w:rsid w:val="6E3B6A4F"/>
    <w:rsid w:val="6E3D27C7"/>
    <w:rsid w:val="6E45599E"/>
    <w:rsid w:val="6E4678CD"/>
    <w:rsid w:val="6E535B46"/>
    <w:rsid w:val="6E5A5127"/>
    <w:rsid w:val="6E5D4C17"/>
    <w:rsid w:val="6E5D69C5"/>
    <w:rsid w:val="6E602011"/>
    <w:rsid w:val="6E645FA5"/>
    <w:rsid w:val="6E687834"/>
    <w:rsid w:val="6E6B10E2"/>
    <w:rsid w:val="6E763BDC"/>
    <w:rsid w:val="6E7A1325"/>
    <w:rsid w:val="6E7B6E4B"/>
    <w:rsid w:val="6E7F4B8D"/>
    <w:rsid w:val="6E8335BD"/>
    <w:rsid w:val="6E857CCC"/>
    <w:rsid w:val="6E8977BA"/>
    <w:rsid w:val="6E8B1784"/>
    <w:rsid w:val="6E8E12EF"/>
    <w:rsid w:val="6E8E3022"/>
    <w:rsid w:val="6E9248C1"/>
    <w:rsid w:val="6E95615F"/>
    <w:rsid w:val="6E972936"/>
    <w:rsid w:val="6EA2262A"/>
    <w:rsid w:val="6EA75E92"/>
    <w:rsid w:val="6EB8009F"/>
    <w:rsid w:val="6EBA7973"/>
    <w:rsid w:val="6EBD1212"/>
    <w:rsid w:val="6EBE3907"/>
    <w:rsid w:val="6EC151A6"/>
    <w:rsid w:val="6ECE341F"/>
    <w:rsid w:val="6ED22F0F"/>
    <w:rsid w:val="6ED446C5"/>
    <w:rsid w:val="6EE449F0"/>
    <w:rsid w:val="6EE64CF3"/>
    <w:rsid w:val="6EE92007"/>
    <w:rsid w:val="6EEB2223"/>
    <w:rsid w:val="6EED7D49"/>
    <w:rsid w:val="6EF015E7"/>
    <w:rsid w:val="6EF47329"/>
    <w:rsid w:val="6EF54E4F"/>
    <w:rsid w:val="6EF74724"/>
    <w:rsid w:val="6F0357BE"/>
    <w:rsid w:val="6F1277AF"/>
    <w:rsid w:val="6F15104E"/>
    <w:rsid w:val="6F16124B"/>
    <w:rsid w:val="6F162691"/>
    <w:rsid w:val="6F1866F2"/>
    <w:rsid w:val="6F1B2B08"/>
    <w:rsid w:val="6F1B634E"/>
    <w:rsid w:val="6F1C23DC"/>
    <w:rsid w:val="6F282B2F"/>
    <w:rsid w:val="6F2A7D94"/>
    <w:rsid w:val="6F2D6397"/>
    <w:rsid w:val="6F2E3EBD"/>
    <w:rsid w:val="6F3239AE"/>
    <w:rsid w:val="6F364FA5"/>
    <w:rsid w:val="6F394D3C"/>
    <w:rsid w:val="6F3E2352"/>
    <w:rsid w:val="6F410095"/>
    <w:rsid w:val="6F4638FD"/>
    <w:rsid w:val="6F490CF7"/>
    <w:rsid w:val="6F4D76E5"/>
    <w:rsid w:val="6F563B40"/>
    <w:rsid w:val="6F63000B"/>
    <w:rsid w:val="6F6F69B0"/>
    <w:rsid w:val="6F832D65"/>
    <w:rsid w:val="6F8331F1"/>
    <w:rsid w:val="6F834209"/>
    <w:rsid w:val="6F881820"/>
    <w:rsid w:val="6F9401C4"/>
    <w:rsid w:val="6F984159"/>
    <w:rsid w:val="6F997ED1"/>
    <w:rsid w:val="6FA80114"/>
    <w:rsid w:val="6FAC3760"/>
    <w:rsid w:val="6FAD1286"/>
    <w:rsid w:val="6FAD572A"/>
    <w:rsid w:val="6FAE1A09"/>
    <w:rsid w:val="6FB24AEE"/>
    <w:rsid w:val="6FBD596D"/>
    <w:rsid w:val="6FC34F4E"/>
    <w:rsid w:val="6FC7059A"/>
    <w:rsid w:val="6FCD36D6"/>
    <w:rsid w:val="6FCF56A0"/>
    <w:rsid w:val="6FD20CED"/>
    <w:rsid w:val="6FD75BF8"/>
    <w:rsid w:val="6FE078AE"/>
    <w:rsid w:val="6FE23626"/>
    <w:rsid w:val="6FE56C72"/>
    <w:rsid w:val="6FEE1FCA"/>
    <w:rsid w:val="6FF944CB"/>
    <w:rsid w:val="7000585A"/>
    <w:rsid w:val="700510C2"/>
    <w:rsid w:val="700A0487"/>
    <w:rsid w:val="700C41FF"/>
    <w:rsid w:val="700D7F77"/>
    <w:rsid w:val="70141305"/>
    <w:rsid w:val="701D28B0"/>
    <w:rsid w:val="70251764"/>
    <w:rsid w:val="70311EB7"/>
    <w:rsid w:val="703244E4"/>
    <w:rsid w:val="703A6FBE"/>
    <w:rsid w:val="703B2D36"/>
    <w:rsid w:val="703F2826"/>
    <w:rsid w:val="7045792D"/>
    <w:rsid w:val="7055204A"/>
    <w:rsid w:val="70587444"/>
    <w:rsid w:val="705B5186"/>
    <w:rsid w:val="705C33D8"/>
    <w:rsid w:val="7064403B"/>
    <w:rsid w:val="707324D0"/>
    <w:rsid w:val="707723D0"/>
    <w:rsid w:val="707B3132"/>
    <w:rsid w:val="7080699B"/>
    <w:rsid w:val="708446DD"/>
    <w:rsid w:val="708741CD"/>
    <w:rsid w:val="70912956"/>
    <w:rsid w:val="70981F36"/>
    <w:rsid w:val="709B5583"/>
    <w:rsid w:val="70A1528F"/>
    <w:rsid w:val="70A42689"/>
    <w:rsid w:val="70A95EF1"/>
    <w:rsid w:val="70A97C9F"/>
    <w:rsid w:val="70C25205"/>
    <w:rsid w:val="70D71755"/>
    <w:rsid w:val="70D80585"/>
    <w:rsid w:val="70DA42FD"/>
    <w:rsid w:val="70DD3DED"/>
    <w:rsid w:val="70EA2568"/>
    <w:rsid w:val="70EA5B0A"/>
    <w:rsid w:val="70EB650A"/>
    <w:rsid w:val="70EC5DDE"/>
    <w:rsid w:val="70ED4030"/>
    <w:rsid w:val="70F27898"/>
    <w:rsid w:val="70F5661B"/>
    <w:rsid w:val="70FE448F"/>
    <w:rsid w:val="70FF1FB5"/>
    <w:rsid w:val="71025602"/>
    <w:rsid w:val="710650F2"/>
    <w:rsid w:val="71121CE9"/>
    <w:rsid w:val="711517D9"/>
    <w:rsid w:val="71153587"/>
    <w:rsid w:val="711C4915"/>
    <w:rsid w:val="711D41EA"/>
    <w:rsid w:val="71235CA4"/>
    <w:rsid w:val="71285068"/>
    <w:rsid w:val="712B4B58"/>
    <w:rsid w:val="712F289B"/>
    <w:rsid w:val="713003C1"/>
    <w:rsid w:val="71327C95"/>
    <w:rsid w:val="71360107"/>
    <w:rsid w:val="71371687"/>
    <w:rsid w:val="7137174F"/>
    <w:rsid w:val="713752AB"/>
    <w:rsid w:val="713B688E"/>
    <w:rsid w:val="71467BE4"/>
    <w:rsid w:val="71526589"/>
    <w:rsid w:val="71573B9F"/>
    <w:rsid w:val="715744EE"/>
    <w:rsid w:val="715776FB"/>
    <w:rsid w:val="715A71EC"/>
    <w:rsid w:val="715E0A8A"/>
    <w:rsid w:val="71630796"/>
    <w:rsid w:val="716360A0"/>
    <w:rsid w:val="71665B90"/>
    <w:rsid w:val="716D5171"/>
    <w:rsid w:val="71755DD4"/>
    <w:rsid w:val="717A163C"/>
    <w:rsid w:val="718030F6"/>
    <w:rsid w:val="71836742"/>
    <w:rsid w:val="71842B9F"/>
    <w:rsid w:val="71866233"/>
    <w:rsid w:val="718F6E95"/>
    <w:rsid w:val="71902C0D"/>
    <w:rsid w:val="71926986"/>
    <w:rsid w:val="719A3A8C"/>
    <w:rsid w:val="719C15B2"/>
    <w:rsid w:val="719C7804"/>
    <w:rsid w:val="71A1306D"/>
    <w:rsid w:val="71A32941"/>
    <w:rsid w:val="71AB5C99"/>
    <w:rsid w:val="71B0505E"/>
    <w:rsid w:val="71B20DD6"/>
    <w:rsid w:val="71B44B4E"/>
    <w:rsid w:val="71BE59CD"/>
    <w:rsid w:val="71C034F3"/>
    <w:rsid w:val="71C16627"/>
    <w:rsid w:val="71CA4371"/>
    <w:rsid w:val="71CC00E9"/>
    <w:rsid w:val="71CC633B"/>
    <w:rsid w:val="71D43752"/>
    <w:rsid w:val="71D5087F"/>
    <w:rsid w:val="71D51849"/>
    <w:rsid w:val="71F1796A"/>
    <w:rsid w:val="71F66F14"/>
    <w:rsid w:val="71FE04BF"/>
    <w:rsid w:val="7206621D"/>
    <w:rsid w:val="72071122"/>
    <w:rsid w:val="7209439E"/>
    <w:rsid w:val="720C2BDC"/>
    <w:rsid w:val="72113D4E"/>
    <w:rsid w:val="72133F6A"/>
    <w:rsid w:val="72154626"/>
    <w:rsid w:val="721D26F3"/>
    <w:rsid w:val="72247F25"/>
    <w:rsid w:val="72262B5D"/>
    <w:rsid w:val="72283FF7"/>
    <w:rsid w:val="722C2936"/>
    <w:rsid w:val="722D66AE"/>
    <w:rsid w:val="722E7212"/>
    <w:rsid w:val="7238752D"/>
    <w:rsid w:val="723932A5"/>
    <w:rsid w:val="723A0474"/>
    <w:rsid w:val="72435ED2"/>
    <w:rsid w:val="724539F8"/>
    <w:rsid w:val="724F0D1A"/>
    <w:rsid w:val="725325B9"/>
    <w:rsid w:val="72534367"/>
    <w:rsid w:val="72565C05"/>
    <w:rsid w:val="725923E4"/>
    <w:rsid w:val="72600832"/>
    <w:rsid w:val="72606A84"/>
    <w:rsid w:val="726227FC"/>
    <w:rsid w:val="72655E48"/>
    <w:rsid w:val="72750781"/>
    <w:rsid w:val="727D13E4"/>
    <w:rsid w:val="72834520"/>
    <w:rsid w:val="72850298"/>
    <w:rsid w:val="72864BF7"/>
    <w:rsid w:val="728E539F"/>
    <w:rsid w:val="728F1117"/>
    <w:rsid w:val="729023FC"/>
    <w:rsid w:val="7294672D"/>
    <w:rsid w:val="72A023BA"/>
    <w:rsid w:val="72A03324"/>
    <w:rsid w:val="72A66B8C"/>
    <w:rsid w:val="72A72905"/>
    <w:rsid w:val="72AC2584"/>
    <w:rsid w:val="72AC3A77"/>
    <w:rsid w:val="72AD735C"/>
    <w:rsid w:val="72B15531"/>
    <w:rsid w:val="72B204E9"/>
    <w:rsid w:val="72B5390F"/>
    <w:rsid w:val="72B56DCF"/>
    <w:rsid w:val="72BA2638"/>
    <w:rsid w:val="72BD7A32"/>
    <w:rsid w:val="72BF7C4E"/>
    <w:rsid w:val="72C76B03"/>
    <w:rsid w:val="72CB65F3"/>
    <w:rsid w:val="72CD2960"/>
    <w:rsid w:val="72D27981"/>
    <w:rsid w:val="72D54D7C"/>
    <w:rsid w:val="72D66D46"/>
    <w:rsid w:val="72D82ABE"/>
    <w:rsid w:val="72DB610A"/>
    <w:rsid w:val="72DD1E82"/>
    <w:rsid w:val="72DF3E4C"/>
    <w:rsid w:val="72E74AAF"/>
    <w:rsid w:val="72E96A79"/>
    <w:rsid w:val="72EE5E3E"/>
    <w:rsid w:val="72F07E08"/>
    <w:rsid w:val="72F1592E"/>
    <w:rsid w:val="72F431B5"/>
    <w:rsid w:val="72FB055A"/>
    <w:rsid w:val="72FD0776"/>
    <w:rsid w:val="730218E9"/>
    <w:rsid w:val="730B69EF"/>
    <w:rsid w:val="731A3B63"/>
    <w:rsid w:val="731D6723"/>
    <w:rsid w:val="73245D03"/>
    <w:rsid w:val="73260244"/>
    <w:rsid w:val="732857F3"/>
    <w:rsid w:val="732B52E4"/>
    <w:rsid w:val="732D105C"/>
    <w:rsid w:val="733046A8"/>
    <w:rsid w:val="733C129F"/>
    <w:rsid w:val="733D0B73"/>
    <w:rsid w:val="733E5017"/>
    <w:rsid w:val="73426189"/>
    <w:rsid w:val="734B7734"/>
    <w:rsid w:val="734D525A"/>
    <w:rsid w:val="73530396"/>
    <w:rsid w:val="73571C35"/>
    <w:rsid w:val="735F0AE9"/>
    <w:rsid w:val="73644352"/>
    <w:rsid w:val="73691968"/>
    <w:rsid w:val="736C3B18"/>
    <w:rsid w:val="736D1458"/>
    <w:rsid w:val="73702CF6"/>
    <w:rsid w:val="73740A39"/>
    <w:rsid w:val="7379604F"/>
    <w:rsid w:val="737E18B7"/>
    <w:rsid w:val="738642C8"/>
    <w:rsid w:val="738A200A"/>
    <w:rsid w:val="738D38A8"/>
    <w:rsid w:val="739A7D73"/>
    <w:rsid w:val="73A0182E"/>
    <w:rsid w:val="73A330CC"/>
    <w:rsid w:val="73A35352"/>
    <w:rsid w:val="73A40BF2"/>
    <w:rsid w:val="73B057E9"/>
    <w:rsid w:val="73B52DFF"/>
    <w:rsid w:val="73BE7F06"/>
    <w:rsid w:val="73C05A2C"/>
    <w:rsid w:val="73C0646E"/>
    <w:rsid w:val="73C3376E"/>
    <w:rsid w:val="73D70FC8"/>
    <w:rsid w:val="73D96AEE"/>
    <w:rsid w:val="73DA2007"/>
    <w:rsid w:val="73DB2866"/>
    <w:rsid w:val="73E62FB9"/>
    <w:rsid w:val="73F078BC"/>
    <w:rsid w:val="740D2C3B"/>
    <w:rsid w:val="741C69DA"/>
    <w:rsid w:val="742222F5"/>
    <w:rsid w:val="74235FBB"/>
    <w:rsid w:val="742F4960"/>
    <w:rsid w:val="742F65E1"/>
    <w:rsid w:val="743106D8"/>
    <w:rsid w:val="74341F76"/>
    <w:rsid w:val="743B122A"/>
    <w:rsid w:val="743C0E2B"/>
    <w:rsid w:val="743E2DF5"/>
    <w:rsid w:val="744523D5"/>
    <w:rsid w:val="74476126"/>
    <w:rsid w:val="74477EFB"/>
    <w:rsid w:val="744A3547"/>
    <w:rsid w:val="744A79EB"/>
    <w:rsid w:val="744D4DE6"/>
    <w:rsid w:val="744F6BF8"/>
    <w:rsid w:val="74542618"/>
    <w:rsid w:val="745A3D0B"/>
    <w:rsid w:val="745A5E80"/>
    <w:rsid w:val="7460720F"/>
    <w:rsid w:val="74687E72"/>
    <w:rsid w:val="746C5BB4"/>
    <w:rsid w:val="746F2FAE"/>
    <w:rsid w:val="74706664"/>
    <w:rsid w:val="74716D26"/>
    <w:rsid w:val="747B1953"/>
    <w:rsid w:val="747F3682"/>
    <w:rsid w:val="74836A59"/>
    <w:rsid w:val="74844CAB"/>
    <w:rsid w:val="748F3650"/>
    <w:rsid w:val="74934EEE"/>
    <w:rsid w:val="7499627D"/>
    <w:rsid w:val="749C4185"/>
    <w:rsid w:val="74A0585D"/>
    <w:rsid w:val="74A470FC"/>
    <w:rsid w:val="74BD1F6B"/>
    <w:rsid w:val="74C557E0"/>
    <w:rsid w:val="74D6127F"/>
    <w:rsid w:val="74D774D1"/>
    <w:rsid w:val="74DF1EE2"/>
    <w:rsid w:val="74E7523A"/>
    <w:rsid w:val="74EE481B"/>
    <w:rsid w:val="74FC6F38"/>
    <w:rsid w:val="75006EBC"/>
    <w:rsid w:val="750202C6"/>
    <w:rsid w:val="75045DEC"/>
    <w:rsid w:val="75067759"/>
    <w:rsid w:val="75091655"/>
    <w:rsid w:val="750C4CA1"/>
    <w:rsid w:val="751122B7"/>
    <w:rsid w:val="75137DDD"/>
    <w:rsid w:val="75181898"/>
    <w:rsid w:val="75267B11"/>
    <w:rsid w:val="752E6DCD"/>
    <w:rsid w:val="753164B5"/>
    <w:rsid w:val="753541F8"/>
    <w:rsid w:val="75362CBF"/>
    <w:rsid w:val="753A35BC"/>
    <w:rsid w:val="75436915"/>
    <w:rsid w:val="7551380D"/>
    <w:rsid w:val="75556648"/>
    <w:rsid w:val="75575F1C"/>
    <w:rsid w:val="75596138"/>
    <w:rsid w:val="755A5A0C"/>
    <w:rsid w:val="75600BE5"/>
    <w:rsid w:val="75616D9B"/>
    <w:rsid w:val="7564475C"/>
    <w:rsid w:val="75706FDE"/>
    <w:rsid w:val="7577036C"/>
    <w:rsid w:val="757A4300"/>
    <w:rsid w:val="757D16FB"/>
    <w:rsid w:val="757E5B9F"/>
    <w:rsid w:val="75836831"/>
    <w:rsid w:val="7583797F"/>
    <w:rsid w:val="75862CA5"/>
    <w:rsid w:val="75874327"/>
    <w:rsid w:val="758B206A"/>
    <w:rsid w:val="75956A44"/>
    <w:rsid w:val="759A04FF"/>
    <w:rsid w:val="759F04CE"/>
    <w:rsid w:val="75A1188D"/>
    <w:rsid w:val="75AB6268"/>
    <w:rsid w:val="75B415C0"/>
    <w:rsid w:val="75B570E6"/>
    <w:rsid w:val="75BC0475"/>
    <w:rsid w:val="75C13CDD"/>
    <w:rsid w:val="75C17839"/>
    <w:rsid w:val="75C335B1"/>
    <w:rsid w:val="75D20F1D"/>
    <w:rsid w:val="75D51537"/>
    <w:rsid w:val="75D7705D"/>
    <w:rsid w:val="75DA08FB"/>
    <w:rsid w:val="75DA2C18"/>
    <w:rsid w:val="75DC0B17"/>
    <w:rsid w:val="75E1612D"/>
    <w:rsid w:val="75E33C54"/>
    <w:rsid w:val="75E8126A"/>
    <w:rsid w:val="75EA6D90"/>
    <w:rsid w:val="75EB48B6"/>
    <w:rsid w:val="75F25C45"/>
    <w:rsid w:val="75F54412"/>
    <w:rsid w:val="76051E1C"/>
    <w:rsid w:val="76065B94"/>
    <w:rsid w:val="760D2A7F"/>
    <w:rsid w:val="760D2E6D"/>
    <w:rsid w:val="7610256F"/>
    <w:rsid w:val="761B4270"/>
    <w:rsid w:val="761D08E0"/>
    <w:rsid w:val="76200A04"/>
    <w:rsid w:val="762027B2"/>
    <w:rsid w:val="76285B0A"/>
    <w:rsid w:val="762C55FB"/>
    <w:rsid w:val="76393874"/>
    <w:rsid w:val="763C15B6"/>
    <w:rsid w:val="764364A0"/>
    <w:rsid w:val="76564426"/>
    <w:rsid w:val="765B5EE0"/>
    <w:rsid w:val="765C57B4"/>
    <w:rsid w:val="765D347C"/>
    <w:rsid w:val="765D3A06"/>
    <w:rsid w:val="765E152C"/>
    <w:rsid w:val="765E32DA"/>
    <w:rsid w:val="766034F6"/>
    <w:rsid w:val="7662101C"/>
    <w:rsid w:val="76684159"/>
    <w:rsid w:val="766C3C49"/>
    <w:rsid w:val="766D176F"/>
    <w:rsid w:val="767B3E8C"/>
    <w:rsid w:val="768076F4"/>
    <w:rsid w:val="7682521B"/>
    <w:rsid w:val="76826699"/>
    <w:rsid w:val="76854D0B"/>
    <w:rsid w:val="76962A74"/>
    <w:rsid w:val="76982C90"/>
    <w:rsid w:val="769E5DCD"/>
    <w:rsid w:val="769E7B7B"/>
    <w:rsid w:val="76AC673B"/>
    <w:rsid w:val="76AD7DBE"/>
    <w:rsid w:val="76AE24B4"/>
    <w:rsid w:val="76B178AE"/>
    <w:rsid w:val="76B8141B"/>
    <w:rsid w:val="76BB7D9C"/>
    <w:rsid w:val="76C87133"/>
    <w:rsid w:val="76C9109B"/>
    <w:rsid w:val="76CA6BC2"/>
    <w:rsid w:val="76CC293A"/>
    <w:rsid w:val="76CD08D5"/>
    <w:rsid w:val="76CD1401"/>
    <w:rsid w:val="76CF5F86"/>
    <w:rsid w:val="76D35A76"/>
    <w:rsid w:val="76D637B8"/>
    <w:rsid w:val="76D812DE"/>
    <w:rsid w:val="76DB4B92"/>
    <w:rsid w:val="76DF08BF"/>
    <w:rsid w:val="76E25CB9"/>
    <w:rsid w:val="76E6319A"/>
    <w:rsid w:val="76EA1012"/>
    <w:rsid w:val="76EC08E6"/>
    <w:rsid w:val="76F0487A"/>
    <w:rsid w:val="76F31C74"/>
    <w:rsid w:val="76F679B7"/>
    <w:rsid w:val="76FB4FCD"/>
    <w:rsid w:val="76FD0D45"/>
    <w:rsid w:val="77000835"/>
    <w:rsid w:val="77052AA4"/>
    <w:rsid w:val="77057BFA"/>
    <w:rsid w:val="77073972"/>
    <w:rsid w:val="77091498"/>
    <w:rsid w:val="7709405E"/>
    <w:rsid w:val="770C71DA"/>
    <w:rsid w:val="77136511"/>
    <w:rsid w:val="771816DB"/>
    <w:rsid w:val="7722255A"/>
    <w:rsid w:val="7725204A"/>
    <w:rsid w:val="77274014"/>
    <w:rsid w:val="77340A39"/>
    <w:rsid w:val="77351FD0"/>
    <w:rsid w:val="77420E4E"/>
    <w:rsid w:val="774249AA"/>
    <w:rsid w:val="774424D0"/>
    <w:rsid w:val="77471FC0"/>
    <w:rsid w:val="77472422"/>
    <w:rsid w:val="774B1AB0"/>
    <w:rsid w:val="774E2AB4"/>
    <w:rsid w:val="77536BB7"/>
    <w:rsid w:val="775F37AE"/>
    <w:rsid w:val="77626DFA"/>
    <w:rsid w:val="776C1A27"/>
    <w:rsid w:val="77701517"/>
    <w:rsid w:val="7772528F"/>
    <w:rsid w:val="77731007"/>
    <w:rsid w:val="77732DB5"/>
    <w:rsid w:val="777728A5"/>
    <w:rsid w:val="777A2396"/>
    <w:rsid w:val="777C610E"/>
    <w:rsid w:val="777F31F2"/>
    <w:rsid w:val="77876861"/>
    <w:rsid w:val="778C3E77"/>
    <w:rsid w:val="77905715"/>
    <w:rsid w:val="77A17922"/>
    <w:rsid w:val="77A6318B"/>
    <w:rsid w:val="77A80CB1"/>
    <w:rsid w:val="77AA0CF1"/>
    <w:rsid w:val="77AA472C"/>
    <w:rsid w:val="77AB254F"/>
    <w:rsid w:val="77AD4519"/>
    <w:rsid w:val="77B27D81"/>
    <w:rsid w:val="77BA6C36"/>
    <w:rsid w:val="77BF3969"/>
    <w:rsid w:val="77C17FC5"/>
    <w:rsid w:val="77C67389"/>
    <w:rsid w:val="77CB0E43"/>
    <w:rsid w:val="77CE623E"/>
    <w:rsid w:val="77D1700D"/>
    <w:rsid w:val="77D221D2"/>
    <w:rsid w:val="77D47CF8"/>
    <w:rsid w:val="77D73344"/>
    <w:rsid w:val="77E872FF"/>
    <w:rsid w:val="77EC04CC"/>
    <w:rsid w:val="77EF68E0"/>
    <w:rsid w:val="77F263D0"/>
    <w:rsid w:val="77FE6B23"/>
    <w:rsid w:val="78087CD6"/>
    <w:rsid w:val="780A196C"/>
    <w:rsid w:val="780D320A"/>
    <w:rsid w:val="78104AA8"/>
    <w:rsid w:val="78146346"/>
    <w:rsid w:val="78174088"/>
    <w:rsid w:val="78175E36"/>
    <w:rsid w:val="781E7E54"/>
    <w:rsid w:val="78244A52"/>
    <w:rsid w:val="782642CC"/>
    <w:rsid w:val="78306EF8"/>
    <w:rsid w:val="78322C70"/>
    <w:rsid w:val="783445F7"/>
    <w:rsid w:val="783469E8"/>
    <w:rsid w:val="78386D4E"/>
    <w:rsid w:val="78414C61"/>
    <w:rsid w:val="7847671C"/>
    <w:rsid w:val="784A620C"/>
    <w:rsid w:val="784B788E"/>
    <w:rsid w:val="784C3D32"/>
    <w:rsid w:val="784F55D0"/>
    <w:rsid w:val="7852207F"/>
    <w:rsid w:val="7856695F"/>
    <w:rsid w:val="785726D7"/>
    <w:rsid w:val="78591FAB"/>
    <w:rsid w:val="785E3A65"/>
    <w:rsid w:val="786A41B8"/>
    <w:rsid w:val="786C7F30"/>
    <w:rsid w:val="78711E54"/>
    <w:rsid w:val="78775729"/>
    <w:rsid w:val="7879089F"/>
    <w:rsid w:val="789254BD"/>
    <w:rsid w:val="78970D25"/>
    <w:rsid w:val="789B0816"/>
    <w:rsid w:val="789C633C"/>
    <w:rsid w:val="789D0631"/>
    <w:rsid w:val="789D458E"/>
    <w:rsid w:val="789E3E62"/>
    <w:rsid w:val="78A21BA4"/>
    <w:rsid w:val="78A42DB0"/>
    <w:rsid w:val="78A656AB"/>
    <w:rsid w:val="78A771BA"/>
    <w:rsid w:val="78B13B95"/>
    <w:rsid w:val="78B2245C"/>
    <w:rsid w:val="78D170C6"/>
    <w:rsid w:val="78D6426A"/>
    <w:rsid w:val="78E172CC"/>
    <w:rsid w:val="78E201F2"/>
    <w:rsid w:val="78E33F6B"/>
    <w:rsid w:val="78EA1D1F"/>
    <w:rsid w:val="78EA70A7"/>
    <w:rsid w:val="78EE303B"/>
    <w:rsid w:val="78F47F26"/>
    <w:rsid w:val="78FA2255"/>
    <w:rsid w:val="78FB12B4"/>
    <w:rsid w:val="78FD6DDA"/>
    <w:rsid w:val="78FE2B52"/>
    <w:rsid w:val="7904172F"/>
    <w:rsid w:val="790A7749"/>
    <w:rsid w:val="790E548B"/>
    <w:rsid w:val="790F7E27"/>
    <w:rsid w:val="79102FB2"/>
    <w:rsid w:val="791A69E7"/>
    <w:rsid w:val="79206F6D"/>
    <w:rsid w:val="792228BA"/>
    <w:rsid w:val="7925031F"/>
    <w:rsid w:val="79256331"/>
    <w:rsid w:val="792627D5"/>
    <w:rsid w:val="792702FB"/>
    <w:rsid w:val="792720A9"/>
    <w:rsid w:val="792A231A"/>
    <w:rsid w:val="792A3948"/>
    <w:rsid w:val="792E3438"/>
    <w:rsid w:val="79316829"/>
    <w:rsid w:val="79332CB1"/>
    <w:rsid w:val="79382508"/>
    <w:rsid w:val="793A0CAE"/>
    <w:rsid w:val="79444A09"/>
    <w:rsid w:val="7947274B"/>
    <w:rsid w:val="794C7D62"/>
    <w:rsid w:val="795C61F7"/>
    <w:rsid w:val="795D5ACB"/>
    <w:rsid w:val="79674B9C"/>
    <w:rsid w:val="79694470"/>
    <w:rsid w:val="79702308"/>
    <w:rsid w:val="79703A50"/>
    <w:rsid w:val="797E66A9"/>
    <w:rsid w:val="79817A0B"/>
    <w:rsid w:val="798474FC"/>
    <w:rsid w:val="798E3ED6"/>
    <w:rsid w:val="79964EFF"/>
    <w:rsid w:val="799D7414"/>
    <w:rsid w:val="799F7E92"/>
    <w:rsid w:val="79A100AE"/>
    <w:rsid w:val="79A25BD4"/>
    <w:rsid w:val="79A454A8"/>
    <w:rsid w:val="79A97383"/>
    <w:rsid w:val="79AB2CDA"/>
    <w:rsid w:val="79B06543"/>
    <w:rsid w:val="79B23B9A"/>
    <w:rsid w:val="79B25E17"/>
    <w:rsid w:val="79B55907"/>
    <w:rsid w:val="79C773E8"/>
    <w:rsid w:val="79C8388C"/>
    <w:rsid w:val="79C8563A"/>
    <w:rsid w:val="79CE4C1B"/>
    <w:rsid w:val="79CE69C9"/>
    <w:rsid w:val="79D02741"/>
    <w:rsid w:val="79E16DFF"/>
    <w:rsid w:val="79E27E8B"/>
    <w:rsid w:val="79E461EC"/>
    <w:rsid w:val="79E955B1"/>
    <w:rsid w:val="79EE2BC7"/>
    <w:rsid w:val="79F226B7"/>
    <w:rsid w:val="79F850CE"/>
    <w:rsid w:val="79FA77BE"/>
    <w:rsid w:val="79FD443C"/>
    <w:rsid w:val="79FF3026"/>
    <w:rsid w:val="7A016D9E"/>
    <w:rsid w:val="7A1244BA"/>
    <w:rsid w:val="7A1868D7"/>
    <w:rsid w:val="7A190511"/>
    <w:rsid w:val="7A1B7E60"/>
    <w:rsid w:val="7A1D1975"/>
    <w:rsid w:val="7A1E34AC"/>
    <w:rsid w:val="7A2465E9"/>
    <w:rsid w:val="7A291E51"/>
    <w:rsid w:val="7A2C0B6E"/>
    <w:rsid w:val="7A3031E0"/>
    <w:rsid w:val="7A3A401F"/>
    <w:rsid w:val="7A3E5150"/>
    <w:rsid w:val="7A4670D6"/>
    <w:rsid w:val="7A534B63"/>
    <w:rsid w:val="7A57076C"/>
    <w:rsid w:val="7A5E5F9F"/>
    <w:rsid w:val="7A615382"/>
    <w:rsid w:val="7A637111"/>
    <w:rsid w:val="7A67303B"/>
    <w:rsid w:val="7A695863"/>
    <w:rsid w:val="7A70182E"/>
    <w:rsid w:val="7A717AEC"/>
    <w:rsid w:val="7A74131E"/>
    <w:rsid w:val="7A811C8D"/>
    <w:rsid w:val="7A85352B"/>
    <w:rsid w:val="7A88301C"/>
    <w:rsid w:val="7A8D2CB9"/>
    <w:rsid w:val="7A990D85"/>
    <w:rsid w:val="7AAB1D04"/>
    <w:rsid w:val="7ABA4368"/>
    <w:rsid w:val="7ABB6F4D"/>
    <w:rsid w:val="7AC144BF"/>
    <w:rsid w:val="7AC73B44"/>
    <w:rsid w:val="7ACB4CB6"/>
    <w:rsid w:val="7ACC2F08"/>
    <w:rsid w:val="7ACD0A2E"/>
    <w:rsid w:val="7ACD2543"/>
    <w:rsid w:val="7ACD6C80"/>
    <w:rsid w:val="7AD05746"/>
    <w:rsid w:val="7AD718AD"/>
    <w:rsid w:val="7AD7365B"/>
    <w:rsid w:val="7AD87AFF"/>
    <w:rsid w:val="7AD95625"/>
    <w:rsid w:val="7AD973D3"/>
    <w:rsid w:val="7ADE0E8D"/>
    <w:rsid w:val="7AE53FCA"/>
    <w:rsid w:val="7AED2E7F"/>
    <w:rsid w:val="7AF16E13"/>
    <w:rsid w:val="7AFE6E3A"/>
    <w:rsid w:val="7B0F7299"/>
    <w:rsid w:val="7B114DBF"/>
    <w:rsid w:val="7B1C03FA"/>
    <w:rsid w:val="7B256ABC"/>
    <w:rsid w:val="7B257FFD"/>
    <w:rsid w:val="7B276391"/>
    <w:rsid w:val="7B2C39A7"/>
    <w:rsid w:val="7B2F5245"/>
    <w:rsid w:val="7B310FBD"/>
    <w:rsid w:val="7B315461"/>
    <w:rsid w:val="7B343476"/>
    <w:rsid w:val="7B4118E8"/>
    <w:rsid w:val="7B473B84"/>
    <w:rsid w:val="7B4C229B"/>
    <w:rsid w:val="7B4E1B6F"/>
    <w:rsid w:val="7B4F58E7"/>
    <w:rsid w:val="7B545D9C"/>
    <w:rsid w:val="7B5A2978"/>
    <w:rsid w:val="7B5A7E4C"/>
    <w:rsid w:val="7B5F5B2A"/>
    <w:rsid w:val="7B667AF9"/>
    <w:rsid w:val="7B6E0BA2"/>
    <w:rsid w:val="7B6E3FBF"/>
    <w:rsid w:val="7B7468F8"/>
    <w:rsid w:val="7B7535A0"/>
    <w:rsid w:val="7B7D4202"/>
    <w:rsid w:val="7B81405E"/>
    <w:rsid w:val="7B841A35"/>
    <w:rsid w:val="7B851309"/>
    <w:rsid w:val="7B9652C4"/>
    <w:rsid w:val="7B9B0B2D"/>
    <w:rsid w:val="7B9D6653"/>
    <w:rsid w:val="7BA21EBB"/>
    <w:rsid w:val="7BA479E1"/>
    <w:rsid w:val="7BA63759"/>
    <w:rsid w:val="7BB73A37"/>
    <w:rsid w:val="7BC167E5"/>
    <w:rsid w:val="7BCB7664"/>
    <w:rsid w:val="7BCE0F02"/>
    <w:rsid w:val="7BCE2CB0"/>
    <w:rsid w:val="7BCE4A5E"/>
    <w:rsid w:val="7BD302C6"/>
    <w:rsid w:val="7BD32074"/>
    <w:rsid w:val="7BD5403F"/>
    <w:rsid w:val="7BD83B2F"/>
    <w:rsid w:val="7BDA7574"/>
    <w:rsid w:val="7BDF4EBD"/>
    <w:rsid w:val="7BE73D72"/>
    <w:rsid w:val="7BED75DA"/>
    <w:rsid w:val="7BEE0103"/>
    <w:rsid w:val="7BEE5100"/>
    <w:rsid w:val="7BF546E1"/>
    <w:rsid w:val="7BFA1CF7"/>
    <w:rsid w:val="7BFC781D"/>
    <w:rsid w:val="7C0A0FE4"/>
    <w:rsid w:val="7C0E376A"/>
    <w:rsid w:val="7C0F633B"/>
    <w:rsid w:val="7C105077"/>
    <w:rsid w:val="7C23124E"/>
    <w:rsid w:val="7C254906"/>
    <w:rsid w:val="7C262AEC"/>
    <w:rsid w:val="7C330D65"/>
    <w:rsid w:val="7C372603"/>
    <w:rsid w:val="7C402716"/>
    <w:rsid w:val="7C422690"/>
    <w:rsid w:val="7C4D1E27"/>
    <w:rsid w:val="7C4E41EC"/>
    <w:rsid w:val="7C5036C5"/>
    <w:rsid w:val="7C556F2D"/>
    <w:rsid w:val="7C590818"/>
    <w:rsid w:val="7C594C70"/>
    <w:rsid w:val="7C5950EA"/>
    <w:rsid w:val="7C5B7984"/>
    <w:rsid w:val="7C5C4760"/>
    <w:rsid w:val="7C662EE9"/>
    <w:rsid w:val="7C6A3BBC"/>
    <w:rsid w:val="7C6D4277"/>
    <w:rsid w:val="7C743857"/>
    <w:rsid w:val="7C7750F6"/>
    <w:rsid w:val="7C7A7310"/>
    <w:rsid w:val="7C7C10F6"/>
    <w:rsid w:val="7C7E46D6"/>
    <w:rsid w:val="7C853BEA"/>
    <w:rsid w:val="7C855A65"/>
    <w:rsid w:val="7C881368"/>
    <w:rsid w:val="7C890B90"/>
    <w:rsid w:val="7C9061B7"/>
    <w:rsid w:val="7C907F65"/>
    <w:rsid w:val="7C9B7036"/>
    <w:rsid w:val="7C9E2682"/>
    <w:rsid w:val="7CA51C63"/>
    <w:rsid w:val="7CB24380"/>
    <w:rsid w:val="7CB71996"/>
    <w:rsid w:val="7CBB1486"/>
    <w:rsid w:val="7CC0084B"/>
    <w:rsid w:val="7CC540B3"/>
    <w:rsid w:val="7CCD11BA"/>
    <w:rsid w:val="7CD9190C"/>
    <w:rsid w:val="7CDC13FD"/>
    <w:rsid w:val="7CDE33C7"/>
    <w:rsid w:val="7CE27788"/>
    <w:rsid w:val="7CE93CC3"/>
    <w:rsid w:val="7CEC5AE4"/>
    <w:rsid w:val="7CF404F4"/>
    <w:rsid w:val="7CF84488"/>
    <w:rsid w:val="7D00333D"/>
    <w:rsid w:val="7D0050EB"/>
    <w:rsid w:val="7D006E99"/>
    <w:rsid w:val="7D07647A"/>
    <w:rsid w:val="7D0B583E"/>
    <w:rsid w:val="7D0C32F1"/>
    <w:rsid w:val="7D0F408D"/>
    <w:rsid w:val="7D172435"/>
    <w:rsid w:val="7D197F5B"/>
    <w:rsid w:val="7D1B1F25"/>
    <w:rsid w:val="7D1C3BAB"/>
    <w:rsid w:val="7D221505"/>
    <w:rsid w:val="7D28412D"/>
    <w:rsid w:val="7D31799A"/>
    <w:rsid w:val="7D382AD7"/>
    <w:rsid w:val="7D3923AB"/>
    <w:rsid w:val="7D3D633F"/>
    <w:rsid w:val="7D425704"/>
    <w:rsid w:val="7D491C6C"/>
    <w:rsid w:val="7D493466"/>
    <w:rsid w:val="7D4F6073"/>
    <w:rsid w:val="7D5176F5"/>
    <w:rsid w:val="7D52346D"/>
    <w:rsid w:val="7D5429C0"/>
    <w:rsid w:val="7D545437"/>
    <w:rsid w:val="7D567401"/>
    <w:rsid w:val="7D5947FB"/>
    <w:rsid w:val="7D5954B5"/>
    <w:rsid w:val="7D603DDC"/>
    <w:rsid w:val="7D627B54"/>
    <w:rsid w:val="7D641B1E"/>
    <w:rsid w:val="7D6531A0"/>
    <w:rsid w:val="7D6679FD"/>
    <w:rsid w:val="7D692C90"/>
    <w:rsid w:val="7D697134"/>
    <w:rsid w:val="7D6E3F32"/>
    <w:rsid w:val="7D6E64F9"/>
    <w:rsid w:val="7D6E6D43"/>
    <w:rsid w:val="7D755AD9"/>
    <w:rsid w:val="7D7A4E9D"/>
    <w:rsid w:val="7D7B6E68"/>
    <w:rsid w:val="7D7D04EA"/>
    <w:rsid w:val="7D7D498E"/>
    <w:rsid w:val="7D871368"/>
    <w:rsid w:val="7D9A72EE"/>
    <w:rsid w:val="7D9D293A"/>
    <w:rsid w:val="7DA20010"/>
    <w:rsid w:val="7DA43CC8"/>
    <w:rsid w:val="7DA77C5D"/>
    <w:rsid w:val="7DAE2D99"/>
    <w:rsid w:val="7DAF266D"/>
    <w:rsid w:val="7DB50159"/>
    <w:rsid w:val="7DB57A34"/>
    <w:rsid w:val="7DBC4EC9"/>
    <w:rsid w:val="7DBF6D54"/>
    <w:rsid w:val="7DC0487A"/>
    <w:rsid w:val="7DC46119"/>
    <w:rsid w:val="7DD30A52"/>
    <w:rsid w:val="7DD520D4"/>
    <w:rsid w:val="7DD81BC4"/>
    <w:rsid w:val="7DDA3B8E"/>
    <w:rsid w:val="7DE5079C"/>
    <w:rsid w:val="7DE60973"/>
    <w:rsid w:val="7DEF0916"/>
    <w:rsid w:val="7DFA4230"/>
    <w:rsid w:val="7DFA5D53"/>
    <w:rsid w:val="7DFB58B2"/>
    <w:rsid w:val="7E0429B9"/>
    <w:rsid w:val="7E1150D6"/>
    <w:rsid w:val="7E176B90"/>
    <w:rsid w:val="7E1A042F"/>
    <w:rsid w:val="7E1D1CCD"/>
    <w:rsid w:val="7E1E5218"/>
    <w:rsid w:val="7E235535"/>
    <w:rsid w:val="7E2748F9"/>
    <w:rsid w:val="7E292420"/>
    <w:rsid w:val="7E2A260C"/>
    <w:rsid w:val="7E2B43EA"/>
    <w:rsid w:val="7E301A00"/>
    <w:rsid w:val="7E327526"/>
    <w:rsid w:val="7E3F7E95"/>
    <w:rsid w:val="7E464D80"/>
    <w:rsid w:val="7E4B4A8C"/>
    <w:rsid w:val="7E505BFE"/>
    <w:rsid w:val="7E551467"/>
    <w:rsid w:val="7E5751DF"/>
    <w:rsid w:val="7E5C0A47"/>
    <w:rsid w:val="7E5E47BF"/>
    <w:rsid w:val="7E5F22E5"/>
    <w:rsid w:val="7E665422"/>
    <w:rsid w:val="7E7538B7"/>
    <w:rsid w:val="7E781FEE"/>
    <w:rsid w:val="7E786F03"/>
    <w:rsid w:val="7E79337E"/>
    <w:rsid w:val="7E865AC4"/>
    <w:rsid w:val="7E870723"/>
    <w:rsid w:val="7E906943"/>
    <w:rsid w:val="7E977CD1"/>
    <w:rsid w:val="7E9A4E1F"/>
    <w:rsid w:val="7E9C0E44"/>
    <w:rsid w:val="7E9C52E7"/>
    <w:rsid w:val="7E9E4BBC"/>
    <w:rsid w:val="7EA30424"/>
    <w:rsid w:val="7EA36676"/>
    <w:rsid w:val="7EA7723A"/>
    <w:rsid w:val="7EA83C8C"/>
    <w:rsid w:val="7EAE0003"/>
    <w:rsid w:val="7EB0669D"/>
    <w:rsid w:val="7EBF1582"/>
    <w:rsid w:val="7EC565EC"/>
    <w:rsid w:val="7EC64112"/>
    <w:rsid w:val="7ECB34D7"/>
    <w:rsid w:val="7ECD54A1"/>
    <w:rsid w:val="7ED14F91"/>
    <w:rsid w:val="7ED54355"/>
    <w:rsid w:val="7ED607F9"/>
    <w:rsid w:val="7EDE320A"/>
    <w:rsid w:val="7EE06F82"/>
    <w:rsid w:val="7EEB3B79"/>
    <w:rsid w:val="7EEF5417"/>
    <w:rsid w:val="7EF42A2E"/>
    <w:rsid w:val="7EF56FBB"/>
    <w:rsid w:val="7EF944E8"/>
    <w:rsid w:val="7EF96296"/>
    <w:rsid w:val="7EFC5D86"/>
    <w:rsid w:val="7F010848"/>
    <w:rsid w:val="7F054C3B"/>
    <w:rsid w:val="7F0768EB"/>
    <w:rsid w:val="7F0F1615"/>
    <w:rsid w:val="7F143BEC"/>
    <w:rsid w:val="7F144E7E"/>
    <w:rsid w:val="7F1906E6"/>
    <w:rsid w:val="7F1D01D6"/>
    <w:rsid w:val="7F21759B"/>
    <w:rsid w:val="7F376DBE"/>
    <w:rsid w:val="7F3B065C"/>
    <w:rsid w:val="7F480FCB"/>
    <w:rsid w:val="7F4A7735"/>
    <w:rsid w:val="7F4C4618"/>
    <w:rsid w:val="7F531E4A"/>
    <w:rsid w:val="7F54171E"/>
    <w:rsid w:val="7F5E259D"/>
    <w:rsid w:val="7F6000C3"/>
    <w:rsid w:val="7F651B7D"/>
    <w:rsid w:val="7F6556D9"/>
    <w:rsid w:val="7F715AF2"/>
    <w:rsid w:val="7F7D2A23"/>
    <w:rsid w:val="7F853FCE"/>
    <w:rsid w:val="7F871AF4"/>
    <w:rsid w:val="7F886E69"/>
    <w:rsid w:val="7F89586C"/>
    <w:rsid w:val="7F8A5140"/>
    <w:rsid w:val="7F8C0EB8"/>
    <w:rsid w:val="7F912972"/>
    <w:rsid w:val="7F9145F0"/>
    <w:rsid w:val="7F954211"/>
    <w:rsid w:val="7F963AE5"/>
    <w:rsid w:val="7F9E0BEB"/>
    <w:rsid w:val="7F9E2999"/>
    <w:rsid w:val="7FA77AA0"/>
    <w:rsid w:val="7FAF4BA7"/>
    <w:rsid w:val="7FB1026A"/>
    <w:rsid w:val="7FB15581"/>
    <w:rsid w:val="7FB16B71"/>
    <w:rsid w:val="7FBC493B"/>
    <w:rsid w:val="7FBD5515"/>
    <w:rsid w:val="7FC04E80"/>
    <w:rsid w:val="7FC959D1"/>
    <w:rsid w:val="7FCE0033"/>
    <w:rsid w:val="7FD73AEA"/>
    <w:rsid w:val="7FE231CE"/>
    <w:rsid w:val="7FE707E4"/>
    <w:rsid w:val="7FF54CAF"/>
    <w:rsid w:val="7FF56A5D"/>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Cs w:val="21"/>
      <w:lang w:val="zh-CN"/>
    </w:rPr>
  </w:style>
  <w:style w:type="paragraph" w:styleId="3">
    <w:name w:val="Body Text First Indent"/>
    <w:basedOn w:val="2"/>
    <w:next w:val="1"/>
    <w:link w:val="325"/>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201"/>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26"/>
    <w:link w:val="271"/>
    <w:qFormat/>
    <w:uiPriority w:val="0"/>
    <w:pPr>
      <w:spacing w:line="480" w:lineRule="exact"/>
      <w:ind w:firstLine="480" w:firstLineChars="200"/>
    </w:pPr>
    <w:rPr>
      <w:rFonts w:ascii="宋体" w:hAnsi="宋体"/>
    </w:rPr>
  </w:style>
  <w:style w:type="paragraph" w:styleId="26">
    <w:name w:val="Body Text First Indent 2"/>
    <w:basedOn w:val="25"/>
    <w:next w:val="3"/>
    <w:link w:val="13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6"/>
    <w:qFormat/>
    <w:uiPriority w:val="99"/>
    <w:rPr>
      <w:sz w:val="18"/>
      <w:szCs w:val="18"/>
    </w:rPr>
  </w:style>
  <w:style w:type="paragraph" w:styleId="41">
    <w:name w:val="footer"/>
    <w:basedOn w:val="1"/>
    <w:link w:val="385"/>
    <w:qFormat/>
    <w:uiPriority w:val="99"/>
    <w:pPr>
      <w:tabs>
        <w:tab w:val="center" w:pos="4153"/>
        <w:tab w:val="right" w:pos="8306"/>
      </w:tabs>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6"/>
    <w:qFormat/>
    <w:uiPriority w:val="0"/>
    <w:rPr>
      <w:b/>
      <w:bCs/>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34"/>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34"/>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字符1"/>
    <w:link w:val="4"/>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1"/>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26"/>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69"/>
    <w:qFormat/>
    <w:uiPriority w:val="0"/>
    <w:rPr>
      <w:rFonts w:ascii="Arial" w:hAnsi="Arial" w:eastAsia="黑体" w:cs="Arial"/>
      <w:snapToGrid w:val="0"/>
      <w:kern w:val="0"/>
      <w:szCs w:val="21"/>
    </w:rPr>
  </w:style>
  <w:style w:type="character" w:customStyle="1" w:styleId="13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5"/>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2"/>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0"/>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字符2"/>
    <w:link w:val="1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0"/>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1"/>
    <w:qFormat/>
    <w:uiPriority w:val="99"/>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7"/>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6"/>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7"/>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8"/>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6"/>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character" w:customStyle="1" w:styleId="967">
    <w:name w:val="ql-font-songti"/>
    <w:basedOn w:val="69"/>
    <w:qFormat/>
    <w:uiPriority w:val="0"/>
  </w:style>
  <w:style w:type="paragraph" w:customStyle="1" w:styleId="968">
    <w:name w:val="ABB text"/>
    <w:basedOn w:val="484"/>
    <w:qFormat/>
    <w:uiPriority w:val="0"/>
    <w:rPr>
      <w:rFonts w:ascii="ABBvoice" w:hAnsi="ABBvoice"/>
      <w:sz w:val="19"/>
    </w:rPr>
  </w:style>
  <w:style w:type="paragraph" w:customStyle="1" w:styleId="969">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70">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1">
    <w:name w:val="style121"/>
    <w:qFormat/>
    <w:uiPriority w:val="0"/>
    <w:rPr>
      <w:sz w:val="21"/>
      <w:szCs w:val="21"/>
    </w:rPr>
  </w:style>
  <w:style w:type="paragraph" w:customStyle="1" w:styleId="97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73">
    <w:name w:val="4、正文"/>
    <w:basedOn w:val="1"/>
    <w:qFormat/>
    <w:uiPriority w:val="0"/>
    <w:pPr>
      <w:ind w:firstLine="200" w:firstLineChars="200"/>
    </w:pPr>
    <w:rPr>
      <w:rFonts w:ascii="宋体"/>
      <w:szCs w:val="28"/>
    </w:rPr>
  </w:style>
  <w:style w:type="paragraph" w:customStyle="1" w:styleId="974">
    <w:name w:val="Revision"/>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正文空2字"/>
    <w:basedOn w:val="9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6">
    <w:name w:val="左对齐正文"/>
    <w:qFormat/>
    <w:uiPriority w:val="99"/>
    <w:rPr>
      <w:rFonts w:ascii="Calibri" w:hAnsi="Calibri" w:eastAsia="仿宋_GB2312" w:cs="Calibri"/>
      <w:kern w:val="2"/>
      <w:sz w:val="32"/>
      <w:szCs w:val="32"/>
      <w:lang w:val="en-US" w:eastAsia="zh-CN" w:bidi="ar-SA"/>
    </w:rPr>
  </w:style>
  <w:style w:type="paragraph" w:customStyle="1" w:styleId="977">
    <w:name w:val="2.5.1.1"/>
    <w:next w:val="32"/>
    <w:qFormat/>
    <w:uiPriority w:val="0"/>
    <w:pPr>
      <w:widowControl w:val="0"/>
      <w:autoSpaceDE w:val="0"/>
      <w:autoSpaceDN w:val="0"/>
      <w:adjustRightInd w:val="0"/>
      <w:spacing w:line="312" w:lineRule="auto"/>
      <w:ind w:firstLine="200" w:firstLineChars="200"/>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506</Words>
  <Characters>581</Characters>
  <Lines>284</Lines>
  <Paragraphs>80</Paragraphs>
  <TotalTime>13</TotalTime>
  <ScaleCrop>false</ScaleCrop>
  <LinksUpToDate>false</LinksUpToDate>
  <CharactersWithSpaces>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2023-08-03T02:17:00Z</dcterms:created>
  <dc:creator>玥</dc:creator>
  <cp:lastModifiedBy>NTKO</cp:lastModifiedBy>
  <cp:lastPrinted>2023-12-20T05:44:00Z</cp:lastPrinted>
  <dcterms:modified xsi:type="dcterms:W3CDTF">2025-06-30T07:50:29Z</dcterms:modified>
  <dc:title>杭州市市民卡扩大发卡工程</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F63C15971E6B4E2AA00CD7ADBBED03BF_13</vt:lpwstr>
  </property>
  <property fmtid="{D5CDD505-2E9C-101B-9397-08002B2CF9AE}" pid="5" name="KSOTemplateDocerSaveRecord">
    <vt:lpwstr>eyJoZGlkIjoiODcxOTViM2NkMzNjZGZjODM1NDMwODhlMDU4NmYxZjEiLCJ1c2VySWQiOiI0MjcwNzUyNTQifQ==</vt:lpwstr>
  </property>
</Properties>
</file>