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sz w:val="44"/>
          <w:szCs w:val="44"/>
          <w:lang w:eastAsia="zh-CN"/>
        </w:rPr>
      </w:pPr>
      <w:r>
        <w:rPr>
          <w:rFonts w:hint="eastAsia" w:ascii="宋体" w:hAnsi="宋体" w:cs="宋体"/>
          <w:sz w:val="44"/>
          <w:szCs w:val="44"/>
          <w:lang w:eastAsia="zh-CN"/>
        </w:rPr>
        <w:t>杭州市临安区水涛庄水库坝顶设施提升改造工程</w:t>
      </w: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编号:[2023]1563号</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pacing w:line="500" w:lineRule="exact"/>
        <w:ind w:right="532"/>
        <w:jc w:val="center"/>
        <w:rPr>
          <w:rFonts w:hint="eastAsia" w:eastAsia="宋体"/>
          <w:color w:val="000000"/>
          <w:sz w:val="32"/>
          <w:szCs w:val="32"/>
          <w:highlight w:val="none"/>
          <w:lang w:eastAsia="zh-CN"/>
        </w:rPr>
      </w:pPr>
      <w:r>
        <w:rPr>
          <w:color w:val="000000"/>
          <w:sz w:val="32"/>
          <w:szCs w:val="32"/>
          <w:highlight w:val="none"/>
        </w:rPr>
        <w:t>采购人：</w:t>
      </w:r>
      <w:r>
        <w:rPr>
          <w:rFonts w:hint="eastAsia"/>
          <w:color w:val="000000"/>
          <w:sz w:val="32"/>
          <w:szCs w:val="32"/>
          <w:highlight w:val="none"/>
          <w:lang w:eastAsia="zh-CN"/>
        </w:rPr>
        <w:t>杭州市临安区水利水电局</w:t>
      </w:r>
    </w:p>
    <w:p>
      <w:pPr>
        <w:spacing w:line="500" w:lineRule="exact"/>
        <w:ind w:right="532"/>
        <w:jc w:val="center"/>
        <w:rPr>
          <w:rFonts w:hint="eastAsia" w:eastAsia="宋体"/>
          <w:color w:val="000000"/>
          <w:sz w:val="32"/>
          <w:szCs w:val="32"/>
          <w:highlight w:val="none"/>
          <w:lang w:eastAsia="zh-CN"/>
        </w:rPr>
      </w:pPr>
      <w:r>
        <w:rPr>
          <w:color w:val="000000"/>
          <w:sz w:val="32"/>
          <w:szCs w:val="32"/>
          <w:highlight w:val="none"/>
        </w:rPr>
        <w:t>采购机构：</w:t>
      </w:r>
      <w:r>
        <w:rPr>
          <w:rFonts w:hint="eastAsia"/>
          <w:color w:val="000000"/>
          <w:sz w:val="32"/>
          <w:szCs w:val="32"/>
          <w:highlight w:val="none"/>
          <w:lang w:eastAsia="zh-CN"/>
        </w:rPr>
        <w:t>华诚工程咨询集团有限公司</w:t>
      </w:r>
    </w:p>
    <w:p>
      <w:pPr>
        <w:snapToGrid w:val="0"/>
        <w:spacing w:line="360" w:lineRule="auto"/>
        <w:jc w:val="center"/>
        <w:rPr>
          <w:rFonts w:ascii="宋体" w:hAnsi="宋体" w:cs="宋体"/>
          <w:bCs/>
          <w:sz w:val="32"/>
          <w:szCs w:val="32"/>
          <w:highlight w:val="none"/>
        </w:rPr>
      </w:pP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二〇二三年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二十七</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杭州市临安区水涛庄水库坝顶设施提升改造工程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w:t>
      </w:r>
      <w:r>
        <w:rPr>
          <w:rStyle w:val="77"/>
          <w:rFonts w:hint="eastAsia" w:ascii="宋体" w:hAnsi="宋体" w:eastAsia="宋体" w:cs="宋体"/>
          <w:snapToGrid/>
          <w:color w:val="000000" w:themeColor="text1"/>
          <w:kern w:val="2"/>
          <w:sz w:val="24"/>
          <w:szCs w:val="24"/>
          <w14:textFill>
            <w14:solidFill>
              <w14:schemeClr w14:val="tx1"/>
            </w14:solidFill>
          </w14:textFill>
        </w:rPr>
        <w:t>于</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0000FF"/>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项目编号：[2023]1563</w:t>
      </w:r>
      <w:r>
        <w:rPr>
          <w:rFonts w:hint="eastAsia" w:ascii="宋体" w:hAnsi="宋体" w:cs="宋体"/>
          <w:sz w:val="24"/>
          <w:lang w:eastAsia="zh-CN"/>
        </w:rPr>
        <w:t>号</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杭州市临安区水涛庄水库坝顶设施提升改造工程</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bCs/>
          <w:color w:val="000000" w:themeColor="text1"/>
          <w:sz w:val="24"/>
          <w:highlight w:val="none"/>
          <w:lang w:eastAsia="zh-CN"/>
          <w14:textFill>
            <w14:solidFill>
              <w14:schemeClr w14:val="tx1"/>
            </w14:solidFill>
          </w14:textFill>
        </w:rPr>
        <w:t>1118478.00</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482" w:firstLineChars="200"/>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bCs/>
          <w:color w:val="000000" w:themeColor="text1"/>
          <w:sz w:val="24"/>
          <w:highlight w:val="none"/>
          <w:lang w:eastAsia="zh-CN"/>
          <w14:textFill>
            <w14:solidFill>
              <w14:schemeClr w14:val="tx1"/>
            </w14:solidFill>
          </w14:textFill>
        </w:rPr>
        <w:t>1118478.00</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 w:val="26"/>
          <w:szCs w:val="26"/>
          <w:lang w:val="en-US"/>
        </w:rPr>
      </w:pPr>
      <w:r>
        <w:rPr>
          <w:rFonts w:hint="eastAsia" w:hAnsi="宋体" w:cs="宋体"/>
          <w:b/>
          <w:color w:val="000000" w:themeColor="text1"/>
          <w:sz w:val="24"/>
          <w14:textFill>
            <w14:solidFill>
              <w14:schemeClr w14:val="tx1"/>
            </w14:solidFill>
          </w14:textFill>
        </w:rPr>
        <w:t>采购需求：</w:t>
      </w:r>
      <w:r>
        <w:rPr>
          <w:rFonts w:hint="eastAsia" w:hAnsi="宋体" w:cs="宋体"/>
          <w:color w:val="000000" w:themeColor="text1"/>
          <w:sz w:val="24"/>
          <w:lang w:eastAsia="zh-CN"/>
          <w14:textFill>
            <w14:solidFill>
              <w14:schemeClr w14:val="tx1"/>
            </w14:solidFill>
          </w14:textFill>
        </w:rPr>
        <w:t>杭州市临安区水涛庄水库坝顶设施提升改造工程</w:t>
      </w:r>
      <w:r>
        <w:rPr>
          <w:rFonts w:hint="eastAsia" w:hAnsi="宋体" w:cs="宋体"/>
          <w:bCs/>
          <w:snapToGrid/>
          <w:color w:val="000000" w:themeColor="text1"/>
          <w:kern w:val="2"/>
          <w:sz w:val="24"/>
          <w:szCs w:val="24"/>
          <w14:textFill>
            <w14:solidFill>
              <w14:schemeClr w14:val="tx1"/>
            </w14:solidFill>
          </w14:textFill>
        </w:rPr>
        <w:t>本项目位于杭州市临安区，</w:t>
      </w:r>
      <w:r>
        <w:rPr>
          <w:rFonts w:hint="eastAsia" w:ascii="Times New Roman" w:hAnsi="Times New Roman" w:cs="Times New Roman"/>
          <w:sz w:val="24"/>
          <w:szCs w:val="24"/>
          <w:highlight w:val="none"/>
          <w:lang w:val="en-US" w:eastAsia="zh-CN"/>
        </w:rPr>
        <w:t>工程主要内容为：沥青路面修复，防浪墙、防护墙外墙涂料及防护栏杆，坝顶管理房西南侧立面、   东南侧围墙、围墙门柱改造，上坝道路左侧补种绿化</w:t>
      </w:r>
      <w:r>
        <w:rPr>
          <w:rFonts w:hint="eastAsia"/>
          <w:sz w:val="24"/>
          <w:szCs w:val="24"/>
          <w:lang w:val="en-US" w:eastAsia="zh-CN"/>
        </w:rPr>
        <w:t>等</w:t>
      </w:r>
      <w:r>
        <w:rPr>
          <w:rFonts w:hint="eastAsia" w:ascii="宋体" w:hAnsi="宋体" w:eastAsia="宋体" w:cs="宋体"/>
          <w:snapToGrid w:val="0"/>
          <w:kern w:val="2"/>
          <w:sz w:val="24"/>
          <w:szCs w:val="24"/>
          <w:lang w:val="en-US" w:eastAsia="zh-CN" w:bidi="ar"/>
        </w:rPr>
        <w:t>。</w:t>
      </w:r>
    </w:p>
    <w:p>
      <w:pPr>
        <w:pStyle w:val="129"/>
        <w:snapToGrid w:val="0"/>
        <w:spacing w:before="0" w:line="360" w:lineRule="auto"/>
        <w:ind w:left="0" w:leftChars="0" w:firstLine="482" w:firstLineChars="200"/>
        <w:outlineLvl w:val="2"/>
        <w:rPr>
          <w:rFonts w:ascii="宋体" w:hAnsi="宋体" w:cs="宋体"/>
          <w:color w:val="000000" w:themeColor="text1"/>
          <w:highlight w:val="yellow"/>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合同履约期限：工期：</w:t>
      </w:r>
      <w:r>
        <w:rPr>
          <w:rFonts w:hint="eastAsia" w:ascii="宋体" w:hAnsi="宋体" w:cs="宋体"/>
          <w:b/>
          <w:color w:val="000000" w:themeColor="text1"/>
          <w:highlight w:val="none"/>
          <w:lang w:val="en-US" w:eastAsia="zh-CN"/>
          <w14:textFill>
            <w14:solidFill>
              <w14:schemeClr w14:val="tx1"/>
            </w14:solidFill>
          </w14:textFill>
        </w:rPr>
        <w:t>60日历天</w:t>
      </w:r>
      <w:r>
        <w:rPr>
          <w:rFonts w:hint="eastAsia" w:ascii="宋体" w:hAnsi="宋体" w:cs="宋体"/>
          <w:b/>
          <w:color w:val="000000" w:themeColor="text1"/>
          <w:highlight w:val="none"/>
          <w14:textFill>
            <w14:solidFill>
              <w14:schemeClr w14:val="tx1"/>
            </w14:solidFill>
          </w14:textFill>
        </w:rPr>
        <w:t>。</w:t>
      </w:r>
    </w:p>
    <w:p>
      <w:pPr>
        <w:pStyle w:val="8"/>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pPr>
        <w:pStyle w:val="8"/>
        <w:spacing w:line="360" w:lineRule="auto"/>
        <w:ind w:firstLine="480" w:firstLineChars="200"/>
        <w:rPr>
          <w:rFonts w:hAnsi="宋体" w:cs="宋体"/>
          <w:color w:val="auto"/>
          <w:kern w:val="0"/>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highlight w:val="none"/>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w:t>
      </w:r>
      <w:r>
        <w:rPr>
          <w:rFonts w:hint="eastAsia" w:ascii="宋体" w:hAnsi="宋体" w:cs="宋体"/>
          <w:color w:val="FF0000"/>
          <w:sz w:val="24"/>
          <w:highlight w:val="none"/>
          <w:lang w:val="en-US" w:eastAsia="zh-CN"/>
        </w:rPr>
        <w:t>微</w:t>
      </w:r>
      <w:r>
        <w:rPr>
          <w:rFonts w:hint="eastAsia" w:ascii="宋体" w:hAnsi="宋体" w:cs="宋体"/>
          <w:sz w:val="24"/>
          <w:highlight w:val="none"/>
        </w:rPr>
        <w:t>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pacing w:line="360" w:lineRule="auto"/>
        <w:ind w:firstLine="512" w:firstLineChars="200"/>
        <w:rPr>
          <w:rFonts w:hint="eastAsia" w:ascii="宋体" w:hAnsi="宋体" w:eastAsia="宋体" w:cs="宋体"/>
          <w:color w:val="auto"/>
          <w:spacing w:val="8"/>
          <w:kern w:val="0"/>
          <w:sz w:val="24"/>
          <w:lang w:eastAsia="zh-CN"/>
        </w:rPr>
      </w:pPr>
      <w:r>
        <w:rPr>
          <w:rFonts w:hint="eastAsia" w:ascii="宋体" w:hAnsi="宋体" w:eastAsia="宋体" w:cs="宋体"/>
          <w:spacing w:val="8"/>
          <w:kern w:val="0"/>
          <w:sz w:val="24"/>
          <w:lang w:val="en-US" w:eastAsia="zh-CN"/>
        </w:rPr>
        <w:t>4.</w:t>
      </w:r>
      <w:r>
        <w:rPr>
          <w:rFonts w:hint="eastAsia" w:ascii="宋体" w:hAnsi="宋体" w:eastAsia="宋体" w:cs="宋体"/>
          <w:spacing w:val="8"/>
          <w:kern w:val="0"/>
          <w:sz w:val="24"/>
        </w:rPr>
        <w:t>本项目的特定资格要求：</w:t>
      </w:r>
      <w:r>
        <w:rPr>
          <w:rFonts w:hint="eastAsia" w:ascii="宋体" w:hAnsi="宋体" w:eastAsia="宋体" w:cs="宋体"/>
          <w:color w:val="auto"/>
          <w:spacing w:val="8"/>
          <w:kern w:val="0"/>
          <w:sz w:val="24"/>
        </w:rPr>
        <w:t>须在市场监督管理部门注册登记具备水利水电工程施工总承包三级及以上资质;拟派建造师须具有水利水电工程专业二级及以上注册建造师资格，同时取得项目负责人安全生产考核合格证书（B类证书）；具备有效的企业安全生产许可证。</w:t>
      </w:r>
      <w:r>
        <w:rPr>
          <w:rFonts w:hint="eastAsia" w:ascii="宋体" w:hAnsi="宋体" w:eastAsia="宋体" w:cs="宋体"/>
          <w:color w:val="auto"/>
          <w:spacing w:val="8"/>
          <w:kern w:val="0"/>
          <w:sz w:val="24"/>
          <w:u w:val="single"/>
        </w:rPr>
        <w:t>该</w:t>
      </w:r>
      <w:r>
        <w:rPr>
          <w:rFonts w:hint="eastAsia" w:ascii="宋体" w:hAnsi="宋体" w:cs="宋体"/>
          <w:color w:val="auto"/>
          <w:spacing w:val="8"/>
          <w:kern w:val="0"/>
          <w:sz w:val="24"/>
          <w:u w:val="single"/>
          <w:lang w:val="en-US" w:eastAsia="zh-CN"/>
        </w:rPr>
        <w:t>特定条件的</w:t>
      </w:r>
      <w:r>
        <w:rPr>
          <w:rFonts w:hint="eastAsia" w:ascii="宋体" w:hAnsi="宋体" w:eastAsia="宋体" w:cs="宋体"/>
          <w:color w:val="auto"/>
          <w:spacing w:val="8"/>
          <w:kern w:val="0"/>
          <w:sz w:val="24"/>
          <w:u w:val="single"/>
        </w:rPr>
        <w:t>法律法规依据为“住房城乡建设部关于印发《建筑业企业资质标准》的通知”</w:t>
      </w:r>
      <w:r>
        <w:rPr>
          <w:rFonts w:hint="eastAsia" w:ascii="宋体" w:hAnsi="宋体" w:cs="宋体"/>
          <w:color w:val="auto"/>
          <w:spacing w:val="8"/>
          <w:kern w:val="0"/>
          <w:sz w:val="24"/>
          <w:lang w:eastAsia="zh-CN"/>
        </w:rPr>
        <w:t>。</w:t>
      </w:r>
    </w:p>
    <w:p>
      <w:pPr>
        <w:pStyle w:val="44"/>
        <w:numPr>
          <w:ilvl w:val="0"/>
          <w:numId w:val="0"/>
        </w:numPr>
        <w:rPr>
          <w:rFonts w:hint="default" w:eastAsia="宋体"/>
          <w:lang w:val="en-US" w:eastAsia="zh-CN"/>
        </w:rPr>
      </w:pPr>
      <w:r>
        <w:rPr>
          <w:rFonts w:hint="eastAsia"/>
          <w:lang w:val="en-US" w:eastAsia="zh-CN"/>
        </w:rPr>
        <w:t xml:space="preserve">   </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采购公告发布之日至提交响应文件截止时间，每天上午00:00至12:00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sz w:val="24"/>
        </w:rPr>
        <w:t>截止时间：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bookmarkStart w:id="443" w:name="_GoBack"/>
      <w:bookmarkEnd w:id="443"/>
      <w:r>
        <w:rPr>
          <w:rFonts w:hint="eastAsia" w:ascii="宋体" w:hAnsi="宋体" w:cs="宋体"/>
          <w:color w:val="auto"/>
          <w:sz w:val="24"/>
          <w:highlight w:val="none"/>
          <w:u w:val="single"/>
        </w:rPr>
        <w:t>0分00秒</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w:t>
      </w:r>
      <w:r>
        <w:rPr>
          <w:rFonts w:hint="eastAsia" w:ascii="宋体" w:hAnsi="宋体" w:cs="宋体"/>
          <w:color w:val="000000" w:themeColor="text1"/>
          <w:sz w:val="24"/>
          <w14:textFill>
            <w14:solidFill>
              <w14:schemeClr w14:val="tx1"/>
            </w14:solidFill>
          </w14:textFill>
        </w:rPr>
        <w:t>《</w:t>
      </w:r>
      <w:r>
        <w:rPr>
          <w:rFonts w:ascii="华文中宋" w:hAnsi="华文中宋" w:eastAsia="华文中宋" w:cs="华文中宋"/>
          <w:color w:val="000000" w:themeColor="text1"/>
          <w:sz w:val="24"/>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shd w:val="clear" w:color="auto" w:fill="FFFFFF"/>
          <w14:textFill>
            <w14:solidFill>
              <w14:schemeClr w14:val="tx1"/>
            </w14:solidFill>
          </w14:textFill>
        </w:rPr>
        <w:t>》（浙财采监〔2022〕8号）</w:t>
      </w:r>
      <w:r>
        <w:rPr>
          <w:rFonts w:hint="eastAsia" w:ascii="宋体" w:hAnsi="宋体" w:cs="宋体"/>
          <w:color w:val="000000" w:themeColor="text1"/>
          <w:sz w:val="24"/>
          <w14:textFill>
            <w14:solidFill>
              <w14:schemeClr w14:val="tx1"/>
            </w14:solidFill>
          </w14:textFill>
        </w:rPr>
        <w:t>已分别于2022年1月29日、2022年2月1日和2022年7月1日开始实施，此前有关规定与上述</w:t>
      </w:r>
      <w:r>
        <w:rPr>
          <w:rFonts w:hint="eastAsia" w:ascii="宋体" w:hAnsi="宋体" w:cs="宋体"/>
          <w:sz w:val="24"/>
        </w:rPr>
        <w:t>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rPr>
          <w:rFonts w:hint="eastAsia" w:ascii="宋体" w:hAnsi="宋体" w:eastAsia="宋体" w:cs="宋体"/>
          <w:sz w:val="24"/>
          <w:lang w:eastAsia="zh-CN"/>
        </w:rPr>
      </w:pPr>
      <w:r>
        <w:rPr>
          <w:rFonts w:hint="eastAsia" w:ascii="宋体" w:hAnsi="宋体" w:cs="宋体"/>
          <w:sz w:val="24"/>
        </w:rPr>
        <w:t>1、采购人：</w:t>
      </w:r>
      <w:r>
        <w:rPr>
          <w:rFonts w:hint="eastAsia" w:ascii="宋体" w:hAnsi="宋体" w:cs="宋体"/>
          <w:sz w:val="24"/>
          <w:lang w:eastAsia="zh-CN"/>
        </w:rPr>
        <w:t>杭州市临安区水利水电局</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经办联系人（询问）：</w:t>
      </w:r>
      <w:r>
        <w:rPr>
          <w:rFonts w:hint="eastAsia" w:ascii="宋体" w:hAnsi="宋体" w:cs="宋体"/>
          <w:color w:val="auto"/>
          <w:sz w:val="24"/>
          <w:highlight w:val="none"/>
          <w:lang w:val="en-US" w:eastAsia="zh-CN"/>
        </w:rPr>
        <w:t xml:space="preserve">盛立青  </w:t>
      </w:r>
      <w:r>
        <w:rPr>
          <w:rFonts w:hint="eastAsia" w:ascii="宋体" w:hAnsi="宋体" w:cs="宋体"/>
          <w:color w:val="auto"/>
          <w:sz w:val="24"/>
          <w:highlight w:val="none"/>
        </w:rPr>
        <w:t>联系电话（询问）</w:t>
      </w:r>
      <w:r>
        <w:rPr>
          <w:rFonts w:hint="eastAsia" w:ascii="宋体" w:hAnsi="宋体" w:cs="宋体"/>
          <w:color w:val="auto"/>
          <w:sz w:val="24"/>
          <w:highlight w:val="none"/>
          <w:lang w:eastAsia="zh-CN"/>
        </w:rPr>
        <w:t>：13588227832</w:t>
      </w:r>
    </w:p>
    <w:p>
      <w:pPr>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质疑答复联系人：</w:t>
      </w:r>
      <w:r>
        <w:rPr>
          <w:rFonts w:hint="eastAsia" w:ascii="宋体" w:hAnsi="宋体" w:cs="宋体"/>
          <w:sz w:val="24"/>
          <w:highlight w:val="none"/>
          <w:lang w:val="en-US" w:eastAsia="zh-CN"/>
        </w:rPr>
        <w:t xml:space="preserve">刘  勇      </w:t>
      </w:r>
      <w:r>
        <w:rPr>
          <w:rFonts w:hint="eastAsia" w:ascii="宋体" w:hAnsi="宋体" w:cs="宋体"/>
          <w:sz w:val="24"/>
          <w:highlight w:val="none"/>
        </w:rPr>
        <w:t>联系电话：</w:t>
      </w:r>
      <w:r>
        <w:rPr>
          <w:rFonts w:hint="eastAsia" w:ascii="宋体" w:hAnsi="宋体" w:cs="宋体"/>
          <w:sz w:val="24"/>
          <w:highlight w:val="none"/>
          <w:lang w:val="en-US" w:eastAsia="zh-CN"/>
        </w:rPr>
        <w:t>13989886427</w:t>
      </w:r>
    </w:p>
    <w:p>
      <w:pPr>
        <w:snapToGrid w:val="0"/>
        <w:spacing w:line="360" w:lineRule="auto"/>
        <w:rPr>
          <w:rFonts w:ascii="宋体" w:hAnsi="宋体" w:cs="宋体"/>
          <w:sz w:val="24"/>
          <w:highlight w:val="none"/>
        </w:rPr>
      </w:pPr>
      <w:r>
        <w:rPr>
          <w:rFonts w:hint="eastAsia" w:ascii="宋体" w:hAnsi="宋体" w:cs="宋体"/>
          <w:sz w:val="24"/>
          <w:highlight w:val="none"/>
        </w:rPr>
        <w:t>地址：杭州市临安区锦北街道科技大道4398号行政服务中心4号楼</w:t>
      </w:r>
    </w:p>
    <w:p>
      <w:pPr>
        <w:snapToGrid w:val="0"/>
        <w:spacing w:line="360" w:lineRule="auto"/>
        <w:rPr>
          <w:rFonts w:hint="eastAsia" w:ascii="宋体" w:hAnsi="宋体" w:eastAsia="宋体" w:cs="宋体"/>
          <w:sz w:val="24"/>
          <w:lang w:eastAsia="zh-CN"/>
        </w:rPr>
      </w:pPr>
      <w:r>
        <w:rPr>
          <w:rFonts w:hint="eastAsia" w:ascii="宋体" w:hAnsi="宋体" w:cs="宋体"/>
          <w:sz w:val="24"/>
        </w:rPr>
        <w:t>2、采购机构：</w:t>
      </w:r>
      <w:r>
        <w:rPr>
          <w:rFonts w:hint="eastAsia" w:ascii="宋体" w:hAnsi="宋体" w:cs="宋体"/>
          <w:sz w:val="24"/>
          <w:lang w:eastAsia="zh-CN"/>
        </w:rPr>
        <w:t>华诚工程咨询集团有限公司</w:t>
      </w:r>
    </w:p>
    <w:p>
      <w:pPr>
        <w:snapToGrid w:val="0"/>
        <w:spacing w:line="360" w:lineRule="auto"/>
        <w:rPr>
          <w:rFonts w:hint="eastAsia" w:ascii="仿宋" w:hAnsi="仿宋" w:eastAsia="仿宋" w:cs="仿宋"/>
          <w:i w:val="0"/>
          <w:iCs w:val="0"/>
          <w:caps w:val="0"/>
          <w:color w:val="000000"/>
          <w:spacing w:val="0"/>
          <w:sz w:val="27"/>
          <w:szCs w:val="27"/>
        </w:rPr>
      </w:pPr>
      <w:r>
        <w:rPr>
          <w:rFonts w:hint="eastAsia" w:ascii="宋体" w:hAnsi="宋体" w:cs="宋体"/>
          <w:sz w:val="24"/>
        </w:rPr>
        <w:t>经办联系人（询问）：</w:t>
      </w:r>
      <w:r>
        <w:rPr>
          <w:rFonts w:hint="eastAsia" w:ascii="宋体" w:hAnsi="宋体" w:cs="宋体"/>
          <w:sz w:val="24"/>
          <w:lang w:val="en-US" w:eastAsia="zh-CN"/>
        </w:rPr>
        <w:t>卞飞</w:t>
      </w:r>
      <w:r>
        <w:rPr>
          <w:rFonts w:hint="eastAsia" w:ascii="宋体" w:hAnsi="宋体" w:cs="宋体"/>
          <w:sz w:val="24"/>
        </w:rPr>
        <w:t xml:space="preserve">     联系电话（询问）：</w:t>
      </w:r>
      <w:r>
        <w:rPr>
          <w:rFonts w:ascii="仿宋" w:hAnsi="仿宋" w:eastAsia="仿宋" w:cs="仿宋"/>
          <w:i w:val="0"/>
          <w:iCs w:val="0"/>
          <w:caps w:val="0"/>
          <w:color w:val="000000"/>
          <w:spacing w:val="0"/>
          <w:sz w:val="27"/>
          <w:szCs w:val="27"/>
        </w:rPr>
        <w:t>1</w:t>
      </w:r>
      <w:r>
        <w:rPr>
          <w:rFonts w:hint="eastAsia" w:ascii="仿宋" w:hAnsi="仿宋" w:eastAsia="仿宋" w:cs="仿宋"/>
          <w:i w:val="0"/>
          <w:iCs w:val="0"/>
          <w:caps w:val="0"/>
          <w:color w:val="000000"/>
          <w:spacing w:val="0"/>
          <w:sz w:val="27"/>
          <w:szCs w:val="27"/>
          <w:lang w:val="en-US" w:eastAsia="zh-CN"/>
        </w:rPr>
        <w:t>5395718555</w:t>
      </w:r>
      <w:r>
        <w:rPr>
          <w:rFonts w:hint="eastAsia" w:ascii="仿宋" w:hAnsi="仿宋" w:eastAsia="仿宋" w:cs="仿宋"/>
          <w:i w:val="0"/>
          <w:iCs w:val="0"/>
          <w:caps w:val="0"/>
          <w:color w:val="000000"/>
          <w:spacing w:val="0"/>
          <w:sz w:val="27"/>
          <w:szCs w:val="27"/>
        </w:rPr>
        <w:t> </w:t>
      </w:r>
    </w:p>
    <w:p>
      <w:pPr>
        <w:snapToGrid w:val="0"/>
        <w:spacing w:line="360" w:lineRule="auto"/>
        <w:rPr>
          <w:rFonts w:ascii="宋体" w:hAnsi="宋体" w:cs="宋体"/>
          <w:sz w:val="24"/>
        </w:rPr>
      </w:pPr>
      <w:r>
        <w:rPr>
          <w:rFonts w:hint="eastAsia" w:ascii="宋体" w:hAnsi="宋体" w:cs="宋体"/>
          <w:sz w:val="24"/>
        </w:rPr>
        <w:t xml:space="preserve">质疑答复联系人：周鲜红  </w:t>
      </w:r>
      <w:r>
        <w:rPr>
          <w:rFonts w:hint="eastAsia" w:ascii="宋体" w:hAnsi="宋体" w:cs="宋体"/>
          <w:sz w:val="24"/>
          <w:lang w:val="en-US" w:eastAsia="zh-CN"/>
        </w:rPr>
        <w:t xml:space="preserve"> </w:t>
      </w:r>
      <w:r>
        <w:rPr>
          <w:rFonts w:hint="eastAsia" w:ascii="宋体" w:hAnsi="宋体" w:cs="宋体"/>
          <w:sz w:val="24"/>
        </w:rPr>
        <w:t xml:space="preserve"> 联系电话：0571-61062267</w:t>
      </w:r>
    </w:p>
    <w:p>
      <w:pPr>
        <w:snapToGrid w:val="0"/>
        <w:spacing w:line="360" w:lineRule="auto"/>
        <w:rPr>
          <w:rFonts w:hint="eastAsia" w:ascii="宋体" w:hAnsi="宋体" w:cs="宋体"/>
          <w:sz w:val="24"/>
          <w:lang w:eastAsia="zh-CN"/>
        </w:rPr>
      </w:pPr>
      <w:r>
        <w:rPr>
          <w:rFonts w:hint="eastAsia" w:ascii="宋体" w:hAnsi="宋体" w:cs="宋体"/>
          <w:sz w:val="24"/>
        </w:rPr>
        <w:t>地址：</w:t>
      </w:r>
      <w:r>
        <w:rPr>
          <w:rFonts w:hint="eastAsia" w:ascii="宋体" w:hAnsi="宋体" w:cs="宋体"/>
          <w:sz w:val="24"/>
          <w:lang w:eastAsia="zh-CN"/>
        </w:rPr>
        <w:t xml:space="preserve">临安区玲珑街道玲珑山路1099号玲珑天城售楼部2-04 </w:t>
      </w:r>
    </w:p>
    <w:p>
      <w:pPr>
        <w:snapToGrid w:val="0"/>
        <w:spacing w:line="360" w:lineRule="auto"/>
        <w:rPr>
          <w:rFonts w:ascii="宋体" w:hAnsi="宋体" w:cs="宋体"/>
          <w:sz w:val="24"/>
        </w:rPr>
      </w:pPr>
      <w:r>
        <w:rPr>
          <w:rFonts w:hint="eastAsia" w:ascii="宋体" w:hAnsi="宋体" w:cs="宋体"/>
          <w:sz w:val="24"/>
        </w:rPr>
        <w:t>3、同级政府采购监督管理部门名称：</w:t>
      </w:r>
      <w:r>
        <w:rPr>
          <w:rFonts w:hint="eastAsia" w:ascii="宋体" w:hAnsi="宋体" w:cs="宋体"/>
          <w:sz w:val="24"/>
          <w:lang w:eastAsia="zh-CN"/>
        </w:rPr>
        <w:t>杭州市临安区水利水电局</w:t>
      </w:r>
      <w:r>
        <w:rPr>
          <w:rFonts w:hint="eastAsia" w:ascii="宋体" w:hAnsi="宋体" w:cs="宋体"/>
          <w:sz w:val="24"/>
        </w:rPr>
        <w:t>政府采购监督管理科</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赵女士</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监督投诉电话：0571-89541697   传真：0571-89541600</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color w:val="FF0000"/>
          <w:sz w:val="24"/>
        </w:rPr>
        <w:t xml:space="preserve">杭州市临安区锦城街道临天路1950号财政大楼411室  </w:t>
      </w:r>
    </w:p>
    <w:p>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kern w:val="0"/>
                <w:sz w:val="24"/>
                <w:u w:val="single"/>
                <w:lang w:eastAsia="zh-CN"/>
              </w:rPr>
              <w:t>杭州市临安区水涛庄水库坝顶设施提升改造工程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如供应商在政府采购云平台填写的最后报价与《最后报价一览表》不一致的，以供应商上传的《最后报价一览表》为准。响应文件中价格全部采用人民币报价。采购文件未列明，而供应商认为必需的费用也需列入报价。</w:t>
            </w:r>
            <w:r>
              <w:rPr>
                <w:rFonts w:hint="eastAsia" w:ascii="宋体" w:hAnsi="宋体" w:cs="宋体"/>
                <w:b/>
                <w:kern w:val="0"/>
                <w:sz w:val="24"/>
                <w:lang w:val="zh-CN"/>
              </w:rPr>
              <w:t>提醒：验收费用由采购人承担，不包含在总价中。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5"/>
              <w:spacing w:line="360" w:lineRule="auto"/>
              <w:rPr>
                <w:rFonts w:hAnsi="宋体" w:cs="宋体"/>
                <w:kern w:val="28"/>
                <w:sz w:val="24"/>
              </w:rPr>
            </w:pPr>
            <w:r>
              <w:rPr>
                <w:rFonts w:hint="eastAsia" w:hAnsi="宋体" w:cs="宋体"/>
                <w:kern w:val="28"/>
                <w:sz w:val="24"/>
                <w:szCs w:val="24"/>
              </w:rPr>
              <w:t>备份响应文件送达地点：</w:t>
            </w:r>
            <w:r>
              <w:rPr>
                <w:rFonts w:hint="eastAsia" w:hAnsi="宋体" w:cs="宋体"/>
                <w:sz w:val="24"/>
                <w:u w:val="single"/>
              </w:rPr>
              <w:t xml:space="preserve">临安区玲珑街道玲珑山路1099号玲珑天城售楼部2-04 </w:t>
            </w:r>
            <w:r>
              <w:rPr>
                <w:rFonts w:hint="eastAsia" w:hAnsi="宋体" w:cs="宋体"/>
                <w:kern w:val="28"/>
                <w:sz w:val="24"/>
                <w:szCs w:val="24"/>
              </w:rPr>
              <w:t>；备份响应文件签收人员联系电话：</w:t>
            </w:r>
            <w:r>
              <w:rPr>
                <w:rFonts w:hint="eastAsia" w:hAnsi="宋体" w:cs="宋体"/>
                <w:sz w:val="24"/>
                <w:u w:val="single"/>
                <w:lang w:val="en-US" w:eastAsia="zh-CN"/>
              </w:rPr>
              <w:t>卞飞15395718555</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12" w:lineRule="auto"/>
              <w:rPr>
                <w:rFonts w:ascii="宋体" w:hAnsi="宋体" w:cs="宋体"/>
                <w:color w:val="000000"/>
                <w:sz w:val="24"/>
              </w:rPr>
            </w:pPr>
            <w:r>
              <w:rPr>
                <w:rFonts w:hint="eastAsia" w:ascii="宋体" w:hAnsi="宋体" w:cs="宋体"/>
                <w:color w:val="000000"/>
                <w:sz w:val="24"/>
              </w:rPr>
              <w:t>代理服务费参照发改价格〔2011〕534号文件、国家发改委计价格〔2002〕1980号文件规定8折收费,单个采购项目代理服务费不足肆仟元按肆仟元收取，代理服务收费按差额定率累进法计算。</w:t>
            </w:r>
          </w:p>
          <w:p>
            <w:pPr>
              <w:snapToGrid w:val="0"/>
              <w:spacing w:line="312" w:lineRule="auto"/>
              <w:ind w:firstLine="480" w:firstLineChars="200"/>
              <w:rPr>
                <w:rFonts w:ascii="宋体" w:hAnsi="宋体" w:cs="宋体"/>
                <w:color w:val="000000"/>
                <w:sz w:val="24"/>
              </w:rPr>
            </w:pPr>
            <w:r>
              <w:rPr>
                <w:rFonts w:hint="eastAsia" w:ascii="宋体" w:hAnsi="宋体" w:cs="宋体"/>
                <w:color w:val="000000"/>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1"/>
                          <a:stretch>
                            <a:fillRect/>
                          </a:stretch>
                        </pic:blipFill>
                        <pic:spPr>
                          <a:xfrm>
                            <a:off x="0" y="0"/>
                            <a:ext cx="3412490" cy="160528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收费对象：本项目代理服务费向成交供应商收取</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缴纳时间：中标(成交)结果公示后5个工作日内一次性付清</w:t>
            </w:r>
          </w:p>
          <w:p>
            <w:pPr>
              <w:tabs>
                <w:tab w:val="left" w:pos="440"/>
              </w:tabs>
              <w:spacing w:line="312" w:lineRule="auto"/>
              <w:rPr>
                <w:rFonts w:ascii="宋体" w:hAnsi="宋体" w:cs="宋体"/>
                <w:snapToGrid w:val="0"/>
                <w:kern w:val="28"/>
                <w:sz w:val="24"/>
              </w:rPr>
            </w:pPr>
            <w:r>
              <w:rPr>
                <w:rFonts w:hint="eastAsia" w:ascii="宋体" w:hAnsi="宋体" w:cs="宋体"/>
                <w:snapToGrid w:val="0"/>
                <w:color w:val="000000"/>
                <w:kern w:val="0"/>
                <w:sz w:val="24"/>
              </w:rPr>
              <w:t>缴纳形式：汇票/支票/电汇/现金</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“采购代理机构”系指竞争性磋商公告中载明的本项目的采购代理机构。</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6"/>
        <w:tabs>
          <w:tab w:val="left" w:pos="0"/>
          <w:tab w:val="clear" w:pos="432"/>
        </w:tabs>
        <w:ind w:left="0" w:firstLine="480" w:firstLineChars="200"/>
        <w:rPr>
          <w:lang w:val="en-US"/>
        </w:rPr>
      </w:pPr>
      <w:r>
        <w:rPr>
          <w:rFonts w:ascii="宋体" w:hAnsi="宋体" w:eastAsia="宋体" w:cs="宋体"/>
          <w:b w:val="0"/>
          <w:bCs w:val="0"/>
          <w:sz w:val="24"/>
          <w:szCs w:val="24"/>
          <w:lang w:val="en-US"/>
        </w:rPr>
        <w:t xml:space="preserve">3.2.4 </w:t>
      </w:r>
      <w:r>
        <w:rPr>
          <w:rFonts w:hint="eastAsia" w:ascii="宋体" w:hAnsi="宋体" w:eastAsia="宋体" w:cs="宋体"/>
          <w:b w:val="0"/>
          <w:bCs w:val="0"/>
          <w:sz w:val="24"/>
          <w:szCs w:val="24"/>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lang w:val="en-US" w:eastAsia="zh-CN"/>
        </w:rPr>
        <w:t>10</w:t>
      </w:r>
      <w:r>
        <w:rPr>
          <w:rFonts w:hint="eastAsia" w:ascii="宋体" w:hAnsi="宋体" w:cs="宋体"/>
          <w:sz w:val="24"/>
        </w:rPr>
        <w:t>%的扣除，用扣除后的价格参与评审。接受大中型企业与小微企业组成联合体或者允许大中型企业向一家或者多家小微企业分包的政府采购工程项目，对于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w:t>
      </w:r>
      <w:r>
        <w:rPr>
          <w:rFonts w:hint="eastAsia" w:ascii="宋体" w:hAnsi="宋体" w:cs="宋体"/>
          <w:sz w:val="24"/>
          <w:lang w:val="en-US" w:eastAsia="zh-CN"/>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5"/>
        <w:spacing w:line="360" w:lineRule="auto"/>
        <w:rPr>
          <w:rFonts w:hAnsi="宋体" w:cs="宋体"/>
          <w:b/>
          <w:sz w:val="24"/>
          <w:szCs w:val="24"/>
        </w:rPr>
      </w:pPr>
      <w:r>
        <w:rPr>
          <w:rFonts w:hint="eastAsia" w:hAnsi="宋体" w:cs="宋体"/>
          <w:b/>
          <w:sz w:val="24"/>
          <w:szCs w:val="24"/>
        </w:rPr>
        <w:t>5．采购文件的构成</w:t>
      </w:r>
    </w:p>
    <w:p>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采购文件的澄清、修改</w:t>
      </w:r>
    </w:p>
    <w:p>
      <w:pPr>
        <w:pStyle w:val="129"/>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6"/>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5"/>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5"/>
        <w:spacing w:line="360" w:lineRule="auto"/>
        <w:rPr>
          <w:rFonts w:hAnsi="宋体" w:cs="宋体"/>
          <w:b/>
          <w:sz w:val="24"/>
          <w:szCs w:val="24"/>
        </w:rPr>
      </w:pPr>
      <w:r>
        <w:rPr>
          <w:rFonts w:hint="eastAsia" w:hAnsi="宋体" w:cs="宋体"/>
          <w:b/>
          <w:sz w:val="24"/>
          <w:szCs w:val="24"/>
        </w:rPr>
        <w:t>8.磋商前答疑会或现场考察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szCs w:val="24"/>
        </w:rPr>
      </w:pPr>
      <w:r>
        <w:rPr>
          <w:rFonts w:hint="eastAsia" w:hAnsi="宋体" w:cs="宋体"/>
          <w:b/>
          <w:kern w:val="28"/>
          <w:sz w:val="24"/>
          <w:szCs w:val="24"/>
        </w:rPr>
        <w:t>9.磋商保证金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5"/>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pPr>
        <w:spacing w:line="360" w:lineRule="auto"/>
        <w:ind w:firstLine="723" w:firstLineChars="300"/>
        <w:rPr>
          <w:rFonts w:ascii="宋体" w:hAnsi="宋体" w:cs="宋体"/>
          <w:b/>
          <w:sz w:val="24"/>
          <w:szCs w:val="21"/>
        </w:rPr>
      </w:pPr>
      <w:r>
        <w:rPr>
          <w:rFonts w:hint="eastAsia" w:ascii="宋体" w:hAnsi="宋体" w:cs="宋体"/>
          <w:b/>
          <w:sz w:val="24"/>
        </w:rPr>
        <w:t>响应文件含有采购人不能接受的附加条件的，响应文件无效；供应商提供虚假材料的，响应文件无效。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29"/>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29"/>
        <w:snapToGrid w:val="0"/>
        <w:spacing w:before="0"/>
        <w:ind w:firstLine="0" w:firstLineChars="0"/>
        <w:rPr>
          <w:rFonts w:ascii="宋体" w:hAnsi="宋体" w:cs="宋体"/>
          <w:b/>
          <w:szCs w:val="24"/>
        </w:rPr>
      </w:pPr>
    </w:p>
    <w:p>
      <w:pPr>
        <w:pStyle w:val="129"/>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29"/>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9"/>
        <w:snapToGrid w:val="0"/>
        <w:spacing w:before="0"/>
        <w:ind w:firstLine="480"/>
        <w:rPr>
          <w:rFonts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5"/>
        <w:snapToGrid w:val="0"/>
        <w:spacing w:line="360" w:lineRule="auto"/>
        <w:rPr>
          <w:rFonts w:hAnsi="宋体" w:cs="宋体"/>
          <w:b/>
          <w:sz w:val="24"/>
          <w:szCs w:val="24"/>
        </w:rPr>
      </w:pPr>
      <w:r>
        <w:rPr>
          <w:rFonts w:hint="eastAsia" w:hAnsi="宋体" w:cs="宋体"/>
          <w:b/>
          <w:sz w:val="24"/>
          <w:szCs w:val="24"/>
        </w:rPr>
        <w:t>15.备份响应文件</w:t>
      </w:r>
    </w:p>
    <w:p>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29"/>
        <w:spacing w:before="0"/>
        <w:ind w:firstLine="0" w:firstLineChars="0"/>
        <w:rPr>
          <w:rFonts w:ascii="宋体" w:hAnsi="宋体" w:cs="宋体"/>
          <w:b/>
          <w:szCs w:val="24"/>
        </w:rPr>
      </w:pPr>
      <w:r>
        <w:rPr>
          <w:rFonts w:hint="eastAsia" w:ascii="宋体" w:hAnsi="宋体" w:cs="宋体"/>
          <w:b/>
          <w:szCs w:val="24"/>
        </w:rPr>
        <w:t>16.响应文件的无效处理</w:t>
      </w:r>
    </w:p>
    <w:p>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29"/>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29"/>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29"/>
        <w:spacing w:before="0"/>
        <w:ind w:firstLine="480"/>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9"/>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4"/>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4"/>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pPr>
        <w:pStyle w:val="129"/>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7"/>
        <w:spacing w:line="360" w:lineRule="auto"/>
        <w:ind w:left="479" w:hanging="479" w:hangingChars="199"/>
        <w:rPr>
          <w:rFonts w:cs="宋体"/>
          <w:b/>
        </w:rPr>
      </w:pPr>
      <w:r>
        <w:rPr>
          <w:rFonts w:hint="eastAsia" w:cs="宋体"/>
          <w:b/>
        </w:rPr>
        <w:t>22. 确定成交供应商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9"/>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7"/>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rPr>
        <w:t>1%</w:t>
      </w:r>
      <w:r>
        <w:rPr>
          <w:rFonts w:hint="eastAsia" w:ascii="宋体" w:hAnsi="宋体" w:cs="宋体"/>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74729768"/>
      <w:bookmarkEnd w:id="19"/>
      <w:bookmarkStart w:id="20" w:name="_Hlt74714665"/>
      <w:bookmarkEnd w:id="20"/>
      <w:bookmarkStart w:id="21" w:name="_Hlt68403820"/>
      <w:bookmarkEnd w:id="21"/>
      <w:bookmarkStart w:id="22" w:name="_Hlt68073093"/>
      <w:bookmarkEnd w:id="22"/>
      <w:bookmarkStart w:id="23" w:name="_Hlt75236290"/>
      <w:bookmarkEnd w:id="23"/>
      <w:bookmarkStart w:id="24" w:name="_Hlt75236101"/>
      <w:bookmarkEnd w:id="24"/>
      <w:bookmarkStart w:id="25" w:name="_Hlt68072998"/>
      <w:bookmarkEnd w:id="25"/>
      <w:bookmarkStart w:id="26" w:name="_Hlt74730295"/>
      <w:bookmarkEnd w:id="26"/>
      <w:bookmarkStart w:id="27" w:name="_Hlt74707468"/>
      <w:bookmarkEnd w:id="27"/>
      <w:bookmarkStart w:id="28" w:name="_Hlt75236011"/>
      <w:bookmarkEnd w:id="28"/>
      <w:bookmarkStart w:id="29" w:name="_Hlt68072990"/>
      <w:bookmarkEnd w:id="29"/>
      <w:bookmarkStart w:id="30" w:name="_Hlt68057669"/>
      <w:bookmarkEnd w:id="30"/>
    </w:p>
    <w:bookmarkEnd w:id="13"/>
    <w:bookmarkEnd w:id="14"/>
    <w:p>
      <w:pPr>
        <w:pStyle w:val="35"/>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一、工程概况：</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1.工程地点：临安区高虹镇</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2.工程概况：工程主要内容为：沥青路面修复，防浪墙、防护墙外墙涂料及防护栏杆，坝顶管理房西南侧立面、东南侧围墙、围墙门柱改造，上坝道路左侧补种绿化等。</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 xml:space="preserve">二、编制依据： </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1.安吉县水利水电勘测设计所有限公司临安分公司设计的《水涛庄水库坝顶设施提升改造工程》施工图纸；</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2.《浙江省水利水电工程工程量清单计价办法》；</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3.《浙江省水利水电工程设计概（预）算编制规定（2021年）》，以下简称（2021）《规定》；</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4.《浙江省水利水电建筑工程预算定额(2021年)》、《浙江省水利水电安装工程预算定额(2021年)》；《浙江省水利水电工程施工机械台班费定额(2021年)》；</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5.《浙江省通用安装工程预算定额》（2018版）、《浙江省市政工程预算定额》（2018版）；</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6.（浙水建〔2019〕4号文）《浙江省水利厅关于重新调整水利工程计价依据增值税税率调整的通知》；</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7.其他有关造价编制依据。</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三、编制方法：</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 工程量：根据建设单位（委托单位）提供的施工图纸、预算定额工程量计算规则、《浙江省水利水电工程工程量清单计价办法》工程量计算规则进行计算；</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 基础单价：</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（1）人工预算单价：《浙江省水利水电工程设计概（预）算编制规定（2021年）》，以下简称（2021）《规定》，项目取费类别为三类的人工预算单价为128元/工日（包括机上人工）。</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（2）材料预算价格：水泥、钢筋、柴油、黄砂、块石预算价格按（2021）《编规》规定执行，水泥预算价限价为300元/t，钢材预算价限价为3000元/t，柴油预算价限价为3000元/t，外购砂石料1预算限价60元/ m3，外购砂石料2预算限价30元/ m3，商品混凝土预算限价150元/ m3，外购沥青混凝土预算限价450元/ m3，条石预算限价300元/ m3，超过预算价限价部分的价差，在计取三税税金后列入相应项目的工程单价内。</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3.水工部分费用标准</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（1）根据浙江省水利厅（浙水建〔2019〕4号文）《浙江省水利厅关于重新调整水利工程计价依据增值税税率调整的通知》规定调整，税金费率按9%计取。</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（2）根据《浙江省水利水电工程设计概（预）算编制规定（2021年）》，以下简称（2021）《规定》本工程为三类工程标准取费。具体如下：</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编号</w:t>
      </w:r>
      <w:r>
        <w:rPr>
          <w:rFonts w:hint="eastAsia" w:ascii="宋体" w:hAnsi="宋体" w:cs="仿宋_GB2312"/>
          <w:b/>
          <w:bCs/>
          <w:sz w:val="24"/>
        </w:rPr>
        <w:tab/>
      </w:r>
      <w:r>
        <w:rPr>
          <w:rFonts w:hint="eastAsia" w:ascii="宋体" w:hAnsi="宋体" w:cs="仿宋_GB2312"/>
          <w:b/>
          <w:bCs/>
          <w:sz w:val="24"/>
        </w:rPr>
        <w:t>费用名称</w:t>
      </w:r>
      <w:r>
        <w:rPr>
          <w:rFonts w:hint="eastAsia" w:ascii="宋体" w:hAnsi="宋体" w:cs="仿宋_GB2312"/>
          <w:b/>
          <w:bCs/>
          <w:sz w:val="24"/>
        </w:rPr>
        <w:tab/>
      </w:r>
      <w:r>
        <w:rPr>
          <w:rFonts w:hint="eastAsia" w:ascii="宋体" w:hAnsi="宋体" w:cs="仿宋_GB2312"/>
          <w:b/>
          <w:bCs/>
          <w:sz w:val="24"/>
        </w:rPr>
        <w:t>土方工程</w:t>
      </w:r>
      <w:r>
        <w:rPr>
          <w:rFonts w:hint="eastAsia" w:ascii="宋体" w:hAnsi="宋体" w:cs="仿宋_GB2312"/>
          <w:b/>
          <w:bCs/>
          <w:sz w:val="24"/>
        </w:rPr>
        <w:tab/>
      </w:r>
      <w:r>
        <w:rPr>
          <w:rFonts w:hint="eastAsia" w:ascii="宋体" w:hAnsi="宋体" w:cs="仿宋_GB2312"/>
          <w:b/>
          <w:bCs/>
          <w:sz w:val="24"/>
        </w:rPr>
        <w:t>石方工程</w:t>
      </w:r>
      <w:r>
        <w:rPr>
          <w:rFonts w:hint="eastAsia" w:ascii="宋体" w:hAnsi="宋体" w:cs="仿宋_GB2312"/>
          <w:b/>
          <w:bCs/>
          <w:sz w:val="24"/>
        </w:rPr>
        <w:tab/>
      </w:r>
      <w:r>
        <w:rPr>
          <w:rFonts w:hint="eastAsia" w:ascii="宋体" w:hAnsi="宋体" w:cs="仿宋_GB2312"/>
          <w:b/>
          <w:bCs/>
          <w:sz w:val="24"/>
        </w:rPr>
        <w:t>砼工程</w:t>
      </w:r>
      <w:r>
        <w:rPr>
          <w:rFonts w:hint="eastAsia" w:ascii="宋体" w:hAnsi="宋体" w:cs="仿宋_GB2312"/>
          <w:b/>
          <w:bCs/>
          <w:sz w:val="24"/>
        </w:rPr>
        <w:tab/>
      </w:r>
      <w:r>
        <w:rPr>
          <w:rFonts w:hint="eastAsia" w:ascii="宋体" w:hAnsi="宋体" w:cs="仿宋_GB2312"/>
          <w:b/>
          <w:bCs/>
          <w:sz w:val="24"/>
        </w:rPr>
        <w:t>基础处理</w:t>
      </w:r>
      <w:r>
        <w:rPr>
          <w:rFonts w:hint="eastAsia" w:ascii="宋体" w:hAnsi="宋体" w:cs="仿宋_GB2312"/>
          <w:b/>
          <w:bCs/>
          <w:sz w:val="24"/>
        </w:rPr>
        <w:tab/>
      </w:r>
      <w:r>
        <w:rPr>
          <w:rFonts w:hint="eastAsia" w:ascii="宋体" w:hAnsi="宋体" w:cs="仿宋_GB2312"/>
          <w:b/>
          <w:bCs/>
          <w:sz w:val="24"/>
        </w:rPr>
        <w:t>钢筋工程</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w:t>
      </w:r>
      <w:r>
        <w:rPr>
          <w:rFonts w:hint="eastAsia" w:ascii="宋体" w:hAnsi="宋体" w:cs="仿宋_GB2312"/>
          <w:b/>
          <w:bCs/>
          <w:sz w:val="24"/>
        </w:rPr>
        <w:tab/>
      </w:r>
      <w:r>
        <w:rPr>
          <w:rFonts w:hint="eastAsia" w:ascii="宋体" w:hAnsi="宋体" w:cs="仿宋_GB2312"/>
          <w:b/>
          <w:bCs/>
          <w:sz w:val="24"/>
        </w:rPr>
        <w:t>措施费</w:t>
      </w:r>
      <w:r>
        <w:rPr>
          <w:rFonts w:hint="eastAsia" w:ascii="宋体" w:hAnsi="宋体" w:cs="仿宋_GB2312"/>
          <w:b/>
          <w:bCs/>
          <w:sz w:val="24"/>
        </w:rPr>
        <w:tab/>
      </w:r>
      <w:r>
        <w:rPr>
          <w:rFonts w:hint="eastAsia" w:ascii="宋体" w:hAnsi="宋体" w:cs="仿宋_GB2312"/>
          <w:b/>
          <w:bCs/>
          <w:sz w:val="24"/>
        </w:rPr>
        <w:t>3.5%</w:t>
      </w:r>
      <w:r>
        <w:rPr>
          <w:rFonts w:hint="eastAsia" w:ascii="宋体" w:hAnsi="宋体" w:cs="仿宋_GB2312"/>
          <w:b/>
          <w:bCs/>
          <w:sz w:val="24"/>
        </w:rPr>
        <w:tab/>
      </w:r>
      <w:r>
        <w:rPr>
          <w:rFonts w:hint="eastAsia" w:ascii="宋体" w:hAnsi="宋体" w:cs="仿宋_GB2312"/>
          <w:b/>
          <w:bCs/>
          <w:sz w:val="24"/>
        </w:rPr>
        <w:t>3.5%</w:t>
      </w:r>
      <w:r>
        <w:rPr>
          <w:rFonts w:hint="eastAsia" w:ascii="宋体" w:hAnsi="宋体" w:cs="仿宋_GB2312"/>
          <w:b/>
          <w:bCs/>
          <w:sz w:val="24"/>
        </w:rPr>
        <w:tab/>
      </w:r>
      <w:r>
        <w:rPr>
          <w:rFonts w:hint="eastAsia" w:ascii="宋体" w:hAnsi="宋体" w:cs="仿宋_GB2312"/>
          <w:b/>
          <w:bCs/>
          <w:sz w:val="24"/>
        </w:rPr>
        <w:t>3.5%</w:t>
      </w:r>
      <w:r>
        <w:rPr>
          <w:rFonts w:hint="eastAsia" w:ascii="宋体" w:hAnsi="宋体" w:cs="仿宋_GB2312"/>
          <w:b/>
          <w:bCs/>
          <w:sz w:val="24"/>
        </w:rPr>
        <w:tab/>
      </w:r>
      <w:r>
        <w:rPr>
          <w:rFonts w:hint="eastAsia" w:ascii="宋体" w:hAnsi="宋体" w:cs="仿宋_GB2312"/>
          <w:b/>
          <w:bCs/>
          <w:sz w:val="24"/>
        </w:rPr>
        <w:t>3.5%</w:t>
      </w:r>
      <w:r>
        <w:rPr>
          <w:rFonts w:hint="eastAsia" w:ascii="宋体" w:hAnsi="宋体" w:cs="仿宋_GB2312"/>
          <w:b/>
          <w:bCs/>
          <w:sz w:val="24"/>
        </w:rPr>
        <w:tab/>
      </w:r>
      <w:r>
        <w:rPr>
          <w:rFonts w:hint="eastAsia" w:ascii="宋体" w:hAnsi="宋体" w:cs="仿宋_GB2312"/>
          <w:b/>
          <w:bCs/>
          <w:sz w:val="24"/>
        </w:rPr>
        <w:t>3.5%</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w:t>
      </w:r>
      <w:r>
        <w:rPr>
          <w:rFonts w:hint="eastAsia" w:ascii="宋体" w:hAnsi="宋体" w:cs="仿宋_GB2312"/>
          <w:b/>
          <w:bCs/>
          <w:sz w:val="24"/>
        </w:rPr>
        <w:tab/>
      </w:r>
      <w:r>
        <w:rPr>
          <w:rFonts w:hint="eastAsia" w:ascii="宋体" w:hAnsi="宋体" w:cs="仿宋_GB2312"/>
          <w:b/>
          <w:bCs/>
          <w:sz w:val="24"/>
        </w:rPr>
        <w:t>间接费</w:t>
      </w:r>
      <w:r>
        <w:rPr>
          <w:rFonts w:hint="eastAsia" w:ascii="宋体" w:hAnsi="宋体" w:cs="仿宋_GB2312"/>
          <w:b/>
          <w:bCs/>
          <w:sz w:val="24"/>
        </w:rPr>
        <w:tab/>
      </w:r>
      <w:r>
        <w:rPr>
          <w:rFonts w:hint="eastAsia" w:ascii="宋体" w:hAnsi="宋体" w:cs="仿宋_GB2312"/>
          <w:b/>
          <w:bCs/>
          <w:sz w:val="24"/>
        </w:rPr>
        <w:t>6.50%</w:t>
      </w:r>
      <w:r>
        <w:rPr>
          <w:rFonts w:hint="eastAsia" w:ascii="宋体" w:hAnsi="宋体" w:cs="仿宋_GB2312"/>
          <w:b/>
          <w:bCs/>
          <w:sz w:val="24"/>
        </w:rPr>
        <w:tab/>
      </w:r>
      <w:r>
        <w:rPr>
          <w:rFonts w:hint="eastAsia" w:ascii="宋体" w:hAnsi="宋体" w:cs="仿宋_GB2312"/>
          <w:b/>
          <w:bCs/>
          <w:sz w:val="24"/>
        </w:rPr>
        <w:t>9.50%</w:t>
      </w:r>
      <w:r>
        <w:rPr>
          <w:rFonts w:hint="eastAsia" w:ascii="宋体" w:hAnsi="宋体" w:cs="仿宋_GB2312"/>
          <w:b/>
          <w:bCs/>
          <w:sz w:val="24"/>
        </w:rPr>
        <w:tab/>
      </w:r>
      <w:r>
        <w:rPr>
          <w:rFonts w:hint="eastAsia" w:ascii="宋体" w:hAnsi="宋体" w:cs="仿宋_GB2312"/>
          <w:b/>
          <w:bCs/>
          <w:sz w:val="24"/>
        </w:rPr>
        <w:t>9.50%</w:t>
      </w:r>
      <w:r>
        <w:rPr>
          <w:rFonts w:hint="eastAsia" w:ascii="宋体" w:hAnsi="宋体" w:cs="仿宋_GB2312"/>
          <w:b/>
          <w:bCs/>
          <w:sz w:val="24"/>
        </w:rPr>
        <w:tab/>
      </w:r>
      <w:r>
        <w:rPr>
          <w:rFonts w:hint="eastAsia" w:ascii="宋体" w:hAnsi="宋体" w:cs="仿宋_GB2312"/>
          <w:b/>
          <w:bCs/>
          <w:sz w:val="24"/>
        </w:rPr>
        <w:t>9.00%</w:t>
      </w:r>
      <w:r>
        <w:rPr>
          <w:rFonts w:hint="eastAsia" w:ascii="宋体" w:hAnsi="宋体" w:cs="仿宋_GB2312"/>
          <w:b/>
          <w:bCs/>
          <w:sz w:val="24"/>
        </w:rPr>
        <w:tab/>
      </w:r>
      <w:r>
        <w:rPr>
          <w:rFonts w:hint="eastAsia" w:ascii="宋体" w:hAnsi="宋体" w:cs="仿宋_GB2312"/>
          <w:b/>
          <w:bCs/>
          <w:sz w:val="24"/>
        </w:rPr>
        <w:t>5.7%</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3</w:t>
      </w:r>
      <w:r>
        <w:rPr>
          <w:rFonts w:hint="eastAsia" w:ascii="宋体" w:hAnsi="宋体" w:cs="仿宋_GB2312"/>
          <w:b/>
          <w:bCs/>
          <w:sz w:val="24"/>
        </w:rPr>
        <w:tab/>
      </w:r>
      <w:r>
        <w:rPr>
          <w:rFonts w:hint="eastAsia" w:ascii="宋体" w:hAnsi="宋体" w:cs="仿宋_GB2312"/>
          <w:b/>
          <w:bCs/>
          <w:sz w:val="24"/>
        </w:rPr>
        <w:t>利润</w:t>
      </w:r>
      <w:r>
        <w:rPr>
          <w:rFonts w:hint="eastAsia" w:ascii="宋体" w:hAnsi="宋体" w:cs="仿宋_GB2312"/>
          <w:b/>
          <w:bCs/>
          <w:sz w:val="24"/>
        </w:rPr>
        <w:tab/>
      </w:r>
      <w:r>
        <w:rPr>
          <w:rFonts w:hint="eastAsia" w:ascii="宋体" w:hAnsi="宋体" w:cs="仿宋_GB2312"/>
          <w:b/>
          <w:bCs/>
          <w:sz w:val="24"/>
        </w:rPr>
        <w:t>5.00%</w:t>
      </w:r>
      <w:r>
        <w:rPr>
          <w:rFonts w:hint="eastAsia" w:ascii="宋体" w:hAnsi="宋体" w:cs="仿宋_GB2312"/>
          <w:b/>
          <w:bCs/>
          <w:sz w:val="24"/>
        </w:rPr>
        <w:tab/>
      </w:r>
      <w:r>
        <w:rPr>
          <w:rFonts w:hint="eastAsia" w:ascii="宋体" w:hAnsi="宋体" w:cs="仿宋_GB2312"/>
          <w:b/>
          <w:bCs/>
          <w:sz w:val="24"/>
        </w:rPr>
        <w:t>5.00%</w:t>
      </w:r>
      <w:r>
        <w:rPr>
          <w:rFonts w:hint="eastAsia" w:ascii="宋体" w:hAnsi="宋体" w:cs="仿宋_GB2312"/>
          <w:b/>
          <w:bCs/>
          <w:sz w:val="24"/>
        </w:rPr>
        <w:tab/>
      </w:r>
      <w:r>
        <w:rPr>
          <w:rFonts w:hint="eastAsia" w:ascii="宋体" w:hAnsi="宋体" w:cs="仿宋_GB2312"/>
          <w:b/>
          <w:bCs/>
          <w:sz w:val="24"/>
        </w:rPr>
        <w:t>5.00%</w:t>
      </w:r>
      <w:r>
        <w:rPr>
          <w:rFonts w:hint="eastAsia" w:ascii="宋体" w:hAnsi="宋体" w:cs="仿宋_GB2312"/>
          <w:b/>
          <w:bCs/>
          <w:sz w:val="24"/>
        </w:rPr>
        <w:tab/>
      </w:r>
      <w:r>
        <w:rPr>
          <w:rFonts w:hint="eastAsia" w:ascii="宋体" w:hAnsi="宋体" w:cs="仿宋_GB2312"/>
          <w:b/>
          <w:bCs/>
          <w:sz w:val="24"/>
        </w:rPr>
        <w:t>5.00%</w:t>
      </w:r>
      <w:r>
        <w:rPr>
          <w:rFonts w:hint="eastAsia" w:ascii="宋体" w:hAnsi="宋体" w:cs="仿宋_GB2312"/>
          <w:b/>
          <w:bCs/>
          <w:sz w:val="24"/>
        </w:rPr>
        <w:tab/>
      </w:r>
      <w:r>
        <w:rPr>
          <w:rFonts w:hint="eastAsia" w:ascii="宋体" w:hAnsi="宋体" w:cs="仿宋_GB2312"/>
          <w:b/>
          <w:bCs/>
          <w:sz w:val="24"/>
        </w:rPr>
        <w:t>5.00%</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4</w:t>
      </w:r>
      <w:r>
        <w:rPr>
          <w:rFonts w:hint="eastAsia" w:ascii="宋体" w:hAnsi="宋体" w:cs="仿宋_GB2312"/>
          <w:b/>
          <w:bCs/>
          <w:sz w:val="24"/>
        </w:rPr>
        <w:tab/>
      </w:r>
      <w:r>
        <w:rPr>
          <w:rFonts w:hint="eastAsia" w:ascii="宋体" w:hAnsi="宋体" w:cs="仿宋_GB2312"/>
          <w:b/>
          <w:bCs/>
          <w:sz w:val="24"/>
        </w:rPr>
        <w:t>税金</w:t>
      </w:r>
      <w:r>
        <w:rPr>
          <w:rFonts w:hint="eastAsia" w:ascii="宋体" w:hAnsi="宋体" w:cs="仿宋_GB2312"/>
          <w:b/>
          <w:bCs/>
          <w:sz w:val="24"/>
        </w:rPr>
        <w:tab/>
      </w:r>
      <w:r>
        <w:rPr>
          <w:rFonts w:hint="eastAsia" w:ascii="宋体" w:hAnsi="宋体" w:cs="仿宋_GB2312"/>
          <w:b/>
          <w:bCs/>
          <w:sz w:val="24"/>
        </w:rPr>
        <w:t>9.00%</w:t>
      </w:r>
      <w:r>
        <w:rPr>
          <w:rFonts w:hint="eastAsia" w:ascii="宋体" w:hAnsi="宋体" w:cs="仿宋_GB2312"/>
          <w:b/>
          <w:bCs/>
          <w:sz w:val="24"/>
        </w:rPr>
        <w:tab/>
      </w:r>
      <w:r>
        <w:rPr>
          <w:rFonts w:hint="eastAsia" w:ascii="宋体" w:hAnsi="宋体" w:cs="仿宋_GB2312"/>
          <w:b/>
          <w:bCs/>
          <w:sz w:val="24"/>
        </w:rPr>
        <w:t>9.00%</w:t>
      </w:r>
      <w:r>
        <w:rPr>
          <w:rFonts w:hint="eastAsia" w:ascii="宋体" w:hAnsi="宋体" w:cs="仿宋_GB2312"/>
          <w:b/>
          <w:bCs/>
          <w:sz w:val="24"/>
        </w:rPr>
        <w:tab/>
      </w:r>
      <w:r>
        <w:rPr>
          <w:rFonts w:hint="eastAsia" w:ascii="宋体" w:hAnsi="宋体" w:cs="仿宋_GB2312"/>
          <w:b/>
          <w:bCs/>
          <w:sz w:val="24"/>
        </w:rPr>
        <w:t>9.00%</w:t>
      </w:r>
      <w:r>
        <w:rPr>
          <w:rFonts w:hint="eastAsia" w:ascii="宋体" w:hAnsi="宋体" w:cs="仿宋_GB2312"/>
          <w:b/>
          <w:bCs/>
          <w:sz w:val="24"/>
        </w:rPr>
        <w:tab/>
      </w:r>
      <w:r>
        <w:rPr>
          <w:rFonts w:hint="eastAsia" w:ascii="宋体" w:hAnsi="宋体" w:cs="仿宋_GB2312"/>
          <w:b/>
          <w:bCs/>
          <w:sz w:val="24"/>
        </w:rPr>
        <w:t>9.00%</w:t>
      </w:r>
      <w:r>
        <w:rPr>
          <w:rFonts w:hint="eastAsia" w:ascii="宋体" w:hAnsi="宋体" w:cs="仿宋_GB2312"/>
          <w:b/>
          <w:bCs/>
          <w:sz w:val="24"/>
        </w:rPr>
        <w:tab/>
      </w:r>
      <w:r>
        <w:rPr>
          <w:rFonts w:hint="eastAsia" w:ascii="宋体" w:hAnsi="宋体" w:cs="仿宋_GB2312"/>
          <w:b/>
          <w:bCs/>
          <w:sz w:val="24"/>
        </w:rPr>
        <w:t>9.00%</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四、暂定价部分：</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无</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五、编制有关事项说明:</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 xml:space="preserve">1、混凝土按自拌混凝土考虑，混凝土骨料按碎石和粗砂计。 </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2、经与设计确认：（1）防浪墙、防护墙防水涂料工序新增20mm厚1:2水泥砂浆抹灰找平层。</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3、其他费用：安全施工费按不低于20140.43元计入，文明标化工地建设费自行考虑，工程保险按0.5%计入。</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4、本工程设预留金50000元。</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六、注意事项：</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1、 清单中项目特征描述与图纸不符或不全的部分，投标人应仔细阅读图纸，根据《水利工程工程量清单计价规范（2022版）》中清单项目所包含的工作内容，按设计图纸及施工规范要求综合考虑在内。</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2、投标人在填写工程量清单的每一项综合单价和合价时均应结合招标文件、技术规范、设计施工图纸和现场勘察情况，谨慎仔细地进行报价。如发现清单中的表述与设计文件不符，请投标人提出书面意见以便答疑，如不提出则视为无异议。</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3、所有以“项”为计量单位的措施项目（即：临时工程）一次性包干，请投标单位充分考虑本工程实际风险，结算时不作调整，措施项目（即：临时工程）仅供参考，投标人可根据施工组织设计补充清单项目自行报价。</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4、施工过程中如需与其他部门或相关单位协商与配合所产生的费用请计入措施项目清单报价中，中标后一律不予调整。中标人不文明施工引起的诸如渣土管理、交通、治安、环保等罚款及管线抢修等费用均由中标人自行承担，招标人概不负责。</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5、工程施工时，投标人对周边建筑物、城市道路、树木、构筑物，电力设施、地下管线及各类成品等自行采取保护措施，并做好安全围护措施；由此所发生的一切费用均应计入相关项目的单价和总价中，招标人不另行支付。</w:t>
      </w:r>
    </w:p>
    <w:p>
      <w:pPr>
        <w:spacing w:line="360" w:lineRule="auto"/>
        <w:ind w:firstLine="482" w:firstLineChars="200"/>
        <w:jc w:val="left"/>
        <w:rPr>
          <w:rFonts w:hint="eastAsia" w:ascii="宋体" w:hAnsi="宋体" w:cs="仿宋_GB2312"/>
          <w:b/>
          <w:bCs/>
          <w:sz w:val="24"/>
        </w:rPr>
      </w:pPr>
      <w:r>
        <w:rPr>
          <w:rFonts w:hint="eastAsia" w:ascii="宋体" w:hAnsi="宋体" w:cs="仿宋_GB2312"/>
          <w:b/>
          <w:bCs/>
          <w:sz w:val="24"/>
        </w:rPr>
        <w:t>6、承包人施工时应做好与周边相关道路以及周边居民出行的交通组织、文明安全、交通设施等围护工作（包括设置临时交通标志、标牌等），满足交警等相关部门的管理要求。必须做到道路安全畅通，做好安全施工的宣传工作，确保工程顺利进行。投标单位根据业主对施工围护方案的要求并踏勘现场后自行报价，如未单独报价视为列入总价中，结算不因任何原因增加该费用。</w:t>
      </w:r>
    </w:p>
    <w:p>
      <w:pPr>
        <w:spacing w:line="360" w:lineRule="auto"/>
        <w:ind w:firstLine="482" w:firstLineChars="200"/>
        <w:jc w:val="left"/>
        <w:rPr>
          <w:rFonts w:ascii="宋体" w:hAnsi="宋体"/>
          <w:sz w:val="24"/>
          <w:u w:val="none"/>
        </w:rPr>
      </w:pPr>
      <w:r>
        <w:rPr>
          <w:rFonts w:hint="eastAsia" w:ascii="宋体" w:hAnsi="宋体" w:cs="仿宋_GB2312"/>
          <w:b/>
          <w:bCs/>
          <w:sz w:val="24"/>
        </w:rPr>
        <w:t>7、因施工图深度等原因，本清单工程量仅供投标报价使用，实际工程量待结算时按实调整。投标单位应综合工程量误差风险因素进行报价，结算时不因工程量增减变化而调整投标综合单价。</w:t>
      </w:r>
      <w:r>
        <w:rPr>
          <w:rFonts w:hint="eastAsia" w:ascii="宋体" w:hAnsi="宋体"/>
          <w:sz w:val="24"/>
          <w:u w:val="none"/>
        </w:rPr>
        <w:t xml:space="preserve"> </w:t>
      </w:r>
    </w:p>
    <w:p>
      <w:pPr>
        <w:spacing w:line="360" w:lineRule="auto"/>
        <w:jc w:val="left"/>
        <w:rPr>
          <w:rFonts w:ascii="宋体" w:hAnsi="宋体" w:cs="仿宋_GB2312"/>
          <w:b/>
          <w:bCs/>
          <w:sz w:val="24"/>
          <w:u w:val="none"/>
        </w:rPr>
      </w:pPr>
      <w:r>
        <w:rPr>
          <w:rFonts w:hint="eastAsia" w:ascii="宋体" w:hAnsi="宋体" w:cs="仿宋_GB2312"/>
          <w:b/>
          <w:bCs/>
          <w:sz w:val="24"/>
          <w:u w:val="none"/>
        </w:rPr>
        <w:t>三、商务要求</w:t>
      </w:r>
    </w:p>
    <w:p>
      <w:pPr>
        <w:spacing w:line="360" w:lineRule="auto"/>
        <w:ind w:left="210" w:leftChars="100"/>
        <w:jc w:val="left"/>
        <w:rPr>
          <w:rFonts w:hint="default" w:ascii="宋体" w:hAnsi="宋体" w:cs="仿宋_GB2312"/>
          <w:b/>
          <w:bCs/>
          <w:color w:val="auto"/>
          <w:sz w:val="24"/>
          <w:highlight w:val="none"/>
          <w:u w:val="none"/>
          <w:lang w:val="en-US" w:eastAsia="zh-CN"/>
        </w:rPr>
      </w:pPr>
      <w:r>
        <w:rPr>
          <w:rFonts w:hint="eastAsia" w:ascii="宋体" w:hAnsi="宋体" w:cs="仿宋_GB2312"/>
          <w:b/>
          <w:bCs/>
          <w:color w:val="auto"/>
          <w:sz w:val="24"/>
          <w:highlight w:val="none"/>
          <w:u w:val="none"/>
        </w:rPr>
        <w:t>1.</w:t>
      </w:r>
      <w:r>
        <w:rPr>
          <w:rFonts w:hint="eastAsia" w:ascii="宋体" w:hAnsi="宋体" w:cs="仿宋_GB2312"/>
          <w:b/>
          <w:bCs/>
          <w:color w:val="auto"/>
          <w:sz w:val="24"/>
          <w:highlight w:val="none"/>
          <w:u w:val="none"/>
          <w:lang w:val="en-US" w:eastAsia="zh-CN"/>
        </w:rPr>
        <w:t>本项目最高限价为：1118478.00元；风险控制价：904782.00元。</w:t>
      </w:r>
    </w:p>
    <w:p>
      <w:pPr>
        <w:spacing w:line="360" w:lineRule="auto"/>
        <w:ind w:left="210" w:leftChars="100"/>
        <w:jc w:val="left"/>
        <w:rPr>
          <w:rFonts w:hint="eastAsia" w:ascii="宋体" w:hAnsi="宋体" w:cs="仿宋_GB2312"/>
          <w:b/>
          <w:bCs/>
          <w:color w:val="auto"/>
          <w:sz w:val="24"/>
          <w:highlight w:val="none"/>
          <w:u w:val="none"/>
          <w:lang w:val="en-US" w:eastAsia="zh-CN"/>
        </w:rPr>
      </w:pPr>
      <w:r>
        <w:rPr>
          <w:rFonts w:hint="eastAsia" w:ascii="宋体" w:hAnsi="宋体" w:cs="仿宋_GB2312"/>
          <w:b/>
          <w:bCs/>
          <w:color w:val="auto"/>
          <w:sz w:val="24"/>
          <w:highlight w:val="none"/>
          <w:u w:val="none"/>
          <w:lang w:val="en-US" w:eastAsia="zh-CN"/>
        </w:rPr>
        <w:t>为防止投标人低价抢标，最高限价的80%（除预留金外）作为风险控制价，中标价低于风险控制价的中标人，必须额外提交中标价净值与风险控制价的差额作为风险担保金。</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lang w:val="en-US" w:eastAsia="zh-CN"/>
        </w:rPr>
        <w:t>2.</w:t>
      </w:r>
      <w:r>
        <w:rPr>
          <w:rFonts w:hint="eastAsia" w:ascii="宋体" w:hAnsi="宋体" w:cs="仿宋_GB2312"/>
          <w:color w:val="auto"/>
          <w:sz w:val="24"/>
          <w:highlight w:val="none"/>
          <w:u w:val="none"/>
        </w:rPr>
        <w:t>工期要求：</w:t>
      </w:r>
      <w:r>
        <w:rPr>
          <w:rFonts w:hint="eastAsia" w:ascii="宋体" w:hAnsi="宋体"/>
          <w:color w:val="auto"/>
          <w:sz w:val="24"/>
          <w:highlight w:val="none"/>
          <w:u w:val="none"/>
          <w:lang w:val="en-US" w:eastAsia="zh-CN"/>
        </w:rPr>
        <w:t>60日历天</w:t>
      </w:r>
      <w:r>
        <w:rPr>
          <w:rFonts w:hint="eastAsia" w:ascii="宋体" w:hAnsi="宋体"/>
          <w:color w:val="auto"/>
          <w:sz w:val="24"/>
          <w:highlight w:val="none"/>
          <w:u w:val="none"/>
        </w:rPr>
        <w:t>。</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lang w:val="en-US" w:eastAsia="zh-CN"/>
        </w:rPr>
        <w:t>3</w:t>
      </w:r>
      <w:r>
        <w:rPr>
          <w:rFonts w:hint="eastAsia" w:ascii="宋体" w:hAnsi="宋体" w:cs="仿宋_GB2312"/>
          <w:color w:val="auto"/>
          <w:sz w:val="24"/>
          <w:highlight w:val="none"/>
          <w:u w:val="none"/>
        </w:rPr>
        <w:t>.工程地点：本项目位于杭州市临安区。</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.付款条件（进度和方式）</w:t>
      </w:r>
    </w:p>
    <w:p>
      <w:pPr>
        <w:pStyle w:val="255"/>
        <w:ind w:firstLine="0" w:firstLineChars="0"/>
        <w:rPr>
          <w:color w:val="auto"/>
          <w:highlight w:val="none"/>
        </w:rPr>
      </w:pPr>
    </w:p>
    <w:tbl>
      <w:tblPr>
        <w:tblStyle w:val="63"/>
        <w:tblW w:w="9291" w:type="dxa"/>
        <w:tblInd w:w="4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05"/>
        <w:gridCol w:w="1935"/>
        <w:gridCol w:w="635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005"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935"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6351"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1935" w:type="dxa"/>
            <w:shd w:val="clear" w:color="auto" w:fill="auto"/>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pPr>
              <w:spacing w:line="360" w:lineRule="auto"/>
              <w:jc w:val="both"/>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合同签订后7个工作日内，支付至合同价的40%；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935" w:type="dxa"/>
            <w:shd w:val="clear" w:color="auto" w:fill="auto"/>
            <w:vAlign w:val="center"/>
          </w:tcPr>
          <w:p>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rPr>
              <w:t>竣工验收合格后支付至签约合同价的80%；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935" w:type="dxa"/>
            <w:shd w:val="clear" w:color="auto" w:fill="auto"/>
            <w:vAlign w:val="center"/>
          </w:tcPr>
          <w:p>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6351" w:type="dxa"/>
            <w:shd w:val="clear" w:color="auto" w:fill="auto"/>
            <w:vAlign w:val="center"/>
          </w:tcPr>
          <w:p>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rPr>
              <w:t>审计结束并出具审计报告后支付至审计价的100%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91" w:type="dxa"/>
            <w:gridSpan w:val="3"/>
            <w:shd w:val="clear" w:color="auto" w:fill="auto"/>
            <w:vAlign w:val="center"/>
          </w:tcPr>
          <w:p>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rPr>
              <w:t>以上款项均不计息，付款前需提供正规增值税专用发票</w:t>
            </w:r>
          </w:p>
        </w:tc>
      </w:tr>
    </w:tbl>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.工程售后服务要求</w:t>
      </w:r>
    </w:p>
    <w:p>
      <w:pPr>
        <w:spacing w:line="360" w:lineRule="auto"/>
        <w:ind w:firstLine="480" w:firstLineChars="200"/>
        <w:jc w:val="left"/>
        <w:rPr>
          <w:rFonts w:ascii="宋体" w:hAnsi="宋体"/>
          <w:color w:val="auto"/>
          <w:sz w:val="24"/>
          <w:highlight w:val="none"/>
          <w:u w:val="none"/>
        </w:rPr>
      </w:pPr>
      <w:r>
        <w:rPr>
          <w:rFonts w:hint="eastAsia" w:ascii="宋体" w:hAnsi="宋体"/>
          <w:color w:val="auto"/>
          <w:sz w:val="24"/>
          <w:highlight w:val="none"/>
          <w:u w:val="none"/>
        </w:rPr>
        <w:t>1）工程保修期为：</w:t>
      </w:r>
      <w:r>
        <w:rPr>
          <w:rFonts w:hint="eastAsia" w:ascii="宋体" w:hAnsi="宋体"/>
          <w:color w:val="auto"/>
          <w:sz w:val="24"/>
          <w:highlight w:val="none"/>
          <w:u w:val="none"/>
          <w:lang w:val="en-US" w:eastAsia="zh-CN"/>
        </w:rPr>
        <w:t>12</w:t>
      </w:r>
      <w:r>
        <w:rPr>
          <w:rFonts w:hint="eastAsia" w:ascii="宋体" w:hAnsi="宋体"/>
          <w:color w:val="auto"/>
          <w:sz w:val="24"/>
          <w:highlight w:val="none"/>
          <w:u w:val="none"/>
        </w:rPr>
        <w:t>个月，自工程竣工之日起开始计算。</w:t>
      </w:r>
    </w:p>
    <w:p>
      <w:pPr>
        <w:spacing w:line="360" w:lineRule="auto"/>
        <w:ind w:firstLine="420"/>
        <w:jc w:val="left"/>
        <w:rPr>
          <w:rFonts w:ascii="宋体" w:hAnsi="宋体"/>
          <w:sz w:val="24"/>
          <w:u w:val="none"/>
        </w:rPr>
      </w:pPr>
      <w:r>
        <w:rPr>
          <w:rFonts w:hint="eastAsia" w:ascii="宋体" w:hAnsi="宋体"/>
          <w:sz w:val="24"/>
          <w:u w:val="none"/>
        </w:rPr>
        <w:t>2）属于保修范围、内容的项目，承包人应当在接到保修通知之日起12小时内派人保修，并一次性修复合格。承包人不在约定期限内派人保修或一次性维修不合格的，发包人可以委托他人修理，所发生的费用由承包人承担。</w:t>
      </w:r>
    </w:p>
    <w:p>
      <w:pPr>
        <w:spacing w:line="360" w:lineRule="auto"/>
        <w:ind w:firstLine="420"/>
        <w:jc w:val="left"/>
        <w:rPr>
          <w:rFonts w:ascii="宋体" w:hAnsi="宋体"/>
          <w:sz w:val="24"/>
          <w:u w:val="none"/>
        </w:rPr>
      </w:pPr>
      <w:r>
        <w:rPr>
          <w:rFonts w:hint="eastAsia" w:ascii="宋体" w:hAnsi="宋体"/>
          <w:sz w:val="24"/>
          <w:u w:val="none"/>
        </w:rPr>
        <w:t>3）发生紧急事故需抢修的，承包人在接到事故通知后，应当立即到达事故现场抢修。</w:t>
      </w:r>
    </w:p>
    <w:p>
      <w:pPr>
        <w:spacing w:line="360" w:lineRule="auto"/>
        <w:ind w:firstLine="480" w:firstLineChars="200"/>
        <w:jc w:val="left"/>
        <w:rPr>
          <w:rFonts w:ascii="宋体" w:hAnsi="宋体"/>
          <w:sz w:val="24"/>
          <w:u w:val="none"/>
        </w:rPr>
      </w:pPr>
      <w:r>
        <w:rPr>
          <w:rFonts w:hint="eastAsia" w:ascii="宋体" w:hAnsi="宋体"/>
          <w:sz w:val="24"/>
          <w:u w:val="none"/>
        </w:rPr>
        <w:t>4）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210" w:leftChars="100"/>
        <w:jc w:val="left"/>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6</w:t>
      </w:r>
      <w:r>
        <w:rPr>
          <w:rFonts w:hint="eastAsia" w:ascii="宋体" w:hAnsi="宋体" w:cs="仿宋_GB2312"/>
          <w:sz w:val="24"/>
          <w:highlight w:val="none"/>
        </w:rPr>
        <w:t>.其他要求</w:t>
      </w:r>
      <w:r>
        <w:rPr>
          <w:rFonts w:hint="eastAsia" w:ascii="宋体" w:hAnsi="宋体" w:cs="仿宋_GB2312"/>
          <w:sz w:val="24"/>
          <w:highlight w:val="none"/>
          <w:lang w:val="en-US" w:eastAsia="zh-CN"/>
        </w:rPr>
        <w:t xml:space="preserve"> </w:t>
      </w:r>
    </w:p>
    <w:p>
      <w:pPr>
        <w:spacing w:line="360" w:lineRule="auto"/>
        <w:ind w:firstLine="420"/>
        <w:jc w:val="left"/>
        <w:rPr>
          <w:rFonts w:hint="eastAsia" w:ascii="宋体" w:hAnsi="宋体"/>
          <w:sz w:val="24"/>
          <w:u w:val="single"/>
        </w:rPr>
      </w:pPr>
      <w:r>
        <w:rPr>
          <w:rFonts w:hint="eastAsia" w:ascii="宋体" w:hAnsi="宋体"/>
          <w:sz w:val="24"/>
          <w:u w:val="none"/>
          <w:lang w:val="en-US" w:eastAsia="zh-CN"/>
        </w:rPr>
        <w:t>1、</w:t>
      </w:r>
      <w:r>
        <w:rPr>
          <w:rFonts w:hint="eastAsia" w:ascii="宋体" w:hAnsi="宋体"/>
          <w:sz w:val="24"/>
          <w:u w:val="none"/>
        </w:rPr>
        <w:t xml:space="preserve">工程施工过程中及工程竣工完成后，投标人应负责场地清理及保洁工作，包括施工垃圾、生活垃圾、其它零星垃圾、设施设备构筑物拆除（包括临时设施、施工设备基础、临时构筑物等）以及施工机械外运等工作，外运运距和垃圾弃置场地（必须符合政府规定）以及运输过程中发生的环保费、城市卫生费等开支均应包括在投标报价中，不另行支付。若投标人未在发包人规定时间内清理的，发包人有权组织清理，费用在工程款中扣除。        </w:t>
      </w:r>
    </w:p>
    <w:p>
      <w:pPr>
        <w:spacing w:line="360" w:lineRule="auto"/>
        <w:ind w:firstLine="420"/>
        <w:jc w:val="left"/>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关于工程保险的特别约定：承包人应为建设工程和施工场地内的自有人员和设备及第三方生命财产办理相关所有保险并支付保险费用，费用已包含在投标总价内。施工时若发生事故，引发的相关经济、法律等责任均由承包方承担 。</w:t>
      </w:r>
    </w:p>
    <w:p>
      <w:pPr>
        <w:spacing w:line="360" w:lineRule="auto"/>
        <w:jc w:val="left"/>
        <w:rPr>
          <w:rFonts w:ascii="宋体" w:hAnsi="宋体" w:cs="仿宋_GB2312"/>
          <w:b/>
          <w:bCs/>
          <w:sz w:val="24"/>
        </w:rPr>
      </w:pPr>
      <w:r>
        <w:rPr>
          <w:rFonts w:hint="eastAsia" w:ascii="宋体" w:hAnsi="宋体" w:cs="仿宋_GB2312"/>
          <w:b/>
          <w:bCs/>
          <w:sz w:val="24"/>
          <w:lang w:eastAsia="zh-CN"/>
        </w:rPr>
        <w:t>四</w:t>
      </w:r>
      <w:r>
        <w:rPr>
          <w:rFonts w:hint="eastAsia" w:ascii="宋体" w:hAnsi="宋体" w:cs="仿宋_GB2312"/>
          <w:b/>
          <w:bCs/>
          <w:sz w:val="24"/>
        </w:rPr>
        <w:t>、其他要求</w:t>
      </w:r>
    </w:p>
    <w:p>
      <w:pPr>
        <w:spacing w:line="360" w:lineRule="auto"/>
        <w:ind w:firstLine="420"/>
        <w:jc w:val="left"/>
        <w:rPr>
          <w:rFonts w:ascii="宋体" w:hAnsi="宋体"/>
          <w:sz w:val="24"/>
          <w:u w:val="none"/>
        </w:rPr>
      </w:pPr>
      <w:r>
        <w:rPr>
          <w:rFonts w:hint="eastAsia" w:ascii="宋体" w:hAnsi="宋体"/>
          <w:sz w:val="24"/>
          <w:u w:val="none"/>
        </w:rPr>
        <w:t xml:space="preserve"> 1、施工现场扬尘防治要求：</w:t>
      </w:r>
    </w:p>
    <w:p>
      <w:pPr>
        <w:spacing w:line="360" w:lineRule="auto"/>
        <w:ind w:firstLine="420"/>
        <w:jc w:val="left"/>
        <w:rPr>
          <w:rFonts w:ascii="宋体" w:hAnsi="宋体"/>
          <w:sz w:val="24"/>
          <w:u w:val="none"/>
        </w:rPr>
      </w:pPr>
      <w:r>
        <w:rPr>
          <w:rFonts w:hint="eastAsia" w:ascii="宋体" w:hAnsi="宋体"/>
          <w:sz w:val="24"/>
          <w:u w:val="none"/>
        </w:rPr>
        <w:t>1）扬尘防治工作内容：</w:t>
      </w:r>
    </w:p>
    <w:p>
      <w:pPr>
        <w:spacing w:line="360" w:lineRule="auto"/>
        <w:ind w:firstLine="420"/>
        <w:jc w:val="left"/>
        <w:rPr>
          <w:rFonts w:ascii="宋体" w:hAnsi="宋体"/>
          <w:sz w:val="24"/>
          <w:u w:val="none"/>
        </w:rPr>
      </w:pPr>
      <w:r>
        <w:rPr>
          <w:rFonts w:hint="eastAsia" w:ascii="宋体" w:hAnsi="宋体"/>
          <w:sz w:val="24"/>
          <w:u w:val="none"/>
        </w:rPr>
        <w:t>根据《杭州市临安区裸土扬尘污染整治专项行动方案》、《杭州市临安区建设工地扬尘污染防治细则》和《杭州市临安区道路施工扬尘污染防治细则》要求，在本工程安全文明措施项目的环境保护措施项目基础上增强扬尘防治力度，主要包括对所施工项目范围内的施工场地进行洒水车洒水降尘或喷淋降尘、对所施工项目范围内凡有裸土部位用土工布进行覆盖等内容（其中施工围档和运输车辆的冲洗等属于安全文明措施项目，承包人应严格落实到位，相应的费用不再另行计取），对扬尘防治所需材料、设备进行采购、安装，并全面做好施工区域内扬尘污染防治工作。</w:t>
      </w:r>
    </w:p>
    <w:p>
      <w:pPr>
        <w:spacing w:line="360" w:lineRule="auto"/>
        <w:ind w:firstLine="420"/>
        <w:jc w:val="left"/>
        <w:rPr>
          <w:rFonts w:ascii="宋体" w:hAnsi="宋体"/>
          <w:sz w:val="24"/>
          <w:u w:val="none"/>
        </w:rPr>
      </w:pPr>
      <w:r>
        <w:rPr>
          <w:rFonts w:hint="eastAsia" w:ascii="宋体" w:hAnsi="宋体"/>
          <w:sz w:val="24"/>
          <w:u w:val="none"/>
        </w:rPr>
        <w:t>2）扬尘防治目标：</w:t>
      </w:r>
    </w:p>
    <w:p>
      <w:pPr>
        <w:spacing w:line="360" w:lineRule="auto"/>
        <w:ind w:firstLine="420"/>
        <w:jc w:val="left"/>
        <w:rPr>
          <w:rFonts w:ascii="宋体" w:hAnsi="宋体"/>
          <w:sz w:val="24"/>
          <w:u w:val="none"/>
        </w:rPr>
      </w:pPr>
      <w:r>
        <w:rPr>
          <w:rFonts w:hint="eastAsia" w:ascii="宋体" w:hAnsi="宋体"/>
          <w:sz w:val="24"/>
          <w:u w:val="none"/>
        </w:rPr>
        <w:t>建立健全裸土扬尘防治规范化、长效化工作机制，实现“城区无裸土”，确保工地现场达到区市级以上扬尘治理检查要求，使扬尘治理工作制度化、规范化，目标如下：</w:t>
      </w:r>
    </w:p>
    <w:p>
      <w:pPr>
        <w:spacing w:line="360" w:lineRule="auto"/>
        <w:ind w:firstLine="420"/>
        <w:jc w:val="left"/>
        <w:rPr>
          <w:rFonts w:ascii="宋体" w:hAnsi="宋体"/>
          <w:sz w:val="24"/>
          <w:u w:val="none"/>
        </w:rPr>
      </w:pPr>
      <w:r>
        <w:rPr>
          <w:rFonts w:hint="eastAsia" w:ascii="宋体" w:hAnsi="宋体"/>
          <w:sz w:val="24"/>
          <w:u w:val="none"/>
        </w:rPr>
        <w:t>①施工扬尘污染控制达标；</w:t>
      </w:r>
    </w:p>
    <w:p>
      <w:pPr>
        <w:spacing w:line="360" w:lineRule="auto"/>
        <w:ind w:firstLine="420"/>
        <w:jc w:val="left"/>
        <w:rPr>
          <w:rFonts w:ascii="宋体" w:hAnsi="宋体"/>
          <w:sz w:val="24"/>
          <w:u w:val="none"/>
        </w:rPr>
      </w:pPr>
      <w:r>
        <w:rPr>
          <w:rFonts w:hint="eastAsia" w:ascii="宋体" w:hAnsi="宋体"/>
          <w:sz w:val="24"/>
          <w:u w:val="none"/>
        </w:rPr>
        <w:t>②无市民重大投诉；</w:t>
      </w:r>
    </w:p>
    <w:p>
      <w:pPr>
        <w:spacing w:line="360" w:lineRule="auto"/>
        <w:ind w:firstLine="420"/>
        <w:jc w:val="left"/>
        <w:rPr>
          <w:rFonts w:ascii="宋体" w:hAnsi="宋体"/>
          <w:sz w:val="24"/>
          <w:u w:val="none"/>
        </w:rPr>
      </w:pPr>
      <w:r>
        <w:rPr>
          <w:rFonts w:hint="eastAsia" w:ascii="宋体" w:hAnsi="宋体"/>
          <w:sz w:val="24"/>
          <w:u w:val="none"/>
        </w:rPr>
        <w:t>③无因施工扬尘控制不善造成的上级处罚和通报批评；</w:t>
      </w:r>
    </w:p>
    <w:p>
      <w:pPr>
        <w:spacing w:line="360" w:lineRule="auto"/>
        <w:ind w:firstLine="420"/>
        <w:jc w:val="left"/>
        <w:rPr>
          <w:rFonts w:ascii="宋体" w:hAnsi="宋体"/>
          <w:sz w:val="24"/>
          <w:u w:val="none"/>
        </w:rPr>
      </w:pPr>
      <w:r>
        <w:rPr>
          <w:rFonts w:hint="eastAsia" w:ascii="宋体" w:hAnsi="宋体"/>
          <w:sz w:val="24"/>
          <w:u w:val="none"/>
        </w:rPr>
        <w:t>④创建绿色环保工地。</w:t>
      </w:r>
    </w:p>
    <w:p>
      <w:pPr>
        <w:spacing w:line="360" w:lineRule="auto"/>
        <w:ind w:firstLine="420"/>
        <w:jc w:val="left"/>
        <w:rPr>
          <w:rFonts w:ascii="宋体" w:hAnsi="宋体"/>
          <w:sz w:val="24"/>
          <w:u w:val="none"/>
        </w:rPr>
      </w:pPr>
      <w:r>
        <w:rPr>
          <w:rFonts w:hint="eastAsia" w:ascii="宋体" w:hAnsi="宋体"/>
          <w:sz w:val="24"/>
          <w:u w:val="none"/>
        </w:rPr>
        <w:t>承包人扬尘防治职责：</w:t>
      </w:r>
    </w:p>
    <w:p>
      <w:pPr>
        <w:spacing w:line="360" w:lineRule="auto"/>
        <w:ind w:firstLine="420"/>
        <w:jc w:val="left"/>
        <w:rPr>
          <w:rFonts w:ascii="宋体" w:hAnsi="宋体"/>
          <w:sz w:val="24"/>
          <w:u w:val="none"/>
        </w:rPr>
      </w:pPr>
      <w:r>
        <w:rPr>
          <w:rFonts w:hint="eastAsia" w:ascii="宋体" w:hAnsi="宋体"/>
          <w:sz w:val="24"/>
          <w:u w:val="none"/>
        </w:rPr>
        <w:t>①贯彻落实临安区大气污染防治工作领导小组办公室有关施工现场扬尘治理的管理规定，落实责任制和健全规章制度。服从管理，严格按相关文件、规定要求对施工区域范围内（包括生活宿舍区）扬尘治理等环境保护管理工作负全面责任。</w:t>
      </w:r>
    </w:p>
    <w:p>
      <w:pPr>
        <w:spacing w:line="360" w:lineRule="auto"/>
        <w:ind w:firstLine="420"/>
        <w:jc w:val="left"/>
        <w:rPr>
          <w:rFonts w:ascii="宋体" w:hAnsi="宋体"/>
          <w:sz w:val="24"/>
          <w:u w:val="none"/>
        </w:rPr>
      </w:pPr>
      <w:r>
        <w:rPr>
          <w:rFonts w:hint="eastAsia" w:ascii="宋体" w:hAnsi="宋体"/>
          <w:sz w:val="24"/>
          <w:u w:val="none"/>
        </w:rPr>
        <w:t>②承包人为施工现场扬尘防治工作的总负责，工程项目负责人为项目扬尘防治第一责任人，建立项目施工扬尘防治管理组织，明确各管理人员扬尘防治责任，建立相应的管理制度。</w:t>
      </w:r>
    </w:p>
    <w:p>
      <w:pPr>
        <w:spacing w:line="360" w:lineRule="auto"/>
        <w:ind w:firstLine="420"/>
        <w:jc w:val="left"/>
        <w:rPr>
          <w:rFonts w:ascii="宋体" w:hAnsi="宋体"/>
          <w:sz w:val="24"/>
          <w:u w:val="none"/>
        </w:rPr>
      </w:pPr>
      <w:r>
        <w:rPr>
          <w:rFonts w:hint="eastAsia" w:ascii="宋体" w:hAnsi="宋体"/>
          <w:sz w:val="24"/>
          <w:u w:val="none"/>
        </w:rPr>
        <w:t>承包人在施工现场需配备专职扬尘防治管理人员，并配备足够的专职保洁人员，负责防治区域内的环境卫生。</w:t>
      </w:r>
    </w:p>
    <w:p>
      <w:pPr>
        <w:spacing w:line="360" w:lineRule="auto"/>
        <w:ind w:firstLine="420"/>
        <w:jc w:val="left"/>
        <w:rPr>
          <w:rFonts w:ascii="宋体" w:hAnsi="宋体"/>
          <w:sz w:val="24"/>
          <w:u w:val="none"/>
        </w:rPr>
      </w:pPr>
      <w:r>
        <w:rPr>
          <w:rFonts w:hint="eastAsia" w:ascii="宋体" w:hAnsi="宋体"/>
          <w:sz w:val="24"/>
          <w:u w:val="none"/>
        </w:rPr>
        <w:t>③凡有24小时以上不施工的裸土区域及施工现场存放的砂石、灰土等物料应采取覆盖措施，覆盖须采用材质重量不低于120克/平方的土工布，覆盖率达到100%。</w:t>
      </w:r>
    </w:p>
    <w:p>
      <w:pPr>
        <w:spacing w:line="360" w:lineRule="auto"/>
        <w:ind w:firstLine="420"/>
        <w:jc w:val="left"/>
        <w:rPr>
          <w:rFonts w:ascii="宋体" w:hAnsi="宋体"/>
          <w:sz w:val="24"/>
          <w:u w:val="none"/>
        </w:rPr>
      </w:pPr>
      <w:r>
        <w:rPr>
          <w:rFonts w:hint="eastAsia" w:ascii="宋体" w:hAnsi="宋体"/>
          <w:sz w:val="24"/>
          <w:u w:val="none"/>
        </w:rPr>
        <w:t>④承包人应确保施工现场的机械设备扬尘防治设施及装置配置到位，严格按规定要求做好湿法作业。</w:t>
      </w:r>
    </w:p>
    <w:p>
      <w:pPr>
        <w:spacing w:line="360" w:lineRule="auto"/>
        <w:ind w:firstLine="420"/>
        <w:jc w:val="left"/>
        <w:rPr>
          <w:rFonts w:ascii="宋体" w:hAnsi="宋体"/>
          <w:sz w:val="24"/>
          <w:u w:val="none"/>
        </w:rPr>
      </w:pPr>
      <w:r>
        <w:rPr>
          <w:rFonts w:hint="eastAsia" w:ascii="宋体" w:hAnsi="宋体"/>
          <w:sz w:val="24"/>
          <w:u w:val="none"/>
        </w:rPr>
        <w:t xml:space="preserve">⑤施工区域必须进行日常洒水降尘和保洁工作，洒水设备自备，尽量利用可回收水进行洒水降尘。根据《杭州市临安区道路施工扬尘污染防治细则》，日常洒水按每日两次要求执行。 </w:t>
      </w:r>
    </w:p>
    <w:p>
      <w:pPr>
        <w:spacing w:line="360" w:lineRule="auto"/>
        <w:ind w:firstLine="420"/>
        <w:jc w:val="left"/>
        <w:rPr>
          <w:rFonts w:ascii="宋体" w:hAnsi="宋体"/>
          <w:sz w:val="24"/>
          <w:u w:val="none"/>
        </w:rPr>
      </w:pPr>
      <w:r>
        <w:rPr>
          <w:rFonts w:hint="eastAsia" w:ascii="宋体" w:hAnsi="宋体"/>
          <w:sz w:val="24"/>
          <w:u w:val="none"/>
        </w:rPr>
        <w:t>⑥施工现场周边必须进行围挡并设置喷淋降尘装置。根据《杭州市临安区建设工地扬尘污染防治细则》，项目围挡至少设置1道喷淋；单个喷淋每天要喷3-5次，每次30分钟以上 (污染天气、夏季高温天和冬季干燥天气增加喷淋次数1-2次)。</w:t>
      </w:r>
    </w:p>
    <w:p>
      <w:pPr>
        <w:spacing w:line="360" w:lineRule="auto"/>
        <w:ind w:firstLine="420"/>
        <w:jc w:val="left"/>
        <w:rPr>
          <w:rFonts w:ascii="宋体" w:hAnsi="宋体"/>
          <w:sz w:val="24"/>
          <w:u w:val="none"/>
        </w:rPr>
      </w:pPr>
      <w:r>
        <w:rPr>
          <w:rFonts w:hint="eastAsia" w:ascii="宋体" w:hAnsi="宋体"/>
          <w:sz w:val="24"/>
          <w:u w:val="none"/>
        </w:rPr>
        <w:t>⑦运输车辆必须做到净车出入。施工现场应设置自动冲洗装置和专职人工冲洗管理员，确保运输车辆车身、轮胎、底盘等部位积泥冲洗干净且密闭后方可出场，防止泥土的散落污染道路和周边环境。同时承包人须派专人对施工场地外围抛洒土方进行清理，确保出入口 50米范围内的道路清洁。</w:t>
      </w:r>
    </w:p>
    <w:p>
      <w:pPr>
        <w:spacing w:line="360" w:lineRule="auto"/>
        <w:ind w:firstLine="420"/>
        <w:jc w:val="left"/>
        <w:rPr>
          <w:rFonts w:ascii="宋体" w:hAnsi="宋体"/>
          <w:sz w:val="24"/>
          <w:u w:val="none"/>
        </w:rPr>
      </w:pPr>
      <w:r>
        <w:rPr>
          <w:rFonts w:hint="eastAsia" w:ascii="宋体" w:hAnsi="宋体"/>
          <w:sz w:val="24"/>
          <w:u w:val="none"/>
        </w:rPr>
        <w:t>⑧因承包人原因造成扬尘治理不达标被各级政府职能部门或督查组查处（明查或暗访）整改处罚的，全部责任由承包人负责。</w:t>
      </w:r>
    </w:p>
    <w:p>
      <w:pPr>
        <w:spacing w:line="360" w:lineRule="auto"/>
        <w:ind w:firstLine="420"/>
        <w:jc w:val="left"/>
        <w:rPr>
          <w:rFonts w:ascii="宋体" w:hAnsi="宋体"/>
          <w:sz w:val="24"/>
          <w:u w:val="none"/>
        </w:rPr>
      </w:pPr>
      <w:r>
        <w:rPr>
          <w:rFonts w:hint="eastAsia" w:ascii="宋体" w:hAnsi="宋体"/>
          <w:sz w:val="24"/>
          <w:u w:val="none"/>
        </w:rPr>
        <w:t>2、建筑垃圾处置要求：</w:t>
      </w:r>
    </w:p>
    <w:p>
      <w:pPr>
        <w:spacing w:line="360" w:lineRule="auto"/>
        <w:ind w:firstLine="420"/>
        <w:jc w:val="left"/>
        <w:rPr>
          <w:rFonts w:ascii="宋体" w:hAnsi="宋体"/>
          <w:sz w:val="24"/>
          <w:u w:val="none"/>
        </w:rPr>
      </w:pPr>
      <w:r>
        <w:rPr>
          <w:rFonts w:hint="eastAsia" w:ascii="宋体" w:hAnsi="宋体"/>
          <w:sz w:val="24"/>
          <w:u w:val="none"/>
        </w:rPr>
        <w:t>1）承包人应规范建筑垃圾处置分包合同管理，建筑垃圾运输业 务应当发包给本工程建筑垃圾处置证核准确定的运输单位。</w:t>
      </w:r>
    </w:p>
    <w:p>
      <w:pPr>
        <w:spacing w:line="360" w:lineRule="auto"/>
        <w:ind w:firstLine="420"/>
        <w:jc w:val="left"/>
        <w:rPr>
          <w:rFonts w:ascii="宋体" w:hAnsi="宋体"/>
          <w:sz w:val="24"/>
          <w:u w:val="none"/>
        </w:rPr>
      </w:pPr>
      <w:r>
        <w:rPr>
          <w:rFonts w:hint="eastAsia" w:ascii="宋体" w:hAnsi="宋体"/>
          <w:sz w:val="24"/>
          <w:u w:val="none"/>
        </w:rPr>
        <w:t>2）承包人负责根据施工合同约定和相关法律法规要求，编制工程建筑垃圾处置方案，向项目所在地城管部门进行备案，并在工地出入口做好公示及日常维护工作。</w:t>
      </w:r>
    </w:p>
    <w:p>
      <w:pPr>
        <w:spacing w:line="360" w:lineRule="auto"/>
        <w:ind w:firstLine="420"/>
        <w:jc w:val="left"/>
        <w:rPr>
          <w:rFonts w:ascii="宋体" w:hAnsi="宋体"/>
          <w:sz w:val="24"/>
          <w:u w:val="none"/>
        </w:rPr>
      </w:pPr>
      <w:r>
        <w:rPr>
          <w:rFonts w:hint="eastAsia" w:ascii="宋体" w:hAnsi="宋体"/>
          <w:sz w:val="24"/>
          <w:u w:val="none"/>
        </w:rPr>
        <w:t>3）承包人要加强建筑垃圾处置分包合同履约监管，严格核对建 筑垃圾运输车辆，对不具备垃圾处置证、准运证、通行证的工程 车辆，要及时清退。杜绝运输单位将建筑垃圾运输至非指定消纳 场所，确保运输和处置规范。</w:t>
      </w:r>
    </w:p>
    <w:p>
      <w:pPr>
        <w:spacing w:line="360" w:lineRule="auto"/>
        <w:ind w:firstLine="420"/>
        <w:jc w:val="left"/>
        <w:rPr>
          <w:rFonts w:ascii="宋体" w:hAnsi="宋体"/>
          <w:sz w:val="24"/>
          <w:u w:val="none"/>
        </w:rPr>
      </w:pPr>
      <w:r>
        <w:rPr>
          <w:rFonts w:hint="eastAsia" w:ascii="宋体" w:hAnsi="宋体"/>
          <w:sz w:val="24"/>
          <w:u w:val="none"/>
        </w:rPr>
        <w:t xml:space="preserve">4）承包人与运输、处置单位结算相关费用前应当查验接纳回执。                                                                </w:t>
      </w:r>
    </w:p>
    <w:p>
      <w:pPr>
        <w:spacing w:line="360" w:lineRule="auto"/>
        <w:jc w:val="left"/>
        <w:rPr>
          <w:rFonts w:ascii="宋体" w:hAnsi="宋体"/>
          <w:sz w:val="24"/>
          <w:u w:val="none"/>
        </w:rPr>
      </w:pPr>
      <w:r>
        <w:rPr>
          <w:rFonts w:hint="eastAsia" w:ascii="宋体" w:hAnsi="宋体"/>
          <w:sz w:val="24"/>
          <w:u w:val="none"/>
        </w:rPr>
        <w:t xml:space="preserve"> 3、承包人在投标文件中隐含与招标文件相违背的内容，并且影响了发包人的利益，评标专家在评标中没有发现，并不代表发包人认可此内容，未经发包人同意此内容无效，此内容对发包人无约束力。</w:t>
      </w:r>
    </w:p>
    <w:p>
      <w:pPr>
        <w:spacing w:line="360" w:lineRule="auto"/>
        <w:ind w:firstLine="480" w:firstLineChars="200"/>
        <w:jc w:val="left"/>
        <w:rPr>
          <w:rFonts w:ascii="宋体" w:hAnsi="宋体"/>
          <w:sz w:val="24"/>
          <w:u w:val="none"/>
        </w:rPr>
      </w:pPr>
      <w:r>
        <w:rPr>
          <w:rFonts w:hint="eastAsia" w:ascii="宋体" w:hAnsi="宋体"/>
          <w:sz w:val="24"/>
          <w:u w:val="none"/>
        </w:rPr>
        <w:t>1）承包人必须无条件接受发包人在合同签订前或签订后出台的各项有关工程质量管理或委托监理方进行处罚的管理制度。</w:t>
      </w:r>
    </w:p>
    <w:p>
      <w:pPr>
        <w:spacing w:line="360" w:lineRule="auto"/>
        <w:ind w:firstLine="480" w:firstLineChars="200"/>
        <w:jc w:val="left"/>
        <w:rPr>
          <w:rFonts w:ascii="宋体" w:hAnsi="宋体"/>
          <w:sz w:val="24"/>
          <w:u w:val="none"/>
        </w:rPr>
      </w:pPr>
      <w:r>
        <w:rPr>
          <w:rFonts w:hint="eastAsia" w:ascii="宋体" w:hAnsi="宋体"/>
          <w:sz w:val="24"/>
          <w:u w:val="none"/>
        </w:rPr>
        <w:t>2）承包人必须对施工场地周边设施妥善保护，如出现损坏由承包人负责赔偿及处理。</w:t>
      </w:r>
    </w:p>
    <w:p>
      <w:pPr>
        <w:spacing w:line="360" w:lineRule="auto"/>
        <w:ind w:firstLine="480" w:firstLineChars="200"/>
        <w:jc w:val="left"/>
        <w:rPr>
          <w:rFonts w:ascii="宋体" w:hAnsi="宋体"/>
          <w:sz w:val="24"/>
          <w:u w:val="none"/>
        </w:rPr>
      </w:pPr>
      <w:r>
        <w:rPr>
          <w:rFonts w:hint="eastAsia" w:ascii="宋体" w:hAnsi="宋体"/>
          <w:sz w:val="24"/>
          <w:u w:val="none"/>
        </w:rPr>
        <w:t xml:space="preserve">3）隐蔽工程封闭前必须由书面通知业主组织并办理验收工作，验收合格方能进行后续工作。隐蔽工程结点不合格须处以一定的惩罚，承包人对隐蔽工程负责拍照留档，同时发包人对不合格处拍照、备案。  </w:t>
      </w:r>
    </w:p>
    <w:p>
      <w:pPr>
        <w:spacing w:line="360" w:lineRule="auto"/>
        <w:ind w:firstLine="480" w:firstLineChars="200"/>
        <w:jc w:val="left"/>
        <w:rPr>
          <w:rFonts w:ascii="宋体" w:hAnsi="宋体"/>
          <w:sz w:val="24"/>
          <w:u w:val="none"/>
        </w:rPr>
      </w:pPr>
      <w:r>
        <w:rPr>
          <w:rFonts w:hint="eastAsia" w:ascii="宋体" w:hAnsi="宋体"/>
          <w:sz w:val="24"/>
          <w:u w:val="none"/>
        </w:rPr>
        <w:t xml:space="preserve">4）施工过程中，如承包人项目班子主要人员因态度、工作能力等原因无法满足现场施工要求及监理现场管理人员要求的，发包人有权要求撤换，承包人必须执行。   </w:t>
      </w:r>
    </w:p>
    <w:p>
      <w:pPr>
        <w:spacing w:line="360" w:lineRule="auto"/>
        <w:ind w:firstLine="480" w:firstLineChars="200"/>
        <w:jc w:val="left"/>
        <w:rPr>
          <w:rFonts w:ascii="宋体" w:hAnsi="宋体"/>
          <w:sz w:val="24"/>
          <w:u w:val="none"/>
        </w:rPr>
      </w:pPr>
      <w:r>
        <w:rPr>
          <w:rFonts w:hint="eastAsia" w:ascii="宋体" w:hAnsi="宋体"/>
          <w:sz w:val="24"/>
          <w:u w:val="none"/>
        </w:rPr>
        <w:t>5）承包人在施工过程中不论遇到何种困难，均不得以任何理由（例如发包人未签证费用）擅自停工或变相停工，如有争议双方就其不能达成一致的，承包人可向有管辖权的人民法院起诉。在争议和起诉期间，除人民法院裁定暂停施工外，承包人必须继续施工，不得怠工、停工；否则，视为承包人违约，由此造成的一切后果和经济损失均由承包人承担，同时发包人有权对承包人处以一定的经济处罚。</w:t>
      </w:r>
    </w:p>
    <w:p>
      <w:pPr>
        <w:spacing w:line="360" w:lineRule="auto"/>
        <w:ind w:firstLine="480" w:firstLineChars="200"/>
        <w:jc w:val="left"/>
        <w:rPr>
          <w:rFonts w:ascii="宋体" w:hAnsi="宋体"/>
          <w:sz w:val="24"/>
          <w:u w:val="none"/>
        </w:rPr>
      </w:pPr>
      <w:r>
        <w:rPr>
          <w:rFonts w:hint="eastAsia" w:ascii="宋体" w:hAnsi="宋体"/>
          <w:sz w:val="24"/>
          <w:u w:val="none"/>
        </w:rPr>
        <w:t xml:space="preserve">6）承包人必须做好与有关单位的配合工作。必须严格遵守安全施工的操作规程，完善安全施工措施，如发生安全事故，由承包人承担一切责任。若发包人受损的，发包人有权向承包人追偿，并有权要求承包人赔偿发包人一切直接及间接损失。     </w:t>
      </w:r>
    </w:p>
    <w:p>
      <w:pPr>
        <w:spacing w:line="360" w:lineRule="auto"/>
        <w:ind w:firstLine="480" w:firstLineChars="200"/>
        <w:jc w:val="left"/>
        <w:rPr>
          <w:rFonts w:ascii="宋体" w:hAnsi="宋体"/>
          <w:sz w:val="24"/>
          <w:u w:val="none"/>
        </w:rPr>
      </w:pPr>
      <w:r>
        <w:rPr>
          <w:rFonts w:hint="eastAsia" w:ascii="宋体" w:hAnsi="宋体"/>
          <w:sz w:val="24"/>
          <w:u w:val="none"/>
        </w:rPr>
        <w:t xml:space="preserve">7）因承包人原因造成延误工期、产品受损等，费用由承包人承担。    </w:t>
      </w:r>
    </w:p>
    <w:p>
      <w:pPr>
        <w:pStyle w:val="8"/>
        <w:ind w:firstLine="482" w:firstLineChars="200"/>
        <w:rPr>
          <w:rFonts w:hAnsi="宋体"/>
          <w:b/>
          <w:bCs/>
          <w:snapToGrid/>
          <w:color w:val="000000" w:themeColor="text1"/>
          <w:kern w:val="2"/>
          <w:sz w:val="24"/>
          <w:szCs w:val="24"/>
          <w:u w:val="none"/>
          <w14:textFill>
            <w14:solidFill>
              <w14:schemeClr w14:val="tx1"/>
            </w14:solidFill>
          </w14:textFill>
        </w:rPr>
      </w:pPr>
    </w:p>
    <w:p>
      <w:pPr>
        <w:rPr>
          <w:rFonts w:ascii="宋体" w:hAnsi="宋体" w:cs="宋体"/>
          <w:snapToGrid w:val="0"/>
          <w:kern w:val="0"/>
          <w:sz w:val="24"/>
        </w:rPr>
      </w:pPr>
    </w:p>
    <w:p>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highlight w:val="none"/>
        </w:rPr>
        <w:t>第四部分</w:t>
      </w:r>
      <w:bookmarkStart w:id="32" w:name="_Toc184308065"/>
      <w:bookmarkEnd w:id="32"/>
      <w:bookmarkStart w:id="33" w:name="_Toc184310331"/>
      <w:bookmarkEnd w:id="33"/>
      <w:bookmarkStart w:id="34" w:name="_Toc184314480"/>
      <w:bookmarkEnd w:id="34"/>
      <w:bookmarkStart w:id="35" w:name="_Toc184310277"/>
      <w:bookmarkEnd w:id="35"/>
      <w:bookmarkStart w:id="36" w:name="_Toc184308085"/>
      <w:bookmarkEnd w:id="36"/>
      <w:bookmarkStart w:id="37" w:name="_Toc184308049"/>
      <w:bookmarkEnd w:id="37"/>
      <w:bookmarkStart w:id="38" w:name="_Toc184314425"/>
      <w:bookmarkEnd w:id="38"/>
      <w:bookmarkStart w:id="39" w:name="_Toc184312103"/>
      <w:bookmarkEnd w:id="39"/>
      <w:bookmarkStart w:id="40" w:name="_Toc184308099"/>
      <w:bookmarkEnd w:id="40"/>
      <w:bookmarkStart w:id="41" w:name="_Toc184314445"/>
      <w:bookmarkEnd w:id="41"/>
      <w:bookmarkStart w:id="42" w:name="_Toc184312088"/>
      <w:bookmarkEnd w:id="42"/>
      <w:bookmarkStart w:id="43" w:name="_Toc184308071"/>
      <w:bookmarkEnd w:id="43"/>
      <w:bookmarkStart w:id="44" w:name="_Toc184312068"/>
      <w:bookmarkEnd w:id="44"/>
      <w:bookmarkStart w:id="45" w:name="_Toc184313274"/>
      <w:bookmarkEnd w:id="45"/>
      <w:bookmarkStart w:id="46" w:name="_Toc184310287"/>
      <w:bookmarkEnd w:id="46"/>
      <w:bookmarkStart w:id="47" w:name="_Toc184308038"/>
      <w:bookmarkEnd w:id="47"/>
      <w:bookmarkStart w:id="48" w:name="_Toc184310299"/>
      <w:bookmarkEnd w:id="48"/>
      <w:bookmarkStart w:id="49" w:name="_Toc184310285"/>
      <w:bookmarkEnd w:id="49"/>
      <w:bookmarkStart w:id="50" w:name="_Toc184313262"/>
      <w:bookmarkEnd w:id="50"/>
      <w:bookmarkStart w:id="51" w:name="_Toc184310326"/>
      <w:bookmarkEnd w:id="51"/>
      <w:bookmarkStart w:id="52" w:name="_Toc184310283"/>
      <w:bookmarkEnd w:id="52"/>
      <w:bookmarkStart w:id="53" w:name="_Toc184314458"/>
      <w:bookmarkEnd w:id="53"/>
      <w:bookmarkStart w:id="54" w:name="_Toc184310303"/>
      <w:bookmarkEnd w:id="54"/>
      <w:bookmarkStart w:id="55" w:name="_Toc184312084"/>
      <w:bookmarkEnd w:id="55"/>
      <w:bookmarkStart w:id="56" w:name="_Toc184313287"/>
      <w:bookmarkEnd w:id="56"/>
      <w:bookmarkStart w:id="57" w:name="_Toc184313302"/>
      <w:bookmarkEnd w:id="57"/>
      <w:bookmarkStart w:id="58" w:name="_Toc184313263"/>
      <w:bookmarkEnd w:id="58"/>
      <w:bookmarkStart w:id="59" w:name="_Toc184312101"/>
      <w:bookmarkEnd w:id="59"/>
      <w:bookmarkStart w:id="60" w:name="_Toc184312071"/>
      <w:bookmarkEnd w:id="60"/>
      <w:bookmarkStart w:id="61" w:name="_Toc184308083"/>
      <w:bookmarkEnd w:id="61"/>
      <w:bookmarkStart w:id="62" w:name="_Toc184314469"/>
      <w:bookmarkEnd w:id="62"/>
      <w:bookmarkStart w:id="63" w:name="_Toc184314450"/>
      <w:bookmarkEnd w:id="63"/>
      <w:bookmarkStart w:id="64" w:name="_Toc184308042"/>
      <w:bookmarkEnd w:id="64"/>
      <w:bookmarkStart w:id="65" w:name="_Toc184314476"/>
      <w:bookmarkEnd w:id="65"/>
      <w:bookmarkStart w:id="66" w:name="_Toc184312092"/>
      <w:bookmarkEnd w:id="66"/>
      <w:bookmarkStart w:id="67" w:name="_Toc184310329"/>
      <w:bookmarkEnd w:id="67"/>
      <w:bookmarkStart w:id="68" w:name="_Toc184314462"/>
      <w:bookmarkEnd w:id="68"/>
      <w:bookmarkStart w:id="69" w:name="_Toc184313301"/>
      <w:bookmarkEnd w:id="69"/>
      <w:bookmarkStart w:id="70" w:name="_Toc184313264"/>
      <w:bookmarkEnd w:id="70"/>
      <w:bookmarkStart w:id="71" w:name="_Toc184312115"/>
      <w:bookmarkEnd w:id="71"/>
      <w:bookmarkStart w:id="72" w:name="_Toc184310337"/>
      <w:bookmarkEnd w:id="72"/>
      <w:bookmarkStart w:id="73" w:name="_Toc184314434"/>
      <w:bookmarkEnd w:id="73"/>
      <w:bookmarkStart w:id="74" w:name="_Toc184308094"/>
      <w:bookmarkEnd w:id="74"/>
      <w:bookmarkStart w:id="75" w:name="_Toc184312075"/>
      <w:bookmarkEnd w:id="75"/>
      <w:bookmarkStart w:id="76" w:name="_Toc184312135"/>
      <w:bookmarkEnd w:id="76"/>
      <w:bookmarkStart w:id="77" w:name="_Toc184313292"/>
      <w:bookmarkEnd w:id="77"/>
      <w:bookmarkStart w:id="78" w:name="_Toc184310301"/>
      <w:bookmarkEnd w:id="78"/>
      <w:bookmarkStart w:id="79" w:name="_Toc184314439"/>
      <w:bookmarkEnd w:id="79"/>
      <w:bookmarkStart w:id="80" w:name="_Toc184310289"/>
      <w:bookmarkEnd w:id="80"/>
      <w:bookmarkStart w:id="81" w:name="_Toc184308041"/>
      <w:bookmarkEnd w:id="81"/>
      <w:bookmarkStart w:id="82" w:name="_Toc184314422"/>
      <w:bookmarkEnd w:id="82"/>
      <w:bookmarkStart w:id="83" w:name="_Toc184308095"/>
      <w:bookmarkEnd w:id="83"/>
      <w:bookmarkStart w:id="84" w:name="_Toc184310336"/>
      <w:bookmarkEnd w:id="84"/>
      <w:bookmarkStart w:id="85" w:name="_Toc184313275"/>
      <w:bookmarkEnd w:id="85"/>
      <w:bookmarkStart w:id="86" w:name="_Toc184313308"/>
      <w:bookmarkEnd w:id="86"/>
      <w:bookmarkStart w:id="87" w:name="_Toc184308087"/>
      <w:bookmarkEnd w:id="87"/>
      <w:bookmarkStart w:id="88" w:name="_Toc184312109"/>
      <w:bookmarkEnd w:id="88"/>
      <w:bookmarkStart w:id="89" w:name="_Toc184308104"/>
      <w:bookmarkEnd w:id="89"/>
      <w:bookmarkStart w:id="90" w:name="_Toc184313300"/>
      <w:bookmarkEnd w:id="90"/>
      <w:bookmarkStart w:id="91" w:name="_Toc184310333"/>
      <w:bookmarkEnd w:id="91"/>
      <w:bookmarkStart w:id="92" w:name="_Toc184313310"/>
      <w:bookmarkEnd w:id="92"/>
      <w:bookmarkStart w:id="93" w:name="_Toc184313279"/>
      <w:bookmarkEnd w:id="93"/>
      <w:bookmarkStart w:id="94" w:name="_Toc184308081"/>
      <w:bookmarkEnd w:id="94"/>
      <w:bookmarkStart w:id="95" w:name="_Toc184312113"/>
      <w:bookmarkEnd w:id="95"/>
      <w:bookmarkStart w:id="96" w:name="_Toc184313260"/>
      <w:bookmarkEnd w:id="96"/>
      <w:bookmarkStart w:id="97" w:name="_Toc184313307"/>
      <w:bookmarkEnd w:id="97"/>
      <w:bookmarkStart w:id="98" w:name="_Toc184308096"/>
      <w:bookmarkEnd w:id="98"/>
      <w:bookmarkStart w:id="99" w:name="_Toc184308092"/>
      <w:bookmarkEnd w:id="99"/>
      <w:bookmarkStart w:id="100" w:name="_Toc184312073"/>
      <w:bookmarkEnd w:id="100"/>
      <w:bookmarkStart w:id="101" w:name="_Toc184313258"/>
      <w:bookmarkEnd w:id="101"/>
      <w:bookmarkStart w:id="102" w:name="_Toc184310338"/>
      <w:bookmarkEnd w:id="102"/>
      <w:bookmarkStart w:id="103" w:name="_Toc184310324"/>
      <w:bookmarkEnd w:id="103"/>
      <w:bookmarkStart w:id="104" w:name="_Toc184308072"/>
      <w:bookmarkEnd w:id="104"/>
      <w:bookmarkStart w:id="105" w:name="_Toc184313297"/>
      <w:bookmarkEnd w:id="105"/>
      <w:bookmarkStart w:id="106" w:name="_Toc184314410"/>
      <w:bookmarkEnd w:id="106"/>
      <w:bookmarkStart w:id="107" w:name="_Toc184313250"/>
      <w:bookmarkEnd w:id="107"/>
      <w:bookmarkStart w:id="108" w:name="_Toc184308057"/>
      <w:bookmarkEnd w:id="108"/>
      <w:bookmarkStart w:id="109" w:name="_Toc184313246"/>
      <w:bookmarkEnd w:id="109"/>
      <w:bookmarkStart w:id="110" w:name="_Toc184313270"/>
      <w:bookmarkEnd w:id="110"/>
      <w:bookmarkStart w:id="111" w:name="_Toc184314452"/>
      <w:bookmarkEnd w:id="111"/>
      <w:bookmarkStart w:id="112" w:name="_Toc184312130"/>
      <w:bookmarkEnd w:id="112"/>
      <w:bookmarkStart w:id="113" w:name="_Toc184314412"/>
      <w:bookmarkEnd w:id="113"/>
      <w:bookmarkStart w:id="114" w:name="_Toc184310308"/>
      <w:bookmarkEnd w:id="114"/>
      <w:bookmarkStart w:id="115" w:name="_Toc184310304"/>
      <w:bookmarkEnd w:id="115"/>
      <w:bookmarkStart w:id="116" w:name="_Toc184312080"/>
      <w:bookmarkEnd w:id="116"/>
      <w:bookmarkStart w:id="117" w:name="_Toc184312117"/>
      <w:bookmarkEnd w:id="117"/>
      <w:bookmarkStart w:id="118" w:name="_Toc184310328"/>
      <w:bookmarkEnd w:id="118"/>
      <w:bookmarkStart w:id="119" w:name="_Toc184308059"/>
      <w:bookmarkEnd w:id="119"/>
      <w:bookmarkStart w:id="120" w:name="_Toc184310295"/>
      <w:bookmarkEnd w:id="120"/>
      <w:bookmarkStart w:id="121" w:name="_Toc184313288"/>
      <w:bookmarkEnd w:id="121"/>
      <w:bookmarkStart w:id="122" w:name="_Toc184314416"/>
      <w:bookmarkEnd w:id="122"/>
      <w:bookmarkStart w:id="123" w:name="_Toc184312112"/>
      <w:bookmarkEnd w:id="123"/>
      <w:bookmarkStart w:id="124" w:name="_Toc184313281"/>
      <w:bookmarkEnd w:id="124"/>
      <w:bookmarkStart w:id="125" w:name="_Toc184314454"/>
      <w:bookmarkEnd w:id="125"/>
      <w:bookmarkStart w:id="126" w:name="_Toc184310334"/>
      <w:bookmarkEnd w:id="126"/>
      <w:bookmarkStart w:id="127" w:name="_Toc184310313"/>
      <w:bookmarkEnd w:id="127"/>
      <w:bookmarkStart w:id="128" w:name="_Toc184308097"/>
      <w:bookmarkEnd w:id="128"/>
      <w:bookmarkStart w:id="129" w:name="_Toc184308067"/>
      <w:bookmarkEnd w:id="129"/>
      <w:bookmarkStart w:id="130" w:name="_Toc184314448"/>
      <w:bookmarkEnd w:id="130"/>
      <w:bookmarkStart w:id="131" w:name="_Toc184310312"/>
      <w:bookmarkEnd w:id="131"/>
      <w:bookmarkStart w:id="132" w:name="_Toc184312106"/>
      <w:bookmarkEnd w:id="132"/>
      <w:bookmarkStart w:id="133" w:name="_Toc184314430"/>
      <w:bookmarkEnd w:id="133"/>
      <w:bookmarkStart w:id="134" w:name="_Toc184312121"/>
      <w:bookmarkEnd w:id="134"/>
      <w:bookmarkStart w:id="135" w:name="_Toc184314478"/>
      <w:bookmarkEnd w:id="135"/>
      <w:bookmarkStart w:id="136" w:name="_Toc184310341"/>
      <w:bookmarkEnd w:id="136"/>
      <w:bookmarkStart w:id="137" w:name="_Toc184308086"/>
      <w:bookmarkEnd w:id="137"/>
      <w:bookmarkStart w:id="138" w:name="_Toc184314475"/>
      <w:bookmarkEnd w:id="138"/>
      <w:bookmarkStart w:id="139" w:name="_Toc184308090"/>
      <w:bookmarkEnd w:id="139"/>
      <w:bookmarkStart w:id="140" w:name="_Toc184312099"/>
      <w:bookmarkEnd w:id="140"/>
      <w:bookmarkStart w:id="141" w:name="_Toc184308061"/>
      <w:bookmarkEnd w:id="141"/>
      <w:bookmarkStart w:id="142" w:name="_Toc184313286"/>
      <w:bookmarkEnd w:id="142"/>
      <w:bookmarkStart w:id="143" w:name="_Toc184314419"/>
      <w:bookmarkEnd w:id="143"/>
      <w:bookmarkStart w:id="144" w:name="_Toc184308088"/>
      <w:bookmarkEnd w:id="144"/>
      <w:bookmarkStart w:id="145" w:name="_Toc184310273"/>
      <w:bookmarkEnd w:id="145"/>
      <w:bookmarkStart w:id="146" w:name="_Toc184313272"/>
      <w:bookmarkEnd w:id="146"/>
      <w:bookmarkStart w:id="147" w:name="_Toc184313290"/>
      <w:bookmarkEnd w:id="147"/>
      <w:bookmarkStart w:id="148" w:name="_Toc184308055"/>
      <w:bookmarkEnd w:id="148"/>
      <w:bookmarkStart w:id="149" w:name="_Toc184313303"/>
      <w:bookmarkEnd w:id="149"/>
      <w:bookmarkStart w:id="150" w:name="_Toc184312082"/>
      <w:bookmarkEnd w:id="150"/>
      <w:bookmarkStart w:id="151" w:name="_Toc184308102"/>
      <w:bookmarkEnd w:id="151"/>
      <w:bookmarkStart w:id="152" w:name="_Toc184314427"/>
      <w:bookmarkEnd w:id="152"/>
      <w:bookmarkStart w:id="153" w:name="_Toc184313298"/>
      <w:bookmarkEnd w:id="153"/>
      <w:bookmarkStart w:id="154" w:name="_Toc184314482"/>
      <w:bookmarkEnd w:id="154"/>
      <w:bookmarkStart w:id="155" w:name="_Toc184310309"/>
      <w:bookmarkEnd w:id="155"/>
      <w:bookmarkStart w:id="156" w:name="_Toc184313247"/>
      <w:bookmarkEnd w:id="156"/>
      <w:bookmarkStart w:id="157" w:name="_Toc184310310"/>
      <w:bookmarkEnd w:id="157"/>
      <w:bookmarkStart w:id="158" w:name="_Toc184308060"/>
      <w:bookmarkEnd w:id="158"/>
      <w:bookmarkStart w:id="159" w:name="_Toc184310278"/>
      <w:bookmarkEnd w:id="159"/>
      <w:bookmarkStart w:id="160" w:name="_Toc184310296"/>
      <w:bookmarkEnd w:id="160"/>
      <w:bookmarkStart w:id="161" w:name="_Toc184308079"/>
      <w:bookmarkEnd w:id="161"/>
      <w:bookmarkStart w:id="162" w:name="_Toc184313241"/>
      <w:bookmarkEnd w:id="162"/>
      <w:bookmarkStart w:id="163" w:name="_Toc184314472"/>
      <w:bookmarkEnd w:id="163"/>
      <w:bookmarkStart w:id="164" w:name="_Toc184313249"/>
      <w:bookmarkEnd w:id="164"/>
      <w:bookmarkStart w:id="165" w:name="_Toc184312074"/>
      <w:bookmarkEnd w:id="165"/>
      <w:bookmarkStart w:id="166" w:name="_Toc184310323"/>
      <w:bookmarkEnd w:id="166"/>
      <w:bookmarkStart w:id="167" w:name="_Toc184308048"/>
      <w:bookmarkEnd w:id="167"/>
      <w:bookmarkStart w:id="168" w:name="_Toc184314446"/>
      <w:bookmarkEnd w:id="168"/>
      <w:bookmarkStart w:id="169" w:name="_Toc184312086"/>
      <w:bookmarkEnd w:id="169"/>
      <w:bookmarkStart w:id="170" w:name="_Toc184313277"/>
      <w:bookmarkEnd w:id="170"/>
      <w:bookmarkStart w:id="171" w:name="_Toc184314440"/>
      <w:bookmarkEnd w:id="171"/>
      <w:bookmarkStart w:id="172" w:name="_Toc184312139"/>
      <w:bookmarkEnd w:id="172"/>
      <w:bookmarkStart w:id="173" w:name="_Toc184308070"/>
      <w:bookmarkEnd w:id="173"/>
      <w:bookmarkStart w:id="174" w:name="_Toc184310322"/>
      <w:bookmarkEnd w:id="174"/>
      <w:bookmarkStart w:id="175" w:name="_Toc184314473"/>
      <w:bookmarkEnd w:id="175"/>
      <w:bookmarkStart w:id="176" w:name="_Toc184314411"/>
      <w:bookmarkEnd w:id="176"/>
      <w:bookmarkStart w:id="177" w:name="_Toc184310284"/>
      <w:bookmarkEnd w:id="177"/>
      <w:bookmarkStart w:id="178" w:name="_Toc184308054"/>
      <w:bookmarkEnd w:id="178"/>
      <w:bookmarkStart w:id="179" w:name="_Toc184308062"/>
      <w:bookmarkEnd w:id="179"/>
      <w:bookmarkStart w:id="180" w:name="_Toc184310317"/>
      <w:bookmarkEnd w:id="180"/>
      <w:bookmarkStart w:id="181" w:name="_Toc184313243"/>
      <w:bookmarkEnd w:id="181"/>
      <w:bookmarkStart w:id="182" w:name="_Toc184313269"/>
      <w:bookmarkEnd w:id="182"/>
      <w:bookmarkStart w:id="183" w:name="_Toc184308089"/>
      <w:bookmarkEnd w:id="183"/>
      <w:bookmarkStart w:id="184" w:name="_Toc184312134"/>
      <w:bookmarkEnd w:id="184"/>
      <w:bookmarkStart w:id="185" w:name="_Toc184308052"/>
      <w:bookmarkEnd w:id="185"/>
      <w:bookmarkStart w:id="186" w:name="_Toc184313239"/>
      <w:bookmarkEnd w:id="186"/>
      <w:bookmarkStart w:id="187" w:name="_Toc184312124"/>
      <w:bookmarkEnd w:id="187"/>
      <w:bookmarkStart w:id="188" w:name="_Toc184310294"/>
      <w:bookmarkEnd w:id="188"/>
      <w:bookmarkStart w:id="189" w:name="_Toc184308093"/>
      <w:bookmarkEnd w:id="189"/>
      <w:bookmarkStart w:id="190" w:name="_Toc184312111"/>
      <w:bookmarkEnd w:id="190"/>
      <w:bookmarkStart w:id="191" w:name="_Toc184314468"/>
      <w:bookmarkEnd w:id="191"/>
      <w:bookmarkStart w:id="192" w:name="_Toc184308047"/>
      <w:bookmarkEnd w:id="192"/>
      <w:bookmarkStart w:id="193" w:name="_Toc184314433"/>
      <w:bookmarkEnd w:id="193"/>
      <w:bookmarkStart w:id="194" w:name="_Toc184310300"/>
      <w:bookmarkEnd w:id="194"/>
      <w:bookmarkStart w:id="195" w:name="_Toc184314421"/>
      <w:bookmarkEnd w:id="195"/>
      <w:bookmarkStart w:id="196" w:name="_Toc184312102"/>
      <w:bookmarkEnd w:id="196"/>
      <w:bookmarkStart w:id="197" w:name="_Toc184313280"/>
      <w:bookmarkEnd w:id="197"/>
      <w:bookmarkStart w:id="198" w:name="_Toc184310332"/>
      <w:bookmarkEnd w:id="198"/>
      <w:bookmarkStart w:id="199" w:name="_Toc184312076"/>
      <w:bookmarkEnd w:id="199"/>
      <w:bookmarkStart w:id="200" w:name="_Toc184308069"/>
      <w:bookmarkEnd w:id="200"/>
      <w:bookmarkStart w:id="201" w:name="_Toc184313273"/>
      <w:bookmarkEnd w:id="201"/>
      <w:bookmarkStart w:id="202" w:name="_Toc184310335"/>
      <w:bookmarkEnd w:id="202"/>
      <w:bookmarkStart w:id="203" w:name="_Toc184314441"/>
      <w:bookmarkEnd w:id="203"/>
      <w:bookmarkStart w:id="204" w:name="_Toc184313276"/>
      <w:bookmarkEnd w:id="204"/>
      <w:bookmarkStart w:id="205" w:name="_Toc184310291"/>
      <w:bookmarkEnd w:id="205"/>
      <w:bookmarkStart w:id="206" w:name="_Toc184308063"/>
      <w:bookmarkEnd w:id="206"/>
      <w:bookmarkStart w:id="207" w:name="_Toc184313271"/>
      <w:bookmarkEnd w:id="207"/>
      <w:bookmarkStart w:id="208" w:name="_Toc184308078"/>
      <w:bookmarkEnd w:id="208"/>
      <w:bookmarkStart w:id="209" w:name="_Toc184313305"/>
      <w:bookmarkEnd w:id="209"/>
      <w:bookmarkStart w:id="210" w:name="_Toc184314467"/>
      <w:bookmarkEnd w:id="210"/>
      <w:bookmarkStart w:id="211" w:name="_Toc184313259"/>
      <w:bookmarkEnd w:id="211"/>
      <w:bookmarkStart w:id="212" w:name="_Toc184314424"/>
      <w:bookmarkEnd w:id="212"/>
      <w:bookmarkStart w:id="213" w:name="_Toc184313248"/>
      <w:bookmarkEnd w:id="213"/>
      <w:bookmarkStart w:id="214" w:name="_Toc184314436"/>
      <w:bookmarkEnd w:id="214"/>
      <w:bookmarkStart w:id="215" w:name="_Toc184310320"/>
      <w:bookmarkEnd w:id="215"/>
      <w:bookmarkStart w:id="216" w:name="_Toc184312132"/>
      <w:bookmarkEnd w:id="216"/>
      <w:bookmarkStart w:id="217" w:name="_Toc184308073"/>
      <w:bookmarkEnd w:id="217"/>
      <w:bookmarkStart w:id="218" w:name="_Toc184312126"/>
      <w:bookmarkEnd w:id="218"/>
      <w:bookmarkStart w:id="219" w:name="_Toc184308051"/>
      <w:bookmarkEnd w:id="219"/>
      <w:bookmarkStart w:id="220" w:name="_Toc184314447"/>
      <w:bookmarkEnd w:id="220"/>
      <w:bookmarkStart w:id="221" w:name="_Toc184314459"/>
      <w:bookmarkEnd w:id="221"/>
      <w:bookmarkStart w:id="222" w:name="_Toc184310306"/>
      <w:bookmarkEnd w:id="222"/>
      <w:bookmarkStart w:id="223" w:name="_Toc184314442"/>
      <w:bookmarkEnd w:id="223"/>
      <w:bookmarkStart w:id="224" w:name="_Toc184308101"/>
      <w:bookmarkEnd w:id="224"/>
      <w:bookmarkStart w:id="225" w:name="_Toc184313252"/>
      <w:bookmarkEnd w:id="225"/>
      <w:bookmarkStart w:id="226" w:name="_Toc184310327"/>
      <w:bookmarkEnd w:id="226"/>
      <w:bookmarkStart w:id="227" w:name="_Toc184308039"/>
      <w:bookmarkEnd w:id="227"/>
      <w:bookmarkStart w:id="228" w:name="_Toc184312105"/>
      <w:bookmarkEnd w:id="228"/>
      <w:bookmarkStart w:id="229" w:name="_Toc184314466"/>
      <w:bookmarkEnd w:id="229"/>
      <w:bookmarkStart w:id="230" w:name="_Toc184312133"/>
      <w:bookmarkEnd w:id="230"/>
      <w:bookmarkStart w:id="231" w:name="_Toc184308084"/>
      <w:bookmarkEnd w:id="231"/>
      <w:bookmarkStart w:id="232" w:name="_Toc184313253"/>
      <w:bookmarkEnd w:id="232"/>
      <w:bookmarkStart w:id="233" w:name="_Toc184310307"/>
      <w:bookmarkEnd w:id="233"/>
      <w:bookmarkStart w:id="234" w:name="_Toc184313293"/>
      <w:bookmarkEnd w:id="234"/>
      <w:bookmarkStart w:id="235" w:name="_Toc184308036"/>
      <w:bookmarkEnd w:id="235"/>
      <w:bookmarkStart w:id="236" w:name="_Toc184310311"/>
      <w:bookmarkEnd w:id="236"/>
      <w:bookmarkStart w:id="237" w:name="_Toc184312089"/>
      <w:bookmarkEnd w:id="237"/>
      <w:bookmarkStart w:id="238" w:name="_Toc184314449"/>
      <w:bookmarkEnd w:id="238"/>
      <w:bookmarkStart w:id="239" w:name="_Toc184314463"/>
      <w:bookmarkEnd w:id="239"/>
      <w:bookmarkStart w:id="240" w:name="_Toc184312098"/>
      <w:bookmarkEnd w:id="240"/>
      <w:bookmarkStart w:id="241" w:name="_Toc184308105"/>
      <w:bookmarkEnd w:id="241"/>
      <w:bookmarkStart w:id="242" w:name="_Toc184313242"/>
      <w:bookmarkEnd w:id="242"/>
      <w:bookmarkStart w:id="243" w:name="_Toc184312129"/>
      <w:bookmarkEnd w:id="243"/>
      <w:bookmarkStart w:id="244" w:name="_Toc184312083"/>
      <w:bookmarkEnd w:id="244"/>
      <w:bookmarkStart w:id="245" w:name="_Toc184314460"/>
      <w:bookmarkEnd w:id="245"/>
      <w:bookmarkStart w:id="246" w:name="_Toc184312096"/>
      <w:bookmarkEnd w:id="246"/>
      <w:bookmarkStart w:id="247" w:name="_Toc184314435"/>
      <w:bookmarkEnd w:id="247"/>
      <w:bookmarkStart w:id="248" w:name="_Toc184308077"/>
      <w:bookmarkEnd w:id="248"/>
      <w:bookmarkStart w:id="249" w:name="_Toc184314432"/>
      <w:bookmarkEnd w:id="249"/>
      <w:bookmarkStart w:id="250" w:name="_Toc184313285"/>
      <w:bookmarkEnd w:id="250"/>
      <w:bookmarkStart w:id="251" w:name="_Toc184308080"/>
      <w:bookmarkEnd w:id="251"/>
      <w:bookmarkStart w:id="252" w:name="_Toc184314415"/>
      <w:bookmarkEnd w:id="252"/>
      <w:bookmarkStart w:id="253" w:name="_Toc184312085"/>
      <w:bookmarkEnd w:id="253"/>
      <w:bookmarkStart w:id="254" w:name="_Toc184313255"/>
      <w:bookmarkEnd w:id="254"/>
      <w:bookmarkStart w:id="255" w:name="_Toc184313284"/>
      <w:bookmarkEnd w:id="255"/>
      <w:bookmarkStart w:id="256" w:name="_Toc184308044"/>
      <w:bookmarkEnd w:id="256"/>
      <w:bookmarkStart w:id="257" w:name="_Toc184308058"/>
      <w:bookmarkEnd w:id="257"/>
      <w:bookmarkStart w:id="258" w:name="_Toc184308040"/>
      <w:bookmarkEnd w:id="258"/>
      <w:bookmarkStart w:id="259" w:name="_Toc184314457"/>
      <w:bookmarkEnd w:id="259"/>
      <w:bookmarkStart w:id="260" w:name="_Toc184310290"/>
      <w:bookmarkEnd w:id="260"/>
      <w:bookmarkStart w:id="261" w:name="_Toc184312067"/>
      <w:bookmarkEnd w:id="261"/>
      <w:bookmarkStart w:id="262" w:name="_Toc184313238"/>
      <w:bookmarkEnd w:id="262"/>
      <w:bookmarkStart w:id="263" w:name="_Toc184313266"/>
      <w:bookmarkEnd w:id="263"/>
      <w:bookmarkStart w:id="264" w:name="_Toc184310286"/>
      <w:bookmarkEnd w:id="264"/>
      <w:bookmarkStart w:id="265" w:name="_Toc184312125"/>
      <w:bookmarkEnd w:id="265"/>
      <w:bookmarkStart w:id="266" w:name="_Toc184310305"/>
      <w:bookmarkEnd w:id="266"/>
      <w:bookmarkStart w:id="267" w:name="_Toc184308050"/>
      <w:bookmarkEnd w:id="267"/>
      <w:bookmarkStart w:id="268" w:name="_Toc184308064"/>
      <w:bookmarkEnd w:id="268"/>
      <w:bookmarkStart w:id="269" w:name="_Toc184313267"/>
      <w:bookmarkEnd w:id="269"/>
      <w:bookmarkStart w:id="270" w:name="_Toc184312138"/>
      <w:bookmarkEnd w:id="270"/>
      <w:bookmarkStart w:id="271" w:name="_Toc184312118"/>
      <w:bookmarkEnd w:id="271"/>
      <w:bookmarkStart w:id="272" w:name="_Toc184308037"/>
      <w:bookmarkEnd w:id="272"/>
      <w:bookmarkStart w:id="273" w:name="_Toc184312095"/>
      <w:bookmarkEnd w:id="273"/>
      <w:bookmarkStart w:id="274" w:name="_Toc184314464"/>
      <w:bookmarkEnd w:id="274"/>
      <w:bookmarkStart w:id="275" w:name="_Toc184312097"/>
      <w:bookmarkEnd w:id="275"/>
      <w:bookmarkStart w:id="276" w:name="_Toc184314444"/>
      <w:bookmarkEnd w:id="276"/>
      <w:bookmarkStart w:id="277" w:name="_Toc184314470"/>
      <w:bookmarkEnd w:id="277"/>
      <w:bookmarkStart w:id="278" w:name="_Toc184308046"/>
      <w:bookmarkEnd w:id="278"/>
      <w:bookmarkStart w:id="279" w:name="_Toc184310340"/>
      <w:bookmarkEnd w:id="279"/>
      <w:bookmarkStart w:id="280" w:name="_Toc184312091"/>
      <w:bookmarkEnd w:id="280"/>
      <w:bookmarkStart w:id="281" w:name="_Toc184312087"/>
      <w:bookmarkEnd w:id="281"/>
      <w:bookmarkStart w:id="282" w:name="_Toc184312104"/>
      <w:bookmarkEnd w:id="282"/>
      <w:bookmarkStart w:id="283" w:name="_Toc184312137"/>
      <w:bookmarkEnd w:id="283"/>
      <w:bookmarkStart w:id="284" w:name="_Toc184313265"/>
      <w:bookmarkEnd w:id="284"/>
      <w:bookmarkStart w:id="285" w:name="_Toc184308103"/>
      <w:bookmarkEnd w:id="285"/>
      <w:bookmarkStart w:id="286" w:name="_Toc184314413"/>
      <w:bookmarkEnd w:id="286"/>
      <w:bookmarkStart w:id="287" w:name="_Toc184310342"/>
      <w:bookmarkEnd w:id="287"/>
      <w:bookmarkStart w:id="288" w:name="_Toc184310274"/>
      <w:bookmarkEnd w:id="288"/>
      <w:bookmarkStart w:id="289" w:name="_Toc184310293"/>
      <w:bookmarkEnd w:id="289"/>
      <w:bookmarkStart w:id="290" w:name="_Toc184312107"/>
      <w:bookmarkEnd w:id="290"/>
      <w:bookmarkStart w:id="291" w:name="_Toc184310297"/>
      <w:bookmarkEnd w:id="291"/>
      <w:bookmarkStart w:id="292" w:name="_Toc184308068"/>
      <w:bookmarkEnd w:id="292"/>
      <w:bookmarkStart w:id="293" w:name="_Toc184314443"/>
      <w:bookmarkEnd w:id="293"/>
      <w:bookmarkStart w:id="294" w:name="_Toc184314420"/>
      <w:bookmarkEnd w:id="294"/>
      <w:bookmarkStart w:id="295" w:name="_Toc184313244"/>
      <w:bookmarkEnd w:id="295"/>
      <w:bookmarkStart w:id="296" w:name="_Toc184314418"/>
      <w:bookmarkEnd w:id="296"/>
      <w:bookmarkStart w:id="297" w:name="_Toc184314471"/>
      <w:bookmarkEnd w:id="297"/>
      <w:bookmarkStart w:id="298" w:name="_Toc184313256"/>
      <w:bookmarkEnd w:id="298"/>
      <w:bookmarkStart w:id="299" w:name="_Toc184310314"/>
      <w:bookmarkEnd w:id="299"/>
      <w:bookmarkStart w:id="300" w:name="_Toc184313295"/>
      <w:bookmarkEnd w:id="300"/>
      <w:bookmarkStart w:id="301" w:name="_Toc184308100"/>
      <w:bookmarkEnd w:id="301"/>
      <w:bookmarkStart w:id="302" w:name="_Toc184313283"/>
      <w:bookmarkEnd w:id="302"/>
      <w:bookmarkStart w:id="303" w:name="_Toc184313240"/>
      <w:bookmarkEnd w:id="303"/>
      <w:bookmarkStart w:id="304" w:name="_Toc184314429"/>
      <w:bookmarkEnd w:id="304"/>
      <w:bookmarkStart w:id="305" w:name="_Toc184314431"/>
      <w:bookmarkEnd w:id="305"/>
      <w:bookmarkStart w:id="306" w:name="_Toc184310292"/>
      <w:bookmarkEnd w:id="306"/>
      <w:bookmarkStart w:id="307" w:name="_Toc184312120"/>
      <w:bookmarkEnd w:id="307"/>
      <w:bookmarkStart w:id="308" w:name="_Toc184313245"/>
      <w:bookmarkEnd w:id="308"/>
      <w:bookmarkStart w:id="309" w:name="_Toc184312136"/>
      <w:bookmarkEnd w:id="309"/>
      <w:bookmarkStart w:id="310" w:name="_Toc184312119"/>
      <w:bookmarkEnd w:id="310"/>
      <w:bookmarkStart w:id="311" w:name="_Toc184312110"/>
      <w:bookmarkEnd w:id="311"/>
      <w:bookmarkStart w:id="312" w:name="_Toc184312131"/>
      <w:bookmarkEnd w:id="312"/>
      <w:bookmarkStart w:id="313" w:name="_Toc184313257"/>
      <w:bookmarkEnd w:id="313"/>
      <w:bookmarkStart w:id="314" w:name="_Toc184308045"/>
      <w:bookmarkEnd w:id="314"/>
      <w:bookmarkStart w:id="315" w:name="_Toc184310282"/>
      <w:bookmarkEnd w:id="315"/>
      <w:bookmarkStart w:id="316" w:name="_Toc184314474"/>
      <w:bookmarkEnd w:id="316"/>
      <w:bookmarkStart w:id="317" w:name="_Toc184308091"/>
      <w:bookmarkEnd w:id="317"/>
      <w:bookmarkStart w:id="318" w:name="_Toc184313306"/>
      <w:bookmarkEnd w:id="318"/>
      <w:bookmarkStart w:id="319" w:name="_Toc184314438"/>
      <w:bookmarkEnd w:id="319"/>
      <w:bookmarkStart w:id="320" w:name="_Toc184313268"/>
      <w:bookmarkEnd w:id="320"/>
      <w:bookmarkStart w:id="321" w:name="_Toc184312127"/>
      <w:bookmarkEnd w:id="321"/>
      <w:bookmarkStart w:id="322" w:name="_Toc184310325"/>
      <w:bookmarkEnd w:id="322"/>
      <w:bookmarkStart w:id="323" w:name="_Toc184308106"/>
      <w:bookmarkEnd w:id="323"/>
      <w:bookmarkStart w:id="324" w:name="_Toc184312100"/>
      <w:bookmarkEnd w:id="324"/>
      <w:bookmarkStart w:id="325" w:name="_Toc184313294"/>
      <w:bookmarkEnd w:id="325"/>
      <w:bookmarkStart w:id="326" w:name="_Toc184313251"/>
      <w:bookmarkEnd w:id="326"/>
      <w:bookmarkStart w:id="327" w:name="_Toc184310321"/>
      <w:bookmarkEnd w:id="327"/>
      <w:bookmarkStart w:id="328" w:name="_Toc184310272"/>
      <w:bookmarkEnd w:id="328"/>
      <w:bookmarkStart w:id="329" w:name="_Toc184310279"/>
      <w:bookmarkEnd w:id="329"/>
      <w:bookmarkStart w:id="330" w:name="_Toc184308053"/>
      <w:bookmarkEnd w:id="330"/>
      <w:bookmarkStart w:id="331" w:name="_Toc184313261"/>
      <w:bookmarkEnd w:id="331"/>
      <w:bookmarkStart w:id="332" w:name="_Toc184310288"/>
      <w:bookmarkEnd w:id="332"/>
      <w:bookmarkStart w:id="333" w:name="_Toc184314428"/>
      <w:bookmarkEnd w:id="333"/>
      <w:bookmarkStart w:id="334" w:name="_Toc184310318"/>
      <w:bookmarkEnd w:id="334"/>
      <w:bookmarkStart w:id="335" w:name="_Toc184310344"/>
      <w:bookmarkEnd w:id="335"/>
      <w:bookmarkStart w:id="336" w:name="_Toc184312077"/>
      <w:bookmarkEnd w:id="336"/>
      <w:bookmarkStart w:id="337" w:name="_Toc184312081"/>
      <w:bookmarkEnd w:id="337"/>
      <w:bookmarkStart w:id="338" w:name="_Toc184310302"/>
      <w:bookmarkEnd w:id="338"/>
      <w:bookmarkStart w:id="339" w:name="_Toc184312069"/>
      <w:bookmarkEnd w:id="339"/>
      <w:bookmarkStart w:id="340" w:name="_Toc184312128"/>
      <w:bookmarkEnd w:id="340"/>
      <w:bookmarkStart w:id="341" w:name="_Toc184314456"/>
      <w:bookmarkEnd w:id="341"/>
      <w:bookmarkStart w:id="342" w:name="_Toc184308076"/>
      <w:bookmarkEnd w:id="342"/>
      <w:bookmarkStart w:id="343" w:name="_Toc184308056"/>
      <w:bookmarkEnd w:id="343"/>
      <w:bookmarkStart w:id="344" w:name="_Toc184314461"/>
      <w:bookmarkEnd w:id="344"/>
      <w:bookmarkStart w:id="345" w:name="_Toc184310339"/>
      <w:bookmarkEnd w:id="345"/>
      <w:bookmarkStart w:id="346" w:name="_Toc184312093"/>
      <w:bookmarkEnd w:id="346"/>
      <w:bookmarkStart w:id="347" w:name="_Toc184312078"/>
      <w:bookmarkEnd w:id="347"/>
      <w:bookmarkStart w:id="348" w:name="_Toc184313296"/>
      <w:bookmarkEnd w:id="348"/>
      <w:bookmarkStart w:id="349" w:name="_Toc184310276"/>
      <w:bookmarkEnd w:id="349"/>
      <w:bookmarkStart w:id="350" w:name="_Toc184314437"/>
      <w:bookmarkEnd w:id="350"/>
      <w:bookmarkStart w:id="351" w:name="_Toc184310315"/>
      <w:bookmarkEnd w:id="351"/>
      <w:bookmarkStart w:id="352" w:name="_Toc184314479"/>
      <w:bookmarkEnd w:id="352"/>
      <w:bookmarkStart w:id="353" w:name="_Toc184312090"/>
      <w:bookmarkEnd w:id="353"/>
      <w:bookmarkStart w:id="354" w:name="_Toc184310281"/>
      <w:bookmarkEnd w:id="354"/>
      <w:bookmarkStart w:id="355" w:name="_Toc184308107"/>
      <w:bookmarkEnd w:id="355"/>
      <w:bookmarkStart w:id="356" w:name="_Toc184313309"/>
      <w:bookmarkEnd w:id="356"/>
      <w:bookmarkStart w:id="357" w:name="_Toc184314477"/>
      <w:bookmarkEnd w:id="357"/>
      <w:bookmarkStart w:id="358" w:name="_Toc184313278"/>
      <w:bookmarkEnd w:id="358"/>
      <w:bookmarkStart w:id="359" w:name="_Toc184312072"/>
      <w:bookmarkEnd w:id="359"/>
      <w:bookmarkStart w:id="360" w:name="_Toc184313254"/>
      <w:bookmarkEnd w:id="360"/>
      <w:bookmarkStart w:id="361" w:name="_Toc184308074"/>
      <w:bookmarkEnd w:id="361"/>
      <w:bookmarkStart w:id="362" w:name="_Toc184312114"/>
      <w:bookmarkEnd w:id="362"/>
      <w:bookmarkStart w:id="363" w:name="_Toc184314451"/>
      <w:bookmarkEnd w:id="363"/>
      <w:bookmarkStart w:id="364" w:name="_Toc184312122"/>
      <w:bookmarkEnd w:id="364"/>
      <w:bookmarkStart w:id="365" w:name="_Toc184312070"/>
      <w:bookmarkEnd w:id="365"/>
      <w:bookmarkStart w:id="366" w:name="_Toc184313299"/>
      <w:bookmarkEnd w:id="366"/>
      <w:bookmarkStart w:id="367" w:name="_Toc184310330"/>
      <w:bookmarkEnd w:id="367"/>
      <w:bookmarkStart w:id="368" w:name="_Toc184314453"/>
      <w:bookmarkEnd w:id="368"/>
      <w:bookmarkStart w:id="369" w:name="_Toc184312079"/>
      <w:bookmarkEnd w:id="369"/>
      <w:bookmarkStart w:id="370" w:name="_Toc184308108"/>
      <w:bookmarkEnd w:id="370"/>
      <w:bookmarkStart w:id="371" w:name="_Toc184314414"/>
      <w:bookmarkEnd w:id="371"/>
      <w:bookmarkStart w:id="372" w:name="_Toc184314426"/>
      <w:bookmarkEnd w:id="372"/>
      <w:bookmarkStart w:id="373" w:name="_Toc184308043"/>
      <w:bookmarkEnd w:id="373"/>
      <w:bookmarkStart w:id="374" w:name="_Toc184310319"/>
      <w:bookmarkEnd w:id="374"/>
      <w:bookmarkStart w:id="375" w:name="_Toc184308066"/>
      <w:bookmarkEnd w:id="375"/>
      <w:bookmarkStart w:id="376" w:name="_Toc184310275"/>
      <w:bookmarkEnd w:id="376"/>
      <w:bookmarkStart w:id="377" w:name="_Toc184314417"/>
      <w:bookmarkEnd w:id="377"/>
      <w:bookmarkStart w:id="378" w:name="_Toc184313282"/>
      <w:bookmarkEnd w:id="378"/>
      <w:bookmarkStart w:id="379" w:name="_Toc184314465"/>
      <w:bookmarkEnd w:id="379"/>
      <w:bookmarkStart w:id="380" w:name="_Toc184308082"/>
      <w:bookmarkEnd w:id="380"/>
      <w:bookmarkStart w:id="381" w:name="_Toc184314481"/>
      <w:bookmarkEnd w:id="381"/>
      <w:bookmarkStart w:id="382" w:name="_Toc184312108"/>
      <w:bookmarkEnd w:id="382"/>
      <w:bookmarkStart w:id="383" w:name="_Toc184314455"/>
      <w:bookmarkEnd w:id="383"/>
      <w:bookmarkStart w:id="384" w:name="_Toc184313304"/>
      <w:bookmarkEnd w:id="384"/>
      <w:bookmarkStart w:id="385" w:name="_Toc184312094"/>
      <w:bookmarkEnd w:id="385"/>
      <w:bookmarkStart w:id="386" w:name="_Toc184310316"/>
      <w:bookmarkEnd w:id="386"/>
      <w:bookmarkStart w:id="387" w:name="_Toc184314423"/>
      <w:bookmarkEnd w:id="387"/>
      <w:bookmarkStart w:id="388" w:name="_Toc184313289"/>
      <w:bookmarkEnd w:id="388"/>
      <w:bookmarkStart w:id="389" w:name="_Toc184310280"/>
      <w:bookmarkEnd w:id="389"/>
      <w:bookmarkStart w:id="390" w:name="_Toc184310298"/>
      <w:bookmarkEnd w:id="390"/>
      <w:bookmarkStart w:id="391" w:name="_Toc184308098"/>
      <w:bookmarkEnd w:id="391"/>
      <w:bookmarkStart w:id="392" w:name="_Toc184312123"/>
      <w:bookmarkEnd w:id="392"/>
      <w:bookmarkStart w:id="393" w:name="_Toc184308075"/>
      <w:bookmarkEnd w:id="393"/>
      <w:bookmarkStart w:id="394" w:name="_Toc184312116"/>
      <w:bookmarkEnd w:id="394"/>
      <w:bookmarkStart w:id="395" w:name="_Toc184310343"/>
      <w:bookmarkEnd w:id="395"/>
      <w:bookmarkStart w:id="396" w:name="_Toc184313291"/>
      <w:bookmarkEnd w:id="396"/>
      <w:r>
        <w:rPr>
          <w:rFonts w:hint="eastAsia" w:ascii="宋体" w:hAnsi="宋体" w:cs="宋体"/>
          <w:b/>
          <w:sz w:val="36"/>
          <w:szCs w:val="20"/>
          <w:highlight w:val="none"/>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4"/>
        <w:tblW w:w="1011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5292"/>
        <w:gridCol w:w="765"/>
        <w:gridCol w:w="112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5" w:type="dxa"/>
            <w:vAlign w:val="center"/>
          </w:tcPr>
          <w:p>
            <w:pPr>
              <w:pStyle w:val="129"/>
              <w:spacing w:before="0"/>
              <w:ind w:firstLine="0" w:firstLineChars="0"/>
              <w:jc w:val="center"/>
              <w:rPr>
                <w:rFonts w:ascii="宋体" w:hAnsi="宋体" w:cs="宋体"/>
                <w:szCs w:val="24"/>
              </w:rPr>
            </w:pPr>
            <w:r>
              <w:rPr>
                <w:rFonts w:hint="eastAsia" w:ascii="宋体" w:hAnsi="宋体" w:cs="宋体"/>
                <w:szCs w:val="24"/>
              </w:rPr>
              <w:t>序号</w:t>
            </w:r>
          </w:p>
        </w:tc>
        <w:tc>
          <w:tcPr>
            <w:tcW w:w="5292" w:type="dxa"/>
            <w:vAlign w:val="center"/>
          </w:tcPr>
          <w:p>
            <w:pPr>
              <w:pStyle w:val="129"/>
              <w:spacing w:before="0"/>
              <w:ind w:firstLine="0" w:firstLineChars="0"/>
              <w:jc w:val="center"/>
              <w:rPr>
                <w:rFonts w:ascii="宋体" w:hAnsi="宋体" w:cs="宋体"/>
                <w:szCs w:val="24"/>
              </w:rPr>
            </w:pPr>
            <w:r>
              <w:rPr>
                <w:rFonts w:hint="eastAsia" w:ascii="宋体" w:hAnsi="宋体" w:cs="宋体"/>
                <w:szCs w:val="24"/>
              </w:rPr>
              <w:t>评审标准</w:t>
            </w:r>
          </w:p>
        </w:tc>
        <w:tc>
          <w:tcPr>
            <w:tcW w:w="765" w:type="dxa"/>
            <w:vAlign w:val="center"/>
          </w:tcPr>
          <w:p>
            <w:pPr>
              <w:pStyle w:val="129"/>
              <w:spacing w:before="0"/>
              <w:ind w:firstLine="0" w:firstLineChars="0"/>
              <w:jc w:val="center"/>
              <w:rPr>
                <w:rFonts w:ascii="宋体" w:hAnsi="宋体" w:cs="宋体"/>
                <w:szCs w:val="24"/>
              </w:rPr>
            </w:pPr>
            <w:r>
              <w:rPr>
                <w:rFonts w:hint="eastAsia" w:ascii="宋体" w:hAnsi="宋体" w:cs="宋体"/>
                <w:szCs w:val="24"/>
              </w:rPr>
              <w:t>权重</w:t>
            </w:r>
          </w:p>
        </w:tc>
        <w:tc>
          <w:tcPr>
            <w:tcW w:w="1125" w:type="dxa"/>
            <w:vAlign w:val="center"/>
          </w:tcPr>
          <w:p>
            <w:pPr>
              <w:pStyle w:val="129"/>
              <w:spacing w:before="0"/>
              <w:ind w:firstLine="0" w:firstLineChars="0"/>
              <w:jc w:val="center"/>
              <w:rPr>
                <w:rFonts w:ascii="宋体" w:hAnsi="宋体" w:cs="宋体"/>
                <w:szCs w:val="24"/>
              </w:rPr>
            </w:pPr>
            <w:r>
              <w:rPr>
                <w:rFonts w:hint="eastAsia" w:ascii="宋体" w:hAnsi="宋体" w:cs="宋体"/>
                <w:szCs w:val="24"/>
              </w:rPr>
              <w:t>客观分/主观分</w:t>
            </w:r>
          </w:p>
        </w:tc>
        <w:tc>
          <w:tcPr>
            <w:tcW w:w="2196" w:type="dxa"/>
            <w:vAlign w:val="center"/>
          </w:tcPr>
          <w:p>
            <w:pPr>
              <w:pStyle w:val="129"/>
              <w:spacing w:before="0"/>
              <w:ind w:firstLine="0" w:firstLineChars="0"/>
              <w:jc w:val="center"/>
              <w:rPr>
                <w:rFonts w:ascii="宋体" w:hAnsi="宋体" w:cs="宋体"/>
                <w:szCs w:val="24"/>
              </w:rPr>
            </w:pPr>
            <w:r>
              <w:rPr>
                <w:rFonts w:hint="eastAsia" w:ascii="宋体" w:hAnsi="宋体" w:cs="宋体"/>
                <w:bCs/>
                <w:szCs w:val="24"/>
              </w:rPr>
              <w:t>磋商文件中评审标准相应的商务技术资料目录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Cs w:val="24"/>
                <w:highlight w:val="none"/>
              </w:rPr>
              <w:t>1</w:t>
            </w:r>
          </w:p>
        </w:tc>
        <w:tc>
          <w:tcPr>
            <w:tcW w:w="5292" w:type="dxa"/>
            <w:vAlign w:val="center"/>
          </w:tcPr>
          <w:p>
            <w:pPr>
              <w:spacing w:line="288"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sz w:val="24"/>
              </w:rPr>
              <w:t>2020年1月1日至今</w:t>
            </w:r>
            <w:r>
              <w:rPr>
                <w:rFonts w:hint="eastAsia" w:ascii="宋体" w:hAnsi="宋体" w:cs="宋体"/>
                <w:color w:val="000000"/>
                <w:sz w:val="24"/>
                <w:lang w:eastAsia="zh-CN"/>
              </w:rPr>
              <w:t>（</w:t>
            </w:r>
            <w:r>
              <w:rPr>
                <w:rFonts w:hint="eastAsia" w:ascii="宋体" w:hAnsi="宋体" w:cs="宋体"/>
                <w:color w:val="000000"/>
                <w:sz w:val="24"/>
                <w:lang w:val="en-US" w:eastAsia="zh-CN"/>
              </w:rPr>
              <w:t>以合同签订日期或中标通知书日期为准</w:t>
            </w:r>
            <w:r>
              <w:rPr>
                <w:rFonts w:hint="eastAsia" w:ascii="宋体" w:hAnsi="宋体" w:cs="宋体"/>
                <w:color w:val="000000"/>
                <w:sz w:val="24"/>
                <w:lang w:eastAsia="zh-CN"/>
              </w:rPr>
              <w:t>）</w:t>
            </w:r>
            <w:r>
              <w:rPr>
                <w:rFonts w:hint="eastAsia" w:ascii="宋体" w:hAnsi="宋体" w:cs="宋体"/>
                <w:color w:val="000000"/>
                <w:sz w:val="24"/>
              </w:rPr>
              <w:t>独立承担过同类型类似工程业绩的，每1个得1分，最多得3分。（</w:t>
            </w:r>
            <w:r>
              <w:rPr>
                <w:rFonts w:hint="eastAsia" w:ascii="宋体" w:hAnsi="宋体" w:cs="宋体"/>
                <w:color w:val="000000"/>
                <w:sz w:val="24"/>
                <w:lang w:val="en-US" w:eastAsia="zh-CN"/>
              </w:rPr>
              <w:t>须同时提供合同（或中标通知书）和竣工验收收证明（如竣工验收报告或竣工验收记录或竣工验收备案表）扫描件加盖公章，未提供的不得分</w:t>
            </w:r>
            <w:r>
              <w:rPr>
                <w:rFonts w:hint="eastAsia" w:ascii="宋体" w:hAnsi="宋体" w:cs="宋体"/>
                <w:color w:val="000000"/>
                <w:sz w:val="24"/>
              </w:rPr>
              <w:t>）。</w:t>
            </w:r>
          </w:p>
        </w:tc>
        <w:tc>
          <w:tcPr>
            <w:tcW w:w="765" w:type="dxa"/>
            <w:vAlign w:val="center"/>
          </w:tcPr>
          <w:p>
            <w:pPr>
              <w:pStyle w:val="129"/>
              <w:spacing w:before="0"/>
              <w:ind w:firstLine="0" w:firstLineChars="0"/>
              <w:jc w:val="center"/>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p>
        </w:tc>
        <w:tc>
          <w:tcPr>
            <w:tcW w:w="1125" w:type="dxa"/>
            <w:vAlign w:val="center"/>
          </w:tcPr>
          <w:p>
            <w:pPr>
              <w:pStyle w:val="129"/>
              <w:spacing w:before="0"/>
              <w:ind w:firstLine="0" w:firstLineChars="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2196" w:type="dxa"/>
            <w:vAlign w:val="center"/>
          </w:tcPr>
          <w:p>
            <w:pPr>
              <w:pStyle w:val="129"/>
              <w:spacing w:before="0"/>
              <w:ind w:firstLine="0" w:firstLineChars="0"/>
              <w:jc w:val="center"/>
              <w:rPr>
                <w:rFonts w:hint="default" w:ascii="宋体" w:hAnsi="宋体" w:eastAsia="宋体" w:cs="宋体"/>
                <w:szCs w:val="24"/>
                <w:lang w:val="en-US" w:eastAsia="zh-CN"/>
              </w:rPr>
            </w:pPr>
            <w:r>
              <w:rPr>
                <w:rFonts w:hint="eastAsia" w:ascii="宋体" w:hAnsi="宋体" w:cs="宋体"/>
                <w:szCs w:val="24"/>
                <w:lang w:val="en-US"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35" w:type="dxa"/>
            <w:vAlign w:val="center"/>
          </w:tcPr>
          <w:p>
            <w:pPr>
              <w:pStyle w:val="129"/>
              <w:spacing w:before="0"/>
              <w:ind w:firstLine="0" w:firstLineChars="0"/>
              <w:jc w:val="center"/>
              <w:rPr>
                <w:rFonts w:hint="eastAsia" w:ascii="宋体" w:hAnsi="宋体" w:cs="宋体"/>
                <w:szCs w:val="24"/>
                <w:highlight w:val="none"/>
              </w:rPr>
            </w:pPr>
            <w:r>
              <w:rPr>
                <w:rFonts w:hint="eastAsia" w:ascii="宋体" w:hAnsi="宋体" w:cs="宋体"/>
                <w:szCs w:val="24"/>
                <w:highlight w:val="none"/>
              </w:rPr>
              <w:t>2</w:t>
            </w:r>
          </w:p>
          <w:p>
            <w:pPr>
              <w:pStyle w:val="129"/>
              <w:spacing w:before="0"/>
              <w:ind w:firstLine="0" w:firstLineChars="0"/>
              <w:jc w:val="center"/>
              <w:rPr>
                <w:rFonts w:hint="eastAsia" w:ascii="宋体" w:hAnsi="宋体" w:eastAsia="宋体" w:cs="宋体"/>
                <w:kern w:val="2"/>
                <w:sz w:val="24"/>
                <w:szCs w:val="24"/>
                <w:lang w:val="en-US" w:eastAsia="zh-CN" w:bidi="ar-SA"/>
              </w:rPr>
            </w:pPr>
          </w:p>
        </w:tc>
        <w:tc>
          <w:tcPr>
            <w:tcW w:w="5292" w:type="dxa"/>
            <w:vAlign w:val="center"/>
          </w:tcPr>
          <w:p>
            <w:pPr>
              <w:spacing w:line="288" w:lineRule="auto"/>
              <w:rPr>
                <w:rFonts w:hint="eastAsia" w:ascii="宋体" w:hAnsi="宋体" w:cs="宋体"/>
                <w:color w:val="000000"/>
                <w:sz w:val="24"/>
              </w:rPr>
            </w:pPr>
            <w:r>
              <w:rPr>
                <w:rFonts w:hint="eastAsia" w:ascii="宋体" w:hAnsi="宋体" w:cs="宋体"/>
                <w:color w:val="000000"/>
                <w:sz w:val="24"/>
              </w:rPr>
              <w:t>磋商响应方</w:t>
            </w:r>
            <w:r>
              <w:rPr>
                <w:rFonts w:hint="eastAsia" w:ascii="宋体" w:hAnsi="宋体" w:cs="宋体"/>
                <w:color w:val="000000"/>
                <w:sz w:val="24"/>
                <w:lang w:val="en-US" w:eastAsia="zh-CN"/>
              </w:rPr>
              <w:t>具有“诚信经营示范单位AAA”、“企业资信登记证书AAA”、“质量服务诚信单位AAA”、“重合同守信用单位AAA”的，每提供一个证书得0.5分，本项最高2分；</w:t>
            </w:r>
            <w:r>
              <w:rPr>
                <w:rFonts w:hint="eastAsia" w:ascii="宋体" w:hAnsi="宋体" w:cs="宋体"/>
                <w:color w:val="000000"/>
                <w:sz w:val="24"/>
              </w:rPr>
              <w:t>提供有效期内的证书扫描件并加盖公章，未提供不得分。</w:t>
            </w:r>
          </w:p>
        </w:tc>
        <w:tc>
          <w:tcPr>
            <w:tcW w:w="765" w:type="dxa"/>
            <w:vAlign w:val="center"/>
          </w:tcPr>
          <w:p>
            <w:pPr>
              <w:pStyle w:val="129"/>
              <w:spacing w:before="0"/>
              <w:ind w:firstLine="0" w:firstLineChars="0"/>
              <w:jc w:val="center"/>
              <w:rPr>
                <w:rFonts w:hint="default"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2</w:t>
            </w:r>
          </w:p>
        </w:tc>
        <w:tc>
          <w:tcPr>
            <w:tcW w:w="1125" w:type="dxa"/>
            <w:vAlign w:val="center"/>
          </w:tcPr>
          <w:p>
            <w:pPr>
              <w:pStyle w:val="129"/>
              <w:spacing w:before="0"/>
              <w:ind w:firstLine="0" w:firstLineChars="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2196" w:type="dxa"/>
            <w:vAlign w:val="center"/>
          </w:tcPr>
          <w:p>
            <w:pPr>
              <w:pStyle w:val="129"/>
              <w:spacing w:before="0"/>
              <w:ind w:firstLine="0" w:firstLineChars="0"/>
              <w:jc w:val="center"/>
              <w:rPr>
                <w:rFonts w:hint="default" w:ascii="宋体" w:hAnsi="宋体" w:cs="宋体"/>
                <w:szCs w:val="24"/>
                <w:lang w:val="en-US" w:eastAsia="zh-CN"/>
              </w:rPr>
            </w:pPr>
            <w:r>
              <w:rPr>
                <w:rFonts w:hint="eastAsia" w:ascii="宋体" w:hAnsi="宋体" w:cs="宋体"/>
                <w:szCs w:val="24"/>
                <w:lang w:val="en-US" w:eastAsia="zh-CN"/>
              </w:rPr>
              <w:t>资信分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Cs w:val="24"/>
              </w:rPr>
              <w:t>3</w:t>
            </w:r>
          </w:p>
        </w:tc>
        <w:tc>
          <w:tcPr>
            <w:tcW w:w="5292" w:type="dxa"/>
            <w:vAlign w:val="center"/>
          </w:tcPr>
          <w:p>
            <w:pPr>
              <w:spacing w:line="288"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1、人员配备力量，项目负责人（建造师）、安全员、施工员、质量员、材料员、资料员，人员配备完整的得5分，否则不得分。</w:t>
            </w:r>
          </w:p>
          <w:p>
            <w:pPr>
              <w:spacing w:line="288"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2、项目管理班子（不包括项目负责人、技术负责人）中具有中级工程师及以上职称的得2分。</w:t>
            </w:r>
          </w:p>
          <w:p>
            <w:pPr>
              <w:spacing w:line="288" w:lineRule="auto"/>
              <w:rPr>
                <w:rFonts w:hint="default"/>
                <w:lang w:val="en-US"/>
              </w:rPr>
            </w:pPr>
            <w:r>
              <w:rPr>
                <w:rFonts w:hint="eastAsia" w:ascii="宋体" w:hAnsi="宋体" w:eastAsia="宋体" w:cs="宋体"/>
                <w:color w:val="000000"/>
                <w:sz w:val="24"/>
                <w:lang w:val="en-US" w:eastAsia="zh-CN"/>
              </w:rPr>
              <w:t>注：须提供以上人员相关证书扫描件并加盖公章，同时提供在本单位缴纳近3个月社保证明</w:t>
            </w:r>
          </w:p>
        </w:tc>
        <w:tc>
          <w:tcPr>
            <w:tcW w:w="765" w:type="dxa"/>
            <w:vAlign w:val="center"/>
          </w:tcPr>
          <w:p>
            <w:pPr>
              <w:pStyle w:val="129"/>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7</w:t>
            </w:r>
          </w:p>
        </w:tc>
        <w:tc>
          <w:tcPr>
            <w:tcW w:w="1125" w:type="dxa"/>
            <w:vAlign w:val="center"/>
          </w:tcPr>
          <w:p>
            <w:pPr>
              <w:pStyle w:val="129"/>
              <w:spacing w:before="0"/>
              <w:ind w:firstLine="0" w:firstLineChars="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2196" w:type="dxa"/>
            <w:vAlign w:val="center"/>
          </w:tcPr>
          <w:p>
            <w:pPr>
              <w:pStyle w:val="129"/>
              <w:spacing w:before="0"/>
              <w:ind w:firstLine="0" w:firstLineChars="0"/>
              <w:jc w:val="center"/>
              <w:rPr>
                <w:rFonts w:hint="eastAsia" w:ascii="宋体" w:hAnsi="宋体" w:cs="宋体"/>
                <w:szCs w:val="24"/>
                <w:lang w:val="en-US" w:eastAsia="zh-CN"/>
              </w:rPr>
            </w:pPr>
            <w:r>
              <w:rPr>
                <w:rFonts w:hint="eastAsia" w:ascii="宋体" w:hAnsi="宋体" w:cs="宋体"/>
                <w:szCs w:val="24"/>
              </w:rPr>
              <w:t>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highlight w:val="none"/>
              </w:rPr>
              <w:t>4</w:t>
            </w:r>
          </w:p>
        </w:tc>
        <w:tc>
          <w:tcPr>
            <w:tcW w:w="5292" w:type="dxa"/>
            <w:vAlign w:val="center"/>
          </w:tcPr>
          <w:p>
            <w:pPr>
              <w:spacing w:line="288" w:lineRule="auto"/>
              <w:rPr>
                <w:rFonts w:ascii="宋体" w:hAnsi="宋体" w:eastAsia="宋体" w:cs="宋体"/>
                <w:color w:val="0000FF"/>
                <w:kern w:val="2"/>
                <w:sz w:val="24"/>
                <w:szCs w:val="24"/>
                <w:lang w:val="en-US" w:eastAsia="zh-CN" w:bidi="ar-SA"/>
              </w:rPr>
            </w:pPr>
            <w:r>
              <w:rPr>
                <w:rFonts w:hint="eastAsia" w:ascii="宋体" w:hAnsi="宋体" w:cs="宋体"/>
                <w:sz w:val="24"/>
              </w:rPr>
              <w:t>①对本项目的理解、②重点难点的分析、③应对措施，阐述分析完整针对性强的每项得</w:t>
            </w:r>
            <w:r>
              <w:rPr>
                <w:rFonts w:hint="eastAsia" w:ascii="宋体" w:hAnsi="宋体" w:cs="宋体"/>
                <w:sz w:val="24"/>
                <w:lang w:val="en-US" w:eastAsia="zh-CN"/>
              </w:rPr>
              <w:t>2</w:t>
            </w:r>
            <w:r>
              <w:rPr>
                <w:rFonts w:hint="eastAsia" w:ascii="宋体" w:hAnsi="宋体" w:cs="宋体"/>
                <w:sz w:val="24"/>
              </w:rPr>
              <w:t>分，分析阐述有欠缺的每项得</w:t>
            </w:r>
            <w:r>
              <w:rPr>
                <w:rFonts w:hint="eastAsia" w:ascii="宋体" w:hAnsi="宋体" w:cs="宋体"/>
                <w:sz w:val="24"/>
                <w:lang w:val="en-US" w:eastAsia="zh-CN"/>
              </w:rPr>
              <w:t>1</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6</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restart"/>
            <w:vAlign w:val="center"/>
          </w:tcPr>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p>
          <w:p>
            <w:pPr>
              <w:pStyle w:val="129"/>
              <w:spacing w:before="0"/>
              <w:ind w:firstLine="0" w:firstLineChars="0"/>
              <w:jc w:val="center"/>
              <w:rPr>
                <w:rFonts w:ascii="宋体" w:hAnsi="宋体" w:cs="宋体"/>
                <w:szCs w:val="24"/>
              </w:rPr>
            </w:pPr>
            <w:r>
              <w:rPr>
                <w:rFonts w:hint="eastAsia" w:ascii="宋体" w:hAnsi="宋体" w:cs="宋体"/>
                <w:szCs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5</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①施工方案、②施工工艺，完全吻合工程建设任务及要求的每项得3分，部分方案有欠缺的每项得2分，与项目不符或未提及项不得分。</w:t>
            </w:r>
          </w:p>
        </w:tc>
        <w:tc>
          <w:tcPr>
            <w:tcW w:w="765" w:type="dxa"/>
            <w:vAlign w:val="center"/>
          </w:tcPr>
          <w:p>
            <w:pPr>
              <w:pStyle w:val="129"/>
              <w:spacing w:before="0"/>
              <w:ind w:firstLine="0" w:firstLineChars="0"/>
              <w:jc w:val="center"/>
              <w:rPr>
                <w:rFonts w:ascii="宋体" w:hAnsi="宋体" w:eastAsia="宋体" w:cs="宋体"/>
                <w:color w:val="auto"/>
                <w:kern w:val="2"/>
                <w:sz w:val="24"/>
                <w:szCs w:val="24"/>
                <w:lang w:val="en-US" w:eastAsia="zh-CN" w:bidi="ar-SA"/>
              </w:rPr>
            </w:pPr>
            <w:r>
              <w:rPr>
                <w:rFonts w:hint="eastAsia" w:ascii="宋体" w:hAnsi="宋体" w:cs="宋体"/>
                <w:color w:val="auto"/>
                <w:szCs w:val="24"/>
              </w:rPr>
              <w:t>6</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pStyle w:val="129"/>
              <w:spacing w:before="0"/>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6</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①工程施工进度安排、②控制和管理，完全吻合工程建设任务及要求的每项得</w:t>
            </w:r>
            <w:r>
              <w:rPr>
                <w:rFonts w:hint="eastAsia" w:ascii="宋体" w:hAnsi="宋体" w:cs="宋体"/>
                <w:sz w:val="24"/>
                <w:lang w:val="en-US" w:eastAsia="zh-CN"/>
              </w:rPr>
              <w:t>3</w:t>
            </w:r>
            <w:r>
              <w:rPr>
                <w:rFonts w:hint="eastAsia" w:ascii="宋体" w:hAnsi="宋体" w:cs="宋体"/>
                <w:sz w:val="24"/>
              </w:rPr>
              <w:t>分，部分安排欠缺的每项得1.5分，与项目不符或未提及项不得分。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6</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pStyle w:val="129"/>
              <w:spacing w:before="0"/>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7</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工程施工质量管理，方案吻合工程建设任务及要求得</w:t>
            </w:r>
            <w:r>
              <w:rPr>
                <w:rFonts w:hint="eastAsia" w:ascii="宋体" w:hAnsi="宋体" w:cs="宋体"/>
                <w:sz w:val="24"/>
                <w:lang w:val="en-US" w:eastAsia="zh-CN"/>
              </w:rPr>
              <w:t>4</w:t>
            </w:r>
            <w:r>
              <w:rPr>
                <w:rFonts w:hint="eastAsia" w:ascii="宋体" w:hAnsi="宋体" w:cs="宋体"/>
                <w:sz w:val="24"/>
              </w:rPr>
              <w:t>分，方案或阐述有欠缺的得</w:t>
            </w:r>
            <w:r>
              <w:rPr>
                <w:rFonts w:hint="eastAsia" w:ascii="宋体" w:hAnsi="宋体" w:cs="宋体"/>
                <w:sz w:val="24"/>
                <w:lang w:val="en-US" w:eastAsia="zh-CN"/>
              </w:rPr>
              <w:t>2</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pStyle w:val="129"/>
              <w:spacing w:before="0"/>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8</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工程施工安全文明管理，方案吻合工程建设任务及要求得</w:t>
            </w:r>
            <w:r>
              <w:rPr>
                <w:rFonts w:hint="eastAsia" w:ascii="宋体" w:hAnsi="宋体" w:cs="宋体"/>
                <w:sz w:val="24"/>
                <w:lang w:val="en-US" w:eastAsia="zh-CN"/>
              </w:rPr>
              <w:t>4</w:t>
            </w:r>
            <w:r>
              <w:rPr>
                <w:rFonts w:hint="eastAsia" w:ascii="宋体" w:hAnsi="宋体" w:cs="宋体"/>
                <w:sz w:val="24"/>
              </w:rPr>
              <w:t>分，方案或阐述有欠缺的得</w:t>
            </w:r>
            <w:r>
              <w:rPr>
                <w:rFonts w:hint="eastAsia" w:ascii="宋体" w:hAnsi="宋体" w:cs="宋体"/>
                <w:sz w:val="24"/>
                <w:lang w:val="en-US" w:eastAsia="zh-CN"/>
              </w:rPr>
              <w:t>2</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pStyle w:val="129"/>
              <w:spacing w:before="0"/>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9</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关键技术方案，方案可行得</w:t>
            </w:r>
            <w:r>
              <w:rPr>
                <w:rFonts w:hint="eastAsia" w:ascii="宋体" w:hAnsi="宋体" w:cs="宋体"/>
                <w:sz w:val="24"/>
                <w:lang w:val="en-US" w:eastAsia="zh-CN"/>
              </w:rPr>
              <w:t>4</w:t>
            </w:r>
            <w:r>
              <w:rPr>
                <w:rFonts w:hint="eastAsia" w:ascii="宋体" w:hAnsi="宋体" w:cs="宋体"/>
                <w:sz w:val="24"/>
              </w:rPr>
              <w:t>分，方案可行性有欠缺的得</w:t>
            </w:r>
            <w:r>
              <w:rPr>
                <w:rFonts w:hint="eastAsia" w:ascii="宋体" w:hAnsi="宋体" w:cs="宋体"/>
                <w:sz w:val="24"/>
                <w:lang w:val="en-US" w:eastAsia="zh-CN"/>
              </w:rPr>
              <w:t>2</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pStyle w:val="129"/>
              <w:spacing w:before="0"/>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10</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材料设备进场计划，计划周密安排合理满足建设任务要求得</w:t>
            </w:r>
            <w:r>
              <w:rPr>
                <w:rFonts w:hint="eastAsia" w:ascii="宋体" w:hAnsi="宋体" w:cs="宋体"/>
                <w:sz w:val="24"/>
                <w:lang w:val="en-US" w:eastAsia="zh-CN"/>
              </w:rPr>
              <w:t>4</w:t>
            </w:r>
            <w:r>
              <w:rPr>
                <w:rFonts w:hint="eastAsia" w:ascii="宋体" w:hAnsi="宋体" w:cs="宋体"/>
                <w:sz w:val="24"/>
              </w:rPr>
              <w:t>分，有欠缺的得</w:t>
            </w:r>
            <w:r>
              <w:rPr>
                <w:rFonts w:hint="eastAsia" w:ascii="宋体" w:hAnsi="宋体" w:cs="宋体"/>
                <w:sz w:val="24"/>
                <w:lang w:val="en-US" w:eastAsia="zh-CN"/>
              </w:rPr>
              <w:t>2</w:t>
            </w:r>
            <w:r>
              <w:rPr>
                <w:rFonts w:hint="eastAsia" w:ascii="宋体" w:hAnsi="宋体" w:cs="宋体"/>
                <w:sz w:val="24"/>
              </w:rPr>
              <w:t>分，无方案不得分。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widowControl/>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11</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主要机械设备及检验仪器配备，满足工程建设任务及要求得</w:t>
            </w:r>
            <w:r>
              <w:rPr>
                <w:rFonts w:hint="eastAsia" w:ascii="宋体" w:hAnsi="宋体" w:cs="宋体"/>
                <w:sz w:val="24"/>
                <w:lang w:val="en-US" w:eastAsia="zh-CN"/>
              </w:rPr>
              <w:t>4</w:t>
            </w:r>
            <w:r>
              <w:rPr>
                <w:rFonts w:hint="eastAsia" w:ascii="宋体" w:hAnsi="宋体" w:cs="宋体"/>
                <w:sz w:val="24"/>
              </w:rPr>
              <w:t>分，配备有欠缺的得</w:t>
            </w:r>
            <w:r>
              <w:rPr>
                <w:rFonts w:hint="eastAsia" w:ascii="宋体" w:hAnsi="宋体" w:cs="宋体"/>
                <w:sz w:val="24"/>
                <w:lang w:val="en-US" w:eastAsia="zh-CN"/>
              </w:rPr>
              <w:t>4</w:t>
            </w:r>
            <w:r>
              <w:rPr>
                <w:rFonts w:hint="eastAsia" w:ascii="宋体" w:hAnsi="宋体" w:cs="宋体"/>
                <w:sz w:val="24"/>
              </w:rPr>
              <w:t>分，无方案不得分。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widowControl/>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12</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外部协调管理，方案合理可行得</w:t>
            </w:r>
            <w:r>
              <w:rPr>
                <w:rFonts w:hint="eastAsia" w:ascii="宋体" w:hAnsi="宋体" w:cs="宋体"/>
                <w:sz w:val="24"/>
                <w:lang w:val="en-US" w:eastAsia="zh-CN"/>
              </w:rPr>
              <w:t>4</w:t>
            </w:r>
            <w:r>
              <w:rPr>
                <w:rFonts w:hint="eastAsia" w:ascii="宋体" w:hAnsi="宋体" w:cs="宋体"/>
                <w:sz w:val="24"/>
              </w:rPr>
              <w:t>分，方案合理性可行性有欠缺的得</w:t>
            </w:r>
            <w:r>
              <w:rPr>
                <w:rFonts w:hint="eastAsia" w:ascii="宋体" w:hAnsi="宋体" w:cs="宋体"/>
                <w:sz w:val="24"/>
                <w:lang w:val="en-US" w:eastAsia="zh-CN"/>
              </w:rPr>
              <w:t>4</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widowControl/>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13</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验收、结算、移交的合理组织和配合 ，方案合理可行得4分，方案合理性可行性有欠缺的得2分，与项目不符或无方案不得分。</w:t>
            </w:r>
          </w:p>
        </w:tc>
        <w:tc>
          <w:tcPr>
            <w:tcW w:w="765" w:type="dxa"/>
            <w:vAlign w:val="center"/>
          </w:tcPr>
          <w:p>
            <w:pPr>
              <w:pStyle w:val="129"/>
              <w:spacing w:before="0"/>
              <w:ind w:firstLine="0" w:firstLineChars="0"/>
              <w:jc w:val="center"/>
              <w:rPr>
                <w:rFonts w:ascii="宋体" w:hAnsi="宋体" w:eastAsia="宋体" w:cs="宋体"/>
                <w:color w:val="auto"/>
                <w:kern w:val="2"/>
                <w:sz w:val="24"/>
                <w:szCs w:val="24"/>
                <w:lang w:val="en-US" w:eastAsia="zh-CN" w:bidi="ar-SA"/>
              </w:rPr>
            </w:pPr>
            <w:r>
              <w:rPr>
                <w:rFonts w:hint="eastAsia" w:ascii="宋体" w:hAnsi="宋体" w:cs="宋体"/>
                <w:color w:val="auto"/>
                <w:szCs w:val="24"/>
              </w:rPr>
              <w:t>4</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widowControl/>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14</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服务承诺：①售后服务方案、②响应时间及措施、③售后服务能力，方案实用可行每项得</w:t>
            </w:r>
            <w:r>
              <w:rPr>
                <w:rFonts w:hint="eastAsia" w:ascii="宋体" w:hAnsi="宋体" w:cs="宋体"/>
                <w:sz w:val="24"/>
                <w:lang w:val="en-US" w:eastAsia="zh-CN"/>
              </w:rPr>
              <w:t>2</w:t>
            </w:r>
            <w:r>
              <w:rPr>
                <w:rFonts w:hint="eastAsia" w:ascii="宋体" w:hAnsi="宋体" w:cs="宋体"/>
                <w:sz w:val="24"/>
              </w:rPr>
              <w:t>分，方案可行性有欠缺的每项得</w:t>
            </w:r>
            <w:r>
              <w:rPr>
                <w:rFonts w:hint="eastAsia" w:ascii="宋体" w:hAnsi="宋体" w:cs="宋体"/>
                <w:sz w:val="24"/>
                <w:lang w:val="en-US" w:eastAsia="zh-CN"/>
              </w:rPr>
              <w:t>1</w:t>
            </w:r>
            <w:r>
              <w:rPr>
                <w:rFonts w:hint="eastAsia" w:ascii="宋体" w:hAnsi="宋体" w:cs="宋体"/>
                <w:sz w:val="24"/>
              </w:rPr>
              <w:t>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6</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5" w:type="dxa"/>
            <w:vAlign w:val="center"/>
          </w:tcPr>
          <w:p>
            <w:pPr>
              <w:pStyle w:val="129"/>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15</w:t>
            </w:r>
          </w:p>
        </w:tc>
        <w:tc>
          <w:tcPr>
            <w:tcW w:w="5292" w:type="dxa"/>
            <w:vAlign w:val="center"/>
          </w:tcPr>
          <w:p>
            <w:pPr>
              <w:spacing w:line="288" w:lineRule="auto"/>
              <w:rPr>
                <w:rFonts w:ascii="宋体" w:hAnsi="宋体" w:eastAsia="宋体" w:cs="宋体"/>
                <w:kern w:val="2"/>
                <w:sz w:val="24"/>
                <w:szCs w:val="24"/>
                <w:lang w:val="en-US" w:eastAsia="zh-CN" w:bidi="ar-SA"/>
              </w:rPr>
            </w:pPr>
            <w:r>
              <w:rPr>
                <w:rFonts w:hint="eastAsia" w:ascii="宋体" w:hAnsi="宋体" w:cs="宋体"/>
                <w:sz w:val="24"/>
              </w:rPr>
              <w:t>应急预案：①项目风险预测与防范，事故应急方案；②项目突遇意外情况的项目人员力量调动方案，方案合理可行每项得</w:t>
            </w:r>
            <w:r>
              <w:rPr>
                <w:rFonts w:hint="eastAsia" w:ascii="宋体" w:hAnsi="宋体" w:cs="宋体"/>
                <w:sz w:val="24"/>
                <w:lang w:val="en-US" w:eastAsia="zh-CN"/>
              </w:rPr>
              <w:t>3</w:t>
            </w:r>
            <w:r>
              <w:rPr>
                <w:rFonts w:hint="eastAsia" w:ascii="宋体" w:hAnsi="宋体" w:cs="宋体"/>
                <w:sz w:val="24"/>
              </w:rPr>
              <w:t>分，合理性可行性有欠缺的每项得1.5分，与项目不符或无方案不得分。</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6</w:t>
            </w:r>
          </w:p>
        </w:tc>
        <w:tc>
          <w:tcPr>
            <w:tcW w:w="1125" w:type="dxa"/>
            <w:vAlign w:val="center"/>
          </w:tcPr>
          <w:p>
            <w:pPr>
              <w:pStyle w:val="129"/>
              <w:spacing w:before="0"/>
              <w:ind w:firstLine="0" w:firstLineChars="0"/>
              <w:jc w:val="center"/>
              <w:rPr>
                <w:rFonts w:ascii="宋体" w:hAnsi="宋体" w:eastAsia="宋体" w:cs="宋体"/>
                <w:kern w:val="2"/>
                <w:sz w:val="24"/>
                <w:szCs w:val="24"/>
                <w:lang w:val="en-US" w:eastAsia="zh-CN" w:bidi="ar-SA"/>
              </w:rPr>
            </w:pPr>
            <w:r>
              <w:rPr>
                <w:rFonts w:hint="eastAsia" w:ascii="宋体" w:hAnsi="宋体" w:cs="宋体"/>
                <w:szCs w:val="24"/>
              </w:rPr>
              <w:t>主观分</w:t>
            </w:r>
          </w:p>
        </w:tc>
        <w:tc>
          <w:tcPr>
            <w:tcW w:w="2196"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35" w:type="dxa"/>
            <w:vAlign w:val="center"/>
          </w:tcPr>
          <w:p>
            <w:pPr>
              <w:pStyle w:val="129"/>
              <w:spacing w:before="0"/>
              <w:ind w:firstLine="0" w:firstLineChars="0"/>
              <w:jc w:val="center"/>
              <w:rPr>
                <w:rFonts w:hint="default" w:ascii="宋体" w:hAnsi="宋体" w:cs="宋体"/>
                <w:szCs w:val="24"/>
                <w:lang w:val="en-US" w:eastAsia="zh-CN"/>
              </w:rPr>
            </w:pPr>
            <w:r>
              <w:rPr>
                <w:rFonts w:hint="eastAsia" w:ascii="宋体" w:hAnsi="宋体" w:cs="宋体"/>
                <w:szCs w:val="24"/>
                <w:lang w:val="en-US" w:eastAsia="zh-CN"/>
              </w:rPr>
              <w:t>16</w:t>
            </w:r>
          </w:p>
        </w:tc>
        <w:tc>
          <w:tcPr>
            <w:tcW w:w="5292" w:type="dxa"/>
            <w:vAlign w:val="center"/>
          </w:tcPr>
          <w:p>
            <w:pPr>
              <w:spacing w:line="288" w:lineRule="auto"/>
              <w:rPr>
                <w:rFonts w:ascii="宋体" w:hAnsi="宋体" w:cs="宋体"/>
                <w:sz w:val="24"/>
                <w:lang w:val="zh-CN"/>
              </w:rPr>
            </w:pPr>
            <w:r>
              <w:rPr>
                <w:rFonts w:hint="eastAsia" w:ascii="宋体" w:hAnsi="宋体" w:cs="宋体"/>
                <w:sz w:val="24"/>
                <w:lang w:val="zh-CN"/>
              </w:rPr>
              <w:t xml:space="preserve">以满足磋商文件要求且最后报价最低的供应商的价格为磋商基准价，其价格分为 </w:t>
            </w:r>
            <w:r>
              <w:rPr>
                <w:rFonts w:hint="eastAsia" w:ascii="宋体" w:hAnsi="宋体" w:cs="宋体"/>
                <w:sz w:val="24"/>
                <w:lang w:val="en-US" w:eastAsia="zh-CN"/>
              </w:rPr>
              <w:t>30</w:t>
            </w:r>
            <w:r>
              <w:rPr>
                <w:rFonts w:hint="eastAsia" w:ascii="宋体" w:hAnsi="宋体" w:cs="宋体"/>
                <w:sz w:val="24"/>
                <w:lang w:val="zh-CN"/>
              </w:rPr>
              <w:t xml:space="preserve"> 分。其他供应商的价格分统一按照下列公式计算：最后报价得分＝(磋商基准价/有效最后报价)×价格权值×100(精确到小数点后二位)。</w:t>
            </w:r>
          </w:p>
          <w:p>
            <w:pPr>
              <w:spacing w:line="288" w:lineRule="auto"/>
              <w:rPr>
                <w:rFonts w:ascii="宋体" w:hAnsi="宋体" w:eastAsia="宋体" w:cs="宋体"/>
                <w:kern w:val="2"/>
                <w:sz w:val="24"/>
                <w:szCs w:val="24"/>
                <w:lang w:val="en-US" w:eastAsia="zh-CN" w:bidi="ar-SA"/>
              </w:rPr>
            </w:pPr>
            <w:r>
              <w:rPr>
                <w:rFonts w:hint="eastAsia" w:ascii="宋体" w:hAnsi="宋体" w:cs="宋体"/>
                <w:sz w:val="24"/>
                <w:lang w:val="zh-CN"/>
              </w:rPr>
              <w:t>评审过程中，不得去掉报价中的最高报价和最低报价。</w:t>
            </w:r>
          </w:p>
        </w:tc>
        <w:tc>
          <w:tcPr>
            <w:tcW w:w="765" w:type="dxa"/>
            <w:vAlign w:val="center"/>
          </w:tcPr>
          <w:p>
            <w:pPr>
              <w:pStyle w:val="129"/>
              <w:spacing w:before="0"/>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3</w:t>
            </w:r>
            <w:r>
              <w:rPr>
                <w:rFonts w:hint="eastAsia" w:ascii="宋体" w:hAnsi="宋体" w:cs="宋体"/>
                <w:color w:val="auto"/>
                <w:szCs w:val="24"/>
              </w:rPr>
              <w:t>0</w:t>
            </w:r>
          </w:p>
        </w:tc>
        <w:tc>
          <w:tcPr>
            <w:tcW w:w="1125" w:type="dxa"/>
            <w:vAlign w:val="center"/>
          </w:tcPr>
          <w:p>
            <w:pPr>
              <w:pStyle w:val="129"/>
              <w:spacing w:before="0"/>
              <w:ind w:firstLine="0" w:firstLineChars="0"/>
              <w:jc w:val="center"/>
              <w:rPr>
                <w:rFonts w:hint="default" w:ascii="宋体" w:hAnsi="宋体" w:cs="宋体"/>
                <w:szCs w:val="24"/>
                <w:lang w:val="en-US" w:eastAsia="zh-CN"/>
              </w:rPr>
            </w:pPr>
            <w:r>
              <w:rPr>
                <w:rFonts w:hint="eastAsia" w:ascii="宋体" w:hAnsi="宋体" w:cs="宋体"/>
                <w:szCs w:val="24"/>
                <w:lang w:val="en-US" w:eastAsia="zh-CN"/>
              </w:rPr>
              <w:t>价格分</w:t>
            </w:r>
          </w:p>
        </w:tc>
        <w:tc>
          <w:tcPr>
            <w:tcW w:w="2196" w:type="dxa"/>
            <w:vMerge w:val="continue"/>
            <w:vAlign w:val="center"/>
          </w:tcPr>
          <w:p>
            <w:pPr>
              <w:spacing w:line="360" w:lineRule="auto"/>
              <w:jc w:val="center"/>
              <w:rPr>
                <w:rFonts w:ascii="宋体" w:hAnsi="宋体" w:cs="宋体"/>
                <w:sz w:val="24"/>
              </w:rPr>
            </w:pPr>
          </w:p>
        </w:tc>
      </w:tr>
    </w:tbl>
    <w:p>
      <w:pPr>
        <w:pStyle w:val="61"/>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29"/>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29"/>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29"/>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w:t>
      </w:r>
      <w:r>
        <w:rPr>
          <w:rFonts w:hint="eastAsia" w:ascii="宋体" w:hAnsi="宋体" w:cs="宋体"/>
          <w:kern w:val="0"/>
          <w:szCs w:val="24"/>
          <w:lang w:val="en-US" w:eastAsia="zh-CN"/>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7"/>
        <w:snapToGrid w:val="0"/>
        <w:spacing w:line="360" w:lineRule="auto"/>
        <w:rPr>
          <w:rFonts w:cs="宋体"/>
        </w:rPr>
      </w:pPr>
      <w:r>
        <w:rPr>
          <w:rFonts w:hint="eastAsia" w:cs="宋体"/>
        </w:rPr>
        <w:t>5.1因情况变化，不再符合规定的竞争性磋商采购方式适用情形的；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7"/>
        <w:snapToGrid w:val="0"/>
        <w:spacing w:line="360" w:lineRule="auto"/>
        <w:rPr>
          <w:rFonts w:cs="宋体"/>
        </w:rPr>
      </w:pPr>
      <w:r>
        <w:rPr>
          <w:rFonts w:hint="eastAsia" w:cs="宋体"/>
        </w:rPr>
        <w:t>6.1未确定成交供应商的，终止本次政府采购活动，重新开展政府采购活动。</w:t>
      </w:r>
    </w:p>
    <w:p>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cs="宋体"/>
        </w:rPr>
      </w:pPr>
      <w:r>
        <w:rPr>
          <w:rFonts w:hint="eastAsia" w:cs="宋体"/>
        </w:rPr>
        <w:t>6.4政府采购合同已经履行，给采购人、供应商造成损失的，由责任人承担赔偿责任。</w:t>
      </w:r>
    </w:p>
    <w:p>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pPr>
        <w:spacing w:line="320" w:lineRule="exact"/>
        <w:ind w:left="210" w:leftChars="100" w:firstLine="1050" w:firstLineChars="500"/>
        <w:rPr>
          <w:rFonts w:hint="eastAsia" w:ascii="仿宋" w:hAnsi="仿宋" w:eastAsia="仿宋" w:cs="Courier New"/>
          <w:i/>
          <w:szCs w:val="21"/>
          <w:u w:val="single"/>
        </w:rPr>
      </w:pPr>
      <w:r>
        <w:rPr>
          <w:rFonts w:hint="eastAsia" w:ascii="仿宋" w:hAnsi="仿宋" w:eastAsia="仿宋" w:cs="Courier New"/>
          <w:i/>
          <w:szCs w:val="21"/>
          <w:u w:val="single"/>
        </w:rPr>
        <w:t>（专用合同条款由招标人根据工程特点和具体要求自行规定。）</w:t>
      </w:r>
    </w:p>
    <w:p>
      <w:pPr>
        <w:rPr>
          <w:rFonts w:hint="eastAsia" w:ascii="宋体" w:hAnsi="宋体"/>
          <w:sz w:val="28"/>
        </w:rPr>
      </w:pPr>
    </w:p>
    <w:p>
      <w:pPr>
        <w:tabs>
          <w:tab w:val="left" w:pos="1123"/>
        </w:tabs>
        <w:spacing w:before="239"/>
        <w:jc w:val="center"/>
        <w:rPr>
          <w:b/>
          <w:color w:val="auto"/>
          <w:sz w:val="32"/>
          <w:highlight w:val="none"/>
        </w:rPr>
      </w:pPr>
      <w:r>
        <w:rPr>
          <w:b/>
          <w:color w:val="auto"/>
          <w:sz w:val="32"/>
          <w:highlight w:val="none"/>
        </w:rPr>
        <w:t>第1节</w:t>
      </w:r>
      <w:r>
        <w:rPr>
          <w:b/>
          <w:color w:val="auto"/>
          <w:sz w:val="32"/>
          <w:highlight w:val="none"/>
        </w:rPr>
        <w:tab/>
      </w:r>
      <w:r>
        <w:rPr>
          <w:b/>
          <w:color w:val="auto"/>
          <w:sz w:val="32"/>
          <w:highlight w:val="none"/>
        </w:rPr>
        <w:t>通用合同条款</w:t>
      </w:r>
    </w:p>
    <w:p>
      <w:pPr>
        <w:spacing w:before="213"/>
        <w:jc w:val="center"/>
        <w:rPr>
          <w:color w:val="auto"/>
          <w:sz w:val="24"/>
          <w:highlight w:val="none"/>
        </w:rPr>
      </w:pPr>
      <w:r>
        <w:rPr>
          <w:color w:val="auto"/>
          <w:sz w:val="24"/>
          <w:highlight w:val="none"/>
        </w:rPr>
        <w:t>使用浙江省水利水电工程施工招标文件 (2014年版)</w:t>
      </w:r>
    </w:p>
    <w:p>
      <w:pPr>
        <w:pStyle w:val="26"/>
        <w:rPr>
          <w:color w:val="auto"/>
          <w:sz w:val="24"/>
          <w:highlight w:val="none"/>
        </w:rPr>
      </w:pPr>
    </w:p>
    <w:p>
      <w:pPr>
        <w:jc w:val="center"/>
        <w:rPr>
          <w:color w:val="auto"/>
          <w:sz w:val="24"/>
          <w:highlight w:val="none"/>
        </w:rPr>
      </w:pPr>
      <w:r>
        <w:rPr>
          <w:color w:val="auto"/>
          <w:sz w:val="24"/>
          <w:highlight w:val="none"/>
        </w:rPr>
        <w:t>（略）</w:t>
      </w:r>
    </w:p>
    <w:p>
      <w:pPr>
        <w:tabs>
          <w:tab w:val="left" w:pos="1123"/>
        </w:tabs>
        <w:spacing w:before="54"/>
        <w:jc w:val="center"/>
        <w:rPr>
          <w:b/>
          <w:color w:val="auto"/>
          <w:sz w:val="32"/>
          <w:highlight w:val="none"/>
        </w:rPr>
      </w:pPr>
      <w:bookmarkStart w:id="399" w:name="_bookmark32"/>
      <w:bookmarkEnd w:id="399"/>
      <w:bookmarkStart w:id="400" w:name="第2节__专用合同条款"/>
      <w:bookmarkEnd w:id="400"/>
      <w:r>
        <w:rPr>
          <w:b/>
          <w:color w:val="auto"/>
          <w:sz w:val="32"/>
          <w:highlight w:val="none"/>
        </w:rPr>
        <w:t>第2节</w:t>
      </w:r>
      <w:r>
        <w:rPr>
          <w:b/>
          <w:color w:val="auto"/>
          <w:sz w:val="32"/>
          <w:highlight w:val="none"/>
        </w:rPr>
        <w:tab/>
      </w:r>
      <w:r>
        <w:rPr>
          <w:b/>
          <w:color w:val="auto"/>
          <w:sz w:val="32"/>
          <w:highlight w:val="none"/>
        </w:rPr>
        <w:t>专用合同条款</w:t>
      </w:r>
    </w:p>
    <w:p>
      <w:pPr>
        <w:tabs>
          <w:tab w:val="left" w:pos="1123"/>
        </w:tabs>
        <w:spacing w:before="54"/>
        <w:jc w:val="center"/>
        <w:rPr>
          <w:b/>
          <w:color w:val="auto"/>
          <w:sz w:val="32"/>
          <w:highlight w:val="none"/>
        </w:rPr>
      </w:pP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 一般约定</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1.1词语定义</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1.1.2 合同当事人和人员</w:t>
      </w:r>
    </w:p>
    <w:p>
      <w:pPr>
        <w:pStyle w:val="35"/>
        <w:spacing w:line="480" w:lineRule="exact"/>
        <w:ind w:firstLine="210" w:firstLineChars="100"/>
        <w:rPr>
          <w:rFonts w:hAnsi="宋体"/>
          <w:b w:val="0"/>
          <w:bCs/>
          <w:color w:val="auto"/>
          <w:sz w:val="21"/>
          <w:szCs w:val="21"/>
          <w:highlight w:val="none"/>
          <w:u w:val="single"/>
        </w:rPr>
      </w:pPr>
      <w:r>
        <w:rPr>
          <w:rFonts w:hint="eastAsia" w:hAnsi="宋体"/>
          <w:b w:val="0"/>
          <w:bCs/>
          <w:color w:val="auto"/>
          <w:sz w:val="21"/>
          <w:szCs w:val="21"/>
          <w:highlight w:val="none"/>
        </w:rPr>
        <w:t>1.1.2.2发包人：</w:t>
      </w:r>
      <w:r>
        <w:rPr>
          <w:rFonts w:hint="eastAsia" w:hAnsi="宋体" w:cs="Times New Roman"/>
          <w:b w:val="0"/>
          <w:bCs/>
          <w:color w:val="auto"/>
          <w:sz w:val="21"/>
          <w:szCs w:val="21"/>
          <w:highlight w:val="none"/>
          <w:u w:val="single"/>
          <w:lang w:val="en-US" w:eastAsia="zh-CN"/>
        </w:rPr>
        <w:t xml:space="preserve">                              </w:t>
      </w:r>
      <w:r>
        <w:rPr>
          <w:rFonts w:hint="eastAsia" w:hAnsi="宋体" w:cs="Times New Roman"/>
          <w:b w:val="0"/>
          <w:bCs/>
          <w:color w:val="auto"/>
          <w:sz w:val="21"/>
          <w:szCs w:val="21"/>
          <w:highlight w:val="none"/>
          <w:u w:val="none"/>
        </w:rPr>
        <w:t>。</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1.1.2.3 承包人：</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签约后填入）。</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1.1.2.5分包人：</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签约后填入）。</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1.1.2.6监理人：。</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1.1.3工程和设备</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1.1.3.4单位工程：指经工程质量监督机构确认的工程项目划分表中确定的具有独立发挥作用或独立施工条件的永久建筑物。</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1.1.4日期</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1.1.4.5缺陷责任期（工程质量保修期）为：</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1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年。</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1.1.5合同价格和费用</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1.1.5.1签约合同价：指签订合同时合同协议书中写明的，包括了暂列金额 、暂估计的合同总金额。</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合同价格形式：本项目采用</w:t>
      </w:r>
      <w:r>
        <w:rPr>
          <w:rFonts w:hint="eastAsia" w:hAnsi="宋体"/>
          <w:b w:val="0"/>
          <w:bCs/>
          <w:color w:val="auto"/>
          <w:sz w:val="21"/>
          <w:szCs w:val="21"/>
          <w:highlight w:val="none"/>
          <w:u w:val="single"/>
        </w:rPr>
        <w:t xml:space="preserve">   单价   </w:t>
      </w:r>
      <w:r>
        <w:rPr>
          <w:rFonts w:hint="eastAsia" w:hAnsi="宋体"/>
          <w:b w:val="0"/>
          <w:bCs/>
          <w:color w:val="auto"/>
          <w:sz w:val="21"/>
          <w:szCs w:val="21"/>
          <w:highlight w:val="none"/>
        </w:rPr>
        <w:t>合同</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rPr>
        <w:t>综合单价包含的风险范围：</w:t>
      </w:r>
      <w:r>
        <w:rPr>
          <w:rFonts w:hint="eastAsia"/>
          <w:b w:val="0"/>
          <w:bCs/>
          <w:color w:val="auto"/>
          <w:sz w:val="21"/>
          <w:szCs w:val="21"/>
          <w:highlight w:val="none"/>
          <w:u w:val="single"/>
        </w:rPr>
        <w:t>①投标时漏项、少计的工程内容（不包括招标人提供的工程量清单本身的漏项、少计内容）；②合同执行期内材料价格、人工工资上涨的风险因素，施工临时停电、停水造成的连续24小时以内的停工；③合同执行期内，因承包人原因造成停工、窝工；④合同执行期内可能发生且按规定应由承包人承担的其他费用，包括市政、市容、卫生、环保、治安等费用；⑤组织措施项目费实行投标价包干，不因工程变更而调整；⑥工程实施过程中属于招标文件和本合同约定需要投标报价和合同包干风险范围内应考虑的费用，但经发包人现场签证认可的除外；⑦工程量计算规则未描述到，但又是完成分项工程必须有的工作内容，均应包括在报价内；⑧施工场地的围护、运输保洁费，由于停电、停水造成的增加费用，附近居民因施工不便应增加的设施或便道等增加的各类费用。</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以上风险范围内包括的内容如经发包人现场签证认可的，在工程结算时可认定为该签证有效。</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风险费用的计算方法：</w:t>
      </w:r>
      <w:r>
        <w:rPr>
          <w:rFonts w:hint="eastAsia"/>
          <w:b w:val="0"/>
          <w:bCs/>
          <w:color w:val="auto"/>
          <w:sz w:val="21"/>
          <w:szCs w:val="21"/>
          <w:highlight w:val="none"/>
          <w:u w:val="single"/>
        </w:rPr>
        <w:t xml:space="preserve"> 承包人自行考虑在投标报价中 </w:t>
      </w:r>
      <w:r>
        <w:rPr>
          <w:rFonts w:hint="eastAsia"/>
          <w:b w:val="0"/>
          <w:bCs/>
          <w:color w:val="auto"/>
          <w:sz w:val="21"/>
          <w:szCs w:val="21"/>
          <w:highlight w:val="none"/>
        </w:rPr>
        <w:t>。</w:t>
      </w:r>
    </w:p>
    <w:p>
      <w:pPr>
        <w:spacing w:line="440" w:lineRule="exact"/>
        <w:ind w:firstLine="420" w:firstLineChars="200"/>
        <w:rPr>
          <w:b w:val="0"/>
          <w:bCs/>
          <w:color w:val="auto"/>
          <w:spacing w:val="-2"/>
          <w:sz w:val="21"/>
          <w:szCs w:val="21"/>
          <w:highlight w:val="none"/>
          <w:u w:val="single"/>
        </w:rPr>
      </w:pPr>
      <w:r>
        <w:rPr>
          <w:rFonts w:hint="eastAsia"/>
          <w:b w:val="0"/>
          <w:bCs/>
          <w:color w:val="auto"/>
          <w:sz w:val="21"/>
          <w:szCs w:val="21"/>
          <w:highlight w:val="none"/>
        </w:rPr>
        <w:t>风险范围以外合同价款调整方法：</w:t>
      </w:r>
    </w:p>
    <w:p>
      <w:pPr>
        <w:spacing w:line="42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1）经发包人确认的设计变更、发包人的修改要求而引起的工程量清单的项目调整或数量调整，其工程数量按实调整。</w:t>
      </w:r>
    </w:p>
    <w:p>
      <w:pPr>
        <w:spacing w:line="42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2）市场价格波动引起的调整按本合同16条规定</w:t>
      </w:r>
      <w:r>
        <w:rPr>
          <w:rFonts w:hint="eastAsia"/>
          <w:b w:val="0"/>
          <w:bCs/>
          <w:color w:val="auto"/>
          <w:sz w:val="21"/>
          <w:szCs w:val="21"/>
          <w:highlight w:val="none"/>
          <w:u w:val="none"/>
        </w:rPr>
        <w:t xml:space="preserve">。    </w:t>
      </w:r>
    </w:p>
    <w:p>
      <w:pPr>
        <w:spacing w:line="420" w:lineRule="exact"/>
        <w:ind w:firstLine="420" w:firstLineChars="200"/>
        <w:rPr>
          <w:b w:val="0"/>
          <w:bCs/>
          <w:color w:val="auto"/>
          <w:spacing w:val="-2"/>
          <w:sz w:val="21"/>
          <w:szCs w:val="21"/>
          <w:highlight w:val="none"/>
          <w:u w:val="single"/>
        </w:rPr>
      </w:pPr>
      <w:r>
        <w:rPr>
          <w:rFonts w:hint="eastAsia"/>
          <w:b w:val="0"/>
          <w:bCs/>
          <w:color w:val="auto"/>
          <w:sz w:val="21"/>
          <w:szCs w:val="21"/>
          <w:highlight w:val="none"/>
          <w:u w:val="single"/>
        </w:rPr>
        <w:t>3）对承包人超出施工设计图纸（含施工图纸设计变更）范围和因承包人原因造成返工的工程量，发包人不予计算。</w:t>
      </w:r>
    </w:p>
    <w:p>
      <w:pPr>
        <w:spacing w:line="420" w:lineRule="exact"/>
        <w:ind w:firstLine="412" w:firstLineChars="200"/>
        <w:rPr>
          <w:b w:val="0"/>
          <w:bCs/>
          <w:color w:val="auto"/>
          <w:spacing w:val="-2"/>
          <w:sz w:val="21"/>
          <w:szCs w:val="21"/>
          <w:highlight w:val="none"/>
          <w:u w:val="single"/>
        </w:rPr>
      </w:pPr>
      <w:r>
        <w:rPr>
          <w:rFonts w:hint="eastAsia"/>
          <w:b w:val="0"/>
          <w:bCs/>
          <w:color w:val="auto"/>
          <w:spacing w:val="-2"/>
          <w:sz w:val="21"/>
          <w:szCs w:val="21"/>
          <w:highlight w:val="none"/>
          <w:u w:val="single"/>
        </w:rPr>
        <w:t>4）承包人应是根据发包人提供的工程量清单和施工图进行报价的，并对工程量清单（包括项目、项目特征描述、数量）和施工图不一致处进行了答疑，若在今后（施工中）出现类似问题以发包人解释为准</w:t>
      </w:r>
      <w:r>
        <w:rPr>
          <w:rFonts w:hint="eastAsia"/>
          <w:b w:val="0"/>
          <w:bCs/>
          <w:color w:val="auto"/>
          <w:spacing w:val="-2"/>
          <w:sz w:val="21"/>
          <w:szCs w:val="21"/>
          <w:highlight w:val="none"/>
          <w:u w:val="none"/>
        </w:rPr>
        <w:t xml:space="preserve">。       </w:t>
      </w:r>
    </w:p>
    <w:p>
      <w:pPr>
        <w:spacing w:line="420" w:lineRule="exact"/>
        <w:ind w:firstLine="412" w:firstLineChars="200"/>
        <w:rPr>
          <w:b w:val="0"/>
          <w:bCs/>
          <w:color w:val="auto"/>
          <w:spacing w:val="-2"/>
          <w:sz w:val="21"/>
          <w:szCs w:val="21"/>
          <w:highlight w:val="none"/>
          <w:u w:val="single"/>
        </w:rPr>
      </w:pPr>
      <w:r>
        <w:rPr>
          <w:rFonts w:hint="eastAsia"/>
          <w:b w:val="0"/>
          <w:bCs/>
          <w:color w:val="auto"/>
          <w:spacing w:val="-2"/>
          <w:sz w:val="21"/>
          <w:szCs w:val="21"/>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pPr>
        <w:spacing w:line="420" w:lineRule="exact"/>
        <w:ind w:firstLine="412" w:firstLineChars="200"/>
        <w:rPr>
          <w:b w:val="0"/>
          <w:bCs/>
          <w:color w:val="auto"/>
          <w:spacing w:val="-2"/>
          <w:sz w:val="21"/>
          <w:szCs w:val="21"/>
          <w:highlight w:val="none"/>
          <w:u w:val="single"/>
        </w:rPr>
      </w:pPr>
      <w:r>
        <w:rPr>
          <w:rFonts w:hint="eastAsia"/>
          <w:b w:val="0"/>
          <w:bCs/>
          <w:color w:val="auto"/>
          <w:spacing w:val="-2"/>
          <w:sz w:val="21"/>
          <w:szCs w:val="21"/>
          <w:highlight w:val="none"/>
          <w:u w:val="single"/>
        </w:rPr>
        <w:t>处理原则：针对项目合同清单范围内，各项单价按照承包人商务投标报价结算；合同清单范围外，各项单价以《杭州市临安区供水项目工程造价咨询报告书》中所对应的财审单价并按照承包人投标报价下浮率同比例下浮结算。</w:t>
      </w:r>
    </w:p>
    <w:p>
      <w:pPr>
        <w:spacing w:line="420" w:lineRule="exact"/>
        <w:ind w:firstLine="412" w:firstLineChars="200"/>
        <w:rPr>
          <w:b w:val="0"/>
          <w:bCs/>
          <w:color w:val="auto"/>
          <w:spacing w:val="-2"/>
          <w:sz w:val="21"/>
          <w:szCs w:val="21"/>
          <w:highlight w:val="none"/>
          <w:u w:val="single"/>
        </w:rPr>
      </w:pPr>
      <w:r>
        <w:rPr>
          <w:rFonts w:hint="eastAsia"/>
          <w:b w:val="0"/>
          <w:bCs/>
          <w:color w:val="auto"/>
          <w:spacing w:val="-2"/>
          <w:sz w:val="21"/>
          <w:szCs w:val="21"/>
          <w:highlight w:val="none"/>
          <w:u w:val="single"/>
        </w:rPr>
        <w:t>6）不可抗力事件引起的合同价款变更按通用条款执行</w:t>
      </w:r>
      <w:r>
        <w:rPr>
          <w:rFonts w:hint="eastAsia"/>
          <w:b w:val="0"/>
          <w:bCs/>
          <w:color w:val="auto"/>
          <w:spacing w:val="-2"/>
          <w:sz w:val="21"/>
          <w:szCs w:val="21"/>
          <w:highlight w:val="none"/>
          <w:u w:val="none"/>
        </w:rPr>
        <w:t xml:space="preserve">。     </w:t>
      </w:r>
    </w:p>
    <w:p>
      <w:pPr>
        <w:spacing w:line="420" w:lineRule="exact"/>
        <w:ind w:firstLine="412" w:firstLineChars="200"/>
        <w:rPr>
          <w:b w:val="0"/>
          <w:bCs/>
          <w:color w:val="auto"/>
          <w:spacing w:val="-2"/>
          <w:sz w:val="21"/>
          <w:szCs w:val="21"/>
          <w:highlight w:val="none"/>
          <w:u w:val="single"/>
        </w:rPr>
      </w:pPr>
      <w:r>
        <w:rPr>
          <w:rFonts w:hint="eastAsia"/>
          <w:b w:val="0"/>
          <w:bCs/>
          <w:color w:val="auto"/>
          <w:spacing w:val="-2"/>
          <w:sz w:val="21"/>
          <w:szCs w:val="21"/>
          <w:highlight w:val="none"/>
          <w:u w:val="single"/>
        </w:rPr>
        <w:t>7）法律、行政法规和国家有关政策变化及工程造价管理部门发布的文件影响合同价款时，按相关政策、文件精神协商执行</w:t>
      </w:r>
      <w:r>
        <w:rPr>
          <w:rFonts w:hint="eastAsia"/>
          <w:b w:val="0"/>
          <w:bCs/>
          <w:color w:val="auto"/>
          <w:spacing w:val="-2"/>
          <w:sz w:val="21"/>
          <w:szCs w:val="21"/>
          <w:highlight w:val="none"/>
          <w:u w:val="none"/>
        </w:rPr>
        <w:t xml:space="preserve">。      </w:t>
      </w:r>
    </w:p>
    <w:p>
      <w:pPr>
        <w:spacing w:line="420" w:lineRule="exact"/>
        <w:ind w:firstLine="420" w:firstLineChars="200"/>
        <w:rPr>
          <w:b w:val="0"/>
          <w:bCs/>
          <w:color w:val="auto"/>
          <w:spacing w:val="-2"/>
          <w:sz w:val="21"/>
          <w:szCs w:val="21"/>
          <w:highlight w:val="none"/>
          <w:u w:val="single"/>
        </w:rPr>
      </w:pPr>
      <w:r>
        <w:rPr>
          <w:rFonts w:hint="eastAsia"/>
          <w:b w:val="0"/>
          <w:bCs/>
          <w:color w:val="auto"/>
          <w:sz w:val="21"/>
          <w:szCs w:val="21"/>
          <w:highlight w:val="none"/>
        </w:rPr>
        <w:t>8）</w:t>
      </w:r>
      <w:r>
        <w:rPr>
          <w:rFonts w:hint="eastAsia"/>
          <w:b w:val="0"/>
          <w:bCs/>
          <w:color w:val="auto"/>
          <w:sz w:val="21"/>
          <w:szCs w:val="21"/>
          <w:highlight w:val="none"/>
          <w:u w:val="single"/>
        </w:rPr>
        <w:t>以上变更引起的合同价格调整应符合合同变更条款。</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1.1.6其他</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1.1.6.2完工验收：指《水利水电建设工程验收规程》中的合同工程完工验收。通用合同条款中“竣工验收”一词具有相同含义。</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1.4合同文件的优先顺序</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除合同另有规定外，解释合同文件的优先顺序如下：</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（1）合同协议书（包括补充协议书）。</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（2）中标通知书。</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（3）投标函及投标函附录。</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（4）招投标文件澄清问题、澄清问题的复函、补充通知等相关资料。</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（5）专用合同条款。</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（6）通用合同条款。</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（7）技术标准和要求</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（8）图纸。</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（9）已标价的工程量清单。</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（10）经双方确认进入合同的其他文件。</w:t>
      </w:r>
    </w:p>
    <w:p>
      <w:pPr>
        <w:pStyle w:val="35"/>
        <w:spacing w:line="480" w:lineRule="exact"/>
        <w:ind w:firstLine="210" w:firstLineChars="100"/>
        <w:rPr>
          <w:rFonts w:hAnsi="宋体"/>
          <w:b w:val="0"/>
          <w:bCs/>
          <w:color w:val="auto"/>
          <w:sz w:val="21"/>
          <w:szCs w:val="21"/>
          <w:highlight w:val="none"/>
        </w:rPr>
      </w:pPr>
      <w:r>
        <w:rPr>
          <w:rFonts w:hint="eastAsia" w:hAnsi="宋体"/>
          <w:b w:val="0"/>
          <w:bCs/>
          <w:color w:val="auto"/>
          <w:sz w:val="21"/>
          <w:szCs w:val="21"/>
          <w:highlight w:val="none"/>
        </w:rPr>
        <w:t>1.7联络</w:t>
      </w:r>
    </w:p>
    <w:p>
      <w:pPr>
        <w:pStyle w:val="35"/>
        <w:spacing w:line="480" w:lineRule="exact"/>
        <w:ind w:firstLine="210" w:firstLineChars="100"/>
        <w:rPr>
          <w:rFonts w:hAnsi="宋体"/>
          <w:b w:val="0"/>
          <w:bCs/>
          <w:color w:val="auto"/>
          <w:sz w:val="21"/>
          <w:szCs w:val="21"/>
          <w:highlight w:val="none"/>
          <w:u w:val="single"/>
        </w:rPr>
      </w:pPr>
      <w:r>
        <w:rPr>
          <w:rFonts w:hint="eastAsia" w:hAnsi="宋体"/>
          <w:b w:val="0"/>
          <w:bCs/>
          <w:color w:val="auto"/>
          <w:sz w:val="21"/>
          <w:szCs w:val="21"/>
          <w:highlight w:val="none"/>
        </w:rPr>
        <w:t>1.7.2来往函件均应按技术标准和要求（合同技术条款）约定的期限送达</w:t>
      </w:r>
      <w:r>
        <w:rPr>
          <w:rFonts w:hint="eastAsia" w:hAnsi="宋体"/>
          <w:b w:val="0"/>
          <w:bCs/>
          <w:color w:val="auto"/>
          <w:sz w:val="21"/>
          <w:szCs w:val="21"/>
          <w:highlight w:val="none"/>
          <w:u w:val="single"/>
        </w:rPr>
        <w:t>招标人指定地点。</w:t>
      </w:r>
    </w:p>
    <w:p>
      <w:pPr>
        <w:pStyle w:val="35"/>
        <w:spacing w:line="480" w:lineRule="exact"/>
        <w:ind w:firstLine="210" w:firstLineChars="100"/>
        <w:rPr>
          <w:rFonts w:hAnsi="宋体"/>
          <w:b w:val="0"/>
          <w:bCs/>
          <w:color w:val="auto"/>
          <w:sz w:val="21"/>
          <w:szCs w:val="21"/>
          <w:highlight w:val="none"/>
        </w:rPr>
      </w:pPr>
    </w:p>
    <w:p>
      <w:pPr>
        <w:spacing w:line="440" w:lineRule="exact"/>
        <w:rPr>
          <w:b w:val="0"/>
          <w:bCs/>
          <w:color w:val="auto"/>
          <w:sz w:val="21"/>
          <w:szCs w:val="21"/>
          <w:highlight w:val="none"/>
        </w:rPr>
      </w:pPr>
      <w:r>
        <w:rPr>
          <w:rFonts w:hint="eastAsia"/>
          <w:b w:val="0"/>
          <w:bCs/>
          <w:color w:val="auto"/>
          <w:sz w:val="21"/>
          <w:szCs w:val="21"/>
          <w:highlight w:val="none"/>
        </w:rPr>
        <w:t>2  发包人义务</w:t>
      </w:r>
    </w:p>
    <w:p>
      <w:pPr>
        <w:spacing w:line="440" w:lineRule="exact"/>
        <w:rPr>
          <w:b w:val="0"/>
          <w:bCs/>
          <w:color w:val="auto"/>
          <w:sz w:val="21"/>
          <w:szCs w:val="21"/>
          <w:highlight w:val="none"/>
        </w:rPr>
      </w:pPr>
      <w:r>
        <w:rPr>
          <w:rFonts w:hint="eastAsia"/>
          <w:b w:val="0"/>
          <w:bCs/>
          <w:color w:val="auto"/>
          <w:sz w:val="21"/>
          <w:szCs w:val="21"/>
          <w:highlight w:val="none"/>
        </w:rPr>
        <w:t>2.3提供施工场地</w:t>
      </w:r>
    </w:p>
    <w:p>
      <w:pPr>
        <w:spacing w:line="440" w:lineRule="exact"/>
        <w:rPr>
          <w:b w:val="0"/>
          <w:bCs/>
          <w:color w:val="auto"/>
          <w:sz w:val="21"/>
          <w:szCs w:val="21"/>
          <w:highlight w:val="none"/>
          <w:u w:val="single"/>
        </w:rPr>
      </w:pPr>
      <w:r>
        <w:rPr>
          <w:rFonts w:hint="eastAsia"/>
          <w:b w:val="0"/>
          <w:bCs/>
          <w:color w:val="auto"/>
          <w:sz w:val="21"/>
          <w:szCs w:val="21"/>
          <w:highlight w:val="none"/>
        </w:rPr>
        <w:t xml:space="preserve">    2.3.2发包人提供的用地范围为：</w:t>
      </w:r>
      <w:r>
        <w:rPr>
          <w:b w:val="0"/>
          <w:bCs/>
          <w:color w:val="auto"/>
          <w:sz w:val="21"/>
          <w:szCs w:val="21"/>
          <w:highlight w:val="none"/>
          <w:u w:val="single"/>
        </w:rPr>
        <w:t>承包人应无条件接受现场条件</w:t>
      </w:r>
      <w:r>
        <w:rPr>
          <w:rFonts w:hint="eastAsia"/>
          <w:b w:val="0"/>
          <w:bCs/>
          <w:color w:val="auto"/>
          <w:sz w:val="21"/>
          <w:szCs w:val="21"/>
          <w:highlight w:val="none"/>
          <w:u w:val="single"/>
        </w:rPr>
        <w:t>，使用场地均由承包人自行解决 。</w:t>
      </w:r>
    </w:p>
    <w:p>
      <w:pPr>
        <w:spacing w:line="440" w:lineRule="exact"/>
        <w:rPr>
          <w:b w:val="0"/>
          <w:bCs/>
          <w:color w:val="auto"/>
          <w:sz w:val="21"/>
          <w:szCs w:val="21"/>
          <w:highlight w:val="none"/>
        </w:rPr>
      </w:pPr>
      <w:r>
        <w:rPr>
          <w:rFonts w:hint="eastAsia"/>
          <w:b w:val="0"/>
          <w:bCs/>
          <w:color w:val="auto"/>
          <w:sz w:val="21"/>
          <w:szCs w:val="21"/>
          <w:highlight w:val="none"/>
        </w:rPr>
        <w:t xml:space="preserve">    2.3.3承包人自行勘察的施工场地范围为：。</w:t>
      </w:r>
    </w:p>
    <w:p>
      <w:pPr>
        <w:spacing w:line="440" w:lineRule="exact"/>
        <w:rPr>
          <w:b w:val="0"/>
          <w:bCs/>
          <w:color w:val="auto"/>
          <w:sz w:val="21"/>
          <w:szCs w:val="21"/>
          <w:highlight w:val="none"/>
        </w:rPr>
      </w:pPr>
      <w:r>
        <w:rPr>
          <w:rFonts w:hint="eastAsia"/>
          <w:b w:val="0"/>
          <w:bCs/>
          <w:color w:val="auto"/>
          <w:sz w:val="21"/>
          <w:szCs w:val="21"/>
          <w:highlight w:val="none"/>
        </w:rPr>
        <w:t>2.8其他义务</w:t>
      </w:r>
    </w:p>
    <w:p>
      <w:pPr>
        <w:spacing w:line="440" w:lineRule="exact"/>
        <w:rPr>
          <w:b w:val="0"/>
          <w:bCs/>
          <w:color w:val="auto"/>
          <w:sz w:val="21"/>
          <w:szCs w:val="21"/>
          <w:highlight w:val="none"/>
        </w:rPr>
      </w:pPr>
      <w:r>
        <w:rPr>
          <w:rFonts w:hint="eastAsia"/>
          <w:b w:val="0"/>
          <w:bCs/>
          <w:color w:val="auto"/>
          <w:sz w:val="21"/>
          <w:szCs w:val="21"/>
          <w:highlight w:val="none"/>
        </w:rPr>
        <w:t xml:space="preserve">    （根据发包人合同管理的要求补充）</w:t>
      </w:r>
    </w:p>
    <w:p>
      <w:pPr>
        <w:spacing w:line="440" w:lineRule="exact"/>
        <w:rPr>
          <w:b w:val="0"/>
          <w:bCs/>
          <w:color w:val="auto"/>
          <w:sz w:val="21"/>
          <w:szCs w:val="21"/>
          <w:highlight w:val="none"/>
        </w:rPr>
      </w:pPr>
      <w:r>
        <w:rPr>
          <w:rFonts w:hint="eastAsia"/>
          <w:b w:val="0"/>
          <w:bCs/>
          <w:color w:val="auto"/>
          <w:sz w:val="21"/>
          <w:szCs w:val="21"/>
          <w:highlight w:val="none"/>
        </w:rPr>
        <w:t xml:space="preserve">    （1）……</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（2）……</w:t>
      </w:r>
    </w:p>
    <w:p>
      <w:pPr>
        <w:spacing w:line="440" w:lineRule="exact"/>
        <w:ind w:firstLine="420" w:firstLineChars="200"/>
        <w:rPr>
          <w:b w:val="0"/>
          <w:bCs/>
          <w:color w:val="auto"/>
          <w:sz w:val="21"/>
          <w:szCs w:val="21"/>
          <w:highlight w:val="none"/>
        </w:rPr>
      </w:pPr>
    </w:p>
    <w:p>
      <w:pPr>
        <w:spacing w:line="440" w:lineRule="exact"/>
        <w:rPr>
          <w:b w:val="0"/>
          <w:bCs/>
          <w:color w:val="auto"/>
          <w:sz w:val="21"/>
          <w:szCs w:val="21"/>
          <w:highlight w:val="none"/>
        </w:rPr>
      </w:pPr>
      <w:r>
        <w:rPr>
          <w:rFonts w:hint="eastAsia"/>
          <w:b w:val="0"/>
          <w:bCs/>
          <w:color w:val="auto"/>
          <w:sz w:val="21"/>
          <w:szCs w:val="21"/>
          <w:highlight w:val="none"/>
        </w:rPr>
        <w:t>3  监理人</w:t>
      </w:r>
    </w:p>
    <w:p>
      <w:pPr>
        <w:spacing w:line="440" w:lineRule="exact"/>
        <w:rPr>
          <w:b w:val="0"/>
          <w:bCs/>
          <w:color w:val="auto"/>
          <w:sz w:val="21"/>
          <w:szCs w:val="21"/>
          <w:highlight w:val="none"/>
        </w:rPr>
      </w:pPr>
      <w:r>
        <w:rPr>
          <w:rFonts w:hint="eastAsia"/>
          <w:b w:val="0"/>
          <w:bCs/>
          <w:color w:val="auto"/>
          <w:sz w:val="21"/>
          <w:szCs w:val="21"/>
          <w:highlight w:val="none"/>
        </w:rPr>
        <w:t>3.1监理人的职责和权力</w:t>
      </w:r>
    </w:p>
    <w:p>
      <w:pPr>
        <w:spacing w:line="440" w:lineRule="exact"/>
        <w:rPr>
          <w:b w:val="0"/>
          <w:bCs/>
          <w:color w:val="auto"/>
          <w:sz w:val="21"/>
          <w:szCs w:val="21"/>
          <w:highlight w:val="none"/>
        </w:rPr>
      </w:pPr>
      <w:r>
        <w:rPr>
          <w:rFonts w:hint="eastAsia"/>
          <w:b w:val="0"/>
          <w:bCs/>
          <w:color w:val="auto"/>
          <w:sz w:val="21"/>
          <w:szCs w:val="21"/>
          <w:highlight w:val="none"/>
        </w:rPr>
        <w:t xml:space="preserve">    3.1.1监理人须根据发包人事先批准的权力范围行使权力，发包人批准的权利范围（填写监理人须经发包人的批准才能行使的权利，以下示例供参考）：</w:t>
      </w:r>
    </w:p>
    <w:p>
      <w:pPr>
        <w:spacing w:line="440" w:lineRule="exact"/>
        <w:rPr>
          <w:b w:val="0"/>
          <w:bCs/>
          <w:color w:val="auto"/>
          <w:sz w:val="21"/>
          <w:szCs w:val="21"/>
          <w:highlight w:val="none"/>
        </w:rPr>
      </w:pPr>
      <w:r>
        <w:rPr>
          <w:rFonts w:hint="eastAsia"/>
          <w:b w:val="0"/>
          <w:bCs/>
          <w:color w:val="auto"/>
          <w:sz w:val="21"/>
          <w:szCs w:val="21"/>
          <w:highlight w:val="none"/>
        </w:rPr>
        <w:t xml:space="preserve">    （1）按本章第4.3条规定，批准工程分包。</w:t>
      </w:r>
    </w:p>
    <w:p>
      <w:pPr>
        <w:spacing w:line="440" w:lineRule="exact"/>
        <w:rPr>
          <w:b w:val="0"/>
          <w:bCs/>
          <w:color w:val="auto"/>
          <w:sz w:val="21"/>
          <w:szCs w:val="21"/>
          <w:highlight w:val="none"/>
        </w:rPr>
      </w:pPr>
      <w:r>
        <w:rPr>
          <w:rFonts w:hint="eastAsia"/>
          <w:b w:val="0"/>
          <w:bCs/>
          <w:color w:val="auto"/>
          <w:sz w:val="21"/>
          <w:szCs w:val="21"/>
          <w:highlight w:val="none"/>
        </w:rPr>
        <w:t xml:space="preserve">    （2）按本章第11.3款规定，确定延长完工期限。</w:t>
      </w:r>
    </w:p>
    <w:p>
      <w:pPr>
        <w:spacing w:line="440" w:lineRule="exact"/>
        <w:rPr>
          <w:b w:val="0"/>
          <w:bCs/>
          <w:color w:val="auto"/>
          <w:sz w:val="21"/>
          <w:szCs w:val="21"/>
          <w:highlight w:val="none"/>
        </w:rPr>
      </w:pPr>
      <w:r>
        <w:rPr>
          <w:rFonts w:hint="eastAsia"/>
          <w:b w:val="0"/>
          <w:bCs/>
          <w:color w:val="auto"/>
          <w:sz w:val="21"/>
          <w:szCs w:val="21"/>
          <w:highlight w:val="none"/>
        </w:rPr>
        <w:t xml:space="preserve">    （3）按本章第15.6款规定，批准暂列金额的使用。</w:t>
      </w:r>
    </w:p>
    <w:p>
      <w:pPr>
        <w:spacing w:line="440" w:lineRule="exact"/>
        <w:rPr>
          <w:b w:val="0"/>
          <w:bCs/>
          <w:color w:val="auto"/>
          <w:sz w:val="21"/>
          <w:szCs w:val="21"/>
          <w:highlight w:val="none"/>
        </w:rPr>
      </w:pPr>
      <w:r>
        <w:rPr>
          <w:rFonts w:hint="eastAsia"/>
          <w:b w:val="0"/>
          <w:bCs/>
          <w:color w:val="auto"/>
          <w:sz w:val="21"/>
          <w:szCs w:val="21"/>
          <w:highlight w:val="none"/>
        </w:rPr>
        <w:t xml:space="preserve">    （4）……</w:t>
      </w:r>
    </w:p>
    <w:p>
      <w:pPr>
        <w:spacing w:line="440" w:lineRule="exact"/>
        <w:rPr>
          <w:rFonts w:hint="eastAsia"/>
          <w:b w:val="0"/>
          <w:bCs/>
          <w:color w:val="auto"/>
          <w:sz w:val="21"/>
          <w:szCs w:val="21"/>
          <w:highlight w:val="none"/>
        </w:rPr>
      </w:pPr>
    </w:p>
    <w:p>
      <w:pPr>
        <w:spacing w:line="440" w:lineRule="exact"/>
        <w:rPr>
          <w:b w:val="0"/>
          <w:bCs/>
          <w:color w:val="auto"/>
          <w:sz w:val="21"/>
          <w:szCs w:val="21"/>
          <w:highlight w:val="none"/>
        </w:rPr>
      </w:pPr>
      <w:r>
        <w:rPr>
          <w:rFonts w:hint="eastAsia"/>
          <w:b w:val="0"/>
          <w:bCs/>
          <w:color w:val="auto"/>
          <w:sz w:val="21"/>
          <w:szCs w:val="21"/>
          <w:highlight w:val="none"/>
        </w:rPr>
        <w:t>4 承包人</w:t>
      </w:r>
    </w:p>
    <w:p>
      <w:pPr>
        <w:spacing w:line="440" w:lineRule="exact"/>
        <w:rPr>
          <w:b w:val="0"/>
          <w:bCs/>
          <w:color w:val="auto"/>
          <w:sz w:val="21"/>
          <w:szCs w:val="21"/>
          <w:highlight w:val="none"/>
        </w:rPr>
      </w:pPr>
      <w:r>
        <w:rPr>
          <w:rFonts w:hint="eastAsia"/>
          <w:b w:val="0"/>
          <w:bCs/>
          <w:color w:val="auto"/>
          <w:sz w:val="21"/>
          <w:szCs w:val="21"/>
          <w:highlight w:val="none"/>
        </w:rPr>
        <w:t>4.1承包人的一般义务</w:t>
      </w:r>
    </w:p>
    <w:p>
      <w:pPr>
        <w:spacing w:line="440" w:lineRule="exact"/>
        <w:rPr>
          <w:b w:val="0"/>
          <w:bCs/>
          <w:color w:val="auto"/>
          <w:sz w:val="21"/>
          <w:szCs w:val="21"/>
          <w:highlight w:val="none"/>
        </w:rPr>
      </w:pPr>
      <w:r>
        <w:rPr>
          <w:rFonts w:hint="eastAsia"/>
          <w:b w:val="0"/>
          <w:bCs/>
          <w:color w:val="auto"/>
          <w:sz w:val="21"/>
          <w:szCs w:val="21"/>
          <w:highlight w:val="none"/>
        </w:rPr>
        <w:t xml:space="preserve">    4.1.10其他义务</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rPr>
        <w:t>（1）</w:t>
      </w:r>
      <w:r>
        <w:rPr>
          <w:rFonts w:hint="eastAsia"/>
          <w:b w:val="0"/>
          <w:bCs/>
          <w:color w:val="auto"/>
          <w:sz w:val="21"/>
          <w:szCs w:val="21"/>
          <w:highlight w:val="none"/>
          <w:u w:val="single"/>
        </w:rPr>
        <w:t>协助发包人承担有关政策处理事宜；</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rPr>
        <w:t>（2</w:t>
      </w:r>
      <w:r>
        <w:rPr>
          <w:b w:val="0"/>
          <w:bCs/>
          <w:color w:val="auto"/>
          <w:sz w:val="21"/>
          <w:szCs w:val="21"/>
          <w:highlight w:val="none"/>
        </w:rPr>
        <w:t xml:space="preserve">） </w:t>
      </w:r>
      <w:r>
        <w:rPr>
          <w:b w:val="0"/>
          <w:bCs/>
          <w:color w:val="auto"/>
          <w:sz w:val="21"/>
          <w:szCs w:val="21"/>
          <w:highlight w:val="none"/>
          <w:u w:val="single"/>
        </w:rPr>
        <w:t>按时向发包人（或工程师）提交开竣</w:t>
      </w:r>
      <w:r>
        <w:rPr>
          <w:rFonts w:hint="eastAsia"/>
          <w:b w:val="0"/>
          <w:bCs/>
          <w:color w:val="auto"/>
          <w:sz w:val="21"/>
          <w:szCs w:val="21"/>
          <w:highlight w:val="none"/>
          <w:u w:val="single"/>
        </w:rPr>
        <w:t>（完）</w:t>
      </w:r>
      <w:r>
        <w:rPr>
          <w:b w:val="0"/>
          <w:bCs/>
          <w:color w:val="auto"/>
          <w:sz w:val="21"/>
          <w:szCs w:val="21"/>
          <w:highlight w:val="none"/>
          <w:u w:val="single"/>
        </w:rPr>
        <w:t>工报告、隐蔽工程验收报告、质量自检记录、交工验收报告及工程事故报告等资料。</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（3</w:t>
      </w:r>
      <w:r>
        <w:rPr>
          <w:b w:val="0"/>
          <w:bCs/>
          <w:color w:val="auto"/>
          <w:sz w:val="21"/>
          <w:szCs w:val="21"/>
          <w:highlight w:val="none"/>
        </w:rPr>
        <w:t>）</w:t>
      </w:r>
      <w:r>
        <w:rPr>
          <w:b w:val="0"/>
          <w:bCs/>
          <w:color w:val="auto"/>
          <w:sz w:val="21"/>
          <w:szCs w:val="21"/>
          <w:highlight w:val="none"/>
          <w:u w:val="single"/>
        </w:rPr>
        <w:t xml:space="preserve"> 负责放样、测量。每次测量成果均应有复核记录，并及时将测量成果记录书面送交监理人确认。承包人应对测量成果承担全部责任。</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（4</w:t>
      </w:r>
      <w:r>
        <w:rPr>
          <w:b w:val="0"/>
          <w:bCs/>
          <w:color w:val="auto"/>
          <w:sz w:val="21"/>
          <w:szCs w:val="21"/>
          <w:highlight w:val="none"/>
        </w:rPr>
        <w:t>）</w:t>
      </w:r>
      <w:r>
        <w:rPr>
          <w:b w:val="0"/>
          <w:bCs/>
          <w:color w:val="auto"/>
          <w:sz w:val="21"/>
          <w:szCs w:val="21"/>
          <w:highlight w:val="none"/>
          <w:u w:val="single"/>
        </w:rPr>
        <w:t xml:space="preserve"> 必须接受发包人的管理或其委托的监理单位的监理，并为其开展工作和生活提供方便，按照要求提供完整真实的原始记录、检测记录等技术资料及各种报表。</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（5</w:t>
      </w:r>
      <w:r>
        <w:rPr>
          <w:b w:val="0"/>
          <w:bCs/>
          <w:color w:val="auto"/>
          <w:sz w:val="21"/>
          <w:szCs w:val="21"/>
          <w:highlight w:val="none"/>
        </w:rPr>
        <w:t>）</w:t>
      </w:r>
      <w:r>
        <w:rPr>
          <w:b w:val="0"/>
          <w:bCs/>
          <w:color w:val="auto"/>
          <w:sz w:val="21"/>
          <w:szCs w:val="21"/>
          <w:highlight w:val="none"/>
          <w:u w:val="single"/>
        </w:rPr>
        <w:t xml:space="preserve"> 承包人必须开展工程施工合同质量管理，密切配合工程师全面质量管理、环境管理和职业安全健康管理等工作的进行。</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（6</w:t>
      </w:r>
      <w:r>
        <w:rPr>
          <w:b w:val="0"/>
          <w:bCs/>
          <w:color w:val="auto"/>
          <w:sz w:val="21"/>
          <w:szCs w:val="21"/>
          <w:highlight w:val="none"/>
        </w:rPr>
        <w:t>）</w:t>
      </w:r>
      <w:r>
        <w:rPr>
          <w:b w:val="0"/>
          <w:bCs/>
          <w:color w:val="auto"/>
          <w:sz w:val="21"/>
          <w:szCs w:val="21"/>
          <w:highlight w:val="none"/>
          <w:u w:val="single"/>
        </w:rPr>
        <w:t xml:space="preserve"> 承包人不按合同约定完成以上工作，发包人有权限令其停止施工并进行整改，由此引起的损失由承包人承担。</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（7）</w:t>
      </w:r>
      <w:r>
        <w:rPr>
          <w:b w:val="0"/>
          <w:bCs/>
          <w:color w:val="auto"/>
          <w:sz w:val="21"/>
          <w:szCs w:val="21"/>
          <w:highlight w:val="none"/>
          <w:u w:val="single"/>
        </w:rPr>
        <w:t>承包人应执行发包人对工程管理所制定的各项管理制度。</w:t>
      </w:r>
    </w:p>
    <w:p>
      <w:pPr>
        <w:spacing w:line="440" w:lineRule="exact"/>
        <w:ind w:firstLine="420" w:firstLineChars="200"/>
        <w:textAlignment w:val="bottom"/>
        <w:rPr>
          <w:b w:val="0"/>
          <w:bCs/>
          <w:color w:val="auto"/>
          <w:sz w:val="21"/>
          <w:szCs w:val="21"/>
          <w:highlight w:val="none"/>
          <w:u w:val="single"/>
        </w:rPr>
      </w:pPr>
      <w:r>
        <w:rPr>
          <w:rFonts w:hint="eastAsia"/>
          <w:b w:val="0"/>
          <w:bCs/>
          <w:color w:val="auto"/>
          <w:sz w:val="21"/>
          <w:szCs w:val="21"/>
          <w:highlight w:val="none"/>
        </w:rPr>
        <w:t>（8</w:t>
      </w:r>
      <w:r>
        <w:rPr>
          <w:b w:val="0"/>
          <w:bCs/>
          <w:color w:val="auto"/>
          <w:sz w:val="21"/>
          <w:szCs w:val="21"/>
          <w:highlight w:val="none"/>
        </w:rPr>
        <w:t>）</w:t>
      </w:r>
      <w:r>
        <w:rPr>
          <w:b w:val="0"/>
          <w:bCs/>
          <w:color w:val="auto"/>
          <w:sz w:val="21"/>
          <w:szCs w:val="21"/>
          <w:highlight w:val="none"/>
          <w:u w:val="single"/>
        </w:rPr>
        <w:t xml:space="preserve"> 参加发包人召开的与本工程相关的会议，并作好会前有关资料的准备。在保修期内要及时做好回访工作，属保修责任范围的事项应及时按质检标准修好。</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eastAsia="zh-CN"/>
        </w:rPr>
        <w:t>（</w:t>
      </w:r>
      <w:r>
        <w:rPr>
          <w:rFonts w:hint="eastAsia"/>
          <w:b w:val="0"/>
          <w:bCs/>
          <w:color w:val="auto"/>
          <w:sz w:val="21"/>
          <w:szCs w:val="21"/>
          <w:highlight w:val="none"/>
          <w:u w:val="single"/>
          <w:lang w:val="en-US" w:eastAsia="zh-CN"/>
        </w:rPr>
        <w:t>9</w:t>
      </w:r>
      <w:r>
        <w:rPr>
          <w:rFonts w:hint="eastAsia"/>
          <w:b w:val="0"/>
          <w:bCs/>
          <w:color w:val="auto"/>
          <w:sz w:val="21"/>
          <w:szCs w:val="21"/>
          <w:highlight w:val="none"/>
          <w:u w:val="single"/>
          <w:lang w:eastAsia="zh-CN"/>
        </w:rPr>
        <w:t>）</w:t>
      </w:r>
      <w:r>
        <w:rPr>
          <w:rFonts w:hint="eastAsia"/>
          <w:b w:val="0"/>
          <w:bCs/>
          <w:color w:val="auto"/>
          <w:sz w:val="21"/>
          <w:szCs w:val="21"/>
          <w:highlight w:val="none"/>
          <w:u w:val="single"/>
          <w:lang w:val="en-US" w:eastAsia="zh-CN"/>
        </w:rPr>
        <w:t>无偿配合发包人做好管道、阀门、水表等地理信息测绘工作。</w:t>
      </w:r>
    </w:p>
    <w:p>
      <w:pPr>
        <w:spacing w:line="440" w:lineRule="exact"/>
        <w:ind w:firstLine="420" w:firstLineChars="200"/>
        <w:textAlignment w:val="bottom"/>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（10）无偿做好水表户主的信息登记工作以及配合发包人做好水表普查工作。</w:t>
      </w:r>
    </w:p>
    <w:p>
      <w:pPr>
        <w:spacing w:line="440" w:lineRule="exact"/>
        <w:ind w:firstLine="420" w:firstLineChars="200"/>
        <w:textAlignment w:val="bottom"/>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（11）施工中所使用的管网水水量需按照自来水水价进行水费缴纳，含管道冲洗、排污、漏损等。</w:t>
      </w:r>
    </w:p>
    <w:p>
      <w:pPr>
        <w:spacing w:line="440" w:lineRule="exact"/>
        <w:ind w:firstLine="420" w:firstLineChars="200"/>
        <w:textAlignment w:val="bottom"/>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single"/>
          <w:lang w:val="en-US" w:eastAsia="zh-CN"/>
        </w:rPr>
        <w:t>（12）施工中需使用管网水、涉及自来水公司阀门和管网的必须通知相关部门，不得擅自操作。</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val="en-US" w:eastAsia="zh-CN"/>
        </w:rPr>
        <w:t>（13）承包人应当及时清运工程施工过程中产生的建筑垃圾，并按照相关部门规定处置，防止污染环境。如未按规定处置，承担相应责任。</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val="en-US" w:eastAsia="zh-CN"/>
        </w:rPr>
        <w:t>（14）承包人应规范建筑垃圾处置分包合同管理，建筑垃圾运输业务应当发包给本工程建筑垃圾处置证核准确定的运输单位。</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val="en-US" w:eastAsia="zh-CN"/>
        </w:rPr>
        <w:t>（15）承包人负责根据施工合同约定和相关法律法规要求，编制工程建筑垃圾处置方案，向项目所在地城管部门进行备案，并在工地出入口做好公示及日常维护工作。</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val="en-US" w:eastAsia="zh-CN"/>
        </w:rPr>
        <w:t>（16）承包人要加强建筑垃圾处置分包合同履约监管，严格核对建筑垃圾运输车辆，对不具备垃圾处置证、准运证、通行证的工程车辆，要及时清退。杜绝运输单位将建筑垃圾运输至非指定消纳场所，确保运输和处置规范。</w:t>
      </w:r>
    </w:p>
    <w:p>
      <w:pPr>
        <w:spacing w:line="440" w:lineRule="exact"/>
        <w:ind w:firstLine="420" w:firstLineChars="200"/>
        <w:textAlignment w:val="bottom"/>
        <w:rPr>
          <w:rFonts w:hint="eastAsia"/>
          <w:b w:val="0"/>
          <w:bCs/>
          <w:color w:val="auto"/>
          <w:sz w:val="21"/>
          <w:szCs w:val="21"/>
          <w:highlight w:val="none"/>
          <w:u w:val="single"/>
          <w:lang w:val="en-US" w:eastAsia="zh-CN"/>
        </w:rPr>
      </w:pPr>
      <w:r>
        <w:rPr>
          <w:rFonts w:hint="eastAsia"/>
          <w:b w:val="0"/>
          <w:bCs/>
          <w:color w:val="auto"/>
          <w:sz w:val="21"/>
          <w:szCs w:val="21"/>
          <w:highlight w:val="none"/>
          <w:u w:val="single"/>
          <w:lang w:val="en-US" w:eastAsia="zh-CN"/>
        </w:rPr>
        <w:t>（17）承包人与运输、处置单位结算相关费用前应当查验接纳回执。</w:t>
      </w:r>
    </w:p>
    <w:p>
      <w:pPr>
        <w:spacing w:line="440" w:lineRule="exact"/>
        <w:rPr>
          <w:b w:val="0"/>
          <w:bCs/>
          <w:color w:val="auto"/>
          <w:sz w:val="21"/>
          <w:szCs w:val="21"/>
          <w:highlight w:val="none"/>
        </w:rPr>
      </w:pPr>
      <w:r>
        <w:rPr>
          <w:rFonts w:hint="eastAsia"/>
          <w:b w:val="0"/>
          <w:bCs/>
          <w:color w:val="auto"/>
          <w:sz w:val="21"/>
          <w:szCs w:val="21"/>
          <w:highlight w:val="none"/>
        </w:rPr>
        <w:t>4.3分包</w:t>
      </w:r>
    </w:p>
    <w:p>
      <w:pPr>
        <w:spacing w:line="440" w:lineRule="exact"/>
        <w:rPr>
          <w:b w:val="0"/>
          <w:bCs/>
          <w:color w:val="auto"/>
          <w:sz w:val="21"/>
          <w:szCs w:val="21"/>
          <w:highlight w:val="none"/>
        </w:rPr>
      </w:pPr>
      <w:r>
        <w:rPr>
          <w:rFonts w:hint="eastAsia"/>
          <w:b w:val="0"/>
          <w:bCs/>
          <w:color w:val="auto"/>
          <w:sz w:val="21"/>
          <w:szCs w:val="21"/>
          <w:highlight w:val="none"/>
        </w:rPr>
        <w:t xml:space="preserve">    4.3.2允许承包人分包的工程项目、工作内容与分包金额如下：</w:t>
      </w:r>
    </w:p>
    <w:p>
      <w:pPr>
        <w:spacing w:line="440" w:lineRule="exact"/>
        <w:rPr>
          <w:b w:val="0"/>
          <w:bCs/>
          <w:color w:val="auto"/>
          <w:sz w:val="21"/>
          <w:szCs w:val="21"/>
          <w:highlight w:val="none"/>
        </w:rPr>
      </w:pPr>
      <w:r>
        <w:rPr>
          <w:rFonts w:hint="eastAsia"/>
          <w:b w:val="0"/>
          <w:bCs/>
          <w:color w:val="auto"/>
          <w:sz w:val="21"/>
          <w:szCs w:val="21"/>
          <w:highlight w:val="none"/>
        </w:rPr>
        <w:t xml:space="preserve">    （1）工程项目：</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w:t>
      </w:r>
    </w:p>
    <w:p>
      <w:pPr>
        <w:spacing w:line="440" w:lineRule="exact"/>
        <w:rPr>
          <w:b w:val="0"/>
          <w:bCs/>
          <w:color w:val="auto"/>
          <w:sz w:val="21"/>
          <w:szCs w:val="21"/>
          <w:highlight w:val="none"/>
        </w:rPr>
      </w:pPr>
      <w:r>
        <w:rPr>
          <w:rFonts w:hint="eastAsia"/>
          <w:b w:val="0"/>
          <w:bCs/>
          <w:color w:val="auto"/>
          <w:sz w:val="21"/>
          <w:szCs w:val="21"/>
          <w:highlight w:val="none"/>
        </w:rPr>
        <w:t xml:space="preserve">    （2）工作内容：</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w:t>
      </w:r>
    </w:p>
    <w:p>
      <w:pPr>
        <w:spacing w:line="440" w:lineRule="exact"/>
        <w:rPr>
          <w:b w:val="0"/>
          <w:bCs/>
          <w:color w:val="auto"/>
          <w:sz w:val="21"/>
          <w:szCs w:val="21"/>
          <w:highlight w:val="none"/>
        </w:rPr>
      </w:pPr>
      <w:r>
        <w:rPr>
          <w:rFonts w:hint="eastAsia"/>
          <w:b w:val="0"/>
          <w:bCs/>
          <w:color w:val="auto"/>
          <w:sz w:val="21"/>
          <w:szCs w:val="21"/>
          <w:highlight w:val="none"/>
        </w:rPr>
        <w:t xml:space="preserve">    （3）分包金额限额：</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w:t>
      </w:r>
    </w:p>
    <w:p>
      <w:pPr>
        <w:spacing w:line="440" w:lineRule="exact"/>
        <w:rPr>
          <w:b w:val="0"/>
          <w:bCs/>
          <w:color w:val="auto"/>
          <w:sz w:val="21"/>
          <w:szCs w:val="21"/>
          <w:highlight w:val="none"/>
        </w:rPr>
      </w:pPr>
      <w:r>
        <w:rPr>
          <w:rFonts w:hint="eastAsia"/>
          <w:b w:val="0"/>
          <w:bCs/>
          <w:color w:val="auto"/>
          <w:sz w:val="21"/>
          <w:szCs w:val="21"/>
          <w:highlight w:val="none"/>
        </w:rPr>
        <w:t xml:space="preserve">    4.3.10分包人项目管理机构的设立：</w:t>
      </w:r>
      <w:r>
        <w:rPr>
          <w:rFonts w:hint="eastAsia"/>
          <w:b w:val="0"/>
          <w:bCs/>
          <w:color w:val="auto"/>
          <w:sz w:val="21"/>
          <w:szCs w:val="21"/>
          <w:highlight w:val="none"/>
          <w:u w:val="single"/>
        </w:rPr>
        <w:t xml:space="preserve">       .</w:t>
      </w:r>
    </w:p>
    <w:p>
      <w:pPr>
        <w:spacing w:line="440" w:lineRule="exact"/>
        <w:rPr>
          <w:b w:val="0"/>
          <w:bCs/>
          <w:color w:val="auto"/>
          <w:sz w:val="21"/>
          <w:szCs w:val="21"/>
          <w:highlight w:val="none"/>
        </w:rPr>
      </w:pPr>
      <w:r>
        <w:rPr>
          <w:rFonts w:hint="eastAsia"/>
          <w:b w:val="0"/>
          <w:bCs/>
          <w:color w:val="auto"/>
          <w:sz w:val="21"/>
          <w:szCs w:val="21"/>
          <w:highlight w:val="none"/>
        </w:rPr>
        <w:t>4.5承包项目负责人</w:t>
      </w:r>
    </w:p>
    <w:p>
      <w:pPr>
        <w:spacing w:line="440" w:lineRule="exact"/>
        <w:rPr>
          <w:b w:val="0"/>
          <w:bCs/>
          <w:color w:val="auto"/>
          <w:sz w:val="21"/>
          <w:szCs w:val="21"/>
          <w:highlight w:val="none"/>
        </w:rPr>
      </w:pPr>
      <w:r>
        <w:rPr>
          <w:rFonts w:hint="eastAsia"/>
          <w:b w:val="0"/>
          <w:bCs/>
          <w:color w:val="auto"/>
          <w:sz w:val="21"/>
          <w:szCs w:val="21"/>
          <w:highlight w:val="none"/>
        </w:rPr>
        <w:t xml:space="preserve">    本章4.5.5款补充：</w:t>
      </w:r>
    </w:p>
    <w:p>
      <w:pPr>
        <w:spacing w:line="440" w:lineRule="exact"/>
        <w:ind w:firstLine="465"/>
        <w:rPr>
          <w:b w:val="0"/>
          <w:bCs/>
          <w:color w:val="auto"/>
          <w:sz w:val="21"/>
          <w:szCs w:val="21"/>
          <w:highlight w:val="none"/>
        </w:rPr>
      </w:pPr>
      <w:r>
        <w:rPr>
          <w:rFonts w:hint="eastAsia"/>
          <w:b w:val="0"/>
          <w:bCs/>
          <w:color w:val="auto"/>
          <w:sz w:val="21"/>
          <w:szCs w:val="21"/>
          <w:highlight w:val="none"/>
        </w:rPr>
        <w:t>承包人配合发包人做好人脸识别</w:t>
      </w:r>
      <w:r>
        <w:rPr>
          <w:rFonts w:hint="eastAsia" w:eastAsia="宋体"/>
          <w:b w:val="0"/>
          <w:bCs/>
          <w:color w:val="auto"/>
          <w:sz w:val="21"/>
          <w:szCs w:val="21"/>
          <w:highlight w:val="none"/>
          <w:lang w:eastAsia="zh-CN"/>
        </w:rPr>
        <w:t>或指纹识别或手工考勤</w:t>
      </w:r>
      <w:r>
        <w:rPr>
          <w:rFonts w:hint="eastAsia"/>
          <w:b w:val="0"/>
          <w:bCs/>
          <w:color w:val="auto"/>
          <w:sz w:val="21"/>
          <w:szCs w:val="21"/>
          <w:highlight w:val="none"/>
        </w:rPr>
        <w:t>系统信息的录入，项目班组人员实行人脸识别</w:t>
      </w:r>
      <w:r>
        <w:rPr>
          <w:rFonts w:hint="eastAsia" w:eastAsia="宋体"/>
          <w:b w:val="0"/>
          <w:bCs/>
          <w:color w:val="auto"/>
          <w:sz w:val="21"/>
          <w:szCs w:val="21"/>
          <w:highlight w:val="none"/>
          <w:lang w:eastAsia="zh-CN"/>
        </w:rPr>
        <w:t>或指纹识别或手工考勤</w:t>
      </w:r>
      <w:r>
        <w:rPr>
          <w:rFonts w:hint="eastAsia"/>
          <w:b w:val="0"/>
          <w:bCs/>
          <w:color w:val="auto"/>
          <w:sz w:val="21"/>
          <w:szCs w:val="21"/>
          <w:highlight w:val="none"/>
        </w:rPr>
        <w:t>系统考勤，发包人或其委托的监理人负责对项目班组人员的考勤情况进行核对，并对不满足投标承诺到位天数的项目班组人员有权进行相应扣款。</w:t>
      </w:r>
    </w:p>
    <w:p>
      <w:pPr>
        <w:spacing w:line="440" w:lineRule="exact"/>
        <w:ind w:firstLine="465"/>
        <w:rPr>
          <w:rFonts w:hint="eastAsia"/>
          <w:b w:val="0"/>
          <w:bCs/>
          <w:color w:val="auto"/>
          <w:sz w:val="21"/>
          <w:szCs w:val="21"/>
          <w:highlight w:val="none"/>
        </w:rPr>
      </w:pPr>
      <w:r>
        <w:rPr>
          <w:rFonts w:hint="eastAsia"/>
          <w:b w:val="0"/>
          <w:bCs/>
          <w:color w:val="auto"/>
          <w:sz w:val="21"/>
          <w:szCs w:val="21"/>
          <w:highlight w:val="none"/>
        </w:rPr>
        <w:t>项目班组人员每月驻工地的天数不少于</w:t>
      </w:r>
      <w:r>
        <w:rPr>
          <w:rFonts w:hint="eastAsia" w:ascii="宋体"/>
          <w:b w:val="0"/>
          <w:bCs/>
          <w:color w:val="auto"/>
          <w:sz w:val="21"/>
          <w:szCs w:val="21"/>
          <w:highlight w:val="none"/>
          <w:u w:val="single"/>
          <w:lang w:val="en-US"/>
        </w:rPr>
        <w:t>2</w:t>
      </w:r>
      <w:r>
        <w:rPr>
          <w:rFonts w:hint="eastAsia" w:ascii="宋体" w:eastAsia="宋体"/>
          <w:b w:val="0"/>
          <w:bCs/>
          <w:color w:val="auto"/>
          <w:sz w:val="21"/>
          <w:szCs w:val="21"/>
          <w:highlight w:val="none"/>
          <w:u w:val="single"/>
          <w:lang w:val="en-US" w:eastAsia="zh-CN"/>
        </w:rPr>
        <w:t>2</w:t>
      </w:r>
      <w:r>
        <w:rPr>
          <w:rFonts w:hint="eastAsia"/>
          <w:b w:val="0"/>
          <w:bCs/>
          <w:color w:val="auto"/>
          <w:sz w:val="21"/>
          <w:szCs w:val="21"/>
          <w:highlight w:val="none"/>
        </w:rPr>
        <w:t>天且每天两次考勤，两次考勤时间</w:t>
      </w:r>
      <w:r>
        <w:rPr>
          <w:rFonts w:hint="eastAsia"/>
          <w:b w:val="0"/>
          <w:bCs/>
          <w:color w:val="auto"/>
          <w:sz w:val="21"/>
          <w:szCs w:val="21"/>
          <w:highlight w:val="none"/>
          <w:lang w:val="en-US" w:eastAsia="zh-CN"/>
        </w:rPr>
        <w:t>为8：00—17:00之间，且两次考勤时间间隔不得少于5小时，</w:t>
      </w:r>
      <w:r>
        <w:rPr>
          <w:rFonts w:hint="eastAsia"/>
          <w:b w:val="0"/>
          <w:bCs/>
          <w:color w:val="auto"/>
          <w:sz w:val="21"/>
          <w:szCs w:val="21"/>
          <w:highlight w:val="none"/>
        </w:rPr>
        <w:t>每少一天支付违约金</w:t>
      </w:r>
      <w:r>
        <w:rPr>
          <w:rFonts w:hint="eastAsia"/>
          <w:b w:val="0"/>
          <w:bCs/>
          <w:color w:val="auto"/>
          <w:sz w:val="21"/>
          <w:szCs w:val="21"/>
          <w:highlight w:val="none"/>
          <w:u w:val="single"/>
          <w:lang w:val="en-US" w:eastAsia="zh-CN"/>
        </w:rPr>
        <w:t xml:space="preserve"> 2</w:t>
      </w:r>
      <w:r>
        <w:rPr>
          <w:rFonts w:hint="eastAsia"/>
          <w:b w:val="0"/>
          <w:bCs/>
          <w:color w:val="auto"/>
          <w:sz w:val="21"/>
          <w:szCs w:val="21"/>
          <w:highlight w:val="none"/>
          <w:u w:val="single"/>
        </w:rPr>
        <w:t xml:space="preserve">000 </w:t>
      </w:r>
      <w:r>
        <w:rPr>
          <w:rFonts w:hint="eastAsia"/>
          <w:b w:val="0"/>
          <w:bCs/>
          <w:color w:val="auto"/>
          <w:sz w:val="21"/>
          <w:szCs w:val="21"/>
          <w:highlight w:val="none"/>
        </w:rPr>
        <w:t>元，但扣款最终的累计总金额不应超过</w:t>
      </w:r>
      <w:r>
        <w:rPr>
          <w:rFonts w:hint="eastAsia"/>
          <w:b w:val="0"/>
          <w:bCs/>
          <w:color w:val="auto"/>
          <w:sz w:val="21"/>
          <w:szCs w:val="21"/>
          <w:highlight w:val="none"/>
          <w:lang w:val="en-US"/>
        </w:rPr>
        <w:t>10</w:t>
      </w:r>
      <w:r>
        <w:rPr>
          <w:rFonts w:hint="eastAsia"/>
          <w:b w:val="0"/>
          <w:bCs/>
          <w:color w:val="auto"/>
          <w:sz w:val="21"/>
          <w:szCs w:val="21"/>
          <w:highlight w:val="none"/>
        </w:rPr>
        <w:t>万元/人。</w:t>
      </w:r>
    </w:p>
    <w:p>
      <w:pPr>
        <w:spacing w:line="440" w:lineRule="exact"/>
        <w:ind w:firstLine="465"/>
        <w:rPr>
          <w:rFonts w:hint="eastAsia"/>
          <w:b w:val="0"/>
          <w:bCs/>
          <w:color w:val="auto"/>
          <w:sz w:val="21"/>
          <w:szCs w:val="21"/>
          <w:highlight w:val="none"/>
        </w:rPr>
      </w:pPr>
      <w:r>
        <w:rPr>
          <w:rFonts w:hint="eastAsia"/>
          <w:b w:val="0"/>
          <w:bCs/>
          <w:color w:val="auto"/>
          <w:sz w:val="21"/>
          <w:szCs w:val="21"/>
          <w:highlight w:val="none"/>
        </w:rPr>
        <w:t>上述违约金在当月工程进度款中直接扣除，在工地工作天数按</w:t>
      </w:r>
      <w:r>
        <w:rPr>
          <w:rFonts w:hint="eastAsia" w:eastAsia="宋体"/>
          <w:b w:val="0"/>
          <w:bCs/>
          <w:color w:val="auto"/>
          <w:sz w:val="21"/>
          <w:szCs w:val="21"/>
          <w:highlight w:val="none"/>
          <w:lang w:eastAsia="zh-CN"/>
        </w:rPr>
        <w:t>考勤</w:t>
      </w:r>
      <w:r>
        <w:rPr>
          <w:rFonts w:hint="eastAsia"/>
          <w:b w:val="0"/>
          <w:bCs/>
          <w:color w:val="auto"/>
          <w:sz w:val="21"/>
          <w:szCs w:val="21"/>
          <w:highlight w:val="none"/>
        </w:rPr>
        <w:t>系统或监理人实际考勤记录为准。</w:t>
      </w:r>
    </w:p>
    <w:p>
      <w:pPr>
        <w:spacing w:line="440" w:lineRule="exact"/>
        <w:ind w:firstLine="465"/>
        <w:rPr>
          <w:rFonts w:hint="eastAsia"/>
          <w:b w:val="0"/>
          <w:bCs/>
          <w:color w:val="auto"/>
          <w:sz w:val="21"/>
          <w:szCs w:val="21"/>
          <w:highlight w:val="none"/>
        </w:rPr>
      </w:pPr>
      <w:r>
        <w:rPr>
          <w:rFonts w:hint="eastAsia"/>
          <w:b w:val="0"/>
          <w:bCs/>
          <w:color w:val="auto"/>
          <w:sz w:val="21"/>
          <w:szCs w:val="21"/>
          <w:highlight w:val="none"/>
        </w:rPr>
        <w:t>承包人的项目负责人连续</w:t>
      </w:r>
      <w:r>
        <w:rPr>
          <w:rFonts w:hint="eastAsia"/>
          <w:b w:val="0"/>
          <w:bCs/>
          <w:color w:val="auto"/>
          <w:sz w:val="21"/>
          <w:szCs w:val="21"/>
          <w:highlight w:val="none"/>
          <w:u w:val="single"/>
        </w:rPr>
        <w:t xml:space="preserve"> 2 </w:t>
      </w:r>
      <w:r>
        <w:rPr>
          <w:rFonts w:hint="eastAsia"/>
          <w:b w:val="0"/>
          <w:bCs/>
          <w:color w:val="auto"/>
          <w:sz w:val="21"/>
          <w:szCs w:val="21"/>
          <w:highlight w:val="none"/>
        </w:rPr>
        <w:t>个月及以上每月驻工地的天数少于</w:t>
      </w:r>
      <w:r>
        <w:rPr>
          <w:rFonts w:hint="eastAsia"/>
          <w:b w:val="0"/>
          <w:bCs/>
          <w:color w:val="auto"/>
          <w:sz w:val="21"/>
          <w:szCs w:val="21"/>
          <w:highlight w:val="none"/>
          <w:u w:val="single"/>
        </w:rPr>
        <w:t xml:space="preserve"> 15 </w:t>
      </w:r>
      <w:r>
        <w:rPr>
          <w:rFonts w:hint="eastAsia"/>
          <w:b w:val="0"/>
          <w:bCs/>
          <w:color w:val="auto"/>
          <w:sz w:val="21"/>
          <w:szCs w:val="21"/>
          <w:highlight w:val="none"/>
        </w:rPr>
        <w:t>天，发包人有权解除合同。</w:t>
      </w:r>
    </w:p>
    <w:p>
      <w:pPr>
        <w:spacing w:line="440" w:lineRule="exact"/>
        <w:ind w:firstLine="465"/>
        <w:rPr>
          <w:rFonts w:hint="eastAsia"/>
          <w:b w:val="0"/>
          <w:bCs/>
          <w:color w:val="auto"/>
          <w:sz w:val="21"/>
          <w:szCs w:val="21"/>
          <w:highlight w:val="none"/>
        </w:rPr>
      </w:pPr>
      <w:r>
        <w:rPr>
          <w:rFonts w:hint="eastAsia" w:eastAsia="宋体"/>
          <w:b w:val="0"/>
          <w:bCs/>
          <w:color w:val="auto"/>
          <w:sz w:val="21"/>
          <w:szCs w:val="21"/>
          <w:highlight w:val="none"/>
          <w:lang w:eastAsia="zh-CN"/>
        </w:rPr>
        <w:t>注：</w:t>
      </w:r>
      <w:r>
        <w:rPr>
          <w:rFonts w:hint="eastAsia"/>
          <w:b w:val="0"/>
          <w:bCs/>
          <w:color w:val="auto"/>
          <w:sz w:val="21"/>
          <w:szCs w:val="21"/>
          <w:highlight w:val="none"/>
        </w:rPr>
        <w:t>人员考勤参照临水【2019】30号文件执行</w:t>
      </w:r>
      <w:r>
        <w:rPr>
          <w:rFonts w:hint="eastAsia" w:eastAsia="宋体"/>
          <w:b w:val="0"/>
          <w:bCs/>
          <w:color w:val="auto"/>
          <w:sz w:val="21"/>
          <w:szCs w:val="21"/>
          <w:highlight w:val="none"/>
          <w:lang w:eastAsia="zh-CN"/>
        </w:rPr>
        <w:t>。</w:t>
      </w:r>
    </w:p>
    <w:p>
      <w:pPr>
        <w:spacing w:line="440" w:lineRule="exact"/>
        <w:rPr>
          <w:b w:val="0"/>
          <w:bCs/>
          <w:color w:val="auto"/>
          <w:sz w:val="21"/>
          <w:szCs w:val="21"/>
          <w:highlight w:val="none"/>
        </w:rPr>
      </w:pPr>
      <w:r>
        <w:rPr>
          <w:rFonts w:hint="eastAsia"/>
          <w:b w:val="0"/>
          <w:bCs/>
          <w:color w:val="auto"/>
          <w:sz w:val="21"/>
          <w:szCs w:val="21"/>
          <w:highlight w:val="none"/>
        </w:rPr>
        <w:t>4.7撤换承包人项目负责人和其他人员</w:t>
      </w:r>
    </w:p>
    <w:p>
      <w:pPr>
        <w:spacing w:line="480" w:lineRule="exact"/>
        <w:ind w:firstLine="480"/>
        <w:rPr>
          <w:rFonts w:hint="eastAsia"/>
          <w:b w:val="0"/>
          <w:bCs/>
          <w:color w:val="auto"/>
          <w:sz w:val="21"/>
          <w:szCs w:val="21"/>
          <w:highlight w:val="none"/>
        </w:rPr>
      </w:pPr>
      <w:r>
        <w:rPr>
          <w:rFonts w:hint="eastAsia"/>
          <w:b w:val="0"/>
          <w:bCs/>
          <w:color w:val="auto"/>
          <w:sz w:val="21"/>
          <w:szCs w:val="21"/>
          <w:highlight w:val="none"/>
        </w:rPr>
        <w:t>本款补充：</w:t>
      </w:r>
    </w:p>
    <w:p>
      <w:pPr>
        <w:spacing w:line="480" w:lineRule="exact"/>
        <w:ind w:firstLine="480"/>
        <w:rPr>
          <w:rFonts w:hint="eastAsia"/>
          <w:b w:val="0"/>
          <w:bCs/>
          <w:color w:val="auto"/>
          <w:sz w:val="21"/>
          <w:szCs w:val="21"/>
          <w:highlight w:val="none"/>
        </w:rPr>
      </w:pPr>
      <w:r>
        <w:rPr>
          <w:rFonts w:hint="eastAsia"/>
          <w:b w:val="0"/>
          <w:bCs/>
          <w:color w:val="auto"/>
          <w:sz w:val="21"/>
          <w:szCs w:val="21"/>
          <w:highlight w:val="none"/>
        </w:rPr>
        <w:t>项目负责人、技术负责人不得擅自更换。若承包人擅自更换的，除每人次需支付</w:t>
      </w:r>
      <w:r>
        <w:rPr>
          <w:rFonts w:hint="eastAsia"/>
          <w:b w:val="0"/>
          <w:bCs/>
          <w:color w:val="auto"/>
          <w:sz w:val="21"/>
          <w:szCs w:val="21"/>
          <w:highlight w:val="none"/>
          <w:u w:val="single"/>
        </w:rPr>
        <w:t xml:space="preserve">  2  </w:t>
      </w:r>
      <w:r>
        <w:rPr>
          <w:rFonts w:hint="eastAsia"/>
          <w:b w:val="0"/>
          <w:bCs/>
          <w:color w:val="auto"/>
          <w:sz w:val="21"/>
          <w:szCs w:val="21"/>
          <w:highlight w:val="none"/>
        </w:rPr>
        <w:t>万元的违约金外，发包人有权将其作为不良行为记录上报水行政主管部门；情节特别严重的，发包人有权中止合同，并扣罚</w:t>
      </w:r>
      <w:r>
        <w:rPr>
          <w:rFonts w:hint="eastAsia"/>
          <w:b w:val="0"/>
          <w:bCs/>
          <w:color w:val="auto"/>
          <w:sz w:val="21"/>
          <w:szCs w:val="21"/>
          <w:highlight w:val="none"/>
          <w:lang w:val="en-US" w:eastAsia="zh-CN"/>
        </w:rPr>
        <w:t>合同价款</w:t>
      </w:r>
      <w:r>
        <w:rPr>
          <w:rFonts w:hint="eastAsia"/>
          <w:b w:val="0"/>
          <w:bCs/>
          <w:color w:val="auto"/>
          <w:sz w:val="21"/>
          <w:szCs w:val="21"/>
          <w:highlight w:val="none"/>
        </w:rPr>
        <w:t>的30%。在合同工程未通过完工验收或合同解除前，项目负责人、技术负责人确需更换的，应征得发包人、项目负责人备案主管部门同意，更换后的人员不得低于原投标承诺人员所具有的资格和业绩条件，并且提供该人员在本公司的三个月以上社保证明并支付每人次</w:t>
      </w:r>
      <w:r>
        <w:rPr>
          <w:rFonts w:hint="eastAsia"/>
          <w:b w:val="0"/>
          <w:bCs/>
          <w:color w:val="auto"/>
          <w:sz w:val="21"/>
          <w:szCs w:val="21"/>
          <w:highlight w:val="none"/>
          <w:u w:val="single"/>
        </w:rPr>
        <w:t xml:space="preserve"> 0.5 </w:t>
      </w:r>
      <w:r>
        <w:rPr>
          <w:rFonts w:hint="eastAsia"/>
          <w:b w:val="0"/>
          <w:bCs/>
          <w:color w:val="auto"/>
          <w:sz w:val="21"/>
          <w:szCs w:val="21"/>
          <w:highlight w:val="none"/>
        </w:rPr>
        <w:t>万元的违约金。违约金在工程进度付款中扣除。</w:t>
      </w:r>
    </w:p>
    <w:p>
      <w:pPr>
        <w:spacing w:line="480" w:lineRule="exact"/>
        <w:rPr>
          <w:b w:val="0"/>
          <w:bCs/>
          <w:color w:val="auto"/>
          <w:sz w:val="21"/>
          <w:szCs w:val="21"/>
          <w:highlight w:val="none"/>
        </w:rPr>
      </w:pPr>
      <w:r>
        <w:rPr>
          <w:rFonts w:hint="eastAsia"/>
          <w:b w:val="0"/>
          <w:bCs/>
          <w:color w:val="auto"/>
          <w:sz w:val="21"/>
          <w:szCs w:val="21"/>
          <w:highlight w:val="none"/>
        </w:rPr>
        <w:t>承包人的安全员、质量员、施工员等人员擅自调换每一次需支付违约金</w:t>
      </w:r>
      <w:r>
        <w:rPr>
          <w:rFonts w:hint="eastAsia"/>
          <w:b w:val="0"/>
          <w:bCs/>
          <w:color w:val="auto"/>
          <w:sz w:val="21"/>
          <w:szCs w:val="21"/>
          <w:highlight w:val="none"/>
          <w:u w:val="single"/>
        </w:rPr>
        <w:t xml:space="preserve">  1  </w:t>
      </w:r>
      <w:r>
        <w:rPr>
          <w:rFonts w:hint="eastAsia"/>
          <w:b w:val="0"/>
          <w:bCs/>
          <w:color w:val="auto"/>
          <w:sz w:val="21"/>
          <w:szCs w:val="21"/>
          <w:highlight w:val="none"/>
        </w:rPr>
        <w:t>万元；确需更换的，应征得发包人、备案主管部门同意，每人次需支付</w:t>
      </w:r>
      <w:r>
        <w:rPr>
          <w:rFonts w:hint="eastAsia"/>
          <w:b w:val="0"/>
          <w:bCs/>
          <w:color w:val="auto"/>
          <w:sz w:val="21"/>
          <w:szCs w:val="21"/>
          <w:highlight w:val="none"/>
          <w:u w:val="single"/>
        </w:rPr>
        <w:t xml:space="preserve"> 0.</w:t>
      </w:r>
      <w:r>
        <w:rPr>
          <w:rFonts w:hint="eastAsia"/>
          <w:b w:val="0"/>
          <w:bCs/>
          <w:color w:val="auto"/>
          <w:sz w:val="21"/>
          <w:szCs w:val="21"/>
          <w:highlight w:val="none"/>
          <w:u w:val="single"/>
          <w:lang w:val="en-US" w:eastAsia="zh-CN"/>
        </w:rPr>
        <w:t xml:space="preserve">5 </w:t>
      </w:r>
      <w:r>
        <w:rPr>
          <w:rFonts w:hint="eastAsia"/>
          <w:b w:val="0"/>
          <w:bCs/>
          <w:color w:val="auto"/>
          <w:sz w:val="21"/>
          <w:szCs w:val="21"/>
          <w:highlight w:val="none"/>
        </w:rPr>
        <w:t>万元的违约金。更换后的人员不得低于原投标承诺人员所具有的资格和业绩条件，并且提供该人员在本公司的三个月以上社保证明。项目班组人员变更不得超过三分之一</w:t>
      </w:r>
      <w:r>
        <w:rPr>
          <w:rFonts w:hint="eastAsia"/>
          <w:b w:val="0"/>
          <w:bCs/>
          <w:color w:val="auto"/>
          <w:sz w:val="21"/>
          <w:szCs w:val="21"/>
          <w:highlight w:val="none"/>
          <w:lang w:eastAsia="zh-CN"/>
        </w:rPr>
        <w:t>，</w:t>
      </w:r>
      <w:r>
        <w:rPr>
          <w:rFonts w:hint="eastAsia"/>
          <w:b w:val="0"/>
          <w:bCs/>
          <w:color w:val="auto"/>
          <w:sz w:val="21"/>
          <w:szCs w:val="21"/>
          <w:highlight w:val="none"/>
        </w:rPr>
        <w:t>违约金在工程进度付款中扣除。</w:t>
      </w:r>
    </w:p>
    <w:p>
      <w:pPr>
        <w:spacing w:line="440" w:lineRule="exact"/>
        <w:rPr>
          <w:b w:val="0"/>
          <w:bCs/>
          <w:color w:val="auto"/>
          <w:sz w:val="21"/>
          <w:szCs w:val="21"/>
          <w:highlight w:val="none"/>
        </w:rPr>
      </w:pPr>
      <w:r>
        <w:rPr>
          <w:rFonts w:hint="eastAsia"/>
          <w:b w:val="0"/>
          <w:bCs/>
          <w:color w:val="auto"/>
          <w:sz w:val="21"/>
          <w:szCs w:val="21"/>
          <w:highlight w:val="none"/>
        </w:rPr>
        <w:t>4.11不利物质条件</w:t>
      </w:r>
    </w:p>
    <w:p>
      <w:pPr>
        <w:spacing w:line="440" w:lineRule="exact"/>
        <w:ind w:firstLine="465"/>
        <w:rPr>
          <w:b w:val="0"/>
          <w:bCs/>
          <w:snapToGrid w:val="0"/>
          <w:color w:val="auto"/>
          <w:sz w:val="21"/>
          <w:szCs w:val="21"/>
          <w:highlight w:val="none"/>
        </w:rPr>
      </w:pPr>
      <w:r>
        <w:rPr>
          <w:rFonts w:hint="eastAsia"/>
          <w:b w:val="0"/>
          <w:bCs/>
          <w:color w:val="auto"/>
          <w:sz w:val="21"/>
          <w:szCs w:val="21"/>
          <w:highlight w:val="none"/>
        </w:rPr>
        <w:t>4.11.1不利物质条件的范围</w:t>
      </w:r>
      <w:r>
        <w:rPr>
          <w:rFonts w:hint="eastAsia"/>
          <w:b w:val="0"/>
          <w:bCs/>
          <w:color w:val="auto"/>
          <w:sz w:val="21"/>
          <w:szCs w:val="21"/>
          <w:highlight w:val="none"/>
          <w:u w:val="single"/>
        </w:rPr>
        <w:t>：</w:t>
      </w:r>
      <w:r>
        <w:rPr>
          <w:b w:val="0"/>
          <w:bCs/>
          <w:snapToGrid w:val="0"/>
          <w:color w:val="auto"/>
          <w:sz w:val="21"/>
          <w:szCs w:val="21"/>
          <w:highlight w:val="none"/>
          <w:u w:val="single"/>
        </w:rPr>
        <w:t>施工中遇到文物或古迹</w:t>
      </w:r>
      <w:r>
        <w:rPr>
          <w:rFonts w:hint="eastAsia"/>
          <w:b w:val="0"/>
          <w:bCs/>
          <w:snapToGrid w:val="0"/>
          <w:color w:val="auto"/>
          <w:sz w:val="21"/>
          <w:szCs w:val="21"/>
          <w:highlight w:val="none"/>
          <w:u w:val="single"/>
        </w:rPr>
        <w:t>、施工场地周围地下管线、地下障碍物和污染物、邻近建筑物、构筑物的保护要求</w:t>
      </w:r>
      <w:r>
        <w:rPr>
          <w:b w:val="0"/>
          <w:bCs/>
          <w:snapToGrid w:val="0"/>
          <w:color w:val="auto"/>
          <w:sz w:val="21"/>
          <w:szCs w:val="21"/>
          <w:highlight w:val="none"/>
        </w:rPr>
        <w:t>。</w:t>
      </w:r>
    </w:p>
    <w:p>
      <w:pPr>
        <w:spacing w:line="440" w:lineRule="exact"/>
        <w:ind w:firstLine="465"/>
        <w:rPr>
          <w:b w:val="0"/>
          <w:bCs/>
          <w:color w:val="auto"/>
          <w:sz w:val="21"/>
          <w:szCs w:val="21"/>
          <w:highlight w:val="none"/>
        </w:rPr>
      </w:pPr>
      <w:r>
        <w:rPr>
          <w:rFonts w:hint="eastAsia"/>
          <w:b w:val="0"/>
          <w:bCs/>
          <w:color w:val="auto"/>
          <w:sz w:val="21"/>
          <w:szCs w:val="21"/>
          <w:highlight w:val="none"/>
        </w:rPr>
        <w:t>4.12双方约定的承包人其他违约责任：</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一）项目管理：</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A、质量管理体系、规章制度及岗位责任制度不完善的，处以2000元/次的罚款。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 xml:space="preserve">B、施工组织设计不完善、专项施工方案未批先建、、实施措施不具体、资料不齐全的，处以2000元/项的罚款。 </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C、政府管理部门检查发现问题并书面通报批评的、检查评比中被评为较差工地的，处以10000元/次的罚款。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D、未对新进施工人员进行教育培训而直接上岗的，处以500元/人次的罚款。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E、各施工队伍间若出现打架现象，发包人将视情节严重程度每次处以2000—10000元的罚款，造成恶劣影响的，可要求更换施工队伍。</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F、承包人不得拖欠民工工资，因拖欠民工工资造成的一切后果均由承包人承担。发包人有权暂扣工程款（进度款），代付清工资，并扣罚</w:t>
      </w:r>
      <w:r>
        <w:rPr>
          <w:rFonts w:hint="eastAsia"/>
          <w:b w:val="0"/>
          <w:bCs/>
          <w:color w:val="auto"/>
          <w:sz w:val="21"/>
          <w:szCs w:val="21"/>
          <w:highlight w:val="none"/>
          <w:lang w:val="en-US" w:eastAsia="zh-CN"/>
        </w:rPr>
        <w:t>合同价款</w:t>
      </w:r>
      <w:r>
        <w:rPr>
          <w:rFonts w:hint="eastAsia"/>
          <w:b w:val="0"/>
          <w:bCs/>
          <w:color w:val="auto"/>
          <w:sz w:val="21"/>
          <w:szCs w:val="21"/>
          <w:highlight w:val="none"/>
        </w:rPr>
        <w:t>的20%。</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G、经上级主管部门、报刊、媒体通报批评，处以10000元/次的罚款。</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H、关于渣土运输及建筑垃圾运输的违约：</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1）承包人未按4.1.10（13~17）条规定分包渣土运输业务的，承包人应支付5000元/次违约金；</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承包人未按照4.1.10（13~17）条规定加强建筑垃圾处置分包合同履约监管，出现分包单位使用不符合规定的车辆进出施工现场运输建筑垃圾或将建筑垃圾运输至非指定消纳场所等现象的，承包人应支付5000元/次违约金；</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3）承包人未做好工程垃圾处理出土处置台账的，承包人应支付3000元/次违约金；</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4）承包人在结算前未查验接纳回执，与运输、处置单位结算相关费用的，承包人应支付3000元/次违约金；</w:t>
      </w:r>
    </w:p>
    <w:p>
      <w:pPr>
        <w:spacing w:line="440" w:lineRule="exact"/>
        <w:ind w:firstLine="420" w:firstLineChars="200"/>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5）承包人未按照已备案的渣土处置方案落实渣土处置措施的，承包人应支付5000元/次违约金。</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二）施工质量：</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A、承包人必须严格按照已确认的设计图纸、施工技术方案及工程施工验收规范等精心组织施工，严格把好每道工序的质量关，并无条件的接受发包人及发包人委托的监理单位对施工质量的监督和管理，确保工程质量达到质量目标。若发包人或监理工程师检查发现质量问题，在发出整改通知书后承包人无条件返工、整改、采取相应的补救、修复措施直至验收合格，由此追加的费用和延误的工期均由承包人负责。在书面整改通知或口头整改通知的时间内未整改的，每延迟整改一天罚款5000元/项/天；未执行监理报验程序而进行下道工序的罚款</w:t>
      </w:r>
      <w:r>
        <w:rPr>
          <w:rFonts w:hint="eastAsia" w:ascii="宋体" w:eastAsia="宋体"/>
          <w:b w:val="0"/>
          <w:bCs/>
          <w:color w:val="auto"/>
          <w:sz w:val="21"/>
          <w:szCs w:val="21"/>
          <w:highlight w:val="none"/>
          <w:lang w:val="en-US" w:eastAsia="zh-CN"/>
        </w:rPr>
        <w:t>5</w:t>
      </w:r>
      <w:r>
        <w:rPr>
          <w:rFonts w:hint="eastAsia"/>
          <w:b w:val="0"/>
          <w:bCs/>
          <w:color w:val="auto"/>
          <w:sz w:val="21"/>
          <w:szCs w:val="21"/>
          <w:highlight w:val="none"/>
        </w:rPr>
        <w:t>000元/次；在施工过程中发现偷工减料现象、使用不合格或以次充好的材料罚款</w:t>
      </w:r>
      <w:r>
        <w:rPr>
          <w:rFonts w:hint="eastAsia" w:ascii="宋体" w:eastAsia="宋体"/>
          <w:b w:val="0"/>
          <w:bCs/>
          <w:color w:val="auto"/>
          <w:sz w:val="21"/>
          <w:szCs w:val="21"/>
          <w:highlight w:val="none"/>
          <w:lang w:val="en-US" w:eastAsia="zh-CN"/>
        </w:rPr>
        <w:t>5</w:t>
      </w:r>
      <w:r>
        <w:rPr>
          <w:rFonts w:hint="eastAsia"/>
          <w:b w:val="0"/>
          <w:bCs/>
          <w:color w:val="auto"/>
          <w:sz w:val="21"/>
          <w:szCs w:val="21"/>
          <w:highlight w:val="none"/>
        </w:rPr>
        <w:t>000元/次；经主管部门检查（包括发包人组织的检查）发现的明显质量问题，罚款</w:t>
      </w:r>
      <w:r>
        <w:rPr>
          <w:rFonts w:hint="eastAsia" w:ascii="宋体" w:eastAsia="宋体"/>
          <w:b w:val="0"/>
          <w:bCs/>
          <w:color w:val="auto"/>
          <w:sz w:val="21"/>
          <w:szCs w:val="21"/>
          <w:highlight w:val="none"/>
          <w:lang w:val="en-US" w:eastAsia="zh-CN"/>
        </w:rPr>
        <w:t>5</w:t>
      </w:r>
      <w:r>
        <w:rPr>
          <w:rFonts w:hint="eastAsia"/>
          <w:b w:val="0"/>
          <w:bCs/>
          <w:color w:val="auto"/>
          <w:sz w:val="21"/>
          <w:szCs w:val="21"/>
          <w:highlight w:val="none"/>
        </w:rPr>
        <w:t>000元/项；连续发现或屡教不改的予以加倍重罚。以上罚金从当月应付工程款（进度款）中扣除。</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B、分部分项工程施工前未对相关班组进行技术交底的，处以5000元/次的罚款。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C、进场材料、设备未告知监理人员见证的，处以5000元/次的罚款。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D、未经发包人同意，承包人擅自变更施工方案的，每发现一次将扣除</w:t>
      </w:r>
      <w:r>
        <w:rPr>
          <w:rFonts w:hint="eastAsia"/>
          <w:b w:val="0"/>
          <w:bCs/>
          <w:color w:val="FF0000"/>
          <w:sz w:val="21"/>
          <w:szCs w:val="21"/>
          <w:highlight w:val="none"/>
          <w:lang w:val="en-US" w:eastAsia="zh-CN"/>
        </w:rPr>
        <w:t>合同价款</w:t>
      </w:r>
      <w:r>
        <w:rPr>
          <w:rFonts w:hint="eastAsia"/>
          <w:b w:val="0"/>
          <w:bCs/>
          <w:color w:val="auto"/>
          <w:sz w:val="21"/>
          <w:szCs w:val="21"/>
          <w:highlight w:val="none"/>
        </w:rPr>
        <w:t>的10%，由此发生的损失或事故（包括罚款），由承包人负责并承担损失。</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E、因不可抗力因素或天气原因等造成工地现场文明施工或工程质量遭到损坏的，经发包人或监理单位管理人员要求后未及时做出有效保护和补救措施的，按</w:t>
      </w:r>
      <w:r>
        <w:rPr>
          <w:rFonts w:hint="eastAsia" w:ascii="宋体" w:eastAsia="宋体"/>
          <w:b w:val="0"/>
          <w:bCs/>
          <w:color w:val="auto"/>
          <w:sz w:val="21"/>
          <w:szCs w:val="21"/>
          <w:highlight w:val="none"/>
          <w:lang w:val="en-US" w:eastAsia="zh-CN"/>
        </w:rPr>
        <w:t>2</w:t>
      </w:r>
      <w:r>
        <w:rPr>
          <w:rFonts w:hint="eastAsia"/>
          <w:b w:val="0"/>
          <w:bCs/>
          <w:color w:val="auto"/>
          <w:sz w:val="21"/>
          <w:szCs w:val="21"/>
          <w:highlight w:val="none"/>
        </w:rPr>
        <w:t>000元/项/次进行处罚。</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（三）安全文明施工：</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 xml:space="preserve">A、安全管理体系、规章制度及岗位责任制度不完善，安保体系不完善，安全管理人员未按要求配备到位，安全台帐资料不齐备或要求整改不到位的，处以5000元/项的罚款，对发包人、监理单位及上级主管部门发出的安全方面的整改单，未按规定要求和规定时间落实整改的，处以9000元/项/次的罚款。  </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B、安全检查发现安全隐患未及时整改或整改不到位的处以5000元/项/次的罚款，拒不整改的处以</w:t>
      </w:r>
      <w:r>
        <w:rPr>
          <w:rFonts w:hint="eastAsia" w:ascii="宋体" w:eastAsia="宋体"/>
          <w:b w:val="0"/>
          <w:bCs/>
          <w:color w:val="auto"/>
          <w:sz w:val="21"/>
          <w:szCs w:val="21"/>
          <w:highlight w:val="none"/>
          <w:lang w:val="en-US" w:eastAsia="zh-CN"/>
        </w:rPr>
        <w:t>1</w:t>
      </w:r>
      <w:r>
        <w:rPr>
          <w:rFonts w:hint="eastAsia"/>
          <w:b w:val="0"/>
          <w:bCs/>
          <w:color w:val="auto"/>
          <w:sz w:val="21"/>
          <w:szCs w:val="21"/>
          <w:highlight w:val="none"/>
        </w:rPr>
        <w:t>0000元/项/次的罚款。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C、安全管理人员无故缺席集中安全活动的（如例会、安全检查等）处以5000元/次/人的罚款。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D、施工过程中经主管部门检查（包括发包人组织的检查）安全、文明、环境保护施工不合格，每出现一次不合格，发包人向承包人罚款5000元，如整改后仍达不到要求，发包人将视情况予以加倍处罚。承包人应无条件进行整改直至合格。发包人或其委托的监理人员，发现现场施工人员未佩戴安全帽施工的，处以300元/人/次的罚款。</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E、因施工人员违规操作发生安全事故的，视所造成的经济损失予以经济处罚。</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F、发生安全事故迟报或者隐瞒不报的，视情节严重程度予以经济处罚。</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G、分包单位必须配合总承包单位的现场安全文明施工，保护已完工程及设备。</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四）施工进度：</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A、承包方应积极配合发包方对工程项目的进度要求，编制工程总进度计划，上报监理并经审核确定后才可施工。承包方应根据计划时间节点综合考虑、合理安排人员、设备、材料等。</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B、承包人项目班子主要管理人员因工作态度或工作能力不配合现场发包人和监理人员对进度要求的，按1</w:t>
      </w:r>
      <w:r>
        <w:rPr>
          <w:rFonts w:hint="eastAsia" w:ascii="宋体" w:eastAsia="宋体"/>
          <w:b w:val="0"/>
          <w:bCs/>
          <w:color w:val="auto"/>
          <w:sz w:val="21"/>
          <w:szCs w:val="21"/>
          <w:highlight w:val="none"/>
          <w:lang w:val="en-US" w:eastAsia="zh-CN"/>
        </w:rPr>
        <w:t>0</w:t>
      </w:r>
      <w:r>
        <w:rPr>
          <w:rFonts w:hint="eastAsia"/>
          <w:b w:val="0"/>
          <w:bCs/>
          <w:color w:val="auto"/>
          <w:sz w:val="21"/>
          <w:szCs w:val="21"/>
          <w:highlight w:val="none"/>
        </w:rPr>
        <w:t>000元/人/次进行处罚，并有权要求撤换人员，承包人必须无条件执行。</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C、若承包人连续两个月未达到上报月进度计划，发包人或监理人有权要求承包人增加设备、班组等措施进行赶工，若承包人拒不执行或无能力执行，发包人有权解除合同。</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 xml:space="preserve">五）本工程不得转包，否则，一经发现，即被视为违约，发包人有权终止合同，并有权扣罚合同造价10%的违约金。 </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六）如承包人在项目实施过程中有严重违反合同情形，经发包人查实后有权终止合同，并追究其经济损失和法律责任。</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七）上述违约金在当月工程进度款中直接扣除，以上违约责任累计处罚不超过合同价  2% 。</w:t>
      </w:r>
    </w:p>
    <w:p>
      <w:pPr>
        <w:spacing w:line="440" w:lineRule="exact"/>
        <w:ind w:firstLine="420" w:firstLineChars="200"/>
        <w:rPr>
          <w:rFonts w:hint="eastAsia"/>
          <w:b w:val="0"/>
          <w:bCs/>
          <w:color w:val="auto"/>
          <w:sz w:val="21"/>
          <w:szCs w:val="21"/>
          <w:highlight w:val="none"/>
        </w:rPr>
      </w:pPr>
      <w:r>
        <w:rPr>
          <w:rFonts w:hint="eastAsia"/>
          <w:b w:val="0"/>
          <w:bCs/>
          <w:color w:val="auto"/>
          <w:sz w:val="21"/>
          <w:szCs w:val="21"/>
          <w:highlight w:val="none"/>
        </w:rPr>
        <w:t>八）若因发包人原因或政策原因，导致工程无法正常开展，双方约定终止合同。赔偿金额由双方进行协商，但不得超过合同总价0.5%。</w:t>
      </w:r>
    </w:p>
    <w:p>
      <w:pPr>
        <w:spacing w:line="440" w:lineRule="exact"/>
        <w:rPr>
          <w:b w:val="0"/>
          <w:bCs/>
          <w:color w:val="auto"/>
          <w:sz w:val="21"/>
          <w:szCs w:val="21"/>
          <w:highlight w:val="none"/>
        </w:rPr>
      </w:pPr>
      <w:r>
        <w:rPr>
          <w:rFonts w:hint="eastAsia"/>
          <w:b w:val="0"/>
          <w:bCs/>
          <w:color w:val="auto"/>
          <w:sz w:val="21"/>
          <w:szCs w:val="21"/>
          <w:highlight w:val="none"/>
        </w:rPr>
        <w:t>5 材料和工程设备</w:t>
      </w:r>
    </w:p>
    <w:p>
      <w:pPr>
        <w:spacing w:line="440" w:lineRule="exact"/>
        <w:rPr>
          <w:b w:val="0"/>
          <w:bCs/>
          <w:color w:val="auto"/>
          <w:sz w:val="21"/>
          <w:szCs w:val="21"/>
          <w:highlight w:val="none"/>
        </w:rPr>
      </w:pPr>
      <w:r>
        <w:rPr>
          <w:rFonts w:hint="eastAsia"/>
          <w:b w:val="0"/>
          <w:bCs/>
          <w:color w:val="auto"/>
          <w:sz w:val="21"/>
          <w:szCs w:val="21"/>
          <w:highlight w:val="none"/>
        </w:rPr>
        <w:t>5.2发包人提供的材料和工程设备</w:t>
      </w:r>
    </w:p>
    <w:p>
      <w:pPr>
        <w:spacing w:line="440" w:lineRule="exact"/>
        <w:ind w:firstLine="480"/>
        <w:rPr>
          <w:rFonts w:hint="eastAsia"/>
          <w:b w:val="0"/>
          <w:bCs/>
          <w:color w:val="auto"/>
          <w:sz w:val="21"/>
          <w:szCs w:val="21"/>
          <w:highlight w:val="none"/>
        </w:rPr>
      </w:pPr>
      <w:r>
        <w:rPr>
          <w:rFonts w:hint="eastAsia"/>
          <w:b w:val="0"/>
          <w:bCs/>
          <w:color w:val="auto"/>
          <w:sz w:val="21"/>
          <w:szCs w:val="21"/>
          <w:highlight w:val="none"/>
        </w:rPr>
        <w:t>5.2.1发包人提供的材料和工程设备见下表。</w:t>
      </w:r>
    </w:p>
    <w:p>
      <w:pPr>
        <w:pStyle w:val="44"/>
        <w:ind w:firstLine="480"/>
        <w:rPr>
          <w:b w:val="0"/>
          <w:bCs/>
          <w:color w:val="auto"/>
          <w:sz w:val="21"/>
          <w:szCs w:val="21"/>
        </w:rPr>
      </w:pPr>
    </w:p>
    <w:p>
      <w:pPr>
        <w:spacing w:line="440" w:lineRule="exact"/>
        <w:jc w:val="center"/>
        <w:rPr>
          <w:b w:val="0"/>
          <w:bCs/>
          <w:color w:val="auto"/>
          <w:sz w:val="21"/>
          <w:szCs w:val="21"/>
          <w:highlight w:val="none"/>
        </w:rPr>
      </w:pPr>
      <w:r>
        <w:rPr>
          <w:rFonts w:hint="eastAsia"/>
          <w:b w:val="0"/>
          <w:bCs/>
          <w:color w:val="auto"/>
          <w:sz w:val="21"/>
          <w:szCs w:val="21"/>
          <w:highlight w:val="none"/>
        </w:rPr>
        <w:t>发包人提供的材料表（参考格式）</w:t>
      </w:r>
    </w:p>
    <w:tbl>
      <w:tblPr>
        <w:tblStyle w:val="63"/>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16"/>
        <w:gridCol w:w="1759"/>
        <w:gridCol w:w="873"/>
        <w:gridCol w:w="1077"/>
        <w:gridCol w:w="913"/>
        <w:gridCol w:w="1275"/>
        <w:gridCol w:w="1426"/>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序号</w:t>
            </w:r>
          </w:p>
        </w:tc>
        <w:tc>
          <w:tcPr>
            <w:tcW w:w="1516"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材料名称</w:t>
            </w:r>
          </w:p>
        </w:tc>
        <w:tc>
          <w:tcPr>
            <w:tcW w:w="1759"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材料规格</w:t>
            </w:r>
          </w:p>
        </w:tc>
        <w:tc>
          <w:tcPr>
            <w:tcW w:w="873"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数量</w:t>
            </w:r>
          </w:p>
        </w:tc>
        <w:tc>
          <w:tcPr>
            <w:tcW w:w="1077" w:type="dxa"/>
            <w:noWrap w:val="0"/>
            <w:vAlign w:val="center"/>
          </w:tcPr>
          <w:p>
            <w:pPr>
              <w:spacing w:line="440" w:lineRule="exact"/>
              <w:jc w:val="center"/>
              <w:rPr>
                <w:rFonts w:hint="eastAsia" w:eastAsia="宋体"/>
                <w:b w:val="0"/>
                <w:bCs/>
                <w:color w:val="auto"/>
                <w:sz w:val="21"/>
                <w:szCs w:val="21"/>
                <w:highlight w:val="none"/>
                <w:lang w:val="en-US" w:eastAsia="zh-CN"/>
              </w:rPr>
            </w:pPr>
            <w:r>
              <w:rPr>
                <w:rFonts w:hint="eastAsia"/>
                <w:b w:val="0"/>
                <w:bCs/>
                <w:color w:val="auto"/>
                <w:sz w:val="21"/>
                <w:szCs w:val="21"/>
                <w:highlight w:val="none"/>
                <w:lang w:val="en-US" w:eastAsia="zh-CN"/>
              </w:rPr>
              <w:t>单位</w:t>
            </w:r>
          </w:p>
        </w:tc>
        <w:tc>
          <w:tcPr>
            <w:tcW w:w="913"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交货地点</w:t>
            </w:r>
          </w:p>
        </w:tc>
        <w:tc>
          <w:tcPr>
            <w:tcW w:w="127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交货方式</w:t>
            </w:r>
          </w:p>
        </w:tc>
        <w:tc>
          <w:tcPr>
            <w:tcW w:w="1426"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计划交货日期</w:t>
            </w:r>
          </w:p>
        </w:tc>
        <w:tc>
          <w:tcPr>
            <w:tcW w:w="1148"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pPr>
              <w:spacing w:line="440" w:lineRule="exact"/>
              <w:jc w:val="center"/>
              <w:rPr>
                <w:rFonts w:hint="default" w:eastAsia="宋体"/>
                <w:b w:val="0"/>
                <w:bCs/>
                <w:color w:val="auto"/>
                <w:sz w:val="21"/>
                <w:szCs w:val="21"/>
                <w:highlight w:val="none"/>
                <w:lang w:val="en-US" w:eastAsia="zh-CN"/>
              </w:rPr>
            </w:pPr>
          </w:p>
        </w:tc>
        <w:tc>
          <w:tcPr>
            <w:tcW w:w="1516" w:type="dxa"/>
            <w:noWrap w:val="0"/>
            <w:vAlign w:val="center"/>
          </w:tcPr>
          <w:p>
            <w:pPr>
              <w:spacing w:line="440" w:lineRule="exact"/>
              <w:jc w:val="center"/>
              <w:rPr>
                <w:rFonts w:hint="default" w:eastAsia="宋体"/>
                <w:b w:val="0"/>
                <w:bCs/>
                <w:color w:val="auto"/>
                <w:sz w:val="21"/>
                <w:szCs w:val="21"/>
                <w:highlight w:val="none"/>
                <w:lang w:val="en-US" w:eastAsia="zh-CN"/>
              </w:rPr>
            </w:pPr>
          </w:p>
        </w:tc>
        <w:tc>
          <w:tcPr>
            <w:tcW w:w="1759" w:type="dxa"/>
            <w:noWrap w:val="0"/>
            <w:vAlign w:val="center"/>
          </w:tcPr>
          <w:p>
            <w:pPr>
              <w:spacing w:line="440" w:lineRule="exact"/>
              <w:jc w:val="center"/>
              <w:rPr>
                <w:b w:val="0"/>
                <w:bCs/>
                <w:color w:val="auto"/>
                <w:sz w:val="21"/>
                <w:szCs w:val="21"/>
                <w:highlight w:val="none"/>
              </w:rPr>
            </w:pPr>
          </w:p>
        </w:tc>
        <w:tc>
          <w:tcPr>
            <w:tcW w:w="873" w:type="dxa"/>
            <w:noWrap w:val="0"/>
            <w:vAlign w:val="center"/>
          </w:tcPr>
          <w:p>
            <w:pPr>
              <w:spacing w:line="440" w:lineRule="exact"/>
              <w:jc w:val="center"/>
              <w:rPr>
                <w:rFonts w:hint="default" w:eastAsia="宋体"/>
                <w:b w:val="0"/>
                <w:bCs/>
                <w:color w:val="auto"/>
                <w:sz w:val="21"/>
                <w:szCs w:val="21"/>
                <w:highlight w:val="none"/>
                <w:lang w:val="en-US" w:eastAsia="zh-CN"/>
              </w:rPr>
            </w:pPr>
          </w:p>
        </w:tc>
        <w:tc>
          <w:tcPr>
            <w:tcW w:w="1077" w:type="dxa"/>
            <w:noWrap w:val="0"/>
            <w:vAlign w:val="center"/>
          </w:tcPr>
          <w:p>
            <w:pPr>
              <w:spacing w:line="440" w:lineRule="exact"/>
              <w:jc w:val="center"/>
              <w:rPr>
                <w:b w:val="0"/>
                <w:bCs/>
                <w:color w:val="auto"/>
                <w:sz w:val="21"/>
                <w:szCs w:val="21"/>
                <w:highlight w:val="none"/>
              </w:rPr>
            </w:pPr>
          </w:p>
        </w:tc>
        <w:tc>
          <w:tcPr>
            <w:tcW w:w="913" w:type="dxa"/>
            <w:noWrap w:val="0"/>
            <w:vAlign w:val="center"/>
          </w:tcPr>
          <w:p>
            <w:pPr>
              <w:spacing w:line="440" w:lineRule="exact"/>
              <w:jc w:val="center"/>
              <w:rPr>
                <w:b w:val="0"/>
                <w:bCs/>
                <w:color w:val="auto"/>
                <w:sz w:val="21"/>
                <w:szCs w:val="21"/>
                <w:highlight w:val="none"/>
              </w:rPr>
            </w:pPr>
          </w:p>
        </w:tc>
        <w:tc>
          <w:tcPr>
            <w:tcW w:w="1275" w:type="dxa"/>
            <w:noWrap w:val="0"/>
            <w:vAlign w:val="center"/>
          </w:tcPr>
          <w:p>
            <w:pPr>
              <w:spacing w:line="440" w:lineRule="exact"/>
              <w:jc w:val="center"/>
              <w:rPr>
                <w:b w:val="0"/>
                <w:bCs/>
                <w:color w:val="auto"/>
                <w:sz w:val="21"/>
                <w:szCs w:val="21"/>
                <w:highlight w:val="none"/>
              </w:rPr>
            </w:pPr>
          </w:p>
        </w:tc>
        <w:tc>
          <w:tcPr>
            <w:tcW w:w="1426" w:type="dxa"/>
            <w:noWrap w:val="0"/>
            <w:vAlign w:val="center"/>
          </w:tcPr>
          <w:p>
            <w:pPr>
              <w:spacing w:line="440" w:lineRule="exact"/>
              <w:jc w:val="center"/>
              <w:rPr>
                <w:b w:val="0"/>
                <w:bCs/>
                <w:color w:val="auto"/>
                <w:sz w:val="21"/>
                <w:szCs w:val="21"/>
                <w:highlight w:val="none"/>
              </w:rPr>
            </w:pPr>
          </w:p>
        </w:tc>
        <w:tc>
          <w:tcPr>
            <w:tcW w:w="1148" w:type="dxa"/>
            <w:noWrap w:val="0"/>
            <w:vAlign w:val="center"/>
          </w:tcPr>
          <w:p>
            <w:pPr>
              <w:spacing w:line="440" w:lineRule="exact"/>
              <w:jc w:val="center"/>
              <w:rPr>
                <w:rFonts w:hint="default" w:eastAsia="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noWrap w:val="0"/>
            <w:vAlign w:val="center"/>
          </w:tcPr>
          <w:p>
            <w:pPr>
              <w:spacing w:line="440" w:lineRule="exact"/>
              <w:jc w:val="center"/>
              <w:rPr>
                <w:rFonts w:hint="eastAsia" w:eastAsia="宋体"/>
                <w:b w:val="0"/>
                <w:bCs/>
                <w:color w:val="auto"/>
                <w:sz w:val="21"/>
                <w:szCs w:val="21"/>
                <w:highlight w:val="none"/>
                <w:lang w:val="en-US" w:eastAsia="zh-CN"/>
              </w:rPr>
            </w:pPr>
          </w:p>
        </w:tc>
        <w:tc>
          <w:tcPr>
            <w:tcW w:w="1516" w:type="dxa"/>
            <w:noWrap w:val="0"/>
            <w:vAlign w:val="center"/>
          </w:tcPr>
          <w:p>
            <w:pPr>
              <w:spacing w:line="440" w:lineRule="exact"/>
              <w:jc w:val="center"/>
              <w:rPr>
                <w:rFonts w:hint="eastAsia" w:eastAsia="宋体"/>
                <w:b w:val="0"/>
                <w:bCs/>
                <w:color w:val="auto"/>
                <w:sz w:val="21"/>
                <w:szCs w:val="21"/>
                <w:highlight w:val="none"/>
                <w:lang w:val="en-US" w:eastAsia="zh-CN"/>
              </w:rPr>
            </w:pPr>
          </w:p>
        </w:tc>
        <w:tc>
          <w:tcPr>
            <w:tcW w:w="1759" w:type="dxa"/>
            <w:noWrap w:val="0"/>
            <w:vAlign w:val="center"/>
          </w:tcPr>
          <w:p>
            <w:pPr>
              <w:spacing w:line="440" w:lineRule="exact"/>
              <w:jc w:val="center"/>
              <w:rPr>
                <w:b w:val="0"/>
                <w:bCs/>
                <w:color w:val="auto"/>
                <w:sz w:val="21"/>
                <w:szCs w:val="21"/>
                <w:highlight w:val="none"/>
              </w:rPr>
            </w:pPr>
          </w:p>
        </w:tc>
        <w:tc>
          <w:tcPr>
            <w:tcW w:w="873" w:type="dxa"/>
            <w:noWrap w:val="0"/>
            <w:vAlign w:val="center"/>
          </w:tcPr>
          <w:p>
            <w:pPr>
              <w:spacing w:line="440" w:lineRule="exact"/>
              <w:jc w:val="center"/>
              <w:rPr>
                <w:rFonts w:hint="default" w:eastAsia="宋体"/>
                <w:b w:val="0"/>
                <w:bCs/>
                <w:color w:val="auto"/>
                <w:sz w:val="21"/>
                <w:szCs w:val="21"/>
                <w:highlight w:val="none"/>
                <w:lang w:val="en-US" w:eastAsia="zh-CN"/>
              </w:rPr>
            </w:pPr>
          </w:p>
        </w:tc>
        <w:tc>
          <w:tcPr>
            <w:tcW w:w="1077" w:type="dxa"/>
            <w:noWrap w:val="0"/>
            <w:vAlign w:val="center"/>
          </w:tcPr>
          <w:p>
            <w:pPr>
              <w:spacing w:line="440" w:lineRule="exact"/>
              <w:jc w:val="center"/>
              <w:rPr>
                <w:b w:val="0"/>
                <w:bCs/>
                <w:color w:val="auto"/>
                <w:sz w:val="21"/>
                <w:szCs w:val="21"/>
                <w:highlight w:val="none"/>
              </w:rPr>
            </w:pPr>
          </w:p>
        </w:tc>
        <w:tc>
          <w:tcPr>
            <w:tcW w:w="913" w:type="dxa"/>
            <w:noWrap w:val="0"/>
            <w:vAlign w:val="center"/>
          </w:tcPr>
          <w:p>
            <w:pPr>
              <w:jc w:val="center"/>
              <w:rPr>
                <w:b w:val="0"/>
                <w:bCs/>
                <w:color w:val="auto"/>
                <w:sz w:val="21"/>
                <w:szCs w:val="21"/>
                <w:highlight w:val="none"/>
              </w:rPr>
            </w:pPr>
          </w:p>
        </w:tc>
        <w:tc>
          <w:tcPr>
            <w:tcW w:w="1275" w:type="dxa"/>
            <w:noWrap w:val="0"/>
            <w:vAlign w:val="center"/>
          </w:tcPr>
          <w:p>
            <w:pPr>
              <w:spacing w:line="440" w:lineRule="exact"/>
              <w:jc w:val="center"/>
              <w:rPr>
                <w:b w:val="0"/>
                <w:bCs/>
                <w:color w:val="auto"/>
                <w:sz w:val="21"/>
                <w:szCs w:val="21"/>
                <w:highlight w:val="none"/>
              </w:rPr>
            </w:pPr>
          </w:p>
        </w:tc>
        <w:tc>
          <w:tcPr>
            <w:tcW w:w="1426" w:type="dxa"/>
            <w:noWrap w:val="0"/>
            <w:vAlign w:val="center"/>
          </w:tcPr>
          <w:p>
            <w:pPr>
              <w:jc w:val="center"/>
              <w:rPr>
                <w:b w:val="0"/>
                <w:bCs/>
                <w:color w:val="auto"/>
                <w:sz w:val="21"/>
                <w:szCs w:val="21"/>
                <w:highlight w:val="none"/>
              </w:rPr>
            </w:pPr>
          </w:p>
        </w:tc>
        <w:tc>
          <w:tcPr>
            <w:tcW w:w="1148" w:type="dxa"/>
            <w:noWrap w:val="0"/>
            <w:vAlign w:val="center"/>
          </w:tcPr>
          <w:p>
            <w:pPr>
              <w:spacing w:line="440" w:lineRule="exact"/>
              <w:jc w:val="center"/>
              <w:rPr>
                <w:b w:val="0"/>
                <w:bCs/>
                <w:color w:val="auto"/>
                <w:sz w:val="21"/>
                <w:szCs w:val="21"/>
                <w:highlight w:val="none"/>
              </w:rPr>
            </w:pPr>
          </w:p>
        </w:tc>
      </w:tr>
    </w:tbl>
    <w:p>
      <w:pPr>
        <w:spacing w:line="440" w:lineRule="exact"/>
        <w:jc w:val="both"/>
        <w:rPr>
          <w:rFonts w:hint="eastAsia"/>
          <w:b w:val="0"/>
          <w:bCs/>
          <w:color w:val="auto"/>
          <w:sz w:val="21"/>
          <w:szCs w:val="21"/>
          <w:highlight w:val="none"/>
        </w:rPr>
      </w:pPr>
    </w:p>
    <w:p>
      <w:pPr>
        <w:spacing w:line="440" w:lineRule="exact"/>
        <w:jc w:val="center"/>
        <w:rPr>
          <w:b w:val="0"/>
          <w:bCs/>
          <w:color w:val="auto"/>
          <w:sz w:val="21"/>
          <w:szCs w:val="21"/>
          <w:highlight w:val="none"/>
        </w:rPr>
      </w:pPr>
      <w:r>
        <w:rPr>
          <w:rFonts w:hint="eastAsia"/>
          <w:b w:val="0"/>
          <w:bCs/>
          <w:color w:val="auto"/>
          <w:sz w:val="21"/>
          <w:szCs w:val="21"/>
          <w:highlight w:val="none"/>
        </w:rPr>
        <w:t>发包人提供的工程设备表（参考格式）</w:t>
      </w:r>
    </w:p>
    <w:tbl>
      <w:tblPr>
        <w:tblStyle w:val="6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05"/>
        <w:gridCol w:w="1425"/>
        <w:gridCol w:w="690"/>
        <w:gridCol w:w="1110"/>
        <w:gridCol w:w="1110"/>
        <w:gridCol w:w="1080"/>
        <w:gridCol w:w="177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序号</w:t>
            </w:r>
          </w:p>
        </w:tc>
        <w:tc>
          <w:tcPr>
            <w:tcW w:w="160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工程设备名称</w:t>
            </w:r>
          </w:p>
        </w:tc>
        <w:tc>
          <w:tcPr>
            <w:tcW w:w="142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型号及规格</w:t>
            </w:r>
          </w:p>
        </w:tc>
        <w:tc>
          <w:tcPr>
            <w:tcW w:w="690"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数量</w:t>
            </w:r>
          </w:p>
        </w:tc>
        <w:tc>
          <w:tcPr>
            <w:tcW w:w="1110" w:type="dxa"/>
            <w:noWrap w:val="0"/>
            <w:vAlign w:val="center"/>
          </w:tcPr>
          <w:p>
            <w:pPr>
              <w:spacing w:line="440" w:lineRule="exact"/>
              <w:jc w:val="center"/>
              <w:rPr>
                <w:rFonts w:hint="eastAsia" w:eastAsia="宋体"/>
                <w:b w:val="0"/>
                <w:bCs/>
                <w:color w:val="auto"/>
                <w:sz w:val="21"/>
                <w:szCs w:val="21"/>
                <w:highlight w:val="none"/>
                <w:lang w:val="en-US" w:eastAsia="zh-CN"/>
              </w:rPr>
            </w:pPr>
            <w:r>
              <w:rPr>
                <w:rFonts w:hint="eastAsia"/>
                <w:b w:val="0"/>
                <w:bCs/>
                <w:color w:val="auto"/>
                <w:sz w:val="21"/>
                <w:szCs w:val="21"/>
                <w:highlight w:val="none"/>
                <w:lang w:val="en-US" w:eastAsia="zh-CN"/>
              </w:rPr>
              <w:t>单位</w:t>
            </w:r>
          </w:p>
        </w:tc>
        <w:tc>
          <w:tcPr>
            <w:tcW w:w="1110"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交货地点</w:t>
            </w:r>
          </w:p>
        </w:tc>
        <w:tc>
          <w:tcPr>
            <w:tcW w:w="1080"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交货方式</w:t>
            </w:r>
          </w:p>
        </w:tc>
        <w:tc>
          <w:tcPr>
            <w:tcW w:w="1770"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计划交货日期</w:t>
            </w:r>
          </w:p>
        </w:tc>
        <w:tc>
          <w:tcPr>
            <w:tcW w:w="80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spacing w:line="440" w:lineRule="exact"/>
              <w:jc w:val="center"/>
              <w:rPr>
                <w:rFonts w:hint="eastAsia"/>
                <w:b w:val="0"/>
                <w:bCs/>
                <w:color w:val="auto"/>
                <w:sz w:val="21"/>
                <w:szCs w:val="21"/>
                <w:lang w:val="en-US" w:eastAsia="zh-CN"/>
              </w:rPr>
            </w:pPr>
          </w:p>
        </w:tc>
        <w:tc>
          <w:tcPr>
            <w:tcW w:w="1605" w:type="dxa"/>
            <w:noWrap w:val="0"/>
            <w:vAlign w:val="center"/>
          </w:tcPr>
          <w:p>
            <w:pPr>
              <w:spacing w:line="440" w:lineRule="exact"/>
              <w:jc w:val="center"/>
              <w:rPr>
                <w:rFonts w:hint="eastAsia"/>
                <w:b w:val="0"/>
                <w:bCs/>
                <w:color w:val="auto"/>
                <w:sz w:val="21"/>
                <w:szCs w:val="21"/>
              </w:rPr>
            </w:pPr>
          </w:p>
        </w:tc>
        <w:tc>
          <w:tcPr>
            <w:tcW w:w="1425" w:type="dxa"/>
            <w:noWrap w:val="0"/>
            <w:vAlign w:val="center"/>
          </w:tcPr>
          <w:p>
            <w:pPr>
              <w:spacing w:line="440" w:lineRule="exact"/>
              <w:jc w:val="center"/>
              <w:rPr>
                <w:rFonts w:hint="eastAsia"/>
                <w:b w:val="0"/>
                <w:bCs/>
                <w:color w:val="auto"/>
                <w:sz w:val="21"/>
                <w:szCs w:val="21"/>
              </w:rPr>
            </w:pPr>
          </w:p>
        </w:tc>
        <w:tc>
          <w:tcPr>
            <w:tcW w:w="690" w:type="dxa"/>
            <w:noWrap w:val="0"/>
            <w:vAlign w:val="center"/>
          </w:tcPr>
          <w:p>
            <w:pPr>
              <w:spacing w:line="440" w:lineRule="exact"/>
              <w:jc w:val="center"/>
              <w:rPr>
                <w:rFonts w:hint="eastAsia"/>
                <w:b w:val="0"/>
                <w:bCs/>
                <w:color w:val="auto"/>
                <w:sz w:val="21"/>
                <w:szCs w:val="21"/>
              </w:rPr>
            </w:pPr>
          </w:p>
        </w:tc>
        <w:tc>
          <w:tcPr>
            <w:tcW w:w="1110" w:type="dxa"/>
            <w:noWrap w:val="0"/>
            <w:vAlign w:val="center"/>
          </w:tcPr>
          <w:p>
            <w:pPr>
              <w:spacing w:line="440" w:lineRule="exact"/>
              <w:jc w:val="center"/>
              <w:rPr>
                <w:rFonts w:hint="eastAsia"/>
                <w:b w:val="0"/>
                <w:bCs/>
                <w:color w:val="auto"/>
                <w:sz w:val="21"/>
                <w:szCs w:val="21"/>
              </w:rPr>
            </w:pPr>
          </w:p>
        </w:tc>
        <w:tc>
          <w:tcPr>
            <w:tcW w:w="1110" w:type="dxa"/>
            <w:noWrap w:val="0"/>
            <w:vAlign w:val="center"/>
          </w:tcPr>
          <w:p>
            <w:pPr>
              <w:jc w:val="center"/>
              <w:rPr>
                <w:rFonts w:hint="eastAsia"/>
                <w:b w:val="0"/>
                <w:bCs/>
                <w:color w:val="auto"/>
                <w:sz w:val="21"/>
                <w:szCs w:val="21"/>
              </w:rPr>
            </w:pPr>
          </w:p>
        </w:tc>
        <w:tc>
          <w:tcPr>
            <w:tcW w:w="1080" w:type="dxa"/>
            <w:noWrap w:val="0"/>
            <w:vAlign w:val="center"/>
          </w:tcPr>
          <w:p>
            <w:pPr>
              <w:spacing w:line="440" w:lineRule="exact"/>
              <w:jc w:val="center"/>
              <w:rPr>
                <w:b w:val="0"/>
                <w:bCs/>
                <w:color w:val="auto"/>
                <w:sz w:val="21"/>
                <w:szCs w:val="21"/>
                <w:highlight w:val="none"/>
              </w:rPr>
            </w:pPr>
          </w:p>
        </w:tc>
        <w:tc>
          <w:tcPr>
            <w:tcW w:w="1770" w:type="dxa"/>
            <w:noWrap w:val="0"/>
            <w:vAlign w:val="center"/>
          </w:tcPr>
          <w:p>
            <w:pPr>
              <w:jc w:val="center"/>
              <w:rPr>
                <w:rFonts w:hint="eastAsia"/>
                <w:b w:val="0"/>
                <w:bCs/>
                <w:color w:val="auto"/>
                <w:sz w:val="21"/>
                <w:szCs w:val="21"/>
              </w:rPr>
            </w:pPr>
          </w:p>
        </w:tc>
        <w:tc>
          <w:tcPr>
            <w:tcW w:w="804" w:type="dxa"/>
            <w:noWrap w:val="0"/>
            <w:vAlign w:val="center"/>
          </w:tcPr>
          <w:p>
            <w:pPr>
              <w:spacing w:line="440" w:lineRule="exact"/>
              <w:jc w:val="center"/>
              <w:rPr>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pPr>
              <w:spacing w:line="440" w:lineRule="exact"/>
              <w:jc w:val="center"/>
              <w:rPr>
                <w:rFonts w:hint="eastAsia"/>
                <w:b w:val="0"/>
                <w:bCs/>
                <w:color w:val="auto"/>
                <w:sz w:val="21"/>
                <w:szCs w:val="21"/>
                <w:lang w:val="en-US" w:eastAsia="zh-CN"/>
              </w:rPr>
            </w:pPr>
          </w:p>
        </w:tc>
        <w:tc>
          <w:tcPr>
            <w:tcW w:w="1605" w:type="dxa"/>
            <w:noWrap w:val="0"/>
            <w:vAlign w:val="center"/>
          </w:tcPr>
          <w:p>
            <w:pPr>
              <w:spacing w:line="440" w:lineRule="exact"/>
              <w:jc w:val="center"/>
              <w:rPr>
                <w:rFonts w:hint="eastAsia"/>
                <w:b w:val="0"/>
                <w:bCs/>
                <w:color w:val="auto"/>
                <w:sz w:val="21"/>
                <w:szCs w:val="21"/>
              </w:rPr>
            </w:pPr>
          </w:p>
        </w:tc>
        <w:tc>
          <w:tcPr>
            <w:tcW w:w="1425" w:type="dxa"/>
            <w:noWrap w:val="0"/>
            <w:vAlign w:val="center"/>
          </w:tcPr>
          <w:p>
            <w:pPr>
              <w:spacing w:line="440" w:lineRule="exact"/>
              <w:jc w:val="center"/>
              <w:rPr>
                <w:rFonts w:hint="eastAsia"/>
                <w:b w:val="0"/>
                <w:bCs/>
                <w:color w:val="auto"/>
                <w:sz w:val="21"/>
                <w:szCs w:val="21"/>
              </w:rPr>
            </w:pPr>
          </w:p>
        </w:tc>
        <w:tc>
          <w:tcPr>
            <w:tcW w:w="690" w:type="dxa"/>
            <w:noWrap w:val="0"/>
            <w:vAlign w:val="center"/>
          </w:tcPr>
          <w:p>
            <w:pPr>
              <w:spacing w:line="440" w:lineRule="exact"/>
              <w:jc w:val="center"/>
              <w:rPr>
                <w:rFonts w:hint="eastAsia"/>
                <w:b w:val="0"/>
                <w:bCs/>
                <w:color w:val="auto"/>
                <w:sz w:val="21"/>
                <w:szCs w:val="21"/>
              </w:rPr>
            </w:pPr>
          </w:p>
        </w:tc>
        <w:tc>
          <w:tcPr>
            <w:tcW w:w="1110" w:type="dxa"/>
            <w:noWrap w:val="0"/>
            <w:vAlign w:val="center"/>
          </w:tcPr>
          <w:p>
            <w:pPr>
              <w:spacing w:line="440" w:lineRule="exact"/>
              <w:jc w:val="center"/>
              <w:rPr>
                <w:rFonts w:hint="eastAsia"/>
                <w:b w:val="0"/>
                <w:bCs/>
                <w:color w:val="auto"/>
                <w:sz w:val="21"/>
                <w:szCs w:val="21"/>
              </w:rPr>
            </w:pPr>
          </w:p>
        </w:tc>
        <w:tc>
          <w:tcPr>
            <w:tcW w:w="1110" w:type="dxa"/>
            <w:noWrap w:val="0"/>
            <w:vAlign w:val="center"/>
          </w:tcPr>
          <w:p>
            <w:pPr>
              <w:jc w:val="center"/>
              <w:rPr>
                <w:rFonts w:hint="eastAsia"/>
                <w:b w:val="0"/>
                <w:bCs/>
                <w:color w:val="auto"/>
                <w:sz w:val="21"/>
                <w:szCs w:val="21"/>
              </w:rPr>
            </w:pPr>
          </w:p>
        </w:tc>
        <w:tc>
          <w:tcPr>
            <w:tcW w:w="1080" w:type="dxa"/>
            <w:noWrap w:val="0"/>
            <w:vAlign w:val="center"/>
          </w:tcPr>
          <w:p>
            <w:pPr>
              <w:spacing w:line="440" w:lineRule="exact"/>
              <w:jc w:val="center"/>
              <w:rPr>
                <w:b w:val="0"/>
                <w:bCs/>
                <w:color w:val="auto"/>
                <w:sz w:val="21"/>
                <w:szCs w:val="21"/>
                <w:highlight w:val="none"/>
              </w:rPr>
            </w:pPr>
          </w:p>
        </w:tc>
        <w:tc>
          <w:tcPr>
            <w:tcW w:w="1770" w:type="dxa"/>
            <w:noWrap w:val="0"/>
            <w:vAlign w:val="center"/>
          </w:tcPr>
          <w:p>
            <w:pPr>
              <w:jc w:val="center"/>
              <w:rPr>
                <w:rFonts w:hint="eastAsia"/>
                <w:b w:val="0"/>
                <w:bCs/>
                <w:color w:val="auto"/>
                <w:sz w:val="21"/>
                <w:szCs w:val="21"/>
              </w:rPr>
            </w:pPr>
          </w:p>
        </w:tc>
        <w:tc>
          <w:tcPr>
            <w:tcW w:w="804" w:type="dxa"/>
            <w:noWrap w:val="0"/>
            <w:vAlign w:val="center"/>
          </w:tcPr>
          <w:p>
            <w:pPr>
              <w:spacing w:line="440" w:lineRule="exact"/>
              <w:jc w:val="center"/>
              <w:rPr>
                <w:b w:val="0"/>
                <w:bCs/>
                <w:color w:val="auto"/>
                <w:sz w:val="21"/>
                <w:szCs w:val="21"/>
                <w:highlight w:val="none"/>
              </w:rPr>
            </w:pPr>
          </w:p>
        </w:tc>
      </w:tr>
    </w:tbl>
    <w:p>
      <w:pPr>
        <w:rPr>
          <w:b w:val="0"/>
          <w:bCs/>
          <w:color w:val="auto"/>
          <w:sz w:val="21"/>
          <w:szCs w:val="21"/>
        </w:rPr>
      </w:pPr>
    </w:p>
    <w:p>
      <w:pPr>
        <w:spacing w:line="440" w:lineRule="exact"/>
        <w:rPr>
          <w:b w:val="0"/>
          <w:bCs/>
          <w:color w:val="auto"/>
          <w:sz w:val="21"/>
          <w:szCs w:val="21"/>
          <w:highlight w:val="none"/>
        </w:rPr>
      </w:pPr>
      <w:r>
        <w:rPr>
          <w:rFonts w:hint="eastAsia"/>
          <w:b w:val="0"/>
          <w:bCs/>
          <w:color w:val="auto"/>
          <w:sz w:val="21"/>
          <w:szCs w:val="21"/>
          <w:highlight w:val="none"/>
        </w:rPr>
        <w:t>6 施工设备和临时设施</w:t>
      </w:r>
    </w:p>
    <w:p>
      <w:pPr>
        <w:spacing w:line="440" w:lineRule="exact"/>
        <w:rPr>
          <w:b w:val="0"/>
          <w:bCs/>
          <w:color w:val="auto"/>
          <w:sz w:val="21"/>
          <w:szCs w:val="21"/>
          <w:highlight w:val="none"/>
        </w:rPr>
      </w:pPr>
      <w:r>
        <w:rPr>
          <w:rFonts w:hint="eastAsia"/>
          <w:b w:val="0"/>
          <w:bCs/>
          <w:color w:val="auto"/>
          <w:sz w:val="21"/>
          <w:szCs w:val="21"/>
          <w:highlight w:val="none"/>
        </w:rPr>
        <w:t>6.2发包人提供的施工设备和临时设施</w:t>
      </w:r>
    </w:p>
    <w:p>
      <w:pPr>
        <w:spacing w:line="440" w:lineRule="exact"/>
        <w:rPr>
          <w:b w:val="0"/>
          <w:bCs/>
          <w:color w:val="auto"/>
          <w:sz w:val="21"/>
          <w:szCs w:val="21"/>
          <w:highlight w:val="none"/>
        </w:rPr>
      </w:pPr>
      <w:r>
        <w:rPr>
          <w:rFonts w:hint="eastAsia"/>
          <w:b w:val="0"/>
          <w:bCs/>
          <w:color w:val="auto"/>
          <w:sz w:val="21"/>
          <w:szCs w:val="21"/>
          <w:highlight w:val="none"/>
        </w:rPr>
        <w:t xml:space="preserve"> （1）发包人提供的施工设备见下表。</w:t>
      </w:r>
    </w:p>
    <w:p>
      <w:pPr>
        <w:spacing w:line="440" w:lineRule="exact"/>
        <w:jc w:val="center"/>
        <w:rPr>
          <w:b w:val="0"/>
          <w:bCs/>
          <w:color w:val="auto"/>
          <w:sz w:val="21"/>
          <w:szCs w:val="21"/>
          <w:highlight w:val="none"/>
        </w:rPr>
      </w:pPr>
      <w:r>
        <w:rPr>
          <w:rFonts w:hint="eastAsia"/>
          <w:b w:val="0"/>
          <w:bCs/>
          <w:color w:val="auto"/>
          <w:sz w:val="21"/>
          <w:szCs w:val="21"/>
          <w:highlight w:val="none"/>
        </w:rPr>
        <w:t>发包人提供的施工设备表（参考格式）</w:t>
      </w:r>
    </w:p>
    <w:tbl>
      <w:tblPr>
        <w:tblStyle w:val="6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65"/>
        <w:gridCol w:w="1365"/>
        <w:gridCol w:w="1170"/>
        <w:gridCol w:w="693"/>
        <w:gridCol w:w="1138"/>
        <w:gridCol w:w="166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序号</w:t>
            </w:r>
          </w:p>
        </w:tc>
        <w:tc>
          <w:tcPr>
            <w:tcW w:w="166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施工设备名称</w:t>
            </w:r>
          </w:p>
        </w:tc>
        <w:tc>
          <w:tcPr>
            <w:tcW w:w="136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型号及规格</w:t>
            </w:r>
          </w:p>
        </w:tc>
        <w:tc>
          <w:tcPr>
            <w:tcW w:w="1170"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设备状况</w:t>
            </w:r>
          </w:p>
        </w:tc>
        <w:tc>
          <w:tcPr>
            <w:tcW w:w="693"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数量</w:t>
            </w:r>
          </w:p>
        </w:tc>
        <w:tc>
          <w:tcPr>
            <w:tcW w:w="1138"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移交地点</w:t>
            </w:r>
          </w:p>
        </w:tc>
        <w:tc>
          <w:tcPr>
            <w:tcW w:w="166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计划移交日期</w:t>
            </w:r>
          </w:p>
        </w:tc>
        <w:tc>
          <w:tcPr>
            <w:tcW w:w="80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p>
        </w:tc>
        <w:tc>
          <w:tcPr>
            <w:tcW w:w="1665" w:type="dxa"/>
            <w:noWrap w:val="0"/>
            <w:vAlign w:val="center"/>
          </w:tcPr>
          <w:p>
            <w:pPr>
              <w:spacing w:line="440" w:lineRule="exact"/>
              <w:jc w:val="center"/>
              <w:rPr>
                <w:b w:val="0"/>
                <w:bCs/>
                <w:color w:val="auto"/>
                <w:sz w:val="21"/>
                <w:szCs w:val="21"/>
                <w:highlight w:val="none"/>
              </w:rPr>
            </w:pPr>
          </w:p>
        </w:tc>
        <w:tc>
          <w:tcPr>
            <w:tcW w:w="1365" w:type="dxa"/>
            <w:noWrap w:val="0"/>
            <w:vAlign w:val="center"/>
          </w:tcPr>
          <w:p>
            <w:pPr>
              <w:spacing w:line="440" w:lineRule="exact"/>
              <w:jc w:val="center"/>
              <w:rPr>
                <w:b w:val="0"/>
                <w:bCs/>
                <w:color w:val="auto"/>
                <w:sz w:val="21"/>
                <w:szCs w:val="21"/>
                <w:highlight w:val="none"/>
              </w:rPr>
            </w:pPr>
          </w:p>
        </w:tc>
        <w:tc>
          <w:tcPr>
            <w:tcW w:w="1170" w:type="dxa"/>
            <w:noWrap w:val="0"/>
            <w:vAlign w:val="center"/>
          </w:tcPr>
          <w:p>
            <w:pPr>
              <w:spacing w:line="440" w:lineRule="exact"/>
              <w:jc w:val="center"/>
              <w:rPr>
                <w:b w:val="0"/>
                <w:bCs/>
                <w:color w:val="auto"/>
                <w:sz w:val="21"/>
                <w:szCs w:val="21"/>
                <w:highlight w:val="none"/>
              </w:rPr>
            </w:pPr>
          </w:p>
        </w:tc>
        <w:tc>
          <w:tcPr>
            <w:tcW w:w="693" w:type="dxa"/>
            <w:noWrap w:val="0"/>
            <w:vAlign w:val="center"/>
          </w:tcPr>
          <w:p>
            <w:pPr>
              <w:spacing w:line="440" w:lineRule="exact"/>
              <w:jc w:val="center"/>
              <w:rPr>
                <w:b w:val="0"/>
                <w:bCs/>
                <w:color w:val="auto"/>
                <w:sz w:val="21"/>
                <w:szCs w:val="21"/>
                <w:highlight w:val="none"/>
              </w:rPr>
            </w:pPr>
          </w:p>
        </w:tc>
        <w:tc>
          <w:tcPr>
            <w:tcW w:w="1138" w:type="dxa"/>
            <w:noWrap w:val="0"/>
            <w:vAlign w:val="center"/>
          </w:tcPr>
          <w:p>
            <w:pPr>
              <w:spacing w:line="440" w:lineRule="exact"/>
              <w:jc w:val="center"/>
              <w:rPr>
                <w:b w:val="0"/>
                <w:bCs/>
                <w:color w:val="auto"/>
                <w:sz w:val="21"/>
                <w:szCs w:val="21"/>
                <w:highlight w:val="none"/>
              </w:rPr>
            </w:pPr>
          </w:p>
        </w:tc>
        <w:tc>
          <w:tcPr>
            <w:tcW w:w="1664" w:type="dxa"/>
            <w:noWrap w:val="0"/>
            <w:vAlign w:val="center"/>
          </w:tcPr>
          <w:p>
            <w:pPr>
              <w:spacing w:line="440" w:lineRule="exact"/>
              <w:jc w:val="center"/>
              <w:rPr>
                <w:b w:val="0"/>
                <w:bCs/>
                <w:color w:val="auto"/>
                <w:sz w:val="21"/>
                <w:szCs w:val="21"/>
                <w:highlight w:val="none"/>
              </w:rPr>
            </w:pPr>
          </w:p>
        </w:tc>
        <w:tc>
          <w:tcPr>
            <w:tcW w:w="804" w:type="dxa"/>
            <w:noWrap w:val="0"/>
            <w:vAlign w:val="center"/>
          </w:tcPr>
          <w:p>
            <w:pPr>
              <w:spacing w:line="440" w:lineRule="exact"/>
              <w:jc w:val="center"/>
              <w:rPr>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p>
        </w:tc>
        <w:tc>
          <w:tcPr>
            <w:tcW w:w="1665" w:type="dxa"/>
            <w:noWrap w:val="0"/>
            <w:vAlign w:val="center"/>
          </w:tcPr>
          <w:p>
            <w:pPr>
              <w:spacing w:line="440" w:lineRule="exact"/>
              <w:jc w:val="center"/>
              <w:rPr>
                <w:b w:val="0"/>
                <w:bCs/>
                <w:color w:val="auto"/>
                <w:sz w:val="21"/>
                <w:szCs w:val="21"/>
                <w:highlight w:val="none"/>
              </w:rPr>
            </w:pPr>
          </w:p>
        </w:tc>
        <w:tc>
          <w:tcPr>
            <w:tcW w:w="1365" w:type="dxa"/>
            <w:noWrap w:val="0"/>
            <w:vAlign w:val="center"/>
          </w:tcPr>
          <w:p>
            <w:pPr>
              <w:spacing w:line="440" w:lineRule="exact"/>
              <w:jc w:val="center"/>
              <w:rPr>
                <w:b w:val="0"/>
                <w:bCs/>
                <w:color w:val="auto"/>
                <w:sz w:val="21"/>
                <w:szCs w:val="21"/>
                <w:highlight w:val="none"/>
              </w:rPr>
            </w:pPr>
          </w:p>
        </w:tc>
        <w:tc>
          <w:tcPr>
            <w:tcW w:w="1170" w:type="dxa"/>
            <w:noWrap w:val="0"/>
            <w:vAlign w:val="center"/>
          </w:tcPr>
          <w:p>
            <w:pPr>
              <w:spacing w:line="440" w:lineRule="exact"/>
              <w:jc w:val="center"/>
              <w:rPr>
                <w:b w:val="0"/>
                <w:bCs/>
                <w:color w:val="auto"/>
                <w:sz w:val="21"/>
                <w:szCs w:val="21"/>
                <w:highlight w:val="none"/>
              </w:rPr>
            </w:pPr>
          </w:p>
        </w:tc>
        <w:tc>
          <w:tcPr>
            <w:tcW w:w="693" w:type="dxa"/>
            <w:noWrap w:val="0"/>
            <w:vAlign w:val="center"/>
          </w:tcPr>
          <w:p>
            <w:pPr>
              <w:spacing w:line="440" w:lineRule="exact"/>
              <w:jc w:val="center"/>
              <w:rPr>
                <w:b w:val="0"/>
                <w:bCs/>
                <w:color w:val="auto"/>
                <w:sz w:val="21"/>
                <w:szCs w:val="21"/>
                <w:highlight w:val="none"/>
              </w:rPr>
            </w:pPr>
          </w:p>
        </w:tc>
        <w:tc>
          <w:tcPr>
            <w:tcW w:w="1138" w:type="dxa"/>
            <w:noWrap w:val="0"/>
            <w:vAlign w:val="center"/>
          </w:tcPr>
          <w:p>
            <w:pPr>
              <w:spacing w:line="440" w:lineRule="exact"/>
              <w:jc w:val="center"/>
              <w:rPr>
                <w:b w:val="0"/>
                <w:bCs/>
                <w:color w:val="auto"/>
                <w:sz w:val="21"/>
                <w:szCs w:val="21"/>
                <w:highlight w:val="none"/>
              </w:rPr>
            </w:pPr>
          </w:p>
        </w:tc>
        <w:tc>
          <w:tcPr>
            <w:tcW w:w="1664" w:type="dxa"/>
            <w:noWrap w:val="0"/>
            <w:vAlign w:val="center"/>
          </w:tcPr>
          <w:p>
            <w:pPr>
              <w:spacing w:line="440" w:lineRule="exact"/>
              <w:jc w:val="center"/>
              <w:rPr>
                <w:b w:val="0"/>
                <w:bCs/>
                <w:color w:val="auto"/>
                <w:sz w:val="21"/>
                <w:szCs w:val="21"/>
                <w:highlight w:val="none"/>
              </w:rPr>
            </w:pPr>
          </w:p>
        </w:tc>
        <w:tc>
          <w:tcPr>
            <w:tcW w:w="804" w:type="dxa"/>
            <w:noWrap w:val="0"/>
            <w:vAlign w:val="center"/>
          </w:tcPr>
          <w:p>
            <w:pPr>
              <w:spacing w:line="440" w:lineRule="exact"/>
              <w:jc w:val="center"/>
              <w:rPr>
                <w:b w:val="0"/>
                <w:bCs/>
                <w:color w:val="auto"/>
                <w:sz w:val="21"/>
                <w:szCs w:val="21"/>
                <w:highlight w:val="none"/>
              </w:rPr>
            </w:pPr>
          </w:p>
        </w:tc>
      </w:tr>
    </w:tbl>
    <w:p>
      <w:pPr>
        <w:spacing w:line="440" w:lineRule="exact"/>
        <w:rPr>
          <w:b w:val="0"/>
          <w:bCs/>
          <w:color w:val="auto"/>
          <w:sz w:val="21"/>
          <w:szCs w:val="21"/>
          <w:highlight w:val="none"/>
        </w:rPr>
      </w:pPr>
      <w:r>
        <w:rPr>
          <w:rFonts w:hint="eastAsia"/>
          <w:b w:val="0"/>
          <w:bCs/>
          <w:color w:val="auto"/>
          <w:sz w:val="21"/>
          <w:szCs w:val="21"/>
          <w:highlight w:val="none"/>
        </w:rPr>
        <w:t>注：设备状况栏填写该设备的新旧程度、购进时间、已使用小时数和最近一次大修时间。</w:t>
      </w:r>
    </w:p>
    <w:p>
      <w:pPr>
        <w:spacing w:line="370" w:lineRule="exact"/>
        <w:rPr>
          <w:b w:val="0"/>
          <w:bCs/>
          <w:color w:val="auto"/>
          <w:sz w:val="21"/>
          <w:szCs w:val="21"/>
          <w:highlight w:val="none"/>
        </w:rPr>
      </w:pPr>
      <w:r>
        <w:rPr>
          <w:rFonts w:hint="eastAsia"/>
          <w:b w:val="0"/>
          <w:bCs/>
          <w:color w:val="auto"/>
          <w:sz w:val="21"/>
          <w:szCs w:val="21"/>
          <w:highlight w:val="none"/>
        </w:rPr>
        <w:t>（2）发包人提供的临时设施：</w:t>
      </w:r>
      <w:r>
        <w:rPr>
          <w:b w:val="0"/>
          <w:bCs/>
          <w:snapToGrid w:val="0"/>
          <w:color w:val="auto"/>
          <w:sz w:val="21"/>
          <w:szCs w:val="21"/>
          <w:highlight w:val="none"/>
          <w:u w:val="single"/>
        </w:rPr>
        <w:t>发包人无施工设备或临时设施提供</w:t>
      </w:r>
      <w:r>
        <w:rPr>
          <w:rFonts w:hint="eastAsia"/>
          <w:b w:val="0"/>
          <w:bCs/>
          <w:color w:val="auto"/>
          <w:sz w:val="21"/>
          <w:szCs w:val="21"/>
          <w:highlight w:val="none"/>
        </w:rPr>
        <w:t xml:space="preserve">。 </w:t>
      </w:r>
    </w:p>
    <w:p>
      <w:pPr>
        <w:spacing w:line="440" w:lineRule="exact"/>
        <w:rPr>
          <w:b w:val="0"/>
          <w:bCs/>
          <w:color w:val="auto"/>
          <w:sz w:val="21"/>
          <w:szCs w:val="21"/>
          <w:highlight w:val="none"/>
        </w:rPr>
      </w:pPr>
      <w:r>
        <w:rPr>
          <w:rFonts w:hint="eastAsia"/>
          <w:b w:val="0"/>
          <w:bCs/>
          <w:color w:val="auto"/>
          <w:sz w:val="21"/>
          <w:szCs w:val="21"/>
          <w:highlight w:val="none"/>
        </w:rPr>
        <w:t xml:space="preserve">7 交通运输 </w:t>
      </w:r>
    </w:p>
    <w:p>
      <w:pPr>
        <w:spacing w:line="440" w:lineRule="exact"/>
        <w:rPr>
          <w:b w:val="0"/>
          <w:bCs/>
          <w:color w:val="auto"/>
          <w:sz w:val="21"/>
          <w:szCs w:val="21"/>
          <w:highlight w:val="none"/>
        </w:rPr>
      </w:pPr>
      <w:r>
        <w:rPr>
          <w:rFonts w:hint="eastAsia"/>
          <w:b w:val="0"/>
          <w:bCs/>
          <w:color w:val="auto"/>
          <w:sz w:val="21"/>
          <w:szCs w:val="21"/>
          <w:highlight w:val="none"/>
        </w:rPr>
        <w:t xml:space="preserve">7.1道路通行权和场外设施的约定： </w:t>
      </w:r>
    </w:p>
    <w:p>
      <w:pPr>
        <w:spacing w:line="38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1、承包人自行协调场外道路及设施；</w:t>
      </w:r>
    </w:p>
    <w:p>
      <w:pPr>
        <w:spacing w:line="38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2、承包方负责场内过境车辆的协调和分流工作；</w:t>
      </w:r>
    </w:p>
    <w:p>
      <w:pPr>
        <w:spacing w:line="440" w:lineRule="exact"/>
        <w:rPr>
          <w:b w:val="0"/>
          <w:bCs/>
          <w:color w:val="auto"/>
          <w:sz w:val="21"/>
          <w:szCs w:val="21"/>
          <w:highlight w:val="none"/>
        </w:rPr>
      </w:pPr>
      <w:r>
        <w:rPr>
          <w:rFonts w:hint="eastAsia"/>
          <w:b w:val="0"/>
          <w:bCs/>
          <w:color w:val="auto"/>
          <w:sz w:val="21"/>
          <w:szCs w:val="21"/>
          <w:highlight w:val="none"/>
          <w:u w:val="none"/>
        </w:rPr>
        <w:t xml:space="preserve">    </w:t>
      </w:r>
      <w:r>
        <w:rPr>
          <w:rFonts w:hint="eastAsia"/>
          <w:b w:val="0"/>
          <w:bCs/>
          <w:color w:val="auto"/>
          <w:sz w:val="21"/>
          <w:szCs w:val="21"/>
          <w:highlight w:val="none"/>
          <w:u w:val="single"/>
        </w:rPr>
        <w:t>3、本条1～2款相关费用计入临时工程费，不再另行计费。</w:t>
      </w:r>
    </w:p>
    <w:p>
      <w:pPr>
        <w:spacing w:line="440" w:lineRule="exact"/>
        <w:rPr>
          <w:b w:val="0"/>
          <w:bCs/>
          <w:color w:val="auto"/>
          <w:sz w:val="21"/>
          <w:szCs w:val="21"/>
          <w:highlight w:val="none"/>
        </w:rPr>
      </w:pPr>
      <w:r>
        <w:rPr>
          <w:rFonts w:hint="eastAsia"/>
          <w:b w:val="0"/>
          <w:bCs/>
          <w:color w:val="auto"/>
          <w:sz w:val="21"/>
          <w:szCs w:val="21"/>
          <w:highlight w:val="none"/>
        </w:rPr>
        <w:t xml:space="preserve">8 测量放线 </w:t>
      </w:r>
    </w:p>
    <w:p>
      <w:pPr>
        <w:spacing w:line="440" w:lineRule="exact"/>
        <w:rPr>
          <w:b w:val="0"/>
          <w:bCs/>
          <w:color w:val="auto"/>
          <w:sz w:val="21"/>
          <w:szCs w:val="21"/>
          <w:highlight w:val="none"/>
        </w:rPr>
      </w:pPr>
      <w:r>
        <w:rPr>
          <w:rFonts w:hint="eastAsia"/>
          <w:b w:val="0"/>
          <w:bCs/>
          <w:color w:val="auto"/>
          <w:sz w:val="21"/>
          <w:szCs w:val="21"/>
          <w:highlight w:val="none"/>
        </w:rPr>
        <w:t xml:space="preserve">8.1施工控制网 </w:t>
      </w:r>
    </w:p>
    <w:p>
      <w:pPr>
        <w:spacing w:line="440" w:lineRule="exact"/>
        <w:rPr>
          <w:b w:val="0"/>
          <w:bCs/>
          <w:color w:val="auto"/>
          <w:sz w:val="21"/>
          <w:szCs w:val="21"/>
          <w:highlight w:val="none"/>
        </w:rPr>
      </w:pPr>
      <w:r>
        <w:rPr>
          <w:rFonts w:hint="eastAsia"/>
          <w:b w:val="0"/>
          <w:bCs/>
          <w:color w:val="auto"/>
          <w:sz w:val="21"/>
          <w:szCs w:val="21"/>
          <w:highlight w:val="none"/>
        </w:rPr>
        <w:t xml:space="preserve">    8.1.1施工控制网的约定：</w:t>
      </w:r>
    </w:p>
    <w:p>
      <w:pPr>
        <w:widowControl w:val="0"/>
        <w:kinsoku w:val="0"/>
        <w:overflowPunct w:val="0"/>
        <w:autoSpaceDE/>
        <w:autoSpaceDN/>
        <w:adjustRightInd w:val="0"/>
        <w:spacing w:line="380" w:lineRule="exact"/>
        <w:ind w:firstLine="420" w:firstLineChars="200"/>
        <w:jc w:val="both"/>
        <w:rPr>
          <w:rFonts w:ascii="宋体" w:hAnsi="宋体" w:eastAsia="宋体" w:cs="Times New Roman"/>
          <w:b w:val="0"/>
          <w:bCs/>
          <w:snapToGrid w:val="0"/>
          <w:color w:val="auto"/>
          <w:kern w:val="0"/>
          <w:sz w:val="21"/>
          <w:szCs w:val="21"/>
          <w:highlight w:val="none"/>
          <w:u w:val="single"/>
          <w:lang w:val="en-US" w:eastAsia="zh-CN" w:bidi="ar-SA"/>
        </w:rPr>
      </w:pPr>
      <w:r>
        <w:rPr>
          <w:rFonts w:hint="eastAsia" w:ascii="宋体" w:hAnsi="宋体" w:eastAsia="宋体" w:cs="Times New Roman"/>
          <w:b w:val="0"/>
          <w:bCs/>
          <w:snapToGrid w:val="0"/>
          <w:color w:val="auto"/>
          <w:kern w:val="0"/>
          <w:sz w:val="21"/>
          <w:szCs w:val="21"/>
          <w:highlight w:val="none"/>
          <w:u w:val="single"/>
          <w:lang w:val="en-US" w:eastAsia="zh-CN" w:bidi="ar-SA"/>
        </w:rPr>
        <w:t>(1) 监理人应在开工日期前5天内提供给承包人。</w:t>
      </w:r>
    </w:p>
    <w:p>
      <w:pPr>
        <w:spacing w:line="440" w:lineRule="exact"/>
        <w:rPr>
          <w:b w:val="0"/>
          <w:bCs/>
          <w:color w:val="auto"/>
          <w:sz w:val="21"/>
          <w:szCs w:val="21"/>
          <w:highlight w:val="none"/>
        </w:rPr>
      </w:pPr>
      <w:r>
        <w:rPr>
          <w:rFonts w:hint="eastAsia"/>
          <w:b w:val="0"/>
          <w:bCs/>
          <w:snapToGrid w:val="0"/>
          <w:color w:val="auto"/>
          <w:sz w:val="21"/>
          <w:szCs w:val="21"/>
          <w:highlight w:val="none"/>
          <w:u w:val="none"/>
        </w:rPr>
        <w:t xml:space="preserve">    </w:t>
      </w:r>
      <w:r>
        <w:rPr>
          <w:rFonts w:hint="eastAsia"/>
          <w:b w:val="0"/>
          <w:bCs/>
          <w:snapToGrid w:val="0"/>
          <w:color w:val="auto"/>
          <w:sz w:val="21"/>
          <w:szCs w:val="21"/>
          <w:highlight w:val="none"/>
          <w:u w:val="single"/>
        </w:rPr>
        <w:t>(2) 施工控制网资料承包人应在开工后5天内提供给监理人审批。</w:t>
      </w:r>
    </w:p>
    <w:p>
      <w:pPr>
        <w:spacing w:line="440" w:lineRule="exact"/>
        <w:rPr>
          <w:b w:val="0"/>
          <w:bCs/>
          <w:color w:val="auto"/>
          <w:sz w:val="21"/>
          <w:szCs w:val="21"/>
          <w:highlight w:val="none"/>
        </w:rPr>
      </w:pPr>
      <w:r>
        <w:rPr>
          <w:rFonts w:hint="eastAsia"/>
          <w:b w:val="0"/>
          <w:bCs/>
          <w:color w:val="auto"/>
          <w:sz w:val="21"/>
          <w:szCs w:val="21"/>
          <w:highlight w:val="none"/>
        </w:rPr>
        <w:t xml:space="preserve">9 施工安全、治安保卫和环境保护 </w:t>
      </w:r>
    </w:p>
    <w:p>
      <w:pPr>
        <w:spacing w:line="440" w:lineRule="exact"/>
        <w:rPr>
          <w:b w:val="0"/>
          <w:bCs/>
          <w:color w:val="auto"/>
          <w:sz w:val="21"/>
          <w:szCs w:val="21"/>
          <w:highlight w:val="none"/>
        </w:rPr>
      </w:pPr>
      <w:r>
        <w:rPr>
          <w:rFonts w:hint="eastAsia"/>
          <w:b w:val="0"/>
          <w:bCs/>
          <w:color w:val="auto"/>
          <w:sz w:val="21"/>
          <w:szCs w:val="21"/>
          <w:highlight w:val="none"/>
        </w:rPr>
        <w:t xml:space="preserve">9.1发包人的施工安全责任 </w:t>
      </w:r>
    </w:p>
    <w:p>
      <w:pPr>
        <w:spacing w:line="440" w:lineRule="exact"/>
        <w:rPr>
          <w:b w:val="0"/>
          <w:bCs/>
          <w:color w:val="auto"/>
          <w:sz w:val="21"/>
          <w:szCs w:val="21"/>
          <w:highlight w:val="none"/>
        </w:rPr>
      </w:pPr>
      <w:r>
        <w:rPr>
          <w:rFonts w:hint="eastAsia"/>
          <w:b w:val="0"/>
          <w:bCs/>
          <w:color w:val="auto"/>
          <w:sz w:val="21"/>
          <w:szCs w:val="21"/>
          <w:highlight w:val="none"/>
        </w:rPr>
        <w:t xml:space="preserve">    9.1.4发包人</w:t>
      </w:r>
      <w:r>
        <w:rPr>
          <w:rFonts w:hint="eastAsia"/>
          <w:b w:val="0"/>
          <w:bCs/>
          <w:color w:val="auto"/>
          <w:sz w:val="21"/>
          <w:szCs w:val="21"/>
          <w:highlight w:val="none"/>
          <w:u w:val="single"/>
        </w:rPr>
        <w:t>不</w:t>
      </w:r>
      <w:r>
        <w:rPr>
          <w:rFonts w:hint="eastAsia"/>
          <w:b w:val="0"/>
          <w:bCs/>
          <w:color w:val="auto"/>
          <w:sz w:val="21"/>
          <w:szCs w:val="21"/>
          <w:highlight w:val="none"/>
        </w:rPr>
        <w:t xml:space="preserve">提供资料，其余资料由承包负责收集。 </w:t>
      </w:r>
    </w:p>
    <w:p>
      <w:pPr>
        <w:spacing w:line="440" w:lineRule="exact"/>
        <w:rPr>
          <w:b w:val="0"/>
          <w:bCs/>
          <w:color w:val="auto"/>
          <w:sz w:val="21"/>
          <w:szCs w:val="21"/>
          <w:highlight w:val="none"/>
        </w:rPr>
      </w:pPr>
      <w:r>
        <w:rPr>
          <w:rFonts w:hint="eastAsia"/>
          <w:b w:val="0"/>
          <w:bCs/>
          <w:color w:val="auto"/>
          <w:sz w:val="21"/>
          <w:szCs w:val="21"/>
          <w:highlight w:val="none"/>
        </w:rPr>
        <w:t xml:space="preserve">9.2承包人的施工安全责任 </w:t>
      </w:r>
    </w:p>
    <w:p>
      <w:pPr>
        <w:spacing w:line="440" w:lineRule="exact"/>
        <w:rPr>
          <w:b w:val="0"/>
          <w:bCs/>
          <w:color w:val="auto"/>
          <w:sz w:val="21"/>
          <w:szCs w:val="21"/>
          <w:highlight w:val="none"/>
        </w:rPr>
      </w:pPr>
      <w:r>
        <w:rPr>
          <w:rFonts w:hint="eastAsia"/>
          <w:b w:val="0"/>
          <w:bCs/>
          <w:color w:val="auto"/>
          <w:sz w:val="21"/>
          <w:szCs w:val="21"/>
          <w:highlight w:val="none"/>
        </w:rPr>
        <w:t xml:space="preserve">    9.2.12下列工程应编制专项施工方案：</w:t>
      </w:r>
      <w:r>
        <w:rPr>
          <w:rFonts w:hint="eastAsia"/>
          <w:b w:val="0"/>
          <w:bCs/>
          <w:color w:val="auto"/>
          <w:sz w:val="21"/>
          <w:szCs w:val="21"/>
          <w:highlight w:val="none"/>
          <w:u w:val="single"/>
        </w:rPr>
        <w:t xml:space="preserve">  /   </w:t>
      </w:r>
      <w:r>
        <w:rPr>
          <w:rFonts w:hint="eastAsia"/>
          <w:b w:val="0"/>
          <w:bCs/>
          <w:color w:val="auto"/>
          <w:sz w:val="21"/>
          <w:szCs w:val="21"/>
          <w:highlight w:val="none"/>
        </w:rPr>
        <w:t>，其中</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应组织专家论证和审查。 </w:t>
      </w:r>
    </w:p>
    <w:p>
      <w:pPr>
        <w:spacing w:line="440" w:lineRule="exact"/>
        <w:rPr>
          <w:b w:val="0"/>
          <w:bCs/>
          <w:color w:val="auto"/>
          <w:sz w:val="21"/>
          <w:szCs w:val="21"/>
          <w:highlight w:val="none"/>
        </w:rPr>
      </w:pPr>
      <w:r>
        <w:rPr>
          <w:rFonts w:hint="eastAsia"/>
          <w:b w:val="0"/>
          <w:bCs/>
          <w:color w:val="auto"/>
          <w:sz w:val="21"/>
          <w:szCs w:val="21"/>
          <w:highlight w:val="none"/>
        </w:rPr>
        <w:t xml:space="preserve">9.7文明工地 </w:t>
      </w:r>
    </w:p>
    <w:p>
      <w:pPr>
        <w:spacing w:line="440" w:lineRule="exact"/>
        <w:rPr>
          <w:b w:val="0"/>
          <w:bCs/>
          <w:color w:val="auto"/>
          <w:sz w:val="21"/>
          <w:szCs w:val="21"/>
          <w:highlight w:val="none"/>
        </w:rPr>
      </w:pPr>
      <w:r>
        <w:rPr>
          <w:rFonts w:hint="eastAsia"/>
          <w:b w:val="0"/>
          <w:bCs/>
          <w:color w:val="auto"/>
          <w:sz w:val="21"/>
          <w:szCs w:val="21"/>
          <w:highlight w:val="none"/>
        </w:rPr>
        <w:t xml:space="preserve">    本合同文明工地的约定：</w:t>
      </w:r>
      <w:r>
        <w:rPr>
          <w:rFonts w:hint="eastAsia"/>
          <w:b w:val="0"/>
          <w:bCs/>
          <w:color w:val="auto"/>
          <w:sz w:val="21"/>
          <w:szCs w:val="21"/>
          <w:highlight w:val="none"/>
          <w:u w:val="single"/>
        </w:rPr>
        <w:t xml:space="preserve"> 承包方应文明施工</w:t>
      </w:r>
      <w:r>
        <w:rPr>
          <w:rFonts w:hint="eastAsia"/>
          <w:b w:val="0"/>
          <w:bCs/>
          <w:color w:val="auto"/>
          <w:sz w:val="21"/>
          <w:szCs w:val="21"/>
          <w:highlight w:val="none"/>
        </w:rPr>
        <w:t xml:space="preserve"> 。 </w:t>
      </w:r>
    </w:p>
    <w:p>
      <w:pPr>
        <w:spacing w:line="420" w:lineRule="exact"/>
        <w:rPr>
          <w:b w:val="0"/>
          <w:bCs/>
          <w:color w:val="auto"/>
          <w:sz w:val="21"/>
          <w:szCs w:val="21"/>
          <w:highlight w:val="none"/>
        </w:rPr>
      </w:pPr>
      <w:r>
        <w:rPr>
          <w:rFonts w:hint="eastAsia"/>
          <w:b w:val="0"/>
          <w:bCs/>
          <w:color w:val="auto"/>
          <w:sz w:val="21"/>
          <w:szCs w:val="21"/>
          <w:highlight w:val="none"/>
        </w:rPr>
        <w:t>10 履约担保</w:t>
      </w:r>
    </w:p>
    <w:p>
      <w:pPr>
        <w:spacing w:line="420" w:lineRule="exact"/>
        <w:ind w:firstLine="420" w:firstLineChars="200"/>
        <w:rPr>
          <w:b w:val="0"/>
          <w:bCs/>
          <w:color w:val="auto"/>
          <w:sz w:val="21"/>
          <w:szCs w:val="21"/>
          <w:highlight w:val="none"/>
        </w:rPr>
      </w:pPr>
      <w:r>
        <w:rPr>
          <w:rFonts w:hint="eastAsia"/>
          <w:b w:val="0"/>
          <w:bCs/>
          <w:color w:val="auto"/>
          <w:sz w:val="21"/>
          <w:szCs w:val="21"/>
          <w:highlight w:val="none"/>
        </w:rPr>
        <w:t>承包人是否提供履约担保：</w:t>
      </w:r>
      <w:r>
        <w:rPr>
          <w:rFonts w:hint="eastAsia"/>
          <w:b w:val="0"/>
          <w:bCs/>
          <w:color w:val="auto"/>
          <w:sz w:val="21"/>
          <w:szCs w:val="21"/>
          <w:highlight w:val="none"/>
          <w:u w:val="single"/>
        </w:rPr>
        <w:t xml:space="preserve">  </w:t>
      </w:r>
      <w:r>
        <w:rPr>
          <w:rFonts w:hint="eastAsia"/>
          <w:b w:val="0"/>
          <w:bCs/>
          <w:color w:val="FF0000"/>
          <w:sz w:val="21"/>
          <w:szCs w:val="21"/>
          <w:highlight w:val="none"/>
          <w:u w:val="single"/>
          <w:lang w:val="en-US" w:eastAsia="zh-CN"/>
        </w:rPr>
        <w:t>否</w:t>
      </w:r>
      <w:r>
        <w:rPr>
          <w:rFonts w:hint="eastAsia"/>
          <w:b w:val="0"/>
          <w:bCs/>
          <w:color w:val="auto"/>
          <w:sz w:val="21"/>
          <w:szCs w:val="21"/>
          <w:highlight w:val="none"/>
          <w:u w:val="single"/>
        </w:rPr>
        <w:t xml:space="preserve">  </w:t>
      </w:r>
      <w:r>
        <w:rPr>
          <w:rFonts w:hint="eastAsia"/>
          <w:b w:val="0"/>
          <w:bCs/>
          <w:color w:val="auto"/>
          <w:sz w:val="21"/>
          <w:szCs w:val="21"/>
          <w:highlight w:val="none"/>
        </w:rPr>
        <w:t>。</w:t>
      </w:r>
    </w:p>
    <w:p>
      <w:pPr>
        <w:spacing w:line="420" w:lineRule="exact"/>
        <w:rPr>
          <w:b w:val="0"/>
          <w:bCs/>
          <w:color w:val="auto"/>
          <w:sz w:val="21"/>
          <w:szCs w:val="21"/>
          <w:highlight w:val="none"/>
        </w:rPr>
      </w:pPr>
      <w:r>
        <w:rPr>
          <w:rFonts w:hint="eastAsia"/>
          <w:b w:val="0"/>
          <w:bCs/>
          <w:color w:val="auto"/>
          <w:sz w:val="21"/>
          <w:szCs w:val="21"/>
          <w:highlight w:val="none"/>
        </w:rPr>
        <w:t xml:space="preserve">11 开工和竣工（完工） </w:t>
      </w:r>
    </w:p>
    <w:p>
      <w:pPr>
        <w:spacing w:line="420" w:lineRule="exact"/>
        <w:rPr>
          <w:b w:val="0"/>
          <w:bCs/>
          <w:color w:val="auto"/>
          <w:sz w:val="21"/>
          <w:szCs w:val="21"/>
          <w:highlight w:val="none"/>
        </w:rPr>
      </w:pPr>
      <w:r>
        <w:rPr>
          <w:rFonts w:hint="eastAsia"/>
          <w:b w:val="0"/>
          <w:bCs/>
          <w:color w:val="auto"/>
          <w:sz w:val="21"/>
          <w:szCs w:val="21"/>
          <w:highlight w:val="none"/>
        </w:rPr>
        <w:t xml:space="preserve">11.4异常恶劣的气候条件 </w:t>
      </w:r>
    </w:p>
    <w:p>
      <w:pPr>
        <w:spacing w:line="420" w:lineRule="exact"/>
        <w:rPr>
          <w:b w:val="0"/>
          <w:bCs/>
          <w:color w:val="auto"/>
          <w:sz w:val="21"/>
          <w:szCs w:val="21"/>
          <w:highlight w:val="none"/>
        </w:rPr>
      </w:pPr>
      <w:r>
        <w:rPr>
          <w:rFonts w:hint="eastAsia"/>
          <w:b w:val="0"/>
          <w:bCs/>
          <w:color w:val="auto"/>
          <w:sz w:val="21"/>
          <w:szCs w:val="21"/>
          <w:highlight w:val="none"/>
        </w:rPr>
        <w:t xml:space="preserve">    11.4.3本合同工程界定异常恶劣的气候条件的范围为： </w:t>
      </w:r>
    </w:p>
    <w:p>
      <w:pPr>
        <w:spacing w:line="420" w:lineRule="exact"/>
        <w:rPr>
          <w:rFonts w:hint="eastAsia" w:eastAsia="宋体"/>
          <w:b w:val="0"/>
          <w:bCs/>
          <w:color w:val="auto"/>
          <w:sz w:val="21"/>
          <w:szCs w:val="21"/>
          <w:highlight w:val="none"/>
          <w:lang w:eastAsia="zh-CN"/>
        </w:rPr>
      </w:pPr>
      <w:r>
        <w:rPr>
          <w:rFonts w:hint="eastAsia"/>
          <w:b w:val="0"/>
          <w:bCs/>
          <w:color w:val="auto"/>
          <w:sz w:val="21"/>
          <w:szCs w:val="21"/>
          <w:highlight w:val="none"/>
        </w:rPr>
        <w:t xml:space="preserve">    （1）日降雨量大于</w:t>
      </w:r>
      <w:r>
        <w:rPr>
          <w:rFonts w:hint="eastAsia"/>
          <w:b w:val="0"/>
          <w:bCs/>
          <w:color w:val="auto"/>
          <w:sz w:val="21"/>
          <w:szCs w:val="21"/>
          <w:highlight w:val="none"/>
          <w:u w:val="single"/>
        </w:rPr>
        <w:t xml:space="preserve"> 50 </w:t>
      </w:r>
      <w:r>
        <w:rPr>
          <w:rFonts w:hint="eastAsia"/>
          <w:b w:val="0"/>
          <w:bCs/>
          <w:color w:val="auto"/>
          <w:sz w:val="21"/>
          <w:szCs w:val="21"/>
          <w:highlight w:val="none"/>
        </w:rPr>
        <w:t>mm 的雨日超过</w:t>
      </w:r>
      <w:r>
        <w:rPr>
          <w:rFonts w:hint="eastAsia"/>
          <w:b w:val="0"/>
          <w:bCs/>
          <w:color w:val="auto"/>
          <w:sz w:val="21"/>
          <w:szCs w:val="21"/>
          <w:highlight w:val="none"/>
          <w:u w:val="single"/>
        </w:rPr>
        <w:t xml:space="preserve"> 2 </w:t>
      </w:r>
      <w:r>
        <w:rPr>
          <w:rFonts w:hint="eastAsia"/>
          <w:b w:val="0"/>
          <w:bCs/>
          <w:color w:val="auto"/>
          <w:sz w:val="21"/>
          <w:szCs w:val="21"/>
          <w:highlight w:val="none"/>
        </w:rPr>
        <w:t>天。</w:t>
      </w:r>
    </w:p>
    <w:p>
      <w:pPr>
        <w:spacing w:line="420" w:lineRule="exact"/>
        <w:rPr>
          <w:rFonts w:hint="eastAsia" w:eastAsia="宋体"/>
          <w:b w:val="0"/>
          <w:bCs/>
          <w:color w:val="auto"/>
          <w:sz w:val="21"/>
          <w:szCs w:val="21"/>
          <w:highlight w:val="none"/>
          <w:lang w:eastAsia="zh-CN"/>
        </w:rPr>
      </w:pPr>
      <w:r>
        <w:rPr>
          <w:rFonts w:hint="eastAsia"/>
          <w:b w:val="0"/>
          <w:bCs/>
          <w:color w:val="auto"/>
          <w:sz w:val="21"/>
          <w:szCs w:val="21"/>
          <w:highlight w:val="none"/>
        </w:rPr>
        <w:t xml:space="preserve">    （2）风速大于</w:t>
      </w:r>
      <w:r>
        <w:rPr>
          <w:rFonts w:hint="eastAsia"/>
          <w:b w:val="0"/>
          <w:bCs/>
          <w:color w:val="auto"/>
          <w:sz w:val="21"/>
          <w:szCs w:val="21"/>
          <w:highlight w:val="none"/>
          <w:u w:val="single"/>
        </w:rPr>
        <w:t xml:space="preserve"> 14 </w:t>
      </w:r>
      <w:r>
        <w:rPr>
          <w:rFonts w:hint="eastAsia"/>
          <w:b w:val="0"/>
          <w:bCs/>
          <w:color w:val="auto"/>
          <w:sz w:val="21"/>
          <w:szCs w:val="21"/>
          <w:highlight w:val="none"/>
        </w:rPr>
        <w:t>m/s 的</w:t>
      </w:r>
      <w:r>
        <w:rPr>
          <w:rFonts w:hint="eastAsia"/>
          <w:b w:val="0"/>
          <w:bCs/>
          <w:color w:val="auto"/>
          <w:sz w:val="21"/>
          <w:szCs w:val="21"/>
          <w:highlight w:val="none"/>
          <w:u w:val="single"/>
        </w:rPr>
        <w:t xml:space="preserve"> 7</w:t>
      </w:r>
      <w:r>
        <w:rPr>
          <w:rFonts w:hint="eastAsia"/>
          <w:b w:val="0"/>
          <w:bCs/>
          <w:color w:val="auto"/>
          <w:sz w:val="21"/>
          <w:szCs w:val="21"/>
          <w:highlight w:val="none"/>
        </w:rPr>
        <w:t>级以上台风灾害。</w:t>
      </w:r>
    </w:p>
    <w:p>
      <w:pPr>
        <w:spacing w:line="420" w:lineRule="exact"/>
        <w:rPr>
          <w:rFonts w:hint="eastAsia" w:eastAsia="宋体"/>
          <w:b w:val="0"/>
          <w:bCs/>
          <w:color w:val="auto"/>
          <w:sz w:val="21"/>
          <w:szCs w:val="21"/>
          <w:highlight w:val="none"/>
          <w:lang w:eastAsia="zh-CN"/>
        </w:rPr>
      </w:pPr>
      <w:r>
        <w:rPr>
          <w:rFonts w:hint="eastAsia"/>
          <w:b w:val="0"/>
          <w:bCs/>
          <w:color w:val="auto"/>
          <w:sz w:val="21"/>
          <w:szCs w:val="21"/>
          <w:highlight w:val="none"/>
        </w:rPr>
        <w:t xml:space="preserve">    （3）日气温超过</w:t>
      </w:r>
      <w:r>
        <w:rPr>
          <w:rFonts w:hint="eastAsia"/>
          <w:b w:val="0"/>
          <w:bCs/>
          <w:color w:val="auto"/>
          <w:sz w:val="21"/>
          <w:szCs w:val="21"/>
          <w:highlight w:val="none"/>
          <w:u w:val="single"/>
        </w:rPr>
        <w:t xml:space="preserve"> 40  </w:t>
      </w:r>
      <w:r>
        <w:rPr>
          <w:rFonts w:hint="eastAsia"/>
          <w:b w:val="0"/>
          <w:bCs/>
          <w:color w:val="auto"/>
          <w:sz w:val="21"/>
          <w:szCs w:val="21"/>
          <w:highlight w:val="none"/>
        </w:rPr>
        <w:t>℃的高温大于</w:t>
      </w:r>
      <w:r>
        <w:rPr>
          <w:rFonts w:hint="eastAsia"/>
          <w:b w:val="0"/>
          <w:bCs/>
          <w:color w:val="auto"/>
          <w:sz w:val="21"/>
          <w:szCs w:val="21"/>
          <w:highlight w:val="none"/>
          <w:u w:val="single"/>
        </w:rPr>
        <w:t xml:space="preserve"> 3</w:t>
      </w:r>
      <w:r>
        <w:rPr>
          <w:rFonts w:hint="eastAsia"/>
          <w:b w:val="0"/>
          <w:bCs/>
          <w:color w:val="auto"/>
          <w:sz w:val="21"/>
          <w:szCs w:val="21"/>
          <w:highlight w:val="none"/>
        </w:rPr>
        <w:t>天。</w:t>
      </w:r>
    </w:p>
    <w:p>
      <w:pPr>
        <w:spacing w:line="420" w:lineRule="exact"/>
        <w:rPr>
          <w:rFonts w:hint="eastAsia" w:eastAsia="宋体"/>
          <w:b w:val="0"/>
          <w:bCs/>
          <w:color w:val="auto"/>
          <w:sz w:val="21"/>
          <w:szCs w:val="21"/>
          <w:highlight w:val="none"/>
          <w:lang w:eastAsia="zh-CN"/>
        </w:rPr>
      </w:pPr>
      <w:r>
        <w:rPr>
          <w:rFonts w:hint="eastAsia"/>
          <w:b w:val="0"/>
          <w:bCs/>
          <w:color w:val="auto"/>
          <w:sz w:val="21"/>
          <w:szCs w:val="21"/>
          <w:highlight w:val="none"/>
        </w:rPr>
        <w:t xml:space="preserve">    （4）日气温低于</w:t>
      </w:r>
      <w:r>
        <w:rPr>
          <w:rFonts w:hint="eastAsia"/>
          <w:b w:val="0"/>
          <w:bCs/>
          <w:color w:val="auto"/>
          <w:sz w:val="21"/>
          <w:szCs w:val="21"/>
          <w:highlight w:val="none"/>
          <w:u w:val="single"/>
        </w:rPr>
        <w:t xml:space="preserve"> -5 </w:t>
      </w:r>
      <w:r>
        <w:rPr>
          <w:rFonts w:hint="eastAsia"/>
          <w:b w:val="0"/>
          <w:bCs/>
          <w:color w:val="auto"/>
          <w:sz w:val="21"/>
          <w:szCs w:val="21"/>
          <w:highlight w:val="none"/>
        </w:rPr>
        <w:t>℃的严寒大于</w:t>
      </w:r>
      <w:r>
        <w:rPr>
          <w:rFonts w:hint="eastAsia"/>
          <w:b w:val="0"/>
          <w:bCs/>
          <w:color w:val="auto"/>
          <w:sz w:val="21"/>
          <w:szCs w:val="21"/>
          <w:highlight w:val="none"/>
          <w:u w:val="single"/>
        </w:rPr>
        <w:t xml:space="preserve"> 3</w:t>
      </w:r>
      <w:r>
        <w:rPr>
          <w:rFonts w:hint="eastAsia"/>
          <w:b w:val="0"/>
          <w:bCs/>
          <w:color w:val="auto"/>
          <w:sz w:val="21"/>
          <w:szCs w:val="21"/>
          <w:highlight w:val="none"/>
        </w:rPr>
        <w:t>天。</w:t>
      </w:r>
    </w:p>
    <w:p>
      <w:pPr>
        <w:spacing w:line="420" w:lineRule="exact"/>
        <w:rPr>
          <w:rFonts w:hint="eastAsia" w:eastAsia="宋体"/>
          <w:b w:val="0"/>
          <w:bCs/>
          <w:color w:val="auto"/>
          <w:sz w:val="21"/>
          <w:szCs w:val="21"/>
          <w:highlight w:val="none"/>
          <w:lang w:eastAsia="zh-CN"/>
        </w:rPr>
      </w:pPr>
      <w:r>
        <w:rPr>
          <w:rFonts w:hint="eastAsia"/>
          <w:b w:val="0"/>
          <w:bCs/>
          <w:color w:val="auto"/>
          <w:sz w:val="21"/>
          <w:szCs w:val="21"/>
          <w:highlight w:val="none"/>
        </w:rPr>
        <w:t xml:space="preserve">    （5）造成工程损失的冰雹和大雪灾害。</w:t>
      </w:r>
    </w:p>
    <w:p>
      <w:pPr>
        <w:spacing w:line="420" w:lineRule="exact"/>
        <w:rPr>
          <w:b w:val="0"/>
          <w:bCs/>
          <w:color w:val="auto"/>
          <w:sz w:val="21"/>
          <w:szCs w:val="21"/>
          <w:highlight w:val="none"/>
        </w:rPr>
      </w:pPr>
      <w:r>
        <w:rPr>
          <w:rFonts w:hint="eastAsia"/>
          <w:b w:val="0"/>
          <w:bCs/>
          <w:color w:val="auto"/>
          <w:sz w:val="21"/>
          <w:szCs w:val="21"/>
          <w:highlight w:val="none"/>
        </w:rPr>
        <w:t xml:space="preserve">    （6）其他异常恶劣气候灾害 </w:t>
      </w:r>
    </w:p>
    <w:p>
      <w:pPr>
        <w:spacing w:line="420" w:lineRule="exact"/>
        <w:rPr>
          <w:b w:val="0"/>
          <w:bCs/>
          <w:color w:val="auto"/>
          <w:sz w:val="21"/>
          <w:szCs w:val="21"/>
          <w:highlight w:val="none"/>
        </w:rPr>
      </w:pPr>
      <w:r>
        <w:rPr>
          <w:rFonts w:hint="eastAsia"/>
          <w:b w:val="0"/>
          <w:bCs/>
          <w:color w:val="auto"/>
          <w:sz w:val="21"/>
          <w:szCs w:val="21"/>
          <w:highlight w:val="none"/>
        </w:rPr>
        <w:t xml:space="preserve">11.5承包人的工期延误 </w:t>
      </w:r>
    </w:p>
    <w:p>
      <w:pPr>
        <w:spacing w:line="420" w:lineRule="exact"/>
        <w:rPr>
          <w:b w:val="0"/>
          <w:bCs/>
          <w:color w:val="auto"/>
          <w:sz w:val="21"/>
          <w:szCs w:val="21"/>
          <w:highlight w:val="none"/>
        </w:rPr>
      </w:pPr>
      <w:r>
        <w:rPr>
          <w:rFonts w:hint="eastAsia"/>
          <w:b w:val="0"/>
          <w:bCs/>
          <w:color w:val="auto"/>
          <w:sz w:val="21"/>
          <w:szCs w:val="21"/>
          <w:highlight w:val="none"/>
        </w:rPr>
        <w:t xml:space="preserve">    （1）逾期完工违约金表。 </w:t>
      </w:r>
    </w:p>
    <w:p>
      <w:pPr>
        <w:spacing w:line="440" w:lineRule="exact"/>
        <w:jc w:val="center"/>
        <w:rPr>
          <w:b w:val="0"/>
          <w:bCs/>
          <w:color w:val="auto"/>
          <w:sz w:val="21"/>
          <w:szCs w:val="21"/>
          <w:highlight w:val="none"/>
        </w:rPr>
      </w:pPr>
      <w:r>
        <w:rPr>
          <w:rFonts w:hint="eastAsia"/>
          <w:b w:val="0"/>
          <w:bCs/>
          <w:color w:val="auto"/>
          <w:sz w:val="21"/>
          <w:szCs w:val="21"/>
          <w:highlight w:val="none"/>
        </w:rPr>
        <w:t>逾期完工违约金表</w:t>
      </w:r>
    </w:p>
    <w:tbl>
      <w:tblPr>
        <w:tblStyle w:val="6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83"/>
        <w:gridCol w:w="3067"/>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序号</w:t>
            </w:r>
          </w:p>
        </w:tc>
        <w:tc>
          <w:tcPr>
            <w:tcW w:w="2483"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项目及其说明</w:t>
            </w:r>
          </w:p>
        </w:tc>
        <w:tc>
          <w:tcPr>
            <w:tcW w:w="3067"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要求完工日期</w:t>
            </w:r>
          </w:p>
        </w:tc>
        <w:tc>
          <w:tcPr>
            <w:tcW w:w="2805"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1</w:t>
            </w:r>
          </w:p>
        </w:tc>
        <w:tc>
          <w:tcPr>
            <w:tcW w:w="2483" w:type="dxa"/>
            <w:noWrap w:val="0"/>
            <w:vAlign w:val="center"/>
          </w:tcPr>
          <w:p>
            <w:pPr>
              <w:spacing w:line="440" w:lineRule="exact"/>
              <w:jc w:val="center"/>
              <w:rPr>
                <w:b w:val="0"/>
                <w:bCs/>
                <w:color w:val="auto"/>
                <w:sz w:val="21"/>
                <w:szCs w:val="21"/>
                <w:highlight w:val="none"/>
              </w:rPr>
            </w:pPr>
          </w:p>
        </w:tc>
        <w:tc>
          <w:tcPr>
            <w:tcW w:w="3067" w:type="dxa"/>
            <w:noWrap w:val="0"/>
            <w:vAlign w:val="center"/>
          </w:tcPr>
          <w:p>
            <w:pPr>
              <w:spacing w:line="440" w:lineRule="exact"/>
              <w:jc w:val="center"/>
              <w:rPr>
                <w:b w:val="0"/>
                <w:bCs/>
                <w:color w:val="auto"/>
                <w:sz w:val="21"/>
                <w:szCs w:val="21"/>
                <w:highlight w:val="none"/>
              </w:rPr>
            </w:pPr>
          </w:p>
        </w:tc>
        <w:tc>
          <w:tcPr>
            <w:tcW w:w="2805" w:type="dxa"/>
            <w:noWrap w:val="0"/>
            <w:vAlign w:val="center"/>
          </w:tcPr>
          <w:p>
            <w:pPr>
              <w:spacing w:line="440" w:lineRule="exact"/>
              <w:jc w:val="center"/>
              <w:rPr>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2</w:t>
            </w:r>
          </w:p>
        </w:tc>
        <w:tc>
          <w:tcPr>
            <w:tcW w:w="2483" w:type="dxa"/>
            <w:noWrap w:val="0"/>
            <w:vAlign w:val="center"/>
          </w:tcPr>
          <w:p>
            <w:pPr>
              <w:spacing w:line="440" w:lineRule="exact"/>
              <w:jc w:val="center"/>
              <w:rPr>
                <w:b w:val="0"/>
                <w:bCs/>
                <w:color w:val="auto"/>
                <w:sz w:val="21"/>
                <w:szCs w:val="21"/>
                <w:highlight w:val="none"/>
              </w:rPr>
            </w:pPr>
          </w:p>
        </w:tc>
        <w:tc>
          <w:tcPr>
            <w:tcW w:w="3067" w:type="dxa"/>
            <w:noWrap w:val="0"/>
            <w:vAlign w:val="center"/>
          </w:tcPr>
          <w:p>
            <w:pPr>
              <w:spacing w:line="440" w:lineRule="exact"/>
              <w:jc w:val="center"/>
              <w:rPr>
                <w:b w:val="0"/>
                <w:bCs/>
                <w:color w:val="auto"/>
                <w:sz w:val="21"/>
                <w:szCs w:val="21"/>
                <w:highlight w:val="none"/>
              </w:rPr>
            </w:pPr>
          </w:p>
        </w:tc>
        <w:tc>
          <w:tcPr>
            <w:tcW w:w="2805" w:type="dxa"/>
            <w:noWrap w:val="0"/>
            <w:vAlign w:val="center"/>
          </w:tcPr>
          <w:p>
            <w:pPr>
              <w:spacing w:line="440" w:lineRule="exact"/>
              <w:jc w:val="center"/>
              <w:rPr>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0"/>
            <w:vAlign w:val="center"/>
          </w:tcPr>
          <w:p>
            <w:pPr>
              <w:spacing w:line="440" w:lineRule="exact"/>
              <w:jc w:val="center"/>
              <w:rPr>
                <w:b w:val="0"/>
                <w:bCs/>
                <w:color w:val="auto"/>
                <w:sz w:val="21"/>
                <w:szCs w:val="21"/>
                <w:highlight w:val="none"/>
              </w:rPr>
            </w:pPr>
            <w:r>
              <w:rPr>
                <w:rFonts w:hint="eastAsia"/>
                <w:b w:val="0"/>
                <w:bCs/>
                <w:color w:val="auto"/>
                <w:sz w:val="21"/>
                <w:szCs w:val="21"/>
                <w:highlight w:val="none"/>
              </w:rPr>
              <w:t>3</w:t>
            </w:r>
          </w:p>
        </w:tc>
        <w:tc>
          <w:tcPr>
            <w:tcW w:w="2483" w:type="dxa"/>
            <w:noWrap w:val="0"/>
            <w:vAlign w:val="center"/>
          </w:tcPr>
          <w:p>
            <w:pPr>
              <w:spacing w:line="440" w:lineRule="exact"/>
              <w:jc w:val="center"/>
              <w:rPr>
                <w:b w:val="0"/>
                <w:bCs/>
                <w:color w:val="auto"/>
                <w:sz w:val="21"/>
                <w:szCs w:val="21"/>
                <w:highlight w:val="none"/>
              </w:rPr>
            </w:pPr>
          </w:p>
        </w:tc>
        <w:tc>
          <w:tcPr>
            <w:tcW w:w="3067" w:type="dxa"/>
            <w:noWrap w:val="0"/>
            <w:vAlign w:val="center"/>
          </w:tcPr>
          <w:p>
            <w:pPr>
              <w:spacing w:line="440" w:lineRule="exact"/>
              <w:jc w:val="center"/>
              <w:rPr>
                <w:b w:val="0"/>
                <w:bCs/>
                <w:color w:val="auto"/>
                <w:sz w:val="21"/>
                <w:szCs w:val="21"/>
                <w:highlight w:val="none"/>
              </w:rPr>
            </w:pPr>
          </w:p>
        </w:tc>
        <w:tc>
          <w:tcPr>
            <w:tcW w:w="2805" w:type="dxa"/>
            <w:noWrap w:val="0"/>
            <w:vAlign w:val="center"/>
          </w:tcPr>
          <w:p>
            <w:pPr>
              <w:spacing w:line="440" w:lineRule="exact"/>
              <w:jc w:val="center"/>
              <w:rPr>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9" w:type="dxa"/>
            <w:gridSpan w:val="4"/>
            <w:noWrap w:val="0"/>
            <w:vAlign w:val="center"/>
          </w:tcPr>
          <w:p>
            <w:pPr>
              <w:spacing w:line="440" w:lineRule="exact"/>
              <w:rPr>
                <w:b w:val="0"/>
                <w:bCs/>
                <w:color w:val="auto"/>
                <w:sz w:val="21"/>
                <w:szCs w:val="21"/>
                <w:highlight w:val="none"/>
              </w:rPr>
            </w:pPr>
            <w:r>
              <w:rPr>
                <w:rFonts w:hint="eastAsia"/>
                <w:b w:val="0"/>
                <w:bCs/>
                <w:color w:val="auto"/>
                <w:sz w:val="21"/>
                <w:szCs w:val="21"/>
                <w:highlight w:val="none"/>
              </w:rPr>
              <w:t>注：实际开工日期以总监理工程师签发的开工令为准。</w:t>
            </w:r>
          </w:p>
        </w:tc>
      </w:tr>
    </w:tbl>
    <w:p>
      <w:pPr>
        <w:spacing w:line="440" w:lineRule="exact"/>
        <w:ind w:firstLine="465"/>
        <w:rPr>
          <w:b w:val="0"/>
          <w:bCs/>
          <w:color w:val="auto"/>
          <w:sz w:val="21"/>
          <w:szCs w:val="21"/>
          <w:highlight w:val="none"/>
        </w:rPr>
      </w:pPr>
      <w:r>
        <w:rPr>
          <w:rFonts w:hint="eastAsia" w:eastAsia="宋体"/>
          <w:b w:val="0"/>
          <w:bCs/>
          <w:color w:val="auto"/>
          <w:sz w:val="21"/>
          <w:szCs w:val="21"/>
          <w:highlight w:val="none"/>
          <w:lang w:eastAsia="zh-CN"/>
        </w:rPr>
        <w:t>（</w:t>
      </w:r>
      <w:r>
        <w:rPr>
          <w:rFonts w:hint="eastAsia" w:ascii="宋体" w:eastAsia="宋体"/>
          <w:b w:val="0"/>
          <w:bCs/>
          <w:color w:val="auto"/>
          <w:sz w:val="21"/>
          <w:szCs w:val="21"/>
          <w:highlight w:val="none"/>
          <w:lang w:val="en-US" w:eastAsia="zh-CN"/>
        </w:rPr>
        <w:t>1</w:t>
      </w:r>
      <w:r>
        <w:rPr>
          <w:rFonts w:hint="eastAsia" w:eastAsia="宋体"/>
          <w:b w:val="0"/>
          <w:bCs/>
          <w:color w:val="auto"/>
          <w:sz w:val="21"/>
          <w:szCs w:val="21"/>
          <w:highlight w:val="none"/>
          <w:lang w:eastAsia="zh-CN"/>
        </w:rPr>
        <w:t>）</w:t>
      </w:r>
      <w:r>
        <w:rPr>
          <w:b w:val="0"/>
          <w:bCs/>
          <w:color w:val="auto"/>
          <w:sz w:val="21"/>
          <w:szCs w:val="21"/>
          <w:highlight w:val="none"/>
        </w:rPr>
        <w:t>因</w:t>
      </w:r>
      <w:bookmarkStart w:id="401" w:name="_Toc318581170"/>
      <w:bookmarkStart w:id="402" w:name="_Toc312677487"/>
      <w:bookmarkStart w:id="403" w:name="_Toc312678013"/>
      <w:r>
        <w:rPr>
          <w:b w:val="0"/>
          <w:bCs/>
          <w:color w:val="auto"/>
          <w:sz w:val="21"/>
          <w:szCs w:val="21"/>
          <w:highlight w:val="none"/>
        </w:rPr>
        <w:t>承包人原因造成工期延误</w:t>
      </w:r>
      <w:r>
        <w:rPr>
          <w:rFonts w:hint="eastAsia"/>
          <w:b w:val="0"/>
          <w:bCs/>
          <w:color w:val="auto"/>
          <w:sz w:val="21"/>
          <w:szCs w:val="21"/>
          <w:highlight w:val="none"/>
        </w:rPr>
        <w:t>（发包人或异常恶劣的气候原因造成工期延误除外）</w:t>
      </w:r>
      <w:r>
        <w:rPr>
          <w:b w:val="0"/>
          <w:bCs/>
          <w:color w:val="auto"/>
          <w:sz w:val="21"/>
          <w:szCs w:val="21"/>
          <w:highlight w:val="none"/>
        </w:rPr>
        <w:t>，逾期</w:t>
      </w:r>
      <w:r>
        <w:rPr>
          <w:rFonts w:hint="eastAsia"/>
          <w:b w:val="0"/>
          <w:bCs/>
          <w:color w:val="auto"/>
          <w:sz w:val="21"/>
          <w:szCs w:val="21"/>
          <w:highlight w:val="none"/>
        </w:rPr>
        <w:t>竣（完）</w:t>
      </w:r>
      <w:r>
        <w:rPr>
          <w:b w:val="0"/>
          <w:bCs/>
          <w:color w:val="auto"/>
          <w:sz w:val="21"/>
          <w:szCs w:val="21"/>
          <w:highlight w:val="none"/>
        </w:rPr>
        <w:t>工违约金的计算方法为：</w:t>
      </w:r>
      <w:r>
        <w:rPr>
          <w:rFonts w:hint="eastAsia"/>
          <w:b w:val="0"/>
          <w:bCs/>
          <w:color w:val="auto"/>
          <w:sz w:val="21"/>
          <w:szCs w:val="21"/>
          <w:highlight w:val="none"/>
          <w:u w:val="single"/>
        </w:rPr>
        <w:t>通过委托人内部组织的验收（初验）时间为准，</w:t>
      </w:r>
      <w:r>
        <w:rPr>
          <w:rFonts w:hint="eastAsia"/>
          <w:b w:val="0"/>
          <w:bCs/>
          <w:color w:val="auto"/>
          <w:sz w:val="21"/>
          <w:szCs w:val="21"/>
          <w:highlight w:val="none"/>
        </w:rPr>
        <w:t>每延误1日的误期赔偿金额为</w:t>
      </w:r>
      <w:bookmarkEnd w:id="401"/>
      <w:bookmarkEnd w:id="402"/>
      <w:bookmarkEnd w:id="403"/>
      <w:r>
        <w:rPr>
          <w:rFonts w:hint="eastAsia"/>
          <w:b w:val="0"/>
          <w:bCs/>
          <w:color w:val="auto"/>
          <w:sz w:val="21"/>
          <w:szCs w:val="21"/>
          <w:highlight w:val="none"/>
          <w:u w:val="single"/>
        </w:rPr>
        <w:t>5000元/天</w:t>
      </w:r>
      <w:r>
        <w:rPr>
          <w:rFonts w:hint="eastAsia"/>
          <w:b w:val="0"/>
          <w:bCs/>
          <w:color w:val="auto"/>
          <w:sz w:val="21"/>
          <w:szCs w:val="21"/>
          <w:highlight w:val="none"/>
        </w:rPr>
        <w:t>。</w:t>
      </w:r>
    </w:p>
    <w:p>
      <w:pPr>
        <w:widowControl w:val="0"/>
        <w:autoSpaceDE/>
        <w:autoSpaceDN/>
        <w:ind w:firstLine="420" w:firstLineChars="200"/>
        <w:jc w:val="both"/>
        <w:rPr>
          <w:rFonts w:ascii="Times New Roman" w:hAnsi="Times New Roman" w:eastAsia="宋体" w:cs="Times New Roman"/>
          <w:b w:val="0"/>
          <w:bCs/>
          <w:color w:val="auto"/>
          <w:kern w:val="2"/>
          <w:sz w:val="21"/>
          <w:szCs w:val="21"/>
          <w:highlight w:val="none"/>
          <w:lang w:val="zh-CN" w:eastAsia="zh-CN" w:bidi="zh-CN"/>
        </w:rPr>
      </w:pPr>
      <w:r>
        <w:rPr>
          <w:rFonts w:hint="eastAsia" w:ascii="Times New Roman" w:hAnsi="Times New Roman" w:eastAsia="宋体" w:cs="Times New Roman"/>
          <w:b w:val="0"/>
          <w:bCs/>
          <w:color w:val="auto"/>
          <w:kern w:val="2"/>
          <w:sz w:val="21"/>
          <w:szCs w:val="21"/>
          <w:highlight w:val="none"/>
          <w:lang w:val="en-US" w:eastAsia="zh-CN" w:bidi="ar-SA"/>
        </w:rPr>
        <w:t>（2）全部逾期完工违约金的总限额为不超过签约合同价的</w:t>
      </w:r>
      <w:r>
        <w:rPr>
          <w:rFonts w:hint="eastAsia" w:ascii="Times New Roman" w:hAnsi="Times New Roman" w:eastAsia="宋体" w:cs="Times New Roman"/>
          <w:b w:val="0"/>
          <w:bCs/>
          <w:color w:val="auto"/>
          <w:kern w:val="2"/>
          <w:sz w:val="21"/>
          <w:szCs w:val="21"/>
          <w:highlight w:val="none"/>
          <w:u w:val="single"/>
          <w:lang w:val="en-US" w:eastAsia="zh-CN" w:bidi="ar-SA"/>
        </w:rPr>
        <w:t xml:space="preserve"> 5 </w:t>
      </w:r>
      <w:r>
        <w:rPr>
          <w:rFonts w:hint="eastAsia" w:ascii="Times New Roman" w:hAnsi="Times New Roman" w:eastAsia="宋体" w:cs="Times New Roman"/>
          <w:b w:val="0"/>
          <w:bCs/>
          <w:color w:val="auto"/>
          <w:kern w:val="2"/>
          <w:sz w:val="21"/>
          <w:szCs w:val="21"/>
          <w:highlight w:val="none"/>
          <w:lang w:val="en-US" w:eastAsia="zh-CN" w:bidi="ar-SA"/>
        </w:rPr>
        <w:t>%。</w:t>
      </w:r>
    </w:p>
    <w:p>
      <w:pPr>
        <w:spacing w:line="440" w:lineRule="exact"/>
        <w:rPr>
          <w:b w:val="0"/>
          <w:bCs/>
          <w:color w:val="auto"/>
          <w:sz w:val="21"/>
          <w:szCs w:val="21"/>
          <w:highlight w:val="none"/>
        </w:rPr>
      </w:pPr>
      <w:r>
        <w:rPr>
          <w:rFonts w:hint="eastAsia"/>
          <w:b w:val="0"/>
          <w:bCs/>
          <w:color w:val="auto"/>
          <w:sz w:val="21"/>
          <w:szCs w:val="21"/>
          <w:highlight w:val="none"/>
        </w:rPr>
        <w:t>11.6工期提前</w:t>
      </w:r>
    </w:p>
    <w:p>
      <w:pPr>
        <w:spacing w:line="440" w:lineRule="exact"/>
        <w:ind w:firstLine="465"/>
        <w:rPr>
          <w:b w:val="0"/>
          <w:bCs/>
          <w:color w:val="auto"/>
          <w:sz w:val="21"/>
          <w:szCs w:val="21"/>
          <w:highlight w:val="none"/>
        </w:rPr>
      </w:pPr>
      <w:r>
        <w:rPr>
          <w:rFonts w:hint="eastAsia"/>
          <w:b w:val="0"/>
          <w:bCs/>
          <w:color w:val="auto"/>
          <w:sz w:val="21"/>
          <w:szCs w:val="21"/>
          <w:highlight w:val="none"/>
        </w:rPr>
        <w:t>工期提前的奖金约定</w:t>
      </w:r>
      <w:r>
        <w:rPr>
          <w:rFonts w:hint="eastAsia"/>
          <w:b w:val="0"/>
          <w:bCs/>
          <w:color w:val="auto"/>
          <w:sz w:val="21"/>
          <w:szCs w:val="21"/>
          <w:highlight w:val="none"/>
          <w:u w:val="single"/>
        </w:rPr>
        <w:t>：</w:t>
      </w:r>
      <w:r>
        <w:rPr>
          <w:rFonts w:hint="eastAsia" w:ascii="Tahoma" w:hAnsi="Tahoma"/>
          <w:b w:val="0"/>
          <w:bCs/>
          <w:color w:val="auto"/>
          <w:sz w:val="21"/>
          <w:szCs w:val="21"/>
          <w:highlight w:val="none"/>
          <w:u w:val="single"/>
          <w:lang w:val="en-US" w:eastAsia="zh-CN"/>
        </w:rPr>
        <w:t>/</w:t>
      </w:r>
      <w:r>
        <w:rPr>
          <w:rFonts w:hint="eastAsia" w:ascii="Tahoma" w:hAnsi="Tahoma"/>
          <w:b w:val="0"/>
          <w:bCs/>
          <w:color w:val="auto"/>
          <w:sz w:val="21"/>
          <w:szCs w:val="21"/>
          <w:highlight w:val="none"/>
          <w:u w:val="single"/>
        </w:rPr>
        <w:t>。</w:t>
      </w:r>
    </w:p>
    <w:p>
      <w:pPr>
        <w:spacing w:line="440" w:lineRule="exact"/>
        <w:rPr>
          <w:b w:val="0"/>
          <w:bCs/>
          <w:color w:val="auto"/>
          <w:sz w:val="21"/>
          <w:szCs w:val="21"/>
          <w:highlight w:val="none"/>
        </w:rPr>
      </w:pPr>
      <w:r>
        <w:rPr>
          <w:rFonts w:hint="eastAsia"/>
          <w:b w:val="0"/>
          <w:bCs/>
          <w:color w:val="auto"/>
          <w:sz w:val="21"/>
          <w:szCs w:val="21"/>
          <w:highlight w:val="none"/>
        </w:rPr>
        <w:t>12 暂停施工</w:t>
      </w:r>
    </w:p>
    <w:p>
      <w:pPr>
        <w:spacing w:line="440" w:lineRule="exact"/>
        <w:rPr>
          <w:b w:val="0"/>
          <w:bCs/>
          <w:color w:val="auto"/>
          <w:sz w:val="21"/>
          <w:szCs w:val="21"/>
          <w:highlight w:val="none"/>
        </w:rPr>
      </w:pPr>
      <w:r>
        <w:rPr>
          <w:rFonts w:hint="eastAsia"/>
          <w:b w:val="0"/>
          <w:bCs/>
          <w:color w:val="auto"/>
          <w:sz w:val="21"/>
          <w:szCs w:val="21"/>
          <w:highlight w:val="none"/>
        </w:rPr>
        <w:t>12.1承包人暂停施工的责任</w:t>
      </w:r>
    </w:p>
    <w:p>
      <w:pPr>
        <w:spacing w:line="440" w:lineRule="exact"/>
        <w:rPr>
          <w:b w:val="0"/>
          <w:bCs/>
          <w:color w:val="auto"/>
          <w:sz w:val="21"/>
          <w:szCs w:val="21"/>
          <w:highlight w:val="none"/>
        </w:rPr>
      </w:pPr>
      <w:r>
        <w:rPr>
          <w:rFonts w:hint="eastAsia"/>
          <w:b w:val="0"/>
          <w:bCs/>
          <w:color w:val="auto"/>
          <w:sz w:val="21"/>
          <w:szCs w:val="21"/>
          <w:highlight w:val="none"/>
        </w:rPr>
        <w:t xml:space="preserve">    （5）承包人承担暂停施工责任的其他情形</w:t>
      </w:r>
      <w:r>
        <w:rPr>
          <w:rFonts w:hint="eastAsia"/>
          <w:b w:val="0"/>
          <w:bCs/>
          <w:color w:val="auto"/>
          <w:sz w:val="21"/>
          <w:szCs w:val="21"/>
          <w:highlight w:val="none"/>
          <w:u w:val="single"/>
        </w:rPr>
        <w:t xml:space="preserve">：/   </w:t>
      </w:r>
      <w:r>
        <w:rPr>
          <w:rFonts w:hint="eastAsia"/>
          <w:b w:val="0"/>
          <w:bCs/>
          <w:color w:val="auto"/>
          <w:sz w:val="21"/>
          <w:szCs w:val="21"/>
          <w:highlight w:val="none"/>
        </w:rPr>
        <w:t>。</w:t>
      </w:r>
    </w:p>
    <w:p>
      <w:pPr>
        <w:spacing w:line="440" w:lineRule="exact"/>
        <w:rPr>
          <w:b w:val="0"/>
          <w:bCs/>
          <w:color w:val="auto"/>
          <w:sz w:val="21"/>
          <w:szCs w:val="21"/>
          <w:highlight w:val="none"/>
        </w:rPr>
      </w:pPr>
      <w:r>
        <w:rPr>
          <w:rFonts w:hint="eastAsia"/>
          <w:b w:val="0"/>
          <w:bCs/>
          <w:color w:val="auto"/>
          <w:sz w:val="21"/>
          <w:szCs w:val="21"/>
          <w:highlight w:val="none"/>
        </w:rPr>
        <w:t>12.2发包人暂停施工的责任</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（3）发包人暂停施工责任的其他情形</w:t>
      </w:r>
      <w:r>
        <w:rPr>
          <w:rFonts w:hint="eastAsia"/>
          <w:b w:val="0"/>
          <w:bCs/>
          <w:color w:val="auto"/>
          <w:sz w:val="21"/>
          <w:szCs w:val="21"/>
          <w:highlight w:val="none"/>
          <w:u w:val="single"/>
        </w:rPr>
        <w:t xml:space="preserve">：/ </w:t>
      </w:r>
      <w:r>
        <w:rPr>
          <w:rFonts w:hint="eastAsia"/>
          <w:b w:val="0"/>
          <w:bCs/>
          <w:color w:val="auto"/>
          <w:sz w:val="21"/>
          <w:szCs w:val="21"/>
          <w:highlight w:val="none"/>
        </w:rPr>
        <w:t>。</w:t>
      </w:r>
    </w:p>
    <w:p>
      <w:pPr>
        <w:spacing w:line="440" w:lineRule="exact"/>
        <w:rPr>
          <w:b w:val="0"/>
          <w:bCs/>
          <w:color w:val="auto"/>
          <w:sz w:val="21"/>
          <w:szCs w:val="21"/>
          <w:highlight w:val="none"/>
        </w:rPr>
      </w:pPr>
      <w:r>
        <w:rPr>
          <w:rFonts w:hint="eastAsia"/>
          <w:b w:val="0"/>
          <w:bCs/>
          <w:color w:val="auto"/>
          <w:sz w:val="21"/>
          <w:szCs w:val="21"/>
          <w:highlight w:val="none"/>
        </w:rPr>
        <w:t>13 工程质量</w:t>
      </w:r>
    </w:p>
    <w:p>
      <w:pPr>
        <w:spacing w:line="440" w:lineRule="exact"/>
        <w:rPr>
          <w:b w:val="0"/>
          <w:bCs/>
          <w:color w:val="auto"/>
          <w:sz w:val="21"/>
          <w:szCs w:val="21"/>
          <w:highlight w:val="none"/>
        </w:rPr>
      </w:pPr>
      <w:r>
        <w:rPr>
          <w:rFonts w:hint="eastAsia"/>
          <w:b w:val="0"/>
          <w:bCs/>
          <w:color w:val="auto"/>
          <w:sz w:val="21"/>
          <w:szCs w:val="21"/>
          <w:highlight w:val="none"/>
        </w:rPr>
        <w:t>13.7质量评定</w:t>
      </w:r>
    </w:p>
    <w:p>
      <w:pPr>
        <w:spacing w:line="440" w:lineRule="exact"/>
        <w:rPr>
          <w:b w:val="0"/>
          <w:bCs/>
          <w:color w:val="auto"/>
          <w:sz w:val="21"/>
          <w:szCs w:val="21"/>
          <w:highlight w:val="none"/>
        </w:rPr>
      </w:pPr>
      <w:r>
        <w:rPr>
          <w:rFonts w:hint="eastAsia"/>
          <w:b w:val="0"/>
          <w:bCs/>
          <w:color w:val="auto"/>
          <w:sz w:val="21"/>
          <w:szCs w:val="21"/>
          <w:highlight w:val="none"/>
        </w:rPr>
        <w:t xml:space="preserve">    13.7.7工程质量等级标准为</w:t>
      </w:r>
      <w:r>
        <w:rPr>
          <w:rFonts w:hint="eastAsia"/>
          <w:b w:val="0"/>
          <w:bCs/>
          <w:color w:val="auto"/>
          <w:sz w:val="21"/>
          <w:szCs w:val="21"/>
          <w:highlight w:val="none"/>
          <w:u w:val="single"/>
        </w:rPr>
        <w:t xml:space="preserve"> 合格 </w:t>
      </w:r>
      <w:r>
        <w:rPr>
          <w:rFonts w:hint="eastAsia"/>
          <w:b w:val="0"/>
          <w:bCs/>
          <w:color w:val="auto"/>
          <w:sz w:val="21"/>
          <w:szCs w:val="21"/>
          <w:highlight w:val="none"/>
        </w:rPr>
        <w:t xml:space="preserve">。达到优良的奖金为 </w:t>
      </w:r>
      <w:r>
        <w:rPr>
          <w:rFonts w:hint="eastAsia"/>
          <w:b w:val="0"/>
          <w:bCs/>
          <w:color w:val="auto"/>
          <w:sz w:val="21"/>
          <w:szCs w:val="21"/>
          <w:highlight w:val="none"/>
          <w:u w:val="single"/>
        </w:rPr>
        <w:t xml:space="preserve"> /   </w:t>
      </w:r>
      <w:r>
        <w:rPr>
          <w:rFonts w:hint="eastAsia"/>
          <w:b w:val="0"/>
          <w:bCs/>
          <w:color w:val="auto"/>
          <w:sz w:val="21"/>
          <w:szCs w:val="21"/>
          <w:highlight w:val="none"/>
        </w:rPr>
        <w:t>。</w:t>
      </w:r>
    </w:p>
    <w:p>
      <w:pPr>
        <w:spacing w:line="440" w:lineRule="exact"/>
        <w:rPr>
          <w:b w:val="0"/>
          <w:bCs/>
          <w:color w:val="auto"/>
          <w:sz w:val="21"/>
          <w:szCs w:val="21"/>
          <w:highlight w:val="none"/>
        </w:rPr>
      </w:pPr>
      <w:r>
        <w:rPr>
          <w:rFonts w:hint="eastAsia"/>
          <w:b w:val="0"/>
          <w:bCs/>
          <w:color w:val="auto"/>
          <w:sz w:val="21"/>
          <w:szCs w:val="21"/>
          <w:highlight w:val="none"/>
        </w:rPr>
        <w:t>14 试验和检验</w:t>
      </w:r>
    </w:p>
    <w:p>
      <w:pPr>
        <w:spacing w:line="440" w:lineRule="exact"/>
        <w:rPr>
          <w:b w:val="0"/>
          <w:bCs/>
          <w:color w:val="auto"/>
          <w:sz w:val="21"/>
          <w:szCs w:val="21"/>
          <w:highlight w:val="none"/>
        </w:rPr>
      </w:pPr>
      <w:r>
        <w:rPr>
          <w:rFonts w:hint="eastAsia"/>
          <w:b w:val="0"/>
          <w:bCs/>
          <w:color w:val="auto"/>
          <w:sz w:val="21"/>
          <w:szCs w:val="21"/>
          <w:highlight w:val="none"/>
        </w:rPr>
        <w:t>14.1材料、工程设备和工程的试验和检验</w:t>
      </w:r>
    </w:p>
    <w:p>
      <w:pPr>
        <w:spacing w:line="420" w:lineRule="exact"/>
        <w:rPr>
          <w:b w:val="0"/>
          <w:bCs/>
          <w:color w:val="auto"/>
          <w:sz w:val="21"/>
          <w:szCs w:val="21"/>
          <w:highlight w:val="none"/>
        </w:rPr>
      </w:pPr>
      <w:r>
        <w:rPr>
          <w:rFonts w:hint="eastAsia"/>
          <w:b w:val="0"/>
          <w:bCs/>
          <w:color w:val="auto"/>
          <w:sz w:val="21"/>
          <w:szCs w:val="21"/>
          <w:highlight w:val="none"/>
        </w:rPr>
        <w:t xml:space="preserve">    14.1.5水工金属结构、启闭机及机电产品进场后的交货检查和验收中，承包人负责，并保证质量和进度。</w:t>
      </w:r>
    </w:p>
    <w:p>
      <w:pPr>
        <w:spacing w:line="440" w:lineRule="exact"/>
        <w:rPr>
          <w:b w:val="0"/>
          <w:bCs/>
          <w:color w:val="auto"/>
          <w:sz w:val="21"/>
          <w:szCs w:val="21"/>
          <w:highlight w:val="none"/>
        </w:rPr>
      </w:pPr>
      <w:r>
        <w:rPr>
          <w:rFonts w:hint="eastAsia"/>
          <w:b w:val="0"/>
          <w:bCs/>
          <w:color w:val="auto"/>
          <w:sz w:val="21"/>
          <w:szCs w:val="21"/>
          <w:highlight w:val="none"/>
        </w:rPr>
        <w:t xml:space="preserve">    14.1.6本工程实行见证取样的试块、试件及有关材料：</w:t>
      </w:r>
      <w:r>
        <w:rPr>
          <w:rFonts w:hint="eastAsia"/>
          <w:b w:val="0"/>
          <w:bCs/>
          <w:snapToGrid w:val="0"/>
          <w:color w:val="auto"/>
          <w:sz w:val="21"/>
          <w:szCs w:val="21"/>
          <w:highlight w:val="none"/>
          <w:u w:val="single"/>
        </w:rPr>
        <w:t>砼试块、砂浆试块、钢筋、水泥、砂石料等第三方检测</w:t>
      </w:r>
      <w:r>
        <w:rPr>
          <w:rFonts w:hint="eastAsia"/>
          <w:b w:val="0"/>
          <w:bCs/>
          <w:color w:val="auto"/>
          <w:sz w:val="21"/>
          <w:szCs w:val="21"/>
          <w:highlight w:val="none"/>
        </w:rPr>
        <w:t xml:space="preserve"> 。</w:t>
      </w:r>
    </w:p>
    <w:p>
      <w:pPr>
        <w:spacing w:line="420" w:lineRule="exact"/>
        <w:rPr>
          <w:b w:val="0"/>
          <w:bCs/>
          <w:color w:val="auto"/>
          <w:sz w:val="21"/>
          <w:szCs w:val="21"/>
          <w:highlight w:val="none"/>
        </w:rPr>
      </w:pPr>
      <w:r>
        <w:rPr>
          <w:rFonts w:hint="eastAsia"/>
          <w:b w:val="0"/>
          <w:bCs/>
          <w:color w:val="auto"/>
          <w:sz w:val="21"/>
          <w:szCs w:val="21"/>
          <w:highlight w:val="none"/>
        </w:rPr>
        <w:t>15 变更</w:t>
      </w:r>
    </w:p>
    <w:p>
      <w:pPr>
        <w:spacing w:line="420" w:lineRule="exact"/>
        <w:rPr>
          <w:rFonts w:hint="eastAsia" w:ascii="宋体" w:hAnsi="宋体" w:eastAsia="宋体" w:cs="宋体"/>
          <w:b w:val="0"/>
          <w:bCs/>
          <w:color w:val="auto"/>
          <w:sz w:val="21"/>
          <w:szCs w:val="21"/>
          <w:highlight w:val="none"/>
          <w:u w:val="single"/>
          <w:lang w:val="en-US" w:bidi="ar-SA"/>
        </w:rPr>
      </w:pPr>
      <w:r>
        <w:rPr>
          <w:rFonts w:hint="eastAsia"/>
          <w:b w:val="0"/>
          <w:bCs/>
          <w:color w:val="auto"/>
          <w:sz w:val="21"/>
          <w:szCs w:val="21"/>
          <w:highlight w:val="none"/>
        </w:rPr>
        <w:t>15.</w:t>
      </w:r>
      <w:r>
        <w:rPr>
          <w:rFonts w:hint="eastAsia"/>
          <w:b w:val="0"/>
          <w:bCs/>
          <w:color w:val="auto"/>
          <w:sz w:val="21"/>
          <w:szCs w:val="21"/>
          <w:highlight w:val="none"/>
          <w:lang w:val="en-US" w:eastAsia="zh-CN"/>
        </w:rPr>
        <w:t>1</w:t>
      </w:r>
      <w:r>
        <w:rPr>
          <w:rFonts w:hint="eastAsia"/>
          <w:b w:val="0"/>
          <w:bCs/>
          <w:color w:val="auto"/>
          <w:sz w:val="21"/>
          <w:szCs w:val="21"/>
          <w:highlight w:val="none"/>
        </w:rPr>
        <w:t xml:space="preserve">变更的范围 </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1）政府性投资项目按《临安区政府性投资项目工程变更管理办法》（临政函[2018]11号），相关变更管理办法规定，如追加额外工作，取消合同中部分工程量，改变质量标准，改变工程的基线、标高、位置和尺寸等。</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（2）发包人可根据工程需要进行工程变更，承包人必须及时按照招标人的相关要求进行工程变更。否则视承包人违约，发包人可根据情节严重程度对承包人进行处罚。</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3）施工中发包人需对原工程设计变更，应提前14天以书面形式向承包人发出变更通知。变更超过原设计标准或批准的建设规模时，发包人应报规划管理部门和其他相关部门重新审查批准，并由原设计单位提供变更的相应图纸和说明。承包人按照招标人发出的变更通知及有关要求进行变更。</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（4）施工中承包人不得对原工程设计进行变更。因承包人擅自变更设计发生的费用和由此导致发包人的直接损失，由承包人承担，延误的工期不予顺延。</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5）承包人在施工中提出的合理化建议涉及到设计图纸或施工组织设计的更改及对材料、设备的换用，须经招标人同意。未经同意擅自更改或换用时，承包人承担由此发生的费用，并赔偿发包人的有关损失，延误的工期不予顺延。</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6）发包人有可能根据工程需要修改施工图纸或发出指令增加或减少工程量，工程量不论增减多少，承包人均应服从，对因变更增加或减少的工程量，其结算口径按本合同条款执行。对变更单项材料累计金额达到规定标准时，招标人有权通过招标确定材料价格及供货单位。</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 xml:space="preserve">（7）工程量调整方法如下：1.竣工结算时工程量计算规则按招标文件以及《建设工程工程量清单计价规范》（GB50500-2013）和杭州市建设工程工程量清单实施细则（2018年修订）工程量清单对应计算规则执行；2.经发包人确认的工程变更，调整方法见“10.4.1变更估价原则”。 </w:t>
      </w:r>
    </w:p>
    <w:p>
      <w:pPr>
        <w:adjustRightInd w:val="0"/>
        <w:spacing w:line="420" w:lineRule="exact"/>
        <w:ind w:firstLine="420" w:firstLineChars="200"/>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（8）工程量按经监理和发包人签证后的实测量联系单、施工图和设计变更单按实结算。</w:t>
      </w:r>
    </w:p>
    <w:p>
      <w:pPr>
        <w:spacing w:line="420" w:lineRule="exact"/>
        <w:rPr>
          <w:rFonts w:hint="eastAsia"/>
          <w:b w:val="0"/>
          <w:bCs/>
          <w:color w:val="auto"/>
          <w:sz w:val="21"/>
          <w:szCs w:val="21"/>
          <w:highlight w:val="none"/>
          <w:lang w:val="en-US"/>
        </w:rPr>
      </w:pPr>
      <w:r>
        <w:rPr>
          <w:rFonts w:hint="eastAsia"/>
          <w:b w:val="0"/>
          <w:bCs/>
          <w:color w:val="auto"/>
          <w:sz w:val="21"/>
          <w:szCs w:val="21"/>
          <w:highlight w:val="none"/>
          <w:lang w:val="en-US" w:eastAsia="zh-CN"/>
        </w:rPr>
        <w:t>15.2</w:t>
      </w:r>
      <w:r>
        <w:rPr>
          <w:rFonts w:hint="eastAsia"/>
          <w:b w:val="0"/>
          <w:bCs/>
          <w:color w:val="auto"/>
          <w:sz w:val="21"/>
          <w:szCs w:val="21"/>
          <w:highlight w:val="none"/>
          <w:lang w:val="en-US"/>
        </w:rPr>
        <w:t>变更估价</w:t>
      </w:r>
    </w:p>
    <w:p>
      <w:pPr>
        <w:adjustRightInd w:val="0"/>
        <w:spacing w:line="420" w:lineRule="exact"/>
        <w:ind w:firstLine="420" w:firstLineChars="20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eastAsia="zh-CN" w:bidi="ar-SA"/>
        </w:rPr>
        <w:t>15.2</w:t>
      </w:r>
      <w:r>
        <w:rPr>
          <w:rFonts w:hint="eastAsia" w:ascii="宋体" w:hAnsi="宋体" w:eastAsia="宋体" w:cs="宋体"/>
          <w:b w:val="0"/>
          <w:bCs/>
          <w:color w:val="auto"/>
          <w:sz w:val="21"/>
          <w:szCs w:val="21"/>
          <w:highlight w:val="none"/>
          <w:lang w:val="en-US" w:bidi="ar-SA"/>
        </w:rPr>
        <w:t>.1 变更估价原则</w:t>
      </w:r>
    </w:p>
    <w:p>
      <w:pPr>
        <w:adjustRightInd w:val="0"/>
        <w:spacing w:line="420" w:lineRule="exact"/>
        <w:ind w:firstLine="420" w:firstLineChars="20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关于变更估价的约定：</w:t>
      </w:r>
    </w:p>
    <w:p>
      <w:pPr>
        <w:adjustRightInd w:val="0"/>
        <w:spacing w:line="420" w:lineRule="exact"/>
        <w:ind w:firstLine="48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承包人在工程变更确定后14天内，提出变更工程价款的报告，经工程师确认后的调整合同价款。变更合同价款按下列方法进行：</w:t>
      </w:r>
    </w:p>
    <w:p>
      <w:pPr>
        <w:adjustRightInd w:val="0"/>
        <w:spacing w:line="420" w:lineRule="exact"/>
        <w:ind w:firstLine="356"/>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（1）已标价工程量清单有相同项目综合单价的，按照相同项目综合单价确定。</w:t>
      </w:r>
    </w:p>
    <w:p>
      <w:pPr>
        <w:adjustRightInd w:val="0"/>
        <w:spacing w:line="420" w:lineRule="exact"/>
        <w:ind w:firstLine="356"/>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（2）已标价工程量清单中无相同项目，但有类似项目综合单价的，参照类似项目的综合单价确定。</w:t>
      </w:r>
    </w:p>
    <w:p>
      <w:pPr>
        <w:adjustRightInd w:val="0"/>
        <w:spacing w:line="420" w:lineRule="exact"/>
        <w:ind w:firstLine="36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投标总价相对于招标控制价的下浮率等因素（投标总价和招标控制价均不含暂列金、暂估价），签证确定。无投标价且信息价（正刊）没有公布的材料，发包人应在充分市场询价的基础上，参照同期同类材料市场价格水平、投标总价相对于招标控制价的下浮率等因素，按规定程序签证确定。</w:t>
      </w:r>
    </w:p>
    <w:p>
      <w:pPr>
        <w:adjustRightInd w:val="0"/>
        <w:spacing w:line="420" w:lineRule="exact"/>
        <w:ind w:firstLine="36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4）工程量清单错误和（或）设计变更导致实际完成的工程量与已标价工程量清单中列明的该项目工程量不一致的，合价金额占合同总价2%及以上且工程量增减超过本项目工程数量的15%及以上的。或合价金额占合同金额不到2%但其工程量增减超过本项目工程数量的25%及以上的，其综合单价允许调整。竣工结算阶段如已标价的工程量清单综合单价异常，其综合单价允许调整，参照第（3）条原则执行。</w:t>
      </w:r>
    </w:p>
    <w:p>
      <w:pPr>
        <w:adjustRightInd w:val="0"/>
        <w:spacing w:line="420" w:lineRule="exact"/>
        <w:ind w:firstLine="356"/>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5）当投标人报价与招标控制价中同项目综合单价相比较偏差在±30%以上的，可认定报价异常。工程竣工结算阶段，如发现综合单价异常，则工程量增、减在本项工程量15%以内的，均按原综合单价执行；综合单价异常清单子目、工程量增加超过本项工程量15%以上部分工程量按第（3）条原则执行。</w:t>
      </w:r>
    </w:p>
    <w:p>
      <w:pPr>
        <w:adjustRightInd w:val="0"/>
        <w:spacing w:line="420" w:lineRule="exact"/>
        <w:ind w:firstLine="356"/>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lang w:val="en-US" w:bidi="ar-SA"/>
        </w:rPr>
        <w:t>（6）其他：</w:t>
      </w:r>
      <w:r>
        <w:rPr>
          <w:rFonts w:hint="eastAsia" w:ascii="宋体" w:hAnsi="宋体" w:eastAsia="宋体" w:cs="宋体"/>
          <w:b w:val="0"/>
          <w:bCs/>
          <w:color w:val="auto"/>
          <w:sz w:val="21"/>
          <w:szCs w:val="21"/>
          <w:highlight w:val="none"/>
          <w:u w:val="single"/>
          <w:lang w:val="en-US" w:bidi="ar-SA"/>
        </w:rPr>
        <w:t>A.施工组织措施费用、以“项”为计量单位的技术措施费用按中标价包干，不因工程变更而调整。由发包人提供的工程量清单项目增减、工程数量增减、非承包人提出的工程变更、施工技术方案调整等非承包人原因引起的变更造成施工组织设计或施工方案变更、工程量清单项目和工程数量变化的，技术措施费用按上述调价原则调整。如有甩项工程，发包人将根据承包人实际投入情况对未实施的技术措施费按上述方法予以扣除。</w:t>
      </w:r>
    </w:p>
    <w:p>
      <w:pPr>
        <w:adjustRightInd w:val="0"/>
        <w:spacing w:line="420" w:lineRule="exact"/>
        <w:ind w:firstLine="356"/>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B.承包人一旦选定品牌后，在工程施工过程中不得以产品品质无法达到设计要求、产品生产能力无法跟进等理由要求换品牌；当出现不得不更换产品品牌时，该品牌应在招标文件选定的品牌、规格范围内，且发包人需对其进行确认，单价不应突破原材料投标报价。</w:t>
      </w:r>
    </w:p>
    <w:p>
      <w:pPr>
        <w:adjustRightInd w:val="0"/>
        <w:spacing w:line="420" w:lineRule="exact"/>
        <w:ind w:firstLine="356"/>
        <w:rPr>
          <w:rFonts w:hint="eastAsia" w:ascii="宋体" w:hAnsi="宋体" w:eastAsia="宋体" w:cs="宋体"/>
          <w:b w:val="0"/>
          <w:bCs/>
          <w:color w:val="auto"/>
          <w:sz w:val="21"/>
          <w:szCs w:val="21"/>
          <w:highlight w:val="none"/>
          <w:u w:val="single"/>
          <w:lang w:val="en-US" w:bidi="ar-SA"/>
        </w:rPr>
      </w:pPr>
      <w:r>
        <w:rPr>
          <w:rFonts w:hint="eastAsia" w:ascii="宋体" w:hAnsi="宋体" w:eastAsia="宋体" w:cs="宋体"/>
          <w:b w:val="0"/>
          <w:bCs/>
          <w:color w:val="auto"/>
          <w:sz w:val="21"/>
          <w:szCs w:val="21"/>
          <w:highlight w:val="none"/>
          <w:u w:val="single"/>
          <w:lang w:val="en-US" w:bidi="ar-SA"/>
        </w:rPr>
        <w:t>C.若有邻近建筑物、构筑物、文物保护点、古树名木等的保护的，招标时已明确的，其相关费用计入报价，包干使用。实施过程中新发现的，其保护费用按（1） -（4）口径计算。</w:t>
      </w:r>
    </w:p>
    <w:p>
      <w:pPr>
        <w:spacing w:line="420" w:lineRule="exact"/>
        <w:rPr>
          <w:b w:val="0"/>
          <w:bCs/>
          <w:color w:val="auto"/>
          <w:sz w:val="21"/>
          <w:szCs w:val="21"/>
          <w:highlight w:val="none"/>
        </w:rPr>
      </w:pPr>
      <w:r>
        <w:rPr>
          <w:rFonts w:hint="eastAsia" w:ascii="宋体" w:hAnsi="宋体" w:eastAsia="宋体" w:cs="宋体"/>
          <w:b w:val="0"/>
          <w:bCs/>
          <w:color w:val="auto"/>
          <w:sz w:val="21"/>
          <w:szCs w:val="21"/>
          <w:highlight w:val="none"/>
          <w:u w:val="single"/>
          <w:lang w:val="en-US" w:bidi="ar-SA"/>
        </w:rPr>
        <w:t>注：上述价格的调整若在评标时已修正的按修正价结算。</w:t>
      </w:r>
    </w:p>
    <w:p>
      <w:pPr>
        <w:spacing w:line="420" w:lineRule="exact"/>
        <w:rPr>
          <w:rFonts w:hint="eastAsia" w:ascii="宋体" w:hAnsi="宋体" w:eastAsia="宋体" w:cs="宋体"/>
          <w:b w:val="0"/>
          <w:bCs/>
          <w:color w:val="auto"/>
          <w:sz w:val="21"/>
          <w:szCs w:val="21"/>
          <w:highlight w:val="none"/>
          <w:lang w:val="en-US" w:bidi="ar-SA"/>
        </w:rPr>
      </w:pPr>
      <w:r>
        <w:rPr>
          <w:rFonts w:hint="eastAsia"/>
          <w:b w:val="0"/>
          <w:bCs/>
          <w:color w:val="auto"/>
          <w:sz w:val="21"/>
          <w:szCs w:val="21"/>
          <w:highlight w:val="none"/>
          <w:lang w:val="en-US" w:eastAsia="zh-CN"/>
        </w:rPr>
        <w:t>15.3</w:t>
      </w:r>
      <w:r>
        <w:rPr>
          <w:rFonts w:hint="eastAsia" w:ascii="宋体" w:hAnsi="宋体" w:eastAsia="宋体" w:cs="宋体"/>
          <w:b w:val="0"/>
          <w:bCs/>
          <w:color w:val="auto"/>
          <w:sz w:val="21"/>
          <w:szCs w:val="21"/>
          <w:highlight w:val="none"/>
          <w:lang w:val="en-US" w:bidi="ar-SA"/>
        </w:rPr>
        <w:t>承包人的合理化建议</w:t>
      </w:r>
    </w:p>
    <w:p>
      <w:pPr>
        <w:adjustRightInd w:val="0"/>
        <w:spacing w:line="420" w:lineRule="exact"/>
        <w:ind w:firstLine="420" w:firstLineChars="20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监理人审查承包人合理化建议的期限：</w:t>
      </w:r>
      <w:r>
        <w:rPr>
          <w:rFonts w:hint="eastAsia" w:ascii="宋体" w:hAnsi="宋体" w:eastAsia="宋体" w:cs="宋体"/>
          <w:b w:val="0"/>
          <w:bCs/>
          <w:color w:val="auto"/>
          <w:sz w:val="21"/>
          <w:szCs w:val="21"/>
          <w:highlight w:val="none"/>
          <w:u w:val="single"/>
          <w:lang w:val="en-US" w:bidi="ar-SA"/>
        </w:rPr>
        <w:t>提交之日起7天内</w:t>
      </w:r>
      <w:r>
        <w:rPr>
          <w:rFonts w:hint="eastAsia" w:ascii="宋体" w:hAnsi="宋体" w:eastAsia="宋体" w:cs="宋体"/>
          <w:b w:val="0"/>
          <w:bCs/>
          <w:color w:val="auto"/>
          <w:sz w:val="21"/>
          <w:szCs w:val="21"/>
          <w:highlight w:val="none"/>
          <w:lang w:val="en-US" w:bidi="ar-SA"/>
        </w:rPr>
        <w:t>。</w:t>
      </w:r>
    </w:p>
    <w:p>
      <w:pPr>
        <w:adjustRightInd w:val="0"/>
        <w:spacing w:line="420" w:lineRule="exact"/>
        <w:ind w:firstLine="420" w:firstLineChars="20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发包人审批承包人合理化建议的期限：</w:t>
      </w:r>
      <w:r>
        <w:rPr>
          <w:rFonts w:hint="eastAsia" w:ascii="宋体" w:hAnsi="宋体" w:eastAsia="宋体" w:cs="宋体"/>
          <w:b w:val="0"/>
          <w:bCs/>
          <w:color w:val="auto"/>
          <w:sz w:val="21"/>
          <w:szCs w:val="21"/>
          <w:highlight w:val="none"/>
          <w:u w:val="single"/>
          <w:lang w:val="en-US" w:bidi="ar-SA"/>
        </w:rPr>
        <w:t>提交之日起7天内</w:t>
      </w:r>
      <w:r>
        <w:rPr>
          <w:rFonts w:hint="eastAsia" w:ascii="宋体" w:hAnsi="宋体" w:eastAsia="宋体" w:cs="宋体"/>
          <w:b w:val="0"/>
          <w:bCs/>
          <w:color w:val="auto"/>
          <w:sz w:val="21"/>
          <w:szCs w:val="21"/>
          <w:highlight w:val="none"/>
          <w:lang w:val="en-US" w:bidi="ar-SA"/>
        </w:rPr>
        <w:t>。</w:t>
      </w:r>
    </w:p>
    <w:p>
      <w:pPr>
        <w:spacing w:line="420" w:lineRule="exact"/>
        <w:rPr>
          <w:rFonts w:hint="default" w:eastAsia="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bidi="ar-SA"/>
        </w:rPr>
        <w:t>承包人提出的合理化建议降低了合同价格或者提高了工程经济效益的奖励的方法和金额为：</w:t>
      </w:r>
      <w:r>
        <w:rPr>
          <w:rFonts w:hint="eastAsia" w:ascii="宋体" w:hAnsi="宋体" w:eastAsia="宋体" w:cs="宋体"/>
          <w:b w:val="0"/>
          <w:bCs/>
          <w:color w:val="auto"/>
          <w:sz w:val="21"/>
          <w:szCs w:val="21"/>
          <w:highlight w:val="none"/>
          <w:u w:val="single"/>
          <w:lang w:val="en-US" w:bidi="ar-SA"/>
        </w:rPr>
        <w:t>由发包人确定</w:t>
      </w:r>
      <w:r>
        <w:rPr>
          <w:rFonts w:hint="eastAsia" w:ascii="宋体" w:hAnsi="宋体" w:eastAsia="宋体" w:cs="宋体"/>
          <w:b w:val="0"/>
          <w:bCs/>
          <w:color w:val="auto"/>
          <w:sz w:val="21"/>
          <w:szCs w:val="21"/>
          <w:highlight w:val="none"/>
          <w:lang w:val="en-US" w:bidi="ar-SA"/>
        </w:rPr>
        <w:t>。</w:t>
      </w:r>
    </w:p>
    <w:p>
      <w:pPr>
        <w:spacing w:line="420" w:lineRule="exact"/>
        <w:rPr>
          <w:b w:val="0"/>
          <w:bCs/>
          <w:color w:val="auto"/>
          <w:sz w:val="21"/>
          <w:szCs w:val="21"/>
          <w:highlight w:val="none"/>
        </w:rPr>
      </w:pPr>
      <w:r>
        <w:rPr>
          <w:rFonts w:hint="eastAsia"/>
          <w:b w:val="0"/>
          <w:bCs/>
          <w:color w:val="auto"/>
          <w:sz w:val="21"/>
          <w:szCs w:val="21"/>
          <w:highlight w:val="none"/>
        </w:rPr>
        <w:t>15.</w:t>
      </w:r>
      <w:r>
        <w:rPr>
          <w:rFonts w:hint="eastAsia"/>
          <w:b w:val="0"/>
          <w:bCs/>
          <w:color w:val="auto"/>
          <w:sz w:val="21"/>
          <w:szCs w:val="21"/>
          <w:highlight w:val="none"/>
          <w:lang w:val="en-US" w:eastAsia="zh-CN"/>
        </w:rPr>
        <w:t>4</w:t>
      </w:r>
      <w:r>
        <w:rPr>
          <w:rFonts w:hint="eastAsia"/>
          <w:b w:val="0"/>
          <w:bCs/>
          <w:color w:val="auto"/>
          <w:sz w:val="21"/>
          <w:szCs w:val="21"/>
          <w:highlight w:val="none"/>
        </w:rPr>
        <w:t xml:space="preserve">暂估价 </w:t>
      </w:r>
    </w:p>
    <w:p>
      <w:pPr>
        <w:adjustRightInd w:val="0"/>
        <w:spacing w:line="420" w:lineRule="exact"/>
        <w:ind w:firstLine="420" w:firstLineChars="200"/>
        <w:rPr>
          <w:b w:val="0"/>
          <w:bCs/>
          <w:color w:val="auto"/>
          <w:sz w:val="21"/>
          <w:szCs w:val="21"/>
          <w:highlight w:val="none"/>
          <w:u w:val="single"/>
        </w:rPr>
      </w:pPr>
      <w:r>
        <w:rPr>
          <w:rFonts w:hint="eastAsia"/>
          <w:b w:val="0"/>
          <w:bCs/>
          <w:color w:val="auto"/>
          <w:sz w:val="21"/>
          <w:szCs w:val="21"/>
          <w:highlight w:val="none"/>
        </w:rPr>
        <w:t>15.8.1（1）发包人和承包人组织招标的暂估价项目：</w:t>
      </w:r>
      <w:r>
        <w:rPr>
          <w:rFonts w:hint="eastAsia"/>
          <w:b w:val="0"/>
          <w:bCs/>
          <w:color w:val="auto"/>
          <w:sz w:val="21"/>
          <w:szCs w:val="21"/>
          <w:highlight w:val="none"/>
          <w:u w:val="single"/>
        </w:rPr>
        <w:t xml:space="preserve"> （签约后填入）；</w:t>
      </w:r>
      <w:r>
        <w:rPr>
          <w:rFonts w:hint="eastAsia"/>
          <w:b w:val="0"/>
          <w:bCs/>
          <w:color w:val="auto"/>
          <w:sz w:val="21"/>
          <w:szCs w:val="21"/>
          <w:highlight w:val="none"/>
        </w:rPr>
        <w:t>发包人组织招标的暂估价项目</w:t>
      </w:r>
      <w:r>
        <w:rPr>
          <w:rFonts w:hint="eastAsia"/>
          <w:b w:val="0"/>
          <w:bCs/>
          <w:color w:val="auto"/>
          <w:sz w:val="21"/>
          <w:szCs w:val="21"/>
          <w:highlight w:val="none"/>
          <w:u w:val="single"/>
        </w:rPr>
        <w:t xml:space="preserve">（签约后填入）。 </w:t>
      </w:r>
    </w:p>
    <w:p>
      <w:pPr>
        <w:adjustRightInd w:val="0"/>
        <w:spacing w:line="420" w:lineRule="exact"/>
        <w:ind w:firstLine="420" w:firstLineChars="200"/>
        <w:rPr>
          <w:b w:val="0"/>
          <w:bCs/>
          <w:color w:val="auto"/>
          <w:sz w:val="21"/>
          <w:szCs w:val="21"/>
          <w:highlight w:val="none"/>
        </w:rPr>
      </w:pPr>
      <w:r>
        <w:rPr>
          <w:rFonts w:hint="eastAsia"/>
          <w:b w:val="0"/>
          <w:bCs/>
          <w:color w:val="auto"/>
          <w:sz w:val="21"/>
          <w:szCs w:val="21"/>
          <w:highlight w:val="none"/>
        </w:rPr>
        <w:t xml:space="preserve">（2）发包人和承包人以招标方式选择暂估价项目供应商或分包人时，双方的权利义务系： </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 </w:t>
      </w:r>
    </w:p>
    <w:p>
      <w:pPr>
        <w:spacing w:line="420" w:lineRule="exact"/>
        <w:rPr>
          <w:rFonts w:hint="eastAsia" w:ascii="宋体" w:hAnsi="宋体" w:eastAsia="宋体" w:cs="宋体"/>
          <w:b w:val="0"/>
          <w:bCs/>
          <w:color w:val="auto"/>
          <w:sz w:val="21"/>
          <w:szCs w:val="21"/>
          <w:highlight w:val="none"/>
          <w:lang w:val="en-US" w:bidi="ar-SA"/>
        </w:rPr>
      </w:pPr>
      <w:r>
        <w:rPr>
          <w:rFonts w:hint="eastAsia"/>
          <w:b w:val="0"/>
          <w:bCs/>
          <w:color w:val="auto"/>
          <w:sz w:val="21"/>
          <w:szCs w:val="21"/>
          <w:highlight w:val="none"/>
          <w:lang w:val="en-US" w:eastAsia="zh-CN"/>
        </w:rPr>
        <w:t>15.5</w:t>
      </w:r>
      <w:r>
        <w:rPr>
          <w:rFonts w:hint="eastAsia" w:ascii="宋体" w:hAnsi="宋体" w:eastAsia="宋体" w:cs="宋体"/>
          <w:b w:val="0"/>
          <w:bCs/>
          <w:color w:val="auto"/>
          <w:sz w:val="21"/>
          <w:szCs w:val="21"/>
          <w:highlight w:val="none"/>
          <w:lang w:val="en-US" w:bidi="ar-SA"/>
        </w:rPr>
        <w:t>暂列金额</w:t>
      </w:r>
    </w:p>
    <w:p>
      <w:pPr>
        <w:adjustRightInd w:val="0"/>
        <w:spacing w:line="420" w:lineRule="exact"/>
        <w:ind w:firstLine="420" w:firstLineChars="200"/>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color w:val="auto"/>
          <w:sz w:val="21"/>
          <w:szCs w:val="21"/>
          <w:highlight w:val="none"/>
          <w:lang w:val="en-US" w:bidi="ar-SA"/>
        </w:rPr>
        <w:t>合同当事人关于暂列金额使用的约定：</w:t>
      </w:r>
      <w:r>
        <w:rPr>
          <w:rFonts w:hint="eastAsia" w:ascii="宋体" w:hAnsi="宋体" w:eastAsia="宋体" w:cs="宋体"/>
          <w:b w:val="0"/>
          <w:bCs/>
          <w:color w:val="auto"/>
          <w:sz w:val="21"/>
          <w:szCs w:val="21"/>
          <w:highlight w:val="none"/>
          <w:u w:val="single"/>
          <w:lang w:val="en-US" w:bidi="ar-SA"/>
        </w:rPr>
        <w:t xml:space="preserve">                </w:t>
      </w:r>
      <w:r>
        <w:rPr>
          <w:rFonts w:hint="eastAsia" w:ascii="宋体" w:hAnsi="宋体" w:eastAsia="宋体" w:cs="宋体"/>
          <w:b w:val="0"/>
          <w:bCs/>
          <w:color w:val="auto"/>
          <w:sz w:val="21"/>
          <w:szCs w:val="21"/>
          <w:highlight w:val="none"/>
          <w:lang w:val="en-US" w:bidi="ar-SA"/>
        </w:rPr>
        <w:t>。</w:t>
      </w:r>
    </w:p>
    <w:p>
      <w:pPr>
        <w:pStyle w:val="44"/>
        <w:rPr>
          <w:rFonts w:hint="default"/>
          <w:b w:val="0"/>
          <w:bCs/>
          <w:color w:val="auto"/>
          <w:sz w:val="21"/>
          <w:szCs w:val="21"/>
          <w:highlight w:val="none"/>
          <w:lang w:val="en-US" w:eastAsia="zh-CN"/>
        </w:rPr>
      </w:pPr>
    </w:p>
    <w:p>
      <w:pPr>
        <w:spacing w:line="360" w:lineRule="auto"/>
        <w:rPr>
          <w:b w:val="0"/>
          <w:bCs/>
          <w:color w:val="auto"/>
          <w:sz w:val="21"/>
          <w:szCs w:val="21"/>
          <w:highlight w:val="none"/>
        </w:rPr>
      </w:pPr>
      <w:r>
        <w:rPr>
          <w:rFonts w:hint="eastAsia"/>
          <w:b w:val="0"/>
          <w:bCs/>
          <w:color w:val="auto"/>
          <w:sz w:val="21"/>
          <w:szCs w:val="21"/>
          <w:highlight w:val="none"/>
        </w:rPr>
        <w:t xml:space="preserve">16 价格调整 </w:t>
      </w:r>
    </w:p>
    <w:p>
      <w:pPr>
        <w:spacing w:line="360" w:lineRule="auto"/>
        <w:rPr>
          <w:b w:val="0"/>
          <w:bCs/>
          <w:color w:val="auto"/>
          <w:sz w:val="21"/>
          <w:szCs w:val="21"/>
          <w:highlight w:val="none"/>
        </w:rPr>
      </w:pPr>
      <w:r>
        <w:rPr>
          <w:rFonts w:hint="eastAsia"/>
          <w:b w:val="0"/>
          <w:bCs/>
          <w:color w:val="auto"/>
          <w:sz w:val="21"/>
          <w:szCs w:val="21"/>
          <w:highlight w:val="none"/>
        </w:rPr>
        <w:t xml:space="preserve">16.1物价波动引起的价格调整 </w:t>
      </w:r>
    </w:p>
    <w:p>
      <w:pPr>
        <w:spacing w:line="360" w:lineRule="auto"/>
        <w:rPr>
          <w:b w:val="0"/>
          <w:bCs/>
          <w:color w:val="auto"/>
          <w:sz w:val="21"/>
          <w:szCs w:val="21"/>
          <w:highlight w:val="none"/>
          <w:u w:val="single"/>
        </w:rPr>
      </w:pPr>
      <w:r>
        <w:rPr>
          <w:rFonts w:hint="eastAsia"/>
          <w:b w:val="0"/>
          <w:bCs/>
          <w:color w:val="auto"/>
          <w:sz w:val="21"/>
          <w:szCs w:val="21"/>
          <w:highlight w:val="none"/>
        </w:rPr>
        <w:t>市场价格波动是否调整合同价格的约定：</w:t>
      </w:r>
      <w:r>
        <w:rPr>
          <w:rFonts w:hint="eastAsia"/>
          <w:b w:val="0"/>
          <w:bCs/>
          <w:color w:val="auto"/>
          <w:sz w:val="21"/>
          <w:szCs w:val="21"/>
          <w:highlight w:val="none"/>
          <w:u w:val="single"/>
        </w:rPr>
        <w:t>是，风险幅度</w:t>
      </w:r>
      <w:r>
        <w:rPr>
          <w:rFonts w:hint="eastAsia"/>
          <w:b w:val="0"/>
          <w:bCs/>
          <w:color w:val="auto"/>
          <w:sz w:val="21"/>
          <w:szCs w:val="21"/>
          <w:highlight w:val="none"/>
          <w:u w:val="single"/>
          <w:lang w:val="en-US" w:eastAsia="zh-CN"/>
        </w:rPr>
        <w:t>±</w:t>
      </w:r>
      <w:r>
        <w:rPr>
          <w:rFonts w:hint="eastAsia"/>
          <w:b w:val="0"/>
          <w:bCs/>
          <w:color w:val="auto"/>
          <w:sz w:val="21"/>
          <w:szCs w:val="21"/>
          <w:highlight w:val="none"/>
          <w:u w:val="single"/>
        </w:rPr>
        <w:t>5%；</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b w:val="0"/>
          <w:bCs/>
          <w:color w:val="auto"/>
          <w:sz w:val="21"/>
          <w:szCs w:val="21"/>
          <w:highlight w:val="none"/>
        </w:rPr>
      </w:pPr>
      <w:r>
        <w:rPr>
          <w:rFonts w:hint="eastAsia"/>
          <w:b w:val="0"/>
          <w:bCs/>
          <w:color w:val="auto"/>
          <w:sz w:val="21"/>
          <w:szCs w:val="21"/>
          <w:highlight w:val="none"/>
        </w:rPr>
        <w:t>材料价格在施工期遇异常波动，调整条件及方式参照杭州市建委、杭州市财政局《关于进一步加强杭州市建设工程市场要素价格动态管理的指导意见》（杭建市发〔2018〕579号）文件执行，约定市场要素价格调整方式及价差计算方法。</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（一）材料价差调整计算方法：采用竣（完）工后一次性结算调价</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工程竣（完）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①当单种规格材料价格上涨超过约定的风险幅度时，材料差价（正值）=〔合同工期内各月份信息价算术平均值-编制期信息价×（1+风险幅度）〕×单种规格材料用量。</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②当单种规格材料价格下跌超过约定的风险幅度时，材料差价（负值）=〔合同工期内各月份信息价算术平均值-编制期信息价×（1-风险幅度)〕×单种规格材料用量。</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注：上述公式中的“单种规格材料用量”，是指可调规格材料原合同用量与联系单变更用量之和，材料包括工程实施过程中耗用的原材料、构配件、半产品、辅助材料和零件。“编制期信息价”，是指由工程造价管理机构在投标截止日前28日历天所在月份造价信息正刊发布的当期信息价。所在月份信息价如遇工程造价管理机构发布信息价格调整的，则该月信息价格按所发布信息价执行天数加权平均。）</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rPr>
        <w:t>注1</w:t>
      </w:r>
      <w:r>
        <w:rPr>
          <w:rFonts w:hint="eastAsia"/>
          <w:b w:val="0"/>
          <w:bCs/>
          <w:color w:val="auto"/>
          <w:sz w:val="21"/>
          <w:szCs w:val="21"/>
          <w:highlight w:val="none"/>
          <w:lang w:eastAsia="zh-CN"/>
        </w:rPr>
        <w:t>：</w:t>
      </w:r>
      <w:r>
        <w:rPr>
          <w:rFonts w:hint="eastAsia"/>
          <w:b w:val="0"/>
          <w:bCs/>
          <w:color w:val="auto"/>
          <w:sz w:val="21"/>
          <w:szCs w:val="21"/>
          <w:highlight w:val="none"/>
        </w:rPr>
        <w:t>上述公式中的“单种规格材料”是指根据浙江省、杭州市信息价正刊发布的有单独序号或代码的原材料、构配件、半产品、辅助材料和零件，其中砼管桩、预制构件等成品、半成品不予拆分。本合同约定可调计算的材料包括：钢材、碎石、砂、水泥、混凝土、沥青砼、管材、管件、阀门、井盖、砖) 。</w:t>
      </w:r>
    </w:p>
    <w:p>
      <w:pPr>
        <w:widowControl w:val="0"/>
        <w:autoSpaceDE/>
        <w:autoSpaceDN/>
        <w:ind w:firstLine="420" w:firstLineChars="200"/>
        <w:jc w:val="both"/>
        <w:rPr>
          <w:rFonts w:ascii="Times New Roman" w:hAnsi="Times New Roman" w:eastAsia="宋体" w:cs="Times New Roman"/>
          <w:b w:val="0"/>
          <w:bCs/>
          <w:color w:val="auto"/>
          <w:kern w:val="2"/>
          <w:sz w:val="21"/>
          <w:szCs w:val="21"/>
          <w:highlight w:val="none"/>
          <w:lang w:val="zh-CN" w:eastAsia="zh-CN" w:bidi="zh-CN"/>
        </w:rPr>
      </w:pPr>
    </w:p>
    <w:p>
      <w:pPr>
        <w:spacing w:line="420" w:lineRule="exact"/>
        <w:rPr>
          <w:b w:val="0"/>
          <w:bCs/>
          <w:color w:val="auto"/>
          <w:sz w:val="21"/>
          <w:szCs w:val="21"/>
          <w:highlight w:val="none"/>
          <w:u w:val="single"/>
        </w:rPr>
      </w:pPr>
      <w:r>
        <w:rPr>
          <w:rFonts w:hint="eastAsia"/>
          <w:b w:val="0"/>
          <w:bCs/>
          <w:color w:val="auto"/>
          <w:sz w:val="21"/>
          <w:szCs w:val="21"/>
          <w:highlight w:val="none"/>
        </w:rPr>
        <w:t xml:space="preserve">17 计量与支付 </w:t>
      </w:r>
    </w:p>
    <w:p>
      <w:pPr>
        <w:spacing w:line="420" w:lineRule="exact"/>
        <w:rPr>
          <w:b w:val="0"/>
          <w:bCs/>
          <w:color w:val="auto"/>
          <w:sz w:val="21"/>
          <w:szCs w:val="21"/>
          <w:highlight w:val="none"/>
        </w:rPr>
      </w:pPr>
      <w:r>
        <w:rPr>
          <w:rFonts w:hint="eastAsia"/>
          <w:b w:val="0"/>
          <w:bCs/>
          <w:color w:val="auto"/>
          <w:sz w:val="21"/>
          <w:szCs w:val="21"/>
          <w:highlight w:val="none"/>
        </w:rPr>
        <w:t xml:space="preserve">17.2预付款 </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rPr>
        <w:t>预付款支付比例或金额：</w:t>
      </w:r>
      <w:r>
        <w:rPr>
          <w:rFonts w:hint="eastAsia"/>
          <w:b w:val="0"/>
          <w:bCs/>
          <w:color w:val="auto"/>
          <w:sz w:val="21"/>
          <w:szCs w:val="21"/>
          <w:highlight w:val="none"/>
          <w:u w:val="single"/>
          <w:lang w:val="en-US" w:eastAsia="zh-CN"/>
        </w:rPr>
        <w:t>/</w:t>
      </w:r>
      <w:r>
        <w:rPr>
          <w:rFonts w:hint="eastAsia"/>
          <w:b w:val="0"/>
          <w:bCs/>
          <w:color w:val="auto"/>
          <w:sz w:val="21"/>
          <w:szCs w:val="21"/>
          <w:highlight w:val="none"/>
          <w:u w:val="single"/>
        </w:rPr>
        <w:t>。</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预付款支付期限：</w:t>
      </w:r>
      <w:r>
        <w:rPr>
          <w:rFonts w:hint="eastAsia"/>
          <w:b w:val="0"/>
          <w:bCs/>
          <w:color w:val="auto"/>
          <w:sz w:val="21"/>
          <w:szCs w:val="21"/>
          <w:highlight w:val="none"/>
          <w:u w:val="single"/>
        </w:rPr>
        <w:t xml:space="preserve"> </w:t>
      </w:r>
      <w:r>
        <w:rPr>
          <w:rFonts w:hint="eastAsia"/>
          <w:b w:val="0"/>
          <w:bCs/>
          <w:color w:val="auto"/>
          <w:sz w:val="21"/>
          <w:szCs w:val="21"/>
          <w:highlight w:val="none"/>
          <w:u w:val="single"/>
          <w:lang w:val="en-US" w:eastAsia="zh-CN"/>
        </w:rPr>
        <w:t>/</w:t>
      </w:r>
      <w:r>
        <w:rPr>
          <w:rFonts w:hint="eastAsia"/>
          <w:b w:val="0"/>
          <w:bCs/>
          <w:color w:val="auto"/>
          <w:sz w:val="21"/>
          <w:szCs w:val="21"/>
          <w:highlight w:val="none"/>
        </w:rPr>
        <w:t>。</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预付款扣回的方式：</w:t>
      </w:r>
      <w:r>
        <w:rPr>
          <w:rFonts w:hint="eastAsia"/>
          <w:b w:val="0"/>
          <w:bCs/>
          <w:color w:val="auto"/>
          <w:sz w:val="21"/>
          <w:szCs w:val="21"/>
          <w:highlight w:val="none"/>
          <w:u w:val="single"/>
          <w:lang w:val="en-US" w:eastAsia="zh-CN"/>
        </w:rPr>
        <w:t>/</w:t>
      </w:r>
      <w:r>
        <w:rPr>
          <w:rFonts w:hint="eastAsia"/>
          <w:b w:val="0"/>
          <w:bCs/>
          <w:color w:val="auto"/>
          <w:sz w:val="21"/>
          <w:szCs w:val="21"/>
          <w:highlight w:val="none"/>
          <w:u w:val="single"/>
        </w:rPr>
        <w:t>。</w:t>
      </w:r>
    </w:p>
    <w:p>
      <w:pPr>
        <w:spacing w:line="440" w:lineRule="exact"/>
        <w:ind w:firstLine="420" w:firstLineChars="200"/>
        <w:rPr>
          <w:b w:val="0"/>
          <w:bCs/>
          <w:color w:val="auto"/>
          <w:sz w:val="21"/>
          <w:szCs w:val="21"/>
          <w:highlight w:val="none"/>
          <w:u w:val="single"/>
        </w:rPr>
      </w:pPr>
      <w:r>
        <w:rPr>
          <w:rFonts w:hint="eastAsia"/>
          <w:b w:val="0"/>
          <w:bCs/>
          <w:color w:val="auto"/>
          <w:sz w:val="21"/>
          <w:szCs w:val="21"/>
          <w:highlight w:val="none"/>
          <w:u w:val="single"/>
        </w:rPr>
        <w:t>其余预付款在支付工程进度款时同比例扣回。</w:t>
      </w:r>
    </w:p>
    <w:p>
      <w:pPr>
        <w:spacing w:line="440" w:lineRule="exact"/>
        <w:ind w:firstLine="420" w:firstLineChars="200"/>
        <w:rPr>
          <w:b w:val="0"/>
          <w:bCs/>
          <w:color w:val="auto"/>
          <w:sz w:val="21"/>
          <w:szCs w:val="21"/>
          <w:highlight w:val="none"/>
        </w:rPr>
      </w:pPr>
      <w:r>
        <w:rPr>
          <w:rFonts w:hint="eastAsia"/>
          <w:b w:val="0"/>
          <w:bCs/>
          <w:color w:val="auto"/>
          <w:sz w:val="21"/>
          <w:szCs w:val="21"/>
          <w:highlight w:val="none"/>
        </w:rPr>
        <w:t>预付款担保</w:t>
      </w:r>
    </w:p>
    <w:p>
      <w:pPr>
        <w:pStyle w:val="22"/>
        <w:spacing w:line="440" w:lineRule="exact"/>
        <w:ind w:firstLine="420" w:firstLineChars="200"/>
        <w:rPr>
          <w:rFonts w:ascii="宋体" w:hAnsi="宋体" w:cs="宋体"/>
          <w:b w:val="0"/>
          <w:bCs/>
          <w:color w:val="auto"/>
          <w:sz w:val="21"/>
          <w:szCs w:val="21"/>
          <w:highlight w:val="none"/>
          <w:u w:val="single"/>
        </w:rPr>
      </w:pPr>
      <w:r>
        <w:rPr>
          <w:rFonts w:hint="eastAsia" w:ascii="宋体" w:hAnsi="宋体" w:cs="宋体"/>
          <w:b w:val="0"/>
          <w:bCs/>
          <w:color w:val="auto"/>
          <w:sz w:val="21"/>
          <w:szCs w:val="21"/>
          <w:highlight w:val="none"/>
        </w:rPr>
        <w:t>承包人提交预付款担保的期限：</w:t>
      </w:r>
      <w:r>
        <w:rPr>
          <w:rFonts w:hint="eastAsia" w:ascii="宋体" w:hAnsi="宋体" w:cs="宋体"/>
          <w:b w:val="0"/>
          <w:bCs/>
          <w:color w:val="auto"/>
          <w:sz w:val="21"/>
          <w:szCs w:val="21"/>
          <w:highlight w:val="none"/>
          <w:u w:val="single"/>
        </w:rPr>
        <w:t xml:space="preserve"> 应在发包人支付预付款时提供预付款担保，可采用银行保函、担保公司担保等形式。</w:t>
      </w:r>
    </w:p>
    <w:p>
      <w:pPr>
        <w:spacing w:line="380" w:lineRule="exact"/>
        <w:rPr>
          <w:b w:val="0"/>
          <w:bCs/>
          <w:color w:val="auto"/>
          <w:sz w:val="21"/>
          <w:szCs w:val="21"/>
          <w:highlight w:val="none"/>
        </w:rPr>
      </w:pPr>
      <w:r>
        <w:rPr>
          <w:rFonts w:hint="eastAsia"/>
          <w:b w:val="0"/>
          <w:bCs/>
          <w:color w:val="auto"/>
          <w:sz w:val="21"/>
          <w:szCs w:val="21"/>
          <w:highlight w:val="none"/>
        </w:rPr>
        <w:t>17.3工程进度付款</w:t>
      </w:r>
    </w:p>
    <w:p>
      <w:pPr>
        <w:spacing w:line="480" w:lineRule="exact"/>
        <w:rPr>
          <w:b w:val="0"/>
          <w:bCs/>
          <w:color w:val="auto"/>
          <w:sz w:val="21"/>
          <w:szCs w:val="21"/>
          <w:highlight w:val="none"/>
        </w:rPr>
      </w:pPr>
      <w:r>
        <w:rPr>
          <w:rFonts w:hint="eastAsia"/>
          <w:b w:val="0"/>
          <w:bCs/>
          <w:color w:val="auto"/>
          <w:sz w:val="21"/>
          <w:szCs w:val="21"/>
          <w:highlight w:val="none"/>
        </w:rPr>
        <w:t>17.3.3进度付款证书和支付时间。</w:t>
      </w:r>
    </w:p>
    <w:p>
      <w:pPr>
        <w:pStyle w:val="22"/>
        <w:spacing w:line="440" w:lineRule="exact"/>
        <w:ind w:firstLine="420" w:firstLineChars="200"/>
        <w:rPr>
          <w:rFonts w:ascii="宋体" w:hAnsi="宋体" w:cs="宋体"/>
          <w:b w:val="0"/>
          <w:bCs/>
          <w:color w:val="auto"/>
          <w:kern w:val="0"/>
          <w:sz w:val="21"/>
          <w:szCs w:val="21"/>
          <w:highlight w:val="yellow"/>
          <w:u w:val="single"/>
          <w:lang w:val="zh-CN" w:bidi="zh-CN"/>
        </w:rPr>
      </w:pPr>
      <w:r>
        <w:rPr>
          <w:rFonts w:hint="eastAsia"/>
          <w:b w:val="0"/>
          <w:bCs/>
          <w:color w:val="auto"/>
          <w:sz w:val="21"/>
          <w:szCs w:val="21"/>
          <w:highlight w:val="none"/>
        </w:rPr>
        <w:t>（</w:t>
      </w:r>
      <w:r>
        <w:rPr>
          <w:rFonts w:hint="eastAsia"/>
          <w:b w:val="0"/>
          <w:bCs/>
          <w:color w:val="auto"/>
          <w:sz w:val="21"/>
          <w:szCs w:val="21"/>
          <w:highlight w:val="none"/>
          <w:lang w:val="en-US" w:eastAsia="zh-CN"/>
        </w:rPr>
        <w:t>1</w:t>
      </w:r>
      <w:r>
        <w:rPr>
          <w:rFonts w:hint="eastAsia"/>
          <w:b w:val="0"/>
          <w:bCs/>
          <w:color w:val="auto"/>
          <w:sz w:val="21"/>
          <w:szCs w:val="21"/>
          <w:highlight w:val="none"/>
        </w:rPr>
        <w:t>）关于付款周期的约定：</w:t>
      </w:r>
      <w:r>
        <w:rPr>
          <w:rFonts w:hint="eastAsia"/>
          <w:b w:val="0"/>
          <w:bCs/>
          <w:color w:val="auto"/>
          <w:sz w:val="21"/>
          <w:szCs w:val="21"/>
          <w:highlight w:val="none"/>
          <w:u w:val="single"/>
          <w:lang w:val="en-US" w:eastAsia="zh-CN"/>
        </w:rPr>
        <w:t>合同签订后7个工作日内支付至合同总价的40%；</w:t>
      </w:r>
      <w:r>
        <w:rPr>
          <w:rFonts w:hint="eastAsia" w:ascii="宋体" w:hAnsi="宋体" w:cs="宋体"/>
          <w:b w:val="0"/>
          <w:bCs/>
          <w:color w:val="auto"/>
          <w:kern w:val="0"/>
          <w:sz w:val="21"/>
          <w:szCs w:val="21"/>
          <w:highlight w:val="none"/>
          <w:u w:val="single"/>
          <w:lang w:val="zh-CN" w:bidi="zh-CN"/>
        </w:rPr>
        <w:t>竣工验收合格后支付至签约合同价的</w:t>
      </w:r>
      <w:r>
        <w:rPr>
          <w:rFonts w:hint="eastAsia" w:ascii="宋体" w:hAnsi="宋体" w:cs="宋体"/>
          <w:b w:val="0"/>
          <w:bCs/>
          <w:color w:val="auto"/>
          <w:kern w:val="0"/>
          <w:sz w:val="21"/>
          <w:szCs w:val="21"/>
          <w:highlight w:val="none"/>
          <w:u w:val="single"/>
          <w:lang w:val="en-US" w:bidi="zh-CN"/>
        </w:rPr>
        <w:t>80</w:t>
      </w:r>
      <w:r>
        <w:rPr>
          <w:rFonts w:hint="eastAsia" w:ascii="宋体" w:hAnsi="宋体" w:cs="宋体"/>
          <w:b w:val="0"/>
          <w:bCs/>
          <w:color w:val="auto"/>
          <w:kern w:val="0"/>
          <w:sz w:val="21"/>
          <w:szCs w:val="21"/>
          <w:highlight w:val="none"/>
          <w:u w:val="single"/>
          <w:lang w:val="zh-CN" w:bidi="zh-CN"/>
        </w:rPr>
        <w:t>%；审计结束并出具审计报告后支付至审计价的</w:t>
      </w:r>
      <w:r>
        <w:rPr>
          <w:rFonts w:hint="eastAsia" w:ascii="宋体" w:hAnsi="宋体" w:cs="宋体"/>
          <w:b w:val="0"/>
          <w:bCs/>
          <w:color w:val="auto"/>
          <w:kern w:val="0"/>
          <w:sz w:val="21"/>
          <w:szCs w:val="21"/>
          <w:highlight w:val="none"/>
          <w:u w:val="single"/>
          <w:lang w:val="en-US" w:bidi="zh-CN"/>
        </w:rPr>
        <w:t>100</w:t>
      </w:r>
      <w:r>
        <w:rPr>
          <w:rFonts w:hint="eastAsia" w:ascii="宋体" w:hAnsi="宋体" w:cs="宋体"/>
          <w:b w:val="0"/>
          <w:bCs/>
          <w:color w:val="auto"/>
          <w:kern w:val="0"/>
          <w:sz w:val="21"/>
          <w:szCs w:val="21"/>
          <w:highlight w:val="none"/>
          <w:u w:val="single"/>
          <w:lang w:val="zh-CN" w:bidi="zh-CN"/>
        </w:rPr>
        <w:t>%，以上款项均不计息，付款前需提供正规增值税专用发票。</w:t>
      </w:r>
    </w:p>
    <w:p>
      <w:pPr>
        <w:spacing w:line="440" w:lineRule="exact"/>
        <w:ind w:firstLine="420" w:firstLineChars="200"/>
        <w:rPr>
          <w:rFonts w:hint="eastAsia"/>
          <w:b w:val="0"/>
          <w:bCs/>
          <w:color w:val="auto"/>
          <w:sz w:val="21"/>
          <w:szCs w:val="21"/>
          <w:highlight w:val="none"/>
          <w:u w:val="single"/>
        </w:rPr>
      </w:pPr>
      <w:r>
        <w:rPr>
          <w:rFonts w:hint="eastAsia" w:ascii="宋体" w:eastAsia="宋体"/>
          <w:b w:val="0"/>
          <w:bCs/>
          <w:color w:val="auto"/>
          <w:sz w:val="21"/>
          <w:szCs w:val="21"/>
          <w:highlight w:val="none"/>
          <w:u w:val="single"/>
          <w:lang w:val="en-US" w:eastAsia="zh-CN"/>
        </w:rPr>
        <w:t>1</w:t>
      </w:r>
      <w:r>
        <w:rPr>
          <w:rFonts w:hint="eastAsia"/>
          <w:b w:val="0"/>
          <w:bCs/>
          <w:color w:val="auto"/>
          <w:sz w:val="21"/>
          <w:szCs w:val="21"/>
          <w:highlight w:val="none"/>
          <w:u w:val="single"/>
        </w:rPr>
        <w:t>）关于工资性工程付款周期的额外约定：</w:t>
      </w:r>
    </w:p>
    <w:p>
      <w:pPr>
        <w:spacing w:line="440" w:lineRule="exact"/>
        <w:ind w:firstLine="420" w:firstLineChars="200"/>
        <w:rPr>
          <w:rFonts w:hint="eastAsia"/>
          <w:b w:val="0"/>
          <w:bCs/>
          <w:color w:val="auto"/>
          <w:sz w:val="21"/>
          <w:szCs w:val="21"/>
          <w:highlight w:val="none"/>
          <w:u w:val="single"/>
        </w:rPr>
      </w:pPr>
      <w:r>
        <w:rPr>
          <w:rFonts w:hint="eastAsia"/>
          <w:b w:val="0"/>
          <w:bCs/>
          <w:color w:val="auto"/>
          <w:sz w:val="21"/>
          <w:szCs w:val="21"/>
          <w:highlight w:val="none"/>
          <w:u w:val="single"/>
        </w:rPr>
        <w:t>工资性工程付款参照《临安区水利建设工程人工工资与工程款分账管理实施细则（试行）》</w:t>
      </w:r>
      <w:r>
        <w:rPr>
          <w:rFonts w:hint="eastAsia" w:eastAsia="宋体"/>
          <w:b w:val="0"/>
          <w:bCs/>
          <w:color w:val="auto"/>
          <w:sz w:val="21"/>
          <w:szCs w:val="21"/>
          <w:highlight w:val="none"/>
          <w:u w:val="single"/>
          <w:lang w:eastAsia="zh-CN"/>
        </w:rPr>
        <w:t>（临水〔2017〕231号文件）</w:t>
      </w:r>
      <w:r>
        <w:rPr>
          <w:rFonts w:hint="eastAsia"/>
          <w:b w:val="0"/>
          <w:bCs/>
          <w:color w:val="auto"/>
          <w:sz w:val="21"/>
          <w:szCs w:val="21"/>
          <w:highlight w:val="none"/>
          <w:u w:val="single"/>
        </w:rPr>
        <w:t>规定执行</w:t>
      </w:r>
      <w:r>
        <w:rPr>
          <w:rFonts w:hint="eastAsia"/>
          <w:b w:val="0"/>
          <w:bCs/>
          <w:color w:val="auto"/>
          <w:sz w:val="21"/>
          <w:szCs w:val="21"/>
          <w:highlight w:val="none"/>
          <w:u w:val="single"/>
          <w:lang w:eastAsia="zh-CN"/>
        </w:rPr>
        <w:t>及《关于在全省工程建设领域改革保证金制度的通知》（浙建〔20</w:t>
      </w:r>
      <w:r>
        <w:rPr>
          <w:rFonts w:hint="eastAsia"/>
          <w:b w:val="0"/>
          <w:bCs/>
          <w:color w:val="auto"/>
          <w:sz w:val="21"/>
          <w:szCs w:val="21"/>
          <w:highlight w:val="none"/>
          <w:u w:val="single"/>
          <w:lang w:val="en-US" w:eastAsia="zh-CN"/>
        </w:rPr>
        <w:t>20</w:t>
      </w:r>
      <w:r>
        <w:rPr>
          <w:rFonts w:hint="eastAsia"/>
          <w:b w:val="0"/>
          <w:bCs/>
          <w:color w:val="auto"/>
          <w:sz w:val="21"/>
          <w:szCs w:val="21"/>
          <w:highlight w:val="none"/>
          <w:u w:val="single"/>
          <w:lang w:eastAsia="zh-CN"/>
        </w:rPr>
        <w:t>〕</w:t>
      </w:r>
      <w:r>
        <w:rPr>
          <w:rFonts w:hint="eastAsia"/>
          <w:b w:val="0"/>
          <w:bCs/>
          <w:color w:val="auto"/>
          <w:sz w:val="21"/>
          <w:szCs w:val="21"/>
          <w:highlight w:val="none"/>
          <w:u w:val="single"/>
          <w:lang w:val="en-US" w:eastAsia="zh-CN"/>
        </w:rPr>
        <w:t>7</w:t>
      </w:r>
      <w:r>
        <w:rPr>
          <w:rFonts w:hint="eastAsia"/>
          <w:b w:val="0"/>
          <w:bCs/>
          <w:color w:val="auto"/>
          <w:sz w:val="21"/>
          <w:szCs w:val="21"/>
          <w:highlight w:val="none"/>
          <w:u w:val="single"/>
          <w:lang w:eastAsia="zh-CN"/>
        </w:rPr>
        <w:t>号文件）</w:t>
      </w:r>
      <w:r>
        <w:rPr>
          <w:rFonts w:hint="eastAsia"/>
          <w:b w:val="0"/>
          <w:bCs/>
          <w:color w:val="auto"/>
          <w:sz w:val="21"/>
          <w:szCs w:val="21"/>
          <w:highlight w:val="none"/>
          <w:u w:val="single"/>
        </w:rPr>
        <w:t>规定执行</w:t>
      </w:r>
      <w:r>
        <w:rPr>
          <w:rFonts w:hint="eastAsia"/>
          <w:b w:val="0"/>
          <w:bCs/>
          <w:color w:val="auto"/>
          <w:sz w:val="21"/>
          <w:szCs w:val="21"/>
          <w:highlight w:val="none"/>
          <w:u w:val="single"/>
          <w:lang w:eastAsia="zh-CN"/>
        </w:rPr>
        <w:t>，</w:t>
      </w:r>
      <w:r>
        <w:rPr>
          <w:rFonts w:hint="eastAsia"/>
          <w:b w:val="0"/>
          <w:bCs/>
          <w:color w:val="auto"/>
          <w:sz w:val="21"/>
          <w:szCs w:val="21"/>
          <w:highlight w:val="none"/>
          <w:u w:val="single"/>
          <w:lang w:val="en-US" w:eastAsia="zh-CN"/>
        </w:rPr>
        <w:t>确保</w:t>
      </w:r>
      <w:r>
        <w:rPr>
          <w:rFonts w:hint="eastAsia" w:cs="宋体"/>
          <w:b w:val="0"/>
          <w:bCs/>
          <w:color w:val="auto"/>
          <w:kern w:val="0"/>
          <w:sz w:val="21"/>
          <w:szCs w:val="21"/>
          <w:highlight w:val="none"/>
          <w:u w:val="single"/>
          <w:lang w:val="en-US" w:bidi="zh-CN"/>
        </w:rPr>
        <w:t>划</w:t>
      </w:r>
      <w:r>
        <w:rPr>
          <w:rFonts w:hint="eastAsia" w:ascii="宋体" w:hAnsi="宋体" w:cs="宋体"/>
          <w:b w:val="0"/>
          <w:bCs/>
          <w:color w:val="auto"/>
          <w:kern w:val="0"/>
          <w:sz w:val="21"/>
          <w:szCs w:val="21"/>
          <w:highlight w:val="none"/>
          <w:u w:val="single"/>
          <w:lang w:val="zh-CN" w:bidi="zh-CN"/>
        </w:rPr>
        <w:t>入农民工工资专用账户</w:t>
      </w:r>
      <w:r>
        <w:rPr>
          <w:rFonts w:hint="eastAsia" w:cs="宋体"/>
          <w:b w:val="0"/>
          <w:bCs/>
          <w:color w:val="auto"/>
          <w:kern w:val="0"/>
          <w:sz w:val="21"/>
          <w:szCs w:val="21"/>
          <w:highlight w:val="none"/>
          <w:u w:val="single"/>
          <w:lang w:val="en-US" w:bidi="zh-CN"/>
        </w:rPr>
        <w:t>的资金不少于本项目合同价的15%</w:t>
      </w:r>
      <w:r>
        <w:rPr>
          <w:rFonts w:hint="eastAsia"/>
          <w:b w:val="0"/>
          <w:bCs/>
          <w:color w:val="auto"/>
          <w:sz w:val="21"/>
          <w:szCs w:val="21"/>
          <w:highlight w:val="none"/>
          <w:u w:val="single"/>
        </w:rPr>
        <w:t>。</w:t>
      </w:r>
    </w:p>
    <w:p>
      <w:pPr>
        <w:spacing w:line="440" w:lineRule="exact"/>
        <w:ind w:firstLine="420" w:firstLineChars="200"/>
        <w:rPr>
          <w:rFonts w:hint="eastAsia"/>
          <w:b w:val="0"/>
          <w:bCs/>
          <w:color w:val="auto"/>
          <w:sz w:val="21"/>
          <w:szCs w:val="21"/>
          <w:highlight w:val="none"/>
          <w:u w:val="single"/>
        </w:rPr>
      </w:pPr>
      <w:r>
        <w:rPr>
          <w:rFonts w:hint="eastAsia"/>
          <w:b w:val="0"/>
          <w:bCs/>
          <w:color w:val="auto"/>
          <w:sz w:val="21"/>
          <w:szCs w:val="21"/>
          <w:highlight w:val="none"/>
          <w:u w:val="single"/>
        </w:rPr>
        <w:t>发包人支付工程进度款时，扣除已拨付的工资性工程款，待承包人已按时足额支付农民工工资后，再拨付剩余工程进度款。</w:t>
      </w:r>
    </w:p>
    <w:p>
      <w:pPr>
        <w:spacing w:line="440" w:lineRule="exact"/>
        <w:ind w:firstLine="420" w:firstLineChars="200"/>
        <w:rPr>
          <w:rFonts w:hint="eastAsia"/>
          <w:b w:val="0"/>
          <w:bCs/>
          <w:color w:val="auto"/>
          <w:sz w:val="21"/>
          <w:szCs w:val="21"/>
          <w:highlight w:val="none"/>
          <w:u w:val="single"/>
        </w:rPr>
      </w:pPr>
      <w:r>
        <w:rPr>
          <w:rFonts w:hint="eastAsia" w:ascii="宋体" w:eastAsia="宋体"/>
          <w:b w:val="0"/>
          <w:bCs/>
          <w:color w:val="auto"/>
          <w:sz w:val="21"/>
          <w:szCs w:val="21"/>
          <w:highlight w:val="none"/>
          <w:u w:val="single"/>
          <w:lang w:val="en-US" w:eastAsia="zh-CN"/>
        </w:rPr>
        <w:t>乙方需确保农民工工资的发放，如若存在拖欠农民工工资或者上访事件，经调查事实存在的，甲方有权优先保障农民工工资，并在工程款中扣除。</w:t>
      </w:r>
    </w:p>
    <w:p>
      <w:pPr>
        <w:spacing w:line="440" w:lineRule="exact"/>
        <w:ind w:firstLine="420" w:firstLineChars="200"/>
        <w:rPr>
          <w:rFonts w:hint="eastAsia"/>
          <w:b w:val="0"/>
          <w:bCs/>
          <w:color w:val="auto"/>
          <w:sz w:val="21"/>
          <w:szCs w:val="21"/>
          <w:highlight w:val="none"/>
          <w:u w:val="single"/>
        </w:rPr>
      </w:pPr>
      <w:r>
        <w:rPr>
          <w:rFonts w:hint="eastAsia"/>
          <w:b w:val="0"/>
          <w:bCs/>
          <w:color w:val="auto"/>
          <w:sz w:val="21"/>
          <w:szCs w:val="21"/>
          <w:highlight w:val="none"/>
          <w:u w:val="single"/>
        </w:rPr>
        <w:t>▲严格落实民工工资支付和“无欠薪”专项治理工作各项要求，实行“实名制登记、民工工资账户分设、银行代发工资、民工工资保证金缴纳、按月足额支付、民工维权告示牌”等，确保劳动者足额领取工资，确保不发生因欠薪引发重大群体性事件。</w:t>
      </w:r>
    </w:p>
    <w:p>
      <w:pPr>
        <w:spacing w:line="440" w:lineRule="exact"/>
        <w:ind w:firstLine="420" w:firstLineChars="200"/>
        <w:rPr>
          <w:rFonts w:hint="eastAsia"/>
          <w:b w:val="0"/>
          <w:bCs/>
          <w:color w:val="auto"/>
          <w:sz w:val="21"/>
          <w:szCs w:val="21"/>
          <w:highlight w:val="none"/>
          <w:u w:val="single"/>
        </w:rPr>
      </w:pPr>
      <w:r>
        <w:rPr>
          <w:rFonts w:hint="eastAsia" w:ascii="宋体" w:eastAsia="宋体"/>
          <w:b w:val="0"/>
          <w:bCs/>
          <w:color w:val="auto"/>
          <w:sz w:val="21"/>
          <w:szCs w:val="21"/>
          <w:highlight w:val="none"/>
          <w:u w:val="single"/>
          <w:lang w:val="en-US" w:eastAsia="zh-CN"/>
        </w:rPr>
        <w:t>2</w:t>
      </w:r>
      <w:r>
        <w:rPr>
          <w:rFonts w:hint="eastAsia"/>
          <w:b w:val="0"/>
          <w:bCs/>
          <w:color w:val="auto"/>
          <w:sz w:val="21"/>
          <w:szCs w:val="21"/>
          <w:highlight w:val="none"/>
          <w:u w:val="single"/>
        </w:rPr>
        <w:t>）根据工程实际完成进度，承包人于每个月的25日前提交三份本月已完工工程量报告，经监理公司审核，发包人审定，承包人签字确认后支付工程款（进度款）。如不按期提交，视为承包方将本期完成工程量计入下期工程款，如承包人未在规定时间内及时上报变更联系单，发包人有权暂扣进度款并采取相应措施，由此发生的责任全部由承包方承担。</w:t>
      </w:r>
    </w:p>
    <w:p>
      <w:pPr>
        <w:spacing w:line="440" w:lineRule="exact"/>
        <w:ind w:firstLine="420" w:firstLineChars="200"/>
        <w:rPr>
          <w:rFonts w:hint="eastAsia"/>
          <w:b w:val="0"/>
          <w:bCs/>
          <w:color w:val="auto"/>
          <w:sz w:val="21"/>
          <w:szCs w:val="21"/>
          <w:highlight w:val="none"/>
          <w:u w:val="single"/>
        </w:rPr>
      </w:pPr>
      <w:r>
        <w:rPr>
          <w:rFonts w:hint="eastAsia" w:ascii="宋体" w:eastAsia="宋体"/>
          <w:b w:val="0"/>
          <w:bCs/>
          <w:color w:val="auto"/>
          <w:sz w:val="21"/>
          <w:szCs w:val="21"/>
          <w:highlight w:val="none"/>
          <w:u w:val="single"/>
          <w:lang w:val="en-US" w:eastAsia="zh-CN"/>
        </w:rPr>
        <w:t>3</w:t>
      </w:r>
      <w:r>
        <w:rPr>
          <w:rFonts w:hint="eastAsia"/>
          <w:b w:val="0"/>
          <w:bCs/>
          <w:color w:val="auto"/>
          <w:sz w:val="21"/>
          <w:szCs w:val="21"/>
          <w:highlight w:val="none"/>
          <w:u w:val="single"/>
        </w:rPr>
        <w:t>）水电计量装总表和分表，总分表间差额和电的损耗由场地内各施工单位按实际用量比例分摊，由发包人代缴水电费，在支付工程款（进度款）时按实际用量和实际价格全额扣除；</w:t>
      </w:r>
    </w:p>
    <w:p>
      <w:pPr>
        <w:spacing w:line="440" w:lineRule="exact"/>
        <w:ind w:firstLine="420" w:firstLineChars="200"/>
        <w:rPr>
          <w:rFonts w:hint="eastAsia"/>
          <w:b w:val="0"/>
          <w:bCs/>
          <w:color w:val="auto"/>
          <w:sz w:val="21"/>
          <w:szCs w:val="21"/>
          <w:highlight w:val="none"/>
          <w:u w:val="single"/>
        </w:rPr>
      </w:pPr>
      <w:r>
        <w:rPr>
          <w:rFonts w:hint="eastAsia" w:ascii="宋体" w:eastAsia="宋体"/>
          <w:b w:val="0"/>
          <w:bCs/>
          <w:color w:val="auto"/>
          <w:sz w:val="21"/>
          <w:szCs w:val="21"/>
          <w:highlight w:val="none"/>
          <w:u w:val="single"/>
          <w:lang w:val="en-US" w:eastAsia="zh-CN"/>
        </w:rPr>
        <w:t>4</w:t>
      </w:r>
      <w:r>
        <w:rPr>
          <w:rFonts w:hint="eastAsia"/>
          <w:b w:val="0"/>
          <w:bCs/>
          <w:color w:val="auto"/>
          <w:sz w:val="21"/>
          <w:szCs w:val="21"/>
          <w:highlight w:val="none"/>
          <w:u w:val="single"/>
        </w:rPr>
        <w:t>）工程变更部分价款于结算审计完成且经发包人确认后统一支付，但发包人与承包人另行签订补充协议的除外，如政府有新的结算管理办法出台可按新办法执行。</w:t>
      </w:r>
    </w:p>
    <w:p>
      <w:pPr>
        <w:spacing w:line="440" w:lineRule="exact"/>
        <w:ind w:firstLine="420" w:firstLineChars="200"/>
        <w:rPr>
          <w:b w:val="0"/>
          <w:bCs/>
          <w:color w:val="auto"/>
          <w:sz w:val="21"/>
          <w:szCs w:val="21"/>
          <w:highlight w:val="none"/>
        </w:rPr>
      </w:pPr>
      <w:r>
        <w:rPr>
          <w:rFonts w:hint="eastAsia" w:ascii="宋体" w:eastAsia="宋体"/>
          <w:b w:val="0"/>
          <w:bCs/>
          <w:color w:val="auto"/>
          <w:sz w:val="21"/>
          <w:szCs w:val="21"/>
          <w:highlight w:val="none"/>
          <w:u w:val="single"/>
          <w:lang w:val="en-US" w:eastAsia="zh-CN"/>
        </w:rPr>
        <w:t>5</w:t>
      </w:r>
      <w:r>
        <w:rPr>
          <w:rFonts w:hint="eastAsia"/>
          <w:b w:val="0"/>
          <w:bCs/>
          <w:color w:val="auto"/>
          <w:sz w:val="21"/>
          <w:szCs w:val="21"/>
          <w:highlight w:val="none"/>
          <w:u w:val="single"/>
        </w:rPr>
        <w:t>）根据国家对建设工程税收的有关规定，临安区税务部门要求在支付工程款（进度款）时，必须开具规范发票。发包人付至结算价</w:t>
      </w:r>
      <w:r>
        <w:rPr>
          <w:rFonts w:hint="eastAsia"/>
          <w:b w:val="0"/>
          <w:bCs/>
          <w:color w:val="auto"/>
          <w:sz w:val="21"/>
          <w:szCs w:val="21"/>
          <w:highlight w:val="none"/>
          <w:u w:val="single"/>
          <w:lang w:val="en-US" w:eastAsia="zh-CN"/>
        </w:rPr>
        <w:t>100%</w:t>
      </w:r>
      <w:r>
        <w:rPr>
          <w:rFonts w:hint="eastAsia"/>
          <w:b w:val="0"/>
          <w:bCs/>
          <w:color w:val="auto"/>
          <w:sz w:val="21"/>
          <w:szCs w:val="21"/>
          <w:highlight w:val="none"/>
          <w:u w:val="single"/>
        </w:rPr>
        <w:t>时承包人须提供结算价 100%的发票</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u w:val="single"/>
        </w:rPr>
        <w:t>。</w:t>
      </w:r>
    </w:p>
    <w:p>
      <w:pPr>
        <w:spacing w:line="380" w:lineRule="exact"/>
        <w:rPr>
          <w:b w:val="0"/>
          <w:bCs/>
          <w:color w:val="auto"/>
          <w:sz w:val="21"/>
          <w:szCs w:val="21"/>
          <w:highlight w:val="none"/>
        </w:rPr>
      </w:pPr>
      <w:r>
        <w:rPr>
          <w:rFonts w:hint="eastAsia"/>
          <w:b w:val="0"/>
          <w:bCs/>
          <w:color w:val="auto"/>
          <w:sz w:val="21"/>
          <w:szCs w:val="21"/>
          <w:highlight w:val="none"/>
        </w:rPr>
        <w:t>17.4质量保证金</w:t>
      </w:r>
    </w:p>
    <w:p>
      <w:pPr>
        <w:spacing w:line="380" w:lineRule="exact"/>
        <w:rPr>
          <w:b w:val="0"/>
          <w:bCs/>
          <w:color w:val="auto"/>
          <w:sz w:val="21"/>
          <w:szCs w:val="21"/>
          <w:highlight w:val="none"/>
        </w:rPr>
      </w:pPr>
      <w:r>
        <w:rPr>
          <w:rFonts w:hint="eastAsia"/>
          <w:b w:val="0"/>
          <w:bCs/>
          <w:color w:val="auto"/>
          <w:sz w:val="21"/>
          <w:szCs w:val="21"/>
          <w:highlight w:val="none"/>
        </w:rPr>
        <w:t xml:space="preserve">    17.4.1每个付款周期扣留的质量保证金额度及质量保证金总额见本章第17.3.3（1）目。</w:t>
      </w:r>
    </w:p>
    <w:p>
      <w:pPr>
        <w:spacing w:line="380" w:lineRule="exact"/>
        <w:rPr>
          <w:b w:val="0"/>
          <w:bCs/>
          <w:color w:val="auto"/>
          <w:sz w:val="21"/>
          <w:szCs w:val="21"/>
          <w:highlight w:val="none"/>
        </w:rPr>
      </w:pPr>
      <w:r>
        <w:rPr>
          <w:rFonts w:hint="eastAsia"/>
          <w:b w:val="0"/>
          <w:bCs/>
          <w:color w:val="auto"/>
          <w:sz w:val="21"/>
          <w:szCs w:val="21"/>
          <w:highlight w:val="none"/>
        </w:rPr>
        <w:t>17.5竣工（完工）结算</w:t>
      </w:r>
    </w:p>
    <w:p>
      <w:pPr>
        <w:spacing w:line="380" w:lineRule="exact"/>
        <w:rPr>
          <w:b w:val="0"/>
          <w:bCs/>
          <w:color w:val="auto"/>
          <w:sz w:val="21"/>
          <w:szCs w:val="21"/>
          <w:highlight w:val="none"/>
        </w:rPr>
      </w:pPr>
      <w:r>
        <w:rPr>
          <w:rFonts w:hint="eastAsia"/>
          <w:b w:val="0"/>
          <w:bCs/>
          <w:color w:val="auto"/>
          <w:sz w:val="21"/>
          <w:szCs w:val="21"/>
          <w:highlight w:val="none"/>
        </w:rPr>
        <w:t xml:space="preserve">   17.5.1竣工（完工）付款申请单</w:t>
      </w:r>
    </w:p>
    <w:p>
      <w:pPr>
        <w:spacing w:line="380" w:lineRule="exact"/>
        <w:rPr>
          <w:b w:val="0"/>
          <w:bCs/>
          <w:color w:val="auto"/>
          <w:sz w:val="21"/>
          <w:szCs w:val="21"/>
          <w:highlight w:val="none"/>
        </w:rPr>
      </w:pPr>
      <w:r>
        <w:rPr>
          <w:rFonts w:hint="eastAsia"/>
          <w:b w:val="0"/>
          <w:bCs/>
          <w:color w:val="auto"/>
          <w:sz w:val="21"/>
          <w:szCs w:val="21"/>
          <w:highlight w:val="none"/>
        </w:rPr>
        <w:t xml:space="preserve">    承包人应提交完工付款申请单一式</w:t>
      </w:r>
      <w:r>
        <w:rPr>
          <w:rFonts w:hint="eastAsia"/>
          <w:b w:val="0"/>
          <w:bCs/>
          <w:color w:val="auto"/>
          <w:sz w:val="21"/>
          <w:szCs w:val="21"/>
          <w:highlight w:val="none"/>
          <w:u w:val="single"/>
        </w:rPr>
        <w:t xml:space="preserve">  5  </w:t>
      </w:r>
      <w:r>
        <w:rPr>
          <w:rFonts w:hint="eastAsia"/>
          <w:b w:val="0"/>
          <w:bCs/>
          <w:color w:val="auto"/>
          <w:sz w:val="21"/>
          <w:szCs w:val="21"/>
          <w:highlight w:val="none"/>
        </w:rPr>
        <w:t>份。</w:t>
      </w:r>
    </w:p>
    <w:p>
      <w:pPr>
        <w:spacing w:line="380" w:lineRule="exact"/>
        <w:rPr>
          <w:b w:val="0"/>
          <w:bCs/>
          <w:color w:val="auto"/>
          <w:sz w:val="21"/>
          <w:szCs w:val="21"/>
          <w:highlight w:val="none"/>
        </w:rPr>
      </w:pPr>
      <w:r>
        <w:rPr>
          <w:rFonts w:hint="eastAsia"/>
          <w:b w:val="0"/>
          <w:bCs/>
          <w:color w:val="auto"/>
          <w:sz w:val="21"/>
          <w:szCs w:val="21"/>
          <w:highlight w:val="none"/>
        </w:rPr>
        <w:t>17.6最终结清</w:t>
      </w:r>
    </w:p>
    <w:p>
      <w:pPr>
        <w:spacing w:line="380" w:lineRule="exact"/>
        <w:rPr>
          <w:b w:val="0"/>
          <w:bCs/>
          <w:color w:val="auto"/>
          <w:sz w:val="21"/>
          <w:szCs w:val="21"/>
          <w:highlight w:val="none"/>
        </w:rPr>
      </w:pPr>
      <w:r>
        <w:rPr>
          <w:rFonts w:hint="eastAsia"/>
          <w:b w:val="0"/>
          <w:bCs/>
          <w:color w:val="auto"/>
          <w:sz w:val="21"/>
          <w:szCs w:val="21"/>
          <w:highlight w:val="none"/>
        </w:rPr>
        <w:t xml:space="preserve">    17.6.1最终结清申请单</w:t>
      </w:r>
    </w:p>
    <w:p>
      <w:pPr>
        <w:spacing w:line="380" w:lineRule="exact"/>
        <w:rPr>
          <w:b w:val="0"/>
          <w:bCs/>
          <w:color w:val="auto"/>
          <w:sz w:val="21"/>
          <w:szCs w:val="21"/>
          <w:highlight w:val="none"/>
        </w:rPr>
      </w:pPr>
      <w:r>
        <w:rPr>
          <w:rFonts w:hint="eastAsia"/>
          <w:b w:val="0"/>
          <w:bCs/>
          <w:color w:val="auto"/>
          <w:sz w:val="21"/>
          <w:szCs w:val="21"/>
          <w:highlight w:val="none"/>
        </w:rPr>
        <w:t xml:space="preserve">    承包人应提交最终结清申请单一式</w:t>
      </w:r>
      <w:r>
        <w:rPr>
          <w:rFonts w:hint="eastAsia"/>
          <w:b w:val="0"/>
          <w:bCs/>
          <w:color w:val="auto"/>
          <w:sz w:val="21"/>
          <w:szCs w:val="21"/>
          <w:highlight w:val="none"/>
          <w:u w:val="singl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u w:val="single"/>
        </w:rPr>
        <w:t xml:space="preserve">5  </w:t>
      </w:r>
      <w:r>
        <w:rPr>
          <w:rFonts w:hint="eastAsia"/>
          <w:b w:val="0"/>
          <w:bCs/>
          <w:color w:val="auto"/>
          <w:sz w:val="21"/>
          <w:szCs w:val="21"/>
          <w:highlight w:val="none"/>
        </w:rPr>
        <w:t>份。</w:t>
      </w:r>
    </w:p>
    <w:p>
      <w:pPr>
        <w:spacing w:line="380" w:lineRule="exact"/>
        <w:rPr>
          <w:b w:val="0"/>
          <w:bCs/>
          <w:color w:val="auto"/>
          <w:sz w:val="21"/>
          <w:szCs w:val="21"/>
          <w:highlight w:val="none"/>
        </w:rPr>
      </w:pPr>
      <w:r>
        <w:rPr>
          <w:rFonts w:hint="eastAsia"/>
          <w:b w:val="0"/>
          <w:bCs/>
          <w:color w:val="auto"/>
          <w:sz w:val="21"/>
          <w:szCs w:val="21"/>
          <w:highlight w:val="none"/>
        </w:rPr>
        <w:t>17.7竣（完）工财务决算</w:t>
      </w:r>
    </w:p>
    <w:p>
      <w:pPr>
        <w:spacing w:line="380" w:lineRule="exact"/>
        <w:rPr>
          <w:b w:val="0"/>
          <w:bCs/>
          <w:color w:val="auto"/>
          <w:sz w:val="21"/>
          <w:szCs w:val="21"/>
          <w:highlight w:val="none"/>
        </w:rPr>
      </w:pPr>
      <w:r>
        <w:rPr>
          <w:rFonts w:hint="eastAsia"/>
          <w:b w:val="0"/>
          <w:bCs/>
          <w:color w:val="auto"/>
          <w:sz w:val="21"/>
          <w:szCs w:val="21"/>
          <w:highlight w:val="none"/>
        </w:rPr>
        <w:t xml:space="preserve">    承包人应为竣（完）工财务决算编制提供的资料：</w:t>
      </w:r>
      <w:r>
        <w:rPr>
          <w:rFonts w:hint="eastAsia"/>
          <w:b w:val="0"/>
          <w:bCs/>
          <w:snapToGrid w:val="0"/>
          <w:color w:val="auto"/>
          <w:sz w:val="21"/>
          <w:szCs w:val="21"/>
          <w:highlight w:val="none"/>
          <w:u w:val="single"/>
        </w:rPr>
        <w:t>财务决算所需的一切资料</w:t>
      </w:r>
      <w:r>
        <w:rPr>
          <w:rFonts w:hint="eastAsia"/>
          <w:b w:val="0"/>
          <w:bCs/>
          <w:color w:val="auto"/>
          <w:sz w:val="21"/>
          <w:szCs w:val="21"/>
          <w:highlight w:val="none"/>
        </w:rPr>
        <w:t xml:space="preserve"> 。</w:t>
      </w:r>
    </w:p>
    <w:p>
      <w:pPr>
        <w:spacing w:line="380" w:lineRule="exact"/>
        <w:rPr>
          <w:b w:val="0"/>
          <w:bCs/>
          <w:color w:val="auto"/>
          <w:sz w:val="21"/>
          <w:szCs w:val="21"/>
          <w:highlight w:val="none"/>
        </w:rPr>
      </w:pPr>
      <w:r>
        <w:rPr>
          <w:rFonts w:hint="eastAsia"/>
          <w:b w:val="0"/>
          <w:bCs/>
          <w:color w:val="auto"/>
          <w:sz w:val="21"/>
          <w:szCs w:val="21"/>
          <w:highlight w:val="none"/>
        </w:rPr>
        <w:t>18 工程验收</w:t>
      </w:r>
    </w:p>
    <w:p>
      <w:pPr>
        <w:spacing w:line="380" w:lineRule="exact"/>
        <w:rPr>
          <w:b w:val="0"/>
          <w:bCs/>
          <w:color w:val="auto"/>
          <w:sz w:val="21"/>
          <w:szCs w:val="21"/>
          <w:highlight w:val="none"/>
        </w:rPr>
      </w:pPr>
      <w:r>
        <w:rPr>
          <w:rFonts w:hint="eastAsia"/>
          <w:b w:val="0"/>
          <w:bCs/>
          <w:color w:val="auto"/>
          <w:sz w:val="21"/>
          <w:szCs w:val="21"/>
          <w:highlight w:val="none"/>
        </w:rPr>
        <w:t>18.1验收工作分类</w:t>
      </w:r>
    </w:p>
    <w:p>
      <w:pPr>
        <w:spacing w:line="380" w:lineRule="exact"/>
        <w:rPr>
          <w:b w:val="0"/>
          <w:bCs/>
          <w:color w:val="auto"/>
          <w:sz w:val="21"/>
          <w:szCs w:val="21"/>
          <w:highlight w:val="none"/>
        </w:rPr>
      </w:pPr>
      <w:r>
        <w:rPr>
          <w:rFonts w:hint="eastAsia"/>
          <w:b w:val="0"/>
          <w:bCs/>
          <w:color w:val="auto"/>
          <w:sz w:val="21"/>
          <w:szCs w:val="21"/>
          <w:highlight w:val="none"/>
        </w:rPr>
        <w:t xml:space="preserve">    本工程法人验收包括： </w:t>
      </w:r>
      <w:r>
        <w:rPr>
          <w:rFonts w:hint="eastAsia"/>
          <w:b w:val="0"/>
          <w:bCs/>
          <w:color w:val="auto"/>
          <w:sz w:val="21"/>
          <w:szCs w:val="21"/>
          <w:highlight w:val="none"/>
          <w:u w:val="single"/>
        </w:rPr>
        <w:t xml:space="preserve"> 分部工程、单位工程验收</w:t>
      </w:r>
      <w:r>
        <w:rPr>
          <w:rFonts w:hint="eastAsia"/>
          <w:b w:val="0"/>
          <w:bCs/>
          <w:color w:val="auto"/>
          <w:sz w:val="21"/>
          <w:szCs w:val="21"/>
          <w:highlight w:val="none"/>
        </w:rPr>
        <w:t xml:space="preserve">；政府验收包括： </w:t>
      </w:r>
      <w:r>
        <w:rPr>
          <w:rFonts w:hint="eastAsia"/>
          <w:b w:val="0"/>
          <w:bCs/>
          <w:color w:val="auto"/>
          <w:sz w:val="21"/>
          <w:szCs w:val="21"/>
          <w:highlight w:val="none"/>
          <w:u w:val="single"/>
        </w:rPr>
        <w:t xml:space="preserve"> 竣（完）工验收</w:t>
      </w:r>
      <w:r>
        <w:rPr>
          <w:rFonts w:hint="eastAsia"/>
          <w:b w:val="0"/>
          <w:bCs/>
          <w:color w:val="auto"/>
          <w:sz w:val="21"/>
          <w:szCs w:val="21"/>
          <w:highlight w:val="none"/>
        </w:rPr>
        <w:t>。验收条件为：</w:t>
      </w:r>
      <w:r>
        <w:rPr>
          <w:rFonts w:hint="eastAsia"/>
          <w:b w:val="0"/>
          <w:bCs/>
          <w:color w:val="auto"/>
          <w:sz w:val="21"/>
          <w:szCs w:val="21"/>
          <w:highlight w:val="none"/>
          <w:u w:val="single"/>
        </w:rPr>
        <w:t>相应工程完工（合同范围）</w:t>
      </w:r>
      <w:r>
        <w:rPr>
          <w:rFonts w:hint="eastAsia"/>
          <w:b w:val="0"/>
          <w:bCs/>
          <w:color w:val="auto"/>
          <w:sz w:val="21"/>
          <w:szCs w:val="21"/>
          <w:highlight w:val="none"/>
        </w:rPr>
        <w:t xml:space="preserve"> ，验收程序为：</w:t>
      </w:r>
      <w:r>
        <w:rPr>
          <w:b w:val="0"/>
          <w:bCs/>
          <w:color w:val="auto"/>
          <w:sz w:val="21"/>
          <w:szCs w:val="21"/>
          <w:highlight w:val="none"/>
          <w:u w:val="single"/>
        </w:rPr>
        <w:t>按《水利工程建设工程验收规程》（SL223-2008）</w:t>
      </w:r>
      <w:r>
        <w:rPr>
          <w:rFonts w:hint="eastAsia"/>
          <w:b w:val="0"/>
          <w:bCs/>
          <w:color w:val="auto"/>
          <w:sz w:val="21"/>
          <w:szCs w:val="21"/>
          <w:highlight w:val="none"/>
        </w:rPr>
        <w:t xml:space="preserve"> 。</w:t>
      </w:r>
    </w:p>
    <w:p>
      <w:pPr>
        <w:spacing w:line="380" w:lineRule="exact"/>
        <w:rPr>
          <w:b w:val="0"/>
          <w:bCs/>
          <w:color w:val="auto"/>
          <w:sz w:val="21"/>
          <w:szCs w:val="21"/>
          <w:highlight w:val="none"/>
        </w:rPr>
      </w:pPr>
      <w:r>
        <w:rPr>
          <w:rFonts w:hint="eastAsia"/>
          <w:b w:val="0"/>
          <w:bCs/>
          <w:color w:val="auto"/>
          <w:sz w:val="21"/>
          <w:szCs w:val="21"/>
          <w:highlight w:val="none"/>
        </w:rPr>
        <w:t>18.2分部工程验收</w:t>
      </w:r>
    </w:p>
    <w:p>
      <w:pPr>
        <w:spacing w:line="380" w:lineRule="exact"/>
        <w:ind w:firstLine="420"/>
        <w:rPr>
          <w:rFonts w:hint="eastAsia"/>
          <w:b w:val="0"/>
          <w:bCs/>
          <w:color w:val="auto"/>
          <w:sz w:val="21"/>
          <w:szCs w:val="21"/>
          <w:highlight w:val="none"/>
        </w:rPr>
      </w:pPr>
      <w:r>
        <w:rPr>
          <w:rFonts w:hint="eastAsia"/>
          <w:b w:val="0"/>
          <w:bCs/>
          <w:color w:val="auto"/>
          <w:sz w:val="21"/>
          <w:szCs w:val="21"/>
          <w:highlight w:val="none"/>
        </w:rPr>
        <w:t>18.2.2本工程由监理人主持的分部工程验收在监理合同中约定，其余由发包人主持。</w:t>
      </w:r>
    </w:p>
    <w:p>
      <w:pPr>
        <w:spacing w:line="380" w:lineRule="exact"/>
        <w:ind w:firstLine="420"/>
        <w:rPr>
          <w:rFonts w:hint="default"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18.2.3本工程涉及到管网试水、试压、冲洗、消毒，验收等均需通知运营维护单位参加并签字认可。</w:t>
      </w:r>
    </w:p>
    <w:p>
      <w:pPr>
        <w:spacing w:line="380" w:lineRule="exact"/>
        <w:rPr>
          <w:b w:val="0"/>
          <w:bCs/>
          <w:color w:val="auto"/>
          <w:sz w:val="21"/>
          <w:szCs w:val="21"/>
          <w:highlight w:val="none"/>
        </w:rPr>
      </w:pPr>
      <w:r>
        <w:rPr>
          <w:rFonts w:hint="eastAsia"/>
          <w:b w:val="0"/>
          <w:bCs/>
          <w:color w:val="auto"/>
          <w:sz w:val="21"/>
          <w:szCs w:val="21"/>
          <w:highlight w:val="none"/>
        </w:rPr>
        <w:t>18.3单位工程验收</w:t>
      </w:r>
    </w:p>
    <w:p>
      <w:pPr>
        <w:spacing w:line="380" w:lineRule="exact"/>
        <w:rPr>
          <w:b w:val="0"/>
          <w:bCs/>
          <w:color w:val="auto"/>
          <w:sz w:val="21"/>
          <w:szCs w:val="21"/>
          <w:highlight w:val="none"/>
        </w:rPr>
      </w:pPr>
      <w:r>
        <w:rPr>
          <w:rFonts w:hint="eastAsia"/>
          <w:b w:val="0"/>
          <w:bCs/>
          <w:color w:val="auto"/>
          <w:sz w:val="21"/>
          <w:szCs w:val="21"/>
          <w:highlight w:val="none"/>
        </w:rPr>
        <w:t xml:space="preserve">    18.3.4提前投入使用的单位工程包括</w:t>
      </w:r>
      <w:r>
        <w:rPr>
          <w:rFonts w:hint="eastAsia" w:ascii="宋体" w:eastAsia="宋体"/>
          <w:b w:val="0"/>
          <w:bCs/>
          <w:color w:val="auto"/>
          <w:sz w:val="21"/>
          <w:szCs w:val="21"/>
          <w:highlight w:val="none"/>
          <w:lang w:val="en-US" w:eastAsia="zh-CN"/>
        </w:rPr>
        <w:t>:</w:t>
      </w:r>
      <w:r>
        <w:rPr>
          <w:rFonts w:hint="eastAsia" w:ascii="宋体" w:eastAsia="宋体"/>
          <w:b w:val="0"/>
          <w:bCs/>
          <w:color w:val="auto"/>
          <w:sz w:val="21"/>
          <w:szCs w:val="21"/>
          <w:highlight w:val="none"/>
          <w:u w:val="none"/>
          <w:lang w:val="en-US" w:eastAsia="zh-CN"/>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p>
    <w:p>
      <w:pPr>
        <w:spacing w:line="380" w:lineRule="exact"/>
        <w:rPr>
          <w:b w:val="0"/>
          <w:bCs/>
          <w:color w:val="auto"/>
          <w:sz w:val="21"/>
          <w:szCs w:val="21"/>
          <w:highlight w:val="none"/>
        </w:rPr>
      </w:pPr>
      <w:r>
        <w:rPr>
          <w:rFonts w:hint="eastAsia"/>
          <w:b w:val="0"/>
          <w:bCs/>
          <w:color w:val="auto"/>
          <w:sz w:val="21"/>
          <w:szCs w:val="21"/>
          <w:highlight w:val="none"/>
        </w:rPr>
        <w:t>18.5阶段验收</w:t>
      </w:r>
    </w:p>
    <w:p>
      <w:pPr>
        <w:spacing w:line="380" w:lineRule="exact"/>
        <w:rPr>
          <w:b w:val="0"/>
          <w:bCs/>
          <w:color w:val="auto"/>
          <w:sz w:val="21"/>
          <w:szCs w:val="21"/>
          <w:highlight w:val="none"/>
        </w:rPr>
      </w:pPr>
      <w:r>
        <w:rPr>
          <w:rFonts w:hint="eastAsia"/>
          <w:b w:val="0"/>
          <w:bCs/>
          <w:color w:val="auto"/>
          <w:sz w:val="21"/>
          <w:szCs w:val="21"/>
          <w:highlight w:val="none"/>
        </w:rPr>
        <w:t xml:space="preserve">    18.5.1本合同工程阶段验收类别包括：</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p>
    <w:p>
      <w:pPr>
        <w:spacing w:line="380" w:lineRule="exact"/>
        <w:rPr>
          <w:b w:val="0"/>
          <w:bCs/>
          <w:color w:val="auto"/>
          <w:sz w:val="21"/>
          <w:szCs w:val="21"/>
          <w:highlight w:val="none"/>
        </w:rPr>
      </w:pPr>
      <w:r>
        <w:rPr>
          <w:rFonts w:hint="eastAsia"/>
          <w:b w:val="0"/>
          <w:bCs/>
          <w:color w:val="auto"/>
          <w:sz w:val="21"/>
          <w:szCs w:val="21"/>
          <w:highlight w:val="none"/>
        </w:rPr>
        <w:t>18.6专项验收</w:t>
      </w:r>
    </w:p>
    <w:p>
      <w:pPr>
        <w:spacing w:line="380" w:lineRule="exact"/>
        <w:rPr>
          <w:b w:val="0"/>
          <w:bCs/>
          <w:color w:val="auto"/>
          <w:sz w:val="21"/>
          <w:szCs w:val="21"/>
          <w:highlight w:val="none"/>
        </w:rPr>
      </w:pPr>
      <w:r>
        <w:rPr>
          <w:rFonts w:hint="eastAsia"/>
          <w:b w:val="0"/>
          <w:bCs/>
          <w:color w:val="auto"/>
          <w:sz w:val="21"/>
          <w:szCs w:val="21"/>
          <w:highlight w:val="none"/>
        </w:rPr>
        <w:t xml:space="preserve">    18.6.2本合同工程专项验收类别包括：</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p>
    <w:p>
      <w:pPr>
        <w:spacing w:line="380" w:lineRule="exact"/>
        <w:rPr>
          <w:b w:val="0"/>
          <w:bCs/>
          <w:color w:val="auto"/>
          <w:sz w:val="21"/>
          <w:szCs w:val="21"/>
          <w:highlight w:val="none"/>
        </w:rPr>
      </w:pPr>
      <w:r>
        <w:rPr>
          <w:rFonts w:hint="eastAsia"/>
          <w:b w:val="0"/>
          <w:bCs/>
          <w:color w:val="auto"/>
          <w:sz w:val="21"/>
          <w:szCs w:val="21"/>
          <w:highlight w:val="none"/>
        </w:rPr>
        <w:t>18.7竣（完）工验收</w:t>
      </w:r>
    </w:p>
    <w:p>
      <w:pPr>
        <w:spacing w:line="380" w:lineRule="exact"/>
        <w:rPr>
          <w:b w:val="0"/>
          <w:bCs/>
          <w:color w:val="auto"/>
          <w:sz w:val="21"/>
          <w:szCs w:val="21"/>
          <w:highlight w:val="none"/>
        </w:rPr>
      </w:pPr>
      <w:r>
        <w:rPr>
          <w:rFonts w:hint="eastAsia"/>
          <w:b w:val="0"/>
          <w:bCs/>
          <w:color w:val="auto"/>
          <w:sz w:val="21"/>
          <w:szCs w:val="21"/>
          <w:highlight w:val="none"/>
        </w:rPr>
        <w:t xml:space="preserve">    18.7.3本工程 （需要、不需要）竣（完）工验收技术鉴定（蓄水安全鉴定）。</w:t>
      </w:r>
    </w:p>
    <w:p>
      <w:pPr>
        <w:spacing w:line="380" w:lineRule="exact"/>
        <w:rPr>
          <w:b w:val="0"/>
          <w:bCs/>
          <w:color w:val="auto"/>
          <w:sz w:val="21"/>
          <w:szCs w:val="21"/>
          <w:highlight w:val="none"/>
        </w:rPr>
      </w:pPr>
      <w:r>
        <w:rPr>
          <w:rFonts w:hint="eastAsia"/>
          <w:b w:val="0"/>
          <w:bCs/>
          <w:color w:val="auto"/>
          <w:sz w:val="21"/>
          <w:szCs w:val="21"/>
          <w:highlight w:val="none"/>
        </w:rPr>
        <w:t>18.8施工期运行</w:t>
      </w:r>
    </w:p>
    <w:p>
      <w:pPr>
        <w:spacing w:line="380" w:lineRule="exact"/>
        <w:ind w:firstLine="480"/>
        <w:rPr>
          <w:b w:val="0"/>
          <w:bCs/>
          <w:color w:val="auto"/>
          <w:sz w:val="21"/>
          <w:szCs w:val="21"/>
          <w:highlight w:val="none"/>
        </w:rPr>
      </w:pPr>
      <w:r>
        <w:rPr>
          <w:rFonts w:hint="eastAsia"/>
          <w:b w:val="0"/>
          <w:bCs/>
          <w:color w:val="auto"/>
          <w:sz w:val="21"/>
          <w:szCs w:val="21"/>
          <w:highlight w:val="none"/>
        </w:rPr>
        <w:t>18.8.1需要在施工期运行的单位工程或工程设备为：</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eastAsia="宋体"/>
          <w:b w:val="0"/>
          <w:bCs/>
          <w:color w:val="auto"/>
          <w:sz w:val="21"/>
          <w:szCs w:val="21"/>
          <w:highlight w:val="none"/>
          <w:lang w:eastAsia="zh-CN"/>
        </w:rPr>
        <w:t>、</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w:t>
      </w:r>
    </w:p>
    <w:p>
      <w:pPr>
        <w:spacing w:line="400" w:lineRule="exact"/>
        <w:rPr>
          <w:b w:val="0"/>
          <w:bCs/>
          <w:color w:val="auto"/>
          <w:sz w:val="21"/>
          <w:szCs w:val="21"/>
          <w:highlight w:val="none"/>
        </w:rPr>
      </w:pPr>
      <w:r>
        <w:rPr>
          <w:rFonts w:hint="eastAsia"/>
          <w:b w:val="0"/>
          <w:bCs/>
          <w:color w:val="auto"/>
          <w:sz w:val="21"/>
          <w:szCs w:val="21"/>
          <w:highlight w:val="none"/>
        </w:rPr>
        <w:t>18.9试运行</w:t>
      </w:r>
    </w:p>
    <w:p>
      <w:pPr>
        <w:spacing w:line="400" w:lineRule="exact"/>
        <w:rPr>
          <w:b w:val="0"/>
          <w:bCs/>
          <w:color w:val="auto"/>
          <w:sz w:val="21"/>
          <w:szCs w:val="21"/>
          <w:highlight w:val="none"/>
        </w:rPr>
      </w:pPr>
      <w:r>
        <w:rPr>
          <w:rFonts w:hint="eastAsia"/>
          <w:b w:val="0"/>
          <w:bCs/>
          <w:color w:val="auto"/>
          <w:sz w:val="21"/>
          <w:szCs w:val="21"/>
          <w:highlight w:val="none"/>
        </w:rPr>
        <w:t xml:space="preserve">    18.9.1试运行的组织：</w:t>
      </w:r>
      <w:r>
        <w:rPr>
          <w:rFonts w:hint="eastAsia" w:ascii="宋体" w:eastAsia="宋体"/>
          <w:b w:val="0"/>
          <w:bCs/>
          <w:color w:val="auto"/>
          <w:sz w:val="21"/>
          <w:szCs w:val="21"/>
          <w:highlight w:val="none"/>
          <w:u w:val="single"/>
          <w:lang w:val="en-US" w:eastAsia="zh-CN"/>
        </w:rPr>
        <w:t xml:space="preserve">                  </w:t>
      </w:r>
      <w:r>
        <w:rPr>
          <w:rFonts w:hint="eastAsia"/>
          <w:b w:val="0"/>
          <w:bCs/>
          <w:color w:val="auto"/>
          <w:sz w:val="21"/>
          <w:szCs w:val="21"/>
          <w:highlight w:val="none"/>
        </w:rPr>
        <w:t xml:space="preserve"> ；费用承担 。</w:t>
      </w:r>
    </w:p>
    <w:p>
      <w:pPr>
        <w:spacing w:line="400" w:lineRule="exact"/>
        <w:rPr>
          <w:b w:val="0"/>
          <w:bCs/>
          <w:color w:val="auto"/>
          <w:sz w:val="21"/>
          <w:szCs w:val="21"/>
          <w:highlight w:val="none"/>
        </w:rPr>
      </w:pPr>
      <w:r>
        <w:rPr>
          <w:rFonts w:hint="eastAsia"/>
          <w:b w:val="0"/>
          <w:bCs/>
          <w:color w:val="auto"/>
          <w:sz w:val="21"/>
          <w:szCs w:val="21"/>
          <w:highlight w:val="none"/>
        </w:rPr>
        <w:t>19 缺陷责任与保修责任</w:t>
      </w:r>
    </w:p>
    <w:p>
      <w:pPr>
        <w:spacing w:line="400" w:lineRule="exact"/>
        <w:rPr>
          <w:b w:val="0"/>
          <w:bCs/>
          <w:color w:val="auto"/>
          <w:sz w:val="21"/>
          <w:szCs w:val="21"/>
          <w:highlight w:val="none"/>
        </w:rPr>
      </w:pPr>
      <w:r>
        <w:rPr>
          <w:rFonts w:hint="eastAsia"/>
          <w:b w:val="0"/>
          <w:bCs/>
          <w:color w:val="auto"/>
          <w:sz w:val="21"/>
          <w:szCs w:val="21"/>
          <w:highlight w:val="none"/>
        </w:rPr>
        <w:t>19.1缺陷责任期（工程质量保修期）的起算时间</w:t>
      </w:r>
    </w:p>
    <w:p>
      <w:pPr>
        <w:spacing w:line="400" w:lineRule="exact"/>
        <w:rPr>
          <w:b w:val="0"/>
          <w:bCs/>
          <w:color w:val="auto"/>
          <w:sz w:val="21"/>
          <w:szCs w:val="21"/>
          <w:highlight w:val="none"/>
        </w:rPr>
      </w:pPr>
      <w:r>
        <w:rPr>
          <w:rFonts w:hint="eastAsia"/>
          <w:b w:val="0"/>
          <w:bCs/>
          <w:color w:val="auto"/>
          <w:sz w:val="21"/>
          <w:szCs w:val="21"/>
          <w:highlight w:val="none"/>
        </w:rPr>
        <w:t xml:space="preserve">    本工程缺陷责任期（工程质量保修期）为</w:t>
      </w:r>
      <w:r>
        <w:rPr>
          <w:rFonts w:hint="eastAsia"/>
          <w:b w:val="0"/>
          <w:bCs/>
          <w:color w:val="auto"/>
          <w:sz w:val="21"/>
          <w:szCs w:val="21"/>
          <w:highlight w:val="none"/>
          <w:u w:val="single"/>
        </w:rPr>
        <w:t xml:space="preserve">  </w:t>
      </w:r>
      <w:r>
        <w:rPr>
          <w:rFonts w:hint="eastAsia"/>
          <w:b w:val="0"/>
          <w:bCs/>
          <w:color w:val="auto"/>
          <w:sz w:val="21"/>
          <w:szCs w:val="21"/>
          <w:highlight w:val="none"/>
          <w:u w:val="single"/>
          <w:lang w:val="en-US" w:eastAsia="zh-CN"/>
        </w:rPr>
        <w:t>1</w:t>
      </w:r>
      <w:r>
        <w:rPr>
          <w:rFonts w:hint="eastAsia"/>
          <w:b w:val="0"/>
          <w:bCs/>
          <w:color w:val="auto"/>
          <w:sz w:val="21"/>
          <w:szCs w:val="21"/>
          <w:highlight w:val="none"/>
          <w:u w:val="single"/>
        </w:rPr>
        <w:t xml:space="preserve">  </w:t>
      </w:r>
      <w:r>
        <w:rPr>
          <w:rFonts w:hint="eastAsia"/>
          <w:b w:val="0"/>
          <w:bCs/>
          <w:color w:val="auto"/>
          <w:sz w:val="21"/>
          <w:szCs w:val="21"/>
          <w:highlight w:val="none"/>
        </w:rPr>
        <w:t xml:space="preserve"> 年。</w:t>
      </w:r>
    </w:p>
    <w:p>
      <w:pPr>
        <w:spacing w:line="400" w:lineRule="exact"/>
        <w:rPr>
          <w:b w:val="0"/>
          <w:bCs/>
          <w:color w:val="auto"/>
          <w:sz w:val="21"/>
          <w:szCs w:val="21"/>
          <w:highlight w:val="none"/>
        </w:rPr>
      </w:pPr>
      <w:r>
        <w:rPr>
          <w:rFonts w:hint="eastAsia"/>
          <w:b w:val="0"/>
          <w:bCs/>
          <w:color w:val="auto"/>
          <w:sz w:val="21"/>
          <w:szCs w:val="21"/>
          <w:highlight w:val="none"/>
        </w:rPr>
        <w:t>20 保险</w:t>
      </w:r>
    </w:p>
    <w:p>
      <w:pPr>
        <w:spacing w:line="400" w:lineRule="exact"/>
        <w:rPr>
          <w:b w:val="0"/>
          <w:bCs/>
          <w:color w:val="auto"/>
          <w:sz w:val="21"/>
          <w:szCs w:val="21"/>
          <w:highlight w:val="none"/>
        </w:rPr>
      </w:pPr>
      <w:r>
        <w:rPr>
          <w:rFonts w:hint="eastAsia"/>
          <w:b w:val="0"/>
          <w:bCs/>
          <w:color w:val="auto"/>
          <w:sz w:val="21"/>
          <w:szCs w:val="21"/>
          <w:highlight w:val="none"/>
        </w:rPr>
        <w:t>20.1工程保险</w:t>
      </w:r>
    </w:p>
    <w:p>
      <w:pPr>
        <w:spacing w:line="400" w:lineRule="exact"/>
        <w:ind w:firstLine="420" w:firstLineChars="200"/>
        <w:rPr>
          <w:b w:val="0"/>
          <w:bCs/>
          <w:snapToGrid w:val="0"/>
          <w:color w:val="auto"/>
          <w:spacing w:val="-7"/>
          <w:sz w:val="21"/>
          <w:szCs w:val="21"/>
          <w:highlight w:val="none"/>
        </w:rPr>
      </w:pPr>
      <w:r>
        <w:rPr>
          <w:rFonts w:hint="eastAsia"/>
          <w:b w:val="0"/>
          <w:bCs/>
          <w:snapToGrid w:val="0"/>
          <w:color w:val="auto"/>
          <w:sz w:val="21"/>
          <w:szCs w:val="21"/>
          <w:highlight w:val="none"/>
        </w:rPr>
        <w:t>建筑工程一切险投保人：</w:t>
      </w:r>
      <w:r>
        <w:rPr>
          <w:rFonts w:hint="eastAsia"/>
          <w:b w:val="0"/>
          <w:bCs/>
          <w:color w:val="auto"/>
          <w:spacing w:val="-7"/>
          <w:sz w:val="21"/>
          <w:szCs w:val="21"/>
          <w:highlight w:val="none"/>
          <w:u w:val="single"/>
        </w:rPr>
        <w:t>由承包人投保，费用列入投标文件；发包人凭保单支付保费</w:t>
      </w:r>
      <w:r>
        <w:rPr>
          <w:rFonts w:hint="eastAsia"/>
          <w:b w:val="0"/>
          <w:bCs/>
          <w:snapToGrid w:val="0"/>
          <w:color w:val="auto"/>
          <w:spacing w:val="-7"/>
          <w:sz w:val="21"/>
          <w:szCs w:val="21"/>
          <w:highlight w:val="none"/>
        </w:rPr>
        <w:t>；</w:t>
      </w:r>
    </w:p>
    <w:p>
      <w:pPr>
        <w:spacing w:line="400" w:lineRule="exact"/>
        <w:ind w:firstLine="420" w:firstLineChars="200"/>
        <w:rPr>
          <w:b w:val="0"/>
          <w:bCs/>
          <w:snapToGrid w:val="0"/>
          <w:color w:val="auto"/>
          <w:sz w:val="21"/>
          <w:szCs w:val="21"/>
          <w:highlight w:val="none"/>
        </w:rPr>
      </w:pPr>
      <w:r>
        <w:rPr>
          <w:rFonts w:hint="eastAsia"/>
          <w:b w:val="0"/>
          <w:bCs/>
          <w:snapToGrid w:val="0"/>
          <w:color w:val="auto"/>
          <w:sz w:val="21"/>
          <w:szCs w:val="21"/>
          <w:highlight w:val="none"/>
        </w:rPr>
        <w:t>投保内容：</w:t>
      </w:r>
      <w:r>
        <w:rPr>
          <w:rFonts w:hint="eastAsia"/>
          <w:b w:val="0"/>
          <w:bCs/>
          <w:color w:val="auto"/>
          <w:sz w:val="21"/>
          <w:szCs w:val="21"/>
          <w:highlight w:val="none"/>
          <w:u w:val="single"/>
        </w:rPr>
        <w:t>本合同工程</w:t>
      </w:r>
      <w:r>
        <w:rPr>
          <w:b w:val="0"/>
          <w:bCs/>
          <w:color w:val="auto"/>
          <w:sz w:val="21"/>
          <w:szCs w:val="21"/>
          <w:highlight w:val="none"/>
          <w:u w:val="single"/>
        </w:rPr>
        <w:t>在</w:t>
      </w:r>
      <w:r>
        <w:rPr>
          <w:rFonts w:hint="eastAsia"/>
          <w:b w:val="0"/>
          <w:bCs/>
          <w:color w:val="auto"/>
          <w:sz w:val="21"/>
          <w:szCs w:val="21"/>
          <w:highlight w:val="none"/>
          <w:u w:val="single"/>
        </w:rPr>
        <w:t>建安工程施工</w:t>
      </w:r>
      <w:r>
        <w:rPr>
          <w:b w:val="0"/>
          <w:bCs/>
          <w:color w:val="auto"/>
          <w:sz w:val="21"/>
          <w:szCs w:val="21"/>
          <w:highlight w:val="none"/>
          <w:u w:val="single"/>
        </w:rPr>
        <w:t>过程中，因自然灾害或意外事故而引起一切损失</w:t>
      </w:r>
      <w:r>
        <w:rPr>
          <w:rFonts w:hint="eastAsia"/>
          <w:b w:val="0"/>
          <w:bCs/>
          <w:color w:val="auto"/>
          <w:sz w:val="21"/>
          <w:szCs w:val="21"/>
          <w:highlight w:val="none"/>
          <w:u w:val="single"/>
        </w:rPr>
        <w:t>等</w:t>
      </w:r>
      <w:r>
        <w:rPr>
          <w:rFonts w:hint="eastAsia"/>
          <w:b w:val="0"/>
          <w:bCs/>
          <w:snapToGrid w:val="0"/>
          <w:color w:val="auto"/>
          <w:sz w:val="21"/>
          <w:szCs w:val="21"/>
          <w:highlight w:val="none"/>
        </w:rPr>
        <w:t>；</w:t>
      </w:r>
    </w:p>
    <w:p>
      <w:pPr>
        <w:spacing w:line="400" w:lineRule="exact"/>
        <w:ind w:firstLine="420" w:firstLineChars="200"/>
        <w:rPr>
          <w:b w:val="0"/>
          <w:bCs/>
          <w:color w:val="auto"/>
          <w:sz w:val="21"/>
          <w:szCs w:val="21"/>
          <w:highlight w:val="none"/>
        </w:rPr>
      </w:pPr>
      <w:r>
        <w:rPr>
          <w:rFonts w:hint="eastAsia"/>
          <w:b w:val="0"/>
          <w:bCs/>
          <w:snapToGrid w:val="0"/>
          <w:color w:val="auto"/>
          <w:sz w:val="21"/>
          <w:szCs w:val="21"/>
          <w:highlight w:val="none"/>
        </w:rPr>
        <w:t>保险金额、保险费率和保险期限：</w:t>
      </w:r>
      <w:r>
        <w:rPr>
          <w:b w:val="0"/>
          <w:bCs/>
          <w:color w:val="auto"/>
          <w:sz w:val="21"/>
          <w:szCs w:val="21"/>
          <w:highlight w:val="none"/>
          <w:u w:val="single"/>
        </w:rPr>
        <w:t>按投保内容自行考虑报价，保险期限：开工日起直至本合同工程签发缺陷责任终止证书止（即合同工期＋缺陷责任期）</w:t>
      </w:r>
      <w:r>
        <w:rPr>
          <w:rFonts w:hint="eastAsia"/>
          <w:b w:val="0"/>
          <w:bCs/>
          <w:snapToGrid w:val="0"/>
          <w:color w:val="auto"/>
          <w:sz w:val="21"/>
          <w:szCs w:val="21"/>
          <w:highlight w:val="none"/>
        </w:rPr>
        <w:t>。</w:t>
      </w:r>
    </w:p>
    <w:p>
      <w:pPr>
        <w:spacing w:line="400" w:lineRule="exact"/>
        <w:rPr>
          <w:b w:val="0"/>
          <w:bCs/>
          <w:color w:val="auto"/>
          <w:sz w:val="21"/>
          <w:szCs w:val="21"/>
          <w:highlight w:val="none"/>
        </w:rPr>
      </w:pPr>
      <w:r>
        <w:rPr>
          <w:rFonts w:hint="eastAsia"/>
          <w:b w:val="0"/>
          <w:bCs/>
          <w:color w:val="auto"/>
          <w:sz w:val="21"/>
          <w:szCs w:val="21"/>
          <w:highlight w:val="none"/>
        </w:rPr>
        <w:t>20.4第三者责任险</w:t>
      </w:r>
    </w:p>
    <w:p>
      <w:pPr>
        <w:spacing w:line="400" w:lineRule="exact"/>
        <w:rPr>
          <w:b w:val="0"/>
          <w:bCs/>
          <w:color w:val="auto"/>
          <w:sz w:val="21"/>
          <w:szCs w:val="21"/>
          <w:highlight w:val="none"/>
        </w:rPr>
      </w:pPr>
      <w:r>
        <w:rPr>
          <w:rFonts w:hint="eastAsia"/>
          <w:b w:val="0"/>
          <w:bCs/>
          <w:color w:val="auto"/>
          <w:sz w:val="21"/>
          <w:szCs w:val="21"/>
          <w:highlight w:val="none"/>
        </w:rPr>
        <w:t xml:space="preserve">    20.4.2第三者责任险的投保金额和保险费率由</w:t>
      </w:r>
      <w:r>
        <w:rPr>
          <w:rFonts w:hint="eastAsia"/>
          <w:b w:val="0"/>
          <w:bCs/>
          <w:color w:val="auto"/>
          <w:sz w:val="21"/>
          <w:szCs w:val="21"/>
          <w:highlight w:val="none"/>
          <w:u w:val="single"/>
        </w:rPr>
        <w:t xml:space="preserve"> 承包人 </w:t>
      </w:r>
      <w:r>
        <w:rPr>
          <w:rFonts w:hint="eastAsia"/>
          <w:b w:val="0"/>
          <w:bCs/>
          <w:color w:val="auto"/>
          <w:sz w:val="21"/>
          <w:szCs w:val="21"/>
          <w:highlight w:val="none"/>
        </w:rPr>
        <w:t>自行报价确定（必须填报），列《工程量清单》的其它费用。</w:t>
      </w:r>
    </w:p>
    <w:p>
      <w:pPr>
        <w:spacing w:line="400" w:lineRule="exact"/>
        <w:rPr>
          <w:b w:val="0"/>
          <w:bCs/>
          <w:color w:val="auto"/>
          <w:sz w:val="21"/>
          <w:szCs w:val="21"/>
          <w:highlight w:val="none"/>
        </w:rPr>
      </w:pPr>
      <w:r>
        <w:rPr>
          <w:rFonts w:hint="eastAsia"/>
          <w:b w:val="0"/>
          <w:bCs/>
          <w:color w:val="auto"/>
          <w:sz w:val="21"/>
          <w:szCs w:val="21"/>
          <w:highlight w:val="none"/>
        </w:rPr>
        <w:t>20.5其他保险</w:t>
      </w:r>
    </w:p>
    <w:p>
      <w:pPr>
        <w:spacing w:line="400" w:lineRule="exact"/>
        <w:rPr>
          <w:b w:val="0"/>
          <w:bCs/>
          <w:color w:val="auto"/>
          <w:sz w:val="21"/>
          <w:szCs w:val="21"/>
          <w:highlight w:val="none"/>
        </w:rPr>
      </w:pPr>
      <w:r>
        <w:rPr>
          <w:rFonts w:hint="eastAsia"/>
          <w:b w:val="0"/>
          <w:bCs/>
          <w:color w:val="auto"/>
          <w:sz w:val="21"/>
          <w:szCs w:val="21"/>
          <w:highlight w:val="none"/>
        </w:rPr>
        <w:t xml:space="preserve">    需要投保的其他内容：</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w:t>
      </w:r>
    </w:p>
    <w:p>
      <w:pPr>
        <w:spacing w:line="400" w:lineRule="exact"/>
        <w:rPr>
          <w:b w:val="0"/>
          <w:bCs/>
          <w:color w:val="auto"/>
          <w:sz w:val="21"/>
          <w:szCs w:val="21"/>
          <w:highlight w:val="none"/>
        </w:rPr>
      </w:pPr>
      <w:r>
        <w:rPr>
          <w:rFonts w:hint="eastAsia"/>
          <w:b w:val="0"/>
          <w:bCs/>
          <w:color w:val="auto"/>
          <w:sz w:val="21"/>
          <w:szCs w:val="21"/>
          <w:highlight w:val="none"/>
        </w:rPr>
        <w:t xml:space="preserve">    保险金额、保险费率和保险期限：</w:t>
      </w:r>
      <w:r>
        <w:rPr>
          <w:rFonts w:hint="eastAsia"/>
          <w:b w:val="0"/>
          <w:bCs/>
          <w:color w:val="auto"/>
          <w:sz w:val="21"/>
          <w:szCs w:val="21"/>
          <w:highlight w:val="none"/>
          <w:u w:val="single"/>
        </w:rPr>
        <w:t xml:space="preserve">  /  </w:t>
      </w:r>
      <w:r>
        <w:rPr>
          <w:rFonts w:hint="eastAsia"/>
          <w:b w:val="0"/>
          <w:bCs/>
          <w:color w:val="auto"/>
          <w:sz w:val="21"/>
          <w:szCs w:val="21"/>
          <w:highlight w:val="none"/>
        </w:rPr>
        <w:t xml:space="preserve"> 。</w:t>
      </w:r>
    </w:p>
    <w:p>
      <w:pPr>
        <w:spacing w:line="400" w:lineRule="exact"/>
        <w:rPr>
          <w:b w:val="0"/>
          <w:bCs/>
          <w:color w:val="auto"/>
          <w:sz w:val="21"/>
          <w:szCs w:val="21"/>
          <w:highlight w:val="none"/>
        </w:rPr>
      </w:pPr>
      <w:r>
        <w:rPr>
          <w:rFonts w:hint="eastAsia"/>
          <w:b w:val="0"/>
          <w:bCs/>
          <w:color w:val="auto"/>
          <w:sz w:val="21"/>
          <w:szCs w:val="21"/>
          <w:highlight w:val="none"/>
        </w:rPr>
        <w:t>20.6对各项保险的一般要求</w:t>
      </w:r>
    </w:p>
    <w:p>
      <w:pPr>
        <w:spacing w:line="400" w:lineRule="exact"/>
        <w:rPr>
          <w:b w:val="0"/>
          <w:bCs/>
          <w:color w:val="auto"/>
          <w:sz w:val="21"/>
          <w:szCs w:val="21"/>
          <w:highlight w:val="none"/>
        </w:rPr>
      </w:pPr>
      <w:r>
        <w:rPr>
          <w:rFonts w:hint="eastAsia"/>
          <w:b w:val="0"/>
          <w:bCs/>
          <w:color w:val="auto"/>
          <w:sz w:val="21"/>
          <w:szCs w:val="21"/>
          <w:highlight w:val="none"/>
        </w:rPr>
        <w:t xml:space="preserve">    20.6.1保险凭证</w:t>
      </w:r>
    </w:p>
    <w:p>
      <w:pPr>
        <w:spacing w:line="400" w:lineRule="exact"/>
        <w:rPr>
          <w:b w:val="0"/>
          <w:bCs/>
          <w:color w:val="auto"/>
          <w:sz w:val="21"/>
          <w:szCs w:val="21"/>
          <w:highlight w:val="none"/>
        </w:rPr>
      </w:pPr>
      <w:r>
        <w:rPr>
          <w:rFonts w:hint="eastAsia"/>
          <w:b w:val="0"/>
          <w:bCs/>
          <w:color w:val="auto"/>
          <w:sz w:val="21"/>
          <w:szCs w:val="21"/>
          <w:highlight w:val="none"/>
        </w:rPr>
        <w:t xml:space="preserve">    承包人提交保险凭证的期限：保险手续办理完毕后</w:t>
      </w:r>
      <w:r>
        <w:rPr>
          <w:rFonts w:hint="eastAsia"/>
          <w:b w:val="0"/>
          <w:bCs/>
          <w:color w:val="auto"/>
          <w:sz w:val="21"/>
          <w:szCs w:val="21"/>
          <w:highlight w:val="none"/>
          <w:u w:val="single"/>
        </w:rPr>
        <w:t xml:space="preserve"> 7 </w:t>
      </w:r>
      <w:r>
        <w:rPr>
          <w:rFonts w:hint="eastAsia"/>
          <w:b w:val="0"/>
          <w:bCs/>
          <w:color w:val="auto"/>
          <w:sz w:val="21"/>
          <w:szCs w:val="21"/>
          <w:highlight w:val="none"/>
        </w:rPr>
        <w:t>天内提交 ；</w:t>
      </w:r>
    </w:p>
    <w:p>
      <w:pPr>
        <w:spacing w:line="400" w:lineRule="exact"/>
        <w:rPr>
          <w:b w:val="0"/>
          <w:bCs/>
          <w:color w:val="auto"/>
          <w:sz w:val="21"/>
          <w:szCs w:val="21"/>
          <w:highlight w:val="none"/>
        </w:rPr>
      </w:pPr>
      <w:r>
        <w:rPr>
          <w:rFonts w:hint="eastAsia"/>
          <w:b w:val="0"/>
          <w:bCs/>
          <w:color w:val="auto"/>
          <w:sz w:val="21"/>
          <w:szCs w:val="21"/>
          <w:highlight w:val="none"/>
        </w:rPr>
        <w:t xml:space="preserve">    保险条件： 。</w:t>
      </w:r>
    </w:p>
    <w:p>
      <w:pPr>
        <w:spacing w:line="400" w:lineRule="exact"/>
        <w:rPr>
          <w:b w:val="0"/>
          <w:bCs/>
          <w:color w:val="auto"/>
          <w:sz w:val="21"/>
          <w:szCs w:val="21"/>
          <w:highlight w:val="none"/>
        </w:rPr>
      </w:pPr>
      <w:r>
        <w:rPr>
          <w:rFonts w:hint="eastAsia"/>
          <w:b w:val="0"/>
          <w:bCs/>
          <w:color w:val="auto"/>
          <w:sz w:val="21"/>
          <w:szCs w:val="21"/>
          <w:highlight w:val="none"/>
        </w:rPr>
        <w:t xml:space="preserve">    20.6.4保险金不足的补偿</w:t>
      </w:r>
    </w:p>
    <w:p>
      <w:pPr>
        <w:widowControl w:val="0"/>
        <w:autoSpaceDE/>
        <w:autoSpaceDN/>
        <w:spacing w:line="400" w:lineRule="exact"/>
        <w:jc w:val="left"/>
        <w:rPr>
          <w:rFonts w:ascii="宋体" w:hAnsi="Courier New" w:eastAsia="宋体" w:cs="Times New Roman"/>
          <w:b w:val="0"/>
          <w:bCs/>
          <w:color w:val="auto"/>
          <w:kern w:val="2"/>
          <w:sz w:val="21"/>
          <w:szCs w:val="21"/>
          <w:highlight w:val="none"/>
          <w:lang w:val="en-US" w:eastAsia="zh-CN" w:bidi="ar-SA"/>
        </w:rPr>
      </w:pPr>
      <w:r>
        <w:rPr>
          <w:rFonts w:hint="eastAsia" w:ascii="宋体" w:hAnsi="Courier New" w:eastAsia="宋体" w:cs="Times New Roman"/>
          <w:b w:val="0"/>
          <w:bCs/>
          <w:color w:val="auto"/>
          <w:kern w:val="2"/>
          <w:sz w:val="21"/>
          <w:szCs w:val="21"/>
          <w:highlight w:val="none"/>
          <w:lang w:val="en-US" w:eastAsia="zh-CN" w:bidi="ar-SA"/>
        </w:rPr>
        <w:t>承包人负责补偿的范围与金额：</w:t>
      </w:r>
      <w:r>
        <w:rPr>
          <w:rFonts w:hint="eastAsia" w:ascii="宋体" w:hAnsi="宋体" w:eastAsia="宋体" w:cs="Times New Roman"/>
          <w:b w:val="0"/>
          <w:bCs/>
          <w:color w:val="auto"/>
          <w:kern w:val="2"/>
          <w:sz w:val="21"/>
          <w:szCs w:val="21"/>
          <w:highlight w:val="none"/>
          <w:u w:val="single"/>
          <w:lang w:val="en-US" w:eastAsia="zh-CN" w:bidi="ar-SA"/>
        </w:rPr>
        <w:t>保险金不足的补偿均由承包人负责；</w:t>
      </w:r>
    </w:p>
    <w:p>
      <w:pPr>
        <w:widowControl w:val="0"/>
        <w:autoSpaceDE/>
        <w:autoSpaceDN/>
        <w:spacing w:line="400" w:lineRule="exact"/>
        <w:jc w:val="both"/>
        <w:rPr>
          <w:b w:val="0"/>
          <w:bCs/>
          <w:color w:val="auto"/>
          <w:sz w:val="21"/>
          <w:szCs w:val="21"/>
          <w:highlight w:val="none"/>
        </w:rPr>
      </w:pPr>
      <w:r>
        <w:rPr>
          <w:rFonts w:hint="eastAsia" w:ascii="宋体" w:hAnsi="Courier New" w:eastAsia="宋体" w:cs="Times New Roman"/>
          <w:b w:val="0"/>
          <w:bCs/>
          <w:color w:val="auto"/>
          <w:kern w:val="2"/>
          <w:sz w:val="21"/>
          <w:szCs w:val="21"/>
          <w:highlight w:val="none"/>
          <w:lang w:val="en-US" w:eastAsia="zh-CN" w:bidi="ar-SA"/>
        </w:rPr>
        <w:t xml:space="preserve">发包人负责补偿的范围与金额 </w:t>
      </w:r>
      <w:r>
        <w:rPr>
          <w:rFonts w:hint="eastAsia" w:ascii="宋体" w:hAnsi="宋体" w:eastAsia="宋体" w:cs="Times New Roman"/>
          <w:b w:val="0"/>
          <w:bCs/>
          <w:color w:val="auto"/>
          <w:kern w:val="2"/>
          <w:sz w:val="21"/>
          <w:szCs w:val="21"/>
          <w:highlight w:val="none"/>
          <w:u w:val="single"/>
          <w:lang w:val="en-US" w:eastAsia="zh-CN" w:bidi="ar-SA"/>
        </w:rPr>
        <w:t xml:space="preserve">由于本工程一切保险均由承包人负责投保，其费用均列入报价，故发包人不承担保险金不足的补偿  </w:t>
      </w:r>
      <w:r>
        <w:rPr>
          <w:rFonts w:hint="eastAsia" w:ascii="宋体" w:hAnsi="Courier New" w:eastAsia="宋体" w:cs="Times New Roman"/>
          <w:b w:val="0"/>
          <w:bCs/>
          <w:color w:val="auto"/>
          <w:kern w:val="2"/>
          <w:sz w:val="21"/>
          <w:szCs w:val="21"/>
          <w:highlight w:val="none"/>
          <w:lang w:val="en-US" w:eastAsia="zh-CN" w:bidi="ar-SA"/>
        </w:rPr>
        <w:t>。</w:t>
      </w:r>
    </w:p>
    <w:p>
      <w:pPr>
        <w:spacing w:line="400" w:lineRule="exact"/>
        <w:rPr>
          <w:b w:val="0"/>
          <w:bCs/>
          <w:color w:val="auto"/>
          <w:sz w:val="21"/>
          <w:szCs w:val="21"/>
          <w:highlight w:val="none"/>
        </w:rPr>
      </w:pPr>
      <w:r>
        <w:rPr>
          <w:rFonts w:hint="eastAsia"/>
          <w:b w:val="0"/>
          <w:bCs/>
          <w:color w:val="auto"/>
          <w:sz w:val="21"/>
          <w:szCs w:val="21"/>
          <w:highlight w:val="none"/>
        </w:rPr>
        <w:t>24 争议的解决</w:t>
      </w:r>
    </w:p>
    <w:p>
      <w:pPr>
        <w:spacing w:line="400" w:lineRule="exact"/>
        <w:rPr>
          <w:b w:val="0"/>
          <w:bCs/>
          <w:color w:val="auto"/>
          <w:sz w:val="21"/>
          <w:szCs w:val="21"/>
          <w:highlight w:val="none"/>
        </w:rPr>
      </w:pPr>
      <w:r>
        <w:rPr>
          <w:rFonts w:hint="eastAsia"/>
          <w:b w:val="0"/>
          <w:bCs/>
          <w:color w:val="auto"/>
          <w:sz w:val="21"/>
          <w:szCs w:val="21"/>
          <w:highlight w:val="none"/>
        </w:rPr>
        <w:t xml:space="preserve">    合同当事人友好协商解决不成、不愿提请争议评审或不接受争议评审组意见的，约定的合同争议解决方式：向</w:t>
      </w:r>
      <w:r>
        <w:rPr>
          <w:rFonts w:hint="eastAsia"/>
          <w:b w:val="0"/>
          <w:bCs/>
          <w:color w:val="auto"/>
          <w:sz w:val="21"/>
          <w:szCs w:val="21"/>
          <w:highlight w:val="none"/>
          <w:u w:val="single"/>
        </w:rPr>
        <w:t xml:space="preserve">  杭州市临安区   </w:t>
      </w:r>
      <w:r>
        <w:rPr>
          <w:rFonts w:hint="eastAsia"/>
          <w:b w:val="0"/>
          <w:bCs/>
          <w:color w:val="auto"/>
          <w:sz w:val="21"/>
          <w:szCs w:val="21"/>
          <w:highlight w:val="none"/>
        </w:rPr>
        <w:t xml:space="preserve">人民法院提起诉讼。 </w:t>
      </w:r>
    </w:p>
    <w:p>
      <w:pPr>
        <w:spacing w:line="400" w:lineRule="exact"/>
        <w:rPr>
          <w:b w:val="0"/>
          <w:bCs/>
          <w:color w:val="auto"/>
          <w:sz w:val="21"/>
          <w:szCs w:val="21"/>
          <w:highlight w:val="none"/>
        </w:rPr>
      </w:pPr>
      <w:r>
        <w:rPr>
          <w:rFonts w:hint="eastAsia"/>
          <w:b w:val="0"/>
          <w:bCs/>
          <w:color w:val="auto"/>
          <w:sz w:val="21"/>
          <w:szCs w:val="21"/>
          <w:highlight w:val="none"/>
        </w:rPr>
        <w:t xml:space="preserve">24.2 友好解决 </w:t>
      </w:r>
    </w:p>
    <w:p>
      <w:pPr>
        <w:spacing w:line="400" w:lineRule="exact"/>
        <w:ind w:firstLine="480"/>
        <w:rPr>
          <w:b w:val="0"/>
          <w:bCs/>
          <w:color w:val="auto"/>
          <w:sz w:val="21"/>
          <w:szCs w:val="21"/>
          <w:highlight w:val="none"/>
        </w:rPr>
      </w:pPr>
      <w:r>
        <w:rPr>
          <w:rFonts w:hint="eastAsia"/>
          <w:b w:val="0"/>
          <w:bCs/>
          <w:color w:val="auto"/>
          <w:sz w:val="21"/>
          <w:szCs w:val="21"/>
          <w:highlight w:val="none"/>
        </w:rPr>
        <w:t xml:space="preserve">补充：1）合同当事人可以就争议请第三方或区水行政主管部门进行调解，调解达成协议的，经双方签字并盖章后作为合同补充文件，双方均应遵照执行。 </w:t>
      </w:r>
    </w:p>
    <w:p>
      <w:pPr>
        <w:spacing w:line="400" w:lineRule="exact"/>
        <w:rPr>
          <w:b w:val="0"/>
          <w:bCs/>
          <w:color w:val="auto"/>
          <w:sz w:val="21"/>
          <w:szCs w:val="21"/>
          <w:highlight w:val="none"/>
        </w:rPr>
      </w:pPr>
      <w:r>
        <w:rPr>
          <w:rFonts w:hint="eastAsia"/>
          <w:b w:val="0"/>
          <w:bCs/>
          <w:color w:val="auto"/>
          <w:sz w:val="21"/>
          <w:szCs w:val="21"/>
          <w:highlight w:val="none"/>
        </w:rPr>
        <w:t xml:space="preserve">24.3 争议评审 </w:t>
      </w:r>
    </w:p>
    <w:p>
      <w:pPr>
        <w:spacing w:line="400" w:lineRule="exact"/>
        <w:rPr>
          <w:b w:val="0"/>
          <w:bCs/>
          <w:color w:val="auto"/>
          <w:sz w:val="21"/>
          <w:szCs w:val="21"/>
          <w:highlight w:val="none"/>
        </w:rPr>
      </w:pPr>
      <w:r>
        <w:rPr>
          <w:rFonts w:hint="eastAsia"/>
          <w:b w:val="0"/>
          <w:bCs/>
          <w:color w:val="auto"/>
          <w:sz w:val="21"/>
          <w:szCs w:val="21"/>
          <w:highlight w:val="none"/>
        </w:rPr>
        <w:t xml:space="preserve">    24.3.7补充：发包人或承包人不接受评审意见，可请区水行政主管部门进行调解。 </w:t>
      </w:r>
    </w:p>
    <w:p>
      <w:pPr>
        <w:tabs>
          <w:tab w:val="left" w:pos="1123"/>
        </w:tabs>
        <w:spacing w:before="54"/>
        <w:jc w:val="center"/>
        <w:rPr>
          <w:b w:val="0"/>
          <w:bCs/>
          <w:color w:val="auto"/>
          <w:sz w:val="21"/>
          <w:szCs w:val="21"/>
          <w:highlight w:val="none"/>
        </w:rPr>
      </w:pPr>
      <w:bookmarkStart w:id="404" w:name="1__一般约定"/>
      <w:bookmarkEnd w:id="404"/>
    </w:p>
    <w:p>
      <w:pPr>
        <w:pStyle w:val="8"/>
        <w:rPr>
          <w:b w:val="0"/>
          <w:bCs/>
          <w:color w:val="auto"/>
          <w:sz w:val="21"/>
          <w:szCs w:val="21"/>
          <w:highlight w:val="none"/>
        </w:rPr>
        <w:sectPr>
          <w:footerReference r:id="rId8" w:type="default"/>
          <w:pgSz w:w="11906" w:h="16838"/>
          <w:pgMar w:top="1440" w:right="1080" w:bottom="1440" w:left="1080" w:header="0" w:footer="720" w:gutter="0"/>
          <w:cols w:space="720" w:num="1"/>
        </w:sectPr>
      </w:pPr>
      <w:r>
        <w:rPr>
          <w:rFonts w:hint="eastAsia" w:ascii="宋体" w:hAnsi="宋体" w:eastAsia="宋体" w:cs="宋体"/>
          <w:b w:val="0"/>
          <w:bCs/>
          <w:color w:val="auto"/>
          <w:kern w:val="0"/>
          <w:sz w:val="21"/>
          <w:szCs w:val="21"/>
          <w:highlight w:val="none"/>
          <w:lang w:val="zh-CN" w:eastAsia="zh-CN" w:bidi="zh-CN"/>
        </w:rPr>
        <w:t>发包人保留在合同签订前完善合同条款的权利。</w:t>
      </w:r>
    </w:p>
    <w:p>
      <w:pPr>
        <w:rPr>
          <w:rFonts w:ascii="宋体" w:hAnsi="宋体"/>
          <w:snapToGrid w:val="0"/>
          <w:kern w:val="0"/>
          <w:szCs w:val="21"/>
        </w:rPr>
      </w:pPr>
    </w:p>
    <w:p>
      <w:pPr>
        <w:spacing w:before="162" w:line="440" w:lineRule="exact"/>
        <w:ind w:firstLine="480"/>
        <w:rPr>
          <w:rFonts w:ascii="宋体" w:hAnsi="宋体"/>
          <w:b/>
          <w:bCs/>
          <w:sz w:val="24"/>
        </w:rPr>
      </w:pPr>
      <w:bookmarkStart w:id="405" w:name="_Toc249091536"/>
      <w:bookmarkStart w:id="406" w:name="_Toc534620509"/>
      <w:r>
        <w:rPr>
          <w:rFonts w:hint="eastAsia" w:ascii="宋体" w:hAnsi="宋体"/>
          <w:b/>
          <w:bCs/>
          <w:sz w:val="24"/>
        </w:rPr>
        <w:t>附件1:</w:t>
      </w:r>
    </w:p>
    <w:bookmarkEnd w:id="405"/>
    <w:bookmarkEnd w:id="406"/>
    <w:p>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407"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07"/>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408" w:name="SOA_zyht_zlbxcbr"/>
      <w:r>
        <w:rPr>
          <w:rFonts w:ascii="宋体" w:hAnsi="宋体"/>
          <w:snapToGrid w:val="0"/>
          <w:kern w:val="0"/>
          <w:szCs w:val="21"/>
          <w:u w:val="single"/>
        </w:rPr>
        <w:t xml:space="preserve"> </w:t>
      </w:r>
      <w:bookmarkEnd w:id="408"/>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409"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409"/>
      <w:r>
        <w:rPr>
          <w:rFonts w:ascii="宋体" w:hAnsi="宋体"/>
          <w:snapToGrid w:val="0"/>
          <w:kern w:val="0"/>
          <w:szCs w:val="21"/>
          <w:u w:val="single"/>
        </w:rPr>
        <w:t xml:space="preserve">   </w:t>
      </w:r>
      <w:r>
        <w:rPr>
          <w:rFonts w:ascii="宋体" w:hAnsi="宋体"/>
          <w:snapToGrid w:val="0"/>
          <w:kern w:val="0"/>
          <w:szCs w:val="21"/>
        </w:rPr>
        <w:t>（工程全称）签订工程质量保修书。</w:t>
      </w:r>
    </w:p>
    <w:p>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410"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410"/>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pPr>
        <w:adjustRightInd/>
        <w:spacing w:line="288" w:lineRule="auto"/>
        <w:rPr>
          <w:rFonts w:ascii="宋体" w:hAnsi="宋体"/>
          <w:snapToGrid w:val="0"/>
          <w:kern w:val="0"/>
          <w:szCs w:val="21"/>
        </w:rPr>
      </w:pPr>
      <w:r>
        <w:rPr>
          <w:rFonts w:ascii="宋体" w:hAnsi="宋体"/>
          <w:snapToGrid w:val="0"/>
          <w:kern w:val="0"/>
          <w:szCs w:val="21"/>
        </w:rPr>
        <w:t>二、质量保修期</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411" w:name="SOA_zyht_azbxnx"/>
      <w:r>
        <w:rPr>
          <w:rFonts w:ascii="宋体" w:hAnsi="宋体"/>
          <w:snapToGrid w:val="0"/>
          <w:kern w:val="0"/>
          <w:szCs w:val="21"/>
          <w:u w:val="single"/>
        </w:rPr>
        <w:t xml:space="preserve"> </w:t>
      </w:r>
      <w:bookmarkEnd w:id="411"/>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412"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412"/>
      <w:r>
        <w:rPr>
          <w:rFonts w:ascii="宋体" w:hAnsi="宋体"/>
          <w:snapToGrid w:val="0"/>
          <w:kern w:val="0"/>
          <w:szCs w:val="21"/>
        </w:rPr>
        <w:t>个采暖期、供冷期；</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color w:val="auto"/>
          <w:kern w:val="0"/>
          <w:szCs w:val="21"/>
        </w:rPr>
        <w:t>：</w:t>
      </w:r>
      <w:r>
        <w:rPr>
          <w:rFonts w:hint="eastAsia" w:ascii="宋体" w:hAnsi="宋体"/>
          <w:snapToGrid w:val="0"/>
          <w:color w:val="auto"/>
          <w:kern w:val="0"/>
          <w:szCs w:val="21"/>
          <w:u w:val="single"/>
          <w:lang w:val="en-US" w:eastAsia="zh-CN"/>
        </w:rPr>
        <w:t>本项目质量保修期为1年</w:t>
      </w:r>
      <w:r>
        <w:rPr>
          <w:rFonts w:ascii="宋体" w:hAnsi="宋体"/>
          <w:snapToGrid w:val="0"/>
          <w:color w:val="auto"/>
          <w:kern w:val="0"/>
          <w:szCs w:val="21"/>
        </w:rPr>
        <w:t>。</w:t>
      </w:r>
    </w:p>
    <w:p>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pPr>
        <w:adjustRightInd/>
        <w:spacing w:line="288" w:lineRule="auto"/>
        <w:rPr>
          <w:rFonts w:ascii="宋体" w:hAnsi="宋体"/>
          <w:snapToGrid w:val="0"/>
          <w:kern w:val="0"/>
          <w:szCs w:val="21"/>
        </w:rPr>
      </w:pPr>
      <w:r>
        <w:rPr>
          <w:rFonts w:ascii="宋体" w:hAnsi="宋体"/>
          <w:snapToGrid w:val="0"/>
          <w:kern w:val="0"/>
          <w:szCs w:val="21"/>
        </w:rPr>
        <w:t>三、缺陷责任期</w:t>
      </w:r>
    </w:p>
    <w:p>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413" w:name="SOA_zyht_gcqxq"/>
      <w:r>
        <w:rPr>
          <w:rFonts w:ascii="宋体" w:hAnsi="宋体"/>
          <w:snapToGrid w:val="0"/>
          <w:kern w:val="0"/>
          <w:szCs w:val="21"/>
          <w:u w:val="single"/>
        </w:rPr>
        <w:t xml:space="preserve">  </w:t>
      </w:r>
      <w:r>
        <w:rPr>
          <w:rFonts w:hint="eastAsia" w:ascii="宋体" w:hAnsi="宋体"/>
          <w:snapToGrid w:val="0"/>
          <w:color w:val="FF0000"/>
          <w:kern w:val="0"/>
          <w:szCs w:val="21"/>
          <w:u w:val="single"/>
          <w:lang w:val="en-US" w:eastAsia="zh-CN"/>
        </w:rPr>
        <w:t>12</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13"/>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pPr>
        <w:adjustRightInd/>
        <w:spacing w:line="288" w:lineRule="auto"/>
        <w:rPr>
          <w:rFonts w:ascii="宋体" w:hAnsi="宋体"/>
          <w:snapToGrid w:val="0"/>
          <w:kern w:val="0"/>
          <w:szCs w:val="21"/>
        </w:rPr>
      </w:pPr>
      <w:r>
        <w:rPr>
          <w:rFonts w:ascii="宋体" w:hAnsi="宋体"/>
          <w:snapToGrid w:val="0"/>
          <w:kern w:val="0"/>
          <w:szCs w:val="21"/>
        </w:rPr>
        <w:t>四、质量保修责任</w:t>
      </w:r>
    </w:p>
    <w:p>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pPr>
        <w:adjustRightInd/>
        <w:spacing w:line="300" w:lineRule="auto"/>
        <w:rPr>
          <w:rFonts w:ascii="宋体" w:hAnsi="宋体"/>
          <w:snapToGrid w:val="0"/>
          <w:kern w:val="0"/>
          <w:szCs w:val="21"/>
        </w:rPr>
      </w:pPr>
      <w:r>
        <w:rPr>
          <w:rFonts w:ascii="宋体" w:hAnsi="宋体"/>
          <w:snapToGrid w:val="0"/>
          <w:kern w:val="0"/>
          <w:szCs w:val="21"/>
        </w:rPr>
        <w:t>五、保修费用</w:t>
      </w:r>
    </w:p>
    <w:p>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414"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1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415"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15"/>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416"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16"/>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417" w:name="SOA_zyht_cbrdz"/>
      <w:r>
        <w:rPr>
          <w:rFonts w:ascii="宋体" w:hAnsi="宋体"/>
          <w:snapToGrid w:val="0"/>
          <w:kern w:val="0"/>
          <w:szCs w:val="21"/>
          <w:u w:val="single"/>
        </w:rPr>
        <w:t xml:space="preserve">      </w:t>
      </w:r>
      <w:bookmarkEnd w:id="417"/>
      <w:r>
        <w:rPr>
          <w:rFonts w:ascii="宋体" w:hAnsi="宋体"/>
          <w:snapToGrid w:val="0"/>
          <w:kern w:val="0"/>
          <w:szCs w:val="21"/>
          <w:u w:val="single"/>
        </w:rPr>
        <w:t></w:t>
      </w:r>
    </w:p>
    <w:p>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418" w:name="SOA_zyht_fddbr1"/>
      <w:r>
        <w:rPr>
          <w:rFonts w:ascii="宋体" w:hAnsi="宋体"/>
          <w:snapToGrid w:val="0"/>
          <w:kern w:val="0"/>
          <w:szCs w:val="21"/>
          <w:u w:val="single"/>
        </w:rPr>
        <w:t xml:space="preserve">      </w:t>
      </w:r>
      <w:bookmarkEnd w:id="418"/>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419" w:name="SOA_zyht_fddbr2"/>
      <w:r>
        <w:rPr>
          <w:rFonts w:ascii="宋体" w:hAnsi="宋体"/>
          <w:snapToGrid w:val="0"/>
          <w:kern w:val="0"/>
          <w:szCs w:val="21"/>
          <w:u w:val="single"/>
        </w:rPr>
        <w:t xml:space="preserve">      </w:t>
      </w:r>
      <w:bookmarkEnd w:id="419"/>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420" w:name="SOA_zyht_wtdlr1"/>
      <w:r>
        <w:rPr>
          <w:rFonts w:ascii="宋体" w:hAnsi="宋体"/>
          <w:snapToGrid w:val="0"/>
          <w:kern w:val="0"/>
          <w:szCs w:val="21"/>
          <w:u w:val="single"/>
        </w:rPr>
        <w:t xml:space="preserve">      </w:t>
      </w:r>
      <w:bookmarkEnd w:id="420"/>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421" w:name="SOA_zyht_wtdlr2"/>
      <w:r>
        <w:rPr>
          <w:rFonts w:ascii="宋体" w:hAnsi="宋体"/>
          <w:snapToGrid w:val="0"/>
          <w:kern w:val="0"/>
          <w:szCs w:val="21"/>
          <w:u w:val="single"/>
        </w:rPr>
        <w:t xml:space="preserve">      </w:t>
      </w:r>
      <w:bookmarkEnd w:id="421"/>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422" w:name="SOA_zyht_fbrdh1"/>
      <w:r>
        <w:rPr>
          <w:rFonts w:ascii="宋体" w:hAnsi="宋体"/>
          <w:snapToGrid w:val="0"/>
          <w:kern w:val="0"/>
          <w:szCs w:val="21"/>
          <w:u w:val="single"/>
        </w:rPr>
        <w:t xml:space="preserve">      </w:t>
      </w:r>
      <w:bookmarkEnd w:id="422"/>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423" w:name="SOA_zyht_cbrdh"/>
      <w:r>
        <w:rPr>
          <w:rFonts w:ascii="宋体" w:hAnsi="宋体"/>
          <w:snapToGrid w:val="0"/>
          <w:kern w:val="0"/>
          <w:szCs w:val="21"/>
          <w:u w:val="single"/>
        </w:rPr>
        <w:t xml:space="preserve">      </w:t>
      </w:r>
      <w:bookmarkEnd w:id="423"/>
      <w:r>
        <w:rPr>
          <w:rFonts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424" w:name="SOA_zyht_fbrcz"/>
      <w:r>
        <w:rPr>
          <w:rFonts w:ascii="宋体" w:hAnsi="宋体"/>
          <w:snapToGrid w:val="0"/>
          <w:kern w:val="0"/>
          <w:szCs w:val="21"/>
          <w:u w:val="single"/>
        </w:rPr>
        <w:t xml:space="preserve">      </w:t>
      </w:r>
      <w:bookmarkEnd w:id="424"/>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425" w:name="SOA_zyht_cbrcz"/>
      <w:r>
        <w:rPr>
          <w:rFonts w:ascii="宋体" w:hAnsi="宋体"/>
          <w:snapToGrid w:val="0"/>
          <w:kern w:val="0"/>
          <w:szCs w:val="21"/>
          <w:u w:val="single"/>
        </w:rPr>
        <w:t xml:space="preserve">      </w:t>
      </w:r>
      <w:bookmarkEnd w:id="425"/>
      <w:r>
        <w:rPr>
          <w:rFonts w:ascii="宋体" w:hAnsi="宋体"/>
          <w:snapToGrid w:val="0"/>
          <w:kern w:val="0"/>
          <w:szCs w:val="21"/>
          <w:u w:val="single"/>
        </w:rPr>
        <w:t></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开户银行：</w:t>
      </w:r>
      <w:bookmarkStart w:id="426" w:name="SOA_zyht_fbrkhyh"/>
      <w:r>
        <w:rPr>
          <w:rFonts w:ascii="宋体" w:hAnsi="宋体"/>
          <w:snapToGrid w:val="0"/>
          <w:kern w:val="0"/>
          <w:szCs w:val="21"/>
          <w:u w:val="single"/>
        </w:rPr>
        <w:t xml:space="preserve">      </w:t>
      </w:r>
      <w:bookmarkEnd w:id="42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427" w:name="SOA_zyht_cbrkhyh"/>
      <w:r>
        <w:rPr>
          <w:rFonts w:ascii="宋体" w:hAnsi="宋体"/>
          <w:snapToGrid w:val="0"/>
          <w:kern w:val="0"/>
          <w:szCs w:val="21"/>
          <w:u w:val="single"/>
        </w:rPr>
        <w:t xml:space="preserve">      </w:t>
      </w:r>
      <w:bookmarkEnd w:id="427"/>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428" w:name="SOA_zyht_fbrzh"/>
      <w:r>
        <w:rPr>
          <w:rFonts w:ascii="宋体" w:hAnsi="宋体"/>
          <w:snapToGrid w:val="0"/>
          <w:kern w:val="0"/>
          <w:szCs w:val="21"/>
          <w:u w:val="single"/>
        </w:rPr>
        <w:t xml:space="preserve">      </w:t>
      </w:r>
      <w:bookmarkEnd w:id="428"/>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429" w:name="SOA_zyht_cbrzh"/>
      <w:r>
        <w:rPr>
          <w:rFonts w:ascii="宋体" w:hAnsi="宋体"/>
          <w:snapToGrid w:val="0"/>
          <w:kern w:val="0"/>
          <w:szCs w:val="21"/>
          <w:u w:val="single"/>
        </w:rPr>
        <w:t xml:space="preserve">      </w:t>
      </w:r>
      <w:bookmarkEnd w:id="429"/>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430" w:name="SOA_zyht_fbryb"/>
      <w:r>
        <w:rPr>
          <w:rFonts w:ascii="宋体" w:hAnsi="宋体"/>
          <w:snapToGrid w:val="0"/>
          <w:kern w:val="0"/>
          <w:szCs w:val="21"/>
          <w:u w:val="single"/>
        </w:rPr>
        <w:t xml:space="preserve">      </w:t>
      </w:r>
      <w:bookmarkEnd w:id="430"/>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431" w:name="SOA_zyht_cbryb"/>
      <w:r>
        <w:rPr>
          <w:rFonts w:ascii="宋体" w:hAnsi="宋体"/>
          <w:snapToGrid w:val="0"/>
          <w:kern w:val="0"/>
          <w:szCs w:val="21"/>
          <w:u w:val="single"/>
        </w:rPr>
        <w:t xml:space="preserve">     </w:t>
      </w:r>
      <w:bookmarkEnd w:id="431"/>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pPr>
        <w:spacing w:line="480" w:lineRule="auto"/>
        <w:jc w:val="center"/>
        <w:rPr>
          <w:rFonts w:ascii="宋体" w:hAnsi="宋体" w:cs="宋体"/>
          <w:b/>
          <w:sz w:val="28"/>
          <w:szCs w:val="28"/>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9" w:type="first"/>
          <w:footerReference r:id="rId11" w:type="first"/>
          <w:footerReference r:id="rId10"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杭州市临安区水利水电局、华诚工程咨询集团有限公司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w:t>
      </w:r>
      <w:r>
        <w:rPr>
          <w:rFonts w:hint="eastAsia" w:ascii="宋体" w:hAnsi="宋体" w:cs="宋体"/>
          <w:sz w:val="24"/>
          <w:lang w:eastAsia="zh-CN"/>
        </w:rPr>
        <w:t>本项目</w:t>
      </w:r>
      <w:r>
        <w:rPr>
          <w:rFonts w:hint="eastAsia" w:ascii="宋体" w:hAnsi="宋体" w:cs="宋体"/>
          <w:sz w:val="24"/>
        </w:rPr>
        <w:t>专门面向中小企业，工程全部由符合政策要求的中小企业（或小微企业）承建，提供相应的中小企业声明函（附件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6"/>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lang w:eastAsia="zh-CN"/>
        </w:rPr>
        <w:t>杭州市临安区水利水电局、华诚工程咨询集团有限公司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z w:val="24"/>
          <w:lang w:eastAsia="zh-CN"/>
        </w:rPr>
        <w:t>本项目无需提供</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z w:val="24"/>
          <w:lang w:eastAsia="zh-CN"/>
        </w:rPr>
        <w:t>本项目无需提供</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r>
        <w:rPr>
          <w:rFonts w:hint="eastAsia" w:ascii="宋体" w:hAnsi="宋体" w:cs="宋体"/>
          <w:sz w:val="24"/>
          <w:lang w:eastAsia="zh-CN"/>
        </w:rPr>
        <w:t>（本项目无需提供）</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杭州市临安区水利水电局、华诚工程咨询集团有限公司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杭州市临安区水利水电局、华诚工程咨询集团有限公司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pStyle w:val="44"/>
        <w:rPr>
          <w:rFonts w:hint="eastAsia" w:ascii="宋体" w:hAnsi="宋体" w:cs="宋体"/>
          <w:kern w:val="0"/>
          <w:sz w:val="24"/>
          <w:lang w:val="zh-CN"/>
        </w:rPr>
      </w:pPr>
    </w:p>
    <w:p>
      <w:pPr>
        <w:rPr>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32"/>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6"/>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杭州市临安区水利水电局、华诚工程咨询集团有限公司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lang w:eastAsia="zh-CN"/>
        </w:rPr>
        <w:t>杭州市临安区水利水电局、华诚工程咨询集团有限公司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杭州市临安区水涛庄水库坝顶设施提升改造工程</w:t>
      </w:r>
      <w:r>
        <w:rPr>
          <w:rFonts w:hint="eastAsia" w:ascii="宋体" w:hAnsi="宋体" w:cs="宋体"/>
          <w:kern w:val="0"/>
          <w:sz w:val="24"/>
          <w:lang w:val="zh-CN"/>
        </w:rPr>
        <w:t>【项目编号：</w:t>
      </w:r>
      <w:r>
        <w:rPr>
          <w:rFonts w:hint="eastAsia" w:ascii="宋体" w:hAnsi="宋体" w:cs="宋体"/>
          <w:sz w:val="24"/>
          <w:lang w:eastAsia="zh-CN"/>
        </w:rPr>
        <w:t>临[2023]783号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kern w:val="0"/>
          <w:sz w:val="24"/>
          <w:lang w:val="zh-CN"/>
        </w:rPr>
        <w:t>1、供应商需按</w:t>
      </w:r>
      <w:r>
        <w:rPr>
          <w:rFonts w:hint="eastAsia" w:ascii="宋体" w:hAnsi="宋体" w:cs="宋体"/>
          <w:color w:val="000000" w:themeColor="text1"/>
          <w:kern w:val="0"/>
          <w:sz w:val="24"/>
          <w:lang w:val="zh-CN"/>
          <w14:textFill>
            <w14:solidFill>
              <w14:schemeClr w14:val="tx1"/>
            </w14:solidFill>
          </w14:textFill>
        </w:rPr>
        <w:t>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；本项目报总价即可</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最终结算时按照</w:t>
      </w: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人提供的工程预算书，结合投标人的投标下浮率进行结算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投标下浮率=（</w:t>
      </w:r>
      <w:r>
        <w:rPr>
          <w:rFonts w:hint="eastAsia" w:ascii="宋体" w:hAnsi="宋体" w:cs="宋体"/>
          <w:color w:val="000000" w:themeColor="text1"/>
          <w:sz w:val="24"/>
          <w:highlight w:val="none"/>
          <w:lang w:eastAsia="zh-CN"/>
          <w14:textFill>
            <w14:solidFill>
              <w14:schemeClr w14:val="tx1"/>
            </w14:solidFill>
          </w14:textFill>
        </w:rPr>
        <w:t>预算价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最终报价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预算价</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3、特别提示：采购代理机构将对项目名称和项目编号，成交供应商名称、地址和成交金额、施工范围、施工工期、项目经理、执业证书信息、品牌（如果有）、规格型号、数量等予以公示。</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33" w:name="_Hlk101259491"/>
      <w:r>
        <w:rPr>
          <w:rFonts w:hint="eastAsia" w:ascii="宋体" w:hAnsi="宋体" w:eastAsia="宋体" w:cs="宋体"/>
          <w:sz w:val="32"/>
          <w:szCs w:val="32"/>
        </w:rPr>
        <w:t>（如果有）</w:t>
      </w:r>
      <w:bookmarkEnd w:id="433"/>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34" w:name="_Toc465665161"/>
      <w:r>
        <w:rPr>
          <w:rFonts w:hint="eastAsia" w:ascii="宋体" w:hAnsi="宋体" w:cs="宋体"/>
        </w:rPr>
        <w:t>附件</w:t>
      </w:r>
      <w:bookmarkEnd w:id="43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35" w:name="OLE_LINK14"/>
      <w:bookmarkStart w:id="436" w:name="OLE_LINK13"/>
      <w:r>
        <w:rPr>
          <w:rFonts w:hint="eastAsia" w:ascii="宋体" w:hAnsi="宋体" w:cs="宋体"/>
          <w:b/>
          <w:spacing w:val="6"/>
          <w:sz w:val="32"/>
          <w:szCs w:val="32"/>
        </w:rPr>
        <w:t>残疾人福利性单位声明函</w:t>
      </w:r>
    </w:p>
    <w:bookmarkEnd w:id="435"/>
    <w:bookmarkEnd w:id="43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杭州市临安区水利水电局、华诚工程咨询集团有限公司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杭州市临安区水涛庄水库坝顶设施提升改造工程</w:t>
      </w:r>
      <w:r>
        <w:rPr>
          <w:rFonts w:hint="eastAsia" w:ascii="宋体" w:hAnsi="宋体" w:cs="宋体"/>
          <w:sz w:val="24"/>
        </w:rPr>
        <w:t>项目【项目编号：</w:t>
      </w:r>
      <w:r>
        <w:rPr>
          <w:rFonts w:hint="eastAsia" w:ascii="宋体" w:hAnsi="宋体" w:cs="宋体"/>
          <w:sz w:val="24"/>
          <w:lang w:eastAsia="zh-CN"/>
        </w:rPr>
        <w:t>临[2023]783号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7"/>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杭州市临安区水涛庄水库坝顶设施提升改造工程</w:t>
      </w:r>
      <w:r>
        <w:rPr>
          <w:rFonts w:hint="eastAsia" w:ascii="宋体" w:hAnsi="宋体" w:cs="宋体"/>
          <w:sz w:val="24"/>
        </w:rPr>
        <w:t>【项目编号：</w:t>
      </w:r>
      <w:r>
        <w:rPr>
          <w:rFonts w:hint="eastAsia" w:ascii="宋体" w:hAnsi="宋体" w:cs="宋体"/>
          <w:sz w:val="24"/>
          <w:lang w:eastAsia="zh-CN"/>
        </w:rPr>
        <w:t>临[2023]783号</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本公司（联合体）郑重声明，根据《政</w:t>
      </w:r>
      <w:r>
        <w:rPr>
          <w:rFonts w:hint="eastAsia" w:ascii="宋体" w:hAnsi="宋体" w:cs="宋体"/>
          <w:sz w:val="24"/>
          <w:highlight w:val="none"/>
        </w:rPr>
        <w:t xml:space="preserve">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杭州市临安区水涛庄水库坝顶设施提升改造工程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lang w:eastAsia="zh-CN"/>
        </w:rPr>
        <w:t>杭州市临安区水涛庄水库坝顶设施提升改造工程</w:t>
      </w:r>
      <w:r>
        <w:rPr>
          <w:rFonts w:hint="eastAsia" w:ascii="宋体" w:hAnsi="宋体" w:cs="宋体"/>
          <w:sz w:val="24"/>
          <w:u w:val="single"/>
        </w:rPr>
        <w:t>，</w:t>
      </w:r>
      <w:r>
        <w:rPr>
          <w:rFonts w:hint="eastAsia" w:ascii="宋体" w:hAnsi="宋体" w:cs="宋体"/>
          <w:sz w:val="24"/>
          <w:u w:val="none"/>
        </w:rPr>
        <w:t>属于</w:t>
      </w:r>
      <w:r>
        <w:rPr>
          <w:rFonts w:hint="eastAsia" w:ascii="宋体" w:hAnsi="宋体" w:cs="宋体"/>
          <w:sz w:val="24"/>
          <w:u w:val="single"/>
        </w:rPr>
        <w:t>建筑业</w:t>
      </w:r>
      <w:r>
        <w:rPr>
          <w:rFonts w:hint="eastAsia" w:ascii="宋体" w:hAnsi="宋体" w:cs="宋体"/>
          <w:sz w:val="24"/>
          <w:u w:val="none"/>
        </w:rPr>
        <w:t>行业</w:t>
      </w:r>
      <w:r>
        <w:rPr>
          <w:rFonts w:hint="eastAsia" w:ascii="宋体" w:hAnsi="宋体" w:cs="宋体"/>
          <w:sz w:val="24"/>
          <w:lang w:eastAsia="zh-CN"/>
        </w:rPr>
        <w:t>，</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auto"/>
          <w:sz w:val="24"/>
          <w:highlight w:val="none"/>
        </w:rPr>
        <w:t>”的指引，逐一填写，不得缺漏；②从业人员、营业收入、资产总额填报上一年度数据，无上一年度数</w:t>
      </w:r>
      <w:r>
        <w:rPr>
          <w:rFonts w:hint="eastAsia" w:ascii="宋体" w:hAnsi="宋体" w:cs="宋体"/>
          <w:color w:val="auto"/>
          <w:sz w:val="24"/>
        </w:rPr>
        <w:t>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附件8：工程量清单</w:t>
      </w:r>
      <w:r>
        <w:rPr>
          <w:rFonts w:hint="eastAsia" w:ascii="宋体" w:hAnsi="宋体" w:cs="宋体"/>
          <w:b/>
          <w:spacing w:val="6"/>
          <w:sz w:val="32"/>
          <w:szCs w:val="32"/>
          <w:highlight w:val="none"/>
          <w:lang w:eastAsia="zh-CN"/>
        </w:rPr>
        <w:t>、主要材料品牌参照表</w:t>
      </w:r>
      <w:r>
        <w:rPr>
          <w:rFonts w:hint="eastAsia" w:ascii="宋体" w:hAnsi="宋体" w:cs="宋体"/>
          <w:b/>
          <w:spacing w:val="6"/>
          <w:sz w:val="32"/>
          <w:szCs w:val="32"/>
          <w:highlight w:val="none"/>
        </w:rPr>
        <w:t>（另附）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7"/>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439" w:name="_Toc164085800"/>
    <w:bookmarkStart w:id="440" w:name="_Toc91899912"/>
    <w:bookmarkStart w:id="441" w:name="_Toc36110187"/>
    <w:bookmarkStart w:id="442" w:name="_Toc131845147"/>
    <w:r>
      <w:rPr>
        <w:rFonts w:hint="eastAsia" w:ascii="仿宋_GB2312" w:eastAsia="仿宋_GB2312"/>
        <w:kern w:val="0"/>
        <w:szCs w:val="21"/>
      </w:rPr>
      <w:t xml:space="preserve"> 页</w:t>
    </w:r>
    <w:bookmarkEnd w:id="439"/>
    <w:bookmarkEnd w:id="440"/>
    <w:bookmarkEnd w:id="441"/>
    <w:bookmarkEnd w:id="4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3"/>
      </w:rPr>
    </w:pPr>
    <w:r>
      <w:fldChar w:fldCharType="begin"/>
    </w:r>
    <w:r>
      <w:rPr>
        <w:rStyle w:val="73"/>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Nft8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WHJmhaEXv/z8cfn15/L7O6MY&#10;CdR7rKju3lNlHN65gYrnOFIw8R7aYNKXGDHKk7znq7wwRCbTpfVqvS4pJSk3O4RfPFz3AeN7cIYl&#10;o+aB3i/LKk4fMY6lc0nqZt2d0jq/obb/BAhzjEBegul2YjJOnKw47IeJ3t41Z2LX0yLU3NLec6Y/&#10;WNI57cxshNnYz8bRB3XoaNBlnhL97THSSHnS1GGEJYbJoRfMXKdtSyvy2M9VD3/Y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NNft80BAACpAwAADgAAAAAAAAABACAAAAAe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NmY4NDBlNzU5OWVhYWU2ODUzNDkxZjI4MzI2M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473"/>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9E"/>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BAF"/>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13726A"/>
    <w:rsid w:val="025F0711"/>
    <w:rsid w:val="026B2E25"/>
    <w:rsid w:val="02824D4D"/>
    <w:rsid w:val="02DC4B10"/>
    <w:rsid w:val="02DD76CE"/>
    <w:rsid w:val="02F36323"/>
    <w:rsid w:val="02F5619C"/>
    <w:rsid w:val="0326446A"/>
    <w:rsid w:val="032D5555"/>
    <w:rsid w:val="036634D2"/>
    <w:rsid w:val="03D16DB5"/>
    <w:rsid w:val="03DD35E4"/>
    <w:rsid w:val="03F040A4"/>
    <w:rsid w:val="04076900"/>
    <w:rsid w:val="041A5A3B"/>
    <w:rsid w:val="042311BA"/>
    <w:rsid w:val="042B157A"/>
    <w:rsid w:val="048F763B"/>
    <w:rsid w:val="049F02BB"/>
    <w:rsid w:val="049F330E"/>
    <w:rsid w:val="04AA775C"/>
    <w:rsid w:val="04AF1889"/>
    <w:rsid w:val="04BE5FB8"/>
    <w:rsid w:val="04C64E6C"/>
    <w:rsid w:val="04D511A1"/>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F26CBC"/>
    <w:rsid w:val="0B30404E"/>
    <w:rsid w:val="0B4C6C14"/>
    <w:rsid w:val="0B547599"/>
    <w:rsid w:val="0B631A88"/>
    <w:rsid w:val="0B683D45"/>
    <w:rsid w:val="0B7F3F11"/>
    <w:rsid w:val="0B884417"/>
    <w:rsid w:val="0BDC31C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A1988"/>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60E6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D94D16"/>
    <w:rsid w:val="19932372"/>
    <w:rsid w:val="19953B2C"/>
    <w:rsid w:val="19A20DD5"/>
    <w:rsid w:val="19AE03F1"/>
    <w:rsid w:val="1A071A03"/>
    <w:rsid w:val="1A1F16AE"/>
    <w:rsid w:val="1A3B5C77"/>
    <w:rsid w:val="1A984BAD"/>
    <w:rsid w:val="1AA00CD1"/>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951428"/>
    <w:rsid w:val="1DB567EC"/>
    <w:rsid w:val="1DF51A98"/>
    <w:rsid w:val="1E3D060F"/>
    <w:rsid w:val="1E3F7D2E"/>
    <w:rsid w:val="1E4134E4"/>
    <w:rsid w:val="1E5062B3"/>
    <w:rsid w:val="1E523514"/>
    <w:rsid w:val="1E714A66"/>
    <w:rsid w:val="1E802593"/>
    <w:rsid w:val="1E8B6156"/>
    <w:rsid w:val="1EA703CC"/>
    <w:rsid w:val="1EB7330C"/>
    <w:rsid w:val="1F027B09"/>
    <w:rsid w:val="1F0A0FF3"/>
    <w:rsid w:val="1F5771FF"/>
    <w:rsid w:val="1F8E17BA"/>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D5481"/>
    <w:rsid w:val="233500BF"/>
    <w:rsid w:val="23377FF7"/>
    <w:rsid w:val="236B425F"/>
    <w:rsid w:val="23836192"/>
    <w:rsid w:val="23901F29"/>
    <w:rsid w:val="239C0061"/>
    <w:rsid w:val="23B908A4"/>
    <w:rsid w:val="23E95BEF"/>
    <w:rsid w:val="23FD0064"/>
    <w:rsid w:val="241408AC"/>
    <w:rsid w:val="245375B0"/>
    <w:rsid w:val="24642C0A"/>
    <w:rsid w:val="2483361A"/>
    <w:rsid w:val="24B22173"/>
    <w:rsid w:val="24B95AD9"/>
    <w:rsid w:val="24BE24DA"/>
    <w:rsid w:val="24CF5825"/>
    <w:rsid w:val="24D663E6"/>
    <w:rsid w:val="24D77F2B"/>
    <w:rsid w:val="258B00E2"/>
    <w:rsid w:val="25A917A6"/>
    <w:rsid w:val="25BE27CC"/>
    <w:rsid w:val="25F74A5C"/>
    <w:rsid w:val="2628662C"/>
    <w:rsid w:val="262D45DE"/>
    <w:rsid w:val="265A5E2F"/>
    <w:rsid w:val="26871DC8"/>
    <w:rsid w:val="26A53EF9"/>
    <w:rsid w:val="26A94201"/>
    <w:rsid w:val="26AC274F"/>
    <w:rsid w:val="26BC3E4A"/>
    <w:rsid w:val="27044A29"/>
    <w:rsid w:val="271D34C8"/>
    <w:rsid w:val="276142BF"/>
    <w:rsid w:val="27783712"/>
    <w:rsid w:val="27907362"/>
    <w:rsid w:val="28333E1D"/>
    <w:rsid w:val="28454BD6"/>
    <w:rsid w:val="28455253"/>
    <w:rsid w:val="284E568A"/>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1567F"/>
    <w:rsid w:val="2BBF00EC"/>
    <w:rsid w:val="2BC37CFD"/>
    <w:rsid w:val="2BD5237F"/>
    <w:rsid w:val="2BE536CE"/>
    <w:rsid w:val="2BE758D9"/>
    <w:rsid w:val="2C09049E"/>
    <w:rsid w:val="2C0A653C"/>
    <w:rsid w:val="2C191F85"/>
    <w:rsid w:val="2CE82D6F"/>
    <w:rsid w:val="2D343236"/>
    <w:rsid w:val="2DD15014"/>
    <w:rsid w:val="2DF72DE4"/>
    <w:rsid w:val="2E0220AF"/>
    <w:rsid w:val="2E236215"/>
    <w:rsid w:val="2E4B082A"/>
    <w:rsid w:val="2E5D4E86"/>
    <w:rsid w:val="2E5D50D9"/>
    <w:rsid w:val="2E5D790B"/>
    <w:rsid w:val="2E6D072A"/>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9660E3"/>
    <w:rsid w:val="32BE5C2C"/>
    <w:rsid w:val="32D63C1D"/>
    <w:rsid w:val="32FB6478"/>
    <w:rsid w:val="332410BB"/>
    <w:rsid w:val="33263B3F"/>
    <w:rsid w:val="33510E6D"/>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BE3BED"/>
    <w:rsid w:val="3B2349B7"/>
    <w:rsid w:val="3B616CFF"/>
    <w:rsid w:val="3B6259F6"/>
    <w:rsid w:val="3B976654"/>
    <w:rsid w:val="3BC01EFC"/>
    <w:rsid w:val="3BCA786A"/>
    <w:rsid w:val="3BCD0097"/>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93C3D"/>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A030C"/>
    <w:rsid w:val="406E1CAE"/>
    <w:rsid w:val="408C51A2"/>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9E4E72"/>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A01E86"/>
    <w:rsid w:val="49B64211"/>
    <w:rsid w:val="49D41AAC"/>
    <w:rsid w:val="49F6167F"/>
    <w:rsid w:val="4A064FA0"/>
    <w:rsid w:val="4A16615C"/>
    <w:rsid w:val="4A4424D7"/>
    <w:rsid w:val="4AB82D0F"/>
    <w:rsid w:val="4AEB7664"/>
    <w:rsid w:val="4AFD7C19"/>
    <w:rsid w:val="4B0567D1"/>
    <w:rsid w:val="4B236AAE"/>
    <w:rsid w:val="4B2F799D"/>
    <w:rsid w:val="4B547684"/>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DBC1F35"/>
    <w:rsid w:val="4E793892"/>
    <w:rsid w:val="4E800872"/>
    <w:rsid w:val="4EB26E94"/>
    <w:rsid w:val="4EC569ED"/>
    <w:rsid w:val="4ED50EA1"/>
    <w:rsid w:val="4EEC050C"/>
    <w:rsid w:val="4F104EC3"/>
    <w:rsid w:val="4F47354A"/>
    <w:rsid w:val="4F782EE7"/>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239"/>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50643"/>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87BCA"/>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60EEB"/>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3F727F4"/>
    <w:rsid w:val="64055776"/>
    <w:rsid w:val="640E71F7"/>
    <w:rsid w:val="641F5B67"/>
    <w:rsid w:val="64240056"/>
    <w:rsid w:val="643E143A"/>
    <w:rsid w:val="64491666"/>
    <w:rsid w:val="644F5218"/>
    <w:rsid w:val="648B6EEF"/>
    <w:rsid w:val="64C158BF"/>
    <w:rsid w:val="64CE2EAA"/>
    <w:rsid w:val="653C3090"/>
    <w:rsid w:val="65854376"/>
    <w:rsid w:val="658767BE"/>
    <w:rsid w:val="65892531"/>
    <w:rsid w:val="65C7178D"/>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5130C"/>
    <w:rsid w:val="68CA2805"/>
    <w:rsid w:val="68E937A3"/>
    <w:rsid w:val="68FB149A"/>
    <w:rsid w:val="693E15D3"/>
    <w:rsid w:val="69627681"/>
    <w:rsid w:val="6977531D"/>
    <w:rsid w:val="69CC2BFF"/>
    <w:rsid w:val="69FD55B8"/>
    <w:rsid w:val="6A0B1C62"/>
    <w:rsid w:val="6A2406C8"/>
    <w:rsid w:val="6A8A14F9"/>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C9D774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0F921F8"/>
    <w:rsid w:val="71360107"/>
    <w:rsid w:val="713B688E"/>
    <w:rsid w:val="7148279F"/>
    <w:rsid w:val="71D43752"/>
    <w:rsid w:val="71F1796A"/>
    <w:rsid w:val="71FB63D5"/>
    <w:rsid w:val="72154626"/>
    <w:rsid w:val="72262B5D"/>
    <w:rsid w:val="72283FF7"/>
    <w:rsid w:val="722E7212"/>
    <w:rsid w:val="723A0474"/>
    <w:rsid w:val="725923E4"/>
    <w:rsid w:val="72864BF7"/>
    <w:rsid w:val="729023FC"/>
    <w:rsid w:val="73953197"/>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21BA4"/>
    <w:rsid w:val="78A42DB0"/>
    <w:rsid w:val="78A656AB"/>
    <w:rsid w:val="78B2245C"/>
    <w:rsid w:val="78E172CC"/>
    <w:rsid w:val="78EA1D1F"/>
    <w:rsid w:val="79036DC3"/>
    <w:rsid w:val="7904172F"/>
    <w:rsid w:val="790F7E27"/>
    <w:rsid w:val="791416E3"/>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F46A2"/>
    <w:rsid w:val="7C254906"/>
    <w:rsid w:val="7C590818"/>
    <w:rsid w:val="7C7C10F6"/>
    <w:rsid w:val="7C853BEA"/>
    <w:rsid w:val="7C881368"/>
    <w:rsid w:val="7CD564F7"/>
    <w:rsid w:val="7CE27788"/>
    <w:rsid w:val="7D0C32F1"/>
    <w:rsid w:val="7D0F408D"/>
    <w:rsid w:val="7D33726F"/>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next w:val="4"/>
    <w:link w:val="380"/>
    <w:qFormat/>
    <w:uiPriority w:val="99"/>
    <w:pPr>
      <w:tabs>
        <w:tab w:val="center" w:pos="4153"/>
        <w:tab w:val="right" w:pos="8306"/>
      </w:tabs>
      <w:snapToGrid w:val="0"/>
      <w:jc w:val="left"/>
    </w:pPr>
    <w:rPr>
      <w:sz w:val="18"/>
      <w:szCs w:val="18"/>
    </w:rPr>
  </w:style>
  <w:style w:type="paragraph" w:styleId="4">
    <w:name w:val="toc 2"/>
    <w:basedOn w:val="1"/>
    <w:next w:val="1"/>
    <w:qFormat/>
    <w:uiPriority w:val="0"/>
    <w:pPr>
      <w:ind w:left="420" w:leftChars="200"/>
    </w:pPr>
  </w:style>
  <w:style w:type="paragraph" w:styleId="8">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w:basedOn w:val="1"/>
    <w:next w:val="1"/>
    <w:link w:val="318"/>
    <w:qFormat/>
    <w:uiPriority w:val="0"/>
    <w:pPr>
      <w:ind w:firstLine="420"/>
    </w:pPr>
    <w:rPr>
      <w:rFonts w:hAnsi="Calibri"/>
      <w:szCs w:val="20"/>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
    <w:next w:val="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
    <w:next w:val="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styleId="96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44326</Words>
  <Characters>46704</Characters>
  <Lines>489</Lines>
  <Paragraphs>137</Paragraphs>
  <TotalTime>105</TotalTime>
  <ScaleCrop>false</ScaleCrop>
  <LinksUpToDate>false</LinksUpToDate>
  <CharactersWithSpaces>52199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华诚工程咨询集团有限公司</cp:lastModifiedBy>
  <cp:lastPrinted>2021-12-27T11:06:00Z</cp:lastPrinted>
  <dcterms:modified xsi:type="dcterms:W3CDTF">2023-08-04T05:06:51Z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88E3D0D233EF4AFCA7EE2F22B45E2823_13</vt:lpwstr>
  </property>
  <property fmtid="{D5CDD505-2E9C-101B-9397-08002B2CF9AE}" pid="5" name="commondata">
    <vt:lpwstr>eyJoZGlkIjoiNGNlMmFkMDQ1NDY0ZmRiM2Q0NjY4NTFjN2IwMTllYjMifQ==</vt:lpwstr>
  </property>
</Properties>
</file>