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80" w:afterLines="200" w:line="360" w:lineRule="auto"/>
        <w:jc w:val="center"/>
        <w:rPr>
          <w:rFonts w:hint="eastAsia"/>
          <w:b/>
          <w:bCs/>
          <w:sz w:val="48"/>
          <w:szCs w:val="48"/>
        </w:rPr>
      </w:pPr>
      <w:r>
        <w:rPr>
          <w:rFonts w:hint="eastAsia"/>
          <w:b/>
          <w:bCs/>
          <w:sz w:val="48"/>
          <w:szCs w:val="48"/>
        </w:rPr>
        <w:t>浙江财经大学企业竞争模拟系统等软件采购项目</w:t>
      </w:r>
    </w:p>
    <w:p>
      <w:pPr>
        <w:spacing w:after="480" w:afterLines="200" w:line="360" w:lineRule="auto"/>
        <w:jc w:val="center"/>
        <w:rPr>
          <w:rFonts w:hint="default" w:ascii="Times New Roman" w:hAnsi="Times New Roman" w:eastAsia="宋体"/>
          <w:sz w:val="30"/>
          <w:szCs w:val="30"/>
          <w:lang w:val="en-US" w:eastAsia="zh-CN"/>
        </w:rPr>
      </w:pPr>
      <w:r>
        <w:rPr>
          <w:rFonts w:hint="eastAsia" w:ascii="Times New Roman" w:hAnsi="Times New Roman"/>
          <w:sz w:val="30"/>
          <w:szCs w:val="30"/>
        </w:rPr>
        <w:t>项目编号：浙财大</w:t>
      </w:r>
      <w:r>
        <w:rPr>
          <w:rFonts w:hint="eastAsia" w:ascii="Times New Roman" w:hAnsi="Times New Roman"/>
          <w:sz w:val="30"/>
          <w:szCs w:val="30"/>
          <w:lang w:val="en-US" w:eastAsia="zh-CN"/>
        </w:rPr>
        <w:t>2020-16</w:t>
      </w:r>
    </w:p>
    <w:p>
      <w:pPr>
        <w:snapToGrid w:val="0"/>
        <w:jc w:val="center"/>
        <w:rPr>
          <w:rFonts w:ascii="黑体" w:hAnsi="黑体" w:eastAsia="黑体" w:cs="黑体"/>
          <w:b/>
          <w:bCs/>
          <w:sz w:val="60"/>
          <w:szCs w:val="60"/>
        </w:rPr>
      </w:pPr>
      <w:r>
        <w:rPr>
          <w:rFonts w:hint="eastAsia" w:ascii="黑体" w:hAnsi="黑体" w:eastAsia="黑体" w:cs="黑体"/>
          <w:b/>
          <w:bCs/>
          <w:sz w:val="60"/>
          <w:szCs w:val="60"/>
        </w:rPr>
        <w:t>单</w:t>
      </w:r>
    </w:p>
    <w:p>
      <w:pPr>
        <w:snapToGrid w:val="0"/>
        <w:jc w:val="center"/>
        <w:rPr>
          <w:rFonts w:ascii="黑体" w:hAnsi="黑体" w:eastAsia="黑体" w:cs="黑体"/>
          <w:b/>
          <w:bCs/>
          <w:sz w:val="60"/>
          <w:szCs w:val="60"/>
        </w:rPr>
      </w:pPr>
      <w:r>
        <w:rPr>
          <w:rFonts w:hint="eastAsia" w:ascii="黑体" w:hAnsi="黑体" w:eastAsia="黑体" w:cs="黑体"/>
          <w:b/>
          <w:bCs/>
          <w:sz w:val="60"/>
          <w:szCs w:val="60"/>
        </w:rPr>
        <w:t>一</w:t>
      </w:r>
    </w:p>
    <w:p>
      <w:pPr>
        <w:snapToGrid w:val="0"/>
        <w:jc w:val="center"/>
        <w:rPr>
          <w:rFonts w:ascii="黑体" w:hAnsi="黑体" w:eastAsia="黑体" w:cs="黑体"/>
          <w:b/>
          <w:bCs/>
          <w:sz w:val="60"/>
          <w:szCs w:val="60"/>
        </w:rPr>
      </w:pPr>
      <w:r>
        <w:rPr>
          <w:rFonts w:hint="eastAsia" w:ascii="黑体" w:hAnsi="黑体" w:eastAsia="黑体" w:cs="黑体"/>
          <w:b/>
          <w:bCs/>
          <w:sz w:val="60"/>
          <w:szCs w:val="60"/>
        </w:rPr>
        <w:t>来</w:t>
      </w:r>
    </w:p>
    <w:p>
      <w:pPr>
        <w:snapToGrid w:val="0"/>
        <w:jc w:val="center"/>
        <w:rPr>
          <w:rFonts w:ascii="黑体" w:hAnsi="黑体" w:eastAsia="黑体" w:cs="黑体"/>
          <w:b/>
          <w:bCs/>
          <w:sz w:val="60"/>
          <w:szCs w:val="60"/>
        </w:rPr>
      </w:pPr>
      <w:r>
        <w:rPr>
          <w:rFonts w:hint="eastAsia" w:ascii="黑体" w:hAnsi="黑体" w:eastAsia="黑体" w:cs="黑体"/>
          <w:b/>
          <w:bCs/>
          <w:sz w:val="60"/>
          <w:szCs w:val="60"/>
        </w:rPr>
        <w:t>源</w:t>
      </w:r>
    </w:p>
    <w:p>
      <w:pPr>
        <w:snapToGrid w:val="0"/>
        <w:jc w:val="center"/>
        <w:rPr>
          <w:rFonts w:ascii="黑体" w:hAnsi="黑体" w:eastAsia="黑体" w:cs="黑体"/>
          <w:b/>
          <w:bCs/>
          <w:sz w:val="60"/>
          <w:szCs w:val="60"/>
        </w:rPr>
      </w:pPr>
      <w:r>
        <w:rPr>
          <w:rFonts w:hint="eastAsia" w:ascii="黑体" w:hAnsi="黑体" w:eastAsia="黑体" w:cs="黑体"/>
          <w:b/>
          <w:bCs/>
          <w:sz w:val="60"/>
          <w:szCs w:val="60"/>
        </w:rPr>
        <w:t>采</w:t>
      </w:r>
    </w:p>
    <w:p>
      <w:pPr>
        <w:snapToGrid w:val="0"/>
        <w:jc w:val="center"/>
        <w:rPr>
          <w:rFonts w:ascii="黑体" w:hAnsi="黑体" w:eastAsia="黑体" w:cs="黑体"/>
          <w:b/>
          <w:bCs/>
          <w:sz w:val="60"/>
          <w:szCs w:val="60"/>
        </w:rPr>
      </w:pPr>
      <w:r>
        <w:rPr>
          <w:rFonts w:hint="eastAsia" w:ascii="黑体" w:hAnsi="黑体" w:eastAsia="黑体" w:cs="黑体"/>
          <w:b/>
          <w:bCs/>
          <w:sz w:val="60"/>
          <w:szCs w:val="60"/>
        </w:rPr>
        <w:t>购</w:t>
      </w:r>
    </w:p>
    <w:p>
      <w:pPr>
        <w:snapToGrid w:val="0"/>
        <w:jc w:val="center"/>
        <w:rPr>
          <w:rFonts w:ascii="黑体" w:hAnsi="黑体" w:eastAsia="黑体" w:cs="黑体"/>
          <w:b/>
          <w:bCs/>
          <w:sz w:val="60"/>
          <w:szCs w:val="60"/>
        </w:rPr>
      </w:pPr>
      <w:r>
        <w:rPr>
          <w:rFonts w:hint="eastAsia" w:ascii="黑体" w:hAnsi="黑体" w:eastAsia="黑体" w:cs="黑体"/>
          <w:b/>
          <w:bCs/>
          <w:sz w:val="60"/>
          <w:szCs w:val="60"/>
        </w:rPr>
        <w:t>文</w:t>
      </w:r>
    </w:p>
    <w:p>
      <w:pPr>
        <w:snapToGrid w:val="0"/>
        <w:jc w:val="center"/>
        <w:rPr>
          <w:rFonts w:ascii="黑体" w:hAnsi="黑体" w:eastAsia="黑体" w:cs="黑体"/>
          <w:b/>
          <w:bCs/>
          <w:sz w:val="60"/>
          <w:szCs w:val="60"/>
        </w:rPr>
      </w:pPr>
      <w:r>
        <w:rPr>
          <w:rFonts w:hint="eastAsia" w:ascii="黑体" w:hAnsi="黑体" w:eastAsia="黑体" w:cs="黑体"/>
          <w:b/>
          <w:bCs/>
          <w:sz w:val="60"/>
          <w:szCs w:val="60"/>
        </w:rPr>
        <w:t>件</w:t>
      </w: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spacing w:after="240" w:afterLines="100" w:line="360" w:lineRule="auto"/>
        <w:jc w:val="center"/>
        <w:rPr>
          <w:rFonts w:ascii="Times New Roman" w:hAnsi="Times New Roman"/>
          <w:b/>
          <w:sz w:val="32"/>
          <w:szCs w:val="32"/>
        </w:rPr>
      </w:pPr>
      <w:r>
        <w:rPr>
          <w:rFonts w:hint="eastAsia" w:ascii="Times New Roman" w:hAnsi="Times New Roman"/>
          <w:b/>
          <w:sz w:val="32"/>
          <w:szCs w:val="32"/>
        </w:rPr>
        <w:t>浙江财经大学</w:t>
      </w:r>
    </w:p>
    <w:p>
      <w:pPr>
        <w:spacing w:line="360" w:lineRule="auto"/>
        <w:jc w:val="center"/>
        <w:rPr>
          <w:rFonts w:ascii="宋体"/>
          <w:b/>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720" w:num="1"/>
          <w:titlePg/>
          <w:docGrid w:linePitch="312" w:charSpace="0"/>
        </w:sectPr>
      </w:pPr>
      <w:r>
        <w:rPr>
          <w:rFonts w:ascii="Times New Roman" w:hAnsi="Times New Roman"/>
          <w:b/>
          <w:sz w:val="32"/>
          <w:szCs w:val="32"/>
        </w:rPr>
        <w:t>20</w:t>
      </w:r>
      <w:r>
        <w:rPr>
          <w:rFonts w:hint="eastAsia" w:ascii="Times New Roman" w:hAnsi="Times New Roman"/>
          <w:b/>
          <w:sz w:val="32"/>
          <w:szCs w:val="32"/>
          <w:lang w:val="en-US" w:eastAsia="zh-CN"/>
        </w:rPr>
        <w:t>20</w:t>
      </w:r>
      <w:r>
        <w:rPr>
          <w:rFonts w:hint="eastAsia" w:ascii="Times New Roman" w:hAnsi="Times New Roman"/>
          <w:b/>
          <w:sz w:val="32"/>
          <w:szCs w:val="32"/>
        </w:rPr>
        <w:t>年</w:t>
      </w:r>
      <w:r>
        <w:rPr>
          <w:rFonts w:ascii="Times New Roman" w:hAnsi="Times New Roman"/>
          <w:b/>
          <w:sz w:val="32"/>
          <w:szCs w:val="32"/>
        </w:rPr>
        <w:t>1</w:t>
      </w:r>
      <w:r>
        <w:rPr>
          <w:rFonts w:hint="eastAsia" w:ascii="Times New Roman" w:hAnsi="Times New Roman"/>
          <w:b/>
          <w:sz w:val="32"/>
          <w:szCs w:val="32"/>
          <w:lang w:val="en-US" w:eastAsia="zh-CN"/>
        </w:rPr>
        <w:t>2</w:t>
      </w:r>
      <w:r>
        <w:rPr>
          <w:rFonts w:hint="eastAsia" w:ascii="Times New Roman" w:hAnsi="Times New Roman"/>
          <w:b/>
          <w:sz w:val="32"/>
          <w:szCs w:val="32"/>
        </w:rPr>
        <w:t>月</w:t>
      </w:r>
    </w:p>
    <w:p>
      <w:pPr>
        <w:spacing w:line="360" w:lineRule="auto"/>
        <w:jc w:val="center"/>
        <w:rPr>
          <w:rFonts w:ascii="黑体" w:hAnsi="宋体" w:eastAsia="黑体"/>
          <w:b/>
          <w:szCs w:val="21"/>
        </w:rPr>
      </w:pPr>
      <w:r>
        <w:rPr>
          <w:rFonts w:hint="eastAsia" w:ascii="黑体" w:hAnsi="宋体" w:eastAsia="黑体"/>
          <w:b/>
          <w:sz w:val="44"/>
          <w:szCs w:val="21"/>
        </w:rPr>
        <w:t>目录</w:t>
      </w:r>
    </w:p>
    <w:p>
      <w:pPr>
        <w:pStyle w:val="15"/>
        <w:jc w:val="center"/>
        <w:rPr>
          <w:rFonts w:ascii="宋体" w:cs="Arial"/>
          <w:sz w:val="28"/>
          <w:szCs w:val="21"/>
        </w:rPr>
      </w:pPr>
    </w:p>
    <w:p>
      <w:pPr>
        <w:pStyle w:val="15"/>
        <w:rPr>
          <w:rFonts w:asciiTheme="minorHAnsi" w:hAnsiTheme="minorHAnsi" w:eastAsiaTheme="minorEastAsia" w:cstheme="minorBidi"/>
          <w:szCs w:val="22"/>
        </w:rPr>
      </w:pPr>
      <w:r>
        <w:rPr>
          <w:rFonts w:ascii="Times New Roman" w:hAnsi="Times New Roman"/>
          <w:sz w:val="24"/>
        </w:rPr>
        <w:fldChar w:fldCharType="begin"/>
      </w:r>
      <w:r>
        <w:rPr>
          <w:rFonts w:ascii="Times New Roman" w:hAnsi="Times New Roman"/>
          <w:sz w:val="24"/>
        </w:rPr>
        <w:instrText xml:space="preserve"> TOC \o "1-2" \h \z \u </w:instrText>
      </w:r>
      <w:r>
        <w:rPr>
          <w:rFonts w:ascii="Times New Roman" w:hAnsi="Times New Roman"/>
          <w:sz w:val="24"/>
        </w:rPr>
        <w:fldChar w:fldCharType="separate"/>
      </w:r>
      <w:r>
        <w:fldChar w:fldCharType="begin"/>
      </w:r>
      <w:r>
        <w:instrText xml:space="preserve"> HYPERLINK \l "_Toc24965416" </w:instrText>
      </w:r>
      <w:r>
        <w:fldChar w:fldCharType="separate"/>
      </w:r>
      <w:r>
        <w:rPr>
          <w:rStyle w:val="24"/>
          <w:rFonts w:hint="eastAsia" w:ascii="黑体" w:hAnsi="宋体" w:cs="Arial"/>
        </w:rPr>
        <w:t>第一章</w:t>
      </w:r>
      <w:r>
        <w:rPr>
          <w:rStyle w:val="24"/>
          <w:rFonts w:ascii="黑体" w:hAnsi="宋体" w:cs="Arial"/>
        </w:rPr>
        <w:t xml:space="preserve">  </w:t>
      </w:r>
      <w:r>
        <w:rPr>
          <w:rStyle w:val="24"/>
          <w:rFonts w:hint="eastAsia" w:ascii="黑体" w:hAnsi="宋体"/>
        </w:rPr>
        <w:t>单一来源采购邀请书</w:t>
      </w:r>
      <w:r>
        <w:tab/>
      </w:r>
      <w:r>
        <w:fldChar w:fldCharType="begin"/>
      </w:r>
      <w:r>
        <w:instrText xml:space="preserve"> PAGEREF _Toc24965416 \h </w:instrText>
      </w:r>
      <w:r>
        <w:fldChar w:fldCharType="separate"/>
      </w:r>
      <w:r>
        <w:t>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"_Toc24965417" </w:instrText>
      </w:r>
      <w:r>
        <w:fldChar w:fldCharType="separate"/>
      </w:r>
      <w:r>
        <w:rPr>
          <w:rStyle w:val="24"/>
          <w:rFonts w:hint="eastAsia"/>
        </w:rPr>
        <w:t>第二章供应商须知</w:t>
      </w:r>
      <w:r>
        <w:tab/>
      </w:r>
      <w:r>
        <w:fldChar w:fldCharType="begin"/>
      </w:r>
      <w:r>
        <w:instrText xml:space="preserve"> PAGEREF _Toc24965417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"_Toc24965418" </w:instrText>
      </w:r>
      <w:r>
        <w:fldChar w:fldCharType="separate"/>
      </w:r>
      <w:r>
        <w:rPr>
          <w:rStyle w:val="24"/>
          <w:rFonts w:hint="eastAsia"/>
        </w:rPr>
        <w:t>（一）采购说明</w:t>
      </w:r>
      <w:r>
        <w:tab/>
      </w:r>
      <w:r>
        <w:fldChar w:fldCharType="begin"/>
      </w:r>
      <w:r>
        <w:instrText xml:space="preserve"> PAGEREF _Toc24965418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"_Toc24965419" </w:instrText>
      </w:r>
      <w:r>
        <w:fldChar w:fldCharType="separate"/>
      </w:r>
      <w:r>
        <w:rPr>
          <w:rStyle w:val="24"/>
          <w:rFonts w:hint="eastAsia"/>
        </w:rPr>
        <w:t>（二）采购文件</w:t>
      </w:r>
      <w:r>
        <w:tab/>
      </w:r>
      <w:r>
        <w:fldChar w:fldCharType="begin"/>
      </w:r>
      <w:r>
        <w:instrText xml:space="preserve"> PAGEREF _Toc24965419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"_Toc24965420" </w:instrText>
      </w:r>
      <w:r>
        <w:fldChar w:fldCharType="separate"/>
      </w:r>
      <w:r>
        <w:rPr>
          <w:rStyle w:val="24"/>
          <w:rFonts w:hint="eastAsia"/>
        </w:rPr>
        <w:t>（三）采购响应文件的编制</w:t>
      </w:r>
      <w:r>
        <w:tab/>
      </w:r>
      <w:r>
        <w:fldChar w:fldCharType="begin"/>
      </w:r>
      <w:r>
        <w:instrText xml:space="preserve"> PAGEREF _Toc24965420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"_Toc24965421" </w:instrText>
      </w:r>
      <w:r>
        <w:fldChar w:fldCharType="separate"/>
      </w:r>
      <w:r>
        <w:rPr>
          <w:rStyle w:val="24"/>
          <w:rFonts w:hint="eastAsia"/>
        </w:rPr>
        <w:t>（四）采购响应文件的递交</w:t>
      </w:r>
      <w:r>
        <w:tab/>
      </w:r>
      <w:r>
        <w:fldChar w:fldCharType="begin"/>
      </w:r>
      <w:r>
        <w:instrText xml:space="preserve"> PAGEREF _Toc24965421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"_Toc24965422" </w:instrText>
      </w:r>
      <w:r>
        <w:fldChar w:fldCharType="separate"/>
      </w:r>
      <w:r>
        <w:rPr>
          <w:rStyle w:val="24"/>
          <w:rFonts w:hint="eastAsia"/>
        </w:rPr>
        <w:t>（五）谈判及合同签订</w:t>
      </w:r>
      <w:r>
        <w:tab/>
      </w:r>
      <w:r>
        <w:fldChar w:fldCharType="begin"/>
      </w:r>
      <w:r>
        <w:instrText xml:space="preserve"> PAGEREF _Toc24965422 \h </w:instrText>
      </w:r>
      <w:r>
        <w:fldChar w:fldCharType="separate"/>
      </w:r>
      <w:r>
        <w:t>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"_Toc24965423" </w:instrText>
      </w:r>
      <w:r>
        <w:fldChar w:fldCharType="separate"/>
      </w:r>
      <w:r>
        <w:rPr>
          <w:rStyle w:val="24"/>
          <w:rFonts w:hint="eastAsia"/>
        </w:rPr>
        <w:t>第三章</w:t>
      </w:r>
      <w:r>
        <w:rPr>
          <w:rStyle w:val="24"/>
        </w:rPr>
        <w:t xml:space="preserve">  </w:t>
      </w:r>
      <w:r>
        <w:rPr>
          <w:rStyle w:val="24"/>
          <w:rFonts w:hint="eastAsia"/>
        </w:rPr>
        <w:t>采购技术需求及商务条款</w:t>
      </w:r>
      <w:r>
        <w:tab/>
      </w:r>
      <w:r>
        <w:fldChar w:fldCharType="begin"/>
      </w:r>
      <w:r>
        <w:instrText xml:space="preserve"> PAGEREF _Toc24965423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"_Toc24965424" </w:instrText>
      </w:r>
      <w:r>
        <w:fldChar w:fldCharType="separate"/>
      </w:r>
      <w:r>
        <w:rPr>
          <w:rStyle w:val="24"/>
          <w:rFonts w:hint="eastAsia"/>
        </w:rPr>
        <w:t>（一）数据</w:t>
      </w:r>
      <w:r>
        <w:rPr>
          <w:rStyle w:val="24"/>
          <w:rFonts w:hint="eastAsia"/>
          <w:lang w:val="en-US" w:eastAsia="zh-CN"/>
        </w:rPr>
        <w:t>库</w:t>
      </w:r>
      <w:r>
        <w:rPr>
          <w:rStyle w:val="24"/>
          <w:rFonts w:hint="eastAsia"/>
        </w:rPr>
        <w:t>清单</w:t>
      </w:r>
      <w:r>
        <w:tab/>
      </w:r>
      <w:r>
        <w:fldChar w:fldCharType="begin"/>
      </w:r>
      <w:r>
        <w:instrText xml:space="preserve"> PAGEREF _Toc24965424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"_Toc24965425" </w:instrText>
      </w:r>
      <w:r>
        <w:fldChar w:fldCharType="separate"/>
      </w:r>
      <w:r>
        <w:rPr>
          <w:rStyle w:val="24"/>
          <w:rFonts w:hint="eastAsia"/>
        </w:rPr>
        <w:t>（二）系统功能要求</w:t>
      </w:r>
      <w:r>
        <w:tab/>
      </w:r>
      <w:r>
        <w:fldChar w:fldCharType="begin"/>
      </w:r>
      <w:r>
        <w:instrText xml:space="preserve"> PAGEREF _Toc24965425 \h </w:instrText>
      </w:r>
      <w:r>
        <w:fldChar w:fldCharType="separate"/>
      </w:r>
      <w:r>
        <w:t>11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"_Toc24965426" </w:instrText>
      </w:r>
      <w:r>
        <w:fldChar w:fldCharType="separate"/>
      </w:r>
      <w:r>
        <w:rPr>
          <w:rStyle w:val="24"/>
          <w:rFonts w:hint="eastAsia"/>
        </w:rPr>
        <w:t>（三）供货要求</w:t>
      </w:r>
      <w:r>
        <w:tab/>
      </w:r>
      <w:r>
        <w:fldChar w:fldCharType="begin"/>
      </w:r>
      <w:r>
        <w:instrText xml:space="preserve"> PAGEREF _Toc24965426 \h </w:instrText>
      </w:r>
      <w:r>
        <w:fldChar w:fldCharType="separate"/>
      </w:r>
      <w:r>
        <w:t>11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"_Toc24965427" </w:instrText>
      </w:r>
      <w:r>
        <w:fldChar w:fldCharType="separate"/>
      </w:r>
      <w:r>
        <w:rPr>
          <w:rStyle w:val="24"/>
          <w:rFonts w:hint="eastAsia"/>
        </w:rPr>
        <w:t>（四）服务要求</w:t>
      </w:r>
      <w:r>
        <w:tab/>
      </w:r>
      <w:r>
        <w:fldChar w:fldCharType="begin"/>
      </w:r>
      <w:r>
        <w:instrText xml:space="preserve"> PAGEREF _Toc24965427 \h </w:instrText>
      </w:r>
      <w:r>
        <w:fldChar w:fldCharType="separate"/>
      </w:r>
      <w:r>
        <w:t>11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"_Toc24965428" </w:instrText>
      </w:r>
      <w:r>
        <w:fldChar w:fldCharType="separate"/>
      </w:r>
      <w:r>
        <w:rPr>
          <w:rStyle w:val="24"/>
          <w:rFonts w:hint="eastAsia"/>
        </w:rPr>
        <w:t>（五）有效期</w:t>
      </w:r>
      <w:r>
        <w:tab/>
      </w:r>
      <w:r>
        <w:fldChar w:fldCharType="begin"/>
      </w:r>
      <w:r>
        <w:instrText xml:space="preserve"> PAGEREF _Toc24965428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"_Toc24965429" </w:instrText>
      </w:r>
      <w:r>
        <w:fldChar w:fldCharType="separate"/>
      </w:r>
      <w:r>
        <w:rPr>
          <w:rStyle w:val="24"/>
          <w:rFonts w:hint="eastAsia"/>
        </w:rPr>
        <w:t>第四章采购合同的主要条款</w:t>
      </w:r>
      <w:r>
        <w:tab/>
      </w:r>
      <w:r>
        <w:fldChar w:fldCharType="begin"/>
      </w:r>
      <w:r>
        <w:instrText xml:space="preserve"> PAGEREF _Toc24965429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"_Toc24965430" </w:instrText>
      </w:r>
      <w:r>
        <w:fldChar w:fldCharType="separate"/>
      </w:r>
      <w:r>
        <w:rPr>
          <w:rStyle w:val="24"/>
          <w:rFonts w:hint="eastAsia"/>
        </w:rPr>
        <w:t>第五章附件</w:t>
      </w:r>
      <w:r>
        <w:tab/>
      </w:r>
      <w:r>
        <w:fldChar w:fldCharType="begin"/>
      </w:r>
      <w:r>
        <w:instrText xml:space="preserve"> PAGEREF _Toc24965430 \h </w:instrText>
      </w:r>
      <w:r>
        <w:fldChar w:fldCharType="separate"/>
      </w:r>
      <w:r>
        <w:t>17</w:t>
      </w:r>
      <w:r>
        <w:fldChar w:fldCharType="end"/>
      </w:r>
      <w:r>
        <w:fldChar w:fldCharType="end"/>
      </w:r>
    </w:p>
    <w:p>
      <w:pPr>
        <w:pStyle w:val="15"/>
        <w:jc w:val="center"/>
        <w:rPr>
          <w:rFonts w:ascii="Times New Roman" w:hAnsi="Times New Roman"/>
          <w:sz w:val="24"/>
        </w:rPr>
      </w:pPr>
      <w:r>
        <w:rPr>
          <w:rFonts w:ascii="Times New Roman" w:hAnsi="Times New Roman"/>
          <w:sz w:val="24"/>
        </w:rPr>
        <w:fldChar w:fldCharType="end"/>
      </w:r>
    </w:p>
    <w:p>
      <w:pPr>
        <w:pStyle w:val="2"/>
        <w:spacing w:before="312" w:after="312"/>
        <w:rPr>
          <w:rFonts w:ascii="黑体" w:hAnsi="宋体"/>
          <w:bCs w:val="0"/>
          <w:sz w:val="32"/>
          <w:szCs w:val="32"/>
        </w:rPr>
      </w:pPr>
      <w:r>
        <w:rPr>
          <w:rFonts w:ascii="宋体" w:eastAsia="宋体" w:cs="Arial"/>
          <w:sz w:val="24"/>
        </w:rPr>
        <w:br w:type="page"/>
      </w:r>
      <w:bookmarkStart w:id="0" w:name="_Toc24965416"/>
      <w:bookmarkStart w:id="1" w:name="_Toc361750516"/>
      <w:r>
        <w:rPr>
          <w:rFonts w:hint="eastAsia" w:ascii="黑体" w:hAnsi="宋体" w:cs="Arial"/>
          <w:sz w:val="32"/>
          <w:szCs w:val="32"/>
        </w:rPr>
        <w:t xml:space="preserve">第一章  </w:t>
      </w:r>
      <w:r>
        <w:rPr>
          <w:rFonts w:hint="eastAsia" w:ascii="黑体" w:hAnsi="宋体"/>
          <w:bCs w:val="0"/>
          <w:sz w:val="32"/>
          <w:szCs w:val="32"/>
        </w:rPr>
        <w:t>单一来源采购邀请书</w:t>
      </w:r>
      <w:bookmarkEnd w:id="0"/>
      <w:bookmarkEnd w:id="1"/>
    </w:p>
    <w:p>
      <w:pPr>
        <w:adjustRightInd w:val="0"/>
        <w:snapToGrid w:val="0"/>
        <w:spacing w:line="360" w:lineRule="auto"/>
        <w:rPr>
          <w:rFonts w:ascii="Times New Roman" w:hAnsi="Times New Roman"/>
          <w:szCs w:val="21"/>
        </w:rPr>
      </w:pPr>
      <w:bookmarkStart w:id="2" w:name="_Toc361750517"/>
      <w:r>
        <w:rPr>
          <w:rFonts w:hint="eastAsia" w:ascii="Times New Roman" w:hAnsi="Times New Roman"/>
          <w:szCs w:val="21"/>
        </w:rPr>
        <w:t>致：</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根据《中华人民共和国政府采购法》等有关法律规定，经报浙江省财政厅采购监管处批准，浙江财经大学企业竞争模拟系统等软件采购项目采用单一来源采购方式。现特邀请贵公司参与本项目的采购报价。</w:t>
      </w:r>
    </w:p>
    <w:p>
      <w:pPr>
        <w:adjustRightInd w:val="0"/>
        <w:snapToGrid w:val="0"/>
        <w:spacing w:line="360" w:lineRule="auto"/>
        <w:ind w:firstLine="420" w:firstLineChars="200"/>
        <w:rPr>
          <w:rFonts w:hint="default" w:ascii="Times New Roman" w:hAnsi="Times New Roman" w:eastAsia="宋体"/>
          <w:szCs w:val="21"/>
          <w:lang w:val="en-US" w:eastAsia="zh-CN"/>
        </w:rPr>
      </w:pPr>
      <w:r>
        <w:rPr>
          <w:rFonts w:ascii="Times New Roman" w:hAnsi="Times New Roman"/>
          <w:szCs w:val="21"/>
        </w:rPr>
        <w:t>1</w:t>
      </w:r>
      <w:r>
        <w:rPr>
          <w:rFonts w:hint="eastAsia" w:ascii="Times New Roman" w:hAnsi="Times New Roman"/>
          <w:szCs w:val="21"/>
        </w:rPr>
        <w:t>、采购编号：浙财大</w:t>
      </w:r>
      <w:r>
        <w:rPr>
          <w:rFonts w:hint="eastAsia" w:ascii="Times New Roman" w:hAnsi="Times New Roman"/>
          <w:szCs w:val="21"/>
          <w:lang w:val="en-US" w:eastAsia="zh-CN"/>
        </w:rPr>
        <w:t>2020-16</w:t>
      </w:r>
    </w:p>
    <w:p>
      <w:pPr>
        <w:adjustRightInd w:val="0"/>
        <w:snapToGrid w:val="0"/>
        <w:spacing w:line="360" w:lineRule="auto"/>
        <w:ind w:firstLine="420" w:firstLineChars="200"/>
        <w:rPr>
          <w:rFonts w:hint="eastAsia" w:ascii="Times New Roman" w:hAnsi="Times New Roman" w:eastAsia="宋体"/>
          <w:szCs w:val="21"/>
          <w:lang w:eastAsia="zh-CN"/>
        </w:rPr>
      </w:pPr>
      <w:r>
        <w:rPr>
          <w:rFonts w:ascii="Times New Roman" w:hAnsi="Times New Roman"/>
          <w:szCs w:val="21"/>
        </w:rPr>
        <w:t>2</w:t>
      </w:r>
      <w:r>
        <w:rPr>
          <w:rFonts w:hint="eastAsia" w:ascii="Times New Roman" w:hAnsi="Times New Roman"/>
          <w:szCs w:val="21"/>
        </w:rPr>
        <w:t>、项目名称：</w:t>
      </w:r>
      <w:r>
        <w:rPr>
          <w:rFonts w:hint="eastAsia" w:ascii="Times New Roman" w:hAnsi="Times New Roman"/>
          <w:szCs w:val="21"/>
          <w:lang w:eastAsia="zh-CN"/>
        </w:rPr>
        <w:t>企业竞争模拟系统等软件采购项目。</w:t>
      </w:r>
    </w:p>
    <w:p>
      <w:pPr>
        <w:adjustRightInd w:val="0"/>
        <w:snapToGrid w:val="0"/>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3、确认书号：[2020]79569号</w:t>
      </w:r>
      <w:bookmarkStart w:id="44" w:name="_GoBack"/>
      <w:bookmarkEnd w:id="44"/>
    </w:p>
    <w:p>
      <w:pPr>
        <w:adjustRightInd w:val="0"/>
        <w:snapToGrid w:val="0"/>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4</w:t>
      </w:r>
      <w:r>
        <w:rPr>
          <w:rFonts w:hint="eastAsia" w:ascii="Times New Roman" w:hAnsi="Times New Roman"/>
          <w:szCs w:val="21"/>
        </w:rPr>
        <w:t>、采购内容、规格、型号、数量：</w:t>
      </w:r>
    </w:p>
    <w:tbl>
      <w:tblPr>
        <w:tblStyle w:val="19"/>
        <w:tblW w:w="4996" w:type="pct"/>
        <w:tblInd w:w="0" w:type="dxa"/>
        <w:tblLayout w:type="fixed"/>
        <w:tblCellMar>
          <w:top w:w="0" w:type="dxa"/>
          <w:left w:w="108" w:type="dxa"/>
          <w:bottom w:w="0" w:type="dxa"/>
          <w:right w:w="108" w:type="dxa"/>
        </w:tblCellMar>
      </w:tblPr>
      <w:tblGrid>
        <w:gridCol w:w="424"/>
        <w:gridCol w:w="2509"/>
        <w:gridCol w:w="2872"/>
        <w:gridCol w:w="1478"/>
        <w:gridCol w:w="1239"/>
      </w:tblGrid>
      <w:tr>
        <w:tblPrEx>
          <w:tblCellMar>
            <w:top w:w="0" w:type="dxa"/>
            <w:left w:w="108" w:type="dxa"/>
            <w:bottom w:w="0" w:type="dxa"/>
            <w:right w:w="108" w:type="dxa"/>
          </w:tblCellMar>
        </w:tblPrEx>
        <w:trPr>
          <w:trHeight w:val="338" w:hRule="atLeast"/>
        </w:trPr>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eastAsia="zh-CN"/>
              </w:rPr>
            </w:pPr>
            <w:r>
              <w:rPr>
                <w:rFonts w:hint="eastAsia" w:ascii="微软雅黑" w:hAnsi="微软雅黑" w:eastAsia="微软雅黑" w:cs="宋体"/>
                <w:b/>
                <w:bCs/>
                <w:color w:val="000000"/>
                <w:kern w:val="0"/>
                <w:sz w:val="24"/>
                <w:lang w:val="en-US" w:eastAsia="zh-CN"/>
              </w:rPr>
              <w:t>标项</w:t>
            </w:r>
          </w:p>
        </w:tc>
        <w:tc>
          <w:tcPr>
            <w:tcW w:w="14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名称</w:t>
            </w:r>
          </w:p>
        </w:tc>
        <w:tc>
          <w:tcPr>
            <w:tcW w:w="16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eastAsia="zh-CN"/>
              </w:rPr>
            </w:pPr>
            <w:r>
              <w:rPr>
                <w:rFonts w:hint="eastAsia" w:ascii="微软雅黑" w:hAnsi="微软雅黑" w:eastAsia="微软雅黑" w:cs="宋体"/>
                <w:b/>
                <w:bCs/>
                <w:color w:val="000000"/>
                <w:kern w:val="0"/>
                <w:sz w:val="24"/>
                <w:lang w:val="en-US" w:eastAsia="zh-CN"/>
              </w:rPr>
              <w:t>预算</w:t>
            </w:r>
          </w:p>
        </w:tc>
        <w:tc>
          <w:tcPr>
            <w:tcW w:w="8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数量</w:t>
            </w:r>
          </w:p>
        </w:tc>
        <w:tc>
          <w:tcPr>
            <w:tcW w:w="7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单位</w:t>
            </w:r>
          </w:p>
        </w:tc>
      </w:tr>
      <w:tr>
        <w:tblPrEx>
          <w:tblCellMar>
            <w:top w:w="0" w:type="dxa"/>
            <w:left w:w="108" w:type="dxa"/>
            <w:bottom w:w="0" w:type="dxa"/>
            <w:right w:w="108" w:type="dxa"/>
          </w:tblCellMar>
        </w:tblPrEx>
        <w:trPr>
          <w:trHeight w:val="338" w:hRule="atLeast"/>
        </w:trPr>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147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企业竞争模拟系统</w:t>
            </w:r>
          </w:p>
        </w:tc>
        <w:tc>
          <w:tcPr>
            <w:tcW w:w="168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20万</w:t>
            </w:r>
          </w:p>
        </w:tc>
        <w:tc>
          <w:tcPr>
            <w:tcW w:w="8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7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套</w:t>
            </w:r>
          </w:p>
        </w:tc>
      </w:tr>
      <w:tr>
        <w:tblPrEx>
          <w:tblCellMar>
            <w:top w:w="0" w:type="dxa"/>
            <w:left w:w="108" w:type="dxa"/>
            <w:bottom w:w="0" w:type="dxa"/>
            <w:right w:w="108" w:type="dxa"/>
          </w:tblCellMar>
        </w:tblPrEx>
        <w:trPr>
          <w:trHeight w:val="338" w:hRule="atLeast"/>
        </w:trPr>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both"/>
              <w:textAlignment w:val="baseline"/>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2</w:t>
            </w:r>
          </w:p>
        </w:tc>
        <w:tc>
          <w:tcPr>
            <w:tcW w:w="1471"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人力资源管理智能仿真与竞赛对抗平台</w:t>
            </w:r>
          </w:p>
        </w:tc>
        <w:tc>
          <w:tcPr>
            <w:tcW w:w="1685"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12万</w:t>
            </w:r>
          </w:p>
        </w:tc>
        <w:tc>
          <w:tcPr>
            <w:tcW w:w="867"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726"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套</w:t>
            </w:r>
          </w:p>
        </w:tc>
      </w:tr>
      <w:tr>
        <w:tblPrEx>
          <w:tblCellMar>
            <w:top w:w="0" w:type="dxa"/>
            <w:left w:w="108" w:type="dxa"/>
            <w:bottom w:w="0" w:type="dxa"/>
            <w:right w:w="108" w:type="dxa"/>
          </w:tblCellMar>
        </w:tblPrEx>
        <w:trPr>
          <w:trHeight w:val="338" w:hRule="atLeast"/>
        </w:trPr>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both"/>
              <w:textAlignment w:val="baseline"/>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w:t>
            </w:r>
          </w:p>
        </w:tc>
        <w:tc>
          <w:tcPr>
            <w:tcW w:w="1471"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智慧教学系统</w:t>
            </w:r>
          </w:p>
        </w:tc>
        <w:tc>
          <w:tcPr>
            <w:tcW w:w="1685"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15万</w:t>
            </w:r>
          </w:p>
        </w:tc>
        <w:tc>
          <w:tcPr>
            <w:tcW w:w="867"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726"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年</w:t>
            </w:r>
          </w:p>
        </w:tc>
      </w:tr>
    </w:tbl>
    <w:p>
      <w:pPr>
        <w:adjustRightInd w:val="0"/>
        <w:snapToGrid w:val="0"/>
        <w:spacing w:line="360" w:lineRule="auto"/>
        <w:rPr>
          <w:rFonts w:hint="eastAsia" w:ascii="Times New Roman" w:hAnsi="Times New Roman"/>
          <w:szCs w:val="21"/>
        </w:rPr>
      </w:pP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详见采购文件第三章“</w:t>
      </w:r>
      <w:r>
        <w:rPr>
          <w:rFonts w:hint="eastAsia" w:ascii="Times New Roman" w:hAnsi="Times New Roman"/>
          <w:szCs w:val="21"/>
          <w:lang w:eastAsia="zh-CN"/>
        </w:rPr>
        <w:t>采购技术需求及商务条款</w:t>
      </w:r>
      <w:r>
        <w:rPr>
          <w:rFonts w:hint="eastAsia" w:ascii="Times New Roman" w:hAnsi="Times New Roman"/>
          <w:szCs w:val="21"/>
        </w:rPr>
        <w:t>”。</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5</w:t>
      </w:r>
      <w:r>
        <w:rPr>
          <w:rFonts w:hint="eastAsia" w:ascii="Times New Roman" w:hAnsi="Times New Roman"/>
          <w:szCs w:val="21"/>
        </w:rPr>
        <w:t>、合格的供应商应具备的资格要求：</w:t>
      </w:r>
    </w:p>
    <w:p>
      <w:pPr>
        <w:adjustRightInd w:val="0"/>
        <w:snapToGrid w:val="0"/>
        <w:spacing w:line="360" w:lineRule="auto"/>
        <w:ind w:firstLine="420" w:firstLineChars="200"/>
        <w:rPr>
          <w:rFonts w:hint="eastAsia" w:ascii="Times New Roman" w:hAnsi="Times New Roman" w:eastAsia="宋体"/>
          <w:szCs w:val="21"/>
          <w:lang w:eastAsia="zh-CN"/>
        </w:rPr>
      </w:pPr>
      <w:r>
        <w:rPr>
          <w:rFonts w:hint="eastAsia" w:ascii="Times New Roman" w:hAnsi="Times New Roman"/>
          <w:szCs w:val="21"/>
        </w:rPr>
        <w:t>符合《中华人民共和国政府采购法》第二十二条规定的资格条件</w:t>
      </w:r>
      <w:r>
        <w:rPr>
          <w:rFonts w:hint="eastAsia" w:ascii="Times New Roman" w:hAnsi="Times New Roman"/>
          <w:szCs w:val="21"/>
          <w:lang w:eastAsia="zh-CN"/>
        </w:rPr>
        <w:t>。</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6</w:t>
      </w:r>
      <w:r>
        <w:rPr>
          <w:rFonts w:hint="eastAsia" w:ascii="Times New Roman" w:hAnsi="Times New Roman"/>
          <w:szCs w:val="21"/>
        </w:rPr>
        <w:t>、采购方式：单一来源采购。</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、领取采购文件时必须提供：</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）法人代表授权委托书（或介绍信）及身份证；</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）营业执照（复印件加盖公章）。</w:t>
      </w:r>
    </w:p>
    <w:p>
      <w:pPr>
        <w:adjustRightInd w:val="0"/>
        <w:snapToGrid w:val="0"/>
        <w:spacing w:line="360" w:lineRule="auto"/>
        <w:ind w:firstLine="422" w:firstLineChars="200"/>
        <w:rPr>
          <w:rFonts w:ascii="Times New Roman" w:hAnsi="Times New Roman"/>
          <w:b/>
          <w:szCs w:val="21"/>
        </w:rPr>
      </w:pPr>
      <w:r>
        <w:rPr>
          <w:rFonts w:hint="eastAsia" w:ascii="Times New Roman" w:hAnsi="Times New Roman"/>
          <w:b/>
          <w:szCs w:val="21"/>
        </w:rPr>
        <w:t>供应商报名后</w:t>
      </w:r>
      <w:r>
        <w:rPr>
          <w:rFonts w:ascii="Times New Roman" w:hAnsi="Times New Roman"/>
          <w:b/>
          <w:szCs w:val="21"/>
        </w:rPr>
        <w:t>可到采购人处领取</w:t>
      </w:r>
      <w:r>
        <w:rPr>
          <w:rFonts w:hint="eastAsia" w:ascii="Times New Roman" w:hAnsi="Times New Roman"/>
          <w:b/>
          <w:szCs w:val="21"/>
        </w:rPr>
        <w:t>采购</w:t>
      </w:r>
      <w:r>
        <w:rPr>
          <w:rFonts w:ascii="Times New Roman" w:hAnsi="Times New Roman"/>
          <w:b/>
          <w:szCs w:val="21"/>
        </w:rPr>
        <w:t>文件。</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、递交采购响应文件截止时间：</w:t>
      </w:r>
      <w:r>
        <w:rPr>
          <w:rFonts w:hint="eastAsia" w:ascii="Times New Roman" w:hAnsi="Times New Roman"/>
          <w:bCs/>
          <w:szCs w:val="21"/>
          <w:u w:val="single"/>
          <w:lang w:val="en-US" w:eastAsia="zh-CN"/>
        </w:rPr>
        <w:t>2020</w:t>
      </w:r>
      <w:r>
        <w:rPr>
          <w:rFonts w:hint="eastAsia" w:ascii="Times New Roman" w:hAnsi="Times New Roman"/>
          <w:bCs/>
          <w:szCs w:val="21"/>
        </w:rPr>
        <w:t>年</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12 </w:t>
      </w:r>
      <w:r>
        <w:rPr>
          <w:rFonts w:hint="eastAsia" w:ascii="Times New Roman" w:hAnsi="Times New Roman"/>
          <w:bCs/>
          <w:szCs w:val="21"/>
        </w:rPr>
        <w:t>月</w:t>
      </w:r>
      <w:r>
        <w:rPr>
          <w:rFonts w:hint="eastAsia" w:ascii="Times New Roman" w:hAnsi="Times New Roman"/>
          <w:bCs/>
          <w:szCs w:val="21"/>
          <w:u w:val="single"/>
          <w:lang w:val="en-US" w:eastAsia="zh-CN"/>
        </w:rPr>
        <w:t xml:space="preserve">  8  </w:t>
      </w:r>
      <w:r>
        <w:rPr>
          <w:rFonts w:hint="eastAsia" w:ascii="Times New Roman" w:hAnsi="Times New Roman"/>
          <w:bCs/>
          <w:szCs w:val="21"/>
        </w:rPr>
        <w:t>日</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 14  </w:t>
      </w:r>
      <w:r>
        <w:rPr>
          <w:rFonts w:hint="eastAsia" w:ascii="Times New Roman" w:hAnsi="Times New Roman"/>
          <w:bCs/>
          <w:szCs w:val="21"/>
        </w:rPr>
        <w:t>时</w:t>
      </w:r>
      <w:r>
        <w:rPr>
          <w:rFonts w:ascii="Times New Roman" w:hAnsi="Times New Roman"/>
          <w:bCs/>
          <w:szCs w:val="21"/>
          <w:u w:val="single"/>
        </w:rPr>
        <w:t xml:space="preserve"> </w:t>
      </w:r>
      <w:r>
        <w:rPr>
          <w:rFonts w:hint="eastAsia" w:ascii="Times New Roman" w:hAnsi="Times New Roman"/>
          <w:bCs/>
          <w:szCs w:val="21"/>
          <w:u w:val="single"/>
          <w:lang w:val="en-US" w:eastAsia="zh-CN"/>
        </w:rPr>
        <w:t>00</w:t>
      </w:r>
      <w:r>
        <w:rPr>
          <w:rFonts w:ascii="Times New Roman" w:hAnsi="Times New Roman"/>
          <w:bCs/>
          <w:szCs w:val="21"/>
          <w:u w:val="single"/>
        </w:rPr>
        <w:t xml:space="preserve"> </w:t>
      </w:r>
      <w:r>
        <w:rPr>
          <w:rFonts w:hint="eastAsia" w:ascii="Times New Roman" w:hAnsi="Times New Roman"/>
          <w:bCs/>
          <w:szCs w:val="21"/>
        </w:rPr>
        <w:t>分</w:t>
      </w:r>
      <w:r>
        <w:rPr>
          <w:rFonts w:hint="eastAsia" w:ascii="Times New Roman" w:hAnsi="Times New Roman"/>
          <w:szCs w:val="21"/>
        </w:rPr>
        <w:t>；</w:t>
      </w:r>
    </w:p>
    <w:p>
      <w:pPr>
        <w:adjustRightInd w:val="0"/>
        <w:snapToGrid w:val="0"/>
        <w:spacing w:line="360" w:lineRule="auto"/>
        <w:ind w:firstLine="735" w:firstLineChars="350"/>
        <w:rPr>
          <w:rFonts w:ascii="Times New Roman" w:hAnsi="Times New Roman"/>
          <w:szCs w:val="21"/>
        </w:rPr>
      </w:pPr>
      <w:r>
        <w:rPr>
          <w:rFonts w:hint="eastAsia" w:ascii="Times New Roman" w:hAnsi="Times New Roman"/>
          <w:szCs w:val="21"/>
        </w:rPr>
        <w:t>递交地点：浙江财经大学</w:t>
      </w:r>
      <w:r>
        <w:rPr>
          <w:rFonts w:hint="eastAsia" w:ascii="Times New Roman" w:hAnsi="Times New Roman"/>
          <w:szCs w:val="21"/>
          <w:lang w:val="en-US" w:eastAsia="zh-CN"/>
        </w:rPr>
        <w:t>下沙校区行政楼204</w:t>
      </w:r>
      <w:r>
        <w:rPr>
          <w:rFonts w:hint="eastAsia" w:ascii="Times New Roman" w:hAnsi="Times New Roman"/>
          <w:szCs w:val="21"/>
        </w:rPr>
        <w:t>室（杭州下沙高教园区学源街</w:t>
      </w:r>
      <w:r>
        <w:rPr>
          <w:rFonts w:ascii="Times New Roman" w:hAnsi="Times New Roman"/>
          <w:szCs w:val="21"/>
        </w:rPr>
        <w:t>18</w:t>
      </w:r>
      <w:r>
        <w:rPr>
          <w:rFonts w:hint="eastAsia" w:ascii="Times New Roman" w:hAnsi="Times New Roman"/>
          <w:szCs w:val="21"/>
        </w:rPr>
        <w:t>号）。</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9</w:t>
      </w:r>
      <w:r>
        <w:rPr>
          <w:rFonts w:hint="eastAsia" w:ascii="Times New Roman" w:hAnsi="Times New Roman"/>
          <w:szCs w:val="21"/>
        </w:rPr>
        <w:t>、谈判时间与地点：</w:t>
      </w:r>
      <w:r>
        <w:rPr>
          <w:rFonts w:hint="eastAsia" w:ascii="Times New Roman" w:hAnsi="Times New Roman"/>
          <w:bCs/>
          <w:szCs w:val="21"/>
          <w:u w:val="single"/>
          <w:lang w:val="en-US" w:eastAsia="zh-CN"/>
        </w:rPr>
        <w:t>2020</w:t>
      </w:r>
      <w:r>
        <w:rPr>
          <w:rFonts w:hint="eastAsia" w:ascii="Times New Roman" w:hAnsi="Times New Roman"/>
          <w:bCs/>
          <w:szCs w:val="21"/>
        </w:rPr>
        <w:t>年</w:t>
      </w:r>
      <w:r>
        <w:rPr>
          <w:rFonts w:ascii="Times New Roman" w:hAnsi="Times New Roman"/>
          <w:bCs/>
          <w:szCs w:val="21"/>
          <w:u w:val="single"/>
        </w:rPr>
        <w:t xml:space="preserve"> </w:t>
      </w:r>
      <w:r>
        <w:rPr>
          <w:rFonts w:hint="eastAsia" w:ascii="Times New Roman" w:hAnsi="Times New Roman"/>
          <w:bCs/>
          <w:szCs w:val="21"/>
          <w:u w:val="single"/>
          <w:lang w:val="en-US" w:eastAsia="zh-CN"/>
        </w:rPr>
        <w:t>12</w:t>
      </w:r>
      <w:r>
        <w:rPr>
          <w:rFonts w:ascii="Times New Roman" w:hAnsi="Times New Roman"/>
          <w:bCs/>
          <w:szCs w:val="21"/>
          <w:u w:val="single"/>
        </w:rPr>
        <w:t xml:space="preserve"> </w:t>
      </w:r>
      <w:r>
        <w:rPr>
          <w:rFonts w:hint="eastAsia" w:ascii="Times New Roman" w:hAnsi="Times New Roman"/>
          <w:bCs/>
          <w:szCs w:val="21"/>
        </w:rPr>
        <w:t>月</w:t>
      </w:r>
      <w:r>
        <w:rPr>
          <w:rFonts w:hint="eastAsia" w:ascii="Times New Roman" w:hAnsi="Times New Roman"/>
          <w:bCs/>
          <w:szCs w:val="21"/>
          <w:u w:val="single"/>
          <w:lang w:val="en-US" w:eastAsia="zh-CN"/>
        </w:rPr>
        <w:t xml:space="preserve"> 8  </w:t>
      </w:r>
      <w:r>
        <w:rPr>
          <w:rFonts w:hint="eastAsia" w:ascii="Times New Roman" w:hAnsi="Times New Roman"/>
          <w:bCs/>
          <w:szCs w:val="21"/>
        </w:rPr>
        <w:t>日</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 14 </w:t>
      </w:r>
      <w:r>
        <w:rPr>
          <w:rFonts w:ascii="Times New Roman" w:hAnsi="Times New Roman"/>
          <w:bCs/>
          <w:szCs w:val="21"/>
          <w:u w:val="single"/>
        </w:rPr>
        <w:t xml:space="preserve"> </w:t>
      </w:r>
      <w:r>
        <w:rPr>
          <w:rFonts w:hint="eastAsia" w:ascii="Times New Roman" w:hAnsi="Times New Roman"/>
          <w:bCs/>
          <w:szCs w:val="21"/>
        </w:rPr>
        <w:t>时</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00 </w:t>
      </w:r>
      <w:r>
        <w:rPr>
          <w:rFonts w:ascii="Times New Roman" w:hAnsi="Times New Roman"/>
          <w:bCs/>
          <w:szCs w:val="21"/>
          <w:u w:val="single"/>
        </w:rPr>
        <w:t xml:space="preserve"> </w:t>
      </w:r>
      <w:r>
        <w:rPr>
          <w:rFonts w:hint="eastAsia" w:ascii="Times New Roman" w:hAnsi="Times New Roman"/>
          <w:bCs/>
          <w:szCs w:val="21"/>
        </w:rPr>
        <w:t>分</w:t>
      </w:r>
      <w:r>
        <w:rPr>
          <w:rFonts w:hint="eastAsia" w:ascii="Times New Roman" w:hAnsi="Times New Roman"/>
          <w:szCs w:val="21"/>
        </w:rPr>
        <w:t>；</w:t>
      </w:r>
    </w:p>
    <w:p>
      <w:pPr>
        <w:adjustRightInd w:val="0"/>
        <w:snapToGrid w:val="0"/>
        <w:spacing w:line="360" w:lineRule="auto"/>
        <w:ind w:firstLine="735" w:firstLineChars="350"/>
        <w:rPr>
          <w:rFonts w:ascii="Times New Roman" w:hAnsi="Times New Roman"/>
          <w:szCs w:val="21"/>
        </w:rPr>
      </w:pPr>
      <w:r>
        <w:rPr>
          <w:rFonts w:hint="eastAsia" w:ascii="Times New Roman" w:hAnsi="Times New Roman"/>
          <w:szCs w:val="21"/>
        </w:rPr>
        <w:t>谈判地点：浙江财经大学</w:t>
      </w:r>
      <w:r>
        <w:rPr>
          <w:rFonts w:hint="eastAsia" w:ascii="Times New Roman" w:hAnsi="Times New Roman"/>
          <w:szCs w:val="21"/>
          <w:lang w:val="en-US" w:eastAsia="zh-CN"/>
        </w:rPr>
        <w:t>下沙校区行政楼204</w:t>
      </w:r>
      <w:r>
        <w:rPr>
          <w:rFonts w:hint="eastAsia" w:ascii="Times New Roman" w:hAnsi="Times New Roman"/>
          <w:szCs w:val="21"/>
        </w:rPr>
        <w:t>室（杭州下沙高教园区学源街</w:t>
      </w:r>
      <w:r>
        <w:rPr>
          <w:rFonts w:ascii="Times New Roman" w:hAnsi="Times New Roman"/>
          <w:szCs w:val="21"/>
        </w:rPr>
        <w:t>18</w:t>
      </w:r>
      <w:r>
        <w:rPr>
          <w:rFonts w:hint="eastAsia" w:ascii="Times New Roman" w:hAnsi="Times New Roman"/>
          <w:szCs w:val="21"/>
        </w:rPr>
        <w:t>号）。</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0</w:t>
      </w:r>
      <w:r>
        <w:rPr>
          <w:rFonts w:hint="eastAsia" w:ascii="Times New Roman" w:hAnsi="Times New Roman"/>
          <w:szCs w:val="21"/>
        </w:rPr>
        <w:t>、联系方式：</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采购人名称：浙江财经大学</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地点：浙江省杭州市下沙高教园区学源街</w:t>
      </w:r>
      <w:r>
        <w:rPr>
          <w:rFonts w:ascii="Times New Roman" w:hAnsi="Times New Roman"/>
          <w:szCs w:val="21"/>
        </w:rPr>
        <w:t>18</w:t>
      </w:r>
      <w:r>
        <w:rPr>
          <w:rFonts w:hint="eastAsia" w:ascii="Times New Roman" w:hAnsi="Times New Roman"/>
          <w:szCs w:val="21"/>
        </w:rPr>
        <w:t>号</w:t>
      </w:r>
    </w:p>
    <w:p>
      <w:pPr>
        <w:snapToGrid w:val="0"/>
        <w:spacing w:line="360" w:lineRule="auto"/>
        <w:ind w:firstLine="420" w:firstLineChars="200"/>
        <w:rPr>
          <w:rFonts w:hint="default" w:ascii="Times New Roman" w:hAnsi="Times New Roman" w:eastAsia="宋体"/>
          <w:szCs w:val="21"/>
          <w:lang w:val="en-US" w:eastAsia="zh-CN"/>
        </w:rPr>
      </w:pPr>
      <w:r>
        <w:rPr>
          <w:rFonts w:hint="eastAsia" w:ascii="Times New Roman" w:hAnsi="Times New Roman"/>
          <w:szCs w:val="21"/>
        </w:rPr>
        <w:t>招标联系人</w:t>
      </w:r>
      <w:r>
        <w:rPr>
          <w:rFonts w:hint="eastAsia" w:ascii="Times New Roman" w:hAnsi="Times New Roman"/>
          <w:szCs w:val="21"/>
          <w:lang w:eastAsia="zh-CN"/>
        </w:rPr>
        <w:t>：</w:t>
      </w:r>
      <w:r>
        <w:rPr>
          <w:rFonts w:hint="eastAsia" w:ascii="Times New Roman" w:hAnsi="Times New Roman"/>
          <w:szCs w:val="21"/>
          <w:lang w:val="en-US" w:eastAsia="zh-CN"/>
        </w:rPr>
        <w:t>鲍</w:t>
      </w:r>
      <w:r>
        <w:rPr>
          <w:rFonts w:hint="eastAsia" w:ascii="Times New Roman" w:hAnsi="Times New Roman"/>
          <w:szCs w:val="21"/>
        </w:rPr>
        <w:t>老师  联系电话：</w:t>
      </w:r>
      <w:r>
        <w:rPr>
          <w:rFonts w:ascii="Times New Roman" w:hAnsi="Times New Roman"/>
          <w:szCs w:val="21"/>
        </w:rPr>
        <w:t>0571-8673</w:t>
      </w:r>
      <w:r>
        <w:rPr>
          <w:rFonts w:hint="eastAsia" w:ascii="Times New Roman" w:hAnsi="Times New Roman"/>
          <w:szCs w:val="21"/>
          <w:lang w:val="en-US" w:eastAsia="zh-CN"/>
        </w:rPr>
        <w:t>2900</w:t>
      </w:r>
    </w:p>
    <w:p>
      <w:pPr>
        <w:snapToGrid w:val="0"/>
        <w:spacing w:line="360" w:lineRule="auto"/>
        <w:ind w:firstLine="420" w:firstLineChars="200"/>
        <w:rPr>
          <w:rFonts w:hint="default" w:ascii="Times New Roman" w:hAnsi="Times New Roman" w:eastAsia="宋体"/>
          <w:szCs w:val="21"/>
          <w:lang w:val="en-US" w:eastAsia="zh-CN"/>
        </w:rPr>
      </w:pPr>
      <w:r>
        <w:rPr>
          <w:rFonts w:hint="eastAsia" w:ascii="Times New Roman" w:hAnsi="Times New Roman"/>
          <w:szCs w:val="21"/>
        </w:rPr>
        <w:t>项目联系人：</w:t>
      </w:r>
      <w:r>
        <w:rPr>
          <w:rFonts w:hint="eastAsia" w:ascii="Times New Roman" w:hAnsi="Times New Roman"/>
          <w:szCs w:val="21"/>
          <w:lang w:val="en-US" w:eastAsia="zh-CN"/>
        </w:rPr>
        <w:t>赵</w:t>
      </w:r>
      <w:r>
        <w:rPr>
          <w:rFonts w:hint="eastAsia" w:ascii="Times New Roman" w:hAnsi="Times New Roman"/>
          <w:szCs w:val="21"/>
        </w:rPr>
        <w:t>老师  联系电话：</w:t>
      </w:r>
      <w:r>
        <w:rPr>
          <w:rFonts w:ascii="Times New Roman" w:hAnsi="Times New Roman"/>
          <w:szCs w:val="21"/>
        </w:rPr>
        <w:t>0571-</w:t>
      </w:r>
      <w:r>
        <w:rPr>
          <w:rFonts w:hint="eastAsia" w:ascii="Times New Roman" w:hAnsi="Times New Roman"/>
          <w:szCs w:val="21"/>
        </w:rPr>
        <w:t>86735773</w:t>
      </w:r>
    </w:p>
    <w:p>
      <w:pPr>
        <w:adjustRightInd w:val="0"/>
        <w:snapToGrid w:val="0"/>
        <w:spacing w:line="360" w:lineRule="auto"/>
        <w:ind w:firstLine="420" w:firstLineChars="200"/>
        <w:rPr>
          <w:rFonts w:hint="default" w:ascii="Times New Roman" w:hAnsi="Times New Roman" w:eastAsia="宋体"/>
          <w:szCs w:val="21"/>
          <w:lang w:val="en-US" w:eastAsia="zh-CN"/>
        </w:rPr>
      </w:pPr>
      <w:r>
        <w:rPr>
          <w:rFonts w:hint="eastAsia" w:ascii="Times New Roman" w:hAnsi="Times New Roman"/>
          <w:szCs w:val="21"/>
          <w:lang w:val="en-US" w:eastAsia="zh-CN"/>
        </w:rPr>
        <w:t xml:space="preserve">            陈老师  联系电话：0571-86735866</w:t>
      </w:r>
    </w:p>
    <w:p>
      <w:pPr>
        <w:snapToGrid w:val="0"/>
        <w:spacing w:line="360" w:lineRule="auto"/>
        <w:ind w:right="24"/>
        <w:jc w:val="right"/>
        <w:rPr>
          <w:rFonts w:cs="宋体"/>
          <w:szCs w:val="21"/>
        </w:rPr>
      </w:pPr>
    </w:p>
    <w:p>
      <w:pPr>
        <w:snapToGrid w:val="0"/>
        <w:spacing w:line="360" w:lineRule="auto"/>
        <w:ind w:right="24"/>
        <w:jc w:val="right"/>
        <w:rPr>
          <w:rFonts w:ascii="Times New Roman" w:hAnsi="Times New Roman"/>
          <w:szCs w:val="21"/>
        </w:rPr>
      </w:pPr>
    </w:p>
    <w:p>
      <w:pPr>
        <w:snapToGrid w:val="0"/>
        <w:spacing w:line="360" w:lineRule="auto"/>
        <w:ind w:right="24"/>
        <w:jc w:val="right"/>
        <w:rPr>
          <w:rFonts w:ascii="Times New Roman" w:hAnsi="Times New Roman"/>
          <w:szCs w:val="21"/>
        </w:rPr>
      </w:pPr>
      <w:r>
        <w:rPr>
          <w:rFonts w:hint="eastAsia" w:ascii="Times New Roman" w:hAnsi="Times New Roman"/>
          <w:szCs w:val="21"/>
        </w:rPr>
        <w:t>浙江财经大学</w:t>
      </w:r>
    </w:p>
    <w:p>
      <w:pPr>
        <w:snapToGrid w:val="0"/>
        <w:spacing w:line="360" w:lineRule="auto"/>
        <w:ind w:right="24"/>
        <w:jc w:val="right"/>
        <w:rPr>
          <w:rFonts w:ascii="Times New Roman" w:hAnsi="Times New Roman"/>
          <w:szCs w:val="21"/>
        </w:rPr>
      </w:pPr>
      <w:bookmarkStart w:id="3" w:name="文件制作时间"/>
      <w:r>
        <w:rPr>
          <w:rFonts w:ascii="Times New Roman" w:hAnsi="Times New Roman"/>
          <w:szCs w:val="21"/>
        </w:rPr>
        <w:t>20</w:t>
      </w:r>
      <w:r>
        <w:rPr>
          <w:rFonts w:hint="eastAsia" w:ascii="Times New Roman" w:hAnsi="Times New Roman"/>
          <w:szCs w:val="21"/>
          <w:lang w:val="en-US" w:eastAsia="zh-CN"/>
        </w:rPr>
        <w:t>20</w:t>
      </w:r>
      <w:r>
        <w:rPr>
          <w:rFonts w:hint="eastAsia" w:ascii="Times New Roman" w:hAnsi="Times New Roman"/>
          <w:szCs w:val="21"/>
        </w:rPr>
        <w:t>年</w:t>
      </w:r>
      <w:r>
        <w:rPr>
          <w:rFonts w:hint="eastAsia" w:ascii="Times New Roman" w:hAnsi="Times New Roman"/>
          <w:szCs w:val="21"/>
          <w:lang w:val="en-US" w:eastAsia="zh-CN"/>
        </w:rPr>
        <w:t>12</w:t>
      </w:r>
      <w:r>
        <w:rPr>
          <w:rFonts w:hint="eastAsia" w:ascii="Times New Roman" w:hAnsi="Times New Roman"/>
          <w:szCs w:val="21"/>
        </w:rPr>
        <w:t>月</w:t>
      </w:r>
      <w:bookmarkEnd w:id="3"/>
    </w:p>
    <w:p>
      <w:pPr>
        <w:pStyle w:val="2"/>
        <w:spacing w:before="312" w:after="312"/>
      </w:pPr>
      <w:r>
        <w:rPr>
          <w:sz w:val="21"/>
          <w:szCs w:val="21"/>
        </w:rPr>
        <w:br w:type="page"/>
      </w:r>
      <w:bookmarkStart w:id="4" w:name="_Toc24965417"/>
      <w:r>
        <w:rPr>
          <w:rFonts w:hint="eastAsia"/>
        </w:rPr>
        <w:t>第二章 供应商须知</w:t>
      </w:r>
      <w:bookmarkEnd w:id="4"/>
    </w:p>
    <w:p>
      <w:pPr>
        <w:pStyle w:val="3"/>
      </w:pPr>
      <w:bookmarkStart w:id="5" w:name="_Toc24965418"/>
      <w:r>
        <w:rPr>
          <w:rFonts w:hint="eastAsia"/>
        </w:rPr>
        <w:t>（一）采购说明</w:t>
      </w:r>
      <w:bookmarkEnd w:id="5"/>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、法规及文件解释</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本次采购严格按照《中华人民共和国政府采购法》等有关规定组织和实施。供应商如对采购文件有异议，应当在递交采购响应文件截止时间</w:t>
      </w:r>
      <w:r>
        <w:rPr>
          <w:rFonts w:ascii="Times New Roman" w:hAnsi="Times New Roman"/>
          <w:szCs w:val="21"/>
        </w:rPr>
        <w:t>3</w:t>
      </w:r>
      <w:r>
        <w:rPr>
          <w:rFonts w:hint="eastAsia" w:ascii="Times New Roman" w:hAnsi="Times New Roman"/>
          <w:szCs w:val="21"/>
        </w:rPr>
        <w:t>个工作日前书面向采购人提出，采购人在递交采购响应文件截止时间前</w:t>
      </w:r>
      <w:r>
        <w:rPr>
          <w:rFonts w:ascii="Times New Roman" w:hAnsi="Times New Roman"/>
          <w:szCs w:val="21"/>
        </w:rPr>
        <w:t>1</w:t>
      </w:r>
      <w:r>
        <w:rPr>
          <w:rFonts w:hint="eastAsia" w:ascii="Times New Roman" w:hAnsi="Times New Roman"/>
          <w:szCs w:val="21"/>
        </w:rPr>
        <w:t>个工作日内统一进行澄清和修改，并书面通知所有采购文件收受人。逾期提出的，采购人可不予受理、答复。</w:t>
      </w:r>
    </w:p>
    <w:p>
      <w:pPr>
        <w:pStyle w:val="40"/>
        <w:adjustRightInd w:val="0"/>
        <w:snapToGrid w:val="0"/>
        <w:spacing w:before="0"/>
        <w:ind w:firstLine="420"/>
        <w:rPr>
          <w:rFonts w:ascii="Times New Roman" w:hAnsi="Times New Roman"/>
          <w:sz w:val="21"/>
          <w:szCs w:val="21"/>
        </w:rPr>
      </w:pPr>
      <w:r>
        <w:rPr>
          <w:rFonts w:hint="eastAsia" w:ascii="Times New Roman" w:hAnsi="Times New Roman"/>
          <w:sz w:val="21"/>
          <w:szCs w:val="21"/>
        </w:rPr>
        <w:t>不论采购人向供应商发送的资料文件，还是供应商提出的问题，均采用书面形式，任何口头提问及答复一律无效。</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本采购文件及相应的补充文件、通知等解释权归浙江财经大学所有。</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、合格的供应商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符合《中华人民共和国政府采购法》第二十二条规定的资格条件。</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、其他要求</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无论采购流程和结果如何，供应商自行承担采购活动中所发生的全部费用。</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合同实施过程中，成交人须与采购人积极配合。成交人自行承担本次采购活动中所发生的全部费用。</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、定义</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采购人：系指浙江财经大学。</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供应商：系指参与本次报价的合格供应商。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4.3 </w:t>
      </w:r>
      <w:r>
        <w:rPr>
          <w:rFonts w:hint="eastAsia" w:ascii="Times New Roman" w:hAnsi="Times New Roman"/>
          <w:szCs w:val="21"/>
        </w:rPr>
        <w:t>采购文件：系指本文件。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4.4 </w:t>
      </w:r>
      <w:r>
        <w:rPr>
          <w:rFonts w:hint="eastAsia" w:ascii="Times New Roman" w:hAnsi="Times New Roman"/>
          <w:szCs w:val="21"/>
        </w:rPr>
        <w:t>采购响应文件：系指供应商参与本次采购活动所提供的书面资料。</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、备注</w:t>
      </w:r>
    </w:p>
    <w:p>
      <w:pPr>
        <w:snapToGrid w:val="0"/>
        <w:spacing w:line="360" w:lineRule="auto"/>
        <w:ind w:firstLine="420" w:firstLineChars="200"/>
        <w:rPr>
          <w:rFonts w:ascii="Times New Roman" w:hAnsi="Times New Roman"/>
          <w:bCs/>
          <w:szCs w:val="21"/>
        </w:rPr>
      </w:pPr>
      <w:r>
        <w:rPr>
          <w:rFonts w:hint="eastAsia" w:ascii="Times New Roman" w:hAnsi="Times New Roman"/>
          <w:bCs/>
          <w:szCs w:val="21"/>
        </w:rPr>
        <w:t>请供应商仔细阅读本采购文件，其中有的条款以带“</w:t>
      </w:r>
      <w:r>
        <w:rPr>
          <w:rFonts w:ascii="Times New Roman" w:hAnsi="Times New Roman"/>
          <w:bCs/>
          <w:szCs w:val="21"/>
        </w:rPr>
        <w:t>▲</w:t>
      </w:r>
      <w:r>
        <w:rPr>
          <w:rFonts w:hint="eastAsia" w:ascii="Times New Roman" w:hAnsi="Times New Roman"/>
          <w:bCs/>
          <w:szCs w:val="21"/>
        </w:rPr>
        <w:t>”的形式强调，对这些条款的负偏离将在评审过程中被认定为实质性不响应本采购文件。</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、质疑和投诉</w:t>
      </w:r>
    </w:p>
    <w:p>
      <w:pPr>
        <w:snapToGrid w:val="0"/>
        <w:spacing w:line="360" w:lineRule="auto"/>
        <w:ind w:firstLine="420" w:firstLineChars="200"/>
        <w:rPr>
          <w:rFonts w:ascii="Times New Roman" w:hAnsi="Times New Roman"/>
          <w:szCs w:val="21"/>
        </w:rPr>
      </w:pPr>
      <w:r>
        <w:rPr>
          <w:rFonts w:ascii="Times New Roman" w:hAnsi="Times New Roman"/>
          <w:szCs w:val="21"/>
        </w:rPr>
        <w:t>6.1</w:t>
      </w:r>
      <w:r>
        <w:rPr>
          <w:rFonts w:hint="eastAsia" w:ascii="Times New Roman" w:hAnsi="Times New Roman"/>
          <w:szCs w:val="21"/>
        </w:rPr>
        <w:t>供应商认为采购文件、采购过程或成交结果使自己的合法权益受到损害的，应当在知道或者应知其权益受到损害之日起</w:t>
      </w:r>
      <w:r>
        <w:rPr>
          <w:rFonts w:ascii="Times New Roman" w:hAnsi="Times New Roman"/>
          <w:szCs w:val="21"/>
        </w:rPr>
        <w:t>7</w:t>
      </w:r>
      <w:r>
        <w:rPr>
          <w:rFonts w:hint="eastAsia" w:ascii="Times New Roman" w:hAnsi="Times New Roman"/>
          <w:szCs w:val="21"/>
        </w:rPr>
        <w:t>个工作日内，以书面形式向采购人提出质疑。供应商对采购人的质疑答复不满意或者采购人未在规定时间内作出答复的，可以在答复期满后</w:t>
      </w:r>
      <w:r>
        <w:rPr>
          <w:rFonts w:ascii="Times New Roman" w:hAnsi="Times New Roman"/>
          <w:szCs w:val="21"/>
        </w:rPr>
        <w:t>15</w:t>
      </w:r>
      <w:r>
        <w:rPr>
          <w:rFonts w:hint="eastAsia" w:ascii="Times New Roman" w:hAnsi="Times New Roman"/>
          <w:szCs w:val="21"/>
        </w:rPr>
        <w:t>个工作日内向浙江省财政局政府采购监管处投诉。</w:t>
      </w:r>
    </w:p>
    <w:p>
      <w:pPr>
        <w:snapToGrid w:val="0"/>
        <w:spacing w:line="360" w:lineRule="auto"/>
        <w:ind w:firstLine="420" w:firstLineChars="200"/>
        <w:rPr>
          <w:rFonts w:ascii="Times New Roman" w:hAnsi="Times New Roman"/>
          <w:szCs w:val="21"/>
        </w:rPr>
      </w:pPr>
      <w:r>
        <w:rPr>
          <w:rFonts w:ascii="Times New Roman" w:hAnsi="Times New Roman"/>
          <w:szCs w:val="21"/>
        </w:rPr>
        <w:t>6.2</w:t>
      </w:r>
      <w:r>
        <w:rPr>
          <w:rFonts w:hint="eastAsia" w:ascii="Times New Roman" w:hAnsi="Times New Roman"/>
          <w:szCs w:val="21"/>
        </w:rPr>
        <w:t>质疑、投诉应当采用书面形式，质疑书、投诉书均应明确阐述招标文件、招标过程或成交结果中使自己合法权益受到损害的实质性内容，提供相关事实、依据和证据及其来源或线索，便于有关单位调查、答复和处理。</w:t>
      </w:r>
    </w:p>
    <w:p>
      <w:pPr>
        <w:snapToGrid w:val="0"/>
        <w:spacing w:line="360" w:lineRule="auto"/>
        <w:ind w:firstLine="420" w:firstLineChars="200"/>
        <w:rPr>
          <w:rFonts w:ascii="Times New Roman" w:hAnsi="Times New Roman"/>
          <w:szCs w:val="21"/>
        </w:rPr>
      </w:pPr>
    </w:p>
    <w:p>
      <w:pPr>
        <w:pStyle w:val="3"/>
      </w:pPr>
      <w:bookmarkStart w:id="6" w:name="_Toc24965419"/>
      <w:r>
        <w:rPr>
          <w:rFonts w:hint="eastAsia"/>
        </w:rPr>
        <w:t>（二）采购文件</w:t>
      </w:r>
      <w:bookmarkEnd w:id="6"/>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、采购文件的组成</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采购文件由采购文件总目录所列内容及采购补充文件（如有）组成。</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、采购文件的获取</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参见采购邀请书。</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、采购文件的澄清</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供应商对采购文件如有疑点要求澄清可用书面形式（包括信函，传真）通知采购人，采购人将用书面形式予以答复。</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、采购文件的修改</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在采购响应文件递交截止时间前，采购人有权修改采购文件，并以书面形式通知供应商。修改文件作为采购文件的补充和组成部分，对供应商均有约束力。</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为使供应商有足够的时间按修改文件要求修正采购响应文件，采购人可酌情推迟采购响应文件提交截止时间和谈判时间，并将此变更通知供应商。</w:t>
      </w:r>
    </w:p>
    <w:p>
      <w:pPr>
        <w:snapToGrid w:val="0"/>
        <w:spacing w:line="360" w:lineRule="auto"/>
        <w:ind w:firstLine="420" w:firstLineChars="200"/>
        <w:rPr>
          <w:rFonts w:ascii="Times New Roman" w:hAnsi="Times New Roman"/>
          <w:szCs w:val="21"/>
        </w:rPr>
      </w:pPr>
    </w:p>
    <w:p>
      <w:pPr>
        <w:pStyle w:val="3"/>
      </w:pPr>
      <w:bookmarkStart w:id="7" w:name="_Toc24965420"/>
      <w:r>
        <w:rPr>
          <w:rFonts w:hint="eastAsia"/>
        </w:rPr>
        <w:t>（三）采购响应文件的编制</w:t>
      </w:r>
      <w:bookmarkEnd w:id="7"/>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、采购响应文件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供应商应仔细阅读采购文件中的所有内容，按照采购文件要求，详细编制采购响应文件，提供相关技术参数、资料，对采购文件中给予实质性响应，并保证采购响应文件的正确性和真实性，</w:t>
      </w:r>
      <w:r>
        <w:rPr>
          <w:rFonts w:hint="eastAsia" w:ascii="Times New Roman" w:hAnsi="Times New Roman"/>
          <w:bCs/>
          <w:szCs w:val="21"/>
        </w:rPr>
        <w:t>否则可能导致不利于其采购响应文件的评定</w:t>
      </w:r>
      <w:r>
        <w:rPr>
          <w:rFonts w:hint="eastAsia" w:ascii="Times New Roman" w:hAnsi="Times New Roman"/>
          <w:szCs w:val="21"/>
        </w:rPr>
        <w:t>。</w:t>
      </w:r>
      <w:r>
        <w:rPr>
          <w:rFonts w:hint="eastAsia" w:ascii="Times New Roman" w:hAnsi="Times New Roman"/>
          <w:bCs/>
          <w:szCs w:val="21"/>
        </w:rPr>
        <w:t>技术和商务如有偏离均应填写偏离表，如不填写，采购人有权视作完全响应采购文件要求。</w:t>
      </w:r>
      <w:r>
        <w:rPr>
          <w:rFonts w:hint="eastAsia" w:ascii="Times New Roman" w:hAnsi="Times New Roman"/>
          <w:szCs w:val="21"/>
        </w:rPr>
        <w:t>采购响应文件统一采用汉语言文字，计量单位应使用国际单位（文件中另有规定的除外）。</w:t>
      </w:r>
    </w:p>
    <w:p>
      <w:pPr>
        <w:snapToGrid w:val="0"/>
        <w:spacing w:line="360" w:lineRule="auto"/>
        <w:ind w:firstLine="420" w:firstLineChars="200"/>
        <w:rPr>
          <w:rFonts w:ascii="Times New Roman" w:hAnsi="Times New Roman"/>
          <w:bCs/>
          <w:szCs w:val="21"/>
          <w:u w:val="single"/>
        </w:rPr>
      </w:pPr>
      <w:r>
        <w:rPr>
          <w:rFonts w:ascii="Times New Roman" w:hAnsi="Times New Roman"/>
          <w:bCs/>
          <w:szCs w:val="21"/>
          <w:u w:val="single"/>
        </w:rPr>
        <w:t xml:space="preserve">1.2 </w:t>
      </w:r>
      <w:r>
        <w:rPr>
          <w:rFonts w:hint="eastAsia" w:ascii="Times New Roman" w:hAnsi="Times New Roman"/>
          <w:bCs/>
          <w:szCs w:val="21"/>
          <w:u w:val="single"/>
        </w:rPr>
        <w:t>不按采购文件的要求提供的采购响应文件可能导致被拒绝。</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、采购响应文件的组成</w:t>
      </w:r>
    </w:p>
    <w:p>
      <w:pPr>
        <w:pStyle w:val="10"/>
        <w:adjustRightInd w:val="0"/>
        <w:snapToGrid w:val="0"/>
        <w:ind w:firstLine="422" w:firstLineChars="200"/>
        <w:rPr>
          <w:szCs w:val="21"/>
        </w:rPr>
      </w:pPr>
      <w:r>
        <w:rPr>
          <w:rFonts w:hint="eastAsia"/>
          <w:szCs w:val="21"/>
        </w:rPr>
        <w:t>采购响应文件须按照采购文件要求制作。</w:t>
      </w:r>
    </w:p>
    <w:p>
      <w:pPr>
        <w:pStyle w:val="40"/>
        <w:adjustRightInd w:val="0"/>
        <w:snapToGrid w:val="0"/>
        <w:spacing w:before="0"/>
        <w:ind w:firstLine="0" w:firstLineChars="0"/>
        <w:rPr>
          <w:rFonts w:ascii="Times New Roman" w:hAnsi="Times New Roman"/>
          <w:b/>
          <w:kern w:val="0"/>
          <w:sz w:val="21"/>
          <w:szCs w:val="21"/>
          <w:lang w:val="zh-CN"/>
        </w:rPr>
      </w:pPr>
      <w:r>
        <w:rPr>
          <w:rFonts w:ascii="Times New Roman" w:hAnsi="Times New Roman"/>
          <w:b/>
          <w:kern w:val="0"/>
          <w:sz w:val="21"/>
          <w:szCs w:val="21"/>
          <w:lang w:val="zh-CN"/>
        </w:rPr>
        <w:t>3</w:t>
      </w:r>
      <w:r>
        <w:rPr>
          <w:rFonts w:hint="eastAsia" w:ascii="Times New Roman" w:hAnsi="Times New Roman"/>
          <w:b/>
          <w:kern w:val="0"/>
          <w:sz w:val="21"/>
          <w:szCs w:val="21"/>
          <w:lang w:val="zh-CN"/>
        </w:rPr>
        <w:t>、采购响应文件的语言</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与采购有关的来往通知、函件和文件均应使用中文。</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、报价要求</w:t>
      </w:r>
    </w:p>
    <w:p>
      <w:pPr>
        <w:snapToGrid w:val="0"/>
        <w:spacing w:line="360" w:lineRule="auto"/>
        <w:ind w:firstLine="420" w:firstLineChars="200"/>
        <w:rPr>
          <w:rFonts w:ascii="Times New Roman" w:hAnsi="Times New Roman"/>
          <w:kern w:val="0"/>
          <w:szCs w:val="21"/>
          <w:lang w:val="zh-CN"/>
        </w:rPr>
      </w:pPr>
      <w:r>
        <w:rPr>
          <w:rFonts w:ascii="Times New Roman" w:hAnsi="Times New Roman"/>
          <w:szCs w:val="21"/>
        </w:rPr>
        <w:t xml:space="preserve">4.1 </w:t>
      </w:r>
      <w:r>
        <w:rPr>
          <w:rFonts w:hint="eastAsia" w:ascii="Times New Roman" w:hAnsi="Times New Roman"/>
          <w:kern w:val="0"/>
          <w:szCs w:val="21"/>
          <w:lang w:val="zh-CN"/>
        </w:rPr>
        <w:t>有关本项目建设所需的</w:t>
      </w:r>
      <w:r>
        <w:rPr>
          <w:rFonts w:hint="eastAsia" w:ascii="Times New Roman" w:hAnsi="Times New Roman"/>
          <w:b/>
          <w:bCs/>
          <w:kern w:val="0"/>
          <w:szCs w:val="21"/>
        </w:rPr>
        <w:t>浙江财经大学</w:t>
      </w:r>
      <w:r>
        <w:rPr>
          <w:rFonts w:hint="eastAsia" w:ascii="Times New Roman" w:hAnsi="Times New Roman"/>
          <w:kern w:val="0"/>
          <w:szCs w:val="21"/>
          <w:lang w:val="zh-CN"/>
        </w:rPr>
        <w:t>企业竞争模拟系统采购项目</w:t>
      </w:r>
      <w:r>
        <w:rPr>
          <w:rFonts w:hint="eastAsia" w:ascii="Times New Roman" w:hAnsi="Times New Roman"/>
          <w:kern w:val="0"/>
          <w:szCs w:val="21"/>
          <w:lang w:val="zh-CN" w:eastAsia="zh-CN"/>
        </w:rPr>
        <w:t>、</w:t>
      </w:r>
      <w:r>
        <w:rPr>
          <w:rFonts w:hint="eastAsia" w:ascii="Times New Roman" w:hAnsi="Times New Roman"/>
          <w:kern w:val="0"/>
          <w:szCs w:val="21"/>
          <w:lang w:val="zh-CN"/>
        </w:rPr>
        <w:t>人力资源管理智能仿真与竞赛对抗平台</w:t>
      </w:r>
      <w:r>
        <w:rPr>
          <w:rFonts w:hint="eastAsia" w:ascii="Times New Roman" w:hAnsi="Times New Roman"/>
          <w:kern w:val="0"/>
          <w:szCs w:val="21"/>
          <w:lang w:val="en-US" w:eastAsia="zh-CN"/>
        </w:rPr>
        <w:t>采购项目</w:t>
      </w:r>
      <w:r>
        <w:rPr>
          <w:rFonts w:hint="eastAsia" w:ascii="Times New Roman" w:hAnsi="Times New Roman"/>
          <w:kern w:val="0"/>
          <w:szCs w:val="21"/>
          <w:lang w:val="zh-CN"/>
        </w:rPr>
        <w:t>、智慧教学系统服务费采购项目</w:t>
      </w:r>
      <w:r>
        <w:rPr>
          <w:rFonts w:hint="eastAsia" w:ascii="Times New Roman" w:hAnsi="Times New Roman"/>
          <w:b/>
          <w:bCs/>
          <w:kern w:val="0"/>
          <w:szCs w:val="21"/>
          <w:lang w:val="zh-CN"/>
        </w:rPr>
        <w:t>所需数据库使用费、开发费、人工费、技术支持、测试费和税金等为完成本项目所需的一切费用均计入报价</w:t>
      </w:r>
      <w:r>
        <w:rPr>
          <w:rFonts w:hint="eastAsia" w:ascii="Times New Roman" w:hAnsi="Times New Roman"/>
          <w:kern w:val="0"/>
          <w:szCs w:val="21"/>
          <w:lang w:val="zh-CN"/>
        </w:rPr>
        <w:t>，采购人不再另行支付合同价以外的其他款项。</w:t>
      </w:r>
    </w:p>
    <w:p>
      <w:pPr>
        <w:snapToGrid w:val="0"/>
        <w:spacing w:line="360" w:lineRule="auto"/>
        <w:ind w:firstLine="420" w:firstLineChars="200"/>
        <w:rPr>
          <w:rFonts w:ascii="Times New Roman" w:hAnsi="Times New Roman"/>
          <w:b/>
          <w:bCs/>
          <w:szCs w:val="21"/>
          <w:u w:val="thick"/>
        </w:rPr>
      </w:pPr>
      <w:r>
        <w:rPr>
          <w:rFonts w:ascii="Times New Roman" w:hAnsi="Times New Roman"/>
          <w:szCs w:val="21"/>
        </w:rPr>
        <w:t xml:space="preserve">4.2 </w:t>
      </w:r>
      <w:r>
        <w:rPr>
          <w:rFonts w:hint="eastAsia" w:ascii="Times New Roman" w:hAnsi="Times New Roman"/>
          <w:szCs w:val="21"/>
        </w:rPr>
        <w:t>报价价格单位为人民币，报价时精确到元。</w:t>
      </w:r>
    </w:p>
    <w:p>
      <w:pPr>
        <w:snapToGrid w:val="0"/>
        <w:spacing w:line="360" w:lineRule="auto"/>
        <w:ind w:firstLine="420" w:firstLineChars="200"/>
        <w:rPr>
          <w:rFonts w:ascii="Times New Roman" w:hAnsi="Times New Roman"/>
          <w:bCs/>
          <w:szCs w:val="21"/>
          <w:u w:val="single"/>
        </w:rPr>
      </w:pPr>
      <w:r>
        <w:rPr>
          <w:rFonts w:ascii="Times New Roman" w:hAnsi="Times New Roman"/>
          <w:bCs/>
          <w:szCs w:val="21"/>
        </w:rPr>
        <w:t xml:space="preserve">4.3 </w:t>
      </w:r>
      <w:r>
        <w:rPr>
          <w:rFonts w:hint="eastAsia" w:ascii="Times New Roman" w:hAnsi="Times New Roman"/>
          <w:bCs/>
          <w:szCs w:val="21"/>
          <w:u w:val="single"/>
        </w:rPr>
        <w:t>供应商的报价应按采购文件要求的格式、顺序编制，未按采购文件要求编制的采购响应文件将可能被拒绝。</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、采购响应文件的有效期</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自采购响应文件提交截止之日起</w:t>
      </w:r>
      <w:r>
        <w:rPr>
          <w:rFonts w:ascii="Times New Roman" w:hAnsi="Times New Roman"/>
          <w:szCs w:val="21"/>
        </w:rPr>
        <w:t>90</w:t>
      </w:r>
      <w:r>
        <w:rPr>
          <w:rFonts w:hint="eastAsia" w:ascii="Times New Roman" w:hAnsi="Times New Roman"/>
          <w:szCs w:val="21"/>
        </w:rPr>
        <w:t>天内，采购响应文件应保持有效。有效期短于这个规定期限的采购响应文件将被拒绝。</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在特殊情况下，采购人可与供应商协商延长采购响应文件的有效期，这种要求和答复均应以书面形式进行。</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、采购响应文件的签署和份数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6.1 </w:t>
      </w:r>
      <w:r>
        <w:rPr>
          <w:rFonts w:hint="eastAsia" w:ascii="Times New Roman" w:hAnsi="Times New Roman"/>
          <w:szCs w:val="21"/>
        </w:rPr>
        <w:t>采购响应文件的正本应使用不褪色的材料书写或打印，并注明“正本”字样。副本可以复印。</w:t>
      </w:r>
    </w:p>
    <w:p>
      <w:pPr>
        <w:snapToGrid w:val="0"/>
        <w:spacing w:line="360" w:lineRule="auto"/>
        <w:ind w:firstLine="420" w:firstLineChars="200"/>
        <w:rPr>
          <w:rFonts w:ascii="Times New Roman" w:hAnsi="Times New Roman"/>
          <w:bCs/>
          <w:szCs w:val="21"/>
          <w:u w:val="thick"/>
        </w:rPr>
      </w:pPr>
      <w:r>
        <w:rPr>
          <w:rFonts w:ascii="Times New Roman" w:hAnsi="Times New Roman"/>
          <w:szCs w:val="21"/>
        </w:rPr>
        <w:t xml:space="preserve">6.2 </w:t>
      </w:r>
      <w:r>
        <w:rPr>
          <w:rFonts w:hint="eastAsia" w:ascii="Times New Roman" w:hAnsi="Times New Roman"/>
          <w:bCs/>
          <w:szCs w:val="21"/>
        </w:rPr>
        <w:t>采购响应文件需按采购文件提供的格式要求由供应商盖公章、法定代表人或授权代表签字，供应商名称应写全称。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6.3 </w:t>
      </w:r>
      <w:r>
        <w:rPr>
          <w:rFonts w:hint="eastAsia" w:ascii="Times New Roman" w:hAnsi="Times New Roman"/>
          <w:szCs w:val="21"/>
        </w:rPr>
        <w:t>采购响应文件的份数</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按采购文件第三部分供应商须知中第三条采购响应文件中第</w:t>
      </w:r>
      <w:r>
        <w:rPr>
          <w:rFonts w:ascii="Times New Roman" w:hAnsi="Times New Roman"/>
          <w:szCs w:val="21"/>
        </w:rPr>
        <w:t>2</w:t>
      </w:r>
      <w:r>
        <w:rPr>
          <w:rFonts w:hint="eastAsia" w:ascii="Times New Roman" w:hAnsi="Times New Roman"/>
          <w:szCs w:val="21"/>
        </w:rPr>
        <w:t>款要求提供的</w:t>
      </w:r>
      <w:r>
        <w:rPr>
          <w:rFonts w:hint="eastAsia" w:ascii="Times New Roman" w:hAnsi="Times New Roman"/>
          <w:bCs/>
          <w:szCs w:val="21"/>
        </w:rPr>
        <w:t>采购响应文件装订</w:t>
      </w:r>
      <w:r>
        <w:rPr>
          <w:rFonts w:hint="eastAsia" w:ascii="Times New Roman" w:hAnsi="Times New Roman"/>
          <w:szCs w:val="21"/>
        </w:rPr>
        <w:t>成册，</w:t>
      </w:r>
      <w:r>
        <w:rPr>
          <w:rFonts w:hint="eastAsia" w:ascii="Times New Roman" w:hAnsi="Times New Roman"/>
          <w:b/>
          <w:bCs/>
          <w:szCs w:val="21"/>
        </w:rPr>
        <w:t>提供一式伍份，其中正本</w:t>
      </w:r>
      <w:r>
        <w:rPr>
          <w:rFonts w:hint="eastAsia" w:ascii="Times New Roman" w:hAnsi="Times New Roman"/>
          <w:b/>
          <w:bCs/>
          <w:szCs w:val="21"/>
          <w:u w:val="single"/>
        </w:rPr>
        <w:t>壹</w:t>
      </w:r>
      <w:r>
        <w:rPr>
          <w:rFonts w:hint="eastAsia" w:ascii="Times New Roman" w:hAnsi="Times New Roman"/>
          <w:b/>
          <w:bCs/>
          <w:szCs w:val="21"/>
        </w:rPr>
        <w:t>份，副本</w:t>
      </w:r>
      <w:r>
        <w:rPr>
          <w:rFonts w:hint="eastAsia" w:ascii="Times New Roman" w:hAnsi="Times New Roman"/>
          <w:b/>
          <w:bCs/>
          <w:szCs w:val="21"/>
          <w:u w:val="single"/>
        </w:rPr>
        <w:t>肆</w:t>
      </w:r>
      <w:r>
        <w:rPr>
          <w:rFonts w:hint="eastAsia" w:ascii="Times New Roman" w:hAnsi="Times New Roman"/>
          <w:b/>
          <w:bCs/>
          <w:szCs w:val="21"/>
        </w:rPr>
        <w:t>份，另电子文档</w:t>
      </w:r>
      <w:r>
        <w:rPr>
          <w:rFonts w:hint="eastAsia" w:ascii="Times New Roman" w:hAnsi="Times New Roman"/>
          <w:b/>
          <w:bCs/>
          <w:szCs w:val="21"/>
          <w:u w:val="single"/>
        </w:rPr>
        <w:t>壹</w:t>
      </w:r>
      <w:r>
        <w:rPr>
          <w:rFonts w:hint="eastAsia" w:ascii="Times New Roman" w:hAnsi="Times New Roman"/>
          <w:b/>
          <w:bCs/>
          <w:szCs w:val="21"/>
        </w:rPr>
        <w:t>份（光盘或</w:t>
      </w:r>
      <w:r>
        <w:rPr>
          <w:rFonts w:ascii="Times New Roman" w:hAnsi="Times New Roman"/>
          <w:b/>
          <w:bCs/>
          <w:szCs w:val="21"/>
        </w:rPr>
        <w:t>U</w:t>
      </w:r>
      <w:r>
        <w:rPr>
          <w:rFonts w:hint="eastAsia" w:ascii="Times New Roman" w:hAnsi="Times New Roman"/>
          <w:b/>
          <w:bCs/>
          <w:szCs w:val="21"/>
        </w:rPr>
        <w:t>盘）。</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6.4 </w:t>
      </w:r>
      <w:r>
        <w:rPr>
          <w:rFonts w:hint="eastAsia" w:ascii="Times New Roman" w:hAnsi="Times New Roman"/>
          <w:szCs w:val="21"/>
        </w:rPr>
        <w:t>采购响应文件不得涂改和增删，如有错漏必须修改，修改处须由法定代表人或</w:t>
      </w:r>
      <w:r>
        <w:rPr>
          <w:rFonts w:hint="eastAsia" w:ascii="Times New Roman" w:hAnsi="Times New Roman"/>
          <w:bCs/>
          <w:szCs w:val="21"/>
        </w:rPr>
        <w:t>法定代表人授权代表同一人签字或加盖公章</w:t>
      </w:r>
      <w:r>
        <w:rPr>
          <w:rFonts w:hint="eastAsia" w:ascii="Times New Roman" w:hAnsi="Times New Roman"/>
          <w:szCs w:val="21"/>
        </w:rPr>
        <w:t>。</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6.5 </w:t>
      </w:r>
      <w:r>
        <w:rPr>
          <w:rFonts w:hint="eastAsia" w:ascii="Times New Roman" w:hAnsi="Times New Roman"/>
          <w:szCs w:val="21"/>
        </w:rPr>
        <w:t>由于字迹模糊或表达不清引起的后果由供应商负责。</w:t>
      </w:r>
    </w:p>
    <w:p>
      <w:pPr>
        <w:snapToGrid w:val="0"/>
        <w:spacing w:line="360" w:lineRule="auto"/>
        <w:ind w:firstLine="420" w:firstLineChars="200"/>
        <w:rPr>
          <w:rFonts w:ascii="宋体" w:cs="宋体"/>
          <w:szCs w:val="21"/>
        </w:rPr>
      </w:pPr>
    </w:p>
    <w:p>
      <w:pPr>
        <w:pStyle w:val="3"/>
      </w:pPr>
      <w:bookmarkStart w:id="8" w:name="_Toc24965421"/>
      <w:r>
        <w:rPr>
          <w:rFonts w:hint="eastAsia"/>
        </w:rPr>
        <w:t>（四）采购响应文件的递交</w:t>
      </w:r>
      <w:bookmarkEnd w:id="8"/>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、采购响应文件的密封及标记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采购响应文件应按以下方法分别装袋密封</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采购响应文件需按次序装订成册，</w:t>
      </w:r>
      <w:r>
        <w:rPr>
          <w:rFonts w:hint="eastAsia" w:ascii="Times New Roman" w:hAnsi="Times New Roman"/>
          <w:b/>
          <w:szCs w:val="21"/>
        </w:rPr>
        <w:t>正、副本共一式伍份</w:t>
      </w:r>
      <w:r>
        <w:rPr>
          <w:rFonts w:hint="eastAsia" w:ascii="Times New Roman" w:hAnsi="Times New Roman"/>
          <w:szCs w:val="21"/>
        </w:rPr>
        <w:t>均须装在密封袋内，在密封袋封皮上写明采购编号、采购项目名称、供应商名称。封口处应有供应商公章或</w:t>
      </w:r>
      <w:r>
        <w:rPr>
          <w:rFonts w:hint="eastAsia" w:ascii="Times New Roman" w:hAnsi="Times New Roman"/>
          <w:bCs/>
          <w:szCs w:val="21"/>
        </w:rPr>
        <w:t>法定代表人或授权代表</w:t>
      </w:r>
      <w:r>
        <w:rPr>
          <w:rFonts w:hint="eastAsia" w:ascii="Times New Roman" w:hAnsi="Times New Roman"/>
          <w:szCs w:val="21"/>
        </w:rPr>
        <w:t>签字。</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如果供应商未按上述要求密封及加写标记，采购人对采购响应文件的误投和提前启封不负责任。</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、递交采购响应文件截止时间</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2.1 </w:t>
      </w:r>
      <w:r>
        <w:rPr>
          <w:rFonts w:hint="eastAsia" w:ascii="Times New Roman" w:hAnsi="Times New Roman"/>
          <w:bCs/>
          <w:szCs w:val="21"/>
        </w:rPr>
        <w:t>采购响应文件必须在规定的递交截止时间前按采购文件规定送达指定的采购响应文件提交地点。</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采购人如因故推迟采购响应文件提交截止时间，应以书面形式通知所有供应商。在这种情况下，采购人和供应商的权利和义务将受到新的截止时间的约束。</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bCs/>
          <w:szCs w:val="21"/>
        </w:rPr>
        <w:t>递交</w:t>
      </w:r>
      <w:r>
        <w:rPr>
          <w:rFonts w:hint="eastAsia" w:ascii="Times New Roman" w:hAnsi="Times New Roman"/>
          <w:szCs w:val="21"/>
        </w:rPr>
        <w:t>截止时间后递交的采购响应文件将拒绝。</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、采购响应文件的修改和撤回</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供应商在报价以后如必须修改或撤回采购响应文件，必须在采购响应文件提交截止时间以前将书面的报价修改文件或撤标通知邮寄到达或送达采购人。</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报价修改文件必须密封，在密封袋上写明采购编号、采购项目名称、供应商名称、并注明“修改文件”、“谈判时启封”字样。</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3.3 </w:t>
      </w:r>
      <w:r>
        <w:rPr>
          <w:rFonts w:hint="eastAsia" w:ascii="Times New Roman" w:hAnsi="Times New Roman"/>
          <w:szCs w:val="21"/>
        </w:rPr>
        <w:t>供应商以传真或电报形式通知采购人撤标时，必须随后补充有法定代表人或法定代表人授权代表签署的正式文件。</w:t>
      </w:r>
    </w:p>
    <w:p>
      <w:pPr>
        <w:pStyle w:val="3"/>
      </w:pPr>
      <w:bookmarkStart w:id="9" w:name="_Toc24965422"/>
      <w:r>
        <w:rPr>
          <w:rFonts w:hint="eastAsia"/>
        </w:rPr>
        <w:t>（五）谈判及合同签订</w:t>
      </w:r>
      <w:bookmarkEnd w:id="9"/>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、递交采购响应文件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供应商按采购文件规定的时间、地点参加采购活动。</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供应商法定代表人或法定代表人授权代表必须签名报到。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1.3 </w:t>
      </w:r>
      <w:r>
        <w:rPr>
          <w:rFonts w:hint="eastAsia" w:ascii="Times New Roman" w:hAnsi="Times New Roman"/>
          <w:szCs w:val="21"/>
        </w:rPr>
        <w:t>采购人对签收采购响应文件，以存档备查。</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1.4 </w:t>
      </w:r>
      <w:r>
        <w:rPr>
          <w:rFonts w:hint="eastAsia" w:ascii="Times New Roman" w:hAnsi="Times New Roman"/>
          <w:szCs w:val="21"/>
        </w:rPr>
        <w:t>开标时采购响应文件中的报价一览表内容与报价明细表内容不一致的，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pPr>
        <w:snapToGrid w:val="0"/>
        <w:spacing w:line="360" w:lineRule="auto"/>
        <w:ind w:firstLine="422" w:firstLineChars="200"/>
        <w:rPr>
          <w:rFonts w:ascii="Times New Roman" w:hAnsi="Times New Roman"/>
          <w:b/>
          <w:szCs w:val="21"/>
        </w:rPr>
      </w:pPr>
      <w:r>
        <w:rPr>
          <w:rFonts w:ascii="Times New Roman" w:hAnsi="Times New Roman"/>
          <w:b/>
          <w:szCs w:val="21"/>
        </w:rPr>
        <w:t xml:space="preserve">1.5  </w:t>
      </w:r>
      <w:r>
        <w:rPr>
          <w:rFonts w:hint="eastAsia" w:ascii="Times New Roman" w:hAnsi="Times New Roman"/>
          <w:b/>
          <w:szCs w:val="21"/>
        </w:rPr>
        <w:t>采购响应文件有下列情况之一者将视为无效：</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szCs w:val="21"/>
        </w:rPr>
        <w:t>（</w:t>
      </w:r>
      <w:r>
        <w:rPr>
          <w:rFonts w:ascii="Times New Roman" w:hAnsi="Times New Roman"/>
          <w:bCs/>
          <w:kern w:val="2"/>
          <w:szCs w:val="21"/>
        </w:rPr>
        <w:t>1</w:t>
      </w:r>
      <w:r>
        <w:rPr>
          <w:rFonts w:hint="eastAsia" w:ascii="Times New Roman" w:hAnsi="Times New Roman"/>
          <w:bCs/>
          <w:kern w:val="2"/>
          <w:szCs w:val="21"/>
        </w:rPr>
        <w:t>）在</w:t>
      </w:r>
      <w:r>
        <w:rPr>
          <w:rFonts w:hint="eastAsia" w:ascii="Times New Roman" w:hAnsi="Times New Roman"/>
          <w:bCs/>
          <w:szCs w:val="21"/>
        </w:rPr>
        <w:t>采购</w:t>
      </w:r>
      <w:r>
        <w:rPr>
          <w:rFonts w:hint="eastAsia" w:ascii="Times New Roman" w:hAnsi="Times New Roman"/>
          <w:bCs/>
          <w:kern w:val="2"/>
          <w:szCs w:val="21"/>
        </w:rPr>
        <w:t>响应文件递交截止时间以后送达的；</w:t>
      </w:r>
    </w:p>
    <w:p>
      <w:pPr>
        <w:pStyle w:val="39"/>
        <w:snapToGrid w:val="0"/>
        <w:spacing w:before="0" w:line="360" w:lineRule="auto"/>
        <w:ind w:left="0" w:firstLine="411" w:firstLineChars="196"/>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2</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w:t>
      </w:r>
      <w:r>
        <w:rPr>
          <w:rFonts w:hint="eastAsia" w:ascii="Times New Roman" w:hAnsi="Times New Roman"/>
          <w:bCs/>
          <w:szCs w:val="21"/>
        </w:rPr>
        <w:t>没有密封包装或者由于包装不妥，在送交途中严重破损或失散的；</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3</w:t>
      </w:r>
      <w:r>
        <w:rPr>
          <w:rFonts w:hint="eastAsia" w:ascii="Times New Roman" w:hAnsi="Times New Roman"/>
          <w:bCs/>
          <w:kern w:val="2"/>
          <w:szCs w:val="21"/>
        </w:rPr>
        <w:t>）仅以非纸制文本形式的</w:t>
      </w:r>
      <w:r>
        <w:rPr>
          <w:rFonts w:hint="eastAsia" w:ascii="Times New Roman" w:hAnsi="Times New Roman"/>
          <w:bCs/>
          <w:szCs w:val="21"/>
        </w:rPr>
        <w:t>采购</w:t>
      </w:r>
      <w:r>
        <w:rPr>
          <w:rFonts w:hint="eastAsia" w:ascii="Times New Roman" w:hAnsi="Times New Roman"/>
          <w:bCs/>
          <w:kern w:val="2"/>
          <w:szCs w:val="21"/>
        </w:rPr>
        <w:t>响应文件；</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4</w:t>
      </w:r>
      <w:r>
        <w:rPr>
          <w:rFonts w:hint="eastAsia" w:ascii="Times New Roman" w:hAnsi="Times New Roman"/>
          <w:bCs/>
          <w:kern w:val="2"/>
          <w:szCs w:val="21"/>
        </w:rPr>
        <w:t>）供应商的法定代表人或授权代表人未准时到场参加的；</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5</w:t>
      </w:r>
      <w:r>
        <w:rPr>
          <w:rFonts w:hint="eastAsia" w:ascii="Times New Roman" w:hAnsi="Times New Roman"/>
          <w:bCs/>
          <w:kern w:val="2"/>
          <w:szCs w:val="21"/>
        </w:rPr>
        <w:t>）未能提供满足采购文件的资格要求的</w:t>
      </w:r>
      <w:r>
        <w:rPr>
          <w:rFonts w:hint="eastAsia" w:ascii="Times New Roman" w:hAnsi="Times New Roman"/>
          <w:bCs/>
          <w:szCs w:val="21"/>
        </w:rPr>
        <w:t>采购</w:t>
      </w:r>
      <w:r>
        <w:rPr>
          <w:rFonts w:hint="eastAsia" w:ascii="Times New Roman" w:hAnsi="Times New Roman"/>
          <w:bCs/>
          <w:kern w:val="2"/>
          <w:szCs w:val="21"/>
        </w:rPr>
        <w:t>响应文件；</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6</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响应文件有采购人不能接受的附加条件的</w:t>
      </w:r>
      <w:r>
        <w:rPr>
          <w:rFonts w:ascii="Times New Roman" w:hAnsi="Times New Roman"/>
          <w:bCs/>
          <w:kern w:val="2"/>
          <w:szCs w:val="21"/>
        </w:rPr>
        <w:t>,</w:t>
      </w:r>
      <w:r>
        <w:rPr>
          <w:rFonts w:hint="eastAsia" w:ascii="Times New Roman" w:hAnsi="Times New Roman"/>
          <w:bCs/>
          <w:szCs w:val="21"/>
        </w:rPr>
        <w:t>报价超预算的</w:t>
      </w:r>
      <w:r>
        <w:rPr>
          <w:rFonts w:hint="eastAsia" w:ascii="Times New Roman" w:hAnsi="Times New Roman"/>
          <w:bCs/>
          <w:kern w:val="2"/>
          <w:szCs w:val="21"/>
        </w:rPr>
        <w:t>；</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7</w:t>
      </w:r>
      <w:r>
        <w:rPr>
          <w:rFonts w:hint="eastAsia" w:ascii="Times New Roman" w:hAnsi="Times New Roman"/>
          <w:bCs/>
          <w:kern w:val="2"/>
          <w:szCs w:val="21"/>
        </w:rPr>
        <w:t>）与采购文件有重大偏离或缺漏的</w:t>
      </w:r>
      <w:r>
        <w:rPr>
          <w:rFonts w:hint="eastAsia" w:ascii="Times New Roman" w:hAnsi="Times New Roman"/>
          <w:bCs/>
          <w:szCs w:val="21"/>
        </w:rPr>
        <w:t>采购</w:t>
      </w:r>
      <w:r>
        <w:rPr>
          <w:rFonts w:hint="eastAsia" w:ascii="Times New Roman" w:hAnsi="Times New Roman"/>
          <w:bCs/>
          <w:kern w:val="2"/>
          <w:szCs w:val="21"/>
        </w:rPr>
        <w:t>响应文件；</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8</w:t>
      </w:r>
      <w:r>
        <w:rPr>
          <w:rFonts w:hint="eastAsia" w:ascii="Times New Roman" w:hAnsi="Times New Roman"/>
          <w:bCs/>
          <w:kern w:val="2"/>
          <w:szCs w:val="21"/>
        </w:rPr>
        <w:t>）未提供或未如实提供采购内容的技术参数；</w:t>
      </w:r>
      <w:r>
        <w:rPr>
          <w:rFonts w:hint="eastAsia" w:ascii="Times New Roman" w:hAnsi="Times New Roman"/>
          <w:bCs/>
          <w:szCs w:val="21"/>
        </w:rPr>
        <w:t>采购</w:t>
      </w:r>
      <w:r>
        <w:rPr>
          <w:rFonts w:hint="eastAsia" w:ascii="Times New Roman" w:hAnsi="Times New Roman"/>
          <w:bCs/>
          <w:kern w:val="2"/>
          <w:szCs w:val="21"/>
        </w:rPr>
        <w:t>响应文件标明的商务、技术响应或偏离与事实不符或虚假应标的；</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9</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响应文件未有效授权或未提供谈判响应函、报价一览表的</w:t>
      </w:r>
      <w:r>
        <w:rPr>
          <w:rFonts w:hint="eastAsia" w:ascii="Times New Roman" w:hAnsi="Times New Roman"/>
          <w:bCs/>
          <w:szCs w:val="21"/>
        </w:rPr>
        <w:t>采购</w:t>
      </w:r>
      <w:r>
        <w:rPr>
          <w:rFonts w:hint="eastAsia" w:ascii="Times New Roman" w:hAnsi="Times New Roman"/>
          <w:bCs/>
          <w:kern w:val="2"/>
          <w:szCs w:val="21"/>
        </w:rPr>
        <w:t>响应文件；法定代表人授权委托书等填写不完整或有涂改的；</w:t>
      </w:r>
    </w:p>
    <w:p>
      <w:pPr>
        <w:pStyle w:val="39"/>
        <w:snapToGrid w:val="0"/>
        <w:spacing w:before="0" w:line="360" w:lineRule="auto"/>
        <w:ind w:left="0" w:firstLine="0"/>
        <w:rPr>
          <w:rFonts w:ascii="Times New Roman" w:hAnsi="Times New Roman"/>
          <w:bCs/>
          <w:kern w:val="2"/>
          <w:szCs w:val="21"/>
        </w:rPr>
      </w:pPr>
      <w:r>
        <w:rPr>
          <w:rFonts w:hint="eastAsia" w:ascii="Times New Roman" w:hAnsi="Times New Roman"/>
          <w:bCs/>
          <w:kern w:val="2"/>
          <w:szCs w:val="21"/>
        </w:rPr>
        <w:t>　　（</w:t>
      </w:r>
      <w:r>
        <w:rPr>
          <w:rFonts w:ascii="Times New Roman" w:hAnsi="Times New Roman"/>
          <w:bCs/>
          <w:kern w:val="2"/>
          <w:szCs w:val="21"/>
        </w:rPr>
        <w:t>10</w:t>
      </w:r>
      <w:r>
        <w:rPr>
          <w:rFonts w:hint="eastAsia" w:ascii="Times New Roman" w:hAnsi="Times New Roman"/>
          <w:bCs/>
          <w:kern w:val="2"/>
          <w:szCs w:val="21"/>
        </w:rPr>
        <w:t>）不符合法律、法规和本采购文件规定的其他实质性要求的。</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1.6 </w:t>
      </w:r>
      <w:r>
        <w:rPr>
          <w:rFonts w:hint="eastAsia" w:ascii="Times New Roman" w:hAnsi="Times New Roman"/>
          <w:szCs w:val="21"/>
        </w:rPr>
        <w:t>采购响应文件鉴定</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）采购响应文件被开启时确认为无效，采购人将及时通知该供应商。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）开启后递交至谈判小组的采购响应文件，仍需接受相关符合性的检查，并有可能在谈判过程中被判为无效。</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、评审</w:t>
      </w:r>
    </w:p>
    <w:p>
      <w:pPr>
        <w:snapToGrid w:val="0"/>
        <w:spacing w:line="360" w:lineRule="auto"/>
        <w:ind w:firstLine="420" w:firstLineChars="200"/>
        <w:rPr>
          <w:rFonts w:ascii="Times New Roman" w:hAnsi="Times New Roman"/>
          <w:szCs w:val="21"/>
          <w:lang w:val="zh-CN"/>
        </w:rPr>
      </w:pPr>
      <w:r>
        <w:rPr>
          <w:rFonts w:ascii="Times New Roman" w:hAnsi="Times New Roman"/>
          <w:szCs w:val="21"/>
        </w:rPr>
        <w:t>2.1</w:t>
      </w:r>
      <w:r>
        <w:rPr>
          <w:rFonts w:hint="eastAsia" w:ascii="Times New Roman" w:hAnsi="Times New Roman"/>
          <w:szCs w:val="21"/>
        </w:rPr>
        <w:t>谈判小组由</w:t>
      </w:r>
      <w:r>
        <w:rPr>
          <w:rFonts w:ascii="Times New Roman" w:hAnsi="Times New Roman"/>
          <w:szCs w:val="21"/>
        </w:rPr>
        <w:t>3</w:t>
      </w:r>
      <w:r>
        <w:rPr>
          <w:rFonts w:hint="eastAsia" w:ascii="Times New Roman" w:hAnsi="Times New Roman"/>
          <w:szCs w:val="21"/>
        </w:rPr>
        <w:t>人及以上单数的人员组成，负责对采购响应文件进行审查、谈判。谈判小组</w:t>
      </w:r>
      <w:r>
        <w:rPr>
          <w:rFonts w:hint="eastAsia" w:ascii="Times New Roman" w:hAnsi="Times New Roman"/>
          <w:szCs w:val="21"/>
          <w:lang w:val="zh-CN"/>
        </w:rPr>
        <w:t>由采购人代表和政府采购咨询专家组成，其中政府采购咨询专家人数不少于成员总数的三分之二。</w:t>
      </w:r>
    </w:p>
    <w:p>
      <w:pPr>
        <w:snapToGrid w:val="0"/>
        <w:spacing w:line="360" w:lineRule="auto"/>
        <w:ind w:firstLine="422" w:firstLineChars="200"/>
        <w:rPr>
          <w:rFonts w:ascii="Times New Roman" w:hAnsi="Times New Roman"/>
          <w:b/>
          <w:bCs/>
          <w:szCs w:val="21"/>
        </w:rPr>
      </w:pPr>
      <w:r>
        <w:rPr>
          <w:rFonts w:ascii="Times New Roman" w:hAnsi="Times New Roman"/>
          <w:b/>
          <w:bCs/>
          <w:szCs w:val="21"/>
        </w:rPr>
        <w:t xml:space="preserve">2.2 </w:t>
      </w:r>
      <w:r>
        <w:rPr>
          <w:rFonts w:hint="eastAsia" w:ascii="Times New Roman" w:hAnsi="Times New Roman"/>
          <w:b/>
          <w:bCs/>
          <w:szCs w:val="21"/>
        </w:rPr>
        <w:t>单一来源采购允许多轮报价，最终以质量保证、物有所值、价格合理的原则成交。</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szCs w:val="21"/>
        </w:rPr>
        <w:t>遵循公开、公正、公平、科学、择优的原则，谈判小组成员将本着认真、公正、诚实、廉洁的精神，择优推荐成交候选人。在评审期间，谈判小组及相关工作人员必须严格遵守保密规定，不得泄露评审的有关情况。</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若出现下列情况之一的，经谈判小组评审决议后，可认定为无效采购响应文件：</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）谈判小组少数服从多数原则认定后属于重大偏离的；</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）谈判小组认定采购响应文件格式严重不符合采购文件规定的格式要求或字迹模糊、辨认不清的采购响应文件；</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）采购响应文件附有采购人不能接受的条款；</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）报价明显不合理且又不能提供合理的理由或存在弄虚作假情况的；</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、谈判内容的保密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报价响应文件被开启后直到宣布成交止，凡属于审查、澄清、评价的所有资料，都不应向供应商或与评审无关的其他人泄露。</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在采购响应文件的审查、澄清、评价和比较以及确定成交人过程中，供应商对采购人、采购人和谈判小组施加影响的任何行为，都将导致取消资格。</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、成交条件</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）基本符合采购文件要求；</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）有良好的执行合同的能力；</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）报价合理。</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、确定成交供应商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谈判小组将根据采购文件的规定，履行谈判评审工作职责，以谈判评审要点为标准，全面衡量供应商对采购文件的响应情况。</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、成交通知书</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在确定成交人后，将以书面形式向成交人发出成交通知书。</w:t>
      </w:r>
    </w:p>
    <w:p>
      <w:pPr>
        <w:snapToGrid w:val="0"/>
        <w:spacing w:line="360" w:lineRule="auto"/>
        <w:rPr>
          <w:rFonts w:ascii="Times New Roman" w:hAnsi="Times New Roman"/>
          <w:bCs/>
          <w:szCs w:val="21"/>
        </w:rPr>
      </w:pPr>
      <w:r>
        <w:rPr>
          <w:rFonts w:ascii="Times New Roman" w:hAnsi="Times New Roman"/>
          <w:b/>
          <w:szCs w:val="21"/>
        </w:rPr>
        <w:t>7</w:t>
      </w:r>
      <w:r>
        <w:rPr>
          <w:rFonts w:hint="eastAsia" w:ascii="Times New Roman" w:hAnsi="Times New Roman"/>
          <w:b/>
          <w:szCs w:val="21"/>
        </w:rPr>
        <w:t>、签订合同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7.1 </w:t>
      </w:r>
      <w:r>
        <w:rPr>
          <w:rFonts w:hint="eastAsia" w:ascii="Times New Roman" w:hAnsi="Times New Roman"/>
          <w:szCs w:val="21"/>
        </w:rPr>
        <w:t>成交人应按成交通知书规定的时间、地点与采购人签订合同。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7.2 </w:t>
      </w:r>
      <w:r>
        <w:rPr>
          <w:rFonts w:hint="eastAsia" w:ascii="Times New Roman" w:hAnsi="Times New Roman"/>
          <w:szCs w:val="21"/>
        </w:rPr>
        <w:t>采购文件、成交人的采购响应文件及报价修改文件、评审过程中有关澄清、谈判纪要和成交通知书均作为合同附件。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7.3 </w:t>
      </w:r>
      <w:r>
        <w:rPr>
          <w:rFonts w:hint="eastAsia" w:ascii="Times New Roman" w:hAnsi="Times New Roman"/>
          <w:szCs w:val="21"/>
        </w:rPr>
        <w:t>拒签合同的责任</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成交人接到成交通知书后，在规定时间内借故否认已经承诺的条件而拒签合同者，以谈判违约处理，并赔偿采购人由此造成的直接经济损失。</w:t>
      </w:r>
    </w:p>
    <w:p>
      <w:pPr>
        <w:pStyle w:val="40"/>
        <w:adjustRightInd w:val="0"/>
        <w:snapToGrid w:val="0"/>
        <w:spacing w:before="0"/>
        <w:ind w:firstLine="0" w:firstLineChars="0"/>
        <w:rPr>
          <w:rFonts w:ascii="Times New Roman" w:hAnsi="Times New Roman"/>
          <w:b/>
          <w:sz w:val="21"/>
          <w:szCs w:val="21"/>
        </w:rPr>
      </w:pPr>
      <w:r>
        <w:rPr>
          <w:rFonts w:ascii="Times New Roman" w:hAnsi="Times New Roman"/>
          <w:b/>
          <w:sz w:val="21"/>
          <w:szCs w:val="21"/>
        </w:rPr>
        <w:t>8</w:t>
      </w:r>
      <w:r>
        <w:rPr>
          <w:rFonts w:hint="eastAsia" w:ascii="Times New Roman" w:hAnsi="Times New Roman"/>
          <w:b/>
          <w:sz w:val="21"/>
          <w:szCs w:val="21"/>
        </w:rPr>
        <w:t>、谈判中止</w:t>
      </w:r>
    </w:p>
    <w:p>
      <w:pPr>
        <w:pStyle w:val="9"/>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在采购中，出现下列情形之一的，应予中止：</w:t>
      </w:r>
    </w:p>
    <w:p>
      <w:pPr>
        <w:pStyle w:val="9"/>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1</w:t>
      </w:r>
      <w:r>
        <w:rPr>
          <w:rFonts w:hint="eastAsia" w:ascii="Times New Roman" w:hAnsi="Times New Roman"/>
          <w:bCs/>
          <w:sz w:val="21"/>
          <w:szCs w:val="21"/>
        </w:rPr>
        <w:t>）出现影响采购公正的违法、违规行为的；</w:t>
      </w:r>
    </w:p>
    <w:p>
      <w:pPr>
        <w:pStyle w:val="9"/>
        <w:adjustRightInd w:val="0"/>
        <w:snapToGrid w:val="0"/>
        <w:spacing w:line="360" w:lineRule="auto"/>
        <w:ind w:firstLine="422"/>
        <w:rPr>
          <w:rFonts w:ascii="Times New Roman" w:hAnsi="Times New Roman"/>
          <w:b/>
          <w:sz w:val="21"/>
          <w:szCs w:val="21"/>
        </w:rPr>
      </w:pPr>
      <w:r>
        <w:rPr>
          <w:rFonts w:hint="eastAsia" w:ascii="Times New Roman" w:hAnsi="Times New Roman"/>
          <w:b/>
          <w:sz w:val="21"/>
          <w:szCs w:val="21"/>
        </w:rPr>
        <w:t>（</w:t>
      </w:r>
      <w:r>
        <w:rPr>
          <w:rFonts w:ascii="Times New Roman" w:hAnsi="Times New Roman"/>
          <w:b/>
          <w:sz w:val="21"/>
          <w:szCs w:val="21"/>
        </w:rPr>
        <w:t>2</w:t>
      </w:r>
      <w:r>
        <w:rPr>
          <w:rFonts w:hint="eastAsia" w:ascii="Times New Roman" w:hAnsi="Times New Roman"/>
          <w:b/>
          <w:sz w:val="21"/>
          <w:szCs w:val="21"/>
        </w:rPr>
        <w:t>）报价均超过预算，不能支付的（本项目标项</w:t>
      </w:r>
      <w:r>
        <w:rPr>
          <w:rFonts w:ascii="Times New Roman" w:hAnsi="Times New Roman"/>
          <w:b/>
          <w:sz w:val="21"/>
          <w:szCs w:val="21"/>
        </w:rPr>
        <w:t>1</w:t>
      </w:r>
      <w:r>
        <w:rPr>
          <w:rFonts w:hint="eastAsia" w:ascii="Times New Roman" w:hAnsi="Times New Roman"/>
          <w:b/>
          <w:sz w:val="21"/>
          <w:szCs w:val="21"/>
        </w:rPr>
        <w:t>预算</w:t>
      </w:r>
      <w:r>
        <w:rPr>
          <w:rFonts w:hint="eastAsia" w:ascii="Times New Roman" w:hAnsi="Times New Roman"/>
          <w:b/>
          <w:sz w:val="21"/>
          <w:szCs w:val="21"/>
          <w:lang w:val="en-US" w:eastAsia="zh-CN"/>
        </w:rPr>
        <w:t>20</w:t>
      </w:r>
      <w:r>
        <w:rPr>
          <w:rFonts w:hint="eastAsia" w:ascii="Times New Roman" w:hAnsi="Times New Roman"/>
          <w:b/>
          <w:sz w:val="21"/>
          <w:szCs w:val="21"/>
        </w:rPr>
        <w:t>万元，标项</w:t>
      </w:r>
      <w:r>
        <w:rPr>
          <w:rFonts w:ascii="Times New Roman" w:hAnsi="Times New Roman"/>
          <w:b/>
          <w:sz w:val="21"/>
          <w:szCs w:val="21"/>
        </w:rPr>
        <w:t>2</w:t>
      </w:r>
      <w:r>
        <w:rPr>
          <w:rFonts w:hint="eastAsia" w:ascii="Times New Roman" w:hAnsi="Times New Roman"/>
          <w:b/>
          <w:sz w:val="21"/>
          <w:szCs w:val="21"/>
        </w:rPr>
        <w:t>预算</w:t>
      </w:r>
      <w:r>
        <w:rPr>
          <w:rFonts w:hint="eastAsia" w:ascii="Times New Roman" w:hAnsi="Times New Roman"/>
          <w:b/>
          <w:sz w:val="21"/>
          <w:szCs w:val="21"/>
          <w:lang w:val="en-US" w:eastAsia="zh-CN"/>
        </w:rPr>
        <w:t>12</w:t>
      </w:r>
      <w:r>
        <w:rPr>
          <w:rFonts w:hint="eastAsia" w:ascii="Times New Roman" w:hAnsi="Times New Roman"/>
          <w:b/>
          <w:sz w:val="21"/>
          <w:szCs w:val="21"/>
        </w:rPr>
        <w:t>万元</w:t>
      </w:r>
      <w:r>
        <w:rPr>
          <w:rFonts w:hint="eastAsia" w:ascii="Times New Roman" w:hAnsi="Times New Roman"/>
          <w:b/>
          <w:sz w:val="21"/>
          <w:szCs w:val="21"/>
          <w:lang w:eastAsia="zh-CN"/>
        </w:rPr>
        <w:t>，</w:t>
      </w:r>
      <w:r>
        <w:rPr>
          <w:rFonts w:hint="eastAsia" w:ascii="Times New Roman" w:hAnsi="Times New Roman"/>
          <w:b/>
          <w:sz w:val="21"/>
          <w:szCs w:val="21"/>
          <w:lang w:val="en-US" w:eastAsia="zh-CN"/>
        </w:rPr>
        <w:t>标项3预算 15 万元</w:t>
      </w:r>
      <w:r>
        <w:rPr>
          <w:rFonts w:hint="eastAsia" w:ascii="Times New Roman" w:hAnsi="Times New Roman"/>
          <w:b/>
          <w:sz w:val="21"/>
          <w:szCs w:val="21"/>
        </w:rPr>
        <w:t>）；</w:t>
      </w:r>
    </w:p>
    <w:p>
      <w:pPr>
        <w:pStyle w:val="9"/>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3</w:t>
      </w:r>
      <w:r>
        <w:rPr>
          <w:rFonts w:hint="eastAsia" w:ascii="Times New Roman" w:hAnsi="Times New Roman"/>
          <w:bCs/>
          <w:sz w:val="21"/>
          <w:szCs w:val="21"/>
        </w:rPr>
        <w:t>）因重大变故，采购任务取消的。</w:t>
      </w:r>
    </w:p>
    <w:p>
      <w:pPr>
        <w:pStyle w:val="2"/>
        <w:spacing w:before="312" w:after="312"/>
        <w:rPr>
          <w:rFonts w:ascii="Times New Roman" w:hAnsi="Times New Roman"/>
          <w:szCs w:val="44"/>
        </w:rPr>
      </w:pPr>
      <w:r>
        <w:rPr>
          <w:highlight w:val="yellow"/>
        </w:rPr>
        <w:br w:type="page"/>
      </w:r>
      <w:bookmarkEnd w:id="2"/>
      <w:bookmarkStart w:id="10" w:name="_Toc22722368"/>
      <w:bookmarkStart w:id="11" w:name="_Toc428382254"/>
      <w:bookmarkStart w:id="12" w:name="_Toc22722370"/>
      <w:bookmarkStart w:id="13" w:name="_Toc428383179"/>
      <w:r>
        <w:rPr>
          <w:rFonts w:hint="eastAsia"/>
        </w:rPr>
        <w:t>第三章</w:t>
      </w:r>
      <w:r>
        <w:t xml:space="preserve"> </w:t>
      </w:r>
      <w:r>
        <w:rPr>
          <w:rFonts w:hint="eastAsia"/>
        </w:rPr>
        <w:t>采购要求及商务条款</w:t>
      </w:r>
      <w:bookmarkEnd w:id="10"/>
      <w:bookmarkStart w:id="14" w:name="_Toc249321895"/>
      <w:bookmarkStart w:id="15" w:name="_Toc249329160"/>
      <w:bookmarkStart w:id="16" w:name="_Toc249322101"/>
      <w:bookmarkStart w:id="17" w:name="_Toc249329319"/>
      <w:bookmarkStart w:id="18" w:name="_Toc249322006"/>
      <w:bookmarkStart w:id="19" w:name="_Toc249266235"/>
      <w:bookmarkStart w:id="20" w:name="_Toc299115758"/>
    </w:p>
    <w:p>
      <w:pPr>
        <w:adjustRightInd w:val="0"/>
        <w:spacing w:line="360" w:lineRule="auto"/>
        <w:ind w:firstLine="600" w:firstLineChars="250"/>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本项目为浙江财经大学企业竞争模拟系统等软件采购项目。</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内容为企业竞争模拟系统等软件，详见采购内容清单。</w:t>
      </w:r>
    </w:p>
    <w:tbl>
      <w:tblPr>
        <w:tblStyle w:val="19"/>
        <w:tblW w:w="4996" w:type="pct"/>
        <w:tblInd w:w="0" w:type="dxa"/>
        <w:tblLayout w:type="fixed"/>
        <w:tblCellMar>
          <w:top w:w="0" w:type="dxa"/>
          <w:left w:w="108" w:type="dxa"/>
          <w:bottom w:w="0" w:type="dxa"/>
          <w:right w:w="108" w:type="dxa"/>
        </w:tblCellMar>
      </w:tblPr>
      <w:tblGrid>
        <w:gridCol w:w="424"/>
        <w:gridCol w:w="2509"/>
        <w:gridCol w:w="2872"/>
        <w:gridCol w:w="1478"/>
        <w:gridCol w:w="1239"/>
      </w:tblGrid>
      <w:tr>
        <w:tblPrEx>
          <w:tblCellMar>
            <w:top w:w="0" w:type="dxa"/>
            <w:left w:w="108" w:type="dxa"/>
            <w:bottom w:w="0" w:type="dxa"/>
            <w:right w:w="108" w:type="dxa"/>
          </w:tblCellMar>
        </w:tblPrEx>
        <w:trPr>
          <w:trHeight w:val="338" w:hRule="atLeast"/>
        </w:trPr>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eastAsia="zh-CN"/>
              </w:rPr>
            </w:pPr>
            <w:r>
              <w:rPr>
                <w:rFonts w:hint="eastAsia" w:ascii="微软雅黑" w:hAnsi="微软雅黑" w:eastAsia="微软雅黑" w:cs="宋体"/>
                <w:b/>
                <w:bCs/>
                <w:color w:val="000000"/>
                <w:kern w:val="0"/>
                <w:sz w:val="24"/>
                <w:lang w:val="en-US" w:eastAsia="zh-CN"/>
              </w:rPr>
              <w:t>标项</w:t>
            </w:r>
          </w:p>
        </w:tc>
        <w:tc>
          <w:tcPr>
            <w:tcW w:w="14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名称</w:t>
            </w:r>
          </w:p>
        </w:tc>
        <w:tc>
          <w:tcPr>
            <w:tcW w:w="16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eastAsia="zh-CN"/>
              </w:rPr>
            </w:pPr>
            <w:r>
              <w:rPr>
                <w:rFonts w:hint="eastAsia" w:ascii="微软雅黑" w:hAnsi="微软雅黑" w:eastAsia="微软雅黑" w:cs="宋体"/>
                <w:b/>
                <w:bCs/>
                <w:color w:val="000000"/>
                <w:kern w:val="0"/>
                <w:sz w:val="24"/>
                <w:lang w:val="en-US" w:eastAsia="zh-CN"/>
              </w:rPr>
              <w:t>预算</w:t>
            </w:r>
          </w:p>
        </w:tc>
        <w:tc>
          <w:tcPr>
            <w:tcW w:w="8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数量</w:t>
            </w:r>
          </w:p>
        </w:tc>
        <w:tc>
          <w:tcPr>
            <w:tcW w:w="7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单位</w:t>
            </w:r>
          </w:p>
        </w:tc>
      </w:tr>
      <w:tr>
        <w:tblPrEx>
          <w:tblCellMar>
            <w:top w:w="0" w:type="dxa"/>
            <w:left w:w="108" w:type="dxa"/>
            <w:bottom w:w="0" w:type="dxa"/>
            <w:right w:w="108" w:type="dxa"/>
          </w:tblCellMar>
        </w:tblPrEx>
        <w:trPr>
          <w:trHeight w:val="338" w:hRule="atLeast"/>
        </w:trPr>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147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企业竞争模拟系统</w:t>
            </w:r>
          </w:p>
        </w:tc>
        <w:tc>
          <w:tcPr>
            <w:tcW w:w="168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20万</w:t>
            </w:r>
          </w:p>
        </w:tc>
        <w:tc>
          <w:tcPr>
            <w:tcW w:w="86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7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套</w:t>
            </w:r>
          </w:p>
        </w:tc>
      </w:tr>
      <w:tr>
        <w:tblPrEx>
          <w:tblCellMar>
            <w:top w:w="0" w:type="dxa"/>
            <w:left w:w="108" w:type="dxa"/>
            <w:bottom w:w="0" w:type="dxa"/>
            <w:right w:w="108" w:type="dxa"/>
          </w:tblCellMar>
        </w:tblPrEx>
        <w:trPr>
          <w:trHeight w:val="338" w:hRule="atLeast"/>
        </w:trPr>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both"/>
              <w:textAlignment w:val="baseline"/>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2</w:t>
            </w:r>
          </w:p>
        </w:tc>
        <w:tc>
          <w:tcPr>
            <w:tcW w:w="1471"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人力资源管理智能仿真与竞赛对抗平台</w:t>
            </w:r>
          </w:p>
        </w:tc>
        <w:tc>
          <w:tcPr>
            <w:tcW w:w="1685"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12万</w:t>
            </w:r>
          </w:p>
        </w:tc>
        <w:tc>
          <w:tcPr>
            <w:tcW w:w="867"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726"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套</w:t>
            </w:r>
          </w:p>
        </w:tc>
      </w:tr>
      <w:tr>
        <w:tblPrEx>
          <w:tblCellMar>
            <w:top w:w="0" w:type="dxa"/>
            <w:left w:w="108" w:type="dxa"/>
            <w:bottom w:w="0" w:type="dxa"/>
            <w:right w:w="108" w:type="dxa"/>
          </w:tblCellMar>
        </w:tblPrEx>
        <w:trPr>
          <w:trHeight w:val="338" w:hRule="atLeast"/>
        </w:trPr>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both"/>
              <w:textAlignment w:val="baseline"/>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w:t>
            </w:r>
          </w:p>
        </w:tc>
        <w:tc>
          <w:tcPr>
            <w:tcW w:w="1471"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智慧教学系统</w:t>
            </w:r>
          </w:p>
        </w:tc>
        <w:tc>
          <w:tcPr>
            <w:tcW w:w="1685"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15万</w:t>
            </w:r>
          </w:p>
        </w:tc>
        <w:tc>
          <w:tcPr>
            <w:tcW w:w="867"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726" w:type="pct"/>
            <w:tcBorders>
              <w:top w:val="single" w:color="auto" w:sz="4" w:space="0"/>
              <w:left w:val="nil"/>
              <w:bottom w:val="single" w:color="auto" w:sz="4" w:space="0"/>
              <w:right w:val="single" w:color="auto" w:sz="4" w:space="0"/>
            </w:tcBorders>
            <w:shd w:val="clear" w:color="auto" w:fill="auto"/>
            <w:vAlign w:val="center"/>
          </w:tcPr>
          <w:p>
            <w:pPr>
              <w:adjustRightInd w:val="0"/>
              <w:spacing w:line="360" w:lineRule="auto"/>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年</w:t>
            </w:r>
          </w:p>
        </w:tc>
      </w:tr>
    </w:tbl>
    <w:p>
      <w:pPr>
        <w:adjustRightInd w:val="0"/>
        <w:spacing w:line="360" w:lineRule="auto"/>
        <w:ind w:firstLine="600" w:firstLineChars="250"/>
        <w:textAlignment w:val="baseline"/>
        <w:rPr>
          <w:rFonts w:hint="eastAsia" w:asciiTheme="minorEastAsia" w:hAnsiTheme="minorEastAsia" w:eastAsiaTheme="minorEastAsia"/>
          <w:sz w:val="24"/>
        </w:rPr>
      </w:pPr>
    </w:p>
    <w:p>
      <w:pPr>
        <w:pStyle w:val="3"/>
        <w:jc w:val="left"/>
        <w:rPr>
          <w:rFonts w:asciiTheme="minorEastAsia" w:hAnsiTheme="minorEastAsia" w:eastAsiaTheme="minorEastAsia"/>
          <w:sz w:val="24"/>
        </w:rPr>
      </w:pPr>
      <w:bookmarkStart w:id="21" w:name="_Toc22722369"/>
      <w:r>
        <w:rPr>
          <w:rFonts w:hint="eastAsia" w:asciiTheme="minorEastAsia" w:hAnsiTheme="minorEastAsia" w:eastAsiaTheme="minorEastAsia"/>
        </w:rPr>
        <w:t>一、采购内容：</w:t>
      </w:r>
      <w:bookmarkEnd w:id="21"/>
    </w:p>
    <w:tbl>
      <w:tblPr>
        <w:tblStyle w:val="19"/>
        <w:tblW w:w="5011" w:type="pct"/>
        <w:tblInd w:w="0" w:type="dxa"/>
        <w:tblLayout w:type="fixed"/>
        <w:tblCellMar>
          <w:top w:w="0" w:type="dxa"/>
          <w:left w:w="108" w:type="dxa"/>
          <w:bottom w:w="0" w:type="dxa"/>
          <w:right w:w="108" w:type="dxa"/>
        </w:tblCellMar>
      </w:tblPr>
      <w:tblGrid>
        <w:gridCol w:w="456"/>
        <w:gridCol w:w="979"/>
        <w:gridCol w:w="5434"/>
        <w:gridCol w:w="826"/>
        <w:gridCol w:w="852"/>
      </w:tblGrid>
      <w:tr>
        <w:tblPrEx>
          <w:tblCellMar>
            <w:top w:w="0" w:type="dxa"/>
            <w:left w:w="108" w:type="dxa"/>
            <w:bottom w:w="0" w:type="dxa"/>
            <w:right w:w="108" w:type="dxa"/>
          </w:tblCellMar>
        </w:tblPrEx>
        <w:trPr>
          <w:trHeight w:val="338"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eastAsia="zh-CN"/>
              </w:rPr>
            </w:pPr>
            <w:r>
              <w:rPr>
                <w:rFonts w:hint="eastAsia" w:ascii="微软雅黑" w:hAnsi="微软雅黑" w:eastAsia="微软雅黑" w:cs="宋体"/>
                <w:b/>
                <w:bCs/>
                <w:color w:val="000000"/>
                <w:kern w:val="0"/>
                <w:sz w:val="24"/>
                <w:lang w:val="en-US" w:eastAsia="zh-CN"/>
              </w:rPr>
              <w:t>标项</w:t>
            </w:r>
          </w:p>
        </w:tc>
        <w:tc>
          <w:tcPr>
            <w:tcW w:w="5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名称</w:t>
            </w:r>
          </w:p>
        </w:tc>
        <w:tc>
          <w:tcPr>
            <w:tcW w:w="31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主要参数</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数量</w:t>
            </w:r>
          </w:p>
        </w:tc>
        <w:tc>
          <w:tcPr>
            <w:tcW w:w="4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单位</w:t>
            </w:r>
          </w:p>
        </w:tc>
      </w:tr>
      <w:tr>
        <w:tblPrEx>
          <w:tblCellMar>
            <w:top w:w="0" w:type="dxa"/>
            <w:left w:w="108" w:type="dxa"/>
            <w:bottom w:w="0" w:type="dxa"/>
            <w:right w:w="108" w:type="dxa"/>
          </w:tblCellMar>
        </w:tblPrEx>
        <w:trPr>
          <w:trHeight w:val="338"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val="en-US" w:eastAsia="zh-CN"/>
              </w:rPr>
            </w:pPr>
            <w:r>
              <w:rPr>
                <w:rFonts w:hint="eastAsia" w:ascii="宋体" w:hAnsi="宋体"/>
                <w:color w:val="000000"/>
                <w:sz w:val="18"/>
                <w:szCs w:val="18"/>
                <w:lang w:val="en-US" w:eastAsia="zh-CN"/>
              </w:rPr>
              <w:t>1</w:t>
            </w:r>
          </w:p>
        </w:tc>
        <w:tc>
          <w:tcPr>
            <w:tcW w:w="572" w:type="pc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cs="宋体"/>
                <w:sz w:val="18"/>
                <w:szCs w:val="18"/>
              </w:rPr>
            </w:pPr>
            <w:r>
              <w:rPr>
                <w:rFonts w:hint="eastAsia" w:ascii="宋体" w:hAnsi="宋体" w:cs="宋体"/>
                <w:sz w:val="18"/>
                <w:szCs w:val="18"/>
              </w:rPr>
              <w:t>企业竞争</w:t>
            </w:r>
          </w:p>
          <w:p>
            <w:pPr>
              <w:widowControl/>
              <w:jc w:val="center"/>
              <w:rPr>
                <w:rFonts w:hint="eastAsia" w:ascii="微软雅黑" w:hAnsi="微软雅黑" w:eastAsia="微软雅黑" w:cs="宋体"/>
                <w:b/>
                <w:bCs/>
                <w:color w:val="000000"/>
                <w:kern w:val="0"/>
                <w:sz w:val="24"/>
              </w:rPr>
            </w:pPr>
            <w:r>
              <w:rPr>
                <w:rFonts w:hint="eastAsia" w:ascii="宋体" w:hAnsi="宋体" w:cs="宋体"/>
                <w:sz w:val="18"/>
                <w:szCs w:val="18"/>
              </w:rPr>
              <w:t>模拟系统</w:t>
            </w:r>
          </w:p>
        </w:tc>
        <w:tc>
          <w:tcPr>
            <w:tcW w:w="3178"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olor w:val="000000"/>
                <w:sz w:val="18"/>
                <w:szCs w:val="18"/>
              </w:rPr>
            </w:pPr>
            <w:r>
              <w:rPr>
                <w:rFonts w:hint="eastAsia" w:ascii="宋体" w:hAnsi="宋体"/>
                <w:color w:val="000000"/>
                <w:sz w:val="18"/>
                <w:szCs w:val="18"/>
              </w:rPr>
              <w:t>一、系统概述：</w:t>
            </w:r>
          </w:p>
          <w:p>
            <w:pPr>
              <w:rPr>
                <w:rFonts w:hint="eastAsia" w:ascii="宋体" w:hAnsi="宋体"/>
                <w:color w:val="000000"/>
                <w:sz w:val="18"/>
                <w:szCs w:val="18"/>
              </w:rPr>
            </w:pPr>
            <w:r>
              <w:rPr>
                <w:rFonts w:hint="eastAsia" w:ascii="宋体" w:hAnsi="宋体"/>
                <w:color w:val="000000"/>
                <w:sz w:val="18"/>
                <w:szCs w:val="18"/>
              </w:rPr>
              <w:t>1、企业竞争模拟是运用计算机模拟企业的竞争环境，供参与者进行经营决策的演练，常用于学校的管理学教育和企业的人才培训。其核心是通过计算机在互联网上模拟企业经营所需要的市场经济环境，以及经营过程中的各种决策变量（包括生产、营销、财务、人事等诸多方面）和现实环境中不可避免的偶然因素，为参与者提供一个逼真的企业高层模拟平台。</w:t>
            </w:r>
          </w:p>
          <w:p>
            <w:pPr>
              <w:rPr>
                <w:rFonts w:hint="eastAsia" w:ascii="宋体" w:hAnsi="宋体"/>
                <w:color w:val="000000"/>
                <w:sz w:val="18"/>
                <w:szCs w:val="18"/>
              </w:rPr>
            </w:pPr>
            <w:r>
              <w:rPr>
                <w:rFonts w:hint="eastAsia" w:ascii="宋体" w:hAnsi="宋体"/>
                <w:color w:val="000000"/>
                <w:sz w:val="18"/>
                <w:szCs w:val="18"/>
              </w:rPr>
              <w:t>2、企业竞争模拟系统能训练学员在变化多端的经营环境里，面对多个竞争对手，正确制定企业的决策，达到企业的战略目标。它要求参加者能全面、灵活地运用管理学的知识，如生产管理、市场营销、财务会计等知识和预测、优化、对策、决策等方法，考察学员的分析、判断和应变能力，并能培养团队合作的精神。企业竞争模拟所具有的竞争性、趣味性、实用性是其它课堂教学形式难以比拟的。通过模拟竞赛的手段，培养学员宏观企业管理的能力。企业竞争模拟系统主要用于大学高等院校市场营销、财务管理、战略管理、生产运作、工商企业管理、信息管理等模拟教学课程，以及企业管理层培训和社会再就业培训等。</w:t>
            </w:r>
          </w:p>
          <w:p>
            <w:pPr>
              <w:rPr>
                <w:rFonts w:hint="eastAsia" w:ascii="宋体" w:hAnsi="宋体"/>
                <w:color w:val="000000"/>
                <w:sz w:val="18"/>
                <w:szCs w:val="18"/>
              </w:rPr>
            </w:pPr>
            <w:r>
              <w:rPr>
                <w:rFonts w:hint="eastAsia" w:ascii="宋体" w:hAnsi="宋体"/>
                <w:color w:val="000000"/>
                <w:sz w:val="18"/>
                <w:szCs w:val="18"/>
              </w:rPr>
              <w:t>二、技术指标：</w:t>
            </w:r>
          </w:p>
          <w:p>
            <w:pPr>
              <w:rPr>
                <w:rFonts w:hint="eastAsia" w:ascii="宋体" w:hAnsi="宋体"/>
                <w:color w:val="000000"/>
                <w:sz w:val="18"/>
                <w:szCs w:val="18"/>
              </w:rPr>
            </w:pPr>
            <w:r>
              <w:rPr>
                <w:rFonts w:hint="eastAsia" w:ascii="宋体" w:hAnsi="宋体"/>
                <w:color w:val="000000"/>
                <w:sz w:val="18"/>
                <w:szCs w:val="18"/>
              </w:rPr>
              <w:t>1、系统技术：软件基于互联网应用技术，纯B/S架构，采用My SQL数据库，在WINDOWS系统等环境下都可运行，只需要服务器安装软件，易维护。</w:t>
            </w:r>
          </w:p>
          <w:p>
            <w:pPr>
              <w:rPr>
                <w:rFonts w:hint="eastAsia" w:ascii="宋体" w:hAnsi="宋体"/>
                <w:color w:val="000000"/>
                <w:sz w:val="18"/>
                <w:szCs w:val="18"/>
              </w:rPr>
            </w:pPr>
            <w:r>
              <w:rPr>
                <w:rFonts w:hint="eastAsia" w:ascii="宋体" w:hAnsi="宋体"/>
                <w:color w:val="000000"/>
                <w:sz w:val="18"/>
                <w:szCs w:val="18"/>
              </w:rPr>
              <w:t>2、系统运行模式：系统支持现场教学和第二课堂（学科竞赛）两种运行模式，各种运行模式具体独立的账户体系。</w:t>
            </w:r>
          </w:p>
          <w:p>
            <w:pPr>
              <w:rPr>
                <w:rFonts w:hint="eastAsia" w:ascii="宋体" w:hAnsi="宋体"/>
                <w:color w:val="000000"/>
                <w:sz w:val="18"/>
                <w:szCs w:val="18"/>
              </w:rPr>
            </w:pPr>
            <w:r>
              <w:rPr>
                <w:rFonts w:hint="eastAsia" w:ascii="宋体" w:hAnsi="宋体"/>
                <w:color w:val="000000"/>
                <w:sz w:val="18"/>
                <w:szCs w:val="18"/>
              </w:rPr>
              <w:t>★3、教学难易度：系统支持不同等级难度和多种场景；即软件提供企业运营模拟场景可选或者自定义决策变量，教师新建比赛时可根据教学需要选择模拟场景或设置新的竞争环境。</w:t>
            </w:r>
          </w:p>
          <w:p>
            <w:pPr>
              <w:rPr>
                <w:rFonts w:hint="eastAsia" w:ascii="宋体" w:hAnsi="宋体"/>
                <w:color w:val="000000"/>
                <w:sz w:val="18"/>
                <w:szCs w:val="18"/>
              </w:rPr>
            </w:pPr>
            <w:r>
              <w:rPr>
                <w:rFonts w:hint="eastAsia" w:ascii="宋体" w:hAnsi="宋体"/>
                <w:color w:val="000000"/>
                <w:sz w:val="18"/>
                <w:szCs w:val="18"/>
              </w:rPr>
              <w:t>4、模拟对抗数量：软件系统既包括新手训练营、人机对战等基础功能模块，也包含网络模拟对抗模块，可以支持多个班级同时开课，并且多个班级的实验数据相互不影响，同时要求每个赛区支持16-20个虚拟团队进行竞争模拟对抗。</w:t>
            </w:r>
          </w:p>
          <w:p>
            <w:pPr>
              <w:rPr>
                <w:rFonts w:hint="eastAsia" w:ascii="宋体" w:hAnsi="宋体"/>
                <w:color w:val="000000"/>
                <w:sz w:val="18"/>
                <w:szCs w:val="18"/>
              </w:rPr>
            </w:pPr>
            <w:r>
              <w:rPr>
                <w:rFonts w:hint="eastAsia" w:ascii="宋体" w:hAnsi="宋体"/>
                <w:color w:val="000000"/>
                <w:sz w:val="18"/>
                <w:szCs w:val="18"/>
              </w:rPr>
              <w:t>5、市场形态：系统支持多个产品和市场，即软件支持2-4种产品，产品可以在2-4个市场中进行销售。</w:t>
            </w:r>
          </w:p>
          <w:p>
            <w:pPr>
              <w:rPr>
                <w:rFonts w:hint="eastAsia" w:ascii="宋体" w:hAnsi="宋体"/>
                <w:color w:val="000000"/>
                <w:sz w:val="18"/>
                <w:szCs w:val="18"/>
              </w:rPr>
            </w:pPr>
            <w:r>
              <w:rPr>
                <w:rFonts w:hint="eastAsia" w:ascii="宋体" w:hAnsi="宋体"/>
                <w:color w:val="000000"/>
                <w:sz w:val="18"/>
                <w:szCs w:val="18"/>
              </w:rPr>
              <w:t>6、决策模拟的类型：系统支持向导模式决策制定和快捷模式决策制定两种方式，方便不同类型的学生快速入门；系统同时提供相关决策辅助工具（如：生产辅助、现金流辅助等），便于学生进行决策模拟；决策界面有决策提示框，辅助学生进行决策。</w:t>
            </w:r>
          </w:p>
          <w:p>
            <w:pPr>
              <w:rPr>
                <w:rFonts w:hint="eastAsia" w:ascii="宋体" w:hAnsi="宋体"/>
                <w:color w:val="000000"/>
                <w:sz w:val="18"/>
                <w:szCs w:val="18"/>
              </w:rPr>
            </w:pPr>
            <w:r>
              <w:rPr>
                <w:rFonts w:hint="eastAsia" w:ascii="宋体" w:hAnsi="宋体"/>
                <w:color w:val="000000"/>
                <w:sz w:val="18"/>
                <w:szCs w:val="18"/>
              </w:rPr>
              <w:t>★7、系统教师后台提供决策检查、决策模拟、决策回退等管理功能；决策回退即把决策回退到上一期决策单，便于教师进行复盘分析。</w:t>
            </w:r>
          </w:p>
          <w:p>
            <w:pPr>
              <w:rPr>
                <w:rFonts w:hint="eastAsia" w:ascii="宋体" w:hAnsi="宋体"/>
                <w:color w:val="000000"/>
                <w:sz w:val="18"/>
                <w:szCs w:val="18"/>
              </w:rPr>
            </w:pPr>
            <w:r>
              <w:rPr>
                <w:rFonts w:hint="eastAsia" w:ascii="宋体" w:hAnsi="宋体"/>
                <w:color w:val="000000"/>
                <w:sz w:val="18"/>
                <w:szCs w:val="18"/>
              </w:rPr>
              <w:t>8、决策模型的科学性：</w:t>
            </w:r>
          </w:p>
          <w:p>
            <w:pPr>
              <w:rPr>
                <w:rFonts w:hint="eastAsia" w:ascii="宋体" w:hAnsi="宋体"/>
                <w:color w:val="000000"/>
                <w:sz w:val="18"/>
                <w:szCs w:val="18"/>
              </w:rPr>
            </w:pPr>
            <w:r>
              <w:rPr>
                <w:rFonts w:hint="eastAsia" w:ascii="宋体" w:hAnsi="宋体"/>
                <w:color w:val="000000"/>
                <w:sz w:val="18"/>
                <w:szCs w:val="18"/>
              </w:rPr>
              <w:t>（1）软件系统决策模型具有国内先进性，详细完备，是成熟的科学的管理表单决策模拟系统。系统决策模拟评判的标准包含：本期利润、市场份额、累计分红、累计缴税、净资产、人均利润率、资本利润率等七项指标。并按照相关指标加权平均评出竞争模拟的优胜者。</w:t>
            </w:r>
          </w:p>
          <w:p>
            <w:pPr>
              <w:rPr>
                <w:rFonts w:hint="eastAsia" w:ascii="宋体" w:hAnsi="宋体"/>
                <w:color w:val="000000"/>
                <w:sz w:val="18"/>
                <w:szCs w:val="18"/>
              </w:rPr>
            </w:pPr>
            <w:r>
              <w:rPr>
                <w:rFonts w:hint="eastAsia" w:ascii="宋体" w:hAnsi="宋体"/>
                <w:color w:val="000000"/>
                <w:sz w:val="18"/>
                <w:szCs w:val="18"/>
              </w:rPr>
              <w:t>（2）系统要求学员能全面、灵活地运用管理学的知识，如生产管理、市场营销、财务会计等知识和预测、优化、对策、决策等方法，考察学员的分析、判断和应变能力，并能培养团队合作的精神。</w:t>
            </w:r>
          </w:p>
          <w:p>
            <w:pPr>
              <w:rPr>
                <w:rFonts w:hint="eastAsia" w:ascii="宋体" w:hAnsi="宋体"/>
                <w:color w:val="000000"/>
                <w:sz w:val="18"/>
                <w:szCs w:val="18"/>
              </w:rPr>
            </w:pPr>
            <w:r>
              <w:rPr>
                <w:rFonts w:hint="eastAsia" w:ascii="宋体" w:hAnsi="宋体"/>
                <w:color w:val="000000"/>
                <w:sz w:val="18"/>
                <w:szCs w:val="18"/>
              </w:rPr>
              <w:t>9、教师可以根据教学考核需要，对学生考勤、练习、实战模拟、实战总结报告等环节设置考核比重，并由系统给出学生的考核成绩。</w:t>
            </w:r>
          </w:p>
          <w:p>
            <w:pPr>
              <w:rPr>
                <w:rFonts w:hint="eastAsia" w:ascii="宋体" w:hAnsi="宋体"/>
                <w:color w:val="000000"/>
                <w:sz w:val="18"/>
                <w:szCs w:val="18"/>
              </w:rPr>
            </w:pPr>
            <w:r>
              <w:rPr>
                <w:rFonts w:hint="eastAsia" w:ascii="宋体" w:hAnsi="宋体"/>
                <w:color w:val="000000"/>
                <w:sz w:val="18"/>
                <w:szCs w:val="18"/>
              </w:rPr>
              <w:t>★10、软件使用许可</w:t>
            </w:r>
            <w:r>
              <w:rPr>
                <w:rFonts w:hint="eastAsia" w:ascii="宋体" w:hAnsi="宋体"/>
                <w:color w:val="FF0000"/>
                <w:sz w:val="18"/>
                <w:szCs w:val="18"/>
                <w:u w:val="single"/>
              </w:rPr>
              <w:t>2个</w:t>
            </w:r>
            <w:r>
              <w:rPr>
                <w:rFonts w:hint="eastAsia" w:ascii="宋体" w:hAnsi="宋体"/>
                <w:color w:val="000000"/>
                <w:sz w:val="18"/>
                <w:szCs w:val="18"/>
              </w:rPr>
              <w:t>赛区，可以满足用户</w:t>
            </w:r>
            <w:r>
              <w:rPr>
                <w:rFonts w:hint="eastAsia" w:ascii="宋体" w:hAnsi="宋体"/>
                <w:color w:val="FF0000"/>
                <w:sz w:val="18"/>
                <w:szCs w:val="18"/>
                <w:u w:val="single"/>
              </w:rPr>
              <w:t>2个</w:t>
            </w:r>
            <w:r>
              <w:rPr>
                <w:rFonts w:hint="eastAsia" w:ascii="宋体" w:hAnsi="宋体"/>
                <w:color w:val="000000"/>
                <w:sz w:val="18"/>
                <w:szCs w:val="18"/>
              </w:rPr>
              <w:t>班级同时教学使用。软件使用方式：推荐用户在线使用，即通过互联网直接访问供应商的云服务器；或者安装到学校本地服务器使用。</w:t>
            </w:r>
          </w:p>
          <w:p>
            <w:pPr>
              <w:rPr>
                <w:rFonts w:hint="eastAsia" w:ascii="宋体" w:hAnsi="宋体"/>
                <w:color w:val="000000"/>
                <w:sz w:val="18"/>
                <w:szCs w:val="18"/>
              </w:rPr>
            </w:pPr>
            <w:r>
              <w:rPr>
                <w:rFonts w:hint="eastAsia" w:ascii="宋体" w:hAnsi="宋体"/>
                <w:color w:val="000000"/>
                <w:sz w:val="18"/>
                <w:szCs w:val="18"/>
              </w:rPr>
              <w:t>三、功能模块：</w:t>
            </w:r>
          </w:p>
          <w:p>
            <w:pPr>
              <w:rPr>
                <w:rFonts w:hint="eastAsia" w:ascii="宋体" w:hAnsi="宋体"/>
                <w:color w:val="000000"/>
                <w:sz w:val="18"/>
                <w:szCs w:val="18"/>
              </w:rPr>
            </w:pPr>
            <w:r>
              <w:rPr>
                <w:rFonts w:hint="eastAsia" w:ascii="宋体" w:hAnsi="宋体"/>
                <w:color w:val="000000"/>
                <w:sz w:val="18"/>
                <w:szCs w:val="18"/>
              </w:rPr>
              <w:t>软件模拟系统权限清晰，分为系统管理员、教师端、学生端和浏览者共四个层面操作权限，具体功能包括：</w:t>
            </w:r>
          </w:p>
          <w:p>
            <w:pPr>
              <w:rPr>
                <w:rFonts w:hint="eastAsia" w:ascii="宋体" w:hAnsi="宋体"/>
                <w:color w:val="000000"/>
                <w:sz w:val="18"/>
                <w:szCs w:val="18"/>
              </w:rPr>
            </w:pPr>
            <w:r>
              <w:rPr>
                <w:rFonts w:hint="eastAsia" w:ascii="宋体" w:hAnsi="宋体"/>
                <w:color w:val="000000"/>
                <w:sz w:val="18"/>
                <w:szCs w:val="18"/>
              </w:rPr>
              <w:t>1、教师端功能：比赛管理（新建比赛、比赛参数设置、决策模拟初始化），决策模拟（检查决策、决策模拟、决策回退），教师点评工具，制定决策（向导模式、快捷模式），报表（公共报表、内部报表、市场消息），模拟规则等。</w:t>
            </w:r>
          </w:p>
          <w:p>
            <w:pPr>
              <w:rPr>
                <w:rFonts w:hint="eastAsia" w:ascii="宋体" w:hAnsi="宋体"/>
                <w:color w:val="000000"/>
                <w:sz w:val="18"/>
                <w:szCs w:val="18"/>
              </w:rPr>
            </w:pPr>
            <w:r>
              <w:rPr>
                <w:rFonts w:hint="eastAsia" w:ascii="宋体" w:hAnsi="宋体"/>
                <w:color w:val="000000"/>
                <w:sz w:val="18"/>
                <w:szCs w:val="18"/>
              </w:rPr>
              <w:t>2、学生端功能：我的团队（团队组建），控制中心，制定战略，制定决策（向导模式、快捷模式），提交决策，报表（公共报表、内部报表、市场信息），模拟规则。新手训练营、人机对战等。</w:t>
            </w:r>
          </w:p>
          <w:p>
            <w:pPr>
              <w:rPr>
                <w:rFonts w:hint="eastAsia" w:ascii="宋体" w:hAnsi="宋体"/>
                <w:color w:val="000000"/>
                <w:sz w:val="18"/>
                <w:szCs w:val="18"/>
              </w:rPr>
            </w:pPr>
            <w:r>
              <w:rPr>
                <w:rFonts w:hint="eastAsia" w:ascii="宋体" w:hAnsi="宋体"/>
                <w:color w:val="000000"/>
                <w:sz w:val="18"/>
                <w:szCs w:val="18"/>
              </w:rPr>
              <w:t>3、浏览者功能：赛区搜索与查询，观摩比赛（赛况和赛果查询）。</w:t>
            </w:r>
          </w:p>
          <w:p>
            <w:pPr>
              <w:rPr>
                <w:rFonts w:hint="eastAsia" w:ascii="宋体" w:hAnsi="宋体"/>
                <w:color w:val="000000"/>
                <w:sz w:val="18"/>
                <w:szCs w:val="18"/>
              </w:rPr>
            </w:pPr>
            <w:r>
              <w:rPr>
                <w:rFonts w:hint="eastAsia" w:ascii="宋体" w:hAnsi="宋体"/>
                <w:color w:val="000000"/>
                <w:sz w:val="18"/>
                <w:szCs w:val="18"/>
              </w:rPr>
              <w:t>四、售后服务：</w:t>
            </w:r>
          </w:p>
          <w:p>
            <w:pPr>
              <w:rPr>
                <w:rFonts w:hint="eastAsia" w:ascii="宋体" w:hAnsi="宋体"/>
                <w:color w:val="000000"/>
                <w:sz w:val="18"/>
                <w:szCs w:val="18"/>
              </w:rPr>
            </w:pPr>
            <w:r>
              <w:rPr>
                <w:rFonts w:hint="eastAsia" w:ascii="宋体" w:hAnsi="宋体"/>
                <w:color w:val="000000"/>
                <w:sz w:val="18"/>
                <w:szCs w:val="18"/>
              </w:rPr>
              <w:t>1、投标单位必须是软件生产厂商或合法授权的供应商，投标需要提供生产厂家正式的产品授权书。</w:t>
            </w:r>
            <w:r>
              <w:rPr>
                <w:rFonts w:hint="eastAsia" w:ascii="宋体" w:hAnsi="宋体" w:cs="宋体"/>
                <w:kern w:val="0"/>
                <w:sz w:val="18"/>
                <w:szCs w:val="18"/>
              </w:rPr>
              <w:t>软件若是全国性竞赛平台，需要提供比赛证明文件。</w:t>
            </w:r>
          </w:p>
          <w:p>
            <w:pPr>
              <w:rPr>
                <w:rFonts w:hint="eastAsia" w:ascii="宋体" w:hAnsi="宋体"/>
                <w:color w:val="000000"/>
                <w:sz w:val="18"/>
                <w:szCs w:val="18"/>
              </w:rPr>
            </w:pPr>
            <w:r>
              <w:rPr>
                <w:rFonts w:hint="eastAsia" w:ascii="宋体" w:hAnsi="宋体"/>
                <w:color w:val="000000"/>
                <w:sz w:val="18"/>
                <w:szCs w:val="18"/>
              </w:rPr>
              <w:t>2、投标需要提供生产厂家售后服务承诺书，承诺产品三年质保和升级服务；软件质保期后，如用户需升级软件，仅按成本价计算。</w:t>
            </w:r>
          </w:p>
          <w:p>
            <w:pPr>
              <w:rPr>
                <w:rFonts w:hint="eastAsia" w:ascii="宋体" w:hAnsi="宋体"/>
                <w:color w:val="000000"/>
                <w:sz w:val="18"/>
                <w:szCs w:val="18"/>
              </w:rPr>
            </w:pPr>
            <w:r>
              <w:rPr>
                <w:rFonts w:hint="eastAsia" w:ascii="宋体" w:hAnsi="宋体"/>
                <w:color w:val="000000"/>
                <w:sz w:val="18"/>
                <w:szCs w:val="18"/>
              </w:rPr>
              <w:t>3、提供软件使用操作使用手册、正式出版的配套教材、电子版教学课件等教学资料；软件使用操作培训和系统运行维护培训，共计不少于4学时。</w:t>
            </w:r>
          </w:p>
          <w:p>
            <w:pPr>
              <w:rPr>
                <w:rFonts w:hint="eastAsia" w:ascii="微软雅黑" w:hAnsi="微软雅黑" w:eastAsia="微软雅黑" w:cs="宋体"/>
                <w:b/>
                <w:bCs/>
                <w:color w:val="000000"/>
                <w:kern w:val="0"/>
                <w:sz w:val="24"/>
              </w:rPr>
            </w:pPr>
            <w:r>
              <w:rPr>
                <w:rFonts w:hint="eastAsia" w:ascii="宋体" w:hAnsi="宋体"/>
                <w:color w:val="000000"/>
                <w:sz w:val="18"/>
                <w:szCs w:val="18"/>
              </w:rPr>
              <w:t>备注：投标产品必须针对招标文件中加★号的条款作出实质响应，否则技术部分不合格。</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rPr>
            </w:pPr>
            <w:r>
              <w:rPr>
                <w:rFonts w:hint="eastAsia" w:ascii="宋体" w:hAnsi="宋体" w:cs="宋体"/>
                <w:sz w:val="18"/>
                <w:szCs w:val="18"/>
              </w:rPr>
              <w:t>1</w:t>
            </w:r>
          </w:p>
        </w:tc>
        <w:tc>
          <w:tcPr>
            <w:tcW w:w="4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val="en-US" w:eastAsia="zh-CN"/>
              </w:rPr>
            </w:pPr>
            <w:r>
              <w:rPr>
                <w:rFonts w:hint="eastAsia" w:ascii="宋体" w:hAnsi="宋体"/>
                <w:color w:val="000000"/>
                <w:sz w:val="18"/>
                <w:szCs w:val="18"/>
                <w:lang w:val="en-US" w:eastAsia="zh-CN"/>
              </w:rPr>
              <w:t>套</w:t>
            </w:r>
          </w:p>
        </w:tc>
      </w:tr>
      <w:tr>
        <w:tblPrEx>
          <w:tblCellMar>
            <w:top w:w="0" w:type="dxa"/>
            <w:left w:w="108" w:type="dxa"/>
            <w:bottom w:w="0" w:type="dxa"/>
            <w:right w:w="108" w:type="dxa"/>
          </w:tblCellMar>
        </w:tblPrEx>
        <w:trPr>
          <w:trHeight w:val="338"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572" w:type="pct"/>
            <w:tcBorders>
              <w:top w:val="single" w:color="auto" w:sz="4" w:space="0"/>
              <w:left w:val="nil"/>
              <w:bottom w:val="single" w:color="auto" w:sz="4" w:space="0"/>
              <w:right w:val="single" w:color="auto" w:sz="4" w:space="0"/>
            </w:tcBorders>
            <w:shd w:val="clear" w:color="auto" w:fill="auto"/>
            <w:vAlign w:val="center"/>
          </w:tcPr>
          <w:p>
            <w:pPr>
              <w:pStyle w:val="3"/>
              <w:jc w:val="cente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人力资源管理智能仿真与竞赛对抗平台</w:t>
            </w:r>
          </w:p>
          <w:p>
            <w:pPr>
              <w:widowControl/>
              <w:jc w:val="center"/>
              <w:rPr>
                <w:rFonts w:hint="eastAsia" w:ascii="宋体" w:hAnsi="宋体" w:cs="宋体"/>
                <w:sz w:val="18"/>
                <w:szCs w:val="18"/>
              </w:rPr>
            </w:pPr>
          </w:p>
        </w:tc>
        <w:tc>
          <w:tcPr>
            <w:tcW w:w="3178"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一、特点要求：</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1、B/S（Browser/Server）结构，无用户数限制，客户端不需要安装终端软件，支持基于校园网、互联网的应用；</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2、平台提供单个教师账号多实验班级同时实训功能，便于统一管理；</w:t>
            </w:r>
          </w:p>
          <w:p>
            <w:pPr>
              <w:snapToGrid w:val="0"/>
              <w:spacing w:line="360" w:lineRule="auto"/>
              <w:ind w:firstLine="180" w:firstLineChars="1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★3、平台提供竞赛模式和教学模式可供选择，以适应不同的教学需求；</w:t>
            </w:r>
          </w:p>
          <w:p>
            <w:pPr>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  ★4、平台提供多种背景案例选择，以实现不同行业背景下的人力资源管理实践操作训练；</w:t>
            </w:r>
          </w:p>
          <w:p>
            <w:pPr>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  ★5、平台可增加及调整政府宏观调控，包括支持企业做大做强、鼓励支持应届毕业生就业、鼓励培养高级技术人才、税费减免、社保返还等政府支持政策；</w:t>
            </w:r>
          </w:p>
          <w:p>
            <w:pPr>
              <w:pStyle w:val="41"/>
              <w:adjustRightInd w:val="0"/>
              <w:snapToGrid w:val="0"/>
              <w:spacing w:line="360" w:lineRule="auto"/>
              <w:ind w:firstLine="180" w:firstLineChars="1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★6、系统拥有智能处理功能，构建实验报告体系，可以集中各个角色的实验报告；</w:t>
            </w:r>
          </w:p>
          <w:p>
            <w:pPr>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  ★7、平台采用3D渲染技术，全景展现人力资源管理办公室结构，提升技能训练体验感。</w:t>
            </w:r>
          </w:p>
          <w:p>
            <w:pPr>
              <w:adjustRightInd w:val="0"/>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二、整体功能：</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1、学生角色分工：每个小组包括了总经理、人力资源经理、招聘甄选主管、培训开发主管、绩效考评主管、薪酬主管共六位管理人员；</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2、人力资源组合：包含研发人员、生产人员、销售人员三种员工；</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3、过程自动记录：学生的所有经营决策过程自动记录，能实时查询系统中企业各数据的影响变化情况、公司经费与人力资源部门经费实时余额；</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数据实时生成：学生在完成每一步决策操作后，能实时看到企业各项数据的实时数据情况，完成每一个经营周期后，能实时看到企业的所有现金流变化、人员价值、薪酬明细、培训明细、研发明细、生产明细、销售明细等各项数据；</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5、模拟经营周期能完成至少六年总共二十四个季度的经营周期。</w:t>
            </w:r>
          </w:p>
          <w:p>
            <w:pPr>
              <w:adjustRightInd w:val="0"/>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三、系统功能：</w:t>
            </w:r>
          </w:p>
          <w:p>
            <w:pPr>
              <w:adjustRightInd w:val="0"/>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软件包括管理员端、教师端、学生端三部分。</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（一）管理员端程序功能：教师管理和数据库备份。</w:t>
            </w:r>
          </w:p>
          <w:p>
            <w:pPr>
              <w:snapToGrid w:val="0"/>
              <w:spacing w:line="360" w:lineRule="auto"/>
              <w:ind w:left="422" w:leftChars="201" w:firstLine="180" w:firstLineChars="1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1、教师账号管理—管理平台的所有教师账号。</w:t>
            </w:r>
          </w:p>
          <w:p>
            <w:pPr>
              <w:snapToGrid w:val="0"/>
              <w:spacing w:line="360" w:lineRule="auto"/>
              <w:ind w:left="422" w:leftChars="201" w:firstLine="180" w:firstLineChars="1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2、系统数据备份—用于备份整体系统数据。</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（二）教师端程序功能</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教师端程序由实践课授课教师或竞赛时裁判使用，主要供教师或裁判调整案例、模拟参数、进行开课管理、控制上课进度、查询小组数据、分析点评成绩、查看实验报告等使用。</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1、案例管理：教师在课前可以自主添加、编辑教学案例，并修改教学案例配套的各项参数，包括产品需求、人员供求、政府行为、研发能力、生产能力、销售能力。</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2、市场方案：系统能自动生成新的参数方案。教师根据自己的教学需要进行个性化修改，满足不同专业学生、不同知识背景的授课需要。</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3、教学任务</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运营进程控制：具体包括招聘情况、销售情况、挖人情况、市场排名、破产处理、注资处理。</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经营状态查询：所有小组的公司信息、产品库存、管理人员信息、产品研发、培训明细、员工信息、公司综合查询、角色实验报告均可以通过教师机实时查询，而无需到学生电脑上查询。</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（三）学生端程序功能</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在人力资源管理智能仿真与竞赛对抗平台中，每个小组需要对竞争形势、市场需求、人才供应的变化独立做出众多的经营决策，这些经营决策涉及企业人力资源管理的各个方面。同时，团队合作、沟通技巧、执行力等也是整个决策过程中至关重要的环节。</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所有小组组建的公司之间是相互对抗竞争的，每个公司的目标就是使公司实现经营目标，提升人才价值，并战胜其他公司。因此，如何思考并制定出有效的各项决策，是取得胜利的关键。</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学生端程序包括了公司信息、实时状态、经营决策、数据分析等功能。各小组必须在规定的时间内，利用团队的力量，通过对本企业实时数据及竞争对手数据的分析，制订人力资源管理中的各项管理决策。参加训练的学生通过学生端程序登录使用。</w:t>
            </w:r>
          </w:p>
          <w:p>
            <w:pPr>
              <w:snapToGrid w:val="0"/>
              <w:spacing w:line="360" w:lineRule="auto"/>
              <w:ind w:firstLine="180" w:firstLineChars="1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人力资源规划中心模块：该中心按照现代企业人力资源管理惯例，人力资源规划主要包括人力资源战略规划（企业整体战略目标分析、外部环境分析、计划产量）、人力资源供需预测（内部供给人数，外部供给人数，需求人数）、费用预算（人力资源经费预测，非人力资源经费预测）、培训晋升计划（在岗培训、脱产培训、晋升计划）、调岗计划，通过对当年人力资源战略规划的设计，帮助学生充分掌握人力资源规划的意识，树立人力资源管理战略思想。</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2、工作分析中心模块：该中心每年在人力资源规划完毕后，需要对公司各岗位进行工作分析，制定员工基本工资区间，确定员工岗位职责，明确各岗位的工作说明书。</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3、招聘与甄选中心模块：该中心中提供企业最常见的招聘渠道，包括校园招聘、人才交流中心招聘、Internet 平台招聘、传统媒体招聘、猎头招聘、再就业招聘。人才根据层次不同，所分布的渠道也各有不同。企业还可根据需要，从其他竞争对手企业通过猎头方式挖到本企业所需人才（挖人），亦可破坏竞争对手经营战略。</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培训与开发中心模块：根据人力资源战略进行培训需求分析，进而确定培训与开发实施计划。该中心提供企业最常见的培训方式，包括新员工培训、技能培训、转岗培训、企业文化培训。掌握基础培训方式，熟悉技能提升培训，掌握员工技能和价值提升手段。熟悉岗位轮换培训，掌握如何实现员工生产不同产品等管理效果。掌握脱产培训相关培训协议事项，了解协议期离职产生的后果等。</w:t>
            </w:r>
          </w:p>
          <w:p>
            <w:pPr>
              <w:snapToGrid w:val="0"/>
              <w:spacing w:line="360" w:lineRule="auto"/>
              <w:ind w:firstLine="180" w:firstLineChars="1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★5、绩效管理中心模块：该中心包括绩效指标确定、绩效考核和绩效考核结果应用。</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根据角色不同对普通员工和管理人员的绩效考评方式进行区别处理，这也符合管理因势利导的原则。普通员工以计件为考核标准。管理人员以KPI考核指标完成情况为考核标准，同时结合本身所具备的价值，可以获得公司绩效奖金。帮助学生树立绩效管理观念，学习运用绩效管理思想统筹推动人力资源管理效益提升。</w:t>
            </w:r>
          </w:p>
          <w:p>
            <w:pPr>
              <w:snapToGrid w:val="0"/>
              <w:spacing w:line="360" w:lineRule="auto"/>
              <w:ind w:firstLine="180" w:firstLineChars="1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★6、薪酬管理中心模块：该中心包括薪酬调查、薪酬设计、薪酬核算、基本工资设定四个模块。  </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薪酬设计即薪酬结构设计，包括基本工资、人才引进津贴、法定福利（五险一金）、各种企业福利（年终奖、绩效奖金）、各种津贴（岗位津贴、工龄工资、交通/通讯/住房/高温补贴）。根据企业的人力资源管理现实，管理人员的基本工资为宽带级别工资。系统还根据岗位不同设计不同的绩效奖金发放标准，普通员工以计件为考核标准，管理人员以KPI考核指标完成情况为考核标准。熟悉现代企业薪酬组成体系，掌握绩效奖金区别发放标准。学习透过薪酬福利体系，改进和实现企业整体绩效提升。同时学生可以具体的核算员工薪酬，计算各项社会保险，个人所得税等。</w:t>
            </w:r>
          </w:p>
          <w:p>
            <w:pPr>
              <w:snapToGrid w:val="0"/>
              <w:spacing w:line="360" w:lineRule="auto"/>
              <w:ind w:firstLine="270" w:firstLineChars="15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★7、员工关系管理中心模块：该中心包括员工入职、劳动合同签订、劳动合同续签，员工辞退，劳动争议处理，人员流失。</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通过平台学习，帮助学生了解劳动合同法和管理制度、经济补偿金的支付，并学习企业调节人才结构的方式，也帮助学生关注员工流失的主要因素，学习如何通过薪酬福利制度调整、企业文化培训实施等方式降低员工队伍流失率，为企业发展提供一支稳定的人才队伍。</w:t>
            </w:r>
          </w:p>
          <w:p>
            <w:pPr>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   ★8、产品中心模块：该中心包括产品研发、产品生产和产品销售。</w:t>
            </w:r>
          </w:p>
          <w:p>
            <w:pPr>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    产品研发：系统提供有不同的产品，只有研发成功的产品才可以进行生产，同时生产不同的产品还需要一定的技术保障能力。不同等级的研发人员具有不同的研发能力和产品技术保障能力。</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产品生产：不同等级的生产人员具有不同的生产能力生产产品，公司需要根据市场需求以及公司的战略发展，通过供需平衡的方式预测产生最高价值时的生产数量，同时综合考虑公司其他内外环境情况确定最终生产数量。</w:t>
            </w:r>
          </w:p>
          <w:p>
            <w:pPr>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    产品销售：不同等级的销售人员针对不同类型产品，拥有不同的初始销售能力。各公司在产品出售时先提交各产品销售量，根据各公司出售的产品数量总和、市场需求量和市场参考价，市场提供市场指导价。根据市场指导价，各公司填写产品销售单价进行销售。市场按提交售价从低到高收购，收满即止。未出售产品可以根据产品性质进行清仓或者囤货。</w:t>
            </w:r>
          </w:p>
          <w:p>
            <w:pPr>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   ★9、紧急操作：系统提供申请注资、申请破产、经费回账和紧急申请等功能，主要为系统与授课正常运行而设计，也给了教师更多的可控空间。</w:t>
            </w:r>
          </w:p>
          <w:p>
            <w:pPr>
              <w:snapToGrid w:val="0"/>
              <w:spacing w:line="360" w:lineRule="auto"/>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10、此外，由于完全采用分组模拟实战的方式，所有学生在相互对抗与竞争中生存与发展，整个训练平台还集成了企业战略、团队合作等方面的内容，从而对人力资源管理有更深刻的认识与更具体的体验。帮助学生不仅掌握基本的人力资源管理知识与方法，同时更好的掌握人力资源管理的内容，提升运用人力资源管理提升绩效的综合能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18"/>
                <w:szCs w:val="18"/>
              </w:rPr>
            </w:pP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4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套</w:t>
            </w:r>
          </w:p>
        </w:tc>
      </w:tr>
      <w:tr>
        <w:tblPrEx>
          <w:tblCellMar>
            <w:top w:w="0" w:type="dxa"/>
            <w:left w:w="108" w:type="dxa"/>
            <w:bottom w:w="0" w:type="dxa"/>
            <w:right w:w="108" w:type="dxa"/>
          </w:tblCellMar>
        </w:tblPrEx>
        <w:trPr>
          <w:trHeight w:val="338"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572" w:type="pct"/>
            <w:tcBorders>
              <w:top w:val="single" w:color="auto" w:sz="4" w:space="0"/>
              <w:left w:val="nil"/>
              <w:bottom w:val="single" w:color="auto" w:sz="4" w:space="0"/>
              <w:right w:val="single" w:color="auto" w:sz="4" w:space="0"/>
            </w:tcBorders>
            <w:shd w:val="clear" w:color="auto" w:fill="auto"/>
            <w:vAlign w:val="center"/>
          </w:tcPr>
          <w:p>
            <w:pPr>
              <w:pStyle w:val="3"/>
              <w:jc w:val="cente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智慧教学平台</w:t>
            </w:r>
          </w:p>
          <w:p>
            <w:pPr>
              <w:widowControl/>
              <w:jc w:val="center"/>
              <w:rPr>
                <w:rFonts w:hint="eastAsia" w:ascii="宋体" w:hAnsi="宋体"/>
                <w:color w:val="000000"/>
                <w:sz w:val="18"/>
                <w:szCs w:val="18"/>
              </w:rPr>
            </w:pPr>
          </w:p>
        </w:tc>
        <w:tc>
          <w:tcPr>
            <w:tcW w:w="3178" w:type="pct"/>
            <w:tcBorders>
              <w:top w:val="single" w:color="auto" w:sz="4" w:space="0"/>
              <w:left w:val="nil"/>
              <w:bottom w:val="single" w:color="auto" w:sz="4" w:space="0"/>
              <w:right w:val="single" w:color="auto" w:sz="4" w:space="0"/>
            </w:tcBorders>
            <w:shd w:val="clear" w:color="auto" w:fill="auto"/>
            <w:vAlign w:val="center"/>
          </w:tcPr>
          <w:p>
            <w:pPr>
              <w:pStyle w:val="3"/>
              <w:numPr>
                <w:ilvl w:val="1"/>
                <w:numId w:val="0"/>
              </w:numPr>
              <w:tabs>
                <w:tab w:val="left" w:pos="756"/>
              </w:tabs>
              <w:ind w:left="756" w:hanging="576"/>
              <w:jc w:val="both"/>
              <w:rPr>
                <w:rFonts w:hint="eastAsia" w:ascii="宋体" w:hAnsi="宋体" w:eastAsia="宋体" w:cs="Times New Roman"/>
                <w:b w:val="0"/>
                <w:bCs w:val="0"/>
                <w:color w:val="000000"/>
                <w:kern w:val="2"/>
                <w:sz w:val="18"/>
                <w:szCs w:val="18"/>
                <w:lang w:val="en-US" w:eastAsia="zh-CN" w:bidi="ar-SA"/>
              </w:rPr>
            </w:pPr>
            <w:bookmarkStart w:id="22" w:name="_Toc20733"/>
            <w:r>
              <w:rPr>
                <w:rFonts w:hint="eastAsia" w:ascii="宋体" w:hAnsi="宋体" w:eastAsia="宋体" w:cs="Times New Roman"/>
                <w:b w:val="0"/>
                <w:bCs w:val="0"/>
                <w:color w:val="000000"/>
                <w:kern w:val="2"/>
                <w:sz w:val="18"/>
                <w:szCs w:val="18"/>
                <w:lang w:val="en-US" w:eastAsia="zh-CN" w:bidi="ar-SA"/>
              </w:rPr>
              <w:t>一、智慧教学管理系统数据采集服务</w:t>
            </w:r>
            <w:bookmarkEnd w:id="22"/>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宋体" w:hAnsi="宋体"/>
                <w:color w:val="000000"/>
                <w:sz w:val="18"/>
                <w:szCs w:val="18"/>
              </w:rPr>
            </w:pPr>
            <w:r>
              <w:rPr>
                <w:rFonts w:hint="eastAsia" w:ascii="宋体" w:hAnsi="宋体"/>
                <w:color w:val="000000"/>
                <w:sz w:val="18"/>
                <w:szCs w:val="18"/>
              </w:rPr>
              <w:t>智慧教学管理系统实现全校教学大数据的实时多地采集，并为校级、院级、授课教师等提供不同层级的数据概况报表，数据详情报表。具体要求如下：</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系统对接</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1.与学校统一身份认证系统对接，实现管理端的统一。</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2.对接教务系统，并将已确认的学生及其选课信息一次性导入智慧课堂教学平台中，并进行定期维护和更新，以保证学生的选课信息准确无误。</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3.为学校提供界面个性化定制、专属二级登录域名。个性化定制页面包含学校主题背景，以及学校logo的登录页面；所有的智慧课堂教学平台专业版页面均包含学校logo；并根据学校主视觉色系进行配色。</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4.为学习者提供优质的云端网络环境。</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（2）综合数据</w:t>
            </w:r>
          </w:p>
          <w:p>
            <w:pPr>
              <w:widowControl/>
              <w:ind w:firstLine="480"/>
              <w:jc w:val="left"/>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管理员/督导在综合数据页面，可以查看该校使用智慧教学互动系统所产生的数据情况，包括用户概况、教学活动和课堂互动情况。</w:t>
            </w:r>
          </w:p>
          <w:p>
            <w:pPr>
              <w:widowControl/>
              <w:ind w:firstLine="480"/>
              <w:jc w:val="left"/>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用户概况展示该校使用智慧教学互动系统的教师、学生人数和教学班级情况，及占本学期有课程的教师、学生和全校教学班级数的比例，并用图表进行图形展示；每个字段统计“数量绝对值、同总数的占比、与上个周期的环比波动”3 个数据。</w:t>
            </w:r>
          </w:p>
          <w:p>
            <w:pPr>
              <w:widowControl/>
              <w:ind w:firstLine="480"/>
              <w:jc w:val="left"/>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教学活动主要是课前的预习课件发布、课堂活动发布、课后试卷发布、课外公告发布等四类活动，校级管理员可查看全校教师产生的教学活动总数以及每一项教学活动所产生的数据，并可以环比波动的形式查看数量对比趋势；每个字段统计“数量绝对值、同总数的占比、与上个周期的环比波动”3 个数据。</w:t>
            </w:r>
          </w:p>
          <w:p>
            <w:pPr>
              <w:pStyle w:val="8"/>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课堂互动包含但不限于投稿、习题、弹幕、随机点名、教学内容疑问标记、课堂红包等六类，校级管理员可查看全校学生课堂互动总数，并可分别查看习题、投稿、弹幕、随机点名+课件内容疑问标记+课堂红包的数量。每个字段统计“数量绝对值、同总数的占比、与上个周期的环比波动”3 个数据。</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（3）今日动态</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今日动态以时间轴的形式为管理员/督导用户提供全校当天教学运营监控，动态信息包括当前授课课程名称、授课教师头像、授课教师姓名、所属院系、当前课程到课率，支持按日期切换。授课结束后，查看对应教学班的课堂小结。</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（4）督导督学</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督导督学功能支持管理员以教学督导的身份进入正在授课的课堂界面。进入授课课堂页面，左侧显示当堂课的课程信息、签到详情和未签到详情，中间显示课堂学生端实时画面，右侧显示课堂互动详情，管理员产生的学习行为数据不会被记录，不会影响老师正常教学。</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2.可随机抽取部分正在使用智慧课堂教学平台进行授课的课程，实时展播这部分进行中的课堂课件等信息。</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（5）数据详情</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管理员/督导可以查看系统内新增用户、活跃用户、活跃班级的数据情况，并以可视化图表的形式呈现。新增用户可以看到统计周期内各院系绑定用户的数量排名，活跃用户点击进入可以教师视角查看教学活动详情，活跃班级点击教学活动可以进入教学班动态页面，查看并下载教学详细数据。</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1.新增用户面板记录用户绑定时间，“按时间统计”模式下，管理员可以查看每天的绑定用户数量；将视角切换到“按学院统计”，还能看到统计周期内各院系绑定用户的数量排名。</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2.活跃用户面板展示用户最近一次参与的教学活动内容，可以进入教师视角查看教学活动详情；可以将视角切换到“按时间统计”和“按学院统计”。</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3.活跃班级面板展示学校每天活跃的班级数量，及每个班级发送教学活动的数量。点击教学活动，可以进入教学班动态页面，查看并下载教学详细数据。</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4.课堂数据面板展示学校每天的开课数量、平均到课率、上课师生人次等数据，点击课堂可以进入课后小结查看授课记录。</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5.课件数据面板展示学校每天发送课件数量和学生的平均预习率。点击课件可以进入老师课件小结，查看课件预习数据。</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6.试卷数据面板展示学校每天发送试卷数量和学生的平均完成率。点击试卷可以进入老师课件小结，查看试卷作答数据。</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7.公告数据面板展示学校每天发送公告数量和平均查看率。点击公告可以查看公告内容和阅读公告详情。</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8.老师课堂小结是给授课教师生成的课堂教学报告，管理员视角查看课程时，不能编辑或修改数据。课堂小结从学生考勤、授课课件、课堂习题、课堂互动、课堂考试5个维度展示课堂教学数据，并为每个同学生成听课报告和课堂得分。</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9.课件小结可以自动检测学生每一页的预习进度，教师可以查看学生在每页课件内容的停留时间；自动统计学生答题分布；学生有不明白的知识点，也可以及时向老师反馈，提高学习效率。</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10.试卷小结为老师自动统计全班成绩分布，每道题统计学生答题分布，作答结束后，还为每个学生生成试卷成绩单，支持导出PDF，方便学生复习和学校存档。</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11.公告小结可查看公告详细内容，阅读人数详细情况，方便老师及时掌握查看公告情况。</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12. 课堂互动数据面板展示课堂互动总数与上个周期的环比波动情况；习题情况、投稿情况、弹幕情况、点名情况、知识点反馈情况+课堂激励情况的数量与上个周期的环比波动情况；可以将视角切换到“按时间统计”和“按学院统计”。</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（6）考试动态</w:t>
            </w:r>
          </w:p>
          <w:p>
            <w:pP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1.管理员/督导登录学校管理后台即可查看正在进行的考试动态或者已经结束的考试信息。</w:t>
            </w:r>
          </w:p>
          <w:p>
            <w:pP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2.支持通过时间、院系等筛选操作，准确查找想要了解的某个院系的某场考试详情。</w:t>
            </w:r>
          </w:p>
          <w:p>
            <w:pP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管理员/督导进入某场使用在线监考的考试后，可以看到所有学生的考试状态。左侧动态按照时间倒序，标明了学生开始答题、考试异常、交卷、考试作废等状态；右侧显示学生列表，图片为其身份检验时拍摄的摄像头图像，考试异常或未检测到摄像头的同学将在列表中被标注出来。点击可进入学生个人页面，个人页面记录了该同学的所有系统抓拍和切屏状态。</w:t>
            </w:r>
          </w:p>
          <w:p>
            <w:pP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4.管理员/督导可以选择查看某场考试的详情包括考试时间、考试时长、考试试卷、试卷完成情况、试卷统计、学生表现等。</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（7）数据下载</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 支持学院维度统计数据下载，下载后可展示综合数据，教学活动，课堂互动情况。学院综合数据展示所属学院、教学班数量和选课人数；教学活动展示教学活动总数、开课总数、应到课人数、实际到课人数、平均到课率、课件总数、平均预习率、试卷总数、平均完成率、公告总数、平均查看率；课堂互动展示课堂互动总数、习题互动总数、投稿总数、弹幕总数、课堂激励总数、有疑问的课件总数、随机点名总数。</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支持班级维度统计数据下载，下载后可展示综合数据，教学活动，课堂互动情况。班级综合数据展示课程名称、教学班名称、所属学院、教师、工号、选课人次；教学活动展示教学活动总数、开课总数、应到课人数、实际到课人数、平均到课率、课件总数、平均预习率、试卷总数、平均完成率、公告总数、平均查看率；课堂互动展示课堂互动总数、习题互动总数、投稿总数、弹幕总数、课堂激励总数、有疑问的课件总数、随机点名总数。</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支持教师维度统计数据下载，下载后可展示综合数据，教学活动，课堂互动情况。教师综合数据展示教师、工号、绑定状态、所属学院、教学班数量、选课人次；教学活动展示教学活动总数、开课总数、应到课人数、实际到课人数、平均到课率、课件总数、平均预习率、试卷总数、平均完成率、公告总数、平均查看率；课堂互动展示课堂互动总数、习题互动总数、投稿总数、弹幕总数、课堂激励总数、有疑问的课件总数、随机点名总数。</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4.支持学生考勤统计数据下载，下载后可展示学生的考勤统计数据，包括学生姓名、学号、所属行政班、课堂数量、签到次数、缺勤次数。</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5.支持课堂数据详情下载，下载后可展示课堂数据详情，包括学生信息、签到详情、课堂互动信息、答题详情等。</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6.支持课件数据详情下载，下载后可展示课件数据详情，包括学生信息、观看详情、答题详情等。</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7.支持试卷数据详情下载，下载后可展示学生对试卷作答的详情。</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8.支持公告数据详情下载，下载后可查看每个学生是否查看公告以及查看公告的详情。</w:t>
            </w:r>
          </w:p>
          <w:p>
            <w:pP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9.试卷成绩单支持导出PDF，支持下载单个学生试卷成绩单、或批量下载全班学生成绩单，用于线上考试试卷存档。</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（8）数据月报</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数据月报是基于教学互动系统产生的教学大数据生成的教学运营报告，支持微信订阅，订阅后系统每月定时为管理员/督导推送上个月的教学运营报告。数据月报分“数据总览”和“本月TOP榜”两部分：①数据总览。从用户概况、教学活动、课堂互动三个维度统计前一个月的教学数据，包括活跃用户数量、发送教学活动数量、各类课堂互动数量等，每项数据都会计算环比上月的波动比例；②本月TOP榜。一共三个榜单：以活跃用户数排名的学院榜单、以学院平均到课率排名的学院榜单、以教师发送教学活动数量排名的教师榜单。</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（9）数据直播</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数据直播为学校以最直观的方式展示智慧教学互动系统的使用情况，方便教务管理员/督导对学校的教学质量进行把控。数据直播页面支持教学管理员/督导按照不同时间周期（本周、本月、本学期等）去查看本校在该周期的教学概况、教学活动、教学互动、今日实况等内容。</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用户概况；可以查看全校覆盖人数，以及统计周期内的学校覆盖人数增量，包括学生、老师和教学班级；可以查看活跃用户数，以及统计周期内活跃用户数增量，包括学生、老师和教学班级；活跃用户趋势会以折线图形式，展示以时间轴为变化的活跃用户情况</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教学活动展示统计周期内的教学活动的总数，课堂、课件、试卷、公告等单个教学活动的数量、增长情况等，并以折线图形式展示数据变化情况；展示每一项教学活动的数据变化情况，包括总数、总数变化率、平均变化率及趋势等</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3.课堂互动展示统计周期内的学生总互动数，习题互动、投稿、弹幕等单个教学活动的数量，单位时间内的增长率；以统计周期为维度展示课堂课件数、课堂互动数的平均数量情况、数据变化情况。</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4.今日实况展示当天的教学活动的总数，课堂、课件、试卷、公告等单个教学活动的数量、单位时间内的增长情况等，并以图表形式展示数据变化情况；实时动态展示以时间轴为单位的最新教学活动情况。</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（10）行政通知</w:t>
            </w:r>
          </w:p>
          <w:p>
            <w:pPr>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可根据管理员身份权限发送校级/院级/行政班级行政通知，可以设置是否开启审核流程，发送人可选择接受通知的人员角色（全体师生、教师、学生），可自定义填写发送人名称，通知内容除了文字外，支持添加图片、文档、视频等附件文档。</w:t>
            </w:r>
          </w:p>
          <w:p>
            <w:pPr>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2.可对本人发送的行政通知进行预览、查看送达人数、查看已读人数等操作。</w:t>
            </w:r>
          </w:p>
          <w:p>
            <w:pPr>
              <w:widowControl/>
              <w:spacing w:line="240" w:lineRule="atLeast"/>
              <w:ind w:firstLine="360" w:firstLineChars="20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上课/下课通知：支持教师通过点击“上课”开始课堂，以及点击“下课”结束课堂，开始上课之后，教师可以按照教学安排发布教学活动，结束下课后，相关教学活动关闭;当学生参加的课程正在上课时，进入页面会有弹窗提醒和首页列表提醒，提示学生有课程正在上课，引导学生进入课堂。</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（11）后台教务管理</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教学班管理可以对系统的课程、教学班、授课教师、行政班、学期、所属院系等信息进行查询操作，对于查询到的信息可以进行查看、编辑、删除操作；支持下载教学班级名单；支持管理员以行政班选课的形式将学生加入到教学班中，支持单个添加协同教师、学生，旁听生批量转正，移除课程内学生等操作。</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用户管理可以对用户、角色、入学学年、所属行政班、所属院系、绑定状态等信息进行查询操作，对用户可以进行编辑、删除操作，可以在后台对用户进行绑定身份的操作；可以对管理员设置督导角色，设置成功后，督导只能够查看数据看板，避免对数据的误操作。</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行政班管理可以对行政班、入学学年、辅导员、所属院系等信息进行查询操作，对于查询到的行政班信息可以进行查看、编辑、删除操作；查看当前班级信息，管理员师可以添加辅导员、学生，对学生可进行换班、移除等操作</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4.教研室管理可以对教研室进行查询、编辑、删除操作</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5.院系管理可以对院系信息进行查询、编辑、删除操作</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6.操作日志可查询管理员在管理平台上的操作。</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（12）本地音频、视频上传</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教师可以上传本地音频、视频至智慧课堂教学平台服务器，管理员审核通过后可将视频插入教学课件并推送。</w:t>
            </w:r>
          </w:p>
          <w:p>
            <w:pPr>
              <w:pStyle w:val="3"/>
              <w:numPr>
                <w:ilvl w:val="1"/>
                <w:numId w:val="0"/>
              </w:numPr>
              <w:tabs>
                <w:tab w:val="left" w:pos="756"/>
              </w:tabs>
              <w:ind w:left="756" w:hanging="576"/>
              <w:jc w:val="both"/>
              <w:rPr>
                <w:rFonts w:hint="eastAsia" w:ascii="宋体" w:hAnsi="宋体" w:eastAsia="宋体" w:cs="Times New Roman"/>
                <w:b w:val="0"/>
                <w:bCs w:val="0"/>
                <w:color w:val="000000"/>
                <w:kern w:val="2"/>
                <w:sz w:val="18"/>
                <w:szCs w:val="18"/>
                <w:lang w:val="en-US" w:eastAsia="zh-CN" w:bidi="ar-SA"/>
              </w:rPr>
            </w:pPr>
            <w:bookmarkStart w:id="23" w:name="_Toc18885"/>
            <w:r>
              <w:rPr>
                <w:rFonts w:hint="eastAsia" w:ascii="宋体" w:hAnsi="宋体" w:eastAsia="宋体" w:cs="Times New Roman"/>
                <w:b w:val="0"/>
                <w:bCs w:val="0"/>
                <w:color w:val="000000"/>
                <w:kern w:val="2"/>
                <w:sz w:val="18"/>
                <w:szCs w:val="18"/>
                <w:lang w:val="en-US" w:eastAsia="zh-CN" w:bidi="ar-SA"/>
              </w:rPr>
              <w:t>二、课堂教学互动系统数据采集服务</w:t>
            </w:r>
            <w:bookmarkEnd w:id="23"/>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课堂教学互动系统需提供覆盖所有课堂教学活动的课堂互动功能，充分调动课堂气氛。在课堂结束后，为师生提供沟通交流的平台，教师可便捷地向学生推送自主学习资料，系统应提供相应的监督措施及学习效果反馈。具体功能要求如下：</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（1）课前预习</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1）制作预习资料</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1.教师制作预习资料可以不完全依赖在线课程，可以基于原有教学课件和全校师生手机都安装的微信应用或APP实现预习课件的制作及推送。</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 教师可一键式插入清华大学等双一流高校的mooc视频，也可以通过粘贴视频网页链接插入优酷、腾讯、哔哩哔哩或YouTube等第三方视频，系统进行自动化智能识别视频内容；教师将预习材料上传至手机，并推送给学生，学生可直接在手机端查看教师的教学课件及视频、完成习题测试，数据自动进行统计。</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3.教师可以在手机端对已经编辑好的教学内容进行语音注解，包含对原有PPT、教学视频、习题等教学内容的语音解析，每个教学内容上的语音注解总条数不设上限，快速构建旁白式在线课程。</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4.课件支持插入本地音频、视频，发布时将同步至学生手机端，无需下载即可完成学习。</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5.课件中的超链接支持点击跳转；推送至手机端的预习课件，保留原有教学内容的呈现效果。</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2）课前推送预习资料</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1.教师可以设置预习截止时间，在节点前没有预习的学生会收到消息提醒；预习活动发布之后，支持修改截止时间。</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教师将预习材料上传至教师手机端，教师可选择推送到学生手机端，学生收到预习通知后，可直接在手机端同一页面内一边听取教师语音注解，一边同步观看预习资料；也可以在同一页面内听取语音注解的同时完成该页面包含的习题作答；预习数据可自动进行统计。</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3）支持多种题型模板及题型切换</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支持插入单选、多选、填空、投票、主观等多种类型习题及自定义题目分值；教师制作题目时可一键切换题目类型。多选题支持教师在学生少选时的自定义得分；填空题支持每个空单独设置分值，整个题目的答案可设置允许乱序，支持自动批复功能；投票题支持学生匿名投票功能；主观题支持学生以文字和图片的形式提交答案，当主观题用于课下预习或作业时，还支持语音形式作答；预习课件和课堂中的主观题支持分组作答。</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主观题批改：主观题批改时，支持对文字、图片等提交内容进行圈画和批注，圈画笔迹可选择笔画粗细、以及笔迹颜色；圈画时，可对图片进行放大、缩小、旋转等操作；支持对同一班级学生提交的主观题进行批量评分。</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3.主观题课堂互评：主观题支持已提交答案的同学参加互评，每人/每组将收到非本人/本组的作答内容；互评相互匿名；教师在发起互评时可设置互评占比，最终得分可随时修改</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4.答案解析支持富文本答案解析，文字、图片、公式均可作为习题的答案解析上传。学生在作答之后，即可查看富文本的答案解析。</w:t>
            </w:r>
          </w:p>
          <w:p>
            <w:pPr>
              <w:pStyle w:val="5"/>
              <w:numPr>
                <w:ilvl w:val="0"/>
                <w:numId w:val="2"/>
              </w:numPr>
              <w:spacing w:before="0" w:after="0" w:line="240" w:lineRule="auto"/>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教师实时查看学生预习情况</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教师可以通过移动端或者PC端实时查看学生预习详细情况。具体包括：完成预习人数、查看课件人数、班级总人数的图表数据展示；点击详情可查看已完成预习人员名单、已查看课件人员名单及未查看课件人员名单；可追溯到每位学生预习进度、预习观看时长、习题得分情况及未观看页数；可查看当前学生预习课件习题作答选项答案及得分情况；</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2.教师可以通过移动随时预览课件。</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3.可查看当前预习课件班级答题情况，客观题可查看每道题的答题率、正确率及所有题目的汇总表；可直接在移动端批阅学生主观题，可给每道题赋分并添加评语。</w:t>
            </w:r>
          </w:p>
          <w:p>
            <w:pPr>
              <w:pStyle w:val="5"/>
              <w:keepNext/>
              <w:keepLines/>
              <w:pageBreakBefore w:val="0"/>
              <w:widowControl w:val="0"/>
              <w:kinsoku/>
              <w:wordWrap/>
              <w:overflowPunct/>
              <w:topLinePunct w:val="0"/>
              <w:autoSpaceDE/>
              <w:autoSpaceDN/>
              <w:bidi w:val="0"/>
              <w:adjustRightInd/>
              <w:snapToGrid/>
              <w:spacing w:before="0" w:after="0" w:line="240" w:lineRule="auto"/>
              <w:ind w:left="420" w:leftChars="20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5）教学备忘</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教师可以在手机端记录教学设计和心得等笔记。</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6）预习详情数据报表发送邮箱</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支持教师将学生详细的预习数据以邮件的方式下载或者发送至个人邮箱。</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7）试卷库管理</w:t>
            </w:r>
          </w:p>
          <w:p>
            <w:pP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支持教师在PPT端、网页端上传试卷，试卷库中的试卷可以用于课下测验和课堂考试；教师从网页端登录系统后，可以在试卷库中进行新建文件夹操作；</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ppt端上传的课件和试卷可以同步到手机的课件库和试卷库。</w:t>
            </w:r>
          </w:p>
          <w:p>
            <w:pPr>
              <w:pStyle w:val="5"/>
              <w:numPr>
                <w:ilvl w:val="0"/>
                <w:numId w:val="3"/>
              </w:numPr>
              <w:spacing w:before="0" w:after="0" w:line="24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支持多种方式登录</w:t>
            </w:r>
          </w:p>
          <w:p>
            <w:pP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支持在系统中绑定邮箱或者手机号，进行系统登录。</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（2）课堂教学</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1）多种方式开启授课</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支持教师多终端开启授课。老师可以下载插件端，通过扫码、手机登录、短信登录、邮箱登录进行授课；或者登录网页版进行授课，即使教师中没有安装插件也不影响课堂教学。</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2）课堂签到并实时查看加入课堂的人数和签到方式</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支持PPT端、网页端教师一键开启授课，学生可以通过扫描课堂二维码、输入课堂暗号时自动完成课堂签到，课堂授课签到时展示头像，同时显示到课人数和比例；教师手机端可实时查看学生签到情况，包括：签到人数、签到方式和签到时间，以及未签到学生的名单。</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2.课堂考勤备注：可以备注学生的课堂考勤状态：已签到或未签到。</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3）智能遥控课件</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1.教师可以同时用手机或电脑控制教学课件的翻页及发送题目等课堂常用功能，摆脱讲台束缚；</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教师通过使用翻页笔或手机可以实现课件的翻页，调出课堂二维码让学生签到，开通/关闭弹幕功能并展现弹幕内容，随机点名，发放题目并查看答题详情等。单击上下键即可滚动，在全屏放映状态下，任何时候双击功能键即可呼出菜单栏，点选即可实现相应功能。</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4）教学内容任意截图</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教师可对电脑屏幕内容任意截图，并发送给全班同学，学生通过手机移动端查看接收内容，截图内容可作为独立的页面融入到教学课件中；</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5）实时教学反馈</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支持学生在每一页教学课件上进行标注（类似“不懂”或“收藏”等功能）反馈，学生可以点击“不懂”进行反馈，同时可以点击“收藏”方便课后复习，课后学生可以利用标注数据查看每一堂课中自己的盲点、重难点，教师也可同步收到本班同学的课堂反馈情况，及时发现问题解决问题。</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6）教师手机端页面支持查看教学课件备注</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教师在教学课件中的备注，支持在手机教师端查看。</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7）课堂内容实时同步到学生端</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进行课程内容讲解时，支持教师PPT课件、板书、直播语音画面等教学内容实时同步到学生的学习终端；教师在授课过程中，无需结束授课，支持临时加入习题，或修改题目正确答案等，课件会实时同步到学生端。</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8）随堂小测</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课堂支持限时随堂测验，支持单选，多选、投票和主观题；随堂测试结果实时显示，方便教师实时了解答题情况。（包括答题总人数，各选项的选择详情，每个学生的答题情况等数据统计）；客观题结果实时显示，方便教师实时了解学生答题情况，包括答题总人数，各选项的选择详情，每个学生的答题情况等数据统计。教师可在课上习题详情页中，查看未作答学生名单。其中，主观题支持学生个人作答或分组作答，批改方式上支持教师批改，小组互评等，同时支持课上实时批改或课下批改。</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9）随堂考试</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课堂支持随堂考试。课堂结束后，教师可以查看学生答题情况。</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10）弹幕</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教师可根据课堂教学情况随时开启弹幕；组织学生讨论，活跃课堂气氛，增加师生实时互动。弹幕可以实现前台（投影）匿名，后台（教师手机端）实名。</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11）投稿</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1.支持PPT端、网页端开启投稿，学生在开始上课以后，可以随时通过投稿将图片、文字、视频发送至教师端，表达个人观点和问题思考。</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2.教师可实时查看，并可以选择将文字或内容投放至大屏幕和发送至学生手机的方式与全班同学共享，投放至大屏幕的图片和文字等投稿内容支持旋转、放大缩小等操作。</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12）词云</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教师可控制遥控器，生成弹幕或投稿的词云并进行投屏。</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13）投屏</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习题投屏可以同时展示题目并可隐藏正确答案；主观题/投稿投屏可隐藏学生姓名，更好地保证学生的隐私。</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14）随机点名</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教师可通过PC端或手机端随机选择一名或多名学生参与课堂活动。</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15）课堂表现加分</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教师可以通过遥控器对学生的课堂表现进行加分操作。</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16）课堂板书</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课堂授课过程中ppt课件与板书能够自由切换，支持课堂中新建板书页，板书内容是融入到PPT教学过程中的，比如教师在第N页PPT课件讲解过程中使用板书功能，那该板书在学生端就作为独立页面嵌入到原来第N页PPT和第N+1页PPT课件中去；同时板书实时记录并投影到屏幕中；课后还能完整回放书写过程。</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17）课堂红包</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在每次随堂测试后，教师可以在手机端发红包给答题又快又好的学生，红包自动匹配给又对又快的学生，让所有学生都参与交互的情况下又能营造竞争的氛围，激励学生认真听讲。</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18）课堂小结</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记录所有课堂上的师生互动内容，生成课堂报告。可以查看到课详情，比如：学生签到情况，学生数据（包括学生成绩得分、成绩排名，答题用时、答题性情）、优秀学生和预警学生列表，随堂小测数据（包括每道题习题正确率、答题率、各选项回答人数、易错点等信息），有疑惑的课件数据，教学课件详情，考卷数据，弹幕详情，投稿详情、教学笔记等）</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19）课堂直播</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在教室具备音频、视频信号传输到教室电脑的条件下，教师在插件端可以选择开启语音直播/视频直播。开启语音直播时，加入班级的学生可接收教师的授课语音；开启视频直播时，可以选择摄像头、全屏、图片多画面来源，支持多个画面并存，在直播预览窗口中，可以调整每个画面的大小、顺序和位置；支持系统声音和麦克风声音共存；支持美颜功能，加入班级的学生可接收到相应的画面；课后支持回放课堂直播内容。支持发送上课通知到学生微信端。</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20）课堂教学详情数据报表下载或发送邮箱</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支持将每堂课程更详细的学生学习统计数据下载或者发送至教师邮箱。</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21）不改变教师习惯开展教学</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教师基于原有PPT，在不改变原有教学习惯的前提下，在课堂上教师即可以开启所有教学互动，实现课程教学数据全面监控。学生通过移动端即可以快速进入课堂。</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22）PPT发送延迟和清晰度设置</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教师可自由选择是否延迟发送PPT；同时教师可设置幻灯片清晰度，可选择适合手机观看的“标清”或者适合大屏幕观看的“高清”。</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23）课后回放</w:t>
            </w:r>
          </w:p>
          <w:p>
            <w:pPr>
              <w:ind w:firstLine="48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教师开启课堂直播，课后提供“直播回放”入口，能够方便师生同时回顾教师课堂上讲授的PPT，教师书写板书的过程，以及课堂直播语音、画面。</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24）学生视角</w:t>
            </w:r>
          </w:p>
          <w:p>
            <w:pPr>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教师手机遥控器支持查看学生视角，方便教师查看学生听课画面。</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（3）课后环节</w:t>
            </w:r>
          </w:p>
          <w:p>
            <w:pPr>
              <w:pStyle w:val="5"/>
              <w:keepNext/>
              <w:keepLines/>
              <w:pageBreakBefore w:val="0"/>
              <w:widowControl w:val="0"/>
              <w:kinsoku/>
              <w:wordWrap/>
              <w:overflowPunct/>
              <w:topLinePunct w:val="0"/>
              <w:autoSpaceDE/>
              <w:autoSpaceDN/>
              <w:bidi w:val="0"/>
              <w:adjustRightInd/>
              <w:snapToGrid/>
              <w:spacing w:before="0" w:after="0" w:line="240" w:lineRule="auto"/>
              <w:ind w:firstLine="482"/>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1）测试题批量导入</w:t>
            </w:r>
          </w:p>
          <w:p>
            <w:pPr>
              <w:ind w:firstLine="420"/>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教师可以word类型的题库文件无模板化一键式批量导入课件中，系统智能化识别导入题库文件中习题题干、选项、正确答案等信息。</w:t>
            </w:r>
          </w:p>
          <w:p>
            <w:pPr>
              <w:pStyle w:val="5"/>
              <w:pageBreakBefore w:val="0"/>
              <w:widowControl w:val="0"/>
              <w:kinsoku/>
              <w:wordWrap/>
              <w:overflowPunct/>
              <w:topLinePunct w:val="0"/>
              <w:autoSpaceDE/>
              <w:autoSpaceDN/>
              <w:bidi w:val="0"/>
              <w:adjustRightInd/>
              <w:snapToGrid/>
              <w:spacing w:before="0" w:after="0"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2）发送试卷</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教师可从试卷库选择考卷发送给指定的班级。教师可自定义答案显示时间。延迟显示答案，防止作弊；教师可以设置答卷截止日期，截止日期前没有答卷的学生会收到提醒。</w:t>
            </w:r>
          </w:p>
          <w:p>
            <w:pPr>
              <w:pStyle w:val="5"/>
              <w:pageBreakBefore w:val="0"/>
              <w:widowControl w:val="0"/>
              <w:kinsoku/>
              <w:wordWrap/>
              <w:overflowPunct/>
              <w:topLinePunct w:val="0"/>
              <w:autoSpaceDE/>
              <w:autoSpaceDN/>
              <w:bidi w:val="0"/>
              <w:adjustRightInd/>
              <w:snapToGrid/>
              <w:spacing w:before="0" w:after="0"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3）试卷小结</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教师可实时查看考卷数据，包括考卷预览，考卷完成情况（包括已批改人数、完成试卷人数、查看试卷人数、班级人数分析），学生得分分布情况，学生答题正确率、答题率对比图，学生答题详情数据。</w:t>
            </w:r>
          </w:p>
          <w:p>
            <w:pPr>
              <w:pStyle w:val="5"/>
              <w:pageBreakBefore w:val="0"/>
              <w:widowControl w:val="0"/>
              <w:kinsoku/>
              <w:wordWrap/>
              <w:overflowPunct/>
              <w:topLinePunct w:val="0"/>
              <w:autoSpaceDE/>
              <w:autoSpaceDN/>
              <w:bidi w:val="0"/>
              <w:adjustRightInd/>
              <w:snapToGrid/>
              <w:spacing w:before="0" w:after="0"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4）慕课资源库</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系统内置不少于1200门完整慕课课程视频、60000条视频文件，每条视频时长为5到15分钟，教师可按照按照知识点进行课程拆分以单个视频一键式添加到教学课件中，应用于学生课前预习及课后复习。</w:t>
            </w:r>
          </w:p>
          <w:p>
            <w:pPr>
              <w:pStyle w:val="5"/>
              <w:pageBreakBefore w:val="0"/>
              <w:widowControl w:val="0"/>
              <w:kinsoku/>
              <w:wordWrap/>
              <w:overflowPunct/>
              <w:topLinePunct w:val="0"/>
              <w:autoSpaceDE/>
              <w:autoSpaceDN/>
              <w:bidi w:val="0"/>
              <w:adjustRightInd/>
              <w:snapToGrid/>
              <w:spacing w:before="0" w:after="0"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5）教学详情数据报表下载或发送邮箱</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将更详细的学生学习统计数据下载或发送至教师邮箱。</w:t>
            </w:r>
          </w:p>
          <w:p>
            <w:pPr>
              <w:pStyle w:val="5"/>
              <w:pageBreakBefore w:val="0"/>
              <w:widowControl w:val="0"/>
              <w:kinsoku/>
              <w:wordWrap/>
              <w:overflowPunct/>
              <w:topLinePunct w:val="0"/>
              <w:autoSpaceDE/>
              <w:autoSpaceDN/>
              <w:bidi w:val="0"/>
              <w:adjustRightInd/>
              <w:snapToGrid/>
              <w:spacing w:before="0" w:after="0"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6）群发公告</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教师可通过PC端或者移动端向班级学生群发公告；学生可通过微信端进行查看。公告可以发送图文通知、网页文章、在线视频及云盘文件等，教师可实时查看学生对此公告的查看情况。</w:t>
            </w:r>
          </w:p>
          <w:p>
            <w:pPr>
              <w:pStyle w:val="5"/>
              <w:pageBreakBefore w:val="0"/>
              <w:widowControl w:val="0"/>
              <w:kinsoku/>
              <w:wordWrap/>
              <w:overflowPunct/>
              <w:topLinePunct w:val="0"/>
              <w:autoSpaceDE/>
              <w:autoSpaceDN/>
              <w:bidi w:val="0"/>
              <w:adjustRightInd/>
              <w:snapToGrid/>
              <w:spacing w:before="0" w:after="0" w:line="240" w:lineRule="auto"/>
              <w:ind w:firstLine="360" w:firstLineChars="20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7）课件库管理</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1.支持教师在PPT端、网页端上传课件，课件库课件可以用于课前预习和课堂网页版授课；</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2.教师从网页端登录课堂教学互动系统后，可以在课件库中进行新建文件夹操作，方便对文件进行管理。</w:t>
            </w:r>
          </w:p>
          <w:p>
            <w:pPr>
              <w:pStyle w:val="5"/>
              <w:pageBreakBefore w:val="0"/>
              <w:widowControl w:val="0"/>
              <w:kinsoku/>
              <w:wordWrap/>
              <w:overflowPunct/>
              <w:topLinePunct w:val="0"/>
              <w:autoSpaceDE/>
              <w:autoSpaceDN/>
              <w:bidi w:val="0"/>
              <w:adjustRightInd/>
              <w:snapToGrid/>
              <w:spacing w:before="0" w:after="0"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8）学生分组及分组管理</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1.教学中，教师可根据教学需求，对班级学生进行分组，支持三种分类形式：随机分组、学生自由分组和老师指定分组。</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2.支持教师在课下提前创建分组，也支持课上创建新的分组。</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3.教师可对已创建的分组进行成员调整和增删等管理工作。</w:t>
            </w:r>
          </w:p>
          <w:p>
            <w:pPr>
              <w:pStyle w:val="5"/>
              <w:pageBreakBefore w:val="0"/>
              <w:widowControl w:val="0"/>
              <w:kinsoku/>
              <w:wordWrap/>
              <w:overflowPunct/>
              <w:topLinePunct w:val="0"/>
              <w:autoSpaceDE/>
              <w:autoSpaceDN/>
              <w:bidi w:val="0"/>
              <w:adjustRightInd/>
              <w:snapToGrid/>
              <w:spacing w:before="0" w:after="0" w:line="240" w:lineRule="auto"/>
              <w:ind w:firstLine="360" w:firstLineChars="20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9）国际化英文版界面</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为方便英语专业，留学生及外国师生加入混合式教学改革和课程创新，主要操作界面支持英文版操作。</w:t>
            </w:r>
          </w:p>
          <w:p>
            <w:pPr>
              <w:pStyle w:val="5"/>
              <w:pageBreakBefore w:val="0"/>
              <w:widowControl w:val="0"/>
              <w:kinsoku/>
              <w:wordWrap/>
              <w:overflowPunct/>
              <w:topLinePunct w:val="0"/>
              <w:autoSpaceDE/>
              <w:autoSpaceDN/>
              <w:bidi w:val="0"/>
              <w:adjustRightInd/>
              <w:snapToGrid/>
              <w:spacing w:before="0" w:after="0"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10）全周期班级管理</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1.教师手机端的教学日志和学生手机端的学习日志会永久保留所有教师行为方便学生复习。</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2.教师可以设置协同教师，和其他老师共同教学或管理班级。</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（4）线上考试</w:t>
            </w:r>
          </w:p>
          <w:p>
            <w:pPr>
              <w:pStyle w:val="5"/>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1）制作试卷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1.支持在PC端网页制作试卷；支持通过新建文件夹、移动试卷等功能管理自己的试卷；试卷支持编辑、重命名、移动、删除等操作。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2.试卷习题支持用 word 或 excel 批量导入，添加、编辑单个习题。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3.网页端制作的试卷题型支持单选题、多选题、投票题、判断题、填空题、主观题 6 种题型；所有题型均支持富文本编辑，支持插入本地图片，本地音频和云盘音频，提供插入公式和使用代码语言的功能；所有题型均支持设置分值、答案解析。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多选题支持设置少选不给分或少选给部分分的判分规则，可设置给分分值；投票题支持设置是否匿名、是否计分；填空题支持设置多个空，每个空支持多个答案，不同的空支持设置不同的分值。教师可设置答案顺序打乱、模糊匹配、是否区分大小写。</w:t>
            </w:r>
          </w:p>
          <w:p>
            <w:pPr>
              <w:pStyle w:val="5"/>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2）试卷发布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1.支持设置发布时间、考试时长、考试开始时间、考试截止时间、题目顺序、选项顺序、试卷查看权限、成绩与答案公布时间等。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2.支持设置是否开启在线监考，勾选后即具有在线监考功能。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3.试卷发布后，教师和学生均可在微信公众号收到试卷发布提示。</w:t>
            </w:r>
          </w:p>
          <w:p>
            <w:pPr>
              <w:pStyle w:val="5"/>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3）在线监考</w:t>
            </w:r>
            <w:r>
              <w:rPr>
                <w:rFonts w:hint="eastAsia" w:ascii="宋体" w:hAnsi="宋体" w:eastAsia="宋体" w:cs="Times New Roman"/>
                <w:b w:val="0"/>
                <w:bCs w:val="0"/>
                <w:color w:val="000000"/>
                <w:kern w:val="2"/>
                <w:sz w:val="18"/>
                <w:szCs w:val="18"/>
                <w:lang w:val="en-US" w:eastAsia="zh-CN" w:bidi="ar-SA"/>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1.支持证件照与摄像头拍摄照片手动核验学生身份。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2.考试过程中，支持摄像头进行无感知抓拍，并对抓拍图片进行展示。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3.学生若切出考试页面，老师端将收到系统提醒。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4.按照时间轴展示学生考试状态，包含开始答题、考试异常、交卷、考试作废等状态。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5.教师可手动标记异常，可将异常改为正常，可将操作异常学生考试作废。</w:t>
            </w:r>
          </w:p>
          <w:p>
            <w:pPr>
              <w:pStyle w:val="5"/>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4）学生在线答题及查看答案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1.对于未开启“在线监考”的考试，学生端可直接在微信端、PC端网页进行答题。对于开启“在线监考”的考试，学生端只可在 PC端网页进行答题；学生需要在开始考试前30分钟进行身份核验，支持证件照片、现场拍照核验。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2.学生在主观题作答时，支持通过手机扫码的方式，将作答图片传到PC端网页进行作答。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3.学生作答时切出了考试页面，将收到系统的提醒。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 xml:space="preserve">4.老师批改后，学生可根据老师设置的成绩与答案公布时间查看老师的给分、批注及评语。 </w:t>
            </w:r>
          </w:p>
          <w:p>
            <w:pPr>
              <w:pStyle w:val="5"/>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5）批改试卷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1.支持自动批改单选题、多选题、判断题、投票题、填空题。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2.主观题批改支持打分，圈画与批注，写评语。</w:t>
            </w:r>
          </w:p>
          <w:p>
            <w:pPr>
              <w:pStyle w:val="5"/>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6）重置考试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学生交卷后，支持给学生重置考试；重置考试之后，学生手机微信将会收到消息提示。</w:t>
            </w:r>
          </w:p>
          <w:p>
            <w:pPr>
              <w:pStyle w:val="5"/>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7）试卷数据下载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支持试卷名称、学生学号、姓名、得分、考试用时、交卷时间、客观题答案等数据下载。</w:t>
            </w:r>
          </w:p>
          <w:p>
            <w:pPr>
              <w:pStyle w:val="5"/>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8）学生试卷下载</w:t>
            </w:r>
          </w:p>
          <w:p>
            <w:pPr>
              <w:adjustRightInd w:val="0"/>
              <w:snapToGrid w:val="0"/>
              <w:spacing w:line="360" w:lineRule="auto"/>
              <w:rPr>
                <w:rFonts w:hint="eastAsia" w:ascii="宋体" w:hAnsi="宋体" w:eastAsia="宋体" w:cs="Times New Roman"/>
                <w:b w:val="0"/>
                <w:bCs w:val="0"/>
                <w:color w:val="000000"/>
                <w:kern w:val="2"/>
                <w:sz w:val="18"/>
                <w:szCs w:val="18"/>
                <w:lang w:val="en-US" w:eastAsia="zh-CN" w:bidi="ar-SA"/>
              </w:rPr>
            </w:pPr>
            <w:r>
              <w:rPr>
                <w:rFonts w:hint="eastAsia" w:ascii="宋体" w:hAnsi="宋体" w:eastAsia="宋体" w:cs="Times New Roman"/>
                <w:b w:val="0"/>
                <w:bCs w:val="0"/>
                <w:color w:val="000000"/>
                <w:kern w:val="2"/>
                <w:sz w:val="18"/>
                <w:szCs w:val="18"/>
                <w:lang w:val="en-US" w:eastAsia="zh-CN" w:bidi="ar-SA"/>
              </w:rPr>
              <w:t>系统为每个学生生成试卷成绩单，支持下载单个学生试卷成绩单或批量下载全班学生成绩单；成绩单支持导出PDF，导出的PDF包括主观题批改和圈画痕迹，用于线上考试试卷存档。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000000"/>
                <w:kern w:val="2"/>
                <w:sz w:val="18"/>
                <w:szCs w:val="18"/>
                <w:lang w:val="en-US" w:eastAsia="zh-CN" w:bidi="ar-SA"/>
              </w:rPr>
            </w:pP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4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年</w:t>
            </w:r>
          </w:p>
        </w:tc>
      </w:tr>
    </w:tbl>
    <w:p>
      <w:pPr>
        <w:adjustRightInd w:val="0"/>
        <w:spacing w:line="360" w:lineRule="auto"/>
        <w:textAlignment w:val="baseline"/>
        <w:rPr>
          <w:rFonts w:hint="eastAsia" w:asciiTheme="minorEastAsia" w:hAnsiTheme="minorEastAsia" w:eastAsiaTheme="minorEastAsia"/>
          <w:sz w:val="24"/>
        </w:rPr>
      </w:pPr>
    </w:p>
    <w:p>
      <w:pPr>
        <w:adjustRightInd w:val="0"/>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注：平台免费升级</w:t>
      </w:r>
    </w:p>
    <w:p>
      <w:pPr>
        <w:pStyle w:val="3"/>
        <w:numPr>
          <w:ilvl w:val="0"/>
          <w:numId w:val="4"/>
        </w:numPr>
        <w:jc w:val="left"/>
        <w:rPr>
          <w:rFonts w:hint="eastAsia" w:asciiTheme="minorEastAsia" w:hAnsiTheme="minorEastAsia" w:eastAsiaTheme="minorEastAsia"/>
        </w:rPr>
      </w:pPr>
      <w:r>
        <w:rPr>
          <w:rFonts w:hint="eastAsia" w:asciiTheme="minorEastAsia" w:hAnsiTheme="minorEastAsia" w:eastAsiaTheme="minorEastAsia"/>
        </w:rPr>
        <w:t>服务要求：</w:t>
      </w:r>
    </w:p>
    <w:p>
      <w:pPr>
        <w:adjustRightInd w:val="0"/>
        <w:spacing w:line="360" w:lineRule="auto"/>
        <w:textAlignment w:val="baseline"/>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标段一：</w:t>
      </w:r>
    </w:p>
    <w:p>
      <w:pPr>
        <w:adjustRightInd w:val="0"/>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一、质保期要求</w:t>
      </w:r>
      <w:r>
        <w:rPr>
          <w:rFonts w:hint="eastAsia" w:asciiTheme="minorEastAsia" w:hAnsiTheme="minorEastAsia" w:eastAsiaTheme="minorEastAsia"/>
          <w:sz w:val="24"/>
        </w:rPr>
        <w:cr/>
      </w:r>
      <w:r>
        <w:rPr>
          <w:rFonts w:hint="eastAsia" w:asciiTheme="minorEastAsia" w:hAnsiTheme="minorEastAsia" w:eastAsiaTheme="minorEastAsia"/>
          <w:sz w:val="24"/>
        </w:rPr>
        <w:t>质保期：项目整体质保期</w:t>
      </w:r>
      <w:r>
        <w:rPr>
          <w:rFonts w:asciiTheme="minorEastAsia" w:hAnsiTheme="minorEastAsia" w:eastAsiaTheme="minorEastAsia"/>
          <w:sz w:val="24"/>
        </w:rPr>
        <w:t>3</w:t>
      </w:r>
      <w:r>
        <w:rPr>
          <w:rFonts w:hint="eastAsia" w:asciiTheme="minorEastAsia" w:hAnsiTheme="minorEastAsia" w:eastAsiaTheme="minorEastAsia"/>
          <w:sz w:val="24"/>
        </w:rPr>
        <w:t>年。</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1、服务范围：采购人原有技防系统及相关设备的维护。</w:t>
      </w:r>
      <w:r>
        <w:rPr>
          <w:rFonts w:hint="eastAsia" w:asciiTheme="minorEastAsia" w:hAnsiTheme="minorEastAsia" w:eastAsiaTheme="minorEastAsia"/>
          <w:sz w:val="24"/>
        </w:rPr>
        <w:cr/>
      </w:r>
      <w:r>
        <w:rPr>
          <w:rFonts w:hint="eastAsia" w:asciiTheme="minorEastAsia" w:hAnsiTheme="minorEastAsia" w:eastAsiaTheme="minorEastAsia"/>
          <w:sz w:val="24"/>
        </w:rPr>
        <w:t>2、服务期限：与本项目提供设备一致，提供为期36个月的维保服务。</w:t>
      </w:r>
      <w:r>
        <w:rPr>
          <w:rFonts w:hint="eastAsia" w:asciiTheme="minorEastAsia" w:hAnsiTheme="minorEastAsia" w:eastAsiaTheme="minorEastAsia"/>
          <w:sz w:val="24"/>
        </w:rPr>
        <w:cr/>
      </w:r>
      <w:r>
        <w:rPr>
          <w:rFonts w:hint="eastAsia" w:asciiTheme="minorEastAsia" w:hAnsiTheme="minorEastAsia" w:eastAsiaTheme="minorEastAsia"/>
          <w:sz w:val="24"/>
        </w:rPr>
        <w:t>3、服务内容：工作包括对原有设备的常规检查，调整和润滑，系统维护，设备维修，零部件供应。具体操作程序及内容：</w:t>
      </w:r>
      <w:r>
        <w:rPr>
          <w:rFonts w:hint="eastAsia" w:asciiTheme="minorEastAsia" w:hAnsiTheme="minorEastAsia" w:eastAsiaTheme="minorEastAsia"/>
          <w:sz w:val="24"/>
        </w:rPr>
        <w:cr/>
      </w:r>
      <w:r>
        <w:rPr>
          <w:rFonts w:hint="eastAsia" w:asciiTheme="minorEastAsia" w:hAnsiTheme="minorEastAsia" w:eastAsiaTheme="minorEastAsia"/>
          <w:sz w:val="24"/>
        </w:rPr>
        <w:t>（1）定期派员对系统进行巡查，巡查周期每月1次，同时作好巡查记录，交业主备案。</w:t>
      </w:r>
      <w:r>
        <w:rPr>
          <w:rFonts w:hint="eastAsia" w:asciiTheme="minorEastAsia" w:hAnsiTheme="minorEastAsia" w:eastAsiaTheme="minorEastAsia"/>
          <w:sz w:val="24"/>
        </w:rPr>
        <w:cr/>
      </w:r>
      <w:r>
        <w:rPr>
          <w:rFonts w:hint="eastAsia" w:asciiTheme="minorEastAsia" w:hAnsiTheme="minorEastAsia" w:eastAsiaTheme="minorEastAsia"/>
          <w:sz w:val="24"/>
        </w:rPr>
        <w:t>（2）每年的上半年和下半年各对室外设备部件保养1次，保养内容包括除锈，喷漆，上油，紧固等。</w:t>
      </w:r>
      <w:r>
        <w:rPr>
          <w:rFonts w:hint="eastAsia" w:asciiTheme="minorEastAsia" w:hAnsiTheme="minorEastAsia" w:eastAsiaTheme="minorEastAsia"/>
          <w:sz w:val="24"/>
        </w:rPr>
        <w:cr/>
      </w:r>
      <w:r>
        <w:rPr>
          <w:rFonts w:hint="eastAsia" w:asciiTheme="minorEastAsia" w:hAnsiTheme="minorEastAsia" w:eastAsiaTheme="minorEastAsia"/>
          <w:sz w:val="24"/>
        </w:rPr>
        <w:t>4、费用：维护保养服务为免费；维修服务只收取设备成本费。</w:t>
      </w:r>
      <w:r>
        <w:rPr>
          <w:rFonts w:hint="eastAsia" w:asciiTheme="minorEastAsia" w:hAnsiTheme="minorEastAsia" w:eastAsiaTheme="minorEastAsia"/>
          <w:sz w:val="24"/>
        </w:rPr>
        <w:cr/>
      </w:r>
      <w:r>
        <w:rPr>
          <w:rFonts w:hint="eastAsia" w:asciiTheme="minorEastAsia" w:hAnsiTheme="minorEastAsia" w:eastAsiaTheme="minorEastAsia"/>
          <w:sz w:val="24"/>
        </w:rPr>
        <w:t>5、双方负责的内容：采购人及时支付相关维修设备成本费用，提供良好的系统运行环境；中标人应及时、快速的进行系统维护。</w:t>
      </w:r>
      <w:r>
        <w:rPr>
          <w:rFonts w:hint="eastAsia" w:asciiTheme="minorEastAsia" w:hAnsiTheme="minorEastAsia" w:eastAsiaTheme="minorEastAsia"/>
          <w:sz w:val="24"/>
        </w:rPr>
        <w:cr/>
      </w:r>
      <w:r>
        <w:rPr>
          <w:rFonts w:hint="eastAsia" w:asciiTheme="minorEastAsia" w:hAnsiTheme="minorEastAsia" w:eastAsiaTheme="minorEastAsia"/>
          <w:sz w:val="24"/>
        </w:rPr>
        <w:t>6、其它事宜，协商解决。</w:t>
      </w:r>
      <w:r>
        <w:rPr>
          <w:rFonts w:hint="eastAsia" w:asciiTheme="minorEastAsia" w:hAnsiTheme="minorEastAsia" w:eastAsiaTheme="minorEastAsia"/>
          <w:sz w:val="24"/>
        </w:rPr>
        <w:cr/>
      </w:r>
      <w:r>
        <w:rPr>
          <w:rFonts w:hint="eastAsia" w:asciiTheme="minorEastAsia" w:hAnsiTheme="minorEastAsia" w:eastAsiaTheme="minorEastAsia"/>
          <w:sz w:val="24"/>
        </w:rPr>
        <w:t>中标人售后服务内容包括有：电话支持、现场服务、设备维修与更换、系统故障报告和系统故障预防措施、软件版本升级与增强、定期上门维保等。</w:t>
      </w:r>
    </w:p>
    <w:p>
      <w:pPr>
        <w:adjustRightInd w:val="0"/>
        <w:spacing w:line="360" w:lineRule="auto"/>
        <w:textAlignment w:val="baseline"/>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标段二：</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1、软件产品的制造商投标时必须提供《软件企业认定证书》，提供复印件；</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2、投标人需提供由国家版权局颁发的《计算机著作权登记证书》，提供复印件；</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3、软件厂商拥有举办三届及以上国家级本科组和高职组人力资源管理专业相关的全国竞赛的经验，并提供证明材料；</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4、软件厂商提供产品需无用户限制，提供三年免费升级服务；</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5、为保证软件系统的技术可靠性和安全性，投标人需提供ISO20000《信息技术服务管理体系认证证书》和IS027001《信息安全管理体系认证证书》，提供复印件；</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6、为保证软件系统的扩展性和稳定性，考虑系统间相互兼容和数据互通，所投产品均需统一厂家品牌；</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以上软件产品主要技术参数一、二、三中带★标识内容须提供软件截图。投标商需自行搭建演示环境对教学系统标★号部分进行演示，演示时间不超过10分钟。要求投标商必须提供软件开发商针对本次项目的授权书原件；</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8、预中标人在中标公示期内，到用户方安装软件，用户方将对预中标公司的产品功能的每个指标，参照招标文件中的要求进行逐项核对，如有一项不满足将拒绝签署合同并上报政府采购管理机构处理。</w:t>
      </w:r>
    </w:p>
    <w:p>
      <w:pPr>
        <w:pStyle w:val="46"/>
        <w:spacing w:line="480" w:lineRule="exact"/>
        <w:rPr>
          <w:rFonts w:ascii="Times New Roman" w:hAnsi="Times New Roman" w:eastAsia="黑体"/>
          <w:b/>
          <w:bCs/>
          <w:kern w:val="44"/>
          <w:sz w:val="28"/>
          <w:szCs w:val="44"/>
        </w:rPr>
      </w:pPr>
      <w:r>
        <w:rPr>
          <w:rFonts w:hint="eastAsia" w:cs="Times New Roman" w:asciiTheme="minorEastAsia" w:hAnsiTheme="minorEastAsia" w:eastAsiaTheme="minorEastAsia"/>
          <w:color w:val="auto"/>
          <w:kern w:val="2"/>
          <w:sz w:val="24"/>
          <w:szCs w:val="24"/>
          <w:lang w:val="en-US" w:eastAsia="zh-CN" w:bidi="ar-SA"/>
        </w:rPr>
        <w:t>9、五年质保，质保期免费更新升级，终身服务</w:t>
      </w:r>
    </w:p>
    <w:p>
      <w:pPr>
        <w:adjustRightInd w:val="0"/>
        <w:spacing w:line="360" w:lineRule="auto"/>
        <w:textAlignment w:val="baseline"/>
        <w:rPr>
          <w:rFonts w:hint="eastAsia" w:asciiTheme="minorEastAsia" w:hAnsiTheme="minorEastAsia" w:eastAsiaTheme="minorEastAsia"/>
          <w:b/>
          <w:bCs/>
          <w:sz w:val="24"/>
          <w:lang w:val="en-US" w:eastAsia="zh-CN"/>
        </w:rPr>
      </w:pPr>
    </w:p>
    <w:p>
      <w:pPr>
        <w:adjustRightInd w:val="0"/>
        <w:spacing w:line="360" w:lineRule="auto"/>
        <w:textAlignment w:val="baseline"/>
        <w:rPr>
          <w:rFonts w:hint="eastAsia" w:asciiTheme="minorEastAsia" w:hAnsiTheme="minorEastAsia" w:eastAsiaTheme="minorEastAsia"/>
          <w:b/>
          <w:bCs/>
          <w:sz w:val="24"/>
          <w:lang w:val="en-US" w:eastAsia="zh-CN"/>
        </w:rPr>
      </w:pPr>
    </w:p>
    <w:p>
      <w:pPr>
        <w:adjustRightInd w:val="0"/>
        <w:spacing w:line="360" w:lineRule="auto"/>
        <w:textAlignment w:val="baseline"/>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标段三：</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1、设备性能要求</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(1）凡技术参数指标中有指向某品牌的指标描述均为参考指标。</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(2）满足技术性能指标的供应商可根据相应产品选择设备品牌型号。</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(3）技术参数中存在“正偏离”需详细阐述说明。未阐述说明得不作为正偏离。</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2、项目的交货期和交货地点</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（1）交货期：合同生效后7日内。</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 xml:space="preserve">（2）交货地点：浙江财经大学 </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3、其他要求</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（1）需制定适合本项目的安装调试方案、培训方案、售后服务方案等。</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（2）须提供一年质保及终生维护，在软件使用期间提供24小时技术咨询和升级服务。</w:t>
      </w: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（3）必须免费提供软件升级信息及培训资料，每学期定期面向教师及管理员提供不少于3次的免费专场培训。</w:t>
      </w:r>
    </w:p>
    <w:p>
      <w:pPr>
        <w:adjustRightInd w:val="0"/>
        <w:spacing w:line="360" w:lineRule="auto"/>
        <w:textAlignment w:val="baseline"/>
        <w:rPr>
          <w:rFonts w:hint="eastAsia" w:asciiTheme="minorEastAsia" w:hAnsiTheme="minorEastAsia" w:eastAsiaTheme="minorEastAsia"/>
          <w:b/>
          <w:bCs/>
          <w:sz w:val="24"/>
          <w:lang w:val="en-US" w:eastAsia="zh-CN"/>
        </w:rPr>
      </w:pPr>
    </w:p>
    <w:p>
      <w:pPr>
        <w:pStyle w:val="46"/>
        <w:spacing w:line="480" w:lineRule="exact"/>
        <w:rPr>
          <w:rFonts w:hint="eastAsia" w:cs="Times New Roman" w:asciiTheme="minorEastAsia" w:hAnsiTheme="minorEastAsia" w:eastAsiaTheme="minorEastAsia"/>
          <w:color w:val="auto"/>
          <w:kern w:val="2"/>
          <w:sz w:val="24"/>
          <w:szCs w:val="24"/>
          <w:lang w:val="en-US" w:eastAsia="zh-CN" w:bidi="ar-SA"/>
        </w:rPr>
      </w:pPr>
    </w:p>
    <w:p>
      <w:pPr>
        <w:adjustRightInd w:val="0"/>
        <w:spacing w:line="360" w:lineRule="auto"/>
        <w:textAlignment w:val="baseline"/>
        <w:rPr>
          <w:rFonts w:hint="eastAsia" w:cs="Times New Roman" w:asciiTheme="minorEastAsia" w:hAnsiTheme="minorEastAsia" w:eastAsiaTheme="minorEastAsia"/>
          <w:b/>
          <w:bCs/>
          <w:kern w:val="2"/>
          <w:sz w:val="24"/>
          <w:szCs w:val="32"/>
          <w:lang w:val="en-US" w:eastAsia="zh-CN" w:bidi="ar-SA"/>
        </w:rPr>
      </w:pPr>
      <w:r>
        <w:rPr>
          <w:rFonts w:hint="eastAsia" w:cs="Times New Roman" w:asciiTheme="minorEastAsia" w:hAnsiTheme="minorEastAsia" w:eastAsiaTheme="minorEastAsia"/>
          <w:b/>
          <w:bCs/>
          <w:kern w:val="2"/>
          <w:sz w:val="24"/>
          <w:szCs w:val="32"/>
          <w:lang w:val="en-US" w:eastAsia="zh-CN" w:bidi="ar-SA"/>
        </w:rPr>
        <w:t>三、商务要求：</w:t>
      </w:r>
    </w:p>
    <w:p>
      <w:pPr>
        <w:adjustRightInd w:val="0"/>
        <w:spacing w:line="360" w:lineRule="auto"/>
        <w:textAlignment w:val="baseline"/>
        <w:rPr>
          <w:rFonts w:hint="default" w:cs="Times New Roman" w:asciiTheme="minorEastAsia" w:hAnsiTheme="minorEastAsia" w:eastAsiaTheme="minorEastAsia"/>
          <w:b/>
          <w:bCs/>
          <w:kern w:val="2"/>
          <w:sz w:val="24"/>
          <w:szCs w:val="32"/>
          <w:lang w:val="en-US" w:eastAsia="zh-CN" w:bidi="ar-SA"/>
        </w:rPr>
      </w:pPr>
      <w:r>
        <w:rPr>
          <w:rFonts w:hint="eastAsia" w:cs="Times New Roman" w:asciiTheme="minorEastAsia" w:hAnsiTheme="minorEastAsia" w:eastAsiaTheme="minorEastAsia"/>
          <w:b/>
          <w:bCs/>
          <w:kern w:val="2"/>
          <w:sz w:val="24"/>
          <w:szCs w:val="32"/>
          <w:lang w:val="en-US" w:eastAsia="zh-CN" w:bidi="ar-SA"/>
        </w:rPr>
        <w:t>标段一：</w:t>
      </w:r>
    </w:p>
    <w:bookmarkEnd w:id="11"/>
    <w:bookmarkEnd w:id="12"/>
    <w:bookmarkEnd w:id="13"/>
    <w:bookmarkEnd w:id="14"/>
    <w:bookmarkEnd w:id="15"/>
    <w:bookmarkEnd w:id="16"/>
    <w:bookmarkEnd w:id="17"/>
    <w:bookmarkEnd w:id="18"/>
    <w:bookmarkEnd w:id="19"/>
    <w:bookmarkEnd w:id="20"/>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付款条件</w:t>
            </w:r>
          </w:p>
          <w:p>
            <w:pPr>
              <w:snapToGrid w:val="0"/>
              <w:jc w:val="center"/>
              <w:rPr>
                <w:rFonts w:ascii="宋体" w:hAnsi="宋体" w:cs="宋体"/>
                <w:b/>
                <w:szCs w:val="21"/>
              </w:rPr>
            </w:pPr>
            <w:r>
              <w:rPr>
                <w:rFonts w:hint="eastAsia" w:ascii="宋体" w:hAnsi="宋体" w:cs="宋体"/>
                <w:b/>
                <w:szCs w:val="21"/>
              </w:rPr>
              <w:t>（明确是否需要履约保证金）</w:t>
            </w:r>
          </w:p>
        </w:tc>
        <w:tc>
          <w:tcPr>
            <w:tcW w:w="6848" w:type="dxa"/>
            <w:tcBorders>
              <w:top w:val="single" w:color="auto" w:sz="4" w:space="0"/>
              <w:left w:val="single" w:color="auto" w:sz="4" w:space="0"/>
              <w:bottom w:val="single" w:color="auto" w:sz="4" w:space="0"/>
              <w:right w:val="single" w:color="auto" w:sz="4" w:space="0"/>
            </w:tcBorders>
            <w:vAlign w:val="center"/>
          </w:tcPr>
          <w:p>
            <w:pPr>
              <w:snapToGrid w:val="0"/>
              <w:ind w:firstLine="400" w:firstLineChars="200"/>
              <w:rPr>
                <w:rFonts w:ascii="微软雅黑" w:hAnsi="微软雅黑" w:eastAsia="微软雅黑"/>
                <w:kern w:val="0"/>
                <w:sz w:val="20"/>
                <w:szCs w:val="21"/>
              </w:rPr>
            </w:pPr>
            <w:r>
              <w:rPr>
                <w:rFonts w:hint="eastAsia" w:ascii="微软雅黑" w:hAnsi="微软雅黑" w:eastAsia="微软雅黑"/>
                <w:kern w:val="0"/>
                <w:sz w:val="20"/>
                <w:szCs w:val="21"/>
              </w:rPr>
              <w:t>（1）到货验收合格后</w:t>
            </w:r>
            <w:r>
              <w:rPr>
                <w:rFonts w:hint="eastAsia" w:ascii="微软雅黑" w:hAnsi="微软雅黑" w:eastAsia="微软雅黑"/>
                <w:kern w:val="0"/>
                <w:sz w:val="20"/>
                <w:szCs w:val="21"/>
                <w:lang w:val="en-US" w:eastAsia="zh-CN"/>
              </w:rPr>
              <w:t>10</w:t>
            </w:r>
            <w:r>
              <w:rPr>
                <w:rFonts w:hint="eastAsia" w:ascii="微软雅黑" w:hAnsi="微软雅黑" w:eastAsia="微软雅黑"/>
                <w:kern w:val="0"/>
                <w:sz w:val="20"/>
                <w:szCs w:val="21"/>
              </w:rPr>
              <w:t>个</w:t>
            </w:r>
            <w:r>
              <w:rPr>
                <w:rFonts w:ascii="微软雅黑" w:hAnsi="微软雅黑" w:eastAsia="微软雅黑"/>
                <w:kern w:val="0"/>
                <w:sz w:val="20"/>
                <w:szCs w:val="21"/>
              </w:rPr>
              <w:t>工作</w:t>
            </w:r>
            <w:r>
              <w:rPr>
                <w:rFonts w:hint="eastAsia" w:ascii="微软雅黑" w:hAnsi="微软雅黑" w:eastAsia="微软雅黑"/>
                <w:kern w:val="0"/>
                <w:sz w:val="20"/>
                <w:szCs w:val="21"/>
              </w:rPr>
              <w:t>日内向中标方支付100%货款。</w:t>
            </w:r>
          </w:p>
          <w:p>
            <w:pPr>
              <w:snapToGrid w:val="0"/>
              <w:ind w:firstLine="400" w:firstLineChars="200"/>
              <w:rPr>
                <w:rFonts w:ascii="微软雅黑" w:hAnsi="微软雅黑" w:eastAsia="微软雅黑" w:cstheme="minorBidi"/>
                <w:kern w:val="0"/>
                <w:sz w:val="20"/>
                <w:szCs w:val="21"/>
              </w:rPr>
            </w:pPr>
            <w:r>
              <w:rPr>
                <w:rFonts w:hint="eastAsia" w:ascii="微软雅黑" w:hAnsi="微软雅黑" w:eastAsia="微软雅黑"/>
                <w:kern w:val="0"/>
                <w:sz w:val="20"/>
                <w:szCs w:val="21"/>
              </w:rPr>
              <w:t>（2）合同签订后一周内，乙方向甲方提交合同金额5%的履约保证金，履约保证金在质保期内无质量问题和维护问题，质保期满后，于15个工作日内退还（不计息）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违约责任及争议解决方式</w:t>
            </w:r>
          </w:p>
        </w:tc>
        <w:tc>
          <w:tcPr>
            <w:tcW w:w="6848" w:type="dxa"/>
            <w:tcBorders>
              <w:top w:val="single" w:color="auto" w:sz="4" w:space="0"/>
              <w:left w:val="single" w:color="auto" w:sz="4" w:space="0"/>
              <w:bottom w:val="single" w:color="auto" w:sz="4" w:space="0"/>
              <w:right w:val="single" w:color="auto" w:sz="4" w:space="0"/>
            </w:tcBorders>
            <w:vAlign w:val="center"/>
          </w:tcPr>
          <w:p>
            <w:pPr>
              <w:snapToGrid w:val="0"/>
              <w:ind w:firstLine="400" w:firstLineChars="200"/>
              <w:rPr>
                <w:rFonts w:ascii="微软雅黑" w:hAnsi="微软雅黑" w:eastAsia="微软雅黑" w:cstheme="minorBidi"/>
                <w:kern w:val="0"/>
                <w:sz w:val="20"/>
                <w:szCs w:val="21"/>
              </w:rPr>
            </w:pPr>
            <w:r>
              <w:rPr>
                <w:rFonts w:hint="eastAsia" w:ascii="微软雅黑" w:hAnsi="微软雅黑" w:eastAsia="微软雅黑"/>
                <w:kern w:val="0"/>
                <w:sz w:val="20"/>
                <w:szCs w:val="21"/>
              </w:rPr>
              <w:t>乙方逾期交付产品的，乙方应按逾期交货总额每日千分之六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双方在执行合同中所发生的一切争议，应通过协商解决。如协商不成，可向甲方所在地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售后服务</w:t>
            </w:r>
          </w:p>
        </w:tc>
        <w:tc>
          <w:tcPr>
            <w:tcW w:w="6848"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ascii="微软雅黑" w:hAnsi="微软雅黑" w:eastAsia="微软雅黑" w:cstheme="minorBidi"/>
                <w:kern w:val="0"/>
                <w:sz w:val="20"/>
                <w:szCs w:val="21"/>
              </w:rPr>
            </w:pPr>
            <w:r>
              <w:rPr>
                <w:rFonts w:hint="eastAsia" w:ascii="微软雅黑" w:hAnsi="微软雅黑" w:eastAsia="微软雅黑"/>
                <w:kern w:val="0"/>
                <w:sz w:val="20"/>
                <w:szCs w:val="21"/>
              </w:rPr>
              <w:t>中标方应拥有本地服务机构和人员,为用户方提供本地化运维服务。合同签订后3个</w:t>
            </w:r>
            <w:r>
              <w:rPr>
                <w:rFonts w:ascii="微软雅黑" w:hAnsi="微软雅黑" w:eastAsia="微软雅黑"/>
                <w:kern w:val="0"/>
                <w:sz w:val="20"/>
                <w:szCs w:val="21"/>
              </w:rPr>
              <w:t>工作日内完成安装调试</w:t>
            </w:r>
            <w:r>
              <w:rPr>
                <w:rFonts w:hint="eastAsia" w:ascii="微软雅黑" w:hAnsi="微软雅黑" w:eastAsia="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施工要求</w:t>
            </w:r>
          </w:p>
        </w:tc>
        <w:tc>
          <w:tcPr>
            <w:tcW w:w="6848"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微软雅黑" w:hAnsi="微软雅黑" w:eastAsia="微软雅黑" w:cstheme="minorBidi"/>
                <w:kern w:val="0"/>
                <w:sz w:val="20"/>
                <w:szCs w:val="21"/>
              </w:rPr>
            </w:pPr>
            <w:r>
              <w:rPr>
                <w:rFonts w:hint="eastAsia" w:ascii="微软雅黑" w:hAnsi="微软雅黑" w:eastAsia="微软雅黑"/>
                <w:kern w:val="0"/>
                <w:sz w:val="20"/>
                <w:szCs w:val="21"/>
              </w:rPr>
              <w:t>实施过程中密切沟通，及时通报进度以及对于需求的微调有一定的弹性。</w:t>
            </w:r>
          </w:p>
        </w:tc>
      </w:tr>
    </w:tbl>
    <w:p>
      <w:pPr>
        <w:pStyle w:val="2"/>
        <w:keepNext/>
        <w:keepLines/>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cs="Times New Roman" w:asciiTheme="minorEastAsia" w:hAnsiTheme="minorEastAsia" w:eastAsiaTheme="minorEastAsia"/>
          <w:b/>
          <w:bCs/>
          <w:kern w:val="2"/>
          <w:sz w:val="24"/>
          <w:szCs w:val="32"/>
          <w:lang w:val="en-US" w:eastAsia="zh-CN" w:bidi="ar-SA"/>
        </w:rPr>
      </w:pPr>
      <w:r>
        <w:rPr>
          <w:rFonts w:hint="eastAsia" w:cs="Times New Roman" w:asciiTheme="minorEastAsia" w:hAnsiTheme="minorEastAsia" w:eastAsiaTheme="minorEastAsia"/>
          <w:b/>
          <w:bCs/>
          <w:kern w:val="2"/>
          <w:sz w:val="24"/>
          <w:szCs w:val="32"/>
          <w:lang w:val="en-US" w:eastAsia="zh-CN" w:bidi="ar-SA"/>
        </w:rPr>
        <w:t>标段二：</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付款条件</w:t>
            </w:r>
          </w:p>
          <w:p>
            <w:pPr>
              <w:snapToGrid w:val="0"/>
              <w:jc w:val="center"/>
              <w:rPr>
                <w:rFonts w:ascii="宋体" w:hAnsi="宋体" w:cs="宋体"/>
                <w:b/>
                <w:szCs w:val="21"/>
              </w:rPr>
            </w:pPr>
            <w:r>
              <w:rPr>
                <w:rFonts w:hint="eastAsia" w:ascii="宋体" w:hAnsi="宋体" w:cs="宋体"/>
                <w:b/>
                <w:szCs w:val="21"/>
              </w:rPr>
              <w:t>（明确是否需要履约保证金）</w:t>
            </w:r>
          </w:p>
        </w:tc>
        <w:tc>
          <w:tcPr>
            <w:tcW w:w="6848" w:type="dxa"/>
            <w:tcBorders>
              <w:top w:val="single" w:color="auto" w:sz="4" w:space="0"/>
              <w:left w:val="single" w:color="auto" w:sz="4" w:space="0"/>
              <w:bottom w:val="single" w:color="auto" w:sz="4" w:space="0"/>
              <w:right w:val="single" w:color="auto" w:sz="4" w:space="0"/>
            </w:tcBorders>
            <w:vAlign w:val="center"/>
          </w:tcPr>
          <w:p>
            <w:pPr>
              <w:snapToGrid w:val="0"/>
              <w:ind w:firstLine="400" w:firstLineChars="200"/>
              <w:rPr>
                <w:rFonts w:ascii="微软雅黑" w:hAnsi="微软雅黑" w:eastAsia="微软雅黑"/>
                <w:kern w:val="0"/>
                <w:sz w:val="20"/>
                <w:szCs w:val="21"/>
              </w:rPr>
            </w:pPr>
            <w:r>
              <w:rPr>
                <w:rFonts w:hint="eastAsia" w:ascii="微软雅黑" w:hAnsi="微软雅黑" w:eastAsia="微软雅黑"/>
                <w:kern w:val="0"/>
                <w:sz w:val="20"/>
                <w:szCs w:val="21"/>
              </w:rPr>
              <w:t>（1）到货验收合格后</w:t>
            </w:r>
            <w:r>
              <w:rPr>
                <w:rFonts w:hint="eastAsia" w:ascii="微软雅黑" w:hAnsi="微软雅黑" w:eastAsia="微软雅黑"/>
                <w:kern w:val="0"/>
                <w:sz w:val="20"/>
                <w:szCs w:val="21"/>
                <w:lang w:val="en-US" w:eastAsia="zh-CN"/>
              </w:rPr>
              <w:t>10</w:t>
            </w:r>
            <w:r>
              <w:rPr>
                <w:rFonts w:hint="eastAsia" w:ascii="微软雅黑" w:hAnsi="微软雅黑" w:eastAsia="微软雅黑"/>
                <w:kern w:val="0"/>
                <w:sz w:val="20"/>
                <w:szCs w:val="21"/>
              </w:rPr>
              <w:t>个</w:t>
            </w:r>
            <w:r>
              <w:rPr>
                <w:rFonts w:ascii="微软雅黑" w:hAnsi="微软雅黑" w:eastAsia="微软雅黑"/>
                <w:kern w:val="0"/>
                <w:sz w:val="20"/>
                <w:szCs w:val="21"/>
              </w:rPr>
              <w:t>工作</w:t>
            </w:r>
            <w:r>
              <w:rPr>
                <w:rFonts w:hint="eastAsia" w:ascii="微软雅黑" w:hAnsi="微软雅黑" w:eastAsia="微软雅黑"/>
                <w:kern w:val="0"/>
                <w:sz w:val="20"/>
                <w:szCs w:val="21"/>
              </w:rPr>
              <w:t>日内向中标方支付100%货款。</w:t>
            </w:r>
          </w:p>
          <w:p>
            <w:pPr>
              <w:snapToGrid w:val="0"/>
              <w:ind w:firstLine="400" w:firstLineChars="200"/>
              <w:rPr>
                <w:rFonts w:ascii="微软雅黑" w:hAnsi="微软雅黑" w:eastAsia="微软雅黑" w:cstheme="minorBidi"/>
                <w:kern w:val="0"/>
                <w:sz w:val="20"/>
                <w:szCs w:val="21"/>
              </w:rPr>
            </w:pPr>
            <w:r>
              <w:rPr>
                <w:rFonts w:hint="eastAsia" w:ascii="微软雅黑" w:hAnsi="微软雅黑" w:eastAsia="微软雅黑"/>
                <w:kern w:val="0"/>
                <w:sz w:val="20"/>
                <w:szCs w:val="21"/>
              </w:rPr>
              <w:t>（2）合同签订后一周内，乙方向甲方提交合同金额5%的履约保证金，履约保证金在质保期内无质量问题和维护问题，质保期满后，于15个工作日内退还（不计息）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违约责任及争议解决方式</w:t>
            </w:r>
          </w:p>
        </w:tc>
        <w:tc>
          <w:tcPr>
            <w:tcW w:w="6848" w:type="dxa"/>
            <w:tcBorders>
              <w:top w:val="single" w:color="auto" w:sz="4" w:space="0"/>
              <w:left w:val="single" w:color="auto" w:sz="4" w:space="0"/>
              <w:bottom w:val="single" w:color="auto" w:sz="4" w:space="0"/>
              <w:right w:val="single" w:color="auto" w:sz="4" w:space="0"/>
            </w:tcBorders>
            <w:vAlign w:val="center"/>
          </w:tcPr>
          <w:p>
            <w:pPr>
              <w:snapToGrid w:val="0"/>
              <w:ind w:firstLine="400" w:firstLineChars="200"/>
              <w:rPr>
                <w:rFonts w:ascii="微软雅黑" w:hAnsi="微软雅黑" w:eastAsia="微软雅黑" w:cstheme="minorBidi"/>
                <w:kern w:val="0"/>
                <w:sz w:val="20"/>
                <w:szCs w:val="21"/>
              </w:rPr>
            </w:pPr>
            <w:r>
              <w:rPr>
                <w:rFonts w:hint="eastAsia" w:ascii="微软雅黑" w:hAnsi="微软雅黑" w:eastAsia="微软雅黑"/>
                <w:kern w:val="0"/>
                <w:sz w:val="20"/>
                <w:szCs w:val="21"/>
              </w:rPr>
              <w:t>乙方逾期交付产品的，乙方应按逾期交货总额每日千分之六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双方在执行合同中所发生的一切争议，应通过协商解决。如协商不成，可向甲方所在地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售后服务</w:t>
            </w:r>
          </w:p>
        </w:tc>
        <w:tc>
          <w:tcPr>
            <w:tcW w:w="6848"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ascii="微软雅黑" w:hAnsi="微软雅黑" w:eastAsia="微软雅黑" w:cstheme="minorBidi"/>
                <w:kern w:val="0"/>
                <w:sz w:val="20"/>
                <w:szCs w:val="21"/>
              </w:rPr>
            </w:pPr>
            <w:r>
              <w:rPr>
                <w:rFonts w:hint="eastAsia" w:ascii="微软雅黑" w:hAnsi="微软雅黑" w:eastAsia="微软雅黑"/>
                <w:kern w:val="0"/>
                <w:sz w:val="20"/>
                <w:szCs w:val="21"/>
              </w:rPr>
              <w:t>中标方应拥有本地服务机构和人员,为用户方提供本地化运维服务。合同签订后3个</w:t>
            </w:r>
            <w:r>
              <w:rPr>
                <w:rFonts w:ascii="微软雅黑" w:hAnsi="微软雅黑" w:eastAsia="微软雅黑"/>
                <w:kern w:val="0"/>
                <w:sz w:val="20"/>
                <w:szCs w:val="21"/>
              </w:rPr>
              <w:t>工作日内完成安装调试</w:t>
            </w:r>
            <w:r>
              <w:rPr>
                <w:rFonts w:hint="eastAsia" w:ascii="微软雅黑" w:hAnsi="微软雅黑" w:eastAsia="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施工要求</w:t>
            </w:r>
          </w:p>
        </w:tc>
        <w:tc>
          <w:tcPr>
            <w:tcW w:w="6848"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微软雅黑" w:hAnsi="微软雅黑" w:eastAsia="微软雅黑" w:cstheme="minorBidi"/>
                <w:kern w:val="0"/>
                <w:sz w:val="20"/>
                <w:szCs w:val="21"/>
              </w:rPr>
            </w:pPr>
            <w:r>
              <w:rPr>
                <w:rFonts w:hint="eastAsia" w:ascii="微软雅黑" w:hAnsi="微软雅黑" w:eastAsia="微软雅黑"/>
                <w:kern w:val="0"/>
                <w:sz w:val="20"/>
                <w:szCs w:val="21"/>
              </w:rPr>
              <w:t>实施过程中密切沟通，及时通报进度以及对于需求的微调有一定的弹性。</w:t>
            </w: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cs="Times New Roman" w:asciiTheme="minorEastAsia" w:hAnsiTheme="minorEastAsia" w:eastAsiaTheme="minorEastAsia"/>
          <w:b/>
          <w:bCs/>
          <w:kern w:val="2"/>
          <w:sz w:val="24"/>
          <w:szCs w:val="32"/>
          <w:lang w:val="en-US" w:eastAsia="zh-CN" w:bidi="ar-SA"/>
        </w:rPr>
      </w:pPr>
      <w:r>
        <w:rPr>
          <w:rFonts w:hint="eastAsia" w:cs="Times New Roman" w:asciiTheme="minorEastAsia" w:hAnsiTheme="minorEastAsia" w:eastAsiaTheme="minorEastAsia"/>
          <w:b/>
          <w:bCs/>
          <w:kern w:val="2"/>
          <w:sz w:val="24"/>
          <w:szCs w:val="32"/>
          <w:lang w:val="en-US" w:eastAsia="zh-CN" w:bidi="ar-SA"/>
        </w:rPr>
        <w:t>标段三：</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付款条件</w:t>
            </w:r>
          </w:p>
          <w:p>
            <w:pPr>
              <w:snapToGrid w:val="0"/>
              <w:jc w:val="center"/>
              <w:rPr>
                <w:rFonts w:ascii="宋体" w:hAnsi="宋体" w:cs="宋体"/>
                <w:b/>
                <w:szCs w:val="21"/>
              </w:rPr>
            </w:pPr>
            <w:r>
              <w:rPr>
                <w:rFonts w:hint="eastAsia" w:ascii="宋体" w:hAnsi="宋体" w:cs="宋体"/>
                <w:b/>
                <w:szCs w:val="21"/>
              </w:rPr>
              <w:t>（明确是否需要履约保证金）</w:t>
            </w:r>
          </w:p>
        </w:tc>
        <w:tc>
          <w:tcPr>
            <w:tcW w:w="6848" w:type="dxa"/>
            <w:tcBorders>
              <w:top w:val="single" w:color="auto" w:sz="4" w:space="0"/>
              <w:left w:val="single" w:color="auto" w:sz="4" w:space="0"/>
              <w:bottom w:val="single" w:color="auto" w:sz="4" w:space="0"/>
              <w:right w:val="single" w:color="auto" w:sz="4" w:space="0"/>
            </w:tcBorders>
            <w:vAlign w:val="center"/>
          </w:tcPr>
          <w:p>
            <w:pPr>
              <w:snapToGrid w:val="0"/>
              <w:ind w:firstLine="400" w:firstLineChars="200"/>
              <w:rPr>
                <w:rFonts w:ascii="微软雅黑" w:hAnsi="微软雅黑" w:eastAsia="微软雅黑"/>
                <w:kern w:val="0"/>
                <w:sz w:val="20"/>
                <w:szCs w:val="21"/>
              </w:rPr>
            </w:pPr>
            <w:r>
              <w:rPr>
                <w:rFonts w:hint="eastAsia" w:ascii="微软雅黑" w:hAnsi="微软雅黑" w:eastAsia="微软雅黑"/>
                <w:kern w:val="0"/>
                <w:sz w:val="20"/>
                <w:szCs w:val="21"/>
              </w:rPr>
              <w:t>到货安装后</w:t>
            </w:r>
            <w:r>
              <w:rPr>
                <w:rFonts w:hint="eastAsia" w:ascii="微软雅黑" w:hAnsi="微软雅黑" w:eastAsia="微软雅黑"/>
                <w:kern w:val="0"/>
                <w:sz w:val="20"/>
                <w:szCs w:val="21"/>
                <w:lang w:val="en-US" w:eastAsia="zh-CN"/>
              </w:rPr>
              <w:t>10</w:t>
            </w:r>
            <w:r>
              <w:rPr>
                <w:rFonts w:hint="eastAsia" w:ascii="微软雅黑" w:hAnsi="微软雅黑" w:eastAsia="微软雅黑"/>
                <w:kern w:val="0"/>
                <w:sz w:val="20"/>
                <w:szCs w:val="21"/>
              </w:rPr>
              <w:t>个</w:t>
            </w:r>
            <w:r>
              <w:rPr>
                <w:rFonts w:ascii="微软雅黑" w:hAnsi="微软雅黑" w:eastAsia="微软雅黑"/>
                <w:kern w:val="0"/>
                <w:sz w:val="20"/>
                <w:szCs w:val="21"/>
              </w:rPr>
              <w:t>工作</w:t>
            </w:r>
            <w:r>
              <w:rPr>
                <w:rFonts w:hint="eastAsia" w:ascii="微软雅黑" w:hAnsi="微软雅黑" w:eastAsia="微软雅黑"/>
                <w:kern w:val="0"/>
                <w:sz w:val="20"/>
                <w:szCs w:val="21"/>
              </w:rPr>
              <w:t>日内向中标方支付100%货款。</w:t>
            </w:r>
          </w:p>
          <w:p>
            <w:pPr>
              <w:snapToGrid w:val="0"/>
              <w:ind w:firstLine="400" w:firstLineChars="200"/>
              <w:rPr>
                <w:rFonts w:ascii="微软雅黑" w:hAnsi="微软雅黑" w:eastAsia="微软雅黑" w:cstheme="minorBidi"/>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违约责任及争议解决方式</w:t>
            </w:r>
          </w:p>
        </w:tc>
        <w:tc>
          <w:tcPr>
            <w:tcW w:w="6848" w:type="dxa"/>
            <w:tcBorders>
              <w:top w:val="single" w:color="auto" w:sz="4" w:space="0"/>
              <w:left w:val="single" w:color="auto" w:sz="4" w:space="0"/>
              <w:bottom w:val="single" w:color="auto" w:sz="4" w:space="0"/>
              <w:right w:val="single" w:color="auto" w:sz="4" w:space="0"/>
            </w:tcBorders>
            <w:vAlign w:val="center"/>
          </w:tcPr>
          <w:p>
            <w:pPr>
              <w:snapToGrid w:val="0"/>
              <w:ind w:firstLine="400" w:firstLineChars="200"/>
              <w:rPr>
                <w:rFonts w:ascii="微软雅黑" w:hAnsi="微软雅黑" w:eastAsia="微软雅黑" w:cstheme="minorBidi"/>
                <w:kern w:val="0"/>
                <w:sz w:val="20"/>
                <w:szCs w:val="21"/>
              </w:rPr>
            </w:pPr>
            <w:r>
              <w:rPr>
                <w:rFonts w:hint="eastAsia" w:ascii="微软雅黑" w:hAnsi="微软雅黑" w:eastAsia="微软雅黑"/>
                <w:kern w:val="0"/>
                <w:sz w:val="20"/>
                <w:szCs w:val="21"/>
              </w:rPr>
              <w:t>乙方逾期交付产品的，乙方应按逾期交货总额每日千分之六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双方在执行合同中所发生的一切争议，应通过协商解决。如协商不成，可向甲方所在地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售后服务</w:t>
            </w:r>
          </w:p>
        </w:tc>
        <w:tc>
          <w:tcPr>
            <w:tcW w:w="6848"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ascii="微软雅黑" w:hAnsi="微软雅黑" w:eastAsia="微软雅黑" w:cstheme="minorBidi"/>
                <w:kern w:val="0"/>
                <w:sz w:val="20"/>
                <w:szCs w:val="21"/>
              </w:rPr>
            </w:pPr>
            <w:r>
              <w:rPr>
                <w:rFonts w:hint="eastAsia" w:ascii="微软雅黑" w:hAnsi="微软雅黑" w:eastAsia="微软雅黑"/>
                <w:kern w:val="0"/>
                <w:sz w:val="20"/>
                <w:szCs w:val="21"/>
              </w:rPr>
              <w:t>中标方应拥有本地服务机构和人员,为用户方提供本地化运维服务。合同签订后3个</w:t>
            </w:r>
            <w:r>
              <w:rPr>
                <w:rFonts w:ascii="微软雅黑" w:hAnsi="微软雅黑" w:eastAsia="微软雅黑"/>
                <w:kern w:val="0"/>
                <w:sz w:val="20"/>
                <w:szCs w:val="21"/>
              </w:rPr>
              <w:t>工作日内完成安装调试</w:t>
            </w:r>
            <w:r>
              <w:rPr>
                <w:rFonts w:hint="eastAsia" w:ascii="微软雅黑" w:hAnsi="微软雅黑" w:eastAsia="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施工要求</w:t>
            </w:r>
          </w:p>
        </w:tc>
        <w:tc>
          <w:tcPr>
            <w:tcW w:w="6848"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微软雅黑" w:hAnsi="微软雅黑" w:eastAsia="微软雅黑" w:cstheme="minorBidi"/>
                <w:kern w:val="0"/>
                <w:sz w:val="20"/>
                <w:szCs w:val="21"/>
              </w:rPr>
            </w:pPr>
            <w:r>
              <w:rPr>
                <w:rFonts w:hint="eastAsia" w:ascii="微软雅黑" w:hAnsi="微软雅黑" w:eastAsia="微软雅黑"/>
                <w:kern w:val="0"/>
                <w:sz w:val="20"/>
                <w:szCs w:val="21"/>
              </w:rPr>
              <w:t>实施过程中密切沟通，及时通报进度以及对于需求的微调有一定的弹性。</w:t>
            </w:r>
          </w:p>
        </w:tc>
      </w:tr>
    </w:tbl>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rPr>
          <w:rFonts w:ascii="Times New Roman" w:hAnsi="Times New Roman" w:eastAsia="黑体"/>
          <w:b/>
          <w:bCs/>
          <w:kern w:val="44"/>
          <w:sz w:val="28"/>
          <w:szCs w:val="44"/>
        </w:rPr>
      </w:pPr>
    </w:p>
    <w:p>
      <w:pPr>
        <w:pStyle w:val="2"/>
        <w:spacing w:before="312" w:after="312"/>
      </w:pPr>
      <w:bookmarkStart w:id="24" w:name="_Toc24965429"/>
      <w:r>
        <w:rPr>
          <w:rFonts w:hint="eastAsia"/>
        </w:rPr>
        <w:t>第四章 采购合同的主要条款</w:t>
      </w:r>
      <w:bookmarkEnd w:id="24"/>
    </w:p>
    <w:p>
      <w:pPr>
        <w:spacing w:line="360" w:lineRule="auto"/>
        <w:jc w:val="center"/>
        <w:rPr>
          <w:rFonts w:ascii="Times New Roman" w:hAnsi="Times New Roman"/>
        </w:rPr>
      </w:pPr>
    </w:p>
    <w:p>
      <w:pPr>
        <w:spacing w:line="360" w:lineRule="auto"/>
        <w:jc w:val="center"/>
        <w:rPr>
          <w:rFonts w:hint="eastAsia" w:ascii="Times New Roman" w:hAnsi="Times New Roman"/>
        </w:rPr>
      </w:pPr>
      <w:r>
        <w:rPr>
          <w:rFonts w:hint="eastAsia" w:ascii="Times New Roman" w:hAnsi="Times New Roman"/>
        </w:rPr>
        <w:t>（</w:t>
      </w:r>
      <w:bookmarkStart w:id="25" w:name="_Toc361750527"/>
      <w:r>
        <w:rPr>
          <w:rFonts w:hint="eastAsia" w:ascii="Times New Roman" w:hAnsi="Times New Roman"/>
        </w:rPr>
        <w:t>合同内容以实际商谈为准）</w:t>
      </w: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spacing w:line="360" w:lineRule="auto"/>
        <w:jc w:val="center"/>
        <w:rPr>
          <w:rFonts w:hint="eastAsia" w:ascii="Times New Roman" w:hAnsi="Times New Roman"/>
        </w:rPr>
      </w:pPr>
    </w:p>
    <w:p>
      <w:pPr>
        <w:pStyle w:val="2"/>
        <w:spacing w:before="240" w:after="240"/>
      </w:pPr>
      <w:bookmarkStart w:id="26" w:name="_Toc24965430"/>
      <w:r>
        <w:rPr>
          <w:rFonts w:hint="eastAsia"/>
        </w:rPr>
        <w:t>第五章 附件</w:t>
      </w:r>
      <w:bookmarkEnd w:id="25"/>
      <w:bookmarkEnd w:id="26"/>
    </w:p>
    <w:p>
      <w:pPr>
        <w:pStyle w:val="4"/>
        <w:ind w:firstLine="482"/>
      </w:pPr>
      <w:bookmarkStart w:id="27" w:name="_Toc361750528"/>
      <w:bookmarkStart w:id="28" w:name="_Toc355135014"/>
      <w:bookmarkStart w:id="29" w:name="_Toc361750529"/>
      <w:r>
        <w:rPr>
          <w:rFonts w:hint="eastAsia"/>
        </w:rPr>
        <w:t>附件一</w:t>
      </w:r>
      <w:bookmarkEnd w:id="27"/>
      <w:r>
        <w:rPr>
          <w:rFonts w:hint="eastAsia"/>
        </w:rPr>
        <w:t>：</w:t>
      </w:r>
    </w:p>
    <w:p>
      <w:pPr>
        <w:pStyle w:val="39"/>
        <w:snapToGrid w:val="0"/>
        <w:spacing w:before="0" w:line="360" w:lineRule="auto"/>
        <w:ind w:left="0" w:firstLine="0"/>
        <w:jc w:val="center"/>
        <w:rPr>
          <w:rFonts w:ascii="Times New Roman" w:hAnsi="Times New Roman"/>
          <w:b/>
          <w:kern w:val="2"/>
          <w:sz w:val="32"/>
          <w:szCs w:val="32"/>
        </w:rPr>
      </w:pPr>
      <w:r>
        <w:rPr>
          <w:rFonts w:hint="eastAsia" w:ascii="Times New Roman" w:hAnsi="Times New Roman"/>
          <w:b/>
          <w:kern w:val="2"/>
          <w:sz w:val="32"/>
          <w:szCs w:val="32"/>
        </w:rPr>
        <w:t>法定代表人授权书</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bCs/>
          <w:szCs w:val="21"/>
        </w:rPr>
      </w:pPr>
      <w:r>
        <w:rPr>
          <w:rFonts w:hint="eastAsia" w:ascii="Times New Roman" w:hAnsi="Times New Roman"/>
          <w:szCs w:val="21"/>
        </w:rPr>
        <w:t>浙江财经大学：</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我以（供应商全称）法定代表人的身份授权（授权代表人姓名）、身份证号</w:t>
      </w:r>
      <w:r>
        <w:rPr>
          <w:rFonts w:ascii="Times New Roman" w:hAnsi="Times New Roman"/>
          <w:szCs w:val="21"/>
          <w:u w:val="single"/>
        </w:rPr>
        <w:tab/>
      </w:r>
      <w:r>
        <w:rPr>
          <w:rFonts w:ascii="Times New Roman" w:hAnsi="Times New Roman"/>
          <w:szCs w:val="21"/>
          <w:u w:val="single"/>
        </w:rPr>
        <w:tab/>
      </w:r>
      <w:r>
        <w:rPr>
          <w:rFonts w:hint="eastAsia" w:ascii="Times New Roman" w:hAnsi="Times New Roman"/>
          <w:szCs w:val="21"/>
        </w:rPr>
        <w:t>，为我单位的授权代表人，参加贵</w:t>
      </w:r>
      <w:r>
        <w:rPr>
          <w:rFonts w:hint="eastAsia" w:ascii="Times New Roman" w:hAnsi="Times New Roman"/>
          <w:szCs w:val="21"/>
          <w:lang w:val="en-US" w:eastAsia="zh-CN"/>
        </w:rPr>
        <w:t>方</w:t>
      </w:r>
      <w:r>
        <w:rPr>
          <w:rFonts w:hint="eastAsia" w:ascii="Times New Roman" w:hAnsi="Times New Roman"/>
          <w:szCs w:val="21"/>
        </w:rPr>
        <w:t>组织的</w:t>
      </w:r>
      <w:r>
        <w:rPr>
          <w:rFonts w:hint="eastAsia" w:ascii="Times New Roman" w:hAnsi="Times New Roman"/>
          <w:szCs w:val="21"/>
          <w:u w:val="single"/>
        </w:rPr>
        <w:t>浙江财经大学企业竞争模拟系统等软件采购项目（浙财大</w:t>
      </w:r>
      <w:r>
        <w:rPr>
          <w:rFonts w:ascii="Times New Roman" w:hAnsi="Times New Roman"/>
          <w:szCs w:val="21"/>
          <w:u w:val="single"/>
        </w:rPr>
        <w:t>20</w:t>
      </w:r>
      <w:r>
        <w:rPr>
          <w:rFonts w:hint="eastAsia" w:ascii="Times New Roman" w:hAnsi="Times New Roman"/>
          <w:szCs w:val="21"/>
          <w:u w:val="single"/>
          <w:lang w:val="en-US" w:eastAsia="zh-CN"/>
        </w:rPr>
        <w:t>20</w:t>
      </w:r>
      <w:r>
        <w:rPr>
          <w:rFonts w:ascii="Times New Roman" w:hAnsi="Times New Roman"/>
          <w:szCs w:val="21"/>
          <w:u w:val="single"/>
        </w:rPr>
        <w:t>-1</w:t>
      </w:r>
      <w:r>
        <w:rPr>
          <w:rFonts w:hint="eastAsia" w:ascii="Times New Roman" w:hAnsi="Times New Roman"/>
          <w:szCs w:val="21"/>
          <w:u w:val="single"/>
          <w:lang w:val="en-US" w:eastAsia="zh-CN"/>
        </w:rPr>
        <w:t>6</w:t>
      </w:r>
      <w:r>
        <w:rPr>
          <w:rFonts w:hint="eastAsia" w:ascii="Times New Roman" w:hAnsi="Times New Roman"/>
          <w:szCs w:val="21"/>
          <w:u w:val="single"/>
        </w:rPr>
        <w:t>）</w:t>
      </w:r>
      <w:r>
        <w:rPr>
          <w:rFonts w:hint="eastAsia" w:ascii="Times New Roman" w:hAnsi="Times New Roman"/>
          <w:szCs w:val="21"/>
        </w:rPr>
        <w:t>的采购，全权处理采购活动中的一切事宜，我单位均予承认。</w:t>
      </w:r>
    </w:p>
    <w:p>
      <w:pPr>
        <w:adjustRightInd w:val="0"/>
        <w:snapToGrid w:val="0"/>
        <w:spacing w:line="360" w:lineRule="auto"/>
        <w:rPr>
          <w:rFonts w:ascii="Times New Roman" w:hAnsi="Times New Roman"/>
          <w:szCs w:val="21"/>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供应商名称（公章）：</w:t>
      </w:r>
    </w:p>
    <w:p>
      <w:pPr>
        <w:adjustRightInd w:val="0"/>
        <w:snapToGrid w:val="0"/>
        <w:spacing w:line="360" w:lineRule="auto"/>
        <w:ind w:firstLine="3465" w:firstLineChars="1650"/>
        <w:rPr>
          <w:rFonts w:ascii="Times New Roman" w:hAnsi="Times New Roman"/>
          <w:kern w:val="0"/>
          <w:szCs w:val="21"/>
          <w:lang w:val="zh-CN"/>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法定代表人（签字或盖章）：</w:t>
      </w:r>
    </w:p>
    <w:p>
      <w:pPr>
        <w:adjustRightInd w:val="0"/>
        <w:snapToGrid w:val="0"/>
        <w:spacing w:line="360" w:lineRule="auto"/>
        <w:ind w:right="930" w:firstLine="3465" w:firstLineChars="1650"/>
        <w:rPr>
          <w:rFonts w:ascii="Times New Roman" w:hAnsi="Times New Roman"/>
          <w:kern w:val="0"/>
          <w:szCs w:val="21"/>
          <w:lang w:val="zh-CN"/>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日期</w:t>
      </w:r>
      <w:r>
        <w:rPr>
          <w:rFonts w:hint="eastAsia" w:ascii="Times New Roman" w:hAnsi="Times New Roman"/>
          <w:kern w:val="0"/>
          <w:szCs w:val="21"/>
        </w:rPr>
        <w:t>：</w:t>
      </w:r>
      <w:r>
        <w:rPr>
          <w:rFonts w:hint="eastAsia" w:ascii="Times New Roman" w:hAnsi="Times New Roman"/>
          <w:kern w:val="0"/>
          <w:szCs w:val="21"/>
          <w:lang w:val="zh-CN"/>
        </w:rPr>
        <w:t>　</w:t>
      </w:r>
      <w:r>
        <w:rPr>
          <w:rFonts w:ascii="Times New Roman" w:hAnsi="Times New Roman"/>
          <w:kern w:val="0"/>
          <w:szCs w:val="21"/>
        </w:rPr>
        <w:t>20</w:t>
      </w:r>
      <w:r>
        <w:rPr>
          <w:rFonts w:hint="eastAsia" w:ascii="Times New Roman" w:hAnsi="Times New Roman"/>
          <w:kern w:val="0"/>
          <w:szCs w:val="21"/>
          <w:lang w:val="en-US" w:eastAsia="zh-CN"/>
        </w:rPr>
        <w:t>20</w:t>
      </w:r>
      <w:r>
        <w:rPr>
          <w:rFonts w:hint="eastAsia" w:ascii="Times New Roman" w:hAnsi="Times New Roman"/>
          <w:kern w:val="0"/>
          <w:szCs w:val="21"/>
        </w:rPr>
        <w:t>　</w:t>
      </w:r>
      <w:r>
        <w:rPr>
          <w:rFonts w:hint="eastAsia" w:ascii="Times New Roman" w:hAnsi="Times New Roman"/>
          <w:kern w:val="0"/>
          <w:szCs w:val="21"/>
          <w:lang w:val="zh-CN"/>
        </w:rPr>
        <w:t>年</w:t>
      </w:r>
      <w:r>
        <w:rPr>
          <w:rFonts w:hint="eastAsia" w:ascii="Times New Roman" w:hAnsi="Times New Roman"/>
          <w:kern w:val="0"/>
          <w:szCs w:val="21"/>
        </w:rPr>
        <w:t>　　月</w:t>
      </w:r>
      <w:r>
        <w:rPr>
          <w:rFonts w:hint="eastAsia" w:ascii="Times New Roman" w:hAnsi="Times New Roman"/>
          <w:kern w:val="0"/>
          <w:szCs w:val="21"/>
          <w:lang w:val="en-US" w:eastAsia="zh-CN"/>
        </w:rPr>
        <w:t xml:space="preserve">     </w:t>
      </w:r>
      <w:r>
        <w:rPr>
          <w:rFonts w:hint="eastAsia" w:ascii="Times New Roman" w:hAnsi="Times New Roman"/>
          <w:kern w:val="0"/>
          <w:szCs w:val="21"/>
          <w:lang w:val="zh-CN"/>
        </w:rPr>
        <w:t>日</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szCs w:val="21"/>
        </w:rPr>
      </w:pPr>
      <w:r>
        <w:rPr>
          <w:rFonts w:hint="eastAsia" w:ascii="Times New Roman" w:hAnsi="Times New Roman"/>
          <w:szCs w:val="21"/>
        </w:rPr>
        <w:t>附：</w:t>
      </w:r>
    </w:p>
    <w:p>
      <w:pPr>
        <w:adjustRightInd w:val="0"/>
        <w:snapToGrid w:val="0"/>
        <w:spacing w:line="360" w:lineRule="auto"/>
        <w:rPr>
          <w:rFonts w:ascii="Times New Roman" w:hAnsi="Times New Roman"/>
          <w:szCs w:val="21"/>
        </w:rPr>
      </w:pPr>
      <w:r>
        <w:rPr>
          <w:rFonts w:hint="eastAsia" w:ascii="Times New Roman" w:hAnsi="Times New Roman"/>
          <w:szCs w:val="21"/>
        </w:rPr>
        <w:t>授权代表人姓名：</w:t>
      </w:r>
    </w:p>
    <w:p>
      <w:pPr>
        <w:adjustRightInd w:val="0"/>
        <w:snapToGrid w:val="0"/>
        <w:spacing w:line="360" w:lineRule="auto"/>
        <w:rPr>
          <w:rFonts w:ascii="Times New Roman" w:hAnsi="Times New Roman"/>
          <w:szCs w:val="21"/>
        </w:rPr>
      </w:pPr>
      <w:r>
        <w:rPr>
          <w:rFonts w:hint="eastAsia" w:ascii="Times New Roman" w:hAnsi="Times New Roman"/>
          <w:szCs w:val="21"/>
        </w:rPr>
        <w:t>身份证号码：</w:t>
      </w:r>
    </w:p>
    <w:p>
      <w:pPr>
        <w:adjustRightInd w:val="0"/>
        <w:snapToGrid w:val="0"/>
        <w:spacing w:line="360" w:lineRule="auto"/>
        <w:rPr>
          <w:rFonts w:ascii="Times New Roman" w:hAnsi="Times New Roman"/>
          <w:szCs w:val="21"/>
        </w:rPr>
      </w:pPr>
      <w:r>
        <w:rPr>
          <w:rFonts w:hint="eastAsia" w:ascii="Times New Roman" w:hAnsi="Times New Roman"/>
          <w:szCs w:val="21"/>
        </w:rPr>
        <w:t>职务：</w:t>
      </w:r>
    </w:p>
    <w:p>
      <w:pPr>
        <w:adjustRightInd w:val="0"/>
        <w:snapToGrid w:val="0"/>
        <w:spacing w:line="360" w:lineRule="auto"/>
        <w:rPr>
          <w:rFonts w:ascii="Times New Roman" w:hAnsi="Times New Roman"/>
          <w:szCs w:val="21"/>
        </w:rPr>
      </w:pPr>
      <w:r>
        <w:rPr>
          <w:rFonts w:hint="eastAsia" w:ascii="Times New Roman" w:hAnsi="Times New Roman"/>
          <w:szCs w:val="21"/>
        </w:rPr>
        <w:t>详细通讯地址：</w:t>
      </w:r>
    </w:p>
    <w:p>
      <w:pPr>
        <w:adjustRightInd w:val="0"/>
        <w:snapToGrid w:val="0"/>
        <w:spacing w:line="360" w:lineRule="auto"/>
        <w:rPr>
          <w:rFonts w:ascii="Times New Roman" w:hAnsi="Times New Roman"/>
          <w:szCs w:val="21"/>
        </w:rPr>
      </w:pPr>
      <w:r>
        <w:rPr>
          <w:rFonts w:hint="eastAsia" w:ascii="Times New Roman" w:hAnsi="Times New Roman"/>
          <w:szCs w:val="21"/>
        </w:rPr>
        <w:t>传真：</w:t>
      </w:r>
    </w:p>
    <w:p>
      <w:pPr>
        <w:adjustRightInd w:val="0"/>
        <w:snapToGrid w:val="0"/>
        <w:spacing w:line="360" w:lineRule="auto"/>
        <w:rPr>
          <w:rFonts w:ascii="Times New Roman" w:hAnsi="Times New Roman"/>
          <w:szCs w:val="21"/>
        </w:rPr>
      </w:pPr>
      <w:r>
        <w:rPr>
          <w:rFonts w:hint="eastAsia" w:ascii="Times New Roman" w:hAnsi="Times New Roman"/>
          <w:szCs w:val="21"/>
        </w:rPr>
        <w:t>电话：</w:t>
      </w:r>
    </w:p>
    <w:p>
      <w:pPr>
        <w:adjustRightInd w:val="0"/>
        <w:snapToGrid w:val="0"/>
        <w:spacing w:line="360" w:lineRule="auto"/>
        <w:rPr>
          <w:rFonts w:ascii="Times New Roman" w:hAnsi="Times New Roman"/>
          <w:szCs w:val="21"/>
        </w:rPr>
      </w:pPr>
      <w:r>
        <w:rPr>
          <w:rFonts w:hint="eastAsia" w:ascii="Times New Roman" w:hAnsi="Times New Roman"/>
          <w:szCs w:val="21"/>
        </w:rPr>
        <w:t>邮政编码：</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szCs w:val="21"/>
        </w:rPr>
      </w:pPr>
      <w:r>
        <w:rPr>
          <w:rFonts w:hint="eastAsia" w:ascii="Times New Roman" w:hAnsi="Times New Roman"/>
          <w:kern w:val="0"/>
          <w:szCs w:val="21"/>
          <w:lang w:val="zh-CN"/>
        </w:rPr>
        <w:t>法定代表人</w:t>
      </w:r>
      <w:r>
        <w:rPr>
          <w:rFonts w:hint="eastAsia" w:ascii="Times New Roman" w:hAnsi="Times New Roman"/>
          <w:szCs w:val="21"/>
        </w:rPr>
        <w:t>身份证复印件：</w:t>
      </w:r>
    </w:p>
    <w:p>
      <w:pPr>
        <w:adjustRightInd w:val="0"/>
        <w:snapToGrid w:val="0"/>
        <w:spacing w:line="360" w:lineRule="auto"/>
        <w:rPr>
          <w:rFonts w:ascii="Times New Roman" w:hAnsi="Times New Roman"/>
          <w:szCs w:val="21"/>
        </w:rPr>
      </w:pPr>
    </w:p>
    <w:p>
      <w:pPr>
        <w:adjustRightInd w:val="0"/>
        <w:snapToGrid w:val="0"/>
        <w:spacing w:line="360" w:lineRule="auto"/>
        <w:rPr>
          <w:rFonts w:ascii="宋体"/>
          <w:szCs w:val="21"/>
        </w:rPr>
      </w:pPr>
    </w:p>
    <w:p>
      <w:pPr>
        <w:adjustRightInd w:val="0"/>
        <w:snapToGrid w:val="0"/>
        <w:spacing w:line="360" w:lineRule="auto"/>
        <w:rPr>
          <w:rFonts w:ascii="宋体"/>
          <w:szCs w:val="21"/>
        </w:rPr>
      </w:pPr>
      <w:r>
        <w:rPr>
          <w:rFonts w:hint="eastAsia" w:ascii="宋体" w:hAnsi="宋体"/>
          <w:szCs w:val="21"/>
        </w:rPr>
        <w:t>授权代表人身份证复印件：</w:t>
      </w:r>
    </w:p>
    <w:p>
      <w:pPr>
        <w:pStyle w:val="4"/>
        <w:ind w:firstLine="482"/>
        <w:rPr>
          <w:sz w:val="32"/>
        </w:rPr>
      </w:pPr>
      <w:r>
        <w:br w:type="page"/>
      </w:r>
      <w:r>
        <w:rPr>
          <w:rFonts w:hint="eastAsia"/>
        </w:rPr>
        <w:t>附件二：</w:t>
      </w:r>
    </w:p>
    <w:p>
      <w:pPr>
        <w:pStyle w:val="39"/>
        <w:ind w:left="0" w:firstLine="0"/>
        <w:jc w:val="center"/>
        <w:rPr>
          <w:b/>
          <w:kern w:val="2"/>
          <w:sz w:val="32"/>
          <w:szCs w:val="32"/>
        </w:rPr>
      </w:pPr>
      <w:r>
        <w:rPr>
          <w:rFonts w:hint="eastAsia"/>
          <w:b/>
          <w:kern w:val="2"/>
          <w:sz w:val="32"/>
          <w:szCs w:val="32"/>
        </w:rPr>
        <w:t>采购响应函</w:t>
      </w:r>
    </w:p>
    <w:p>
      <w:pPr>
        <w:spacing w:line="360" w:lineRule="auto"/>
        <w:rPr>
          <w:rFonts w:ascii="宋体"/>
          <w:b/>
          <w:szCs w:val="21"/>
        </w:rPr>
      </w:pPr>
    </w:p>
    <w:p>
      <w:pPr>
        <w:spacing w:line="360" w:lineRule="auto"/>
      </w:pPr>
      <w:r>
        <w:rPr>
          <w:rFonts w:hint="eastAsia"/>
        </w:rPr>
        <w:t>浙江财经大学：</w:t>
      </w:r>
      <w:bookmarkEnd w:id="28"/>
      <w:bookmarkEnd w:id="29"/>
    </w:p>
    <w:p>
      <w:pPr>
        <w:adjustRightInd w:val="0"/>
        <w:snapToGrid w:val="0"/>
        <w:spacing w:line="360" w:lineRule="auto"/>
        <w:ind w:firstLine="420" w:firstLineChars="200"/>
        <w:rPr>
          <w:rFonts w:ascii="Times New Roman" w:hAnsi="Times New Roman"/>
          <w:szCs w:val="21"/>
          <w:u w:val="single" w:color="000000"/>
        </w:rPr>
      </w:pPr>
      <w:r>
        <w:rPr>
          <w:rFonts w:hint="eastAsia" w:ascii="Times New Roman" w:hAnsi="Times New Roman"/>
          <w:szCs w:val="21"/>
        </w:rPr>
        <w:t>根据贵方为</w:t>
      </w:r>
      <w:r>
        <w:rPr>
          <w:rFonts w:hint="eastAsia" w:ascii="Times New Roman" w:hAnsi="Times New Roman"/>
          <w:szCs w:val="21"/>
          <w:u w:val="single"/>
        </w:rPr>
        <w:t>浙江财经大学企业竞争模拟系统等软件采购项目（浙财大</w:t>
      </w:r>
      <w:r>
        <w:rPr>
          <w:rFonts w:ascii="Times New Roman" w:hAnsi="Times New Roman"/>
          <w:szCs w:val="21"/>
          <w:u w:val="single"/>
        </w:rPr>
        <w:t>20</w:t>
      </w:r>
      <w:r>
        <w:rPr>
          <w:rFonts w:hint="eastAsia" w:ascii="Times New Roman" w:hAnsi="Times New Roman"/>
          <w:szCs w:val="21"/>
          <w:u w:val="single"/>
          <w:lang w:val="en-US" w:eastAsia="zh-CN"/>
        </w:rPr>
        <w:t>20</w:t>
      </w:r>
      <w:r>
        <w:rPr>
          <w:rFonts w:ascii="Times New Roman" w:hAnsi="Times New Roman"/>
          <w:szCs w:val="21"/>
          <w:u w:val="single"/>
        </w:rPr>
        <w:t>-1</w:t>
      </w:r>
      <w:r>
        <w:rPr>
          <w:rFonts w:hint="eastAsia" w:ascii="Times New Roman" w:hAnsi="Times New Roman"/>
          <w:szCs w:val="21"/>
          <w:u w:val="single"/>
          <w:lang w:val="en-US" w:eastAsia="zh-CN"/>
        </w:rPr>
        <w:t>6</w:t>
      </w:r>
      <w:r>
        <w:rPr>
          <w:rFonts w:hint="eastAsia" w:ascii="Times New Roman" w:hAnsi="Times New Roman"/>
          <w:szCs w:val="21"/>
          <w:u w:val="single"/>
        </w:rPr>
        <w:t>）</w:t>
      </w:r>
      <w:r>
        <w:rPr>
          <w:rFonts w:hint="eastAsia" w:ascii="Times New Roman" w:hAnsi="Times New Roman"/>
          <w:szCs w:val="21"/>
        </w:rPr>
        <w:t>的单一来源采购邀请书，（供应商全称）授权（姓名）为授权代表人，代表本供应商参加贵方组织的此次谈判的有关活动，并提交按“供应商须知”要求编制的采购响应文件正本</w:t>
      </w:r>
      <w:r>
        <w:rPr>
          <w:rFonts w:hint="eastAsia" w:ascii="Times New Roman" w:hAnsi="Times New Roman"/>
          <w:szCs w:val="21"/>
          <w:u w:val="single"/>
        </w:rPr>
        <w:t>壹</w:t>
      </w:r>
      <w:r>
        <w:rPr>
          <w:rFonts w:hint="eastAsia" w:ascii="Times New Roman" w:hAnsi="Times New Roman"/>
          <w:szCs w:val="21"/>
        </w:rPr>
        <w:t>份，副本</w:t>
      </w:r>
      <w:r>
        <w:rPr>
          <w:rFonts w:hint="eastAsia" w:ascii="Times New Roman" w:hAnsi="Times New Roman"/>
          <w:szCs w:val="21"/>
          <w:u w:val="single" w:color="000000"/>
        </w:rPr>
        <w:t>肆</w:t>
      </w:r>
      <w:r>
        <w:rPr>
          <w:rFonts w:hint="eastAsia" w:ascii="Times New Roman" w:hAnsi="Times New Roman"/>
          <w:szCs w:val="21"/>
        </w:rPr>
        <w:t>份。</w:t>
      </w:r>
    </w:p>
    <w:p>
      <w:pPr>
        <w:adjustRightInd w:val="0"/>
        <w:snapToGrid w:val="0"/>
        <w:spacing w:line="360" w:lineRule="auto"/>
        <w:ind w:firstLine="420" w:firstLineChars="200"/>
        <w:rPr>
          <w:rFonts w:ascii="Times New Roman" w:hAnsi="Times New Roman"/>
          <w:bCs/>
          <w:szCs w:val="21"/>
        </w:rPr>
      </w:pPr>
      <w:r>
        <w:rPr>
          <w:rFonts w:hint="eastAsia" w:ascii="Times New Roman" w:hAnsi="Times New Roman"/>
          <w:bCs/>
          <w:szCs w:val="21"/>
        </w:rPr>
        <w:t>据此函</w:t>
      </w:r>
      <w:r>
        <w:rPr>
          <w:rFonts w:hint="eastAsia" w:ascii="Times New Roman" w:hAnsi="Times New Roman"/>
          <w:szCs w:val="21"/>
        </w:rPr>
        <w:t>授权代表人</w:t>
      </w:r>
      <w:r>
        <w:rPr>
          <w:rFonts w:hint="eastAsia" w:ascii="Times New Roman" w:hAnsi="Times New Roman"/>
          <w:bCs/>
          <w:szCs w:val="21"/>
        </w:rPr>
        <w:t>宣布同意如下：</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、总报价人民币元（大写）。</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、本供应商遵守采购文件的有关规定和收费标准，忠实地履行按采购文件规定买卖双方签订的合同责任和义务。</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、本供应商已详细审查全部采购文件，包括补充文件（如果有的话），我们完全理解并同意放弃对这方面有不明及误解的权力。</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、本采购响应文件有效期为谈判之日起</w:t>
      </w:r>
      <w:r>
        <w:rPr>
          <w:rFonts w:ascii="Times New Roman" w:hAnsi="Times New Roman"/>
          <w:szCs w:val="21"/>
          <w:u w:val="single"/>
        </w:rPr>
        <w:t xml:space="preserve"> 90 </w:t>
      </w:r>
      <w:r>
        <w:rPr>
          <w:rFonts w:hint="eastAsia" w:ascii="Times New Roman" w:hAnsi="Times New Roman"/>
          <w:szCs w:val="21"/>
        </w:rPr>
        <w:t>日历日。</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、与本次报价有关的一切正式往来信函请寄：</w:t>
      </w:r>
    </w:p>
    <w:p>
      <w:pPr>
        <w:adjustRightInd w:val="0"/>
        <w:snapToGrid w:val="0"/>
        <w:spacing w:line="360" w:lineRule="auto"/>
        <w:rPr>
          <w:rFonts w:ascii="Times New Roman" w:hAnsi="Times New Roman"/>
          <w:kern w:val="0"/>
          <w:szCs w:val="21"/>
          <w:lang w:val="zh-CN"/>
        </w:rPr>
      </w:pP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法定（授权）代表人（签字）：</w:t>
      </w:r>
      <w:r>
        <w:rPr>
          <w:rFonts w:ascii="Times New Roman" w:hAnsi="Times New Roman"/>
          <w:kern w:val="0"/>
          <w:szCs w:val="21"/>
        </w:rPr>
        <w:tab/>
      </w:r>
    </w:p>
    <w:p>
      <w:pPr>
        <w:adjustRightInd w:val="0"/>
        <w:snapToGrid w:val="0"/>
        <w:spacing w:line="360" w:lineRule="auto"/>
        <w:ind w:left="420" w:leftChars="200"/>
        <w:rPr>
          <w:rFonts w:ascii="Times New Roman" w:hAnsi="Times New Roman"/>
          <w:kern w:val="0"/>
          <w:szCs w:val="21"/>
          <w:u w:val="single"/>
          <w:lang w:val="zh-CN"/>
        </w:rPr>
      </w:pPr>
      <w:r>
        <w:rPr>
          <w:rFonts w:hint="eastAsia" w:ascii="Times New Roman" w:hAnsi="Times New Roman"/>
          <w:kern w:val="0"/>
          <w:szCs w:val="21"/>
          <w:lang w:val="zh-CN"/>
        </w:rPr>
        <w:t>供应商名称（公章）：</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联系电话：传真：电子邮件：</w:t>
      </w:r>
      <w:r>
        <w:rPr>
          <w:rFonts w:ascii="Times New Roman" w:hAnsi="Times New Roman"/>
          <w:color w:val="FFFFFF" w:themeColor="background1"/>
          <w:kern w:val="0"/>
          <w:szCs w:val="21"/>
          <w:u w:val="single" w:color="000000"/>
          <w:lang w:val="zh-CN"/>
          <w14:textFill>
            <w14:solidFill>
              <w14:schemeClr w14:val="bg1"/>
            </w14:solidFill>
          </w14:textFill>
        </w:rPr>
        <w:t>0</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联系地址：</w:t>
      </w:r>
      <w:r>
        <w:rPr>
          <w:rFonts w:ascii="Times New Roman" w:hAnsi="Times New Roman"/>
          <w:color w:val="FFFFFF" w:themeColor="background1"/>
          <w:kern w:val="0"/>
          <w:szCs w:val="21"/>
          <w:u w:val="single" w:color="000000"/>
          <w:lang w:val="zh-CN"/>
          <w14:textFill>
            <w14:solidFill>
              <w14:schemeClr w14:val="bg1"/>
            </w14:solidFill>
          </w14:textFill>
        </w:rPr>
        <w:t>0</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邮政编码：传真号码：</w:t>
      </w:r>
      <w:r>
        <w:rPr>
          <w:rFonts w:ascii="Times New Roman" w:hAnsi="Times New Roman"/>
          <w:color w:val="FFFFFF" w:themeColor="background1"/>
          <w:kern w:val="0"/>
          <w:szCs w:val="21"/>
          <w:u w:val="single" w:color="000000"/>
          <w:lang w:val="zh-CN"/>
          <w14:textFill>
            <w14:solidFill>
              <w14:schemeClr w14:val="bg1"/>
            </w14:solidFill>
          </w14:textFill>
        </w:rPr>
        <w:t>0</w:t>
      </w:r>
    </w:p>
    <w:p>
      <w:pPr>
        <w:adjustRightInd w:val="0"/>
        <w:snapToGrid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lang w:val="zh-CN"/>
        </w:rPr>
        <w:t>日期</w:t>
      </w:r>
      <w:r>
        <w:rPr>
          <w:rFonts w:hint="eastAsia" w:ascii="Times New Roman" w:hAnsi="Times New Roman"/>
          <w:kern w:val="0"/>
          <w:szCs w:val="21"/>
        </w:rPr>
        <w:t>：</w:t>
      </w:r>
      <w:r>
        <w:rPr>
          <w:rFonts w:hint="eastAsia" w:ascii="Times New Roman" w:hAnsi="Times New Roman"/>
          <w:kern w:val="0"/>
          <w:szCs w:val="21"/>
          <w:lang w:val="en-US" w:eastAsia="zh-CN"/>
        </w:rPr>
        <w:t xml:space="preserve">    </w:t>
      </w:r>
      <w:r>
        <w:rPr>
          <w:rFonts w:hint="eastAsia" w:ascii="Times New Roman" w:hAnsi="Times New Roman"/>
          <w:kern w:val="0"/>
          <w:szCs w:val="21"/>
          <w:lang w:val="zh-CN"/>
        </w:rPr>
        <w:t>年</w:t>
      </w:r>
      <w:r>
        <w:rPr>
          <w:rFonts w:hint="eastAsia" w:ascii="Times New Roman" w:hAnsi="Times New Roman"/>
          <w:kern w:val="0"/>
          <w:szCs w:val="21"/>
          <w:lang w:val="en-US" w:eastAsia="zh-CN"/>
        </w:rPr>
        <w:t xml:space="preserve">    </w:t>
      </w:r>
      <w:r>
        <w:rPr>
          <w:rFonts w:hint="eastAsia" w:ascii="Times New Roman" w:hAnsi="Times New Roman"/>
          <w:kern w:val="0"/>
          <w:szCs w:val="21"/>
          <w:lang w:val="zh-CN"/>
        </w:rPr>
        <w:t>月</w:t>
      </w:r>
      <w:r>
        <w:rPr>
          <w:rFonts w:hint="eastAsia" w:ascii="Times New Roman" w:hAnsi="Times New Roman"/>
          <w:kern w:val="0"/>
          <w:szCs w:val="21"/>
          <w:lang w:val="en-US" w:eastAsia="zh-CN"/>
        </w:rPr>
        <w:t xml:space="preserve">    </w:t>
      </w:r>
      <w:r>
        <w:rPr>
          <w:rFonts w:hint="eastAsia" w:ascii="Times New Roman" w:hAnsi="Times New Roman"/>
          <w:kern w:val="0"/>
          <w:szCs w:val="21"/>
          <w:lang w:val="zh-CN"/>
        </w:rPr>
        <w:t>日</w:t>
      </w:r>
    </w:p>
    <w:p>
      <w:pPr>
        <w:adjustRightInd w:val="0"/>
        <w:snapToGrid w:val="0"/>
        <w:spacing w:line="360" w:lineRule="auto"/>
        <w:rPr>
          <w:rFonts w:ascii="Times New Roman" w:hAnsi="Times New Roman"/>
          <w:kern w:val="0"/>
          <w:szCs w:val="21"/>
          <w:u w:val="single"/>
        </w:rPr>
      </w:pPr>
    </w:p>
    <w:p>
      <w:pPr>
        <w:adjustRightInd w:val="0"/>
        <w:snapToGrid w:val="0"/>
        <w:spacing w:line="360" w:lineRule="auto"/>
        <w:rPr>
          <w:rFonts w:ascii="Times New Roman" w:hAnsi="Times New Roman"/>
          <w:b/>
          <w:kern w:val="0"/>
          <w:szCs w:val="21"/>
          <w:lang w:val="zh-CN"/>
        </w:rPr>
        <w:sectPr>
          <w:footerReference r:id="rId9" w:type="default"/>
          <w:pgSz w:w="11906" w:h="16838"/>
          <w:pgMar w:top="1440" w:right="1797" w:bottom="1440" w:left="1797" w:header="851" w:footer="992" w:gutter="0"/>
          <w:cols w:space="720" w:num="1"/>
          <w:docGrid w:linePitch="312" w:charSpace="0"/>
        </w:sectPr>
      </w:pPr>
      <w:r>
        <w:rPr>
          <w:rFonts w:hint="eastAsia" w:ascii="Times New Roman" w:hAnsi="Times New Roman"/>
          <w:b/>
          <w:kern w:val="0"/>
          <w:szCs w:val="21"/>
          <w:lang w:val="zh-CN"/>
        </w:rPr>
        <w:t>注：未按照本采购响应函要求填报的将被视为非实质性响应，从而可能导致该采购响应文件被拒绝。</w:t>
      </w:r>
    </w:p>
    <w:p>
      <w:pPr>
        <w:pStyle w:val="4"/>
        <w:ind w:firstLine="482"/>
      </w:pPr>
      <w:r>
        <w:rPr>
          <w:rFonts w:hint="eastAsia"/>
        </w:rPr>
        <w:t>附件三：</w:t>
      </w:r>
    </w:p>
    <w:p>
      <w:pPr>
        <w:pStyle w:val="6"/>
        <w:spacing w:line="360" w:lineRule="auto"/>
        <w:ind w:right="-21" w:rightChars="-10" w:firstLine="0"/>
        <w:jc w:val="center"/>
        <w:rPr>
          <w:b/>
          <w:color w:val="auto"/>
          <w:sz w:val="32"/>
          <w:szCs w:val="32"/>
        </w:rPr>
      </w:pPr>
      <w:bookmarkStart w:id="30" w:name="_Hlk498077136"/>
      <w:r>
        <w:rPr>
          <w:rFonts w:hint="eastAsia"/>
          <w:b/>
          <w:color w:val="auto"/>
          <w:sz w:val="32"/>
          <w:szCs w:val="32"/>
        </w:rPr>
        <w:t>报价一览表</w:t>
      </w:r>
    </w:p>
    <w:bookmarkEnd w:id="30"/>
    <w:p>
      <w:pPr>
        <w:spacing w:line="360" w:lineRule="auto"/>
        <w:ind w:right="-21" w:rightChars="-10"/>
      </w:pPr>
    </w:p>
    <w:p>
      <w:pPr>
        <w:spacing w:line="360" w:lineRule="auto"/>
        <w:ind w:right="-21" w:rightChars="-10" w:firstLine="315" w:firstLineChars="150"/>
        <w:rPr>
          <w:rFonts w:hint="eastAsia" w:ascii="Times New Roman" w:hAnsi="Times New Roman" w:eastAsia="宋体"/>
          <w:szCs w:val="21"/>
          <w:lang w:eastAsia="zh-CN"/>
        </w:rPr>
      </w:pPr>
      <w:r>
        <w:rPr>
          <w:rFonts w:hint="eastAsia" w:ascii="Times New Roman" w:hAnsi="Times New Roman"/>
          <w:szCs w:val="21"/>
        </w:rPr>
        <w:t>项目名称：</w:t>
      </w:r>
      <w:r>
        <w:rPr>
          <w:rFonts w:hint="eastAsia" w:ascii="Times New Roman" w:hAnsi="Times New Roman"/>
          <w:szCs w:val="21"/>
          <w:u w:val="single"/>
        </w:rPr>
        <w:t>浙江财经大学企业竞争模拟系统等软件采购项目</w:t>
      </w:r>
      <w:r>
        <w:rPr>
          <w:rFonts w:ascii="Times New Roman" w:hAnsi="Times New Roman"/>
          <w:szCs w:val="21"/>
        </w:rPr>
        <w:t xml:space="preserve"> </w:t>
      </w:r>
      <w:r>
        <w:rPr>
          <w:rFonts w:hint="eastAsia" w:ascii="Times New Roman" w:hAnsi="Times New Roman"/>
          <w:szCs w:val="21"/>
        </w:rPr>
        <w:t xml:space="preserve">   标项：招标编号：</w:t>
      </w:r>
      <w:r>
        <w:rPr>
          <w:rFonts w:hint="eastAsia" w:ascii="Times New Roman" w:hAnsi="Times New Roman"/>
          <w:szCs w:val="21"/>
          <w:u w:val="single"/>
        </w:rPr>
        <w:t>浙财大</w:t>
      </w:r>
      <w:r>
        <w:rPr>
          <w:rFonts w:ascii="Times New Roman" w:hAnsi="Times New Roman"/>
          <w:szCs w:val="21"/>
          <w:u w:val="single"/>
        </w:rPr>
        <w:t>20</w:t>
      </w:r>
      <w:r>
        <w:rPr>
          <w:rFonts w:hint="eastAsia" w:ascii="Times New Roman" w:hAnsi="Times New Roman"/>
          <w:szCs w:val="21"/>
          <w:u w:val="single"/>
          <w:lang w:val="en-US" w:eastAsia="zh-CN"/>
        </w:rPr>
        <w:t>20</w:t>
      </w:r>
      <w:r>
        <w:rPr>
          <w:rFonts w:ascii="Times New Roman" w:hAnsi="Times New Roman"/>
          <w:szCs w:val="21"/>
          <w:u w:val="single"/>
        </w:rPr>
        <w:t>-1</w:t>
      </w:r>
      <w:r>
        <w:rPr>
          <w:rFonts w:hint="eastAsia" w:ascii="Times New Roman" w:hAnsi="Times New Roman"/>
          <w:szCs w:val="21"/>
          <w:u w:val="single"/>
          <w:lang w:val="en-US" w:eastAsia="zh-CN"/>
        </w:rPr>
        <w:t>6</w:t>
      </w:r>
    </w:p>
    <w:p>
      <w:pPr>
        <w:spacing w:line="360" w:lineRule="auto"/>
        <w:ind w:right="-21" w:rightChars="-10"/>
        <w:jc w:val="center"/>
        <w:rPr>
          <w:rFonts w:ascii="Times New Roman" w:hAnsi="Times New Roman"/>
          <w:szCs w:val="21"/>
        </w:rPr>
      </w:pPr>
      <w:r>
        <w:rPr>
          <w:rFonts w:hint="eastAsia" w:ascii="Times New Roman" w:hAnsi="Times New Roman"/>
          <w:szCs w:val="21"/>
        </w:rPr>
        <w:t>单位：人民币元</w:t>
      </w:r>
    </w:p>
    <w:tbl>
      <w:tblPr>
        <w:tblStyle w:val="19"/>
        <w:tblW w:w="133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3945"/>
        <w:gridCol w:w="5257"/>
        <w:gridCol w:w="29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jc w:val="center"/>
        </w:trPr>
        <w:tc>
          <w:tcPr>
            <w:tcW w:w="1183" w:type="dxa"/>
            <w:tcBorders>
              <w:top w:val="single" w:color="auto" w:sz="12"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标项</w:t>
            </w:r>
          </w:p>
        </w:tc>
        <w:tc>
          <w:tcPr>
            <w:tcW w:w="3945" w:type="dxa"/>
            <w:tcBorders>
              <w:top w:val="single" w:color="auto" w:sz="12" w:space="0"/>
              <w:right w:val="single" w:color="auto" w:sz="4"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报价响应单位</w:t>
            </w:r>
          </w:p>
        </w:tc>
        <w:tc>
          <w:tcPr>
            <w:tcW w:w="5257" w:type="dxa"/>
            <w:tcBorders>
              <w:top w:val="single" w:color="auto" w:sz="12"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投标总价</w:t>
            </w:r>
          </w:p>
        </w:tc>
        <w:tc>
          <w:tcPr>
            <w:tcW w:w="2967" w:type="dxa"/>
            <w:tcBorders>
              <w:top w:val="single" w:color="auto" w:sz="12" w:space="0"/>
              <w:left w:val="single" w:color="auto" w:sz="4"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71" w:hRule="atLeast"/>
          <w:jc w:val="center"/>
        </w:trPr>
        <w:tc>
          <w:tcPr>
            <w:tcW w:w="1183" w:type="dxa"/>
            <w:tcBorders>
              <w:bottom w:val="single" w:color="auto" w:sz="12" w:space="0"/>
            </w:tcBorders>
            <w:vAlign w:val="center"/>
          </w:tcPr>
          <w:p>
            <w:pPr>
              <w:snapToGrid w:val="0"/>
              <w:ind w:right="-21" w:rightChars="-10"/>
              <w:jc w:val="center"/>
              <w:rPr>
                <w:rFonts w:ascii="Times New Roman" w:hAnsi="Times New Roman"/>
                <w:szCs w:val="21"/>
              </w:rPr>
            </w:pPr>
          </w:p>
        </w:tc>
        <w:tc>
          <w:tcPr>
            <w:tcW w:w="3945" w:type="dxa"/>
            <w:tcBorders>
              <w:bottom w:val="single" w:color="auto" w:sz="12" w:space="0"/>
              <w:right w:val="single" w:color="auto" w:sz="4" w:space="0"/>
            </w:tcBorders>
            <w:vAlign w:val="center"/>
          </w:tcPr>
          <w:p>
            <w:pPr>
              <w:snapToGrid w:val="0"/>
              <w:ind w:right="-21" w:rightChars="-10"/>
              <w:jc w:val="center"/>
              <w:rPr>
                <w:rFonts w:ascii="Times New Roman" w:hAnsi="Times New Roman"/>
                <w:szCs w:val="21"/>
              </w:rPr>
            </w:pPr>
          </w:p>
        </w:tc>
        <w:tc>
          <w:tcPr>
            <w:tcW w:w="5257" w:type="dxa"/>
            <w:tcBorders>
              <w:bottom w:val="single" w:color="auto" w:sz="12" w:space="0"/>
            </w:tcBorders>
            <w:vAlign w:val="center"/>
          </w:tcPr>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大写：</w:t>
            </w:r>
          </w:p>
          <w:p>
            <w:pPr>
              <w:snapToGrid w:val="0"/>
              <w:ind w:right="-21" w:rightChars="-10"/>
              <w:jc w:val="center"/>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小写：</w:t>
            </w:r>
          </w:p>
          <w:p>
            <w:pPr>
              <w:snapToGrid w:val="0"/>
              <w:ind w:right="-21" w:rightChars="-10"/>
              <w:jc w:val="center"/>
              <w:rPr>
                <w:rFonts w:ascii="Times New Roman" w:hAnsi="Times New Roman"/>
                <w:szCs w:val="21"/>
              </w:rPr>
            </w:pPr>
          </w:p>
        </w:tc>
        <w:tc>
          <w:tcPr>
            <w:tcW w:w="2967" w:type="dxa"/>
            <w:tcBorders>
              <w:left w:val="single" w:color="auto" w:sz="4" w:space="0"/>
              <w:bottom w:val="single" w:color="auto" w:sz="12" w:space="0"/>
            </w:tcBorders>
            <w:vAlign w:val="center"/>
          </w:tcPr>
          <w:p>
            <w:pPr>
              <w:snapToGrid w:val="0"/>
              <w:ind w:right="-21" w:rightChars="-10"/>
              <w:jc w:val="center"/>
              <w:rPr>
                <w:rFonts w:ascii="Times New Roman" w:hAnsi="Times New Roman"/>
                <w:szCs w:val="21"/>
              </w:rPr>
            </w:pPr>
          </w:p>
        </w:tc>
      </w:tr>
    </w:tbl>
    <w:p>
      <w:pPr>
        <w:spacing w:line="360" w:lineRule="auto"/>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报价响应单位：（盖章）</w:t>
      </w: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法定代表人（或委托代理人）：（签字或盖章）</w:t>
      </w: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w:t>
      </w:r>
      <w:r>
        <w:rPr>
          <w:rFonts w:hint="eastAsia" w:ascii="Times New Roman" w:hAnsi="Times New Roman"/>
          <w:szCs w:val="21"/>
          <w:lang w:val="en-US" w:eastAsia="zh-CN"/>
        </w:rPr>
        <w:t>20</w:t>
      </w:r>
      <w:r>
        <w:rPr>
          <w:rFonts w:hint="eastAsia" w:ascii="Times New Roman" w:hAnsi="Times New Roman"/>
          <w:szCs w:val="21"/>
        </w:rPr>
        <w:t>年  月  日</w:t>
      </w:r>
    </w:p>
    <w:p>
      <w:pPr>
        <w:snapToGrid w:val="0"/>
        <w:ind w:right="-21" w:rightChars="-10"/>
        <w:rPr>
          <w:rFonts w:ascii="宋体" w:cs="宋体"/>
          <w:szCs w:val="21"/>
        </w:rPr>
        <w:sectPr>
          <w:pgSz w:w="16838" w:h="11906" w:orient="landscape"/>
          <w:pgMar w:top="1797" w:right="1440" w:bottom="1797" w:left="1440" w:header="851" w:footer="992" w:gutter="0"/>
          <w:cols w:space="720" w:num="1"/>
          <w:docGrid w:linePitch="312" w:charSpace="0"/>
        </w:sectPr>
      </w:pPr>
    </w:p>
    <w:p>
      <w:pPr>
        <w:pStyle w:val="4"/>
        <w:ind w:firstLine="482"/>
        <w:jc w:val="left"/>
      </w:pPr>
      <w:bookmarkStart w:id="31" w:name="_Toc361750531"/>
      <w:r>
        <w:rPr>
          <w:rFonts w:hint="eastAsia"/>
        </w:rPr>
        <w:t>附件四：</w:t>
      </w:r>
      <w:r>
        <w:rPr>
          <w:rFonts w:hint="eastAsia"/>
          <w:sz w:val="32"/>
        </w:rPr>
        <w:t>报价明细表（格式自拟）</w:t>
      </w:r>
    </w:p>
    <w:bookmarkEnd w:id="31"/>
    <w:p>
      <w:pPr>
        <w:pStyle w:val="39"/>
        <w:snapToGrid w:val="0"/>
        <w:spacing w:before="0" w:line="360" w:lineRule="auto"/>
        <w:ind w:left="0" w:firstLine="0"/>
        <w:jc w:val="center"/>
        <w:rPr>
          <w:b/>
          <w:kern w:val="2"/>
          <w:sz w:val="32"/>
          <w:szCs w:val="32"/>
        </w:rPr>
      </w:pPr>
      <w:bookmarkStart w:id="32" w:name="_Toc358377763"/>
      <w:bookmarkStart w:id="33" w:name="_Toc361750532"/>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left"/>
        <w:rPr>
          <w:b/>
          <w:kern w:val="2"/>
          <w:sz w:val="32"/>
          <w:szCs w:val="32"/>
        </w:rPr>
      </w:pPr>
      <w:r>
        <w:rPr>
          <w:rFonts w:hint="eastAsia" w:ascii="Times New Roman" w:hAnsi="Times New Roman"/>
          <w:b/>
          <w:bCs/>
          <w:kern w:val="2"/>
          <w:sz w:val="24"/>
          <w:szCs w:val="32"/>
        </w:rPr>
        <w:t>附件五：</w:t>
      </w:r>
      <w:r>
        <w:rPr>
          <w:rFonts w:hint="eastAsia"/>
          <w:b/>
          <w:kern w:val="2"/>
          <w:sz w:val="32"/>
          <w:szCs w:val="32"/>
        </w:rPr>
        <w:t>商务偏离表</w:t>
      </w:r>
    </w:p>
    <w:p>
      <w:pPr>
        <w:snapToGrid w:val="0"/>
        <w:spacing w:line="360" w:lineRule="auto"/>
        <w:rPr>
          <w:rFonts w:ascii="宋体"/>
          <w:spacing w:val="20"/>
          <w:szCs w:val="21"/>
        </w:rPr>
      </w:pPr>
    </w:p>
    <w:p>
      <w:pPr>
        <w:snapToGrid w:val="0"/>
        <w:spacing w:line="360" w:lineRule="auto"/>
        <w:rPr>
          <w:rFonts w:ascii="宋体"/>
          <w:szCs w:val="21"/>
        </w:rPr>
      </w:pPr>
      <w:r>
        <w:rPr>
          <w:rFonts w:hint="eastAsia" w:ascii="宋体" w:hAnsi="宋体"/>
          <w:szCs w:val="21"/>
        </w:rPr>
        <w:t>采购项目名称</w:t>
      </w:r>
      <w:r>
        <w:rPr>
          <w:rFonts w:hint="eastAsia" w:ascii="宋体" w:hAnsi="宋体" w:cs="宋体"/>
          <w:szCs w:val="21"/>
        </w:rPr>
        <w:t>：</w:t>
      </w:r>
      <w:r>
        <w:rPr>
          <w:rFonts w:hint="eastAsia" w:ascii="宋体" w:hAnsi="宋体"/>
          <w:szCs w:val="21"/>
          <w:u w:val="single"/>
        </w:rPr>
        <w:t>浙江财经大学企业竞争模拟系统等软件采购项目</w:t>
      </w:r>
      <w:r>
        <w:rPr>
          <w:rFonts w:ascii="Times New Roman" w:hAnsi="Times New Roman"/>
          <w:color w:val="FFFFFF" w:themeColor="background1"/>
          <w:kern w:val="0"/>
          <w:szCs w:val="21"/>
          <w:u w:val="single" w:color="auto"/>
          <w:lang w:val="zh-CN"/>
          <w14:textFill>
            <w14:solidFill>
              <w14:schemeClr w14:val="bg1"/>
            </w14:solidFill>
          </w14:textFill>
        </w:rPr>
        <w:t>0</w:t>
      </w:r>
    </w:p>
    <w:tbl>
      <w:tblPr>
        <w:tblStyle w:val="19"/>
        <w:tblW w:w="85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8"/>
        <w:gridCol w:w="1552"/>
        <w:gridCol w:w="1552"/>
        <w:gridCol w:w="3235"/>
        <w:gridCol w:w="14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78" w:type="dxa"/>
            <w:tcBorders>
              <w:top w:val="double" w:color="auto" w:sz="4" w:space="0"/>
            </w:tcBorders>
            <w:vAlign w:val="center"/>
          </w:tcPr>
          <w:p>
            <w:pPr>
              <w:snapToGrid w:val="0"/>
              <w:jc w:val="center"/>
              <w:rPr>
                <w:rFonts w:ascii="宋体"/>
                <w:szCs w:val="21"/>
              </w:rPr>
            </w:pPr>
            <w:r>
              <w:rPr>
                <w:rFonts w:hint="eastAsia" w:ascii="宋体" w:hAnsi="宋体"/>
                <w:szCs w:val="21"/>
              </w:rPr>
              <w:t>序号</w:t>
            </w:r>
          </w:p>
        </w:tc>
        <w:tc>
          <w:tcPr>
            <w:tcW w:w="1552" w:type="dxa"/>
            <w:tcBorders>
              <w:top w:val="double" w:color="auto" w:sz="4" w:space="0"/>
            </w:tcBorders>
            <w:vAlign w:val="center"/>
          </w:tcPr>
          <w:p>
            <w:pPr>
              <w:snapToGrid w:val="0"/>
              <w:jc w:val="center"/>
              <w:rPr>
                <w:rFonts w:ascii="宋体"/>
                <w:szCs w:val="21"/>
              </w:rPr>
            </w:pPr>
            <w:r>
              <w:rPr>
                <w:rFonts w:hint="eastAsia" w:ascii="宋体" w:hAnsi="宋体"/>
                <w:szCs w:val="21"/>
              </w:rPr>
              <w:t>内容</w:t>
            </w:r>
          </w:p>
        </w:tc>
        <w:tc>
          <w:tcPr>
            <w:tcW w:w="1552" w:type="dxa"/>
            <w:tcBorders>
              <w:top w:val="double" w:color="auto" w:sz="4" w:space="0"/>
            </w:tcBorders>
            <w:vAlign w:val="center"/>
          </w:tcPr>
          <w:p>
            <w:pPr>
              <w:snapToGrid w:val="0"/>
              <w:jc w:val="center"/>
              <w:rPr>
                <w:rFonts w:ascii="宋体"/>
                <w:szCs w:val="21"/>
              </w:rPr>
            </w:pPr>
            <w:r>
              <w:rPr>
                <w:rFonts w:hint="eastAsia" w:ascii="宋体" w:hAnsi="宋体"/>
                <w:szCs w:val="21"/>
              </w:rPr>
              <w:t>采购要求</w:t>
            </w:r>
          </w:p>
        </w:tc>
        <w:tc>
          <w:tcPr>
            <w:tcW w:w="3235" w:type="dxa"/>
            <w:tcBorders>
              <w:top w:val="double" w:color="auto" w:sz="4" w:space="0"/>
            </w:tcBorders>
            <w:vAlign w:val="center"/>
          </w:tcPr>
          <w:p>
            <w:pPr>
              <w:snapToGrid w:val="0"/>
              <w:jc w:val="center"/>
              <w:rPr>
                <w:rFonts w:ascii="宋体"/>
                <w:szCs w:val="21"/>
              </w:rPr>
            </w:pPr>
            <w:r>
              <w:rPr>
                <w:rFonts w:hint="eastAsia" w:ascii="宋体" w:hAnsi="宋体"/>
                <w:szCs w:val="21"/>
              </w:rPr>
              <w:t>投标响应</w:t>
            </w:r>
          </w:p>
        </w:tc>
        <w:tc>
          <w:tcPr>
            <w:tcW w:w="1423" w:type="dxa"/>
            <w:tcBorders>
              <w:top w:val="double" w:color="auto" w:sz="4" w:space="0"/>
            </w:tcBorders>
            <w:vAlign w:val="center"/>
          </w:tcPr>
          <w:p>
            <w:pPr>
              <w:snapToGrid w:val="0"/>
              <w:jc w:val="center"/>
              <w:rPr>
                <w:rFonts w:asci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tcBorders>
              <w:bottom w:val="double" w:color="auto" w:sz="4" w:space="0"/>
            </w:tcBorders>
            <w:vAlign w:val="center"/>
          </w:tcPr>
          <w:p>
            <w:pPr>
              <w:snapToGrid w:val="0"/>
              <w:jc w:val="center"/>
              <w:rPr>
                <w:rFonts w:ascii="宋体"/>
                <w:szCs w:val="21"/>
              </w:rPr>
            </w:pPr>
          </w:p>
        </w:tc>
        <w:tc>
          <w:tcPr>
            <w:tcW w:w="1552" w:type="dxa"/>
            <w:tcBorders>
              <w:bottom w:val="double" w:color="auto" w:sz="4" w:space="0"/>
            </w:tcBorders>
            <w:vAlign w:val="center"/>
          </w:tcPr>
          <w:p>
            <w:pPr>
              <w:snapToGrid w:val="0"/>
              <w:jc w:val="center"/>
              <w:rPr>
                <w:rFonts w:ascii="宋体"/>
                <w:szCs w:val="21"/>
              </w:rPr>
            </w:pPr>
          </w:p>
        </w:tc>
        <w:tc>
          <w:tcPr>
            <w:tcW w:w="1552" w:type="dxa"/>
            <w:tcBorders>
              <w:bottom w:val="double" w:color="auto" w:sz="4" w:space="0"/>
            </w:tcBorders>
            <w:vAlign w:val="center"/>
          </w:tcPr>
          <w:p>
            <w:pPr>
              <w:snapToGrid w:val="0"/>
              <w:jc w:val="center"/>
              <w:rPr>
                <w:rFonts w:ascii="宋体"/>
                <w:szCs w:val="21"/>
              </w:rPr>
            </w:pPr>
          </w:p>
        </w:tc>
        <w:tc>
          <w:tcPr>
            <w:tcW w:w="3235" w:type="dxa"/>
            <w:tcBorders>
              <w:bottom w:val="double" w:color="auto" w:sz="4" w:space="0"/>
            </w:tcBorders>
            <w:vAlign w:val="center"/>
          </w:tcPr>
          <w:p>
            <w:pPr>
              <w:snapToGrid w:val="0"/>
              <w:jc w:val="center"/>
              <w:rPr>
                <w:rFonts w:ascii="宋体"/>
                <w:szCs w:val="21"/>
              </w:rPr>
            </w:pPr>
          </w:p>
        </w:tc>
        <w:tc>
          <w:tcPr>
            <w:tcW w:w="1423" w:type="dxa"/>
            <w:tcBorders>
              <w:bottom w:val="double" w:color="auto" w:sz="4" w:space="0"/>
            </w:tcBorders>
            <w:vAlign w:val="center"/>
          </w:tcPr>
          <w:p>
            <w:pPr>
              <w:snapToGrid w:val="0"/>
              <w:jc w:val="center"/>
              <w:rPr>
                <w:rFonts w:ascii="宋体"/>
                <w:szCs w:val="21"/>
              </w:rPr>
            </w:pPr>
          </w:p>
        </w:tc>
      </w:tr>
    </w:tbl>
    <w:p>
      <w:pPr>
        <w:snapToGrid w:val="0"/>
        <w:spacing w:line="360" w:lineRule="auto"/>
        <w:rPr>
          <w:rFonts w:ascii="宋体"/>
          <w:b/>
          <w:szCs w:val="21"/>
        </w:rPr>
      </w:pPr>
    </w:p>
    <w:p>
      <w:pPr>
        <w:snapToGrid w:val="0"/>
        <w:spacing w:line="360" w:lineRule="auto"/>
        <w:rPr>
          <w:rFonts w:ascii="Times New Roman" w:hAnsi="Times New Roman"/>
          <w:szCs w:val="21"/>
        </w:rPr>
      </w:pPr>
      <w:r>
        <w:rPr>
          <w:rFonts w:hint="eastAsia" w:ascii="Times New Roman" w:hAnsi="Times New Roman"/>
          <w:szCs w:val="21"/>
        </w:rPr>
        <w:t>注：</w:t>
      </w:r>
      <w:r>
        <w:rPr>
          <w:rFonts w:ascii="Times New Roman" w:hAnsi="Times New Roman"/>
          <w:szCs w:val="21"/>
        </w:rPr>
        <w:t>1</w:t>
      </w:r>
      <w:r>
        <w:rPr>
          <w:rFonts w:hint="eastAsia" w:ascii="Times New Roman" w:hAnsi="Times New Roman"/>
          <w:szCs w:val="21"/>
        </w:rPr>
        <w:t>、此表不填，采购人有权视为完全响应招标文件的商务要求。</w:t>
      </w:r>
    </w:p>
    <w:p>
      <w:pPr>
        <w:snapToGrid w:val="0"/>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、此表仅提供了格式，表格不够可自行增加。</w:t>
      </w:r>
    </w:p>
    <w:p>
      <w:pPr>
        <w:snapToGrid w:val="0"/>
        <w:spacing w:line="360" w:lineRule="auto"/>
        <w:ind w:firstLine="420" w:firstLineChars="200"/>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r>
        <w:rPr>
          <w:rFonts w:hint="eastAsia" w:ascii="Times New Roman" w:hAnsi="Times New Roman"/>
          <w:szCs w:val="21"/>
        </w:rPr>
        <w:t>供应商名称（公章）：</w:t>
      </w: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r>
        <w:rPr>
          <w:rFonts w:hint="eastAsia" w:ascii="Times New Roman" w:hAnsi="Times New Roman"/>
          <w:szCs w:val="21"/>
        </w:rPr>
        <w:t>授权代表人（签字）：</w:t>
      </w:r>
    </w:p>
    <w:p>
      <w:pPr>
        <w:snapToGrid w:val="0"/>
        <w:spacing w:line="360" w:lineRule="auto"/>
        <w:rPr>
          <w:rFonts w:ascii="Times New Roman" w:hAnsi="Times New Roman"/>
          <w:szCs w:val="21"/>
        </w:rPr>
      </w:pPr>
    </w:p>
    <w:bookmarkEnd w:id="32"/>
    <w:bookmarkEnd w:id="33"/>
    <w:p>
      <w:pPr>
        <w:snapToGrid w:val="0"/>
        <w:ind w:right="-21" w:rightChars="-10"/>
        <w:rPr>
          <w:rFonts w:ascii="Times New Roman" w:hAnsi="Times New Roman"/>
          <w:szCs w:val="21"/>
        </w:rPr>
      </w:pPr>
      <w:bookmarkStart w:id="34" w:name="_Toc361750533"/>
      <w:bookmarkStart w:id="35" w:name="_Toc358377764"/>
      <w:r>
        <w:rPr>
          <w:rFonts w:hint="eastAsia" w:ascii="Times New Roman" w:hAnsi="Times New Roman"/>
          <w:szCs w:val="21"/>
        </w:rPr>
        <w:t>日期：</w:t>
      </w:r>
      <w:r>
        <w:rPr>
          <w:rFonts w:ascii="Times New Roman" w:hAnsi="Times New Roman"/>
          <w:szCs w:val="21"/>
        </w:rPr>
        <w:t xml:space="preserve"> 20</w:t>
      </w:r>
      <w:r>
        <w:rPr>
          <w:rFonts w:hint="eastAsia" w:ascii="Times New Roman" w:hAnsi="Times New Roman"/>
          <w:szCs w:val="21"/>
          <w:lang w:val="en-US" w:eastAsia="zh-CN"/>
        </w:rPr>
        <w:t>20</w:t>
      </w: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pStyle w:val="4"/>
        <w:ind w:firstLine="482"/>
      </w:pPr>
      <w:r>
        <w:br w:type="page"/>
      </w:r>
      <w:r>
        <w:rPr>
          <w:rFonts w:hint="eastAsia"/>
        </w:rPr>
        <w:t>附件五：</w:t>
      </w:r>
    </w:p>
    <w:p>
      <w:pPr>
        <w:pStyle w:val="39"/>
        <w:snapToGrid w:val="0"/>
        <w:spacing w:line="360" w:lineRule="auto"/>
        <w:ind w:left="0" w:firstLine="0"/>
        <w:jc w:val="center"/>
        <w:rPr>
          <w:b/>
          <w:kern w:val="2"/>
          <w:sz w:val="32"/>
          <w:szCs w:val="32"/>
        </w:rPr>
      </w:pPr>
      <w:r>
        <w:rPr>
          <w:rFonts w:hint="eastAsia"/>
          <w:b/>
          <w:kern w:val="2"/>
          <w:sz w:val="32"/>
          <w:szCs w:val="32"/>
        </w:rPr>
        <w:t>供应商基本情况表</w:t>
      </w:r>
    </w:p>
    <w:p>
      <w:pPr>
        <w:jc w:val="center"/>
        <w:rPr>
          <w:b/>
          <w:bCs/>
          <w:sz w:val="32"/>
        </w:rPr>
      </w:pPr>
    </w:p>
    <w:tbl>
      <w:tblPr>
        <w:tblStyle w:val="19"/>
        <w:tblW w:w="919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46"/>
        <w:gridCol w:w="2111"/>
        <w:gridCol w:w="1707"/>
        <w:gridCol w:w="1467"/>
        <w:gridCol w:w="116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4" w:space="0"/>
              <w:left w:val="single" w:color="auto" w:sz="4"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法定代表人</w:t>
            </w:r>
          </w:p>
        </w:tc>
        <w:tc>
          <w:tcPr>
            <w:tcW w:w="2111" w:type="dxa"/>
            <w:tcBorders>
              <w:top w:val="single" w:color="auto" w:sz="4" w:space="0"/>
              <w:left w:val="single" w:color="auto" w:sz="6" w:space="0"/>
              <w:bottom w:val="single" w:color="auto" w:sz="6" w:space="0"/>
              <w:right w:val="single" w:color="auto" w:sz="6" w:space="0"/>
            </w:tcBorders>
            <w:vAlign w:val="center"/>
          </w:tcPr>
          <w:p>
            <w:pPr>
              <w:pStyle w:val="6"/>
              <w:overflowPunct w:val="0"/>
              <w:spacing w:line="240" w:lineRule="auto"/>
              <w:ind w:right="-21" w:rightChars="-10" w:firstLine="0"/>
              <w:rPr>
                <w:rFonts w:ascii="Times New Roman" w:hAnsi="Times New Roman"/>
                <w:color w:val="auto"/>
                <w:sz w:val="21"/>
                <w:szCs w:val="21"/>
              </w:rPr>
            </w:pPr>
          </w:p>
        </w:tc>
        <w:tc>
          <w:tcPr>
            <w:tcW w:w="1707" w:type="dxa"/>
            <w:tcBorders>
              <w:top w:val="single" w:color="auto" w:sz="4" w:space="0"/>
              <w:left w:val="single" w:color="auto" w:sz="6"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成立日期</w:t>
            </w:r>
          </w:p>
        </w:tc>
        <w:tc>
          <w:tcPr>
            <w:tcW w:w="2630" w:type="dxa"/>
            <w:gridSpan w:val="2"/>
            <w:tcBorders>
              <w:top w:val="single" w:color="auto" w:sz="4" w:space="0"/>
              <w:left w:val="single" w:color="auto" w:sz="6" w:space="0"/>
              <w:bottom w:val="single" w:color="auto" w:sz="6" w:space="0"/>
              <w:right w:val="single" w:color="auto" w:sz="4" w:space="0"/>
            </w:tcBorders>
            <w:vAlign w:val="center"/>
          </w:tcPr>
          <w:p>
            <w:pPr>
              <w:pStyle w:val="6"/>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企业地址</w:t>
            </w:r>
          </w:p>
        </w:tc>
        <w:tc>
          <w:tcPr>
            <w:tcW w:w="2111" w:type="dxa"/>
            <w:tcBorders>
              <w:top w:val="single" w:color="auto" w:sz="6" w:space="0"/>
              <w:left w:val="single" w:color="auto" w:sz="6" w:space="0"/>
              <w:bottom w:val="single" w:color="auto" w:sz="6" w:space="0"/>
              <w:right w:val="single" w:color="auto" w:sz="6" w:space="0"/>
            </w:tcBorders>
            <w:vAlign w:val="center"/>
          </w:tcPr>
          <w:p>
            <w:pPr>
              <w:pStyle w:val="6"/>
              <w:overflowPunct w:val="0"/>
              <w:spacing w:line="240" w:lineRule="auto"/>
              <w:ind w:right="-21" w:rightChars="-10" w:firstLine="0"/>
              <w:rPr>
                <w:rFonts w:ascii="Times New Roman" w:hAnsi="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注册资本</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spacing w:line="240" w:lineRule="auto"/>
              <w:ind w:right="-21" w:rightChars="-10" w:firstLine="1575" w:firstLineChars="750"/>
              <w:rPr>
                <w:rFonts w:ascii="Times New Roman" w:hAnsi="Times New Roman"/>
                <w:color w:val="auto"/>
                <w:sz w:val="21"/>
                <w:szCs w:val="21"/>
              </w:rPr>
            </w:pPr>
            <w:r>
              <w:rPr>
                <w:rFonts w:hint="eastAsia" w:ascii="Times New Roman" w:hAnsi="Times New Roman"/>
                <w:color w:val="auto"/>
                <w:sz w:val="21"/>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职工人数</w:t>
            </w:r>
          </w:p>
        </w:tc>
        <w:tc>
          <w:tcPr>
            <w:tcW w:w="2111" w:type="dxa"/>
            <w:tcBorders>
              <w:top w:val="single" w:color="auto" w:sz="6" w:space="0"/>
              <w:left w:val="single" w:color="auto" w:sz="6" w:space="0"/>
              <w:bottom w:val="single" w:color="auto" w:sz="6" w:space="0"/>
              <w:right w:val="single" w:color="auto" w:sz="6" w:space="0"/>
            </w:tcBorders>
            <w:vAlign w:val="center"/>
          </w:tcPr>
          <w:p>
            <w:pPr>
              <w:pStyle w:val="6"/>
              <w:overflowPunct w:val="0"/>
              <w:spacing w:line="240" w:lineRule="auto"/>
              <w:ind w:right="-21" w:rightChars="-10" w:firstLine="0"/>
              <w:rPr>
                <w:rFonts w:ascii="Times New Roman" w:hAnsi="Times New Roman"/>
                <w:color w:val="auto"/>
                <w:sz w:val="21"/>
                <w:szCs w:val="21"/>
              </w:rPr>
            </w:pPr>
          </w:p>
        </w:tc>
        <w:tc>
          <w:tcPr>
            <w:tcW w:w="3174"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拥有中高级以上职称的人数</w:t>
            </w:r>
          </w:p>
        </w:tc>
        <w:tc>
          <w:tcPr>
            <w:tcW w:w="1163" w:type="dxa"/>
            <w:tcBorders>
              <w:top w:val="single" w:color="auto" w:sz="6" w:space="0"/>
              <w:left w:val="single" w:color="auto" w:sz="6" w:space="0"/>
              <w:bottom w:val="single" w:color="auto" w:sz="6" w:space="0"/>
              <w:right w:val="single" w:color="auto" w:sz="4" w:space="0"/>
            </w:tcBorders>
            <w:vAlign w:val="center"/>
          </w:tcPr>
          <w:p>
            <w:pPr>
              <w:pStyle w:val="6"/>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营业面积</w:t>
            </w:r>
          </w:p>
        </w:tc>
        <w:tc>
          <w:tcPr>
            <w:tcW w:w="2111" w:type="dxa"/>
            <w:tcBorders>
              <w:top w:val="single" w:color="auto" w:sz="6" w:space="0"/>
              <w:left w:val="single" w:color="auto" w:sz="6" w:space="0"/>
              <w:bottom w:val="single" w:color="auto" w:sz="6" w:space="0"/>
              <w:right w:val="single" w:color="auto" w:sz="6" w:space="0"/>
            </w:tcBorders>
            <w:vAlign w:val="center"/>
          </w:tcPr>
          <w:p>
            <w:pPr>
              <w:pStyle w:val="6"/>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平方米</w:t>
            </w:r>
          </w:p>
        </w:tc>
        <w:tc>
          <w:tcPr>
            <w:tcW w:w="1707" w:type="dxa"/>
            <w:tcBorders>
              <w:top w:val="single" w:color="auto" w:sz="6" w:space="0"/>
              <w:left w:val="single" w:color="auto" w:sz="6"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其中：</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自有面积平方米</w:t>
            </w:r>
          </w:p>
          <w:p>
            <w:pPr>
              <w:pStyle w:val="6"/>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承租面积平方米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近三年来完成或正在履行的重大合同情况</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6"/>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最近</w:t>
            </w:r>
            <w:r>
              <w:rPr>
                <w:rFonts w:ascii="Times New Roman" w:hAnsi="Times New Roman"/>
                <w:color w:val="auto"/>
                <w:sz w:val="21"/>
                <w:szCs w:val="21"/>
              </w:rPr>
              <w:t>3</w:t>
            </w:r>
            <w:r>
              <w:rPr>
                <w:rFonts w:hint="eastAsia" w:ascii="Times New Roman" w:hAnsi="Times New Roman"/>
                <w:color w:val="auto"/>
                <w:sz w:val="21"/>
                <w:szCs w:val="21"/>
              </w:rPr>
              <w:t>年内有无因服务或是其他原因被消费者投诉或起诉的情况及说明</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6"/>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63" w:hRule="atLeast"/>
          <w:jc w:val="center"/>
        </w:trPr>
        <w:tc>
          <w:tcPr>
            <w:tcW w:w="2746" w:type="dxa"/>
            <w:tcBorders>
              <w:top w:val="single" w:color="auto" w:sz="6" w:space="0"/>
              <w:left w:val="single" w:color="auto" w:sz="4" w:space="0"/>
              <w:bottom w:val="single" w:color="auto" w:sz="4" w:space="0"/>
              <w:right w:val="single" w:color="auto" w:sz="6" w:space="0"/>
            </w:tcBorders>
            <w:vAlign w:val="center"/>
          </w:tcPr>
          <w:p>
            <w:pPr>
              <w:pStyle w:val="6"/>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其他需要说明的情况</w:t>
            </w:r>
          </w:p>
        </w:tc>
        <w:tc>
          <w:tcPr>
            <w:tcW w:w="6448" w:type="dxa"/>
            <w:gridSpan w:val="4"/>
            <w:tcBorders>
              <w:top w:val="single" w:color="auto" w:sz="6" w:space="0"/>
              <w:left w:val="single" w:color="auto" w:sz="6" w:space="0"/>
              <w:bottom w:val="single" w:color="auto" w:sz="4" w:space="0"/>
              <w:right w:val="single" w:color="auto" w:sz="4" w:space="0"/>
            </w:tcBorders>
            <w:vAlign w:val="center"/>
          </w:tcPr>
          <w:p>
            <w:pPr>
              <w:pStyle w:val="6"/>
              <w:overflowPunct w:val="0"/>
              <w:spacing w:line="240" w:lineRule="auto"/>
              <w:ind w:right="-21" w:rightChars="-10" w:firstLine="0"/>
              <w:rPr>
                <w:rFonts w:ascii="Times New Roman" w:hAnsi="Times New Roman"/>
                <w:color w:val="auto"/>
                <w:sz w:val="21"/>
                <w:szCs w:val="21"/>
              </w:rPr>
            </w:pPr>
          </w:p>
        </w:tc>
      </w:tr>
    </w:tbl>
    <w:p>
      <w:pPr>
        <w:rPr>
          <w:b/>
          <w:bCs/>
          <w:szCs w:val="21"/>
        </w:rPr>
      </w:pPr>
    </w:p>
    <w:p>
      <w:pPr>
        <w:snapToGrid w:val="0"/>
        <w:spacing w:line="360" w:lineRule="auto"/>
        <w:rPr>
          <w:rFonts w:ascii="宋体"/>
          <w:szCs w:val="21"/>
        </w:rPr>
      </w:pPr>
    </w:p>
    <w:p>
      <w:pPr>
        <w:snapToGrid w:val="0"/>
        <w:spacing w:line="360" w:lineRule="auto"/>
        <w:rPr>
          <w:rFonts w:ascii="宋体"/>
          <w:szCs w:val="21"/>
        </w:rPr>
      </w:pPr>
      <w:r>
        <w:rPr>
          <w:rFonts w:hint="eastAsia" w:ascii="宋体" w:hAnsi="宋体"/>
          <w:szCs w:val="21"/>
        </w:rPr>
        <w:t>供应商名称（公章）</w:t>
      </w:r>
      <w:r>
        <w:rPr>
          <w:rFonts w:ascii="宋体" w:hAnsi="宋体"/>
          <w:szCs w:val="21"/>
        </w:rPr>
        <w:t xml:space="preserve">:                </w:t>
      </w:r>
    </w:p>
    <w:p>
      <w:pPr>
        <w:snapToGrid w:val="0"/>
        <w:spacing w:line="360" w:lineRule="auto"/>
        <w:rPr>
          <w:rFonts w:ascii="宋体"/>
          <w:szCs w:val="21"/>
        </w:rPr>
      </w:pPr>
    </w:p>
    <w:p>
      <w:pPr>
        <w:snapToGrid w:val="0"/>
        <w:spacing w:line="360" w:lineRule="auto"/>
        <w:rPr>
          <w:rFonts w:ascii="宋体"/>
          <w:szCs w:val="21"/>
        </w:rPr>
      </w:pPr>
      <w:r>
        <w:rPr>
          <w:rFonts w:hint="eastAsia" w:ascii="宋体" w:hAnsi="宋体"/>
          <w:szCs w:val="21"/>
        </w:rPr>
        <w:t>授权代表人（签字）：</w:t>
      </w:r>
    </w:p>
    <w:p>
      <w:pPr>
        <w:snapToGrid w:val="0"/>
        <w:spacing w:line="360" w:lineRule="auto"/>
        <w:rPr>
          <w:rFonts w:ascii="宋体"/>
          <w:szCs w:val="21"/>
        </w:rPr>
      </w:pPr>
    </w:p>
    <w:p>
      <w:pPr>
        <w:snapToGrid w:val="0"/>
        <w:ind w:right="-21" w:rightChars="-1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w:t>
      </w:r>
      <w:r>
        <w:rPr>
          <w:rFonts w:hint="eastAsia" w:ascii="Times New Roman" w:hAnsi="Times New Roman"/>
          <w:szCs w:val="21"/>
          <w:lang w:val="en-US" w:eastAsia="zh-CN"/>
        </w:rPr>
        <w:t>20</w:t>
      </w: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rPr>
          <w:rFonts w:ascii="宋体"/>
          <w:b/>
          <w:bCs/>
          <w:szCs w:val="21"/>
        </w:rPr>
      </w:pPr>
      <w:r>
        <w:rPr>
          <w:rFonts w:ascii="宋体"/>
          <w:szCs w:val="21"/>
        </w:rPr>
        <w:br w:type="page"/>
      </w:r>
      <w:r>
        <w:rPr>
          <w:rFonts w:hint="eastAsia" w:ascii="宋体" w:hAnsi="宋体"/>
          <w:b/>
          <w:bCs/>
          <w:szCs w:val="21"/>
        </w:rPr>
        <w:t>附件七：</w:t>
      </w:r>
    </w:p>
    <w:p>
      <w:pPr>
        <w:rPr>
          <w:rFonts w:ascii="宋体"/>
          <w:b/>
          <w:bCs/>
          <w:szCs w:val="21"/>
        </w:rPr>
      </w:pPr>
    </w:p>
    <w:p>
      <w:pPr>
        <w:pStyle w:val="39"/>
        <w:ind w:left="0" w:firstLine="0"/>
        <w:jc w:val="center"/>
        <w:rPr>
          <w:b/>
          <w:kern w:val="2"/>
          <w:sz w:val="32"/>
          <w:szCs w:val="32"/>
        </w:rPr>
      </w:pPr>
    </w:p>
    <w:p>
      <w:pPr>
        <w:pStyle w:val="39"/>
        <w:ind w:left="0" w:firstLine="0"/>
        <w:jc w:val="center"/>
        <w:rPr>
          <w:b/>
          <w:kern w:val="2"/>
          <w:sz w:val="32"/>
          <w:szCs w:val="32"/>
        </w:rPr>
      </w:pPr>
    </w:p>
    <w:p>
      <w:pPr>
        <w:pStyle w:val="39"/>
        <w:ind w:left="0" w:firstLine="0"/>
        <w:jc w:val="center"/>
        <w:rPr>
          <w:b/>
          <w:kern w:val="2"/>
          <w:sz w:val="32"/>
          <w:szCs w:val="32"/>
        </w:rPr>
      </w:pPr>
      <w:r>
        <w:rPr>
          <w:rFonts w:hint="eastAsia"/>
          <w:b/>
          <w:kern w:val="2"/>
          <w:sz w:val="32"/>
          <w:szCs w:val="32"/>
        </w:rPr>
        <w:t>企业营业执照</w:t>
      </w:r>
    </w:p>
    <w:p>
      <w:pPr>
        <w:pStyle w:val="39"/>
        <w:ind w:left="0" w:firstLine="0"/>
        <w:jc w:val="center"/>
        <w:rPr>
          <w:b/>
          <w:kern w:val="2"/>
          <w:sz w:val="32"/>
          <w:szCs w:val="32"/>
        </w:rPr>
      </w:pPr>
      <w:r>
        <w:rPr>
          <w:rFonts w:hint="eastAsia"/>
          <w:b/>
          <w:kern w:val="2"/>
          <w:sz w:val="32"/>
          <w:szCs w:val="32"/>
        </w:rPr>
        <w:t>税务登记证</w:t>
      </w:r>
      <w:bookmarkEnd w:id="34"/>
      <w:bookmarkEnd w:id="35"/>
    </w:p>
    <w:p>
      <w:pPr>
        <w:pStyle w:val="39"/>
        <w:ind w:left="0" w:firstLine="0"/>
        <w:jc w:val="center"/>
        <w:rPr>
          <w:b/>
          <w:kern w:val="2"/>
          <w:sz w:val="32"/>
          <w:szCs w:val="32"/>
        </w:rPr>
      </w:pPr>
      <w:r>
        <w:rPr>
          <w:rFonts w:hint="eastAsia"/>
          <w:b/>
          <w:kern w:val="2"/>
          <w:sz w:val="32"/>
          <w:szCs w:val="32"/>
        </w:rPr>
        <w:t>相关资质证书</w:t>
      </w: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jc w:val="center"/>
        <w:rPr>
          <w:rFonts w:ascii="宋体"/>
          <w:b/>
          <w:szCs w:val="21"/>
        </w:rPr>
      </w:pPr>
      <w:r>
        <w:rPr>
          <w:rFonts w:hint="eastAsia" w:ascii="宋体" w:hAnsi="宋体"/>
          <w:b/>
          <w:szCs w:val="21"/>
        </w:rPr>
        <w:t>（复印件加盖公章）</w:t>
      </w: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r>
        <w:rPr>
          <w:rFonts w:hint="eastAsia" w:ascii="宋体" w:hAnsi="宋体"/>
          <w:szCs w:val="21"/>
        </w:rPr>
        <w:t>供应商名称（公章）</w:t>
      </w:r>
      <w:r>
        <w:rPr>
          <w:rFonts w:ascii="宋体" w:hAnsi="宋体"/>
          <w:szCs w:val="21"/>
        </w:rPr>
        <w:t xml:space="preserve">:                </w:t>
      </w: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r>
        <w:rPr>
          <w:rFonts w:hint="eastAsia" w:ascii="宋体" w:hAnsi="宋体"/>
          <w:szCs w:val="21"/>
        </w:rPr>
        <w:t>授权代表人（签字）：</w:t>
      </w:r>
    </w:p>
    <w:p>
      <w:pPr>
        <w:snapToGrid w:val="0"/>
        <w:spacing w:line="360" w:lineRule="auto"/>
        <w:ind w:firstLine="525" w:firstLineChars="250"/>
        <w:rPr>
          <w:rFonts w:ascii="宋体"/>
          <w:szCs w:val="21"/>
        </w:rPr>
      </w:pPr>
    </w:p>
    <w:p>
      <w:pPr>
        <w:snapToGrid w:val="0"/>
        <w:ind w:right="-21" w:rightChars="-10" w:firstLine="420" w:firstLineChars="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w:t>
      </w:r>
      <w:r>
        <w:rPr>
          <w:rFonts w:hint="eastAsia" w:ascii="Times New Roman" w:hAnsi="Times New Roman"/>
          <w:szCs w:val="21"/>
          <w:lang w:val="en-US" w:eastAsia="zh-CN"/>
        </w:rPr>
        <w:t>20</w:t>
      </w: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snapToGrid w:val="0"/>
        <w:spacing w:line="360" w:lineRule="auto"/>
        <w:rPr>
          <w:rFonts w:ascii="宋体"/>
          <w:szCs w:val="21"/>
        </w:rPr>
      </w:pPr>
    </w:p>
    <w:p>
      <w:pPr>
        <w:spacing w:line="360" w:lineRule="auto"/>
        <w:rPr>
          <w:rFonts w:ascii="宋体"/>
        </w:rPr>
      </w:pPr>
    </w:p>
    <w:p>
      <w:pPr>
        <w:spacing w:line="360" w:lineRule="auto"/>
        <w:rPr>
          <w:rFonts w:ascii="宋体"/>
          <w:b/>
          <w:bCs/>
          <w:szCs w:val="21"/>
        </w:rPr>
      </w:pPr>
      <w:r>
        <w:rPr>
          <w:rFonts w:ascii="宋体"/>
        </w:rPr>
        <w:br w:type="page"/>
      </w:r>
      <w:bookmarkStart w:id="36" w:name="_Toc358377765"/>
      <w:bookmarkStart w:id="37" w:name="_Toc361750534"/>
      <w:bookmarkStart w:id="38" w:name="_Toc361750535"/>
      <w:bookmarkStart w:id="39" w:name="_Toc358377766"/>
      <w:r>
        <w:rPr>
          <w:rFonts w:hint="eastAsia" w:ascii="宋体" w:hAnsi="宋体"/>
          <w:b/>
          <w:bCs/>
          <w:szCs w:val="21"/>
        </w:rPr>
        <w:t>附件八：</w:t>
      </w:r>
    </w:p>
    <w:p>
      <w:pPr>
        <w:jc w:val="center"/>
        <w:rPr>
          <w:b/>
          <w:bCs/>
          <w:sz w:val="32"/>
        </w:rPr>
      </w:pPr>
      <w:r>
        <w:rPr>
          <w:rFonts w:hint="eastAsia"/>
          <w:b/>
          <w:bCs/>
          <w:sz w:val="32"/>
        </w:rPr>
        <w:t>类似服务业绩</w:t>
      </w:r>
    </w:p>
    <w:p>
      <w:pPr>
        <w:rPr>
          <w:b/>
          <w:bCs/>
          <w:sz w:val="32"/>
        </w:rPr>
      </w:pPr>
    </w:p>
    <w:p>
      <w:pPr>
        <w:snapToGrid w:val="0"/>
        <w:spacing w:line="360" w:lineRule="auto"/>
        <w:ind w:firstLine="315" w:firstLineChars="150"/>
        <w:rPr>
          <w:rFonts w:ascii="宋体" w:cs="宋体"/>
          <w:szCs w:val="21"/>
          <w:u w:val="single"/>
        </w:rPr>
      </w:pPr>
      <w:r>
        <w:rPr>
          <w:rFonts w:hint="eastAsia" w:ascii="宋体" w:hAnsi="宋体" w:cs="宋体"/>
          <w:szCs w:val="21"/>
        </w:rPr>
        <w:t>项目名称：</w:t>
      </w:r>
      <w:r>
        <w:rPr>
          <w:rFonts w:hint="eastAsia" w:ascii="宋体" w:hAnsi="宋体"/>
          <w:szCs w:val="21"/>
          <w:u w:val="single"/>
        </w:rPr>
        <w:t>浙江财经大学企业竞争模拟系统等软件采购项目</w:t>
      </w:r>
    </w:p>
    <w:p>
      <w:pPr>
        <w:snapToGrid w:val="0"/>
        <w:spacing w:line="360" w:lineRule="auto"/>
        <w:ind w:firstLine="315" w:firstLineChars="150"/>
        <w:rPr>
          <w:rFonts w:hint="default" w:ascii="宋体" w:eastAsia="宋体" w:cs="宋体"/>
          <w:szCs w:val="21"/>
          <w:lang w:val="en-US" w:eastAsia="zh-CN"/>
        </w:rPr>
      </w:pPr>
      <w:r>
        <w:rPr>
          <w:rFonts w:hint="eastAsia" w:ascii="宋体" w:hAnsi="宋体" w:cs="宋体"/>
          <w:szCs w:val="21"/>
        </w:rPr>
        <w:t>招标编号：</w:t>
      </w:r>
      <w:r>
        <w:rPr>
          <w:rFonts w:hint="eastAsia" w:ascii="Times New Roman" w:hAnsi="Times New Roman"/>
          <w:szCs w:val="21"/>
          <w:u w:val="single"/>
        </w:rPr>
        <w:t>浙财大</w:t>
      </w:r>
      <w:r>
        <w:rPr>
          <w:rFonts w:ascii="Times New Roman" w:hAnsi="Times New Roman"/>
          <w:szCs w:val="21"/>
          <w:u w:val="single"/>
        </w:rPr>
        <w:t>20</w:t>
      </w:r>
      <w:r>
        <w:rPr>
          <w:rFonts w:hint="eastAsia" w:ascii="Times New Roman" w:hAnsi="Times New Roman"/>
          <w:szCs w:val="21"/>
          <w:u w:val="single"/>
          <w:lang w:val="en-US" w:eastAsia="zh-CN"/>
        </w:rPr>
        <w:t>20</w:t>
      </w:r>
      <w:r>
        <w:rPr>
          <w:rFonts w:ascii="Times New Roman" w:hAnsi="Times New Roman"/>
          <w:szCs w:val="21"/>
          <w:u w:val="single"/>
        </w:rPr>
        <w:t>-1</w:t>
      </w:r>
      <w:r>
        <w:rPr>
          <w:rFonts w:hint="eastAsia" w:ascii="Times New Roman" w:hAnsi="Times New Roman"/>
          <w:szCs w:val="21"/>
          <w:u w:val="single"/>
          <w:lang w:val="en-US" w:eastAsia="zh-CN"/>
        </w:rPr>
        <w:t>6</w:t>
      </w:r>
    </w:p>
    <w:p>
      <w:pPr>
        <w:rPr>
          <w:rFonts w:ascii="宋体" w:cs="宋体"/>
          <w:szCs w:val="21"/>
        </w:rPr>
      </w:pPr>
    </w:p>
    <w:tbl>
      <w:tblPr>
        <w:tblStyle w:val="1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324"/>
        <w:gridCol w:w="1256"/>
        <w:gridCol w:w="1899"/>
        <w:gridCol w:w="170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6" w:type="dxa"/>
            <w:vAlign w:val="center"/>
          </w:tcPr>
          <w:p>
            <w:pPr>
              <w:jc w:val="center"/>
              <w:rPr>
                <w:rFonts w:ascii="Times New Roman" w:hAnsi="Times New Roman"/>
                <w:b/>
                <w:bCs/>
                <w:szCs w:val="21"/>
              </w:rPr>
            </w:pPr>
            <w:r>
              <w:rPr>
                <w:rFonts w:hint="eastAsia" w:ascii="Times New Roman" w:hAnsi="Times New Roman"/>
                <w:b/>
                <w:bCs/>
                <w:szCs w:val="21"/>
              </w:rPr>
              <w:t>序号</w:t>
            </w:r>
          </w:p>
        </w:tc>
        <w:tc>
          <w:tcPr>
            <w:tcW w:w="2324" w:type="dxa"/>
            <w:vAlign w:val="center"/>
          </w:tcPr>
          <w:p>
            <w:pPr>
              <w:jc w:val="center"/>
              <w:rPr>
                <w:rFonts w:ascii="Times New Roman" w:hAnsi="Times New Roman"/>
                <w:b/>
                <w:bCs/>
                <w:szCs w:val="21"/>
              </w:rPr>
            </w:pPr>
            <w:r>
              <w:rPr>
                <w:rFonts w:hint="eastAsia" w:ascii="Times New Roman" w:hAnsi="Times New Roman"/>
                <w:b/>
                <w:bCs/>
                <w:szCs w:val="21"/>
              </w:rPr>
              <w:t>需方单位</w:t>
            </w:r>
          </w:p>
        </w:tc>
        <w:tc>
          <w:tcPr>
            <w:tcW w:w="1256" w:type="dxa"/>
            <w:vAlign w:val="center"/>
          </w:tcPr>
          <w:p>
            <w:pPr>
              <w:jc w:val="center"/>
              <w:rPr>
                <w:rFonts w:ascii="Times New Roman" w:hAnsi="Times New Roman"/>
                <w:b/>
                <w:bCs/>
                <w:szCs w:val="21"/>
              </w:rPr>
            </w:pPr>
            <w:r>
              <w:rPr>
                <w:rFonts w:hint="eastAsia" w:ascii="Times New Roman" w:hAnsi="Times New Roman"/>
                <w:b/>
                <w:bCs/>
                <w:szCs w:val="21"/>
              </w:rPr>
              <w:t>联系人</w:t>
            </w:r>
          </w:p>
        </w:tc>
        <w:tc>
          <w:tcPr>
            <w:tcW w:w="1899" w:type="dxa"/>
            <w:vAlign w:val="center"/>
          </w:tcPr>
          <w:p>
            <w:pPr>
              <w:jc w:val="center"/>
              <w:rPr>
                <w:rFonts w:ascii="Times New Roman" w:hAnsi="Times New Roman"/>
                <w:b/>
                <w:bCs/>
                <w:szCs w:val="21"/>
              </w:rPr>
            </w:pPr>
            <w:r>
              <w:rPr>
                <w:rFonts w:hint="eastAsia" w:ascii="Times New Roman" w:hAnsi="Times New Roman"/>
                <w:b/>
                <w:bCs/>
                <w:szCs w:val="21"/>
              </w:rPr>
              <w:t>联系电话</w:t>
            </w:r>
          </w:p>
        </w:tc>
        <w:tc>
          <w:tcPr>
            <w:tcW w:w="1703" w:type="dxa"/>
            <w:vAlign w:val="center"/>
          </w:tcPr>
          <w:p>
            <w:pPr>
              <w:jc w:val="center"/>
              <w:rPr>
                <w:rFonts w:ascii="Times New Roman" w:hAnsi="Times New Roman"/>
                <w:b/>
                <w:bCs/>
                <w:szCs w:val="21"/>
              </w:rPr>
            </w:pPr>
            <w:r>
              <w:rPr>
                <w:rFonts w:hint="eastAsia" w:ascii="Times New Roman" w:hAnsi="Times New Roman"/>
                <w:b/>
                <w:bCs/>
                <w:szCs w:val="21"/>
              </w:rPr>
              <w:t>合同签订时间</w:t>
            </w:r>
          </w:p>
        </w:tc>
        <w:tc>
          <w:tcPr>
            <w:tcW w:w="691" w:type="dxa"/>
            <w:vAlign w:val="center"/>
          </w:tcPr>
          <w:p>
            <w:pPr>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1</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2</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3</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4</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5</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6</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7</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8</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9</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10</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bl>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bookmarkEnd w:id="36"/>
    <w:bookmarkEnd w:id="37"/>
    <w:p>
      <w:pPr>
        <w:spacing w:line="360" w:lineRule="auto"/>
        <w:ind w:firstLine="420" w:firstLineChars="200"/>
        <w:rPr>
          <w:rFonts w:ascii="宋体" w:cs="宋体"/>
          <w:szCs w:val="21"/>
        </w:rPr>
      </w:pPr>
    </w:p>
    <w:p>
      <w:pPr>
        <w:spacing w:line="360" w:lineRule="auto"/>
        <w:ind w:firstLine="420" w:firstLineChars="200"/>
        <w:rPr>
          <w:rFonts w:ascii="Times New Roman" w:hAnsi="Times New Roman"/>
          <w:szCs w:val="21"/>
        </w:rPr>
      </w:pPr>
      <w:r>
        <w:rPr>
          <w:rFonts w:hint="eastAsia" w:ascii="Times New Roman" w:hAnsi="Times New Roman"/>
          <w:szCs w:val="21"/>
        </w:rPr>
        <w:t>供应商名称（公章）：</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授权代表人（签字）：</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w:t>
      </w:r>
      <w:r>
        <w:rPr>
          <w:rFonts w:hint="eastAsia" w:ascii="Times New Roman" w:hAnsi="Times New Roman"/>
          <w:szCs w:val="21"/>
          <w:lang w:val="en-US" w:eastAsia="zh-CN"/>
        </w:rPr>
        <w:t>20</w:t>
      </w: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pStyle w:val="4"/>
        <w:ind w:firstLine="562"/>
      </w:pPr>
      <w:r>
        <w:rPr>
          <w:sz w:val="28"/>
          <w:szCs w:val="28"/>
        </w:rPr>
        <w:br w:type="page"/>
      </w:r>
      <w:r>
        <w:rPr>
          <w:rFonts w:hint="eastAsia"/>
        </w:rPr>
        <w:t>附件六：</w:t>
      </w:r>
    </w:p>
    <w:p>
      <w:pPr>
        <w:jc w:val="center"/>
        <w:rPr>
          <w:b/>
          <w:bCs/>
          <w:sz w:val="32"/>
        </w:rPr>
      </w:pPr>
    </w:p>
    <w:p>
      <w:pPr>
        <w:jc w:val="center"/>
        <w:rPr>
          <w:b/>
          <w:bCs/>
          <w:sz w:val="32"/>
        </w:rPr>
      </w:pPr>
    </w:p>
    <w:p>
      <w:pPr>
        <w:jc w:val="center"/>
        <w:rPr>
          <w:b/>
          <w:bCs/>
          <w:sz w:val="32"/>
        </w:rPr>
      </w:pPr>
    </w:p>
    <w:p>
      <w:pPr>
        <w:snapToGrid w:val="0"/>
        <w:spacing w:line="360" w:lineRule="auto"/>
        <w:jc w:val="center"/>
        <w:rPr>
          <w:b/>
          <w:bCs/>
          <w:sz w:val="32"/>
        </w:rPr>
      </w:pPr>
      <w:r>
        <w:rPr>
          <w:rFonts w:hint="eastAsia"/>
          <w:b/>
          <w:bCs/>
          <w:sz w:val="32"/>
        </w:rPr>
        <w:t>服务承诺（服务方案）及</w:t>
      </w:r>
    </w:p>
    <w:p>
      <w:pPr>
        <w:snapToGrid w:val="0"/>
        <w:spacing w:line="360" w:lineRule="auto"/>
        <w:jc w:val="center"/>
        <w:rPr>
          <w:b/>
          <w:bCs/>
          <w:sz w:val="32"/>
        </w:rPr>
      </w:pPr>
      <w:r>
        <w:rPr>
          <w:rFonts w:hint="eastAsia"/>
          <w:b/>
          <w:bCs/>
          <w:sz w:val="32"/>
        </w:rPr>
        <w:t>公司介绍及获得的荣誉</w:t>
      </w:r>
    </w:p>
    <w:bookmarkEnd w:id="38"/>
    <w:bookmarkEnd w:id="39"/>
    <w:p/>
    <w:p/>
    <w:p/>
    <w:p>
      <w:pPr>
        <w:pStyle w:val="10"/>
        <w:spacing w:before="120" w:after="120"/>
        <w:jc w:val="center"/>
      </w:pPr>
      <w:r>
        <w:rPr>
          <w:rFonts w:hint="eastAsia"/>
        </w:rPr>
        <w:t>（内容由供应商自行编写，格式自拟）</w:t>
      </w:r>
    </w:p>
    <w:p/>
    <w:p/>
    <w:p/>
    <w:p>
      <w:pPr>
        <w:spacing w:line="360" w:lineRule="auto"/>
        <w:ind w:firstLine="420" w:firstLineChars="200"/>
        <w:rPr>
          <w:rFonts w:ascii="宋体"/>
          <w:szCs w:val="21"/>
        </w:rPr>
      </w:pPr>
      <w:bookmarkStart w:id="40" w:name="_Toc361750536"/>
      <w:bookmarkStart w:id="41" w:name="_Toc358377767"/>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Times New Roman" w:hAnsi="Times New Roman"/>
          <w:szCs w:val="21"/>
        </w:rPr>
      </w:pPr>
      <w:r>
        <w:rPr>
          <w:rFonts w:hint="eastAsia" w:ascii="Times New Roman" w:hAnsi="Times New Roman"/>
          <w:szCs w:val="21"/>
        </w:rPr>
        <w:t>供应商名称（公章）：</w:t>
      </w:r>
    </w:p>
    <w:p>
      <w:pPr>
        <w:spacing w:line="360" w:lineRule="auto"/>
        <w:ind w:firstLine="420" w:firstLineChars="200"/>
        <w:rPr>
          <w:rFonts w:ascii="Times New Roman" w:hAnsi="Times New Roman"/>
          <w:szCs w:val="21"/>
        </w:rPr>
      </w:pPr>
    </w:p>
    <w:p>
      <w:pPr>
        <w:spacing w:line="360" w:lineRule="auto"/>
        <w:ind w:firstLine="4620" w:firstLineChars="2200"/>
        <w:rPr>
          <w:rFonts w:ascii="Times New Roman" w:hAnsi="Times New Roman"/>
          <w:szCs w:val="21"/>
        </w:rPr>
      </w:pPr>
      <w:r>
        <w:rPr>
          <w:rFonts w:hint="eastAsia" w:ascii="Times New Roman" w:hAnsi="Times New Roman"/>
          <w:szCs w:val="21"/>
        </w:rPr>
        <w:t>授权代表人（签字）：</w:t>
      </w:r>
    </w:p>
    <w:p>
      <w:pPr>
        <w:spacing w:line="360" w:lineRule="auto"/>
        <w:ind w:firstLine="4620" w:firstLineChars="2200"/>
        <w:rPr>
          <w:rFonts w:ascii="Times New Roman" w:hAnsi="Times New Roman"/>
          <w:szCs w:val="21"/>
        </w:rPr>
      </w:pPr>
    </w:p>
    <w:p>
      <w:pPr>
        <w:spacing w:line="360" w:lineRule="auto"/>
        <w:ind w:firstLine="4620" w:firstLineChars="2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w:t>
      </w:r>
      <w:r>
        <w:rPr>
          <w:rFonts w:hint="eastAsia" w:ascii="Times New Roman" w:hAnsi="Times New Roman"/>
          <w:szCs w:val="21"/>
          <w:lang w:val="en-US" w:eastAsia="zh-CN"/>
        </w:rPr>
        <w:t>20</w:t>
      </w: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rPr>
          <w:szCs w:val="21"/>
        </w:rPr>
      </w:pPr>
    </w:p>
    <w:p>
      <w:pPr>
        <w:rPr>
          <w:szCs w:val="21"/>
        </w:rPr>
      </w:pPr>
    </w:p>
    <w:p>
      <w:pPr>
        <w:rPr>
          <w:szCs w:val="21"/>
        </w:rPr>
      </w:pPr>
    </w:p>
    <w:p>
      <w:pPr>
        <w:pStyle w:val="4"/>
        <w:ind w:firstLine="482"/>
      </w:pPr>
      <w:r>
        <w:br w:type="page"/>
      </w:r>
      <w:bookmarkEnd w:id="40"/>
      <w:bookmarkEnd w:id="41"/>
      <w:bookmarkStart w:id="42" w:name="_Toc361750537"/>
      <w:bookmarkStart w:id="43" w:name="_Toc358377768"/>
      <w:r>
        <w:rPr>
          <w:rFonts w:hint="eastAsia"/>
        </w:rPr>
        <w:t>附件七：</w:t>
      </w:r>
    </w:p>
    <w:p>
      <w:pPr>
        <w:snapToGrid w:val="0"/>
        <w:jc w:val="center"/>
        <w:rPr>
          <w:b/>
          <w:bCs/>
          <w:sz w:val="32"/>
        </w:rPr>
      </w:pPr>
    </w:p>
    <w:p>
      <w:pPr>
        <w:snapToGrid w:val="0"/>
        <w:jc w:val="center"/>
        <w:rPr>
          <w:b/>
          <w:bCs/>
          <w:sz w:val="32"/>
        </w:rPr>
      </w:pPr>
    </w:p>
    <w:p>
      <w:pPr>
        <w:snapToGrid w:val="0"/>
        <w:jc w:val="center"/>
        <w:rPr>
          <w:b/>
          <w:bCs/>
          <w:sz w:val="32"/>
        </w:rPr>
      </w:pPr>
      <w:r>
        <w:rPr>
          <w:rFonts w:hint="eastAsia"/>
          <w:b/>
          <w:bCs/>
          <w:sz w:val="32"/>
        </w:rPr>
        <w:t>供应商认为需要的提供的其他文件或说明</w:t>
      </w:r>
      <w:bookmarkEnd w:id="42"/>
      <w:bookmarkEnd w:id="43"/>
    </w:p>
    <w:p>
      <w:pPr>
        <w:spacing w:line="360" w:lineRule="auto"/>
        <w:rPr>
          <w:rFonts w:ascii="宋体"/>
        </w:rPr>
      </w:pPr>
    </w:p>
    <w:p>
      <w:pPr>
        <w:pStyle w:val="3"/>
        <w:rPr>
          <w:rFonts w:ascii="宋体"/>
          <w:lang w:val="zh-CN"/>
        </w:rPr>
      </w:pP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16</w:t>
    </w:r>
    <w:r>
      <w:rPr>
        <w:rFonts w:ascii="Times New Roman" w:hAnsi="Times New Roma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781116"/>
      <w:docPartObj>
        <w:docPartGallery w:val="autotext"/>
      </w:docPartObj>
    </w:sdtPr>
    <w:sdtContent>
      <w:p>
        <w:pPr>
          <w:pStyle w:val="13"/>
          <w:jc w:val="center"/>
        </w:pPr>
        <w:r>
          <w:fldChar w:fldCharType="begin"/>
        </w:r>
        <w:r>
          <w:instrText xml:space="preserve">PAGE   \* MERGEFORMAT</w:instrText>
        </w:r>
        <w:r>
          <w:fldChar w:fldCharType="separate"/>
        </w:r>
        <w:r>
          <w:rPr>
            <w:lang w:val="zh-CN"/>
          </w:rPr>
          <w:t>20</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140F68"/>
    <w:multiLevelType w:val="singleLevel"/>
    <w:tmpl w:val="D2140F68"/>
    <w:lvl w:ilvl="0" w:tentative="0">
      <w:start w:val="4"/>
      <w:numFmt w:val="decimal"/>
      <w:suff w:val="nothing"/>
      <w:lvlText w:val="%1）"/>
      <w:lvlJc w:val="left"/>
    </w:lvl>
  </w:abstractNum>
  <w:abstractNum w:abstractNumId="1">
    <w:nsid w:val="0D135C4C"/>
    <w:multiLevelType w:val="singleLevel"/>
    <w:tmpl w:val="0D135C4C"/>
    <w:lvl w:ilvl="0" w:tentative="0">
      <w:start w:val="8"/>
      <w:numFmt w:val="decimal"/>
      <w:suff w:val="nothing"/>
      <w:lvlText w:val="%1）"/>
      <w:lvlJc w:val="left"/>
    </w:lvl>
  </w:abstractNum>
  <w:abstractNum w:abstractNumId="2">
    <w:nsid w:val="1BDD30C7"/>
    <w:multiLevelType w:val="singleLevel"/>
    <w:tmpl w:val="1BDD30C7"/>
    <w:lvl w:ilvl="0" w:tentative="0">
      <w:start w:val="1"/>
      <w:numFmt w:val="decimal"/>
      <w:suff w:val="nothing"/>
      <w:lvlText w:val="（%1）"/>
      <w:lvlJc w:val="left"/>
    </w:lvl>
  </w:abstractNum>
  <w:abstractNum w:abstractNumId="3">
    <w:nsid w:val="757DE306"/>
    <w:multiLevelType w:val="singleLevel"/>
    <w:tmpl w:val="757DE30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F7AA5"/>
    <w:rsid w:val="00022CAE"/>
    <w:rsid w:val="0003230B"/>
    <w:rsid w:val="00032B77"/>
    <w:rsid w:val="000423FD"/>
    <w:rsid w:val="000615D2"/>
    <w:rsid w:val="00064165"/>
    <w:rsid w:val="000712CA"/>
    <w:rsid w:val="00076F37"/>
    <w:rsid w:val="000810B8"/>
    <w:rsid w:val="000835CA"/>
    <w:rsid w:val="00094C86"/>
    <w:rsid w:val="000D16D7"/>
    <w:rsid w:val="000D59A2"/>
    <w:rsid w:val="000E29D4"/>
    <w:rsid w:val="00100E21"/>
    <w:rsid w:val="00104496"/>
    <w:rsid w:val="00113107"/>
    <w:rsid w:val="00117F21"/>
    <w:rsid w:val="00134974"/>
    <w:rsid w:val="00142C6E"/>
    <w:rsid w:val="00142DDA"/>
    <w:rsid w:val="00150FA7"/>
    <w:rsid w:val="00164D7A"/>
    <w:rsid w:val="00176214"/>
    <w:rsid w:val="00176DBD"/>
    <w:rsid w:val="00194037"/>
    <w:rsid w:val="001D1232"/>
    <w:rsid w:val="001E4C63"/>
    <w:rsid w:val="001E4EBE"/>
    <w:rsid w:val="002050B4"/>
    <w:rsid w:val="00216549"/>
    <w:rsid w:val="0022141B"/>
    <w:rsid w:val="0023129A"/>
    <w:rsid w:val="002361CB"/>
    <w:rsid w:val="002436D6"/>
    <w:rsid w:val="00247573"/>
    <w:rsid w:val="00253DB0"/>
    <w:rsid w:val="00255DA8"/>
    <w:rsid w:val="0029430B"/>
    <w:rsid w:val="002B0562"/>
    <w:rsid w:val="002C5F2A"/>
    <w:rsid w:val="002D2576"/>
    <w:rsid w:val="002D3D36"/>
    <w:rsid w:val="002E1E59"/>
    <w:rsid w:val="002E7A50"/>
    <w:rsid w:val="002F7007"/>
    <w:rsid w:val="002F7639"/>
    <w:rsid w:val="00313D10"/>
    <w:rsid w:val="00332AD5"/>
    <w:rsid w:val="003425A2"/>
    <w:rsid w:val="0035163E"/>
    <w:rsid w:val="00365EFD"/>
    <w:rsid w:val="00383322"/>
    <w:rsid w:val="00383730"/>
    <w:rsid w:val="00385603"/>
    <w:rsid w:val="00386A50"/>
    <w:rsid w:val="003A3D6E"/>
    <w:rsid w:val="003F37D3"/>
    <w:rsid w:val="003F6E40"/>
    <w:rsid w:val="00432223"/>
    <w:rsid w:val="004334DB"/>
    <w:rsid w:val="0045669A"/>
    <w:rsid w:val="00463BD4"/>
    <w:rsid w:val="00464703"/>
    <w:rsid w:val="0047591A"/>
    <w:rsid w:val="004767B3"/>
    <w:rsid w:val="00481D4A"/>
    <w:rsid w:val="004831C3"/>
    <w:rsid w:val="004851A2"/>
    <w:rsid w:val="004A173D"/>
    <w:rsid w:val="004A2281"/>
    <w:rsid w:val="004C2760"/>
    <w:rsid w:val="004D194C"/>
    <w:rsid w:val="004D3DC0"/>
    <w:rsid w:val="004E4D31"/>
    <w:rsid w:val="004E6FC7"/>
    <w:rsid w:val="004E7304"/>
    <w:rsid w:val="004F2CA9"/>
    <w:rsid w:val="00522EDB"/>
    <w:rsid w:val="0053561B"/>
    <w:rsid w:val="0053645C"/>
    <w:rsid w:val="00550657"/>
    <w:rsid w:val="00573A4F"/>
    <w:rsid w:val="005A3C7C"/>
    <w:rsid w:val="005B2E18"/>
    <w:rsid w:val="005B70F3"/>
    <w:rsid w:val="005C3006"/>
    <w:rsid w:val="005E1B4A"/>
    <w:rsid w:val="00600B44"/>
    <w:rsid w:val="0062316A"/>
    <w:rsid w:val="00651188"/>
    <w:rsid w:val="006534B8"/>
    <w:rsid w:val="00654E23"/>
    <w:rsid w:val="00672FDD"/>
    <w:rsid w:val="00672FFB"/>
    <w:rsid w:val="006829B7"/>
    <w:rsid w:val="00690BF5"/>
    <w:rsid w:val="00697F6C"/>
    <w:rsid w:val="006A4F6A"/>
    <w:rsid w:val="006A5D7D"/>
    <w:rsid w:val="006C4900"/>
    <w:rsid w:val="006C6293"/>
    <w:rsid w:val="006D2E0B"/>
    <w:rsid w:val="006E2560"/>
    <w:rsid w:val="006F545A"/>
    <w:rsid w:val="006F5BE2"/>
    <w:rsid w:val="007233E5"/>
    <w:rsid w:val="007247C0"/>
    <w:rsid w:val="00731627"/>
    <w:rsid w:val="00741348"/>
    <w:rsid w:val="00747ECC"/>
    <w:rsid w:val="00750681"/>
    <w:rsid w:val="00753B9A"/>
    <w:rsid w:val="00771CB9"/>
    <w:rsid w:val="00781EB6"/>
    <w:rsid w:val="007973D7"/>
    <w:rsid w:val="007B11B7"/>
    <w:rsid w:val="007C2EFC"/>
    <w:rsid w:val="007D6591"/>
    <w:rsid w:val="007E3797"/>
    <w:rsid w:val="007E45A0"/>
    <w:rsid w:val="007F2403"/>
    <w:rsid w:val="007F52E9"/>
    <w:rsid w:val="008164D1"/>
    <w:rsid w:val="0082627D"/>
    <w:rsid w:val="00834497"/>
    <w:rsid w:val="00853706"/>
    <w:rsid w:val="008605B5"/>
    <w:rsid w:val="0086366E"/>
    <w:rsid w:val="00870E42"/>
    <w:rsid w:val="00871EF7"/>
    <w:rsid w:val="00893011"/>
    <w:rsid w:val="008A0E22"/>
    <w:rsid w:val="008A0F81"/>
    <w:rsid w:val="008A7F0E"/>
    <w:rsid w:val="008B5411"/>
    <w:rsid w:val="008C0451"/>
    <w:rsid w:val="008D7239"/>
    <w:rsid w:val="008F199B"/>
    <w:rsid w:val="00906C42"/>
    <w:rsid w:val="00915397"/>
    <w:rsid w:val="009244AB"/>
    <w:rsid w:val="00940235"/>
    <w:rsid w:val="00956806"/>
    <w:rsid w:val="00960B30"/>
    <w:rsid w:val="00970F60"/>
    <w:rsid w:val="00983F3C"/>
    <w:rsid w:val="009B1522"/>
    <w:rsid w:val="009D3CD6"/>
    <w:rsid w:val="009E32BC"/>
    <w:rsid w:val="00A22790"/>
    <w:rsid w:val="00A445B9"/>
    <w:rsid w:val="00A44A0D"/>
    <w:rsid w:val="00A61183"/>
    <w:rsid w:val="00A64AB9"/>
    <w:rsid w:val="00A66503"/>
    <w:rsid w:val="00A80479"/>
    <w:rsid w:val="00A86D96"/>
    <w:rsid w:val="00A93464"/>
    <w:rsid w:val="00AB1868"/>
    <w:rsid w:val="00AC6D4E"/>
    <w:rsid w:val="00AE2AC3"/>
    <w:rsid w:val="00AE4A1A"/>
    <w:rsid w:val="00AF2047"/>
    <w:rsid w:val="00AF3547"/>
    <w:rsid w:val="00B038A1"/>
    <w:rsid w:val="00B20F8C"/>
    <w:rsid w:val="00B24B03"/>
    <w:rsid w:val="00B32450"/>
    <w:rsid w:val="00B360B2"/>
    <w:rsid w:val="00B5064D"/>
    <w:rsid w:val="00B7559E"/>
    <w:rsid w:val="00B83009"/>
    <w:rsid w:val="00B84A41"/>
    <w:rsid w:val="00B864FA"/>
    <w:rsid w:val="00B94D2E"/>
    <w:rsid w:val="00B94F79"/>
    <w:rsid w:val="00B963C9"/>
    <w:rsid w:val="00B964D4"/>
    <w:rsid w:val="00B97606"/>
    <w:rsid w:val="00BB45C0"/>
    <w:rsid w:val="00BC2592"/>
    <w:rsid w:val="00BC25B6"/>
    <w:rsid w:val="00BC4378"/>
    <w:rsid w:val="00BD482E"/>
    <w:rsid w:val="00BE4E18"/>
    <w:rsid w:val="00BF21DC"/>
    <w:rsid w:val="00C05B06"/>
    <w:rsid w:val="00C161D1"/>
    <w:rsid w:val="00C16775"/>
    <w:rsid w:val="00C20494"/>
    <w:rsid w:val="00C35AA5"/>
    <w:rsid w:val="00C430B8"/>
    <w:rsid w:val="00C63173"/>
    <w:rsid w:val="00C707EE"/>
    <w:rsid w:val="00C7452E"/>
    <w:rsid w:val="00C76519"/>
    <w:rsid w:val="00C77450"/>
    <w:rsid w:val="00C814DC"/>
    <w:rsid w:val="00CA4CAF"/>
    <w:rsid w:val="00CB7BA5"/>
    <w:rsid w:val="00CD2A90"/>
    <w:rsid w:val="00CE6D32"/>
    <w:rsid w:val="00CF4CA7"/>
    <w:rsid w:val="00D31C1C"/>
    <w:rsid w:val="00D3497D"/>
    <w:rsid w:val="00D34C83"/>
    <w:rsid w:val="00D43013"/>
    <w:rsid w:val="00D60B98"/>
    <w:rsid w:val="00D70039"/>
    <w:rsid w:val="00D72CEE"/>
    <w:rsid w:val="00D74BAD"/>
    <w:rsid w:val="00D75117"/>
    <w:rsid w:val="00D77CDE"/>
    <w:rsid w:val="00D92BB5"/>
    <w:rsid w:val="00D9462F"/>
    <w:rsid w:val="00DB7398"/>
    <w:rsid w:val="00DD3D47"/>
    <w:rsid w:val="00DE01B4"/>
    <w:rsid w:val="00DE410C"/>
    <w:rsid w:val="00DF7FE7"/>
    <w:rsid w:val="00E017D2"/>
    <w:rsid w:val="00E144EF"/>
    <w:rsid w:val="00E210CE"/>
    <w:rsid w:val="00E33C83"/>
    <w:rsid w:val="00E507CD"/>
    <w:rsid w:val="00E65A99"/>
    <w:rsid w:val="00E91FCE"/>
    <w:rsid w:val="00E96A84"/>
    <w:rsid w:val="00EB1153"/>
    <w:rsid w:val="00EB1E1B"/>
    <w:rsid w:val="00EE6C0C"/>
    <w:rsid w:val="00F04C41"/>
    <w:rsid w:val="00F10F32"/>
    <w:rsid w:val="00F43E3A"/>
    <w:rsid w:val="00F80764"/>
    <w:rsid w:val="00F86DD8"/>
    <w:rsid w:val="00F87715"/>
    <w:rsid w:val="00FA3E6E"/>
    <w:rsid w:val="00FA47FE"/>
    <w:rsid w:val="00FA5286"/>
    <w:rsid w:val="00FB0898"/>
    <w:rsid w:val="00FC46AB"/>
    <w:rsid w:val="00FC647C"/>
    <w:rsid w:val="00FD7337"/>
    <w:rsid w:val="00FE204F"/>
    <w:rsid w:val="00FE436C"/>
    <w:rsid w:val="022F7BDD"/>
    <w:rsid w:val="024E50B1"/>
    <w:rsid w:val="043A7E62"/>
    <w:rsid w:val="05550EAE"/>
    <w:rsid w:val="07AC122D"/>
    <w:rsid w:val="08903665"/>
    <w:rsid w:val="0CDC6D42"/>
    <w:rsid w:val="0D404162"/>
    <w:rsid w:val="0D7777D2"/>
    <w:rsid w:val="0F0D04A2"/>
    <w:rsid w:val="105F3C59"/>
    <w:rsid w:val="10951B0B"/>
    <w:rsid w:val="112403C6"/>
    <w:rsid w:val="120846F7"/>
    <w:rsid w:val="12B25738"/>
    <w:rsid w:val="1334692E"/>
    <w:rsid w:val="14632733"/>
    <w:rsid w:val="14BF393E"/>
    <w:rsid w:val="152B3FC1"/>
    <w:rsid w:val="15CF1CBE"/>
    <w:rsid w:val="17B579C4"/>
    <w:rsid w:val="195B0FF0"/>
    <w:rsid w:val="19CB34E3"/>
    <w:rsid w:val="1A496624"/>
    <w:rsid w:val="1A7839A2"/>
    <w:rsid w:val="1BB26449"/>
    <w:rsid w:val="1C803752"/>
    <w:rsid w:val="1CA10498"/>
    <w:rsid w:val="1CAD621B"/>
    <w:rsid w:val="1D5E0E41"/>
    <w:rsid w:val="1EB14C1F"/>
    <w:rsid w:val="1EB67781"/>
    <w:rsid w:val="1EDD19B6"/>
    <w:rsid w:val="200521CC"/>
    <w:rsid w:val="21231EED"/>
    <w:rsid w:val="222858E0"/>
    <w:rsid w:val="23111A39"/>
    <w:rsid w:val="24E432A2"/>
    <w:rsid w:val="258C0886"/>
    <w:rsid w:val="28031A56"/>
    <w:rsid w:val="28386DEB"/>
    <w:rsid w:val="28727652"/>
    <w:rsid w:val="28B549AB"/>
    <w:rsid w:val="2A2A2BFF"/>
    <w:rsid w:val="2A441C71"/>
    <w:rsid w:val="2A457EB6"/>
    <w:rsid w:val="2A4C40E6"/>
    <w:rsid w:val="2AC45C11"/>
    <w:rsid w:val="2C0F7AA5"/>
    <w:rsid w:val="2C9D748F"/>
    <w:rsid w:val="2E6D0E13"/>
    <w:rsid w:val="2E774579"/>
    <w:rsid w:val="310A5720"/>
    <w:rsid w:val="32806ED0"/>
    <w:rsid w:val="346027BD"/>
    <w:rsid w:val="359C628D"/>
    <w:rsid w:val="3643175E"/>
    <w:rsid w:val="37114AC0"/>
    <w:rsid w:val="393254E2"/>
    <w:rsid w:val="396260CE"/>
    <w:rsid w:val="3A0D4945"/>
    <w:rsid w:val="3AD54085"/>
    <w:rsid w:val="3B422A40"/>
    <w:rsid w:val="3C033D23"/>
    <w:rsid w:val="3DB255BC"/>
    <w:rsid w:val="3F3723CD"/>
    <w:rsid w:val="413D682D"/>
    <w:rsid w:val="42467132"/>
    <w:rsid w:val="428745C5"/>
    <w:rsid w:val="43BC345E"/>
    <w:rsid w:val="461868C4"/>
    <w:rsid w:val="469D5D34"/>
    <w:rsid w:val="4A3B72FD"/>
    <w:rsid w:val="4AD07D8E"/>
    <w:rsid w:val="4BB0766C"/>
    <w:rsid w:val="4BD87224"/>
    <w:rsid w:val="4CD77CBE"/>
    <w:rsid w:val="4D2B180F"/>
    <w:rsid w:val="4DB46A3B"/>
    <w:rsid w:val="502755BF"/>
    <w:rsid w:val="50D32C80"/>
    <w:rsid w:val="51F05043"/>
    <w:rsid w:val="52021224"/>
    <w:rsid w:val="534C49D1"/>
    <w:rsid w:val="537137A2"/>
    <w:rsid w:val="53EB08B6"/>
    <w:rsid w:val="55022C30"/>
    <w:rsid w:val="55BC3491"/>
    <w:rsid w:val="56103D2C"/>
    <w:rsid w:val="56184BE7"/>
    <w:rsid w:val="5872501E"/>
    <w:rsid w:val="589E23DB"/>
    <w:rsid w:val="591558E7"/>
    <w:rsid w:val="59947D6E"/>
    <w:rsid w:val="5AD10AA6"/>
    <w:rsid w:val="5C1E3998"/>
    <w:rsid w:val="5D142442"/>
    <w:rsid w:val="5EA404CC"/>
    <w:rsid w:val="601E586F"/>
    <w:rsid w:val="621C1CC1"/>
    <w:rsid w:val="62977CAF"/>
    <w:rsid w:val="63661202"/>
    <w:rsid w:val="63B0565D"/>
    <w:rsid w:val="63FB5264"/>
    <w:rsid w:val="650B543B"/>
    <w:rsid w:val="660E4841"/>
    <w:rsid w:val="6665638E"/>
    <w:rsid w:val="682B1178"/>
    <w:rsid w:val="692C07CD"/>
    <w:rsid w:val="6A704DDC"/>
    <w:rsid w:val="6B1516E0"/>
    <w:rsid w:val="6B2C091D"/>
    <w:rsid w:val="6C014B24"/>
    <w:rsid w:val="6D5B0BAC"/>
    <w:rsid w:val="7078313A"/>
    <w:rsid w:val="71DE4E42"/>
    <w:rsid w:val="726015BF"/>
    <w:rsid w:val="730352B2"/>
    <w:rsid w:val="788A748C"/>
    <w:rsid w:val="7B3A1535"/>
    <w:rsid w:val="7CE71F28"/>
    <w:rsid w:val="7ED110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ocked="1"/>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99"/>
    <w:pPr>
      <w:keepNext/>
      <w:keepLines/>
      <w:spacing w:beforeLines="100" w:afterLines="100" w:line="360" w:lineRule="auto"/>
      <w:jc w:val="center"/>
      <w:outlineLvl w:val="0"/>
    </w:pPr>
    <w:rPr>
      <w:rFonts w:ascii="Times New Roman" w:hAnsi="Times New Roman" w:eastAsia="黑体"/>
      <w:b/>
      <w:bCs/>
      <w:kern w:val="44"/>
      <w:sz w:val="28"/>
      <w:szCs w:val="44"/>
    </w:rPr>
  </w:style>
  <w:style w:type="paragraph" w:styleId="3">
    <w:name w:val="heading 2"/>
    <w:basedOn w:val="1"/>
    <w:next w:val="1"/>
    <w:link w:val="27"/>
    <w:qFormat/>
    <w:uiPriority w:val="99"/>
    <w:pPr>
      <w:keepNext/>
      <w:keepLines/>
      <w:spacing w:line="360" w:lineRule="auto"/>
      <w:jc w:val="left"/>
      <w:outlineLvl w:val="1"/>
    </w:pPr>
    <w:rPr>
      <w:rFonts w:ascii="Cambria" w:hAnsi="Cambria"/>
      <w:b/>
      <w:bCs/>
      <w:sz w:val="24"/>
      <w:szCs w:val="32"/>
    </w:rPr>
  </w:style>
  <w:style w:type="paragraph" w:styleId="4">
    <w:name w:val="heading 3"/>
    <w:basedOn w:val="1"/>
    <w:next w:val="1"/>
    <w:link w:val="28"/>
    <w:qFormat/>
    <w:uiPriority w:val="99"/>
    <w:pPr>
      <w:keepNext/>
      <w:keepLines/>
      <w:spacing w:line="360" w:lineRule="auto"/>
      <w:ind w:firstLine="200" w:firstLineChars="200"/>
      <w:outlineLvl w:val="2"/>
    </w:pPr>
    <w:rPr>
      <w:rFonts w:ascii="Times New Roman" w:hAnsi="Times New Roman"/>
      <w:b/>
      <w:bCs/>
      <w:sz w:val="24"/>
      <w:szCs w:val="32"/>
    </w:rPr>
  </w:style>
  <w:style w:type="paragraph" w:styleId="5">
    <w:name w:val="heading 4"/>
    <w:basedOn w:val="1"/>
    <w:next w:val="1"/>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2"/>
    <w:qFormat/>
    <w:uiPriority w:val="99"/>
    <w:pPr>
      <w:widowControl/>
      <w:adjustRightInd w:val="0"/>
      <w:snapToGrid w:val="0"/>
      <w:spacing w:line="480" w:lineRule="exact"/>
      <w:ind w:firstLine="567"/>
    </w:pPr>
    <w:rPr>
      <w:rFonts w:ascii="宋体"/>
      <w:color w:val="000000"/>
      <w:kern w:val="28"/>
      <w:sz w:val="28"/>
      <w:szCs w:val="20"/>
    </w:rPr>
  </w:style>
  <w:style w:type="paragraph" w:styleId="7">
    <w:name w:val="Document Map"/>
    <w:basedOn w:val="1"/>
    <w:link w:val="29"/>
    <w:qFormat/>
    <w:uiPriority w:val="99"/>
    <w:pPr>
      <w:shd w:val="clear" w:color="auto" w:fill="000080"/>
    </w:pPr>
  </w:style>
  <w:style w:type="paragraph" w:styleId="8">
    <w:name w:val="annotation text"/>
    <w:basedOn w:val="1"/>
    <w:semiHidden/>
    <w:unhideWhenUsed/>
    <w:qFormat/>
    <w:uiPriority w:val="0"/>
    <w:pPr>
      <w:jc w:val="left"/>
    </w:pPr>
  </w:style>
  <w:style w:type="paragraph" w:styleId="9">
    <w:name w:val="Body Text Indent"/>
    <w:basedOn w:val="1"/>
    <w:link w:val="30"/>
    <w:qFormat/>
    <w:uiPriority w:val="99"/>
    <w:pPr>
      <w:spacing w:line="480" w:lineRule="exact"/>
      <w:ind w:firstLine="480" w:firstLineChars="200"/>
    </w:pPr>
    <w:rPr>
      <w:rFonts w:ascii="宋体" w:hAnsi="宋体"/>
      <w:sz w:val="24"/>
      <w:szCs w:val="20"/>
    </w:rPr>
  </w:style>
  <w:style w:type="paragraph" w:styleId="10">
    <w:name w:val="Plain Text"/>
    <w:basedOn w:val="1"/>
    <w:link w:val="31"/>
    <w:qFormat/>
    <w:uiPriority w:val="0"/>
    <w:pPr>
      <w:spacing w:line="360" w:lineRule="auto"/>
    </w:pPr>
    <w:rPr>
      <w:rFonts w:ascii="Times New Roman" w:hAnsi="Times New Roman"/>
      <w:b/>
    </w:rPr>
  </w:style>
  <w:style w:type="paragraph" w:styleId="11">
    <w:name w:val="Body Text Indent 2"/>
    <w:basedOn w:val="1"/>
    <w:link w:val="32"/>
    <w:qFormat/>
    <w:uiPriority w:val="99"/>
    <w:pPr>
      <w:spacing w:after="120" w:line="480" w:lineRule="auto"/>
      <w:ind w:left="420" w:leftChars="200"/>
    </w:pPr>
  </w:style>
  <w:style w:type="paragraph" w:styleId="12">
    <w:name w:val="Balloon Text"/>
    <w:basedOn w:val="1"/>
    <w:link w:val="33"/>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sz w:val="18"/>
      <w:szCs w:val="20"/>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302"/>
      </w:tabs>
      <w:spacing w:line="360" w:lineRule="auto"/>
    </w:pPr>
  </w:style>
  <w:style w:type="paragraph" w:styleId="16">
    <w:name w:val="Body Text Indent 3"/>
    <w:basedOn w:val="1"/>
    <w:link w:val="36"/>
    <w:qFormat/>
    <w:uiPriority w:val="99"/>
    <w:pPr>
      <w:spacing w:after="120"/>
      <w:ind w:left="420" w:leftChars="200"/>
    </w:pPr>
    <w:rPr>
      <w:rFonts w:ascii="Times New Roman" w:hAnsi="Times New Roman"/>
      <w:sz w:val="16"/>
      <w:szCs w:val="16"/>
    </w:rPr>
  </w:style>
  <w:style w:type="paragraph" w:styleId="17">
    <w:name w:val="toc 2"/>
    <w:basedOn w:val="1"/>
    <w:next w:val="1"/>
    <w:qFormat/>
    <w:uiPriority w:val="39"/>
    <w:pPr>
      <w:tabs>
        <w:tab w:val="right" w:leader="dot" w:pos="8302"/>
      </w:tabs>
      <w:spacing w:line="360" w:lineRule="auto"/>
      <w:ind w:left="420" w:leftChars="200"/>
    </w:pPr>
  </w:style>
  <w:style w:type="paragraph" w:styleId="18">
    <w:name w:val="Title"/>
    <w:basedOn w:val="1"/>
    <w:link w:val="37"/>
    <w:qFormat/>
    <w:uiPriority w:val="99"/>
    <w:pPr>
      <w:widowControl/>
      <w:overflowPunct w:val="0"/>
      <w:autoSpaceDE w:val="0"/>
      <w:autoSpaceDN w:val="0"/>
      <w:adjustRightInd w:val="0"/>
      <w:jc w:val="center"/>
      <w:textAlignment w:val="baseline"/>
    </w:pPr>
    <w:rPr>
      <w:b/>
      <w:kern w:val="0"/>
      <w:sz w:val="24"/>
      <w:szCs w:val="20"/>
      <w:lang w:val="en-GB"/>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rFonts w:cs="Times New Roman"/>
      <w:b/>
    </w:r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styleId="25">
    <w:name w:val="annotation reference"/>
    <w:basedOn w:val="21"/>
    <w:semiHidden/>
    <w:unhideWhenUsed/>
    <w:qFormat/>
    <w:uiPriority w:val="0"/>
    <w:rPr>
      <w:sz w:val="21"/>
      <w:szCs w:val="21"/>
    </w:rPr>
  </w:style>
  <w:style w:type="character" w:customStyle="1" w:styleId="26">
    <w:name w:val="标题 1 Char"/>
    <w:link w:val="2"/>
    <w:qFormat/>
    <w:uiPriority w:val="9"/>
    <w:rPr>
      <w:rFonts w:ascii="Calibri" w:hAnsi="Calibri"/>
      <w:b/>
      <w:bCs/>
      <w:kern w:val="44"/>
      <w:sz w:val="44"/>
      <w:szCs w:val="44"/>
    </w:rPr>
  </w:style>
  <w:style w:type="character" w:customStyle="1" w:styleId="27">
    <w:name w:val="标题 2 Char"/>
    <w:link w:val="3"/>
    <w:semiHidden/>
    <w:qFormat/>
    <w:uiPriority w:val="9"/>
    <w:rPr>
      <w:rFonts w:ascii="Cambria" w:hAnsi="Cambria" w:eastAsia="宋体" w:cs="Times New Roman"/>
      <w:b/>
      <w:bCs/>
      <w:sz w:val="32"/>
      <w:szCs w:val="32"/>
    </w:rPr>
  </w:style>
  <w:style w:type="character" w:customStyle="1" w:styleId="28">
    <w:name w:val="标题 3 Char"/>
    <w:link w:val="4"/>
    <w:semiHidden/>
    <w:qFormat/>
    <w:uiPriority w:val="9"/>
    <w:rPr>
      <w:rFonts w:ascii="Calibri" w:hAnsi="Calibri"/>
      <w:b/>
      <w:bCs/>
      <w:sz w:val="32"/>
      <w:szCs w:val="32"/>
    </w:rPr>
  </w:style>
  <w:style w:type="character" w:customStyle="1" w:styleId="29">
    <w:name w:val="文档结构图 Char"/>
    <w:link w:val="7"/>
    <w:semiHidden/>
    <w:qFormat/>
    <w:uiPriority w:val="99"/>
    <w:rPr>
      <w:sz w:val="0"/>
      <w:szCs w:val="0"/>
    </w:rPr>
  </w:style>
  <w:style w:type="character" w:customStyle="1" w:styleId="30">
    <w:name w:val="正文文本缩进 Char"/>
    <w:link w:val="9"/>
    <w:semiHidden/>
    <w:qFormat/>
    <w:uiPriority w:val="99"/>
    <w:rPr>
      <w:rFonts w:ascii="Calibri" w:hAnsi="Calibri"/>
      <w:szCs w:val="24"/>
    </w:rPr>
  </w:style>
  <w:style w:type="character" w:customStyle="1" w:styleId="31">
    <w:name w:val="纯文本 Char"/>
    <w:link w:val="10"/>
    <w:qFormat/>
    <w:locked/>
    <w:uiPriority w:val="0"/>
    <w:rPr>
      <w:b/>
      <w:kern w:val="2"/>
      <w:sz w:val="24"/>
    </w:rPr>
  </w:style>
  <w:style w:type="character" w:customStyle="1" w:styleId="32">
    <w:name w:val="正文文本缩进 2 Char"/>
    <w:link w:val="11"/>
    <w:qFormat/>
    <w:locked/>
    <w:uiPriority w:val="99"/>
    <w:rPr>
      <w:rFonts w:ascii="Calibri" w:hAnsi="Calibri"/>
      <w:kern w:val="2"/>
      <w:sz w:val="24"/>
    </w:rPr>
  </w:style>
  <w:style w:type="character" w:customStyle="1" w:styleId="33">
    <w:name w:val="批注框文本 Char"/>
    <w:link w:val="12"/>
    <w:qFormat/>
    <w:locked/>
    <w:uiPriority w:val="99"/>
    <w:rPr>
      <w:rFonts w:ascii="Calibri" w:hAnsi="Calibri"/>
      <w:kern w:val="2"/>
      <w:sz w:val="18"/>
    </w:rPr>
  </w:style>
  <w:style w:type="character" w:customStyle="1" w:styleId="34">
    <w:name w:val="页脚 Char"/>
    <w:link w:val="13"/>
    <w:qFormat/>
    <w:locked/>
    <w:uiPriority w:val="99"/>
    <w:rPr>
      <w:rFonts w:ascii="Calibri" w:hAnsi="Calibri"/>
      <w:kern w:val="2"/>
      <w:sz w:val="18"/>
    </w:rPr>
  </w:style>
  <w:style w:type="character" w:customStyle="1" w:styleId="35">
    <w:name w:val="页眉 Char"/>
    <w:link w:val="14"/>
    <w:qFormat/>
    <w:locked/>
    <w:uiPriority w:val="99"/>
    <w:rPr>
      <w:rFonts w:ascii="Calibri" w:hAnsi="Calibri"/>
      <w:kern w:val="2"/>
      <w:sz w:val="18"/>
    </w:rPr>
  </w:style>
  <w:style w:type="character" w:customStyle="1" w:styleId="36">
    <w:name w:val="正文文本缩进 3 Char"/>
    <w:link w:val="16"/>
    <w:qFormat/>
    <w:locked/>
    <w:uiPriority w:val="99"/>
    <w:rPr>
      <w:kern w:val="2"/>
      <w:sz w:val="16"/>
    </w:rPr>
  </w:style>
  <w:style w:type="character" w:customStyle="1" w:styleId="37">
    <w:name w:val="标题 Char"/>
    <w:link w:val="18"/>
    <w:qFormat/>
    <w:uiPriority w:val="10"/>
    <w:rPr>
      <w:rFonts w:ascii="Cambria" w:hAnsi="Cambria" w:cs="Times New Roman"/>
      <w:b/>
      <w:bCs/>
      <w:sz w:val="32"/>
      <w:szCs w:val="32"/>
    </w:rPr>
  </w:style>
  <w:style w:type="paragraph" w:customStyle="1" w:styleId="38">
    <w:name w:val="_Style 38"/>
    <w:basedOn w:val="7"/>
    <w:qFormat/>
    <w:uiPriority w:val="99"/>
  </w:style>
  <w:style w:type="paragraph" w:customStyle="1" w:styleId="39">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40">
    <w:name w:val="正文2"/>
    <w:basedOn w:val="1"/>
    <w:qFormat/>
    <w:uiPriority w:val="99"/>
    <w:pPr>
      <w:spacing w:before="156" w:line="360" w:lineRule="auto"/>
      <w:ind w:firstLine="510" w:firstLineChars="200"/>
    </w:pPr>
    <w:rPr>
      <w:sz w:val="24"/>
      <w:szCs w:val="20"/>
    </w:rPr>
  </w:style>
  <w:style w:type="paragraph" w:customStyle="1" w:styleId="41">
    <w:name w:val="列出段落1"/>
    <w:basedOn w:val="1"/>
    <w:qFormat/>
    <w:uiPriority w:val="99"/>
    <w:pPr>
      <w:ind w:firstLine="420" w:firstLineChars="200"/>
    </w:pPr>
  </w:style>
  <w:style w:type="character" w:customStyle="1" w:styleId="42">
    <w:name w:val="正文缩进 Char"/>
    <w:link w:val="6"/>
    <w:qFormat/>
    <w:locked/>
    <w:uiPriority w:val="99"/>
    <w:rPr>
      <w:rFonts w:ascii="宋体" w:hAnsi="Calibri"/>
      <w:snapToGrid w:val="0"/>
      <w:color w:val="000000"/>
      <w:kern w:val="28"/>
      <w:sz w:val="28"/>
    </w:rPr>
  </w:style>
  <w:style w:type="paragraph" w:styleId="43">
    <w:name w:val="List Paragraph"/>
    <w:basedOn w:val="1"/>
    <w:qFormat/>
    <w:uiPriority w:val="99"/>
    <w:pPr>
      <w:widowControl/>
      <w:spacing w:after="200" w:line="252" w:lineRule="auto"/>
      <w:ind w:left="720"/>
      <w:contextualSpacing/>
      <w:jc w:val="left"/>
    </w:pPr>
    <w:rPr>
      <w:rFonts w:ascii="Cambria" w:hAnsi="Cambria"/>
      <w:kern w:val="0"/>
      <w:sz w:val="22"/>
      <w:szCs w:val="22"/>
      <w:lang w:eastAsia="en-US"/>
    </w:rPr>
  </w:style>
  <w:style w:type="paragraph" w:customStyle="1" w:styleId="44">
    <w:name w:val="样式3"/>
    <w:basedOn w:val="10"/>
    <w:qFormat/>
    <w:uiPriority w:val="99"/>
    <w:pPr>
      <w:spacing w:line="240" w:lineRule="atLeast"/>
      <w:outlineLvl w:val="0"/>
    </w:pPr>
    <w:rPr>
      <w:rFonts w:ascii="宋体" w:hAnsi="Courier New"/>
      <w:b w:val="0"/>
      <w:sz w:val="28"/>
      <w:szCs w:val="20"/>
    </w:rPr>
  </w:style>
  <w:style w:type="character" w:customStyle="1" w:styleId="45">
    <w:name w:val="纯文本 字符"/>
    <w:qFormat/>
    <w:uiPriority w:val="0"/>
    <w:rPr>
      <w:rFonts w:ascii="宋体" w:hAnsi="Courier New" w:eastAsia="宋体"/>
      <w:kern w:val="2"/>
      <w:sz w:val="24"/>
      <w:szCs w:val="24"/>
      <w:lang w:val="en-US" w:eastAsia="zh-CN" w:bidi="ar-SA"/>
    </w:rPr>
  </w:style>
  <w:style w:type="paragraph" w:customStyle="1" w:styleId="46">
    <w:name w:val="Default"/>
    <w:qFormat/>
    <w:uiPriority w:val="0"/>
    <w:pPr>
      <w:widowControl w:val="0"/>
      <w:autoSpaceDE w:val="0"/>
      <w:autoSpaceDN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047EE-1F37-476D-8466-CF807FA1B47E}">
  <ds:schemaRefs/>
</ds:datastoreItem>
</file>

<file path=docProps/app.xml><?xml version="1.0" encoding="utf-8"?>
<Properties xmlns="http://schemas.openxmlformats.org/officeDocument/2006/extended-properties" xmlns:vt="http://schemas.openxmlformats.org/officeDocument/2006/docPropsVTypes">
  <Template>Normal</Template>
  <Company>ZUFE</Company>
  <Pages>26</Pages>
  <Words>1733</Words>
  <Characters>9880</Characters>
  <Lines>82</Lines>
  <Paragraphs>23</Paragraphs>
  <TotalTime>19</TotalTime>
  <ScaleCrop>false</ScaleCrop>
  <LinksUpToDate>false</LinksUpToDate>
  <CharactersWithSpaces>11590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2018-11-01T01:52:00Z</dcterms:created>
  <dc:creator>Kingdom Pan</dc:creator>
  <cp:lastModifiedBy>鲍</cp:lastModifiedBy>
  <cp:lastPrinted>2017-11-29T01:30:00Z</cp:lastPrinted>
  <dcterms:modified xsi:type="dcterms:W3CDTF">2020-12-09T01:02:27Z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