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sz w:val="44"/>
          <w:szCs w:val="44"/>
        </w:rPr>
      </w:pPr>
    </w:p>
    <w:p>
      <w:pPr>
        <w:spacing w:line="360" w:lineRule="auto"/>
        <w:jc w:val="center"/>
        <w:rPr>
          <w:rFonts w:ascii="华文楷体" w:hAnsi="华文楷体" w:eastAsia="华文楷体" w:cs="华文楷体"/>
          <w:b/>
          <w:sz w:val="48"/>
          <w:szCs w:val="48"/>
        </w:rPr>
      </w:pPr>
      <w:r>
        <w:rPr>
          <w:rFonts w:hint="eastAsia" w:ascii="华文楷体" w:hAnsi="华文楷体" w:eastAsia="华文楷体" w:cs="华文楷体"/>
          <w:b/>
          <w:sz w:val="48"/>
          <w:szCs w:val="48"/>
        </w:rPr>
        <w:t>浙江建友工程咨询有限公司关于</w:t>
      </w:r>
    </w:p>
    <w:p>
      <w:pPr>
        <w:spacing w:line="360" w:lineRule="auto"/>
        <w:jc w:val="center"/>
        <w:rPr>
          <w:rFonts w:ascii="楷体" w:hAnsi="楷体" w:eastAsia="楷体" w:cs="楷体"/>
          <w:b/>
          <w:sz w:val="48"/>
          <w:szCs w:val="48"/>
        </w:rPr>
      </w:pPr>
      <w:r>
        <w:rPr>
          <w:rFonts w:hint="eastAsia" w:ascii="楷体" w:hAnsi="楷体" w:eastAsia="楷体" w:cs="楷体"/>
          <w:b/>
          <w:sz w:val="48"/>
          <w:szCs w:val="48"/>
        </w:rPr>
        <w:t>浙江财经大学图书盘点服务</w:t>
      </w:r>
    </w:p>
    <w:p>
      <w:pPr>
        <w:spacing w:line="360" w:lineRule="auto"/>
        <w:jc w:val="center"/>
        <w:rPr>
          <w:rFonts w:ascii="楷体" w:hAnsi="楷体" w:eastAsia="楷体" w:cs="楷体"/>
          <w:b/>
          <w:sz w:val="72"/>
          <w:szCs w:val="72"/>
        </w:rPr>
      </w:pPr>
    </w:p>
    <w:p>
      <w:pPr>
        <w:spacing w:line="360" w:lineRule="auto"/>
        <w:jc w:val="center"/>
        <w:rPr>
          <w:rFonts w:ascii="楷体" w:hAnsi="楷体" w:eastAsia="楷体" w:cs="楷体"/>
          <w:b/>
          <w:sz w:val="72"/>
          <w:szCs w:val="72"/>
        </w:rPr>
      </w:pPr>
      <w:r>
        <w:rPr>
          <w:rFonts w:hint="eastAsia" w:ascii="楷体" w:hAnsi="楷体" w:eastAsia="楷体" w:cs="楷体"/>
          <w:b/>
          <w:sz w:val="72"/>
          <w:szCs w:val="72"/>
        </w:rPr>
        <w:t>磋商文件</w:t>
      </w:r>
    </w:p>
    <w:p>
      <w:pPr>
        <w:spacing w:line="360" w:lineRule="auto"/>
        <w:jc w:val="center"/>
        <w:rPr>
          <w:rFonts w:ascii="楷体" w:hAnsi="楷体" w:eastAsia="楷体" w:cs="楷体"/>
          <w:b/>
          <w:sz w:val="72"/>
          <w:szCs w:val="72"/>
        </w:rPr>
      </w:pPr>
      <w:r>
        <w:rPr>
          <w:rFonts w:hint="eastAsia" w:ascii="楷体" w:hAnsi="楷体" w:eastAsia="楷体" w:cs="楷体"/>
          <w:b/>
          <w:color w:val="000000"/>
          <w:sz w:val="36"/>
        </w:rPr>
        <w:t>（线上电子交易）</w:t>
      </w:r>
    </w:p>
    <w:p>
      <w:pPr>
        <w:spacing w:line="360" w:lineRule="auto"/>
        <w:jc w:val="center"/>
        <w:rPr>
          <w:rFonts w:ascii="楷体" w:hAnsi="楷体" w:eastAsia="楷体" w:cs="楷体"/>
          <w:sz w:val="44"/>
          <w:szCs w:val="44"/>
        </w:rPr>
      </w:pPr>
    </w:p>
    <w:p>
      <w:pPr>
        <w:spacing w:line="360" w:lineRule="auto"/>
        <w:jc w:val="center"/>
        <w:rPr>
          <w:rFonts w:ascii="楷体" w:hAnsi="楷体" w:eastAsia="楷体" w:cs="楷体"/>
          <w:sz w:val="44"/>
          <w:szCs w:val="44"/>
        </w:rPr>
      </w:pPr>
    </w:p>
    <w:p>
      <w:pPr>
        <w:pStyle w:val="13"/>
        <w:rPr>
          <w:rFonts w:ascii="楷体" w:hAnsi="楷体" w:eastAsia="楷体" w:cs="楷体"/>
          <w:sz w:val="44"/>
          <w:szCs w:val="44"/>
        </w:rPr>
      </w:pPr>
    </w:p>
    <w:p>
      <w:pPr>
        <w:pStyle w:val="14"/>
      </w:pPr>
    </w:p>
    <w:p>
      <w:pPr>
        <w:spacing w:line="360" w:lineRule="auto"/>
        <w:ind w:firstLine="1807" w:firstLineChars="600"/>
        <w:rPr>
          <w:rFonts w:ascii="楷体" w:hAnsi="楷体" w:eastAsia="楷体" w:cs="楷体"/>
          <w:b/>
          <w:sz w:val="30"/>
          <w:szCs w:val="30"/>
        </w:rPr>
      </w:pPr>
      <w:r>
        <w:rPr>
          <w:rFonts w:hint="eastAsia" w:ascii="楷体" w:hAnsi="楷体" w:eastAsia="楷体" w:cs="楷体"/>
          <w:b/>
          <w:sz w:val="30"/>
          <w:szCs w:val="30"/>
        </w:rPr>
        <w:t>项目编号：ZJJY-20210713-01</w:t>
      </w:r>
    </w:p>
    <w:p>
      <w:pPr>
        <w:spacing w:line="360" w:lineRule="auto"/>
        <w:ind w:firstLine="1807" w:firstLineChars="600"/>
        <w:rPr>
          <w:rFonts w:ascii="楷体" w:hAnsi="楷体" w:eastAsia="楷体" w:cs="楷体"/>
          <w:b/>
          <w:sz w:val="30"/>
          <w:szCs w:val="30"/>
        </w:rPr>
      </w:pPr>
      <w:r>
        <w:rPr>
          <w:rFonts w:hint="eastAsia" w:ascii="楷体" w:hAnsi="楷体" w:eastAsia="楷体" w:cs="楷体"/>
          <w:b/>
          <w:sz w:val="30"/>
          <w:szCs w:val="30"/>
        </w:rPr>
        <w:t>项目名称：浙江财经大学图书盘点服务</w:t>
      </w:r>
    </w:p>
    <w:p>
      <w:pPr>
        <w:spacing w:line="360" w:lineRule="auto"/>
        <w:ind w:firstLine="1807" w:firstLineChars="600"/>
        <w:rPr>
          <w:rFonts w:ascii="楷体" w:hAnsi="楷体" w:eastAsia="楷体" w:cs="楷体"/>
          <w:b/>
          <w:sz w:val="30"/>
          <w:szCs w:val="30"/>
        </w:rPr>
      </w:pPr>
      <w:r>
        <w:rPr>
          <w:rFonts w:hint="eastAsia" w:ascii="楷体" w:hAnsi="楷体" w:eastAsia="楷体" w:cs="楷体"/>
          <w:b/>
          <w:sz w:val="30"/>
          <w:szCs w:val="30"/>
        </w:rPr>
        <w:t>采 购 人：浙江财经大学</w:t>
      </w:r>
    </w:p>
    <w:p>
      <w:pPr>
        <w:spacing w:line="360" w:lineRule="auto"/>
        <w:ind w:firstLine="1807" w:firstLineChars="600"/>
        <w:rPr>
          <w:rFonts w:ascii="楷体" w:hAnsi="楷体" w:eastAsia="楷体" w:cs="楷体"/>
          <w:b/>
          <w:sz w:val="30"/>
          <w:szCs w:val="30"/>
        </w:rPr>
      </w:pPr>
      <w:r>
        <w:rPr>
          <w:rFonts w:hint="eastAsia" w:ascii="楷体" w:hAnsi="楷体" w:eastAsia="楷体" w:cs="楷体"/>
          <w:b/>
          <w:sz w:val="30"/>
          <w:szCs w:val="30"/>
        </w:rPr>
        <w:t>采购代理机构：浙江建友工程咨询有限公司</w:t>
      </w:r>
    </w:p>
    <w:p>
      <w:pPr>
        <w:spacing w:line="360" w:lineRule="auto"/>
        <w:ind w:firstLine="1807" w:firstLineChars="600"/>
        <w:rPr>
          <w:rFonts w:ascii="宋体" w:hAnsi="宋体" w:cs="宋体"/>
          <w:b/>
          <w:sz w:val="30"/>
          <w:szCs w:val="30"/>
        </w:rPr>
        <w:sectPr>
          <w:footerReference r:id="rId3" w:type="default"/>
          <w:pgSz w:w="11906" w:h="16838"/>
          <w:pgMar w:top="1247" w:right="1247" w:bottom="1247" w:left="1247" w:header="0" w:footer="782" w:gutter="0"/>
          <w:pgNumType w:start="1"/>
          <w:cols w:space="720" w:num="1"/>
          <w:docGrid w:linePitch="381" w:charSpace="0"/>
        </w:sectPr>
      </w:pPr>
    </w:p>
    <w:p>
      <w:pPr>
        <w:spacing w:line="360" w:lineRule="auto"/>
        <w:rPr>
          <w:rFonts w:ascii="楷体" w:hAnsi="楷体" w:eastAsia="楷体" w:cs="楷体"/>
          <w:b/>
          <w:sz w:val="30"/>
          <w:szCs w:val="30"/>
        </w:rPr>
      </w:pPr>
    </w:p>
    <w:p>
      <w:pPr>
        <w:pStyle w:val="6"/>
        <w:spacing w:before="0" w:beforeLines="0" w:after="0" w:afterLines="0" w:line="288" w:lineRule="auto"/>
        <w:jc w:val="center"/>
        <w:rPr>
          <w:rFonts w:ascii="楷体" w:hAnsi="楷体" w:eastAsia="楷体" w:cs="楷体"/>
          <w:b/>
          <w:sz w:val="30"/>
          <w:szCs w:val="30"/>
        </w:rPr>
      </w:pPr>
      <w:r>
        <w:rPr>
          <w:rFonts w:hint="eastAsia" w:ascii="楷体" w:hAnsi="楷体" w:eastAsia="楷体" w:cs="楷体"/>
          <w:b/>
          <w:sz w:val="30"/>
          <w:szCs w:val="30"/>
        </w:rPr>
        <w:t>目    录</w:t>
      </w:r>
    </w:p>
    <w:p>
      <w:pPr>
        <w:pStyle w:val="6"/>
        <w:spacing w:before="0" w:beforeLines="0" w:after="0" w:afterLines="0" w:line="288" w:lineRule="auto"/>
        <w:jc w:val="center"/>
        <w:rPr>
          <w:rFonts w:ascii="楷体" w:hAnsi="楷体" w:eastAsia="楷体" w:cs="楷体"/>
          <w:b/>
          <w:sz w:val="30"/>
          <w:szCs w:val="30"/>
        </w:rPr>
      </w:pPr>
    </w:p>
    <w:p>
      <w:pPr>
        <w:numPr>
          <w:ilvl w:val="0"/>
          <w:numId w:val="2"/>
        </w:numPr>
        <w:spacing w:before="120" w:beforeLines="50" w:line="288" w:lineRule="auto"/>
        <w:ind w:left="284" w:firstLine="0"/>
        <w:rPr>
          <w:rFonts w:ascii="楷体" w:hAnsi="楷体" w:eastAsia="楷体" w:cs="楷体"/>
          <w:b/>
          <w:sz w:val="30"/>
          <w:szCs w:val="30"/>
        </w:rPr>
      </w:pPr>
      <w:r>
        <w:rPr>
          <w:rFonts w:hint="eastAsia" w:ascii="楷体" w:hAnsi="楷体" w:eastAsia="楷体" w:cs="楷体"/>
          <w:b/>
          <w:sz w:val="30"/>
          <w:szCs w:val="30"/>
        </w:rPr>
        <w:t>采购邀请</w:t>
      </w:r>
    </w:p>
    <w:p>
      <w:pPr>
        <w:numPr>
          <w:ilvl w:val="0"/>
          <w:numId w:val="2"/>
        </w:numPr>
        <w:spacing w:before="120" w:beforeLines="50" w:line="288" w:lineRule="auto"/>
        <w:ind w:left="284" w:firstLine="0"/>
        <w:rPr>
          <w:rFonts w:ascii="楷体" w:hAnsi="楷体" w:eastAsia="楷体" w:cs="楷体"/>
          <w:b/>
          <w:sz w:val="30"/>
          <w:szCs w:val="30"/>
        </w:rPr>
      </w:pPr>
      <w:r>
        <w:rPr>
          <w:rFonts w:hint="eastAsia" w:ascii="楷体" w:hAnsi="楷体" w:eastAsia="楷体" w:cs="楷体"/>
          <w:b/>
          <w:sz w:val="30"/>
          <w:szCs w:val="30"/>
        </w:rPr>
        <w:t>采购需求</w:t>
      </w:r>
    </w:p>
    <w:p>
      <w:pPr>
        <w:numPr>
          <w:ilvl w:val="0"/>
          <w:numId w:val="2"/>
        </w:numPr>
        <w:spacing w:before="120" w:beforeLines="50" w:line="288" w:lineRule="auto"/>
        <w:ind w:left="284" w:firstLine="0"/>
        <w:rPr>
          <w:rFonts w:ascii="楷体" w:hAnsi="楷体" w:eastAsia="楷体" w:cs="楷体"/>
          <w:b/>
          <w:sz w:val="30"/>
          <w:szCs w:val="30"/>
        </w:rPr>
      </w:pPr>
      <w:r>
        <w:rPr>
          <w:rFonts w:hint="eastAsia" w:ascii="楷体" w:hAnsi="楷体" w:eastAsia="楷体" w:cs="楷体"/>
          <w:b/>
          <w:sz w:val="30"/>
          <w:szCs w:val="30"/>
        </w:rPr>
        <w:t>供应商须知</w:t>
      </w:r>
    </w:p>
    <w:p>
      <w:pPr>
        <w:numPr>
          <w:ilvl w:val="0"/>
          <w:numId w:val="2"/>
        </w:numPr>
        <w:spacing w:before="120" w:beforeLines="50" w:line="288" w:lineRule="auto"/>
        <w:ind w:left="284" w:firstLine="0"/>
        <w:rPr>
          <w:rFonts w:ascii="楷体" w:hAnsi="楷体" w:eastAsia="楷体" w:cs="楷体"/>
          <w:b/>
          <w:sz w:val="30"/>
          <w:szCs w:val="30"/>
        </w:rPr>
      </w:pPr>
      <w:r>
        <w:rPr>
          <w:rFonts w:hint="eastAsia" w:ascii="楷体" w:hAnsi="楷体" w:eastAsia="楷体" w:cs="楷体"/>
          <w:b/>
          <w:sz w:val="30"/>
          <w:szCs w:val="30"/>
        </w:rPr>
        <w:t>评审办法及评分标准</w:t>
      </w:r>
    </w:p>
    <w:p>
      <w:pPr>
        <w:numPr>
          <w:ilvl w:val="0"/>
          <w:numId w:val="2"/>
        </w:numPr>
        <w:spacing w:before="120" w:beforeLines="50" w:line="288" w:lineRule="auto"/>
        <w:ind w:left="284" w:firstLine="0"/>
        <w:rPr>
          <w:rFonts w:ascii="楷体" w:hAnsi="楷体" w:eastAsia="楷体" w:cs="楷体"/>
          <w:b/>
          <w:sz w:val="30"/>
          <w:szCs w:val="30"/>
        </w:rPr>
      </w:pPr>
      <w:r>
        <w:rPr>
          <w:rFonts w:hint="eastAsia" w:ascii="楷体" w:hAnsi="楷体" w:eastAsia="楷体" w:cs="楷体"/>
          <w:b/>
          <w:sz w:val="30"/>
          <w:szCs w:val="30"/>
        </w:rPr>
        <w:t>合同主要条款</w:t>
      </w:r>
    </w:p>
    <w:p>
      <w:pPr>
        <w:numPr>
          <w:ilvl w:val="0"/>
          <w:numId w:val="2"/>
        </w:numPr>
        <w:spacing w:before="120" w:beforeLines="50" w:line="288" w:lineRule="auto"/>
        <w:ind w:left="284" w:firstLine="0"/>
        <w:rPr>
          <w:rFonts w:ascii="楷体" w:hAnsi="楷体" w:eastAsia="楷体" w:cs="楷体"/>
          <w:b/>
          <w:sz w:val="30"/>
          <w:szCs w:val="30"/>
        </w:rPr>
      </w:pPr>
      <w:r>
        <w:rPr>
          <w:rFonts w:hint="eastAsia" w:ascii="楷体" w:hAnsi="楷体" w:eastAsia="楷体" w:cs="楷体"/>
          <w:b/>
          <w:sz w:val="30"/>
          <w:szCs w:val="30"/>
        </w:rPr>
        <w:t>响应文件格式</w:t>
      </w:r>
    </w:p>
    <w:p>
      <w:pPr>
        <w:pStyle w:val="6"/>
        <w:spacing w:before="0" w:beforeLines="0" w:after="0" w:afterLines="0" w:line="288" w:lineRule="auto"/>
        <w:ind w:left="1350"/>
        <w:jc w:val="center"/>
        <w:outlineLvl w:val="0"/>
        <w:rPr>
          <w:rFonts w:hAnsi="宋体" w:cs="宋体"/>
          <w:b/>
          <w:sz w:val="32"/>
          <w:szCs w:val="32"/>
        </w:rPr>
        <w:sectPr>
          <w:footerReference r:id="rId4" w:type="default"/>
          <w:pgSz w:w="11906" w:h="16838"/>
          <w:pgMar w:top="1247" w:right="1247" w:bottom="1247" w:left="1247" w:header="0" w:footer="782" w:gutter="0"/>
          <w:pgNumType w:start="1"/>
          <w:cols w:space="720" w:num="1"/>
          <w:docGrid w:linePitch="381" w:charSpace="0"/>
        </w:sectPr>
      </w:pPr>
    </w:p>
    <w:p>
      <w:pPr>
        <w:pStyle w:val="6"/>
        <w:spacing w:before="0" w:beforeLines="0" w:after="0" w:afterLines="0" w:line="288" w:lineRule="auto"/>
        <w:jc w:val="center"/>
        <w:outlineLvl w:val="0"/>
        <w:rPr>
          <w:rFonts w:hAnsi="宋体" w:cs="宋体"/>
          <w:b/>
          <w:sz w:val="32"/>
          <w:szCs w:val="32"/>
        </w:rPr>
      </w:pPr>
      <w:r>
        <w:rPr>
          <w:rFonts w:hint="eastAsia" w:hAnsi="宋体" w:cs="宋体"/>
          <w:b/>
          <w:sz w:val="32"/>
          <w:szCs w:val="32"/>
        </w:rPr>
        <w:t>第一章  采购邀请</w:t>
      </w:r>
    </w:p>
    <w:p>
      <w:pPr>
        <w:pBdr>
          <w:top w:val="single" w:color="auto" w:sz="4" w:space="1"/>
          <w:left w:val="single" w:color="auto" w:sz="4" w:space="4"/>
          <w:bottom w:val="single" w:color="auto" w:sz="4" w:space="1"/>
          <w:right w:val="single" w:color="auto" w:sz="4" w:space="4"/>
        </w:pBdr>
        <w:spacing w:line="288" w:lineRule="auto"/>
        <w:rPr>
          <w:rFonts w:ascii="宋体" w:hAnsi="宋体" w:cs="宋体"/>
          <w:b/>
          <w:sz w:val="24"/>
        </w:rPr>
      </w:pPr>
      <w:r>
        <w:rPr>
          <w:rFonts w:hint="eastAsia" w:ascii="宋体" w:hAnsi="宋体" w:cs="宋体"/>
          <w:b/>
          <w:sz w:val="24"/>
        </w:rPr>
        <w:t>项目概况（线上电子交易）</w:t>
      </w:r>
    </w:p>
    <w:p>
      <w:pPr>
        <w:pBdr>
          <w:top w:val="single" w:color="auto" w:sz="4" w:space="1"/>
          <w:left w:val="single" w:color="auto" w:sz="4" w:space="4"/>
          <w:bottom w:val="single" w:color="auto" w:sz="4" w:space="1"/>
          <w:right w:val="single" w:color="auto" w:sz="4" w:space="4"/>
        </w:pBdr>
        <w:spacing w:line="288" w:lineRule="auto"/>
        <w:ind w:firstLine="420" w:firstLineChars="200"/>
        <w:rPr>
          <w:rFonts w:ascii="宋体" w:hAnsi="宋体" w:cs="宋体"/>
          <w:bCs/>
          <w:szCs w:val="21"/>
          <w:u w:val="single"/>
        </w:rPr>
      </w:pPr>
      <w:r>
        <w:rPr>
          <w:rFonts w:hint="eastAsia" w:ascii="宋体" w:hAnsi="宋体" w:cs="宋体"/>
          <w:bCs/>
          <w:szCs w:val="21"/>
          <w:u w:val="single"/>
        </w:rPr>
        <w:t xml:space="preserve"> 浙江财经大学图书盘点服务项目的潜在供应商应在政府采购云平台（https://login.zcygov.cn）获取（下载）采购文件，并于</w:t>
      </w:r>
      <w:r>
        <w:rPr>
          <w:rFonts w:hint="eastAsia" w:ascii="宋体" w:hAnsi="宋体" w:cs="宋体"/>
          <w:b/>
          <w:szCs w:val="21"/>
          <w:u w:val="single"/>
        </w:rPr>
        <w:t>2021年0</w:t>
      </w:r>
      <w:r>
        <w:rPr>
          <w:rFonts w:ascii="宋体" w:hAnsi="宋体" w:cs="宋体"/>
          <w:b/>
          <w:szCs w:val="21"/>
          <w:u w:val="single"/>
        </w:rPr>
        <w:t>7</w:t>
      </w:r>
      <w:r>
        <w:rPr>
          <w:rFonts w:hint="eastAsia" w:ascii="宋体" w:hAnsi="宋体" w:cs="宋体"/>
          <w:b/>
          <w:szCs w:val="21"/>
          <w:u w:val="single"/>
        </w:rPr>
        <w:t>月</w:t>
      </w:r>
      <w:r>
        <w:rPr>
          <w:rFonts w:ascii="宋体" w:hAnsi="宋体" w:cs="宋体"/>
          <w:b/>
          <w:szCs w:val="21"/>
          <w:u w:val="single"/>
        </w:rPr>
        <w:t>29</w:t>
      </w:r>
      <w:r>
        <w:rPr>
          <w:rFonts w:hint="eastAsia" w:ascii="宋体" w:hAnsi="宋体" w:cs="宋体"/>
          <w:b/>
          <w:szCs w:val="21"/>
          <w:u w:val="single"/>
        </w:rPr>
        <w:t>日上午0</w:t>
      </w:r>
      <w:r>
        <w:rPr>
          <w:rFonts w:ascii="宋体" w:hAnsi="宋体" w:cs="宋体"/>
          <w:b/>
          <w:szCs w:val="21"/>
          <w:u w:val="single"/>
        </w:rPr>
        <w:t>9</w:t>
      </w:r>
      <w:r>
        <w:rPr>
          <w:rFonts w:hint="eastAsia" w:ascii="宋体" w:hAnsi="宋体" w:cs="宋体"/>
          <w:b/>
          <w:szCs w:val="21"/>
          <w:u w:val="single"/>
        </w:rPr>
        <w:t>:30:00</w:t>
      </w:r>
      <w:r>
        <w:rPr>
          <w:rFonts w:hint="eastAsia" w:ascii="宋体" w:hAnsi="宋体" w:cs="宋体"/>
          <w:bCs/>
          <w:szCs w:val="21"/>
          <w:u w:val="single"/>
        </w:rPr>
        <w:t>（北京时间）前提交（上传）响应文件。</w:t>
      </w:r>
    </w:p>
    <w:p>
      <w:pPr>
        <w:spacing w:line="288" w:lineRule="auto"/>
        <w:ind w:firstLine="200"/>
        <w:rPr>
          <w:rFonts w:ascii="宋体" w:hAnsi="宋体" w:cs="宋体"/>
          <w:b/>
          <w:sz w:val="24"/>
        </w:rPr>
      </w:pPr>
      <w:bookmarkStart w:id="0" w:name="_Toc28359079"/>
      <w:bookmarkStart w:id="1" w:name="_Toc28359002"/>
      <w:bookmarkStart w:id="2" w:name="_Toc35393621"/>
      <w:bookmarkStart w:id="3" w:name="_Toc35393790"/>
      <w:bookmarkStart w:id="4" w:name="_Hlk24379207"/>
      <w:r>
        <w:rPr>
          <w:rFonts w:hint="eastAsia" w:ascii="宋体" w:hAnsi="宋体" w:cs="宋体"/>
          <w:b/>
          <w:sz w:val="24"/>
        </w:rPr>
        <w:t>一、项目基本情况</w:t>
      </w:r>
      <w:bookmarkEnd w:id="0"/>
      <w:bookmarkEnd w:id="1"/>
      <w:bookmarkEnd w:id="2"/>
      <w:bookmarkEnd w:id="3"/>
    </w:p>
    <w:p>
      <w:pPr>
        <w:spacing w:line="288" w:lineRule="auto"/>
        <w:ind w:firstLine="420" w:firstLineChars="200"/>
        <w:rPr>
          <w:rFonts w:ascii="宋体" w:hAnsi="宋体" w:cs="宋体"/>
          <w:szCs w:val="21"/>
        </w:rPr>
      </w:pPr>
      <w:r>
        <w:rPr>
          <w:rFonts w:hint="eastAsia" w:ascii="宋体" w:hAnsi="宋体" w:cs="宋体"/>
          <w:szCs w:val="21"/>
        </w:rPr>
        <w:t>1.项目编号：ZJJY-20210713-01</w:t>
      </w:r>
    </w:p>
    <w:p>
      <w:pPr>
        <w:spacing w:line="288" w:lineRule="auto"/>
        <w:ind w:firstLine="420" w:firstLineChars="200"/>
        <w:rPr>
          <w:rFonts w:ascii="宋体" w:hAnsi="宋体" w:cs="宋体"/>
          <w:szCs w:val="21"/>
        </w:rPr>
      </w:pPr>
      <w:r>
        <w:rPr>
          <w:rFonts w:hint="eastAsia" w:ascii="宋体" w:hAnsi="宋体" w:cs="宋体"/>
          <w:szCs w:val="21"/>
        </w:rPr>
        <w:t>2.政府采购计划文号：</w:t>
      </w:r>
      <w:r>
        <w:fldChar w:fldCharType="begin"/>
      </w:r>
      <w:r>
        <w:instrText xml:space="preserve"> HYPERLINK "https://pay.zcygov.cn/purchaseplan_front/" \l "/purchasePlans/_blank" \t "https://www.zcygov.cn/bidding-entrust/" </w:instrText>
      </w:r>
      <w:r>
        <w:fldChar w:fldCharType="separate"/>
      </w:r>
      <w:r>
        <w:rPr>
          <w:rFonts w:hint="eastAsia" w:ascii="宋体" w:hAnsi="宋体" w:cs="宋体"/>
          <w:szCs w:val="21"/>
        </w:rPr>
        <w:t>临[2021]31644号</w:t>
      </w:r>
      <w:r>
        <w:rPr>
          <w:rFonts w:hint="eastAsia" w:ascii="宋体" w:hAnsi="宋体" w:cs="宋体"/>
          <w:szCs w:val="21"/>
        </w:rPr>
        <w:fldChar w:fldCharType="end"/>
      </w:r>
    </w:p>
    <w:p>
      <w:pPr>
        <w:spacing w:line="288" w:lineRule="auto"/>
        <w:ind w:firstLine="420" w:firstLineChars="200"/>
        <w:rPr>
          <w:rFonts w:ascii="宋体" w:hAnsi="宋体" w:cs="宋体"/>
          <w:szCs w:val="21"/>
        </w:rPr>
      </w:pPr>
      <w:r>
        <w:rPr>
          <w:rFonts w:hint="eastAsia" w:ascii="宋体" w:hAnsi="宋体" w:cs="宋体"/>
          <w:szCs w:val="21"/>
        </w:rPr>
        <w:t>3.项目名称：</w:t>
      </w:r>
      <w:bookmarkStart w:id="5" w:name="_Hlk76142564"/>
      <w:r>
        <w:rPr>
          <w:rFonts w:hint="eastAsia" w:ascii="宋体" w:hAnsi="宋体" w:cs="宋体"/>
          <w:szCs w:val="21"/>
        </w:rPr>
        <w:t>浙江财经大学图书盘点服务</w:t>
      </w:r>
    </w:p>
    <w:bookmarkEnd w:id="5"/>
    <w:p>
      <w:pPr>
        <w:spacing w:line="288" w:lineRule="auto"/>
        <w:ind w:firstLine="420" w:firstLineChars="200"/>
        <w:rPr>
          <w:rFonts w:ascii="宋体" w:hAnsi="宋体" w:cs="宋体"/>
          <w:szCs w:val="21"/>
        </w:rPr>
      </w:pPr>
      <w:r>
        <w:rPr>
          <w:rFonts w:hint="eastAsia" w:ascii="宋体" w:hAnsi="宋体" w:cs="宋体"/>
          <w:szCs w:val="21"/>
        </w:rPr>
        <w:t>4.采购方式：竞争性磋商</w:t>
      </w:r>
    </w:p>
    <w:bookmarkEnd w:id="4"/>
    <w:p>
      <w:pPr>
        <w:spacing w:line="288" w:lineRule="auto"/>
        <w:ind w:firstLine="420" w:firstLineChars="200"/>
        <w:rPr>
          <w:rFonts w:ascii="宋体" w:hAnsi="宋体" w:cs="宋体"/>
          <w:szCs w:val="21"/>
        </w:rPr>
      </w:pPr>
      <w:r>
        <w:rPr>
          <w:rFonts w:hint="eastAsia" w:ascii="宋体" w:hAnsi="宋体" w:cs="宋体"/>
          <w:szCs w:val="21"/>
        </w:rPr>
        <w:t>5.预算金额：50万</w:t>
      </w:r>
      <w:r>
        <w:rPr>
          <w:rFonts w:ascii="宋体" w:hAnsi="宋体" w:cs="宋体"/>
          <w:szCs w:val="21"/>
        </w:rPr>
        <w:t xml:space="preserve"> </w:t>
      </w:r>
    </w:p>
    <w:p>
      <w:pPr>
        <w:spacing w:line="288" w:lineRule="auto"/>
        <w:ind w:firstLine="420" w:firstLineChars="200"/>
        <w:rPr>
          <w:rFonts w:ascii="宋体" w:hAnsi="宋体" w:cs="宋体"/>
        </w:rPr>
      </w:pPr>
      <w:r>
        <w:rPr>
          <w:rFonts w:hint="eastAsia" w:ascii="宋体" w:hAnsi="宋体" w:cs="宋体"/>
          <w:szCs w:val="21"/>
        </w:rPr>
        <w:t>6.采购需求：</w:t>
      </w:r>
    </w:p>
    <w:tbl>
      <w:tblPr>
        <w:tblStyle w:val="10"/>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4"/>
        <w:gridCol w:w="3277"/>
        <w:gridCol w:w="1107"/>
        <w:gridCol w:w="1107"/>
        <w:gridCol w:w="3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387" w:type="pct"/>
            <w:vAlign w:val="center"/>
          </w:tcPr>
          <w:p>
            <w:pPr>
              <w:spacing w:line="288" w:lineRule="auto"/>
              <w:jc w:val="center"/>
              <w:rPr>
                <w:rFonts w:ascii="宋体" w:hAnsi="宋体" w:cs="宋体"/>
                <w:b/>
                <w:bCs/>
                <w:szCs w:val="21"/>
              </w:rPr>
            </w:pPr>
            <w:r>
              <w:rPr>
                <w:rFonts w:hint="eastAsia" w:ascii="宋体" w:hAnsi="宋体" w:cs="宋体"/>
                <w:b/>
                <w:bCs/>
                <w:szCs w:val="21"/>
              </w:rPr>
              <w:t>标项</w:t>
            </w:r>
          </w:p>
        </w:tc>
        <w:tc>
          <w:tcPr>
            <w:tcW w:w="1703" w:type="pct"/>
            <w:tcBorders>
              <w:right w:val="single" w:color="auto" w:sz="4" w:space="0"/>
            </w:tcBorders>
            <w:vAlign w:val="center"/>
          </w:tcPr>
          <w:p>
            <w:pPr>
              <w:spacing w:line="288" w:lineRule="auto"/>
              <w:jc w:val="center"/>
              <w:rPr>
                <w:rFonts w:ascii="宋体" w:hAnsi="宋体" w:cs="宋体"/>
                <w:b/>
                <w:bCs/>
                <w:szCs w:val="21"/>
              </w:rPr>
            </w:pPr>
            <w:r>
              <w:rPr>
                <w:rFonts w:hint="eastAsia" w:ascii="宋体" w:hAnsi="宋体" w:cs="宋体"/>
                <w:b/>
                <w:bCs/>
                <w:szCs w:val="21"/>
              </w:rPr>
              <w:t>名称</w:t>
            </w:r>
          </w:p>
        </w:tc>
        <w:tc>
          <w:tcPr>
            <w:tcW w:w="575" w:type="pct"/>
            <w:vAlign w:val="center"/>
          </w:tcPr>
          <w:p>
            <w:pPr>
              <w:spacing w:line="288" w:lineRule="auto"/>
              <w:jc w:val="center"/>
              <w:rPr>
                <w:rFonts w:ascii="宋体" w:hAnsi="宋体" w:cs="宋体"/>
                <w:b/>
                <w:bCs/>
                <w:szCs w:val="21"/>
              </w:rPr>
            </w:pPr>
            <w:r>
              <w:rPr>
                <w:rFonts w:hint="eastAsia" w:ascii="宋体" w:hAnsi="宋体" w:cs="宋体"/>
                <w:b/>
                <w:bCs/>
                <w:szCs w:val="21"/>
              </w:rPr>
              <w:t>数量</w:t>
            </w:r>
          </w:p>
        </w:tc>
        <w:tc>
          <w:tcPr>
            <w:tcW w:w="575" w:type="pct"/>
            <w:vAlign w:val="center"/>
          </w:tcPr>
          <w:p>
            <w:pPr>
              <w:spacing w:line="288" w:lineRule="auto"/>
              <w:jc w:val="center"/>
              <w:rPr>
                <w:rFonts w:ascii="宋体" w:hAnsi="宋体" w:cs="宋体"/>
                <w:b/>
                <w:bCs/>
                <w:szCs w:val="21"/>
              </w:rPr>
            </w:pPr>
            <w:r>
              <w:rPr>
                <w:rFonts w:hint="eastAsia" w:ascii="宋体" w:hAnsi="宋体" w:cs="宋体"/>
                <w:b/>
                <w:bCs/>
                <w:szCs w:val="21"/>
              </w:rPr>
              <w:t>单位</w:t>
            </w:r>
          </w:p>
        </w:tc>
        <w:tc>
          <w:tcPr>
            <w:tcW w:w="1760" w:type="pct"/>
            <w:tcBorders>
              <w:right w:val="single" w:color="auto" w:sz="4" w:space="0"/>
            </w:tcBorders>
            <w:vAlign w:val="center"/>
          </w:tcPr>
          <w:p>
            <w:pPr>
              <w:spacing w:line="288" w:lineRule="auto"/>
              <w:jc w:val="center"/>
              <w:rPr>
                <w:rFonts w:ascii="宋体" w:hAnsi="宋体" w:cs="宋体"/>
                <w:b/>
                <w:bCs/>
                <w:szCs w:val="21"/>
              </w:rPr>
            </w:pPr>
            <w:r>
              <w:rPr>
                <w:rFonts w:hint="eastAsia" w:ascii="宋体" w:hAnsi="宋体" w:cs="宋体"/>
                <w:b/>
                <w:bCs/>
                <w:szCs w:val="21"/>
              </w:rPr>
              <w:t>简要技术需求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7" w:type="pct"/>
            <w:vAlign w:val="center"/>
          </w:tcPr>
          <w:p>
            <w:pPr>
              <w:spacing w:before="72" w:beforeLines="30" w:line="288" w:lineRule="auto"/>
              <w:jc w:val="center"/>
              <w:rPr>
                <w:rFonts w:ascii="宋体" w:hAnsi="宋体" w:cs="宋体"/>
                <w:bCs/>
                <w:szCs w:val="21"/>
              </w:rPr>
            </w:pPr>
            <w:r>
              <w:rPr>
                <w:rFonts w:hint="eastAsia" w:ascii="宋体" w:hAnsi="宋体" w:cs="宋体"/>
                <w:bCs/>
                <w:szCs w:val="21"/>
              </w:rPr>
              <w:t>一</w:t>
            </w:r>
          </w:p>
        </w:tc>
        <w:tc>
          <w:tcPr>
            <w:tcW w:w="1703" w:type="pct"/>
            <w:tcBorders>
              <w:right w:val="single" w:color="auto" w:sz="4" w:space="0"/>
            </w:tcBorders>
            <w:vAlign w:val="center"/>
          </w:tcPr>
          <w:p>
            <w:pPr>
              <w:spacing w:before="72" w:beforeLines="30" w:line="288" w:lineRule="auto"/>
              <w:jc w:val="center"/>
              <w:rPr>
                <w:rFonts w:ascii="宋体" w:hAnsi="宋体" w:cs="宋体"/>
                <w:bCs/>
                <w:szCs w:val="21"/>
              </w:rPr>
            </w:pPr>
            <w:r>
              <w:rPr>
                <w:rFonts w:hint="eastAsia" w:ascii="宋体" w:hAnsi="宋体" w:cs="宋体"/>
                <w:szCs w:val="21"/>
              </w:rPr>
              <w:t>浙江财经大学图书盘点服务</w:t>
            </w:r>
          </w:p>
        </w:tc>
        <w:tc>
          <w:tcPr>
            <w:tcW w:w="575" w:type="pct"/>
            <w:vAlign w:val="center"/>
          </w:tcPr>
          <w:p>
            <w:pPr>
              <w:spacing w:before="72" w:beforeLines="30" w:line="288" w:lineRule="auto"/>
              <w:jc w:val="center"/>
              <w:rPr>
                <w:rFonts w:ascii="宋体" w:hAnsi="宋体" w:cs="宋体"/>
                <w:bCs/>
                <w:szCs w:val="21"/>
              </w:rPr>
            </w:pPr>
            <w:r>
              <w:rPr>
                <w:rFonts w:hint="eastAsia" w:ascii="宋体" w:hAnsi="宋体" w:cs="宋体"/>
                <w:bCs/>
                <w:szCs w:val="21"/>
              </w:rPr>
              <w:t>1</w:t>
            </w:r>
          </w:p>
        </w:tc>
        <w:tc>
          <w:tcPr>
            <w:tcW w:w="575" w:type="pct"/>
            <w:vAlign w:val="center"/>
          </w:tcPr>
          <w:p>
            <w:pPr>
              <w:spacing w:before="72" w:beforeLines="30" w:line="288" w:lineRule="auto"/>
              <w:jc w:val="center"/>
              <w:rPr>
                <w:rFonts w:ascii="宋体" w:hAnsi="宋体" w:cs="宋体"/>
                <w:bCs/>
                <w:szCs w:val="21"/>
              </w:rPr>
            </w:pPr>
            <w:r>
              <w:rPr>
                <w:rFonts w:hint="eastAsia" w:ascii="宋体" w:hAnsi="宋体" w:cs="宋体"/>
                <w:bCs/>
                <w:szCs w:val="21"/>
              </w:rPr>
              <w:t>项</w:t>
            </w:r>
          </w:p>
        </w:tc>
        <w:tc>
          <w:tcPr>
            <w:tcW w:w="1760" w:type="pct"/>
            <w:tcBorders>
              <w:right w:val="single" w:color="auto" w:sz="4" w:space="0"/>
            </w:tcBorders>
            <w:vAlign w:val="center"/>
          </w:tcPr>
          <w:p>
            <w:pPr>
              <w:spacing w:before="72" w:beforeLines="30" w:line="288" w:lineRule="auto"/>
              <w:jc w:val="center"/>
              <w:rPr>
                <w:rFonts w:ascii="宋体" w:hAnsi="宋体" w:cs="宋体"/>
                <w:bCs/>
                <w:szCs w:val="21"/>
              </w:rPr>
            </w:pPr>
            <w:r>
              <w:rPr>
                <w:rFonts w:hint="eastAsia" w:ascii="宋体" w:hAnsi="宋体" w:cs="宋体"/>
                <w:bCs/>
                <w:szCs w:val="21"/>
              </w:rPr>
              <w:t>详见采购需求</w:t>
            </w:r>
          </w:p>
        </w:tc>
      </w:tr>
    </w:tbl>
    <w:p>
      <w:pPr>
        <w:spacing w:before="72" w:beforeLines="30" w:line="288" w:lineRule="auto"/>
        <w:ind w:firstLine="422" w:firstLineChars="200"/>
        <w:rPr>
          <w:rFonts w:ascii="宋体" w:hAnsi="宋体" w:cs="宋体"/>
          <w:szCs w:val="21"/>
        </w:rPr>
      </w:pPr>
      <w:r>
        <w:rPr>
          <w:rFonts w:hint="eastAsia" w:ascii="宋体" w:hAnsi="宋体" w:cs="宋体"/>
          <w:b/>
          <w:bCs/>
          <w:szCs w:val="21"/>
        </w:rPr>
        <w:t>注：</w:t>
      </w:r>
      <w:r>
        <w:rPr>
          <w:rFonts w:hint="eastAsia" w:ascii="宋体" w:hAnsi="宋体" w:cs="宋体"/>
          <w:szCs w:val="21"/>
        </w:rPr>
        <w:t xml:space="preserve"> </w:t>
      </w:r>
      <w:r>
        <w:rPr>
          <w:rFonts w:hint="eastAsia" w:ascii="宋体" w:hAnsi="宋体" w:cs="宋体"/>
          <w:b/>
          <w:bCs/>
          <w:szCs w:val="21"/>
        </w:rPr>
        <w:t>1、交货期：合同签订后3个月内完成。2、质保期要求：自项目验收合格之日起1年。</w:t>
      </w:r>
    </w:p>
    <w:p>
      <w:pPr>
        <w:spacing w:before="72" w:beforeLines="30" w:line="288" w:lineRule="auto"/>
        <w:ind w:firstLine="420" w:firstLineChars="200"/>
        <w:rPr>
          <w:rFonts w:ascii="宋体" w:hAnsi="宋体" w:cs="宋体"/>
          <w:szCs w:val="21"/>
          <w:u w:val="single"/>
        </w:rPr>
      </w:pPr>
      <w:r>
        <w:rPr>
          <w:rFonts w:hint="eastAsia" w:ascii="宋体" w:hAnsi="宋体" w:cs="宋体"/>
          <w:szCs w:val="21"/>
        </w:rPr>
        <w:t>7.合同履行期限：从合同签订之日起开始计算</w:t>
      </w:r>
      <w:r>
        <w:rPr>
          <w:rFonts w:hint="eastAsia" w:ascii="宋体" w:hAnsi="宋体"/>
          <w:bCs/>
          <w:szCs w:val="21"/>
        </w:rPr>
        <w:t>至质保期结束。</w:t>
      </w:r>
    </w:p>
    <w:p>
      <w:pPr>
        <w:spacing w:line="288" w:lineRule="auto"/>
        <w:ind w:firstLine="420" w:firstLineChars="200"/>
        <w:rPr>
          <w:rFonts w:ascii="宋体" w:hAnsi="宋体" w:cs="宋体"/>
          <w:szCs w:val="21"/>
        </w:rPr>
      </w:pPr>
      <w:r>
        <w:rPr>
          <w:rFonts w:hint="eastAsia" w:ascii="宋体" w:hAnsi="宋体" w:cs="宋体"/>
          <w:szCs w:val="21"/>
        </w:rPr>
        <w:t>8.本项目不接受联合体投标。</w:t>
      </w:r>
    </w:p>
    <w:p>
      <w:pPr>
        <w:spacing w:line="288" w:lineRule="auto"/>
        <w:ind w:firstLine="200"/>
        <w:rPr>
          <w:rFonts w:ascii="宋体" w:hAnsi="宋体" w:cs="宋体"/>
          <w:b/>
          <w:sz w:val="24"/>
        </w:rPr>
      </w:pPr>
      <w:bookmarkStart w:id="6" w:name="_Toc28359003"/>
      <w:bookmarkStart w:id="7" w:name="_Toc35393622"/>
      <w:bookmarkStart w:id="8" w:name="_Toc35393791"/>
      <w:bookmarkStart w:id="9" w:name="_Toc28359080"/>
      <w:r>
        <w:rPr>
          <w:rFonts w:hint="eastAsia" w:ascii="宋体" w:hAnsi="宋体" w:cs="宋体"/>
          <w:b/>
          <w:sz w:val="24"/>
        </w:rPr>
        <w:t>二、申请人的资格要求：</w:t>
      </w:r>
      <w:bookmarkEnd w:id="6"/>
      <w:bookmarkEnd w:id="7"/>
      <w:bookmarkEnd w:id="8"/>
      <w:bookmarkEnd w:id="9"/>
    </w:p>
    <w:p>
      <w:pPr>
        <w:spacing w:line="288" w:lineRule="auto"/>
        <w:ind w:firstLine="420" w:firstLineChars="200"/>
        <w:rPr>
          <w:rFonts w:ascii="宋体" w:hAnsi="宋体" w:cs="宋体"/>
          <w:szCs w:val="21"/>
        </w:rPr>
      </w:pPr>
      <w:r>
        <w:rPr>
          <w:rFonts w:hint="eastAsia" w:ascii="宋体" w:hAnsi="宋体" w:cs="宋体"/>
          <w:szCs w:val="21"/>
        </w:rPr>
        <w:t>1.满足《中华人民共和国政府采购法》第二十二条规定；</w:t>
      </w:r>
    </w:p>
    <w:p>
      <w:pPr>
        <w:spacing w:line="288" w:lineRule="auto"/>
        <w:ind w:firstLine="420" w:firstLineChars="200"/>
        <w:rPr>
          <w:rFonts w:ascii="宋体" w:hAnsi="宋体" w:cs="宋体"/>
          <w:szCs w:val="21"/>
        </w:rPr>
      </w:pPr>
      <w:bookmarkStart w:id="10" w:name="_Toc28359081"/>
      <w:bookmarkStart w:id="11" w:name="_Toc28359004"/>
      <w:r>
        <w:rPr>
          <w:rFonts w:hint="eastAsia" w:ascii="宋体" w:hAnsi="宋体" w:cs="宋体"/>
          <w:szCs w:val="21"/>
        </w:rPr>
        <w:t>2.落实政府采购政策需满足的资格要求：无</w:t>
      </w:r>
    </w:p>
    <w:p>
      <w:pPr>
        <w:spacing w:line="288" w:lineRule="auto"/>
        <w:ind w:firstLine="420" w:firstLineChars="200"/>
        <w:rPr>
          <w:rFonts w:ascii="宋体" w:hAnsi="宋体" w:cs="宋体"/>
          <w:szCs w:val="21"/>
        </w:rPr>
      </w:pPr>
      <w:r>
        <w:rPr>
          <w:rFonts w:hint="eastAsia" w:ascii="宋体" w:hAnsi="宋体" w:cs="宋体"/>
          <w:szCs w:val="21"/>
        </w:rPr>
        <w:t>3.本项目的特定资格要求：无</w:t>
      </w:r>
    </w:p>
    <w:p>
      <w:pPr>
        <w:spacing w:line="288" w:lineRule="auto"/>
        <w:ind w:firstLine="420" w:firstLineChars="200"/>
        <w:rPr>
          <w:rFonts w:ascii="宋体" w:hAnsi="宋体" w:cs="宋体"/>
          <w:szCs w:val="21"/>
        </w:rPr>
      </w:pPr>
      <w:r>
        <w:rPr>
          <w:rFonts w:hint="eastAsia" w:ascii="宋体" w:hAnsi="宋体" w:cs="宋体"/>
          <w:szCs w:val="21"/>
        </w:rPr>
        <w:t>4.截止响应截止时间未被“信用中国”（www.creditchina.gov.cn）、“中国政府采购网”（www.ccgp.gov.cn）列入失信被执行人、重大税收违法案件当事人名单、政府采购严重违法失信行为记录名单；</w:t>
      </w:r>
    </w:p>
    <w:p>
      <w:pPr>
        <w:spacing w:line="288" w:lineRule="auto"/>
        <w:ind w:firstLine="420" w:firstLineChars="200"/>
        <w:rPr>
          <w:rFonts w:ascii="宋体" w:hAnsi="宋体" w:cs="宋体"/>
          <w:szCs w:val="21"/>
        </w:rPr>
      </w:pPr>
      <w:r>
        <w:rPr>
          <w:rFonts w:hint="eastAsia" w:ascii="宋体" w:hAnsi="宋体" w:cs="宋体"/>
          <w:szCs w:val="21"/>
        </w:rPr>
        <w:t>5. 法律、行政法规规定的其他条件。</w:t>
      </w:r>
    </w:p>
    <w:p>
      <w:pPr>
        <w:spacing w:line="288" w:lineRule="auto"/>
        <w:ind w:firstLine="200"/>
        <w:rPr>
          <w:rFonts w:ascii="宋体" w:hAnsi="宋体" w:cs="宋体"/>
          <w:b/>
          <w:sz w:val="24"/>
        </w:rPr>
      </w:pPr>
      <w:bookmarkStart w:id="12" w:name="_Toc35393623"/>
      <w:bookmarkStart w:id="13" w:name="_Toc35393792"/>
      <w:r>
        <w:rPr>
          <w:rFonts w:hint="eastAsia" w:ascii="宋体" w:hAnsi="宋体" w:cs="宋体"/>
          <w:b/>
          <w:sz w:val="24"/>
        </w:rPr>
        <w:t>三、获取采购文件</w:t>
      </w:r>
      <w:bookmarkEnd w:id="10"/>
      <w:bookmarkEnd w:id="11"/>
      <w:bookmarkEnd w:id="12"/>
      <w:bookmarkEnd w:id="13"/>
    </w:p>
    <w:p>
      <w:pPr>
        <w:tabs>
          <w:tab w:val="left" w:pos="3915"/>
        </w:tabs>
        <w:spacing w:line="288" w:lineRule="auto"/>
        <w:ind w:firstLine="420" w:firstLineChars="200"/>
        <w:rPr>
          <w:rFonts w:ascii="宋体" w:hAnsi="宋体" w:cs="宋体"/>
          <w:szCs w:val="21"/>
        </w:rPr>
      </w:pPr>
      <w:bookmarkStart w:id="14" w:name="_Toc28359005"/>
      <w:bookmarkStart w:id="15" w:name="_Toc28359082"/>
      <w:bookmarkStart w:id="16" w:name="_Toc35393624"/>
      <w:bookmarkStart w:id="17" w:name="_Toc35393793"/>
      <w:r>
        <w:rPr>
          <w:rFonts w:hint="eastAsia" w:ascii="宋体" w:hAnsi="宋体" w:cs="宋体"/>
          <w:szCs w:val="21"/>
        </w:rPr>
        <w:t>1.时间：/至</w:t>
      </w:r>
      <w:r>
        <w:rPr>
          <w:rFonts w:hint="eastAsia" w:ascii="宋体" w:hAnsi="宋体" w:cs="宋体"/>
          <w:b/>
          <w:bCs/>
          <w:szCs w:val="21"/>
        </w:rPr>
        <w:t>2021年07月</w:t>
      </w:r>
      <w:r>
        <w:rPr>
          <w:rFonts w:ascii="宋体" w:hAnsi="宋体" w:cs="宋体"/>
          <w:b/>
          <w:bCs/>
          <w:szCs w:val="21"/>
        </w:rPr>
        <w:t>2</w:t>
      </w:r>
      <w:r>
        <w:rPr>
          <w:rFonts w:hint="eastAsia" w:ascii="宋体" w:hAnsi="宋体" w:cs="宋体"/>
          <w:b/>
          <w:bCs/>
          <w:szCs w:val="21"/>
        </w:rPr>
        <w:t>9日上午09:30</w:t>
      </w:r>
      <w:r>
        <w:rPr>
          <w:rFonts w:hint="eastAsia" w:ascii="宋体" w:hAnsi="宋体" w:cs="宋体"/>
          <w:szCs w:val="21"/>
        </w:rPr>
        <w:t>（北京时间，线上获取法定节假日均可，线下获取文件法定节假日除外）</w:t>
      </w:r>
    </w:p>
    <w:p>
      <w:pPr>
        <w:spacing w:line="288" w:lineRule="auto"/>
        <w:ind w:firstLine="420" w:firstLineChars="200"/>
        <w:rPr>
          <w:rFonts w:ascii="宋体" w:hAnsi="宋体" w:cs="宋体"/>
          <w:szCs w:val="21"/>
        </w:rPr>
      </w:pPr>
      <w:r>
        <w:rPr>
          <w:rFonts w:hint="eastAsia" w:ascii="宋体" w:hAnsi="宋体" w:cs="宋体"/>
          <w:szCs w:val="21"/>
        </w:rPr>
        <w:t>2.地址：政府采购云平台（https://login.zcygov.cn）</w:t>
      </w:r>
    </w:p>
    <w:p>
      <w:pPr>
        <w:spacing w:line="288" w:lineRule="auto"/>
        <w:ind w:firstLine="420" w:firstLineChars="200"/>
        <w:rPr>
          <w:rFonts w:ascii="宋体" w:hAnsi="宋体" w:cs="宋体"/>
          <w:szCs w:val="21"/>
        </w:rPr>
      </w:pPr>
      <w:r>
        <w:rPr>
          <w:rFonts w:hint="eastAsia" w:ascii="宋体" w:hAnsi="宋体" w:cs="宋体"/>
          <w:szCs w:val="21"/>
        </w:rPr>
        <w:t>3.方式：在线获取（潜在供应商登陆政府采购云平台，进入“项目采购”，在“获取采购文件”菜单中选择项目后“申请获取采购文件”）</w:t>
      </w:r>
    </w:p>
    <w:p>
      <w:pPr>
        <w:spacing w:line="288" w:lineRule="auto"/>
        <w:ind w:firstLine="420" w:firstLineChars="200"/>
        <w:rPr>
          <w:rFonts w:ascii="宋体" w:hAnsi="宋体" w:cs="宋体"/>
          <w:szCs w:val="21"/>
        </w:rPr>
      </w:pPr>
      <w:r>
        <w:rPr>
          <w:rFonts w:hint="eastAsia" w:ascii="宋体" w:hAnsi="宋体" w:cs="宋体"/>
          <w:szCs w:val="21"/>
        </w:rPr>
        <w:t>4.售价：免费</w:t>
      </w:r>
    </w:p>
    <w:p>
      <w:pPr>
        <w:spacing w:line="288" w:lineRule="auto"/>
        <w:ind w:firstLine="420" w:firstLineChars="200"/>
        <w:rPr>
          <w:rFonts w:ascii="宋体" w:hAnsi="宋体" w:cs="宋体"/>
          <w:szCs w:val="21"/>
        </w:rPr>
      </w:pPr>
      <w:r>
        <w:rPr>
          <w:rFonts w:hint="eastAsia" w:ascii="宋体" w:hAnsi="宋体" w:cs="宋体"/>
          <w:szCs w:val="21"/>
        </w:rPr>
        <w:t>备注：</w:t>
      </w:r>
    </w:p>
    <w:p>
      <w:pPr>
        <w:spacing w:line="288" w:lineRule="auto"/>
        <w:ind w:firstLine="420" w:firstLineChars="200"/>
        <w:rPr>
          <w:rFonts w:ascii="宋体" w:hAnsi="宋体" w:cs="宋体"/>
          <w:color w:val="000000"/>
          <w:szCs w:val="21"/>
        </w:rPr>
      </w:pPr>
      <w:r>
        <w:rPr>
          <w:rFonts w:hint="eastAsia" w:ascii="宋体" w:hAnsi="宋体" w:cs="宋体"/>
          <w:color w:val="000000"/>
          <w:szCs w:val="21"/>
        </w:rPr>
        <w:t>1）获取磋商文件截止时间之后潜在供应商依然可以获取磋商文件，如对磋商文件有质疑的应在规定的质疑期限内提出；</w:t>
      </w:r>
    </w:p>
    <w:p>
      <w:pPr>
        <w:spacing w:line="288" w:lineRule="auto"/>
        <w:ind w:firstLine="420" w:firstLineChars="200"/>
        <w:rPr>
          <w:rFonts w:ascii="宋体" w:hAnsi="宋体" w:cs="宋体"/>
          <w:szCs w:val="21"/>
        </w:rPr>
      </w:pPr>
      <w:r>
        <w:rPr>
          <w:rFonts w:hint="eastAsia" w:ascii="宋体" w:hAnsi="宋体" w:cs="宋体"/>
          <w:color w:val="000000"/>
          <w:szCs w:val="21"/>
        </w:rPr>
        <w:t xml:space="preserve">2）公告规定的磋商文件获取方式为依法获取磋商文件的方式，未按照公告规定的方式获取磋商文件的，不得对磋商文件提起质疑、投诉。 </w:t>
      </w:r>
    </w:p>
    <w:p>
      <w:pPr>
        <w:spacing w:line="288" w:lineRule="auto"/>
        <w:ind w:firstLine="200"/>
        <w:rPr>
          <w:rFonts w:ascii="宋体" w:hAnsi="宋体" w:cs="宋体"/>
          <w:b/>
          <w:sz w:val="24"/>
        </w:rPr>
      </w:pPr>
      <w:r>
        <w:rPr>
          <w:rFonts w:hint="eastAsia" w:ascii="宋体" w:hAnsi="宋体" w:cs="宋体"/>
          <w:b/>
          <w:sz w:val="24"/>
        </w:rPr>
        <w:t>四、</w:t>
      </w:r>
      <w:bookmarkEnd w:id="14"/>
      <w:bookmarkEnd w:id="15"/>
      <w:bookmarkEnd w:id="16"/>
      <w:bookmarkEnd w:id="17"/>
      <w:r>
        <w:rPr>
          <w:rFonts w:hint="eastAsia" w:ascii="宋体" w:hAnsi="宋体" w:cs="宋体"/>
          <w:b/>
          <w:sz w:val="24"/>
        </w:rPr>
        <w:t>响应文件提交</w:t>
      </w:r>
    </w:p>
    <w:p>
      <w:pPr>
        <w:spacing w:line="288" w:lineRule="auto"/>
        <w:ind w:firstLine="420" w:firstLineChars="200"/>
        <w:rPr>
          <w:rFonts w:ascii="宋体" w:hAnsi="宋体" w:cs="宋体"/>
          <w:bCs/>
          <w:szCs w:val="21"/>
        </w:rPr>
      </w:pPr>
      <w:r>
        <w:rPr>
          <w:rFonts w:hint="eastAsia" w:ascii="宋体" w:hAnsi="宋体" w:cs="宋体"/>
          <w:bCs/>
          <w:szCs w:val="21"/>
        </w:rPr>
        <w:t>1.响应文件提交截止时间：</w:t>
      </w:r>
      <w:bookmarkStart w:id="18" w:name="_Hlk76487748"/>
      <w:r>
        <w:rPr>
          <w:rFonts w:hint="eastAsia" w:ascii="宋体" w:hAnsi="宋体" w:cs="宋体"/>
          <w:b/>
          <w:bCs/>
          <w:szCs w:val="21"/>
        </w:rPr>
        <w:t>2021年07月</w:t>
      </w:r>
      <w:r>
        <w:rPr>
          <w:rFonts w:ascii="宋体" w:hAnsi="宋体" w:cs="宋体"/>
          <w:b/>
          <w:bCs/>
          <w:szCs w:val="21"/>
        </w:rPr>
        <w:t>2</w:t>
      </w:r>
      <w:r>
        <w:rPr>
          <w:rFonts w:hint="eastAsia" w:ascii="宋体" w:hAnsi="宋体" w:cs="宋体"/>
          <w:b/>
          <w:bCs/>
          <w:szCs w:val="21"/>
        </w:rPr>
        <w:t>9日上午09:30:00</w:t>
      </w:r>
      <w:bookmarkEnd w:id="18"/>
      <w:r>
        <w:rPr>
          <w:rFonts w:hint="eastAsia" w:ascii="宋体" w:hAnsi="宋体" w:cs="宋体"/>
          <w:bCs/>
          <w:szCs w:val="21"/>
        </w:rPr>
        <w:t>（北京时间）</w:t>
      </w:r>
    </w:p>
    <w:p>
      <w:pPr>
        <w:spacing w:line="288" w:lineRule="auto"/>
        <w:ind w:firstLine="420" w:firstLineChars="200"/>
        <w:rPr>
          <w:rFonts w:ascii="宋体" w:hAnsi="宋体" w:cs="宋体"/>
          <w:bCs/>
          <w:szCs w:val="21"/>
        </w:rPr>
      </w:pPr>
      <w:r>
        <w:rPr>
          <w:rFonts w:hint="eastAsia" w:ascii="宋体" w:hAnsi="宋体" w:cs="宋体"/>
          <w:bCs/>
          <w:szCs w:val="21"/>
        </w:rPr>
        <w:t>2.地点：通过政府采购云平台在线电子提交</w:t>
      </w:r>
    </w:p>
    <w:p>
      <w:pPr>
        <w:spacing w:line="288" w:lineRule="auto"/>
        <w:ind w:firstLine="420" w:firstLineChars="200"/>
        <w:rPr>
          <w:rFonts w:ascii="宋体" w:hAnsi="宋体" w:cs="宋体"/>
          <w:szCs w:val="21"/>
        </w:rPr>
      </w:pPr>
      <w:r>
        <w:rPr>
          <w:rFonts w:hint="eastAsia" w:ascii="宋体" w:hAnsi="宋体" w:cs="宋体"/>
          <w:szCs w:val="21"/>
        </w:rPr>
        <w:t>备注：</w:t>
      </w:r>
    </w:p>
    <w:p>
      <w:pPr>
        <w:spacing w:line="288" w:lineRule="auto"/>
        <w:ind w:firstLine="420" w:firstLineChars="200"/>
        <w:rPr>
          <w:rFonts w:ascii="宋体" w:hAnsi="宋体" w:cs="宋体"/>
          <w:color w:val="000000"/>
          <w:szCs w:val="21"/>
        </w:rPr>
      </w:pPr>
      <w:r>
        <w:rPr>
          <w:rFonts w:hint="eastAsia" w:ascii="宋体" w:hAnsi="宋体" w:cs="宋体"/>
          <w:szCs w:val="21"/>
        </w:rPr>
        <w:t>1）供应商未按规定编制加密或者响应文件提交截止时间后上传的响应文件政府采购云平台将予以拒收；</w:t>
      </w:r>
    </w:p>
    <w:p>
      <w:pPr>
        <w:spacing w:line="288" w:lineRule="auto"/>
        <w:ind w:firstLine="420" w:firstLineChars="200"/>
        <w:rPr>
          <w:rFonts w:ascii="宋体" w:hAnsi="宋体" w:cs="宋体"/>
          <w:bCs/>
          <w:szCs w:val="21"/>
        </w:rPr>
      </w:pPr>
      <w:r>
        <w:rPr>
          <w:rFonts w:hint="eastAsia" w:ascii="宋体" w:hAnsi="宋体" w:cs="宋体"/>
          <w:szCs w:val="21"/>
        </w:rPr>
        <w:t>2）供应商逾期送达或者未密封包装的备份响应文件采购代理机构将予以拒收</w:t>
      </w:r>
      <w:r>
        <w:rPr>
          <w:rFonts w:hint="eastAsia" w:ascii="宋体" w:hAnsi="宋体" w:cs="宋体"/>
          <w:color w:val="000000"/>
          <w:szCs w:val="21"/>
        </w:rPr>
        <w:t>。</w:t>
      </w:r>
    </w:p>
    <w:p>
      <w:pPr>
        <w:spacing w:line="288" w:lineRule="auto"/>
        <w:ind w:firstLine="200"/>
        <w:rPr>
          <w:rFonts w:ascii="宋体" w:hAnsi="宋体" w:cs="宋体"/>
          <w:b/>
          <w:sz w:val="24"/>
        </w:rPr>
      </w:pPr>
      <w:bookmarkStart w:id="19" w:name="_Toc35393794"/>
      <w:bookmarkStart w:id="20" w:name="_Toc28359007"/>
      <w:bookmarkStart w:id="21" w:name="_Toc28359084"/>
      <w:bookmarkStart w:id="22" w:name="_Toc35393625"/>
      <w:r>
        <w:rPr>
          <w:rFonts w:hint="eastAsia" w:ascii="宋体" w:hAnsi="宋体" w:cs="宋体"/>
          <w:b/>
          <w:sz w:val="24"/>
        </w:rPr>
        <w:t>五、开启</w:t>
      </w:r>
    </w:p>
    <w:p>
      <w:pPr>
        <w:spacing w:line="288" w:lineRule="auto"/>
        <w:ind w:firstLine="420" w:firstLineChars="200"/>
        <w:rPr>
          <w:rFonts w:ascii="宋体" w:hAnsi="宋体" w:cs="宋体"/>
          <w:bCs/>
          <w:szCs w:val="21"/>
        </w:rPr>
      </w:pPr>
      <w:r>
        <w:rPr>
          <w:rFonts w:hint="eastAsia" w:ascii="宋体" w:hAnsi="宋体" w:cs="宋体"/>
          <w:bCs/>
          <w:szCs w:val="21"/>
        </w:rPr>
        <w:t>1.响应文件开启时间：</w:t>
      </w:r>
      <w:r>
        <w:rPr>
          <w:rFonts w:hint="eastAsia" w:ascii="宋体" w:hAnsi="宋体" w:cs="宋体"/>
          <w:b/>
          <w:bCs/>
          <w:szCs w:val="21"/>
        </w:rPr>
        <w:t>2021年07月</w:t>
      </w:r>
      <w:r>
        <w:rPr>
          <w:rFonts w:ascii="宋体" w:hAnsi="宋体" w:cs="宋体"/>
          <w:b/>
          <w:bCs/>
          <w:szCs w:val="21"/>
        </w:rPr>
        <w:t>2</w:t>
      </w:r>
      <w:r>
        <w:rPr>
          <w:rFonts w:hint="eastAsia" w:ascii="宋体" w:hAnsi="宋体" w:cs="宋体"/>
          <w:b/>
          <w:bCs/>
          <w:szCs w:val="21"/>
        </w:rPr>
        <w:t>9日上午09:30:00</w:t>
      </w:r>
      <w:r>
        <w:rPr>
          <w:rFonts w:hint="eastAsia" w:ascii="宋体" w:hAnsi="宋体" w:cs="宋体"/>
          <w:bCs/>
          <w:szCs w:val="21"/>
        </w:rPr>
        <w:t>（北京时间）</w:t>
      </w:r>
    </w:p>
    <w:p>
      <w:pPr>
        <w:spacing w:line="288" w:lineRule="auto"/>
        <w:ind w:firstLine="409" w:firstLineChars="195"/>
        <w:rPr>
          <w:rFonts w:ascii="宋体" w:hAnsi="宋体" w:cs="宋体"/>
          <w:bCs/>
          <w:szCs w:val="21"/>
        </w:rPr>
      </w:pPr>
      <w:r>
        <w:rPr>
          <w:rFonts w:hint="eastAsia" w:ascii="宋体" w:hAnsi="宋体" w:cs="宋体"/>
          <w:bCs/>
          <w:szCs w:val="21"/>
        </w:rPr>
        <w:t>2.地点：通过政府采购云平台在线开启</w:t>
      </w:r>
    </w:p>
    <w:p>
      <w:pPr>
        <w:spacing w:line="288" w:lineRule="auto"/>
        <w:ind w:firstLine="409" w:firstLineChars="195"/>
        <w:rPr>
          <w:rFonts w:ascii="宋体" w:hAnsi="宋体" w:cs="宋体"/>
          <w:bCs/>
          <w:szCs w:val="21"/>
        </w:rPr>
      </w:pPr>
      <w:r>
        <w:rPr>
          <w:rFonts w:hint="eastAsia" w:ascii="宋体" w:hAnsi="宋体" w:cs="宋体"/>
          <w:szCs w:val="21"/>
        </w:rPr>
        <w:t>备注：响应方应在开启时间在线开启并解密电子加密响应文件。响应方须登录“政采云”平台，用“项目采购-开标评标”功能解密响应文件，解密须在开启时间后30分钟内完成。</w:t>
      </w:r>
    </w:p>
    <w:p>
      <w:pPr>
        <w:spacing w:line="288" w:lineRule="auto"/>
        <w:ind w:firstLine="200"/>
        <w:rPr>
          <w:rFonts w:ascii="宋体" w:hAnsi="宋体" w:cs="宋体"/>
          <w:b/>
          <w:sz w:val="24"/>
        </w:rPr>
      </w:pPr>
      <w:r>
        <w:rPr>
          <w:rFonts w:hint="eastAsia" w:ascii="宋体" w:hAnsi="宋体" w:cs="宋体"/>
          <w:b/>
          <w:sz w:val="24"/>
        </w:rPr>
        <w:t>六、公告期限</w:t>
      </w:r>
      <w:bookmarkEnd w:id="19"/>
      <w:bookmarkEnd w:id="20"/>
      <w:bookmarkEnd w:id="21"/>
      <w:bookmarkEnd w:id="22"/>
    </w:p>
    <w:p>
      <w:pPr>
        <w:spacing w:line="288" w:lineRule="auto"/>
        <w:ind w:firstLine="420" w:firstLineChars="200"/>
        <w:rPr>
          <w:rFonts w:ascii="宋体" w:hAnsi="宋体" w:cs="宋体"/>
          <w:kern w:val="0"/>
          <w:szCs w:val="21"/>
        </w:rPr>
      </w:pPr>
      <w:r>
        <w:rPr>
          <w:rFonts w:hint="eastAsia" w:ascii="宋体" w:hAnsi="宋体" w:cs="宋体"/>
          <w:kern w:val="0"/>
          <w:szCs w:val="21"/>
        </w:rPr>
        <w:t>自本公告发布之日起3个工作日。</w:t>
      </w:r>
    </w:p>
    <w:p>
      <w:pPr>
        <w:spacing w:line="288" w:lineRule="auto"/>
        <w:ind w:firstLine="241" w:firstLineChars="100"/>
        <w:rPr>
          <w:rFonts w:ascii="宋体" w:hAnsi="宋体" w:cs="宋体"/>
          <w:b/>
          <w:sz w:val="24"/>
        </w:rPr>
      </w:pPr>
      <w:bookmarkStart w:id="23" w:name="_Toc35393795"/>
      <w:bookmarkStart w:id="24" w:name="_Toc35393626"/>
      <w:r>
        <w:rPr>
          <w:rFonts w:hint="eastAsia" w:ascii="宋体" w:hAnsi="宋体" w:cs="宋体"/>
          <w:b/>
          <w:sz w:val="24"/>
        </w:rPr>
        <w:t>七、其他补充事宜</w:t>
      </w:r>
      <w:bookmarkEnd w:id="23"/>
      <w:bookmarkEnd w:id="24"/>
    </w:p>
    <w:p>
      <w:pPr>
        <w:spacing w:line="288" w:lineRule="auto"/>
        <w:ind w:firstLine="422" w:firstLineChars="200"/>
        <w:rPr>
          <w:rFonts w:ascii="宋体" w:hAnsi="宋体" w:cs="宋体"/>
          <w:b/>
          <w:szCs w:val="21"/>
          <w:lang w:bidi="ar"/>
        </w:rPr>
      </w:pPr>
      <w:r>
        <w:rPr>
          <w:rFonts w:hint="eastAsia" w:ascii="宋体" w:hAnsi="宋体" w:cs="宋体"/>
          <w:b/>
          <w:szCs w:val="21"/>
          <w:lang w:bidi="ar"/>
        </w:rPr>
        <w:t>1.在线电子响应说明：</w:t>
      </w:r>
    </w:p>
    <w:p>
      <w:pPr>
        <w:spacing w:line="288" w:lineRule="auto"/>
        <w:ind w:firstLine="422" w:firstLineChars="200"/>
        <w:rPr>
          <w:rFonts w:ascii="宋体" w:hAnsi="宋体" w:cs="宋体"/>
          <w:b/>
          <w:szCs w:val="21"/>
        </w:rPr>
      </w:pPr>
      <w:r>
        <w:rPr>
          <w:rFonts w:hint="eastAsia" w:ascii="宋体" w:hAnsi="宋体" w:cs="宋体"/>
          <w:b/>
          <w:szCs w:val="21"/>
          <w:lang w:bidi="ar"/>
        </w:rPr>
        <w:t>1）通过政府采购云平台在线电子响应，供应商应先安装政采云电子交易客户端（政采云投标客户端），并按照磋商文件和政府采购云平台的要求，通过政采云电子交易客户端（政采云投标客户端）编制加密响应文件；</w:t>
      </w:r>
    </w:p>
    <w:p>
      <w:pPr>
        <w:spacing w:line="288" w:lineRule="auto"/>
        <w:ind w:firstLine="422" w:firstLineChars="200"/>
        <w:rPr>
          <w:rFonts w:ascii="宋体" w:hAnsi="宋体" w:cs="宋体"/>
          <w:b/>
          <w:szCs w:val="21"/>
        </w:rPr>
      </w:pPr>
      <w:r>
        <w:rPr>
          <w:rFonts w:hint="eastAsia" w:ascii="宋体" w:hAnsi="宋体" w:cs="宋体"/>
          <w:b/>
          <w:szCs w:val="21"/>
          <w:lang w:bidi="ar"/>
        </w:rPr>
        <w:t>政采云电子交易客户端（政采云投标客户端）请自行前往“浙江政府采购网-下载专区-电子交易客户端”进行下载，通过政府采购云平台参与在线电子响应时如遇平台技术问题详询400-881-7190。</w:t>
      </w:r>
    </w:p>
    <w:p>
      <w:pPr>
        <w:spacing w:line="288" w:lineRule="auto"/>
        <w:ind w:firstLine="422" w:firstLineChars="200"/>
        <w:rPr>
          <w:rFonts w:ascii="宋体" w:hAnsi="宋体" w:cs="宋体"/>
          <w:b/>
          <w:szCs w:val="21"/>
        </w:rPr>
      </w:pPr>
      <w:r>
        <w:rPr>
          <w:rFonts w:hint="eastAsia" w:ascii="宋体" w:hAnsi="宋体" w:cs="宋体"/>
          <w:b/>
          <w:szCs w:val="21"/>
          <w:lang w:bidi="ar"/>
        </w:rPr>
        <w:t>2）为确保在线操作合法、有效和安全，供应商应当在响应文件提交截止时间前完成在政府采购云平台的身份认证，使用政采云电子交易客户端（政采云投标客户端）需要提前申领CA数字证书，申领流程请自行前往“浙江政府采购网-下载专区-电子交易客户端-</w:t>
      </w:r>
      <w:r>
        <w:fldChar w:fldCharType="begin"/>
      </w:r>
      <w:r>
        <w:instrText xml:space="preserve"> HYPERLINK "http://zfcg.czt.zj.gov.cn/bidClientTemplate/2019-05-27/12945.html" \o "CA驱动和申领流程" </w:instrText>
      </w:r>
      <w:r>
        <w:fldChar w:fldCharType="separate"/>
      </w:r>
      <w:r>
        <w:rPr>
          <w:rStyle w:val="12"/>
          <w:rFonts w:hint="eastAsia" w:ascii="宋体" w:hAnsi="宋体" w:cs="宋体"/>
          <w:b/>
          <w:color w:val="auto"/>
          <w:szCs w:val="21"/>
        </w:rPr>
        <w:t>CA驱动和申领流程</w:t>
      </w:r>
      <w:r>
        <w:rPr>
          <w:rStyle w:val="12"/>
          <w:rFonts w:hint="eastAsia" w:ascii="宋体" w:hAnsi="宋体" w:cs="宋体"/>
          <w:b/>
          <w:color w:val="auto"/>
          <w:szCs w:val="21"/>
        </w:rPr>
        <w:fldChar w:fldCharType="end"/>
      </w:r>
      <w:r>
        <w:rPr>
          <w:rFonts w:hint="eastAsia" w:ascii="宋体" w:hAnsi="宋体" w:cs="宋体"/>
          <w:b/>
          <w:szCs w:val="21"/>
          <w:lang w:bidi="ar"/>
        </w:rPr>
        <w:t>”进行查阅；</w:t>
      </w:r>
    </w:p>
    <w:p>
      <w:pPr>
        <w:spacing w:line="288" w:lineRule="auto"/>
        <w:ind w:firstLine="422" w:firstLineChars="200"/>
        <w:rPr>
          <w:rFonts w:ascii="宋体" w:hAnsi="宋体" w:cs="宋体"/>
          <w:b/>
          <w:szCs w:val="21"/>
        </w:rPr>
      </w:pPr>
      <w:r>
        <w:rPr>
          <w:rFonts w:hint="eastAsia" w:ascii="宋体" w:hAnsi="宋体" w:cs="宋体"/>
          <w:b/>
          <w:szCs w:val="21"/>
          <w:lang w:bidi="ar"/>
        </w:rPr>
        <w:t>3）供应商应当在响应文件提交截止时间前将在政采云电子交易客户端（政采云投标客户端）生成的电子加密响应文件上传至政府采购云平台；</w:t>
      </w:r>
    </w:p>
    <w:p>
      <w:pPr>
        <w:spacing w:line="288" w:lineRule="auto"/>
        <w:ind w:firstLine="422" w:firstLineChars="200"/>
        <w:rPr>
          <w:rFonts w:ascii="宋体" w:hAnsi="宋体" w:cs="宋体"/>
          <w:b/>
          <w:szCs w:val="21"/>
        </w:rPr>
      </w:pPr>
      <w:r>
        <w:rPr>
          <w:rFonts w:hint="eastAsia" w:ascii="宋体" w:hAnsi="宋体" w:cs="宋体"/>
          <w:b/>
          <w:szCs w:val="21"/>
          <w:lang w:bidi="ar"/>
        </w:rPr>
        <w:t>4）供应商在政府采购云平台完成电子加密响应文件的上传后，可以EMS或顺丰邮寄形式在响应文件提交截止时间前递交以介质（U盘）存储的数据电文形式的备份响应文件，备份响应文件应当密封包装并在包装上标注响应项目名称、供应商名称并加盖公章。</w:t>
      </w:r>
    </w:p>
    <w:p>
      <w:pPr>
        <w:spacing w:line="288" w:lineRule="auto"/>
        <w:ind w:firstLine="422" w:firstLineChars="200"/>
        <w:rPr>
          <w:rFonts w:ascii="宋体" w:hAnsi="宋体" w:cs="宋体"/>
          <w:b/>
          <w:szCs w:val="21"/>
        </w:rPr>
      </w:pPr>
      <w:r>
        <w:rPr>
          <w:rFonts w:hint="eastAsia" w:ascii="宋体" w:hAnsi="宋体" w:cs="宋体"/>
          <w:b/>
          <w:szCs w:val="21"/>
          <w:lang w:bidi="ar"/>
        </w:rPr>
        <w:t>5）通过政府采购云平台上传的电子加密响应文件无法按时解密但供应商已递交备份响应文件的，以备份响应文件为依据，否则视为响应文件撤回；通过政府采购云平台上传的电子加密响应文件已按时解密的，备份响应文件自动失效。</w:t>
      </w:r>
    </w:p>
    <w:p>
      <w:pPr>
        <w:ind w:firstLine="422" w:firstLineChars="200"/>
        <w:rPr>
          <w:rFonts w:ascii="宋体" w:hAnsi="宋体" w:cs="宋体"/>
          <w:szCs w:val="21"/>
        </w:rPr>
      </w:pPr>
      <w:r>
        <w:rPr>
          <w:rFonts w:hint="eastAsia" w:ascii="宋体" w:hAnsi="宋体" w:cs="宋体"/>
          <w:b/>
          <w:szCs w:val="21"/>
          <w:lang w:bidi="ar"/>
        </w:rPr>
        <w:t>备注：供应商可通过浙江省“电子交易/不见面开评标”学习专题提前进行专题学习，熟悉操作，避免影响采购活动（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12"/>
          <w:rFonts w:hint="eastAsia" w:ascii="宋体" w:hAnsi="宋体" w:cs="宋体"/>
          <w:b/>
          <w:color w:val="auto"/>
          <w:szCs w:val="21"/>
        </w:rPr>
        <w:t>https://edu.zcygov.cn/luban/e-biding</w:t>
      </w:r>
      <w:r>
        <w:rPr>
          <w:rStyle w:val="12"/>
          <w:rFonts w:hint="eastAsia" w:ascii="宋体" w:hAnsi="宋体" w:cs="宋体"/>
          <w:b/>
          <w:color w:val="auto"/>
          <w:szCs w:val="21"/>
        </w:rPr>
        <w:fldChar w:fldCharType="end"/>
      </w:r>
      <w:r>
        <w:rPr>
          <w:rFonts w:hint="eastAsia" w:ascii="宋体" w:hAnsi="宋体" w:cs="宋体"/>
          <w:b/>
          <w:szCs w:val="21"/>
          <w:lang w:bidi="ar"/>
        </w:rPr>
        <w:t>）。</w:t>
      </w:r>
    </w:p>
    <w:p>
      <w:pPr>
        <w:spacing w:line="288" w:lineRule="auto"/>
        <w:ind w:firstLine="422" w:firstLineChars="200"/>
        <w:rPr>
          <w:rFonts w:ascii="宋体" w:hAnsi="宋体" w:cs="宋体"/>
          <w:b/>
          <w:bCs/>
          <w:szCs w:val="21"/>
        </w:rPr>
      </w:pPr>
      <w:r>
        <w:rPr>
          <w:rFonts w:hint="eastAsia" w:ascii="宋体" w:hAnsi="宋体" w:cs="宋体"/>
          <w:b/>
          <w:bCs/>
          <w:szCs w:val="21"/>
        </w:rPr>
        <w:t>2.质疑和投诉</w:t>
      </w:r>
    </w:p>
    <w:p>
      <w:pPr>
        <w:spacing w:line="288" w:lineRule="auto"/>
        <w:ind w:firstLine="420" w:firstLineChars="200"/>
        <w:rPr>
          <w:rFonts w:ascii="宋体" w:hAnsi="宋体" w:cs="宋体"/>
          <w:bCs/>
          <w:szCs w:val="21"/>
        </w:rPr>
      </w:pPr>
      <w:r>
        <w:rPr>
          <w:rFonts w:hint="eastAsia" w:ascii="宋体" w:hAnsi="宋体" w:cs="宋体"/>
          <w:bCs/>
          <w:szCs w:val="21"/>
        </w:rPr>
        <w:t>供应商依法获取采购文件后认为采购文件使自己的权益受到损害的，可以自收到采购文件之日（获取截止日之后收到采购文件的，以获取截止日为准）或者采购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中国政府采购网下载专区（http://zfcg.czt.zj.gov.cn/laws/2018-02-01/11921.html）下载。</w:t>
      </w:r>
    </w:p>
    <w:p>
      <w:pPr>
        <w:spacing w:line="288" w:lineRule="auto"/>
        <w:ind w:firstLine="422" w:firstLineChars="200"/>
        <w:rPr>
          <w:rFonts w:ascii="宋体" w:hAnsi="宋体" w:cs="宋体"/>
          <w:b/>
          <w:bCs/>
          <w:szCs w:val="21"/>
        </w:rPr>
      </w:pPr>
      <w:r>
        <w:rPr>
          <w:rFonts w:hint="eastAsia" w:ascii="宋体" w:hAnsi="宋体" w:cs="宋体"/>
          <w:b/>
          <w:bCs/>
          <w:szCs w:val="21"/>
        </w:rPr>
        <w:t>3.采购项目需要落实的政府采购政策</w:t>
      </w:r>
    </w:p>
    <w:p>
      <w:pPr>
        <w:spacing w:line="288" w:lineRule="auto"/>
        <w:ind w:firstLine="420" w:firstLineChars="200"/>
        <w:rPr>
          <w:rFonts w:ascii="宋体" w:hAnsi="宋体"/>
          <w:bCs/>
          <w:color w:val="FF0000"/>
          <w:szCs w:val="21"/>
        </w:rPr>
      </w:pPr>
      <w:r>
        <w:rPr>
          <w:rFonts w:hint="eastAsia" w:ascii="宋体" w:hAnsi="宋体" w:cs="宋体"/>
          <w:bCs/>
          <w:szCs w:val="21"/>
        </w:rPr>
        <w:t>1）政府采购促进中小企业发展</w:t>
      </w:r>
      <w:r>
        <w:rPr>
          <w:rFonts w:hint="eastAsia" w:ascii="宋体" w:hAnsi="宋体" w:cs="宋体"/>
          <w:b/>
          <w:szCs w:val="21"/>
        </w:rPr>
        <w:t>（</w:t>
      </w:r>
      <w:r>
        <w:rPr>
          <w:rFonts w:hint="eastAsia" w:ascii="宋体" w:hAnsi="宋体"/>
          <w:b/>
          <w:szCs w:val="21"/>
        </w:rPr>
        <w:t>本项目中小企业划分标准所属行业为其他未列明行业）</w:t>
      </w:r>
    </w:p>
    <w:p>
      <w:pPr>
        <w:spacing w:line="288" w:lineRule="auto"/>
        <w:ind w:firstLine="420" w:firstLineChars="200"/>
        <w:rPr>
          <w:rFonts w:ascii="宋体" w:hAnsi="宋体" w:cs="宋体"/>
          <w:bCs/>
          <w:szCs w:val="21"/>
        </w:rPr>
      </w:pPr>
      <w:r>
        <w:rPr>
          <w:rFonts w:hint="eastAsia" w:ascii="宋体" w:hAnsi="宋体" w:cs="宋体"/>
          <w:bCs/>
          <w:szCs w:val="21"/>
        </w:rPr>
        <w:t>2）政府采购支持监狱企业发展</w:t>
      </w:r>
    </w:p>
    <w:p>
      <w:pPr>
        <w:spacing w:line="288" w:lineRule="auto"/>
        <w:ind w:firstLine="420" w:firstLineChars="200"/>
        <w:rPr>
          <w:rFonts w:ascii="宋体" w:hAnsi="宋体" w:cs="宋体"/>
          <w:bCs/>
          <w:szCs w:val="21"/>
        </w:rPr>
      </w:pPr>
      <w:r>
        <w:rPr>
          <w:rFonts w:hint="eastAsia" w:ascii="宋体" w:hAnsi="宋体" w:cs="宋体"/>
          <w:bCs/>
          <w:szCs w:val="21"/>
        </w:rPr>
        <w:t>3）政府采购促进残疾人就业</w:t>
      </w:r>
    </w:p>
    <w:p>
      <w:pPr>
        <w:spacing w:line="288" w:lineRule="auto"/>
        <w:ind w:firstLine="422" w:firstLineChars="200"/>
        <w:rPr>
          <w:rFonts w:ascii="宋体" w:hAnsi="宋体" w:cs="宋体"/>
          <w:b/>
          <w:bCs/>
          <w:szCs w:val="21"/>
        </w:rPr>
      </w:pPr>
      <w:r>
        <w:rPr>
          <w:rFonts w:hint="eastAsia" w:ascii="宋体" w:hAnsi="宋体" w:cs="宋体"/>
          <w:b/>
          <w:bCs/>
          <w:szCs w:val="21"/>
        </w:rPr>
        <w:t>4.信用记录</w:t>
      </w:r>
    </w:p>
    <w:p>
      <w:pPr>
        <w:spacing w:line="288" w:lineRule="auto"/>
        <w:ind w:firstLine="420" w:firstLineChars="200"/>
        <w:rPr>
          <w:rFonts w:ascii="宋体" w:hAnsi="宋体" w:cs="宋体"/>
          <w:bCs/>
          <w:szCs w:val="21"/>
        </w:rPr>
      </w:pPr>
      <w:r>
        <w:rPr>
          <w:rFonts w:hint="eastAsia" w:ascii="宋体" w:hAnsi="宋体" w:cs="宋体"/>
          <w:bCs/>
          <w:szCs w:val="21"/>
        </w:rPr>
        <w:t>根据财库[2016]125号《关于在政府采购活动中查询及使用信用记录有关问题的通知》要求，采购代理机构会对响应供应商信用记录进行查询并甄别。</w:t>
      </w:r>
    </w:p>
    <w:p>
      <w:pPr>
        <w:spacing w:line="288" w:lineRule="auto"/>
        <w:ind w:firstLine="420" w:firstLineChars="200"/>
        <w:rPr>
          <w:rFonts w:ascii="宋体" w:hAnsi="宋体" w:cs="宋体"/>
          <w:bCs/>
          <w:szCs w:val="21"/>
        </w:rPr>
      </w:pPr>
      <w:r>
        <w:rPr>
          <w:rFonts w:hint="eastAsia" w:ascii="宋体" w:hAnsi="宋体" w:cs="宋体"/>
          <w:bCs/>
          <w:szCs w:val="21"/>
        </w:rPr>
        <w:t>（1）信用信息查询的截止时点 ：磋商响应文件提交截止时间；</w:t>
      </w:r>
    </w:p>
    <w:p>
      <w:pPr>
        <w:spacing w:line="288" w:lineRule="auto"/>
        <w:ind w:firstLine="420" w:firstLineChars="200"/>
        <w:rPr>
          <w:rFonts w:ascii="宋体" w:hAnsi="宋体" w:cs="宋体"/>
          <w:bCs/>
          <w:szCs w:val="21"/>
        </w:rPr>
      </w:pPr>
      <w:r>
        <w:rPr>
          <w:rFonts w:hint="eastAsia" w:ascii="宋体" w:hAnsi="宋体" w:cs="宋体"/>
          <w:bCs/>
          <w:szCs w:val="21"/>
        </w:rPr>
        <w:t>（2） 查询渠道：“信用中国”（www.creditchina.gov.cn）、“中国政府采购网”（www.ccgp.gov.cn ）；</w:t>
      </w:r>
    </w:p>
    <w:p>
      <w:pPr>
        <w:spacing w:line="288" w:lineRule="auto"/>
        <w:ind w:firstLine="420" w:firstLineChars="200"/>
        <w:rPr>
          <w:rFonts w:ascii="宋体" w:hAnsi="宋体" w:cs="宋体"/>
          <w:bCs/>
          <w:szCs w:val="21"/>
        </w:rPr>
      </w:pPr>
      <w:r>
        <w:rPr>
          <w:rFonts w:hint="eastAsia" w:ascii="宋体" w:hAnsi="宋体" w:cs="宋体"/>
          <w:bCs/>
          <w:szCs w:val="21"/>
        </w:rPr>
        <w:t>（3）信用信息查询记录和证据留存具体方式：采购代理机构经办人和监督人员将查询网页打印、签字与其他采购文件一并保存；</w:t>
      </w:r>
    </w:p>
    <w:p>
      <w:pPr>
        <w:spacing w:line="288" w:lineRule="auto"/>
        <w:ind w:firstLine="420" w:firstLineChars="200"/>
        <w:rPr>
          <w:rFonts w:ascii="宋体" w:hAnsi="宋体" w:cs="宋体"/>
          <w:bCs/>
          <w:szCs w:val="21"/>
        </w:rPr>
      </w:pPr>
      <w:r>
        <w:rPr>
          <w:rFonts w:hint="eastAsia" w:ascii="宋体" w:hAnsi="宋体" w:cs="宋体"/>
          <w:bCs/>
          <w:szCs w:val="21"/>
        </w:rPr>
        <w:t>（4）信用信息的使用规则：供应商存在不良信用记录的，其响应将被作为无效投标处理。</w:t>
      </w:r>
    </w:p>
    <w:p>
      <w:pPr>
        <w:spacing w:line="288" w:lineRule="auto"/>
        <w:ind w:firstLine="420" w:firstLineChars="200"/>
        <w:rPr>
          <w:rFonts w:ascii="宋体" w:hAnsi="宋体" w:cs="宋体"/>
          <w:bCs/>
          <w:szCs w:val="21"/>
        </w:rPr>
      </w:pPr>
      <w:r>
        <w:rPr>
          <w:rFonts w:hint="eastAsia" w:ascii="宋体" w:hAnsi="宋体" w:cs="宋体"/>
          <w:bCs/>
          <w:szCs w:val="21"/>
        </w:rPr>
        <w:t>不良信用记录指：被列入失信被执行人、重大税收违法案件当事人名单、政府采购严重违法失信行为记录名单。</w:t>
      </w:r>
    </w:p>
    <w:p>
      <w:pPr>
        <w:spacing w:line="288" w:lineRule="auto"/>
        <w:ind w:firstLine="422" w:firstLineChars="200"/>
        <w:rPr>
          <w:rFonts w:ascii="宋体" w:hAnsi="宋体" w:cs="宋体"/>
          <w:b/>
          <w:bCs/>
          <w:szCs w:val="21"/>
        </w:rPr>
      </w:pPr>
      <w:r>
        <w:rPr>
          <w:rFonts w:hint="eastAsia" w:ascii="宋体" w:hAnsi="宋体" w:cs="宋体"/>
          <w:b/>
          <w:bCs/>
          <w:szCs w:val="21"/>
        </w:rPr>
        <w:t>5.磋商保证金：</w:t>
      </w:r>
      <w:r>
        <w:rPr>
          <w:rFonts w:hint="eastAsia" w:ascii="宋体" w:hAnsi="宋体" w:cs="宋体"/>
          <w:bCs/>
          <w:szCs w:val="21"/>
        </w:rPr>
        <w:t>本项目无磋商保证金</w:t>
      </w:r>
      <w:bookmarkStart w:id="25" w:name="_Toc28359008"/>
      <w:bookmarkStart w:id="26" w:name="_Toc35393796"/>
      <w:bookmarkStart w:id="27" w:name="_Toc35393627"/>
      <w:bookmarkStart w:id="28" w:name="_Toc28359085"/>
    </w:p>
    <w:p>
      <w:pPr>
        <w:spacing w:line="288" w:lineRule="auto"/>
        <w:ind w:firstLine="200"/>
        <w:rPr>
          <w:rFonts w:ascii="宋体" w:hAnsi="宋体" w:cs="宋体"/>
          <w:b/>
          <w:sz w:val="24"/>
        </w:rPr>
      </w:pPr>
      <w:r>
        <w:rPr>
          <w:rFonts w:hint="eastAsia" w:ascii="宋体" w:hAnsi="宋体" w:cs="宋体"/>
          <w:b/>
          <w:sz w:val="24"/>
        </w:rPr>
        <w:t>八、凡对本次采购提出询问、质疑、投诉请按以下方式联系</w:t>
      </w:r>
      <w:bookmarkEnd w:id="25"/>
      <w:bookmarkEnd w:id="26"/>
      <w:bookmarkEnd w:id="27"/>
      <w:bookmarkEnd w:id="28"/>
      <w:r>
        <w:rPr>
          <w:rFonts w:hint="eastAsia" w:ascii="宋体" w:hAnsi="宋体" w:cs="宋体"/>
          <w:b/>
          <w:sz w:val="24"/>
        </w:rPr>
        <w:t>：</w:t>
      </w:r>
    </w:p>
    <w:p>
      <w:pPr>
        <w:spacing w:line="288" w:lineRule="auto"/>
        <w:ind w:firstLine="420" w:firstLineChars="200"/>
        <w:rPr>
          <w:rFonts w:ascii="宋体" w:hAnsi="宋体" w:cs="宋体"/>
          <w:szCs w:val="21"/>
        </w:rPr>
      </w:pPr>
      <w:r>
        <w:rPr>
          <w:rFonts w:hint="eastAsia" w:ascii="宋体" w:hAnsi="宋体" w:cs="宋体"/>
          <w:szCs w:val="21"/>
        </w:rPr>
        <w:t>1.采购人信息</w:t>
      </w:r>
    </w:p>
    <w:p>
      <w:pPr>
        <w:spacing w:line="288" w:lineRule="auto"/>
        <w:ind w:firstLine="420" w:firstLineChars="200"/>
        <w:rPr>
          <w:rFonts w:ascii="宋体" w:hAnsi="宋体" w:cs="宋体"/>
          <w:color w:val="000000"/>
          <w:szCs w:val="21"/>
        </w:rPr>
      </w:pPr>
      <w:r>
        <w:rPr>
          <w:rFonts w:hint="eastAsia" w:ascii="宋体" w:hAnsi="宋体" w:cs="宋体"/>
          <w:szCs w:val="21"/>
        </w:rPr>
        <w:t>1.</w:t>
      </w:r>
      <w:r>
        <w:rPr>
          <w:rFonts w:hint="eastAsia" w:ascii="宋体" w:hAnsi="宋体" w:cs="宋体"/>
          <w:color w:val="000000"/>
          <w:szCs w:val="21"/>
        </w:rPr>
        <w:t>采购人名称：浙江财经大学</w:t>
      </w:r>
    </w:p>
    <w:p>
      <w:pPr>
        <w:spacing w:line="288" w:lineRule="auto"/>
        <w:ind w:firstLine="420" w:firstLineChars="200"/>
        <w:rPr>
          <w:rFonts w:ascii="宋体" w:hAnsi="宋体" w:cs="宋体"/>
          <w:szCs w:val="21"/>
        </w:rPr>
      </w:pPr>
      <w:r>
        <w:rPr>
          <w:rFonts w:hint="eastAsia" w:ascii="宋体" w:hAnsi="宋体" w:cs="宋体"/>
          <w:szCs w:val="21"/>
        </w:rPr>
        <w:t>地址：浙江省杭州市下沙高教园区学源街18号</w:t>
      </w:r>
    </w:p>
    <w:p>
      <w:pPr>
        <w:spacing w:line="288" w:lineRule="auto"/>
        <w:ind w:firstLine="420" w:firstLineChars="200"/>
        <w:rPr>
          <w:rFonts w:ascii="宋体" w:hAnsi="宋体" w:cs="宋体"/>
          <w:szCs w:val="21"/>
        </w:rPr>
      </w:pPr>
      <w:r>
        <w:rPr>
          <w:rFonts w:hint="eastAsia" w:ascii="宋体" w:hAnsi="宋体" w:cs="宋体"/>
          <w:szCs w:val="21"/>
        </w:rPr>
        <w:t>采购部门联系人：鲍老师</w:t>
      </w:r>
    </w:p>
    <w:p>
      <w:pPr>
        <w:spacing w:line="288" w:lineRule="auto"/>
        <w:ind w:firstLine="420" w:firstLineChars="200"/>
        <w:rPr>
          <w:rFonts w:ascii="宋体" w:hAnsi="宋体" w:cs="宋体"/>
          <w:szCs w:val="21"/>
        </w:rPr>
      </w:pPr>
      <w:r>
        <w:rPr>
          <w:rFonts w:hint="eastAsia" w:ascii="宋体" w:hAnsi="宋体" w:cs="宋体"/>
          <w:szCs w:val="21"/>
        </w:rPr>
        <w:t>联系方法：0571-86732900</w:t>
      </w:r>
    </w:p>
    <w:p>
      <w:pPr>
        <w:spacing w:line="288" w:lineRule="auto"/>
        <w:ind w:firstLine="420" w:firstLineChars="200"/>
        <w:rPr>
          <w:rFonts w:ascii="宋体" w:hAnsi="宋体" w:cs="宋体"/>
          <w:szCs w:val="21"/>
        </w:rPr>
      </w:pPr>
      <w:r>
        <w:rPr>
          <w:rFonts w:hint="eastAsia" w:ascii="宋体" w:hAnsi="宋体" w:cs="宋体"/>
          <w:szCs w:val="21"/>
        </w:rPr>
        <w:t>采购项目联系人：</w:t>
      </w:r>
      <w:r>
        <w:rPr>
          <w:rFonts w:hint="eastAsia"/>
        </w:rPr>
        <w:t>叶炜</w:t>
      </w:r>
    </w:p>
    <w:p>
      <w:pPr>
        <w:pStyle w:val="5"/>
        <w:ind w:firstLine="420" w:firstLineChars="200"/>
        <w:rPr>
          <w:rFonts w:ascii="宋体" w:hAnsi="宋体" w:cs="宋体"/>
          <w:szCs w:val="21"/>
        </w:rPr>
      </w:pPr>
      <w:r>
        <w:rPr>
          <w:rFonts w:hint="eastAsia" w:ascii="宋体" w:hAnsi="宋体" w:cs="宋体"/>
          <w:szCs w:val="21"/>
        </w:rPr>
        <w:t>联系方式：</w:t>
      </w:r>
      <w:r>
        <w:rPr>
          <w:rFonts w:hint="eastAsia"/>
        </w:rPr>
        <w:t>0571-87557166</w:t>
      </w:r>
    </w:p>
    <w:p>
      <w:pPr>
        <w:spacing w:line="288" w:lineRule="auto"/>
        <w:ind w:firstLine="420" w:firstLineChars="200"/>
        <w:rPr>
          <w:rFonts w:ascii="宋体" w:hAnsi="宋体" w:cs="宋体"/>
          <w:szCs w:val="21"/>
        </w:rPr>
      </w:pPr>
      <w:r>
        <w:rPr>
          <w:rFonts w:hint="eastAsia" w:ascii="宋体" w:hAnsi="宋体" w:cs="宋体"/>
          <w:szCs w:val="21"/>
        </w:rPr>
        <w:t>采购人质疑联系人：汪老师</w:t>
      </w:r>
    </w:p>
    <w:p>
      <w:pPr>
        <w:spacing w:line="288" w:lineRule="auto"/>
        <w:ind w:firstLine="420" w:firstLineChars="200"/>
        <w:rPr>
          <w:rFonts w:ascii="宋体" w:hAnsi="宋体" w:cs="宋体"/>
          <w:szCs w:val="21"/>
        </w:rPr>
      </w:pPr>
      <w:r>
        <w:rPr>
          <w:rFonts w:hint="eastAsia" w:ascii="宋体" w:hAnsi="宋体" w:cs="宋体"/>
          <w:szCs w:val="21"/>
        </w:rPr>
        <w:t>联系方法：0571-86731939</w:t>
      </w:r>
    </w:p>
    <w:p>
      <w:pPr>
        <w:spacing w:line="288" w:lineRule="auto"/>
        <w:ind w:firstLine="420" w:firstLineChars="200"/>
        <w:rPr>
          <w:rFonts w:ascii="宋体" w:hAnsi="宋体" w:cs="宋体"/>
          <w:szCs w:val="21"/>
        </w:rPr>
      </w:pPr>
      <w:r>
        <w:rPr>
          <w:rFonts w:hint="eastAsia" w:ascii="宋体" w:hAnsi="宋体" w:cs="宋体"/>
          <w:szCs w:val="21"/>
        </w:rPr>
        <w:t>2.采购代理机构名称：浙江建友工程咨询有限公司</w:t>
      </w:r>
    </w:p>
    <w:p>
      <w:pPr>
        <w:spacing w:line="288" w:lineRule="auto"/>
        <w:ind w:firstLine="420" w:firstLineChars="200"/>
        <w:rPr>
          <w:rFonts w:ascii="宋体" w:hAnsi="宋体" w:cs="宋体"/>
          <w:szCs w:val="21"/>
        </w:rPr>
      </w:pPr>
      <w:r>
        <w:rPr>
          <w:rFonts w:hint="eastAsia" w:ascii="宋体" w:hAnsi="宋体" w:cs="宋体"/>
          <w:szCs w:val="21"/>
        </w:rPr>
        <w:t>地址：杭州市西湖区振华路298号西港发展中心7幢7楼</w:t>
      </w:r>
    </w:p>
    <w:p>
      <w:pPr>
        <w:spacing w:line="288" w:lineRule="auto"/>
        <w:ind w:firstLine="420" w:firstLineChars="200"/>
        <w:rPr>
          <w:rFonts w:ascii="宋体" w:hAnsi="宋体" w:cs="宋体"/>
          <w:szCs w:val="21"/>
        </w:rPr>
      </w:pPr>
      <w:r>
        <w:rPr>
          <w:rFonts w:hint="eastAsia" w:ascii="宋体" w:hAnsi="宋体" w:cs="宋体"/>
          <w:szCs w:val="21"/>
        </w:rPr>
        <w:t>业务及备份响应文件递交联系人：徐梦遥</w:t>
      </w:r>
    </w:p>
    <w:p>
      <w:pPr>
        <w:spacing w:line="288" w:lineRule="auto"/>
        <w:ind w:firstLine="420" w:firstLineChars="200"/>
        <w:rPr>
          <w:rFonts w:ascii="宋体" w:hAnsi="宋体" w:cs="宋体"/>
          <w:szCs w:val="21"/>
        </w:rPr>
      </w:pPr>
      <w:r>
        <w:rPr>
          <w:rFonts w:hint="eastAsia" w:ascii="宋体" w:hAnsi="宋体" w:cs="宋体"/>
          <w:szCs w:val="21"/>
        </w:rPr>
        <w:t>联系方法：0571-56075179</w:t>
      </w:r>
    </w:p>
    <w:p>
      <w:pPr>
        <w:spacing w:line="288" w:lineRule="auto"/>
        <w:ind w:firstLine="420" w:firstLineChars="200"/>
        <w:rPr>
          <w:rFonts w:ascii="宋体" w:hAnsi="宋体" w:cs="宋体"/>
          <w:szCs w:val="21"/>
        </w:rPr>
      </w:pPr>
      <w:r>
        <w:rPr>
          <w:rFonts w:hint="eastAsia" w:ascii="宋体" w:hAnsi="宋体" w:cs="宋体"/>
          <w:szCs w:val="21"/>
        </w:rPr>
        <w:t>采购代理机构质疑联系人：朱益星</w:t>
      </w:r>
    </w:p>
    <w:p>
      <w:pPr>
        <w:spacing w:line="288" w:lineRule="auto"/>
        <w:ind w:firstLine="420" w:firstLineChars="200"/>
        <w:rPr>
          <w:rFonts w:ascii="宋体" w:hAnsi="宋体" w:cs="宋体"/>
          <w:szCs w:val="21"/>
        </w:rPr>
      </w:pPr>
      <w:r>
        <w:rPr>
          <w:rFonts w:hint="eastAsia" w:ascii="宋体" w:hAnsi="宋体" w:cs="宋体"/>
          <w:szCs w:val="21"/>
        </w:rPr>
        <w:t>联系方法：0571-56075217</w:t>
      </w:r>
    </w:p>
    <w:p>
      <w:pPr>
        <w:spacing w:line="288" w:lineRule="auto"/>
        <w:ind w:firstLine="420" w:firstLineChars="200"/>
        <w:rPr>
          <w:rFonts w:ascii="宋体" w:hAnsi="宋体" w:cs="宋体"/>
          <w:szCs w:val="21"/>
        </w:rPr>
      </w:pPr>
      <w:r>
        <w:rPr>
          <w:rFonts w:hint="eastAsia" w:ascii="宋体" w:hAnsi="宋体" w:cs="宋体"/>
          <w:szCs w:val="21"/>
        </w:rPr>
        <w:t>3.同级政府采购监督管理部门：浙江省财政厅政府采购监管处</w:t>
      </w:r>
    </w:p>
    <w:p>
      <w:pPr>
        <w:spacing w:line="288" w:lineRule="auto"/>
        <w:ind w:firstLine="420" w:firstLineChars="200"/>
        <w:rPr>
          <w:rFonts w:ascii="宋体" w:hAnsi="宋体"/>
          <w:szCs w:val="21"/>
        </w:rPr>
      </w:pPr>
      <w:r>
        <w:rPr>
          <w:rFonts w:hint="eastAsia" w:ascii="宋体" w:hAnsi="宋体"/>
          <w:szCs w:val="21"/>
        </w:rPr>
        <w:t>联系人：倪文良、吴聪瑜</w:t>
      </w:r>
    </w:p>
    <w:p>
      <w:pPr>
        <w:spacing w:line="288" w:lineRule="auto"/>
        <w:ind w:firstLine="420" w:firstLineChars="200"/>
        <w:rPr>
          <w:rFonts w:ascii="宋体" w:hAnsi="宋体"/>
          <w:szCs w:val="21"/>
        </w:rPr>
      </w:pPr>
      <w:r>
        <w:rPr>
          <w:rFonts w:hint="eastAsia" w:ascii="宋体" w:hAnsi="宋体"/>
          <w:szCs w:val="21"/>
        </w:rPr>
        <w:t>监督投诉电话：0571-87057615、87058489</w:t>
      </w:r>
    </w:p>
    <w:p>
      <w:pPr>
        <w:spacing w:line="288" w:lineRule="auto"/>
        <w:ind w:firstLine="420" w:firstLineChars="200"/>
        <w:rPr>
          <w:rFonts w:ascii="宋体" w:hAnsi="宋体"/>
          <w:szCs w:val="21"/>
        </w:rPr>
      </w:pPr>
      <w:r>
        <w:rPr>
          <w:rFonts w:hint="eastAsia" w:ascii="宋体" w:hAnsi="宋体"/>
          <w:szCs w:val="21"/>
        </w:rPr>
        <w:t>地址：杭州市环城西路37号</w:t>
      </w:r>
    </w:p>
    <w:p>
      <w:pPr>
        <w:spacing w:line="288" w:lineRule="auto"/>
        <w:ind w:firstLine="422" w:firstLineChars="200"/>
        <w:rPr>
          <w:rFonts w:ascii="宋体" w:hAnsi="宋体" w:cs="宋体"/>
          <w:b/>
          <w:bCs/>
          <w:szCs w:val="21"/>
        </w:rPr>
      </w:pPr>
      <w:r>
        <w:rPr>
          <w:rFonts w:hint="eastAsia" w:ascii="宋体" w:hAnsi="宋体" w:cs="宋体"/>
          <w:b/>
          <w:bCs/>
          <w:szCs w:val="21"/>
        </w:rPr>
        <w:t>若对项目采购电子交易系统操作有疑问，可登录政采云（https://www.zcygov.cn/），点击右侧咨询小采，获取采小蜜智能服务管家帮助，或拨打政采云服务热线400-881-7190获取热线服务帮助。</w:t>
      </w:r>
    </w:p>
    <w:p>
      <w:pPr>
        <w:spacing w:line="288" w:lineRule="auto"/>
        <w:ind w:firstLine="422" w:firstLineChars="200"/>
        <w:rPr>
          <w:rFonts w:ascii="宋体" w:hAnsi="宋体" w:cs="宋体"/>
          <w:b/>
          <w:bCs/>
          <w:szCs w:val="21"/>
        </w:rPr>
      </w:pPr>
      <w:r>
        <w:rPr>
          <w:rFonts w:hint="eastAsia" w:ascii="宋体" w:hAnsi="宋体" w:cs="宋体"/>
          <w:b/>
          <w:bCs/>
          <w:szCs w:val="21"/>
        </w:rPr>
        <w:t>CA问题联系电话（人工）：汇信CA 400-888-4636；天谷CA 400-087-8198。</w:t>
      </w:r>
    </w:p>
    <w:p>
      <w:pPr>
        <w:pStyle w:val="6"/>
        <w:spacing w:before="0" w:beforeLines="0" w:after="0" w:afterLines="0" w:line="288" w:lineRule="auto"/>
        <w:jc w:val="center"/>
        <w:outlineLvl w:val="0"/>
        <w:rPr>
          <w:rFonts w:hAnsi="宋体" w:cs="宋体"/>
          <w:b/>
          <w:sz w:val="32"/>
          <w:szCs w:val="32"/>
        </w:rPr>
      </w:pPr>
      <w:r>
        <w:rPr>
          <w:rFonts w:hint="eastAsia" w:hAnsi="宋体" w:cs="宋体"/>
          <w:kern w:val="0"/>
          <w:sz w:val="21"/>
          <w:szCs w:val="21"/>
        </w:rPr>
        <w:br w:type="page"/>
      </w:r>
      <w:r>
        <w:rPr>
          <w:rFonts w:hint="eastAsia" w:hAnsi="宋体" w:cs="宋体"/>
          <w:b/>
          <w:sz w:val="32"/>
          <w:szCs w:val="32"/>
        </w:rPr>
        <w:t>第二章  采购需求</w:t>
      </w:r>
    </w:p>
    <w:p>
      <w:pPr>
        <w:spacing w:line="288" w:lineRule="auto"/>
        <w:rPr>
          <w:rFonts w:ascii="宋体" w:hAnsi="宋体" w:cs="宋体"/>
          <w:b/>
          <w:sz w:val="24"/>
        </w:rPr>
      </w:pPr>
      <w:r>
        <w:rPr>
          <w:rFonts w:hint="eastAsia" w:ascii="宋体" w:hAnsi="宋体" w:cs="宋体"/>
          <w:b/>
          <w:sz w:val="24"/>
        </w:rPr>
        <w:t>一、采购资金的支付方式、条件及其他：</w:t>
      </w:r>
    </w:p>
    <w:tbl>
      <w:tblPr>
        <w:tblStyle w:val="1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2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szCs w:val="21"/>
              </w:rPr>
            </w:pPr>
            <w:r>
              <w:rPr>
                <w:rFonts w:hint="eastAsia" w:ascii="宋体" w:hAnsi="宋体" w:cs="宋体"/>
                <w:b/>
                <w:szCs w:val="21"/>
              </w:rPr>
              <w:t>履约保证金</w:t>
            </w:r>
          </w:p>
        </w:tc>
        <w:tc>
          <w:tcPr>
            <w:tcW w:w="7229"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zCs w:val="21"/>
                <w:highlight w:val="yellow"/>
              </w:rPr>
            </w:pPr>
            <w:r>
              <w:rPr>
                <w:rFonts w:hint="eastAsia" w:ascii="宋体" w:hAnsi="宋体" w:cs="宋体"/>
                <w:szCs w:val="21"/>
              </w:rPr>
              <w:t>合同签订后7日内成交人向采购人交付合同总金额5%履约保证金（提交方式：支票、汇票、本票或者金融机构、担保机构出具的保函等非现金形式），验收合格后转为质保金，质保期满后，如无质量问题，15个工作日内一次性无息退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szCs w:val="21"/>
              </w:rPr>
            </w:pPr>
            <w:r>
              <w:rPr>
                <w:rFonts w:hint="eastAsia" w:ascii="宋体" w:hAnsi="宋体" w:cs="宋体"/>
                <w:b/>
                <w:szCs w:val="21"/>
              </w:rPr>
              <w:t>付款方式</w:t>
            </w:r>
          </w:p>
        </w:tc>
        <w:tc>
          <w:tcPr>
            <w:tcW w:w="7229"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zCs w:val="21"/>
              </w:rPr>
            </w:pPr>
            <w:bookmarkStart w:id="29" w:name="_Hlk76475566"/>
            <w:r>
              <w:rPr>
                <w:rFonts w:hint="eastAsia" w:ascii="宋体" w:hAnsi="宋体" w:cs="宋体"/>
                <w:szCs w:val="21"/>
              </w:rPr>
              <w:t>1</w:t>
            </w:r>
            <w:r>
              <w:rPr>
                <w:rFonts w:ascii="宋体" w:hAnsi="宋体" w:cs="宋体"/>
                <w:szCs w:val="21"/>
              </w:rPr>
              <w:t>.</w:t>
            </w:r>
            <w:r>
              <w:rPr>
                <w:rFonts w:hint="eastAsia" w:ascii="宋体" w:hAnsi="宋体" w:cs="宋体"/>
                <w:szCs w:val="21"/>
              </w:rPr>
              <w:t>供应商提交银行、保险公司等金融机构出具的预付款保函；支付时间和数额：合同生效并具备实施条件后</w:t>
            </w:r>
            <w:r>
              <w:rPr>
                <w:rFonts w:ascii="宋体" w:hAnsi="宋体" w:cs="宋体"/>
                <w:szCs w:val="21"/>
              </w:rPr>
              <w:t>7</w:t>
            </w:r>
            <w:r>
              <w:rPr>
                <w:rFonts w:hint="eastAsia" w:ascii="宋体" w:hAnsi="宋体" w:cs="宋体"/>
                <w:szCs w:val="21"/>
              </w:rPr>
              <w:t>日内，采购人向供应商支付合同金额30%的预付款。</w:t>
            </w:r>
          </w:p>
          <w:p>
            <w:pPr>
              <w:spacing w:line="288" w:lineRule="auto"/>
              <w:rPr>
                <w:rFonts w:ascii="宋体" w:hAnsi="宋体" w:cs="宋体"/>
                <w:szCs w:val="21"/>
                <w:highlight w:val="yellow"/>
              </w:rPr>
            </w:pPr>
            <w:r>
              <w:rPr>
                <w:rFonts w:ascii="宋体" w:hAnsi="宋体" w:cs="宋体"/>
                <w:szCs w:val="21"/>
              </w:rPr>
              <w:t>2.</w:t>
            </w:r>
            <w:r>
              <w:rPr>
                <w:rFonts w:hint="eastAsia" w:ascii="宋体" w:hAnsi="宋体" w:cs="宋体"/>
                <w:szCs w:val="21"/>
              </w:rPr>
              <w:t>经采购人验收合格后，由采购人向成交供应商支付合同剩余全额货款的</w:t>
            </w:r>
            <w:bookmarkEnd w:id="29"/>
            <w:r>
              <w:rPr>
                <w:rFonts w:hint="eastAsia"/>
              </w:rPr>
              <w:t>60%，剩余10%在一年售后服务期后支付。</w:t>
            </w:r>
          </w:p>
        </w:tc>
      </w:tr>
    </w:tbl>
    <w:p>
      <w:pPr>
        <w:spacing w:line="288" w:lineRule="auto"/>
        <w:rPr>
          <w:rFonts w:ascii="宋体" w:hAnsi="宋体" w:cs="宋体"/>
          <w:szCs w:val="21"/>
        </w:rPr>
      </w:pPr>
    </w:p>
    <w:p>
      <w:pPr>
        <w:numPr>
          <w:ilvl w:val="0"/>
          <w:numId w:val="3"/>
        </w:numPr>
        <w:spacing w:line="360" w:lineRule="auto"/>
        <w:rPr>
          <w:rFonts w:ascii="宋体" w:hAnsi="宋体" w:cs="宋体"/>
          <w:b/>
          <w:sz w:val="24"/>
        </w:rPr>
      </w:pPr>
      <w:r>
        <w:rPr>
          <w:rFonts w:hint="eastAsia" w:ascii="宋体" w:hAnsi="宋体" w:cs="宋体"/>
          <w:b/>
          <w:sz w:val="24"/>
        </w:rPr>
        <w:t>服务要求（技术要求里另有注明的以技术要求为准）：</w:t>
      </w:r>
    </w:p>
    <w:p>
      <w:pPr>
        <w:spacing w:line="360" w:lineRule="auto"/>
        <w:rPr>
          <w:rFonts w:ascii="宋体" w:hAnsi="宋体" w:cs="宋体"/>
          <w:szCs w:val="21"/>
        </w:rPr>
      </w:pPr>
      <w:r>
        <w:rPr>
          <w:rFonts w:hint="eastAsia" w:ascii="宋体" w:hAnsi="宋体"/>
          <w:b/>
          <w:bCs/>
          <w:szCs w:val="21"/>
        </w:rPr>
        <w:t>1.需实现的功能或者目标：</w:t>
      </w:r>
      <w:r>
        <w:rPr>
          <w:rFonts w:hint="eastAsia" w:ascii="宋体" w:hAnsi="宋体" w:cs="宋体"/>
          <w:szCs w:val="21"/>
        </w:rPr>
        <w:t>本项目为浙江财经大学 图书剔旧盘点及书库置换采购项目。</w:t>
      </w:r>
    </w:p>
    <w:p>
      <w:pPr>
        <w:spacing w:line="360" w:lineRule="auto"/>
        <w:rPr>
          <w:rFonts w:ascii="宋体" w:hAnsi="宋体" w:cs="宋体"/>
          <w:szCs w:val="21"/>
        </w:rPr>
      </w:pPr>
      <w:r>
        <w:rPr>
          <w:rFonts w:hint="eastAsia" w:ascii="宋体" w:hAnsi="宋体" w:cs="宋体"/>
          <w:szCs w:val="21"/>
        </w:rPr>
        <w:t>目的：</w:t>
      </w:r>
    </w:p>
    <w:p>
      <w:pPr>
        <w:spacing w:line="360" w:lineRule="auto"/>
        <w:rPr>
          <w:rFonts w:ascii="宋体" w:hAnsi="宋体" w:cs="宋体"/>
          <w:szCs w:val="21"/>
        </w:rPr>
      </w:pPr>
      <w:r>
        <w:rPr>
          <w:rFonts w:hint="eastAsia" w:ascii="宋体" w:hAnsi="宋体" w:cs="宋体"/>
          <w:szCs w:val="21"/>
        </w:rPr>
        <w:t>（1）查清图书资产状况，掌握图书遗失及损坏等情况；</w:t>
      </w:r>
    </w:p>
    <w:p>
      <w:pPr>
        <w:spacing w:line="360" w:lineRule="auto"/>
        <w:rPr>
          <w:rFonts w:ascii="宋体" w:hAnsi="宋体" w:cs="宋体"/>
          <w:szCs w:val="21"/>
        </w:rPr>
      </w:pPr>
      <w:r>
        <w:rPr>
          <w:rFonts w:hint="eastAsia" w:ascii="宋体" w:hAnsi="宋体" w:cs="宋体"/>
          <w:szCs w:val="21"/>
        </w:rPr>
        <w:t>（2）理清图书在架状况，解决图书乱架、错架等问题；</w:t>
      </w:r>
    </w:p>
    <w:p>
      <w:pPr>
        <w:spacing w:line="360" w:lineRule="auto"/>
        <w:rPr>
          <w:rFonts w:ascii="宋体" w:hAnsi="宋体" w:cs="宋体"/>
          <w:szCs w:val="21"/>
        </w:rPr>
      </w:pPr>
      <w:r>
        <w:rPr>
          <w:rFonts w:hint="eastAsia" w:ascii="宋体" w:hAnsi="宋体" w:cs="宋体"/>
          <w:szCs w:val="21"/>
        </w:rPr>
        <w:t>（3）下架部分复本量大的图书，为新书上架腾出空间。</w:t>
      </w:r>
    </w:p>
    <w:p>
      <w:pPr>
        <w:spacing w:line="360" w:lineRule="auto"/>
        <w:rPr>
          <w:rFonts w:ascii="宋体" w:hAnsi="宋体" w:cs="宋体"/>
          <w:szCs w:val="21"/>
        </w:rPr>
      </w:pPr>
      <w:r>
        <w:rPr>
          <w:rFonts w:hint="eastAsia" w:ascii="宋体" w:hAnsi="宋体" w:cs="宋体"/>
          <w:b/>
          <w:bCs/>
          <w:szCs w:val="21"/>
        </w:rPr>
        <w:t>建设内容为：</w:t>
      </w:r>
      <w:r>
        <w:rPr>
          <w:rFonts w:hint="eastAsia" w:ascii="宋体" w:hAnsi="宋体" w:cs="宋体"/>
          <w:szCs w:val="21"/>
        </w:rPr>
        <w:t>复本图书下架打包，除密集书库外的剩余图书盘点，一楼西书库和二楼东书库置换。详见采购内容清单。</w:t>
      </w:r>
    </w:p>
    <w:p>
      <w:pPr>
        <w:spacing w:line="360" w:lineRule="auto"/>
        <w:rPr>
          <w:rFonts w:ascii="宋体" w:hAnsi="宋体"/>
          <w:b/>
          <w:bCs/>
          <w:szCs w:val="21"/>
        </w:rPr>
      </w:pPr>
      <w:r>
        <w:rPr>
          <w:rFonts w:hint="eastAsia" w:ascii="宋体" w:hAnsi="宋体"/>
          <w:b/>
          <w:bCs/>
          <w:szCs w:val="21"/>
        </w:rPr>
        <w:t>2.需执行的国家相关标准、行业标准、地方标准或者其他标准、规范：</w:t>
      </w:r>
      <w:r>
        <w:rPr>
          <w:rFonts w:hint="eastAsia" w:ascii="宋体" w:hAnsi="宋体" w:cs="宋体"/>
          <w:szCs w:val="21"/>
        </w:rPr>
        <w:t>统一执行我国最新相关标准、规范</w:t>
      </w:r>
      <w:r>
        <w:rPr>
          <w:rFonts w:hint="eastAsia" w:ascii="宋体" w:hAnsi="宋体"/>
          <w:szCs w:val="21"/>
        </w:rPr>
        <w:t>；</w:t>
      </w:r>
    </w:p>
    <w:p>
      <w:pPr>
        <w:spacing w:line="360" w:lineRule="auto"/>
        <w:rPr>
          <w:rFonts w:ascii="宋体" w:hAnsi="宋体"/>
          <w:b/>
          <w:bCs/>
          <w:szCs w:val="21"/>
        </w:rPr>
      </w:pPr>
      <w:r>
        <w:rPr>
          <w:rFonts w:hint="eastAsia" w:ascii="宋体" w:hAnsi="宋体"/>
          <w:b/>
          <w:bCs/>
          <w:szCs w:val="21"/>
        </w:rPr>
        <w:t>3</w:t>
      </w:r>
      <w:r>
        <w:rPr>
          <w:rFonts w:ascii="宋体" w:hAnsi="宋体"/>
          <w:b/>
          <w:bCs/>
          <w:szCs w:val="21"/>
        </w:rPr>
        <w:t>.</w:t>
      </w:r>
      <w:r>
        <w:rPr>
          <w:rFonts w:hint="eastAsia" w:ascii="宋体" w:hAnsi="宋体"/>
          <w:b/>
          <w:bCs/>
          <w:szCs w:val="21"/>
        </w:rPr>
        <w:t xml:space="preserve"> 商务要求</w:t>
      </w:r>
    </w:p>
    <w:tbl>
      <w:tblPr>
        <w:tblStyle w:val="10"/>
        <w:tblW w:w="49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1"/>
        <w:gridCol w:w="7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1" w:type="pct"/>
            <w:vAlign w:val="center"/>
          </w:tcPr>
          <w:p>
            <w:pPr>
              <w:spacing w:line="360" w:lineRule="auto"/>
              <w:jc w:val="center"/>
              <w:rPr>
                <w:rFonts w:ascii="宋体" w:hAnsi="宋体"/>
              </w:rPr>
            </w:pPr>
            <w:r>
              <w:rPr>
                <w:rFonts w:hint="eastAsia" w:ascii="宋体" w:hAnsi="宋体"/>
              </w:rPr>
              <w:t>质保期</w:t>
            </w:r>
          </w:p>
        </w:tc>
        <w:tc>
          <w:tcPr>
            <w:tcW w:w="3788" w:type="pct"/>
            <w:vAlign w:val="center"/>
          </w:tcPr>
          <w:p>
            <w:pPr>
              <w:spacing w:line="360" w:lineRule="auto"/>
              <w:rPr>
                <w:rFonts w:ascii="宋体" w:hAnsi="宋体"/>
              </w:rPr>
            </w:pPr>
            <w:r>
              <w:rPr>
                <w:rFonts w:hint="eastAsia" w:ascii="宋体" w:hAnsi="宋体"/>
              </w:rPr>
              <w:t>质保期：项目整体质保期1年。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1" w:type="pct"/>
            <w:vAlign w:val="center"/>
          </w:tcPr>
          <w:p>
            <w:pPr>
              <w:spacing w:line="360" w:lineRule="auto"/>
              <w:jc w:val="center"/>
              <w:rPr>
                <w:rFonts w:hint="eastAsia" w:ascii="宋体" w:hAnsi="宋体"/>
              </w:rPr>
            </w:pPr>
            <w:r>
              <w:rPr>
                <w:rFonts w:hint="eastAsia" w:ascii="宋体" w:hAnsi="宋体"/>
              </w:rPr>
              <w:t>服务期限和地点</w:t>
            </w:r>
          </w:p>
        </w:tc>
        <w:tc>
          <w:tcPr>
            <w:tcW w:w="3788" w:type="pct"/>
            <w:vAlign w:val="center"/>
          </w:tcPr>
          <w:p>
            <w:pPr>
              <w:spacing w:line="360" w:lineRule="auto"/>
              <w:rPr>
                <w:rFonts w:hint="eastAsia" w:ascii="宋体" w:hAnsi="宋体"/>
              </w:rPr>
            </w:pPr>
            <w:r>
              <w:rPr>
                <w:rFonts w:hint="eastAsia" w:ascii="宋体" w:hAnsi="宋体"/>
              </w:rPr>
              <w:t>完成时限：（1）</w:t>
            </w:r>
            <w:r>
              <w:rPr>
                <w:rFonts w:hint="eastAsia" w:ascii="宋体" w:hAnsi="宋体"/>
                <w:lang w:val="en-US" w:eastAsia="zh-CN"/>
              </w:rPr>
              <w:t>一楼</w:t>
            </w:r>
            <w:r>
              <w:rPr>
                <w:rFonts w:hint="eastAsia" w:ascii="宋体" w:hAnsi="宋体"/>
              </w:rPr>
              <w:t>西书库与二楼东阅览室置换：8月25日前完成；（2）其余图书下架、调拨、打包、搬运、存放、盘点、装订以及早稻田文库挪架等在剔旧盘点工作合同</w:t>
            </w:r>
            <w:r>
              <w:rPr>
                <w:rFonts w:hint="eastAsia" w:ascii="宋体" w:hAnsi="宋体"/>
                <w:lang w:val="en-US" w:eastAsia="zh-CN"/>
              </w:rPr>
              <w:t>签订</w:t>
            </w:r>
            <w:r>
              <w:rPr>
                <w:rFonts w:hint="eastAsia" w:ascii="宋体" w:hAnsi="宋体"/>
              </w:rPr>
              <w:t>之日起3个月内完成；（3）除了书库置换以外，其余工期均从合同正式签订之日起计算。</w:t>
            </w:r>
          </w:p>
          <w:p>
            <w:pPr>
              <w:spacing w:line="360" w:lineRule="auto"/>
              <w:rPr>
                <w:rFonts w:hint="eastAsia" w:ascii="宋体" w:hAnsi="宋体"/>
              </w:rPr>
            </w:pPr>
            <w:r>
              <w:rPr>
                <w:rFonts w:hint="eastAsia" w:ascii="宋体" w:hAnsi="宋体"/>
              </w:rPr>
              <w:t>地点：浙江财经大学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1" w:type="pct"/>
            <w:vAlign w:val="center"/>
          </w:tcPr>
          <w:p>
            <w:pPr>
              <w:jc w:val="center"/>
              <w:rPr>
                <w:rFonts w:ascii="宋体" w:hAnsi="宋体"/>
              </w:rPr>
            </w:pPr>
            <w:r>
              <w:rPr>
                <w:rFonts w:hint="eastAsia" w:ascii="宋体" w:hAnsi="宋体"/>
              </w:rPr>
              <w:t>质量验收</w:t>
            </w:r>
          </w:p>
        </w:tc>
        <w:tc>
          <w:tcPr>
            <w:tcW w:w="3788" w:type="pct"/>
            <w:vAlign w:val="center"/>
          </w:tcPr>
          <w:p>
            <w:pPr>
              <w:spacing w:line="360" w:lineRule="auto"/>
              <w:rPr>
                <w:rFonts w:ascii="宋体" w:hAnsi="宋体"/>
              </w:rPr>
            </w:pPr>
            <w:r>
              <w:rPr>
                <w:rFonts w:hint="eastAsia" w:ascii="宋体" w:hAnsi="宋体"/>
              </w:rPr>
              <w:t>1.甲方将按照5%的比例对下架与盘点的图书进行随机抽查，图书数量、信息、位置等差错率均不大于0.1%；</w:t>
            </w:r>
          </w:p>
          <w:p>
            <w:pPr>
              <w:spacing w:line="360" w:lineRule="auto"/>
              <w:rPr>
                <w:rFonts w:ascii="宋体" w:hAnsi="宋体"/>
              </w:rPr>
            </w:pPr>
            <w:r>
              <w:rPr>
                <w:rFonts w:hint="eastAsia" w:ascii="宋体" w:hAnsi="宋体"/>
              </w:rPr>
              <w:t>2.供应商有关剔旧盘点服务质保期不低于1年，若一年内发现有相关问题，供应商必须负责免费维修或整改。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1" w:type="pct"/>
            <w:vAlign w:val="center"/>
          </w:tcPr>
          <w:p>
            <w:pPr>
              <w:jc w:val="center"/>
              <w:rPr>
                <w:rFonts w:ascii="宋体" w:hAnsi="宋体"/>
              </w:rPr>
            </w:pPr>
            <w:r>
              <w:rPr>
                <w:rFonts w:hint="eastAsia" w:ascii="宋体" w:hAnsi="宋体"/>
              </w:rPr>
              <w:t>其他技术、服务要求</w:t>
            </w:r>
          </w:p>
        </w:tc>
        <w:tc>
          <w:tcPr>
            <w:tcW w:w="3788" w:type="pct"/>
            <w:vAlign w:val="center"/>
          </w:tcPr>
          <w:p>
            <w:pPr>
              <w:spacing w:line="360" w:lineRule="auto"/>
              <w:rPr>
                <w:rFonts w:ascii="宋体" w:hAnsi="宋体"/>
              </w:rPr>
            </w:pPr>
            <w:r>
              <w:rPr>
                <w:rFonts w:hint="eastAsia" w:ascii="宋体" w:hAnsi="宋体"/>
              </w:rPr>
              <w:t>1.培训：</w:t>
            </w:r>
          </w:p>
          <w:p>
            <w:pPr>
              <w:spacing w:line="360" w:lineRule="auto"/>
              <w:rPr>
                <w:rFonts w:ascii="宋体" w:hAnsi="宋体"/>
              </w:rPr>
            </w:pPr>
            <w:r>
              <w:rPr>
                <w:rFonts w:hint="eastAsia" w:ascii="宋体" w:hAnsi="宋体"/>
              </w:rPr>
              <w:t>剔旧盘点正式开始前，对供应商工作人员进行培训。培训内容包括工作内容、工作标准、责任分工、操作要求、进度安排、安全防护以及应急处置等方面。培训工作由图书馆读者服务部会同供应商负责实施。</w:t>
            </w:r>
          </w:p>
          <w:p>
            <w:pPr>
              <w:spacing w:line="360" w:lineRule="auto"/>
              <w:rPr>
                <w:rFonts w:ascii="宋体" w:hAnsi="宋体"/>
              </w:rPr>
            </w:pPr>
            <w:r>
              <w:rPr>
                <w:rFonts w:hint="eastAsia" w:ascii="宋体" w:hAnsi="宋体"/>
              </w:rPr>
              <w:t>2.技术支持：</w:t>
            </w:r>
          </w:p>
          <w:p>
            <w:pPr>
              <w:spacing w:line="360" w:lineRule="auto"/>
              <w:rPr>
                <w:rFonts w:ascii="宋体" w:hAnsi="宋体"/>
              </w:rPr>
            </w:pPr>
            <w:r>
              <w:rPr>
                <w:rFonts w:hint="eastAsia" w:ascii="宋体" w:hAnsi="宋体"/>
              </w:rPr>
              <w:t>（1）拟派人员必须具有一定的图书剔旧盘点工作经验，项目负责人必须具有3年以上同类业绩并提供相应证明材料；</w:t>
            </w:r>
          </w:p>
          <w:p>
            <w:pPr>
              <w:spacing w:line="360" w:lineRule="auto"/>
              <w:rPr>
                <w:rFonts w:ascii="宋体" w:hAnsi="宋体"/>
              </w:rPr>
            </w:pPr>
            <w:r>
              <w:rPr>
                <w:rFonts w:hint="eastAsia" w:ascii="宋体" w:hAnsi="宋体"/>
              </w:rPr>
              <w:t>（2）工作过程中，供应商要加强对现场工作人员的管理，同时要与采购人保持良好沟通，服从采购人管理与安排，积极响应采购人要求；</w:t>
            </w:r>
          </w:p>
          <w:p>
            <w:pPr>
              <w:spacing w:line="360" w:lineRule="auto"/>
              <w:rPr>
                <w:rFonts w:ascii="宋体" w:hAnsi="宋体"/>
              </w:rPr>
            </w:pPr>
            <w:r>
              <w:rPr>
                <w:rFonts w:hint="eastAsia" w:ascii="宋体" w:hAnsi="宋体"/>
              </w:rPr>
              <w:t>（3）采购人有权对供应商的工作进行监督检查，必要时可以要求调换工作人员；</w:t>
            </w:r>
          </w:p>
          <w:p>
            <w:pPr>
              <w:spacing w:line="360" w:lineRule="auto"/>
              <w:rPr>
                <w:rFonts w:ascii="宋体" w:hAnsi="宋体"/>
              </w:rPr>
            </w:pPr>
            <w:r>
              <w:rPr>
                <w:rFonts w:hint="eastAsia" w:ascii="宋体" w:hAnsi="宋体"/>
              </w:rPr>
              <w:t>（4）拟派人员食宿自理并符合学校相关防疫规定；</w:t>
            </w:r>
          </w:p>
          <w:p>
            <w:pPr>
              <w:spacing w:line="360" w:lineRule="auto"/>
              <w:rPr>
                <w:rFonts w:ascii="宋体" w:hAnsi="宋体"/>
              </w:rPr>
            </w:pPr>
            <w:r>
              <w:rPr>
                <w:rFonts w:hint="eastAsia" w:ascii="宋体" w:hAnsi="宋体"/>
              </w:rPr>
              <w:t>（5）剔旧盘点工作中，有关的电脑及扫描设备由供应商提供；</w:t>
            </w:r>
          </w:p>
          <w:p>
            <w:pPr>
              <w:spacing w:line="360" w:lineRule="auto"/>
              <w:rPr>
                <w:rFonts w:ascii="宋体" w:hAnsi="宋体"/>
              </w:rPr>
            </w:pPr>
            <w:r>
              <w:rPr>
                <w:rFonts w:hint="eastAsia" w:ascii="宋体" w:hAnsi="宋体"/>
              </w:rPr>
              <w:t>（6）剔旧盘点工作完成后，供应商须按要求向采购人提供详细剔旧盘点报告。</w:t>
            </w:r>
          </w:p>
        </w:tc>
      </w:tr>
    </w:tbl>
    <w:p>
      <w:pPr>
        <w:rPr>
          <w:rFonts w:ascii="宋体" w:hAnsi="宋体" w:cs="宋体"/>
          <w:b/>
          <w:sz w:val="24"/>
        </w:rPr>
      </w:pPr>
    </w:p>
    <w:p>
      <w:pPr>
        <w:numPr>
          <w:ilvl w:val="0"/>
          <w:numId w:val="3"/>
        </w:numPr>
        <w:spacing w:line="360" w:lineRule="auto"/>
        <w:rPr>
          <w:rFonts w:ascii="宋体" w:hAnsi="宋体" w:cs="宋体"/>
          <w:b/>
          <w:sz w:val="24"/>
        </w:rPr>
      </w:pPr>
      <w:r>
        <w:rPr>
          <w:rFonts w:hint="eastAsia" w:ascii="宋体" w:hAnsi="宋体" w:cs="宋体"/>
          <w:b/>
          <w:sz w:val="24"/>
        </w:rPr>
        <w:t>技术要求</w:t>
      </w:r>
    </w:p>
    <w:p>
      <w:pPr>
        <w:pStyle w:val="3"/>
        <w:spacing w:line="360" w:lineRule="auto"/>
        <w:rPr>
          <w:rFonts w:ascii="Times New Roman" w:hAnsi="Times New Roman" w:eastAsiaTheme="majorEastAsia"/>
          <w:sz w:val="24"/>
        </w:rPr>
      </w:pPr>
      <w:r>
        <w:rPr>
          <w:rFonts w:hint="eastAsia" w:ascii="Times New Roman" w:hAnsi="Times New Roman" w:eastAsiaTheme="majorEastAsia"/>
          <w:sz w:val="24"/>
        </w:rPr>
        <w:t>1.采购内容清单</w:t>
      </w:r>
    </w:p>
    <w:tbl>
      <w:tblPr>
        <w:tblStyle w:val="10"/>
        <w:tblW w:w="4998" w:type="pct"/>
        <w:tblInd w:w="0" w:type="dxa"/>
        <w:tblLayout w:type="autofit"/>
        <w:tblCellMar>
          <w:top w:w="0" w:type="dxa"/>
          <w:left w:w="108" w:type="dxa"/>
          <w:bottom w:w="0" w:type="dxa"/>
          <w:right w:w="108" w:type="dxa"/>
        </w:tblCellMar>
      </w:tblPr>
      <w:tblGrid>
        <w:gridCol w:w="743"/>
        <w:gridCol w:w="1974"/>
        <w:gridCol w:w="5170"/>
        <w:gridCol w:w="747"/>
        <w:gridCol w:w="990"/>
      </w:tblGrid>
      <w:tr>
        <w:tblPrEx>
          <w:tblCellMar>
            <w:top w:w="0" w:type="dxa"/>
            <w:left w:w="108" w:type="dxa"/>
            <w:bottom w:w="0" w:type="dxa"/>
            <w:right w:w="108" w:type="dxa"/>
          </w:tblCellMar>
        </w:tblPrEx>
        <w:trPr>
          <w:trHeight w:val="498" w:hRule="atLeast"/>
        </w:trPr>
        <w:tc>
          <w:tcPr>
            <w:tcW w:w="386" w:type="pct"/>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序号</w:t>
            </w:r>
          </w:p>
        </w:tc>
        <w:tc>
          <w:tcPr>
            <w:tcW w:w="1025" w:type="pct"/>
            <w:tcBorders>
              <w:top w:val="single" w:color="auto" w:sz="4" w:space="0"/>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项目</w:t>
            </w:r>
          </w:p>
        </w:tc>
        <w:tc>
          <w:tcPr>
            <w:tcW w:w="2685" w:type="pct"/>
            <w:tcBorders>
              <w:top w:val="single" w:color="auto" w:sz="4" w:space="0"/>
              <w:left w:val="nil"/>
              <w:bottom w:val="single" w:color="auto" w:sz="4" w:space="0"/>
              <w:right w:val="single" w:color="auto" w:sz="4" w:space="0"/>
            </w:tcBorders>
            <w:shd w:val="clear" w:color="000000" w:fill="FFFFFF"/>
            <w:vAlign w:val="bottom"/>
          </w:tcPr>
          <w:p>
            <w:pPr>
              <w:widowControl/>
              <w:jc w:val="center"/>
              <w:rPr>
                <w:rFonts w:ascii="宋体" w:hAnsi="宋体" w:cs="Tahoma"/>
                <w:b/>
                <w:bCs/>
                <w:color w:val="000000"/>
                <w:kern w:val="0"/>
                <w:szCs w:val="21"/>
              </w:rPr>
            </w:pPr>
            <w:r>
              <w:rPr>
                <w:rFonts w:hint="eastAsia" w:ascii="宋体" w:hAnsi="宋体" w:cs="Tahoma"/>
                <w:b/>
                <w:bCs/>
                <w:color w:val="000000"/>
                <w:kern w:val="0"/>
                <w:szCs w:val="21"/>
              </w:rPr>
              <w:t>内容</w:t>
            </w:r>
          </w:p>
        </w:tc>
        <w:tc>
          <w:tcPr>
            <w:tcW w:w="388" w:type="pct"/>
            <w:tcBorders>
              <w:top w:val="single" w:color="auto" w:sz="4" w:space="0"/>
              <w:left w:val="nil"/>
              <w:bottom w:val="single" w:color="auto" w:sz="4" w:space="0"/>
              <w:right w:val="single" w:color="auto" w:sz="4" w:space="0"/>
            </w:tcBorders>
            <w:shd w:val="clear" w:color="000000" w:fill="FFFFFF"/>
            <w:vAlign w:val="bottom"/>
          </w:tcPr>
          <w:p>
            <w:pPr>
              <w:widowControl/>
              <w:jc w:val="center"/>
              <w:rPr>
                <w:rFonts w:ascii="宋体" w:hAnsi="宋体" w:cs="Tahoma"/>
                <w:b/>
                <w:bCs/>
                <w:color w:val="000000"/>
                <w:kern w:val="0"/>
                <w:szCs w:val="21"/>
              </w:rPr>
            </w:pPr>
            <w:r>
              <w:rPr>
                <w:rFonts w:hint="eastAsia" w:ascii="宋体" w:hAnsi="宋体" w:cs="Tahoma"/>
                <w:b/>
                <w:bCs/>
                <w:color w:val="000000"/>
                <w:kern w:val="0"/>
                <w:szCs w:val="21"/>
              </w:rPr>
              <w:t>单位</w:t>
            </w:r>
          </w:p>
        </w:tc>
        <w:tc>
          <w:tcPr>
            <w:tcW w:w="514" w:type="pct"/>
            <w:tcBorders>
              <w:top w:val="single" w:color="auto" w:sz="4" w:space="0"/>
              <w:left w:val="nil"/>
              <w:bottom w:val="single" w:color="auto" w:sz="4" w:space="0"/>
              <w:right w:val="single" w:color="auto" w:sz="4" w:space="0"/>
            </w:tcBorders>
            <w:shd w:val="clear" w:color="000000" w:fill="FFFFFF"/>
            <w:vAlign w:val="bottom"/>
          </w:tcPr>
          <w:p>
            <w:pPr>
              <w:widowControl/>
              <w:jc w:val="center"/>
              <w:rPr>
                <w:rFonts w:ascii="宋体" w:hAnsi="宋体" w:cs="Tahoma"/>
                <w:b/>
                <w:bCs/>
                <w:color w:val="000000"/>
                <w:kern w:val="0"/>
                <w:szCs w:val="21"/>
              </w:rPr>
            </w:pPr>
            <w:r>
              <w:rPr>
                <w:rFonts w:hint="eastAsia" w:ascii="宋体" w:hAnsi="宋体" w:cs="Tahoma"/>
                <w:b/>
                <w:bCs/>
                <w:color w:val="000000"/>
                <w:kern w:val="0"/>
                <w:szCs w:val="21"/>
              </w:rPr>
              <w:t>数量</w:t>
            </w:r>
          </w:p>
        </w:tc>
      </w:tr>
      <w:tr>
        <w:tblPrEx>
          <w:tblCellMar>
            <w:top w:w="0" w:type="dxa"/>
            <w:left w:w="108" w:type="dxa"/>
            <w:bottom w:w="0" w:type="dxa"/>
            <w:right w:w="108" w:type="dxa"/>
          </w:tblCellMar>
        </w:tblPrEx>
        <w:trPr>
          <w:trHeight w:val="464" w:hRule="atLeast"/>
        </w:trPr>
        <w:tc>
          <w:tcPr>
            <w:tcW w:w="386" w:type="pct"/>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1025" w:type="pct"/>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图书下架</w:t>
            </w:r>
          </w:p>
        </w:tc>
        <w:tc>
          <w:tcPr>
            <w:tcW w:w="2685" w:type="pct"/>
            <w:tcBorders>
              <w:top w:val="single" w:color="auto" w:sz="4" w:space="0"/>
              <w:left w:val="nil"/>
              <w:bottom w:val="single" w:color="auto" w:sz="4" w:space="0"/>
              <w:right w:val="single" w:color="auto" w:sz="4" w:space="0"/>
            </w:tcBorders>
            <w:shd w:val="clear" w:color="000000" w:fill="FFFFFF"/>
            <w:vAlign w:val="bottom"/>
          </w:tcPr>
          <w:p>
            <w:pPr>
              <w:jc w:val="center"/>
            </w:pPr>
            <w:r>
              <w:rPr>
                <w:rFonts w:hint="eastAsia"/>
              </w:rPr>
              <w:t>图书下架及调拨</w:t>
            </w:r>
          </w:p>
        </w:tc>
        <w:tc>
          <w:tcPr>
            <w:tcW w:w="388" w:type="pct"/>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册</w:t>
            </w:r>
          </w:p>
        </w:tc>
        <w:tc>
          <w:tcPr>
            <w:tcW w:w="514" w:type="pct"/>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112000</w:t>
            </w:r>
          </w:p>
        </w:tc>
      </w:tr>
      <w:tr>
        <w:tblPrEx>
          <w:tblCellMar>
            <w:top w:w="0" w:type="dxa"/>
            <w:left w:w="108" w:type="dxa"/>
            <w:bottom w:w="0" w:type="dxa"/>
            <w:right w:w="108" w:type="dxa"/>
          </w:tblCellMar>
        </w:tblPrEx>
        <w:trPr>
          <w:trHeight w:val="285" w:hRule="atLeast"/>
        </w:trPr>
        <w:tc>
          <w:tcPr>
            <w:tcW w:w="386" w:type="pct"/>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1025" w:type="pct"/>
            <w:vMerge w:val="restart"/>
            <w:tcBorders>
              <w:top w:val="nil"/>
              <w:left w:val="single" w:color="auto" w:sz="4" w:space="0"/>
              <w:bottom w:val="single" w:color="auto" w:sz="4" w:space="0"/>
              <w:right w:val="single" w:color="auto" w:sz="4" w:space="0"/>
            </w:tcBorders>
            <w:shd w:val="clear" w:color="000000" w:fill="FFFFFF"/>
            <w:vAlign w:val="bottom"/>
          </w:tcPr>
          <w:p>
            <w:pPr>
              <w:widowControl/>
              <w:spacing w:line="600" w:lineRule="auto"/>
              <w:rPr>
                <w:rFonts w:ascii="宋体" w:hAnsi="宋体" w:cs="Tahoma"/>
                <w:color w:val="000000"/>
                <w:kern w:val="0"/>
                <w:szCs w:val="21"/>
              </w:rPr>
            </w:pPr>
            <w:r>
              <w:rPr>
                <w:rFonts w:hint="eastAsia" w:ascii="宋体" w:hAnsi="宋体" w:cs="Tahoma"/>
                <w:color w:val="000000"/>
                <w:kern w:val="0"/>
                <w:szCs w:val="21"/>
              </w:rPr>
              <w:t>图书打包搬运</w:t>
            </w:r>
          </w:p>
        </w:tc>
        <w:tc>
          <w:tcPr>
            <w:tcW w:w="2685" w:type="pct"/>
            <w:tcBorders>
              <w:top w:val="single" w:color="auto" w:sz="4" w:space="0"/>
              <w:left w:val="nil"/>
              <w:bottom w:val="single" w:color="auto" w:sz="4" w:space="0"/>
              <w:right w:val="single" w:color="auto" w:sz="4" w:space="0"/>
            </w:tcBorders>
            <w:shd w:val="clear" w:color="000000" w:fill="FFFFFF"/>
            <w:vAlign w:val="bottom"/>
          </w:tcPr>
          <w:p>
            <w:pPr>
              <w:pStyle w:val="5"/>
              <w:jc w:val="center"/>
              <w:rPr>
                <w:rFonts w:ascii="宋体" w:hAnsi="宋体" w:cs="Tahoma"/>
                <w:color w:val="000000"/>
                <w:kern w:val="0"/>
                <w:szCs w:val="21"/>
              </w:rPr>
            </w:pPr>
            <w:r>
              <w:rPr>
                <w:rFonts w:hint="eastAsia" w:ascii="宋体" w:hAnsi="宋体" w:cs="Tahoma"/>
                <w:color w:val="000000"/>
                <w:kern w:val="0"/>
                <w:szCs w:val="21"/>
              </w:rPr>
              <w:t>各书库图书打包搬运</w:t>
            </w:r>
          </w:p>
        </w:tc>
        <w:tc>
          <w:tcPr>
            <w:tcW w:w="388" w:type="pct"/>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册</w:t>
            </w:r>
          </w:p>
        </w:tc>
        <w:tc>
          <w:tcPr>
            <w:tcW w:w="514" w:type="pct"/>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112000</w:t>
            </w:r>
          </w:p>
        </w:tc>
      </w:tr>
      <w:tr>
        <w:tblPrEx>
          <w:tblCellMar>
            <w:top w:w="0" w:type="dxa"/>
            <w:left w:w="108" w:type="dxa"/>
            <w:bottom w:w="0" w:type="dxa"/>
            <w:right w:w="108" w:type="dxa"/>
          </w:tblCellMar>
        </w:tblPrEx>
        <w:trPr>
          <w:trHeight w:val="285" w:hRule="atLeast"/>
        </w:trPr>
        <w:tc>
          <w:tcPr>
            <w:tcW w:w="386" w:type="pct"/>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102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Cs w:val="21"/>
              </w:rPr>
            </w:pPr>
          </w:p>
        </w:tc>
        <w:tc>
          <w:tcPr>
            <w:tcW w:w="2685" w:type="pct"/>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四楼东临时存放点图书打包搬运</w:t>
            </w:r>
          </w:p>
        </w:tc>
        <w:tc>
          <w:tcPr>
            <w:tcW w:w="388" w:type="pct"/>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册</w:t>
            </w:r>
          </w:p>
        </w:tc>
        <w:tc>
          <w:tcPr>
            <w:tcW w:w="514" w:type="pct"/>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17132</w:t>
            </w:r>
          </w:p>
        </w:tc>
      </w:tr>
      <w:tr>
        <w:tblPrEx>
          <w:tblCellMar>
            <w:top w:w="0" w:type="dxa"/>
            <w:left w:w="108" w:type="dxa"/>
            <w:bottom w:w="0" w:type="dxa"/>
            <w:right w:w="108" w:type="dxa"/>
          </w:tblCellMar>
        </w:tblPrEx>
        <w:trPr>
          <w:trHeight w:val="285" w:hRule="atLeast"/>
        </w:trPr>
        <w:tc>
          <w:tcPr>
            <w:tcW w:w="386" w:type="pct"/>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4</w:t>
            </w:r>
          </w:p>
        </w:tc>
        <w:tc>
          <w:tcPr>
            <w:tcW w:w="102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Cs w:val="21"/>
              </w:rPr>
            </w:pPr>
          </w:p>
        </w:tc>
        <w:tc>
          <w:tcPr>
            <w:tcW w:w="2685" w:type="pct"/>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一楼临时密库图书打包搬运</w:t>
            </w:r>
          </w:p>
        </w:tc>
        <w:tc>
          <w:tcPr>
            <w:tcW w:w="388" w:type="pct"/>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册</w:t>
            </w:r>
          </w:p>
        </w:tc>
        <w:tc>
          <w:tcPr>
            <w:tcW w:w="514" w:type="pct"/>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91432</w:t>
            </w:r>
          </w:p>
        </w:tc>
      </w:tr>
      <w:tr>
        <w:tblPrEx>
          <w:tblCellMar>
            <w:top w:w="0" w:type="dxa"/>
            <w:left w:w="108" w:type="dxa"/>
            <w:bottom w:w="0" w:type="dxa"/>
            <w:right w:w="108" w:type="dxa"/>
          </w:tblCellMar>
        </w:tblPrEx>
        <w:trPr>
          <w:trHeight w:val="285" w:hRule="atLeast"/>
        </w:trPr>
        <w:tc>
          <w:tcPr>
            <w:tcW w:w="386" w:type="pct"/>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5</w:t>
            </w:r>
          </w:p>
        </w:tc>
        <w:tc>
          <w:tcPr>
            <w:tcW w:w="1025" w:type="pct"/>
            <w:vMerge w:val="restart"/>
            <w:tcBorders>
              <w:top w:val="nil"/>
              <w:left w:val="single" w:color="auto" w:sz="4" w:space="0"/>
              <w:bottom w:val="single" w:color="auto" w:sz="4" w:space="0"/>
              <w:right w:val="single" w:color="auto" w:sz="4" w:space="0"/>
            </w:tcBorders>
            <w:shd w:val="clear" w:color="000000" w:fill="FFFFFF"/>
            <w:vAlign w:val="bottom"/>
          </w:tcPr>
          <w:p>
            <w:pPr>
              <w:widowControl/>
              <w:spacing w:line="480" w:lineRule="auto"/>
              <w:jc w:val="center"/>
              <w:rPr>
                <w:rFonts w:ascii="宋体" w:hAnsi="宋体" w:cs="Tahoma"/>
                <w:color w:val="000000"/>
                <w:kern w:val="0"/>
                <w:szCs w:val="21"/>
              </w:rPr>
            </w:pPr>
            <w:r>
              <w:rPr>
                <w:rFonts w:hint="eastAsia" w:ascii="宋体" w:hAnsi="宋体" w:cs="Tahoma"/>
                <w:color w:val="000000"/>
                <w:kern w:val="0"/>
                <w:szCs w:val="21"/>
              </w:rPr>
              <w:t>耗材</w:t>
            </w:r>
          </w:p>
        </w:tc>
        <w:tc>
          <w:tcPr>
            <w:tcW w:w="2685" w:type="pct"/>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打包纸</w:t>
            </w:r>
          </w:p>
        </w:tc>
        <w:tc>
          <w:tcPr>
            <w:tcW w:w="388" w:type="pct"/>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张</w:t>
            </w:r>
          </w:p>
        </w:tc>
        <w:tc>
          <w:tcPr>
            <w:tcW w:w="514" w:type="pct"/>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6666</w:t>
            </w:r>
          </w:p>
        </w:tc>
      </w:tr>
      <w:tr>
        <w:tblPrEx>
          <w:tblCellMar>
            <w:top w:w="0" w:type="dxa"/>
            <w:left w:w="108" w:type="dxa"/>
            <w:bottom w:w="0" w:type="dxa"/>
            <w:right w:w="108" w:type="dxa"/>
          </w:tblCellMar>
        </w:tblPrEx>
        <w:trPr>
          <w:trHeight w:val="285" w:hRule="atLeast"/>
        </w:trPr>
        <w:tc>
          <w:tcPr>
            <w:tcW w:w="386" w:type="pct"/>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6</w:t>
            </w:r>
          </w:p>
        </w:tc>
        <w:tc>
          <w:tcPr>
            <w:tcW w:w="102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Cs w:val="21"/>
              </w:rPr>
            </w:pPr>
          </w:p>
        </w:tc>
        <w:tc>
          <w:tcPr>
            <w:tcW w:w="2685" w:type="pct"/>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木托盘</w:t>
            </w:r>
          </w:p>
        </w:tc>
        <w:tc>
          <w:tcPr>
            <w:tcW w:w="388" w:type="pct"/>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张</w:t>
            </w:r>
          </w:p>
        </w:tc>
        <w:tc>
          <w:tcPr>
            <w:tcW w:w="514" w:type="pct"/>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100</w:t>
            </w:r>
          </w:p>
        </w:tc>
      </w:tr>
      <w:tr>
        <w:tblPrEx>
          <w:tblCellMar>
            <w:top w:w="0" w:type="dxa"/>
            <w:left w:w="108" w:type="dxa"/>
            <w:bottom w:w="0" w:type="dxa"/>
            <w:right w:w="108" w:type="dxa"/>
          </w:tblCellMar>
        </w:tblPrEx>
        <w:trPr>
          <w:trHeight w:val="285" w:hRule="atLeast"/>
        </w:trPr>
        <w:tc>
          <w:tcPr>
            <w:tcW w:w="386" w:type="pct"/>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7</w:t>
            </w:r>
          </w:p>
        </w:tc>
        <w:tc>
          <w:tcPr>
            <w:tcW w:w="102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Cs w:val="21"/>
              </w:rPr>
            </w:pPr>
          </w:p>
        </w:tc>
        <w:tc>
          <w:tcPr>
            <w:tcW w:w="2685" w:type="pct"/>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盖布</w:t>
            </w:r>
          </w:p>
        </w:tc>
        <w:tc>
          <w:tcPr>
            <w:tcW w:w="388" w:type="pct"/>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片</w:t>
            </w:r>
          </w:p>
        </w:tc>
        <w:tc>
          <w:tcPr>
            <w:tcW w:w="514" w:type="pct"/>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1</w:t>
            </w:r>
          </w:p>
        </w:tc>
      </w:tr>
      <w:tr>
        <w:tblPrEx>
          <w:tblCellMar>
            <w:top w:w="0" w:type="dxa"/>
            <w:left w:w="108" w:type="dxa"/>
            <w:bottom w:w="0" w:type="dxa"/>
            <w:right w:w="108" w:type="dxa"/>
          </w:tblCellMar>
        </w:tblPrEx>
        <w:trPr>
          <w:trHeight w:val="374" w:hRule="atLeast"/>
        </w:trPr>
        <w:tc>
          <w:tcPr>
            <w:tcW w:w="386" w:type="pct"/>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8</w:t>
            </w:r>
          </w:p>
        </w:tc>
        <w:tc>
          <w:tcPr>
            <w:tcW w:w="1025" w:type="pct"/>
            <w:vMerge w:val="restart"/>
            <w:tcBorders>
              <w:top w:val="nil"/>
              <w:left w:val="single" w:color="auto" w:sz="4" w:space="0"/>
              <w:bottom w:val="single" w:color="auto" w:sz="4" w:space="0"/>
              <w:right w:val="single" w:color="auto" w:sz="4" w:space="0"/>
            </w:tcBorders>
            <w:shd w:val="clear" w:color="000000" w:fill="FFFFFF"/>
            <w:vAlign w:val="bottom"/>
          </w:tcPr>
          <w:p>
            <w:pPr>
              <w:widowControl/>
              <w:spacing w:line="720" w:lineRule="auto"/>
              <w:jc w:val="center"/>
              <w:rPr>
                <w:rFonts w:ascii="宋体" w:hAnsi="宋体" w:cs="Tahoma"/>
                <w:color w:val="000000"/>
                <w:kern w:val="0"/>
                <w:szCs w:val="21"/>
              </w:rPr>
            </w:pPr>
            <w:r>
              <w:rPr>
                <w:rFonts w:hint="eastAsia" w:ascii="宋体" w:hAnsi="宋体" w:cs="Tahoma"/>
                <w:color w:val="000000"/>
                <w:kern w:val="0"/>
                <w:szCs w:val="21"/>
              </w:rPr>
              <w:t>书库置换</w:t>
            </w:r>
          </w:p>
        </w:tc>
        <w:tc>
          <w:tcPr>
            <w:tcW w:w="2685" w:type="pct"/>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图书搬运：从一楼西至二楼东并按索书号上架</w:t>
            </w:r>
          </w:p>
        </w:tc>
        <w:tc>
          <w:tcPr>
            <w:tcW w:w="388" w:type="pct"/>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册</w:t>
            </w:r>
          </w:p>
        </w:tc>
        <w:tc>
          <w:tcPr>
            <w:tcW w:w="514" w:type="pct"/>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87000</w:t>
            </w:r>
          </w:p>
        </w:tc>
      </w:tr>
      <w:tr>
        <w:tblPrEx>
          <w:tblCellMar>
            <w:top w:w="0" w:type="dxa"/>
            <w:left w:w="108" w:type="dxa"/>
            <w:bottom w:w="0" w:type="dxa"/>
            <w:right w:w="108" w:type="dxa"/>
          </w:tblCellMar>
        </w:tblPrEx>
        <w:trPr>
          <w:trHeight w:val="383" w:hRule="atLeast"/>
        </w:trPr>
        <w:tc>
          <w:tcPr>
            <w:tcW w:w="386" w:type="pct"/>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9</w:t>
            </w:r>
          </w:p>
        </w:tc>
        <w:tc>
          <w:tcPr>
            <w:tcW w:w="102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Cs w:val="21"/>
              </w:rPr>
            </w:pPr>
          </w:p>
        </w:tc>
        <w:tc>
          <w:tcPr>
            <w:tcW w:w="2685" w:type="pct"/>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书架拆运装：从一楼西到二楼东及其它场地</w:t>
            </w:r>
          </w:p>
        </w:tc>
        <w:tc>
          <w:tcPr>
            <w:tcW w:w="388" w:type="pct"/>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节</w:t>
            </w:r>
          </w:p>
        </w:tc>
        <w:tc>
          <w:tcPr>
            <w:tcW w:w="514" w:type="pct"/>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305</w:t>
            </w:r>
          </w:p>
        </w:tc>
      </w:tr>
      <w:tr>
        <w:tblPrEx>
          <w:tblCellMar>
            <w:top w:w="0" w:type="dxa"/>
            <w:left w:w="108" w:type="dxa"/>
            <w:bottom w:w="0" w:type="dxa"/>
            <w:right w:w="108" w:type="dxa"/>
          </w:tblCellMar>
        </w:tblPrEx>
        <w:trPr>
          <w:trHeight w:val="392" w:hRule="atLeast"/>
        </w:trPr>
        <w:tc>
          <w:tcPr>
            <w:tcW w:w="386" w:type="pct"/>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10</w:t>
            </w:r>
          </w:p>
        </w:tc>
        <w:tc>
          <w:tcPr>
            <w:tcW w:w="102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Cs w:val="21"/>
              </w:rPr>
            </w:pPr>
          </w:p>
        </w:tc>
        <w:tc>
          <w:tcPr>
            <w:tcW w:w="2685" w:type="pct"/>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木架拆运装：从二楼东到一楼西</w:t>
            </w:r>
          </w:p>
        </w:tc>
        <w:tc>
          <w:tcPr>
            <w:tcW w:w="388" w:type="pct"/>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节</w:t>
            </w:r>
          </w:p>
        </w:tc>
        <w:tc>
          <w:tcPr>
            <w:tcW w:w="514" w:type="pct"/>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39</w:t>
            </w:r>
          </w:p>
        </w:tc>
      </w:tr>
      <w:tr>
        <w:tblPrEx>
          <w:tblCellMar>
            <w:top w:w="0" w:type="dxa"/>
            <w:left w:w="108" w:type="dxa"/>
            <w:bottom w:w="0" w:type="dxa"/>
            <w:right w:w="108" w:type="dxa"/>
          </w:tblCellMar>
        </w:tblPrEx>
        <w:trPr>
          <w:trHeight w:val="357" w:hRule="atLeast"/>
        </w:trPr>
        <w:tc>
          <w:tcPr>
            <w:tcW w:w="386" w:type="pct"/>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11</w:t>
            </w:r>
          </w:p>
        </w:tc>
        <w:tc>
          <w:tcPr>
            <w:tcW w:w="102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Cs w:val="21"/>
              </w:rPr>
            </w:pPr>
          </w:p>
        </w:tc>
        <w:tc>
          <w:tcPr>
            <w:tcW w:w="2685" w:type="pct"/>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铁书架拆运装从二楼东到一楼西</w:t>
            </w:r>
          </w:p>
        </w:tc>
        <w:tc>
          <w:tcPr>
            <w:tcW w:w="388" w:type="pct"/>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节</w:t>
            </w:r>
          </w:p>
        </w:tc>
        <w:tc>
          <w:tcPr>
            <w:tcW w:w="514" w:type="pct"/>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32</w:t>
            </w:r>
          </w:p>
        </w:tc>
      </w:tr>
      <w:tr>
        <w:tblPrEx>
          <w:tblCellMar>
            <w:top w:w="0" w:type="dxa"/>
            <w:left w:w="108" w:type="dxa"/>
            <w:bottom w:w="0" w:type="dxa"/>
            <w:right w:w="108" w:type="dxa"/>
          </w:tblCellMar>
        </w:tblPrEx>
        <w:trPr>
          <w:trHeight w:val="285" w:hRule="atLeast"/>
        </w:trPr>
        <w:tc>
          <w:tcPr>
            <w:tcW w:w="386" w:type="pct"/>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12</w:t>
            </w:r>
          </w:p>
        </w:tc>
        <w:tc>
          <w:tcPr>
            <w:tcW w:w="1025" w:type="pct"/>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图书盘点</w:t>
            </w:r>
          </w:p>
        </w:tc>
        <w:tc>
          <w:tcPr>
            <w:tcW w:w="2685" w:type="pct"/>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除下架外图书</w:t>
            </w:r>
          </w:p>
        </w:tc>
        <w:tc>
          <w:tcPr>
            <w:tcW w:w="388" w:type="pct"/>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册</w:t>
            </w:r>
          </w:p>
        </w:tc>
        <w:tc>
          <w:tcPr>
            <w:tcW w:w="514" w:type="pct"/>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880000</w:t>
            </w:r>
          </w:p>
        </w:tc>
      </w:tr>
      <w:tr>
        <w:tblPrEx>
          <w:tblCellMar>
            <w:top w:w="0" w:type="dxa"/>
            <w:left w:w="108" w:type="dxa"/>
            <w:bottom w:w="0" w:type="dxa"/>
            <w:right w:w="108" w:type="dxa"/>
          </w:tblCellMar>
        </w:tblPrEx>
        <w:trPr>
          <w:trHeight w:val="285" w:hRule="atLeast"/>
        </w:trPr>
        <w:tc>
          <w:tcPr>
            <w:tcW w:w="386" w:type="pct"/>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13</w:t>
            </w:r>
          </w:p>
        </w:tc>
        <w:tc>
          <w:tcPr>
            <w:tcW w:w="1025" w:type="pct"/>
            <w:vMerge w:val="restart"/>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早稻田文库挪架</w:t>
            </w:r>
          </w:p>
        </w:tc>
        <w:tc>
          <w:tcPr>
            <w:tcW w:w="2685" w:type="pct"/>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移书架</w:t>
            </w:r>
          </w:p>
        </w:tc>
        <w:tc>
          <w:tcPr>
            <w:tcW w:w="388" w:type="pct"/>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节</w:t>
            </w:r>
          </w:p>
        </w:tc>
        <w:tc>
          <w:tcPr>
            <w:tcW w:w="514" w:type="pct"/>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54</w:t>
            </w:r>
          </w:p>
        </w:tc>
      </w:tr>
      <w:tr>
        <w:tblPrEx>
          <w:tblCellMar>
            <w:top w:w="0" w:type="dxa"/>
            <w:left w:w="108" w:type="dxa"/>
            <w:bottom w:w="0" w:type="dxa"/>
            <w:right w:w="108" w:type="dxa"/>
          </w:tblCellMar>
        </w:tblPrEx>
        <w:trPr>
          <w:trHeight w:val="285" w:hRule="atLeast"/>
        </w:trPr>
        <w:tc>
          <w:tcPr>
            <w:tcW w:w="386" w:type="pct"/>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14</w:t>
            </w:r>
          </w:p>
        </w:tc>
        <w:tc>
          <w:tcPr>
            <w:tcW w:w="102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Cs w:val="21"/>
              </w:rPr>
            </w:pPr>
          </w:p>
        </w:tc>
        <w:tc>
          <w:tcPr>
            <w:tcW w:w="2685" w:type="pct"/>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bookmarkStart w:id="33" w:name="_GoBack"/>
            <w:bookmarkEnd w:id="33"/>
            <w:r>
              <w:rPr>
                <w:rFonts w:hint="eastAsia" w:ascii="宋体" w:hAnsi="宋体" w:cs="Tahoma"/>
                <w:color w:val="000000"/>
                <w:kern w:val="0"/>
                <w:szCs w:val="21"/>
              </w:rPr>
              <w:t>图书下架上架</w:t>
            </w:r>
          </w:p>
        </w:tc>
        <w:tc>
          <w:tcPr>
            <w:tcW w:w="388" w:type="pct"/>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册</w:t>
            </w:r>
          </w:p>
        </w:tc>
        <w:tc>
          <w:tcPr>
            <w:tcW w:w="514" w:type="pct"/>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16000</w:t>
            </w:r>
          </w:p>
        </w:tc>
      </w:tr>
      <w:tr>
        <w:tblPrEx>
          <w:tblCellMar>
            <w:top w:w="0" w:type="dxa"/>
            <w:left w:w="108" w:type="dxa"/>
            <w:bottom w:w="0" w:type="dxa"/>
            <w:right w:w="108" w:type="dxa"/>
          </w:tblCellMar>
        </w:tblPrEx>
        <w:trPr>
          <w:trHeight w:val="389" w:hRule="atLeast"/>
        </w:trPr>
        <w:tc>
          <w:tcPr>
            <w:tcW w:w="386" w:type="pct"/>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15</w:t>
            </w:r>
          </w:p>
        </w:tc>
        <w:tc>
          <w:tcPr>
            <w:tcW w:w="1025" w:type="pct"/>
            <w:tcBorders>
              <w:top w:val="single" w:color="auto" w:sz="4" w:space="0"/>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捐赠图书专库</w:t>
            </w:r>
          </w:p>
        </w:tc>
        <w:tc>
          <w:tcPr>
            <w:tcW w:w="2685" w:type="pct"/>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图书下架上架</w:t>
            </w:r>
          </w:p>
        </w:tc>
        <w:tc>
          <w:tcPr>
            <w:tcW w:w="388" w:type="pct"/>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册</w:t>
            </w:r>
          </w:p>
        </w:tc>
        <w:tc>
          <w:tcPr>
            <w:tcW w:w="514" w:type="pct"/>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10000</w:t>
            </w:r>
          </w:p>
        </w:tc>
      </w:tr>
      <w:tr>
        <w:tblPrEx>
          <w:tblCellMar>
            <w:top w:w="0" w:type="dxa"/>
            <w:left w:w="108" w:type="dxa"/>
            <w:bottom w:w="0" w:type="dxa"/>
            <w:right w:w="108" w:type="dxa"/>
          </w:tblCellMar>
        </w:tblPrEx>
        <w:trPr>
          <w:trHeight w:val="525" w:hRule="atLeast"/>
        </w:trPr>
        <w:tc>
          <w:tcPr>
            <w:tcW w:w="386" w:type="pct"/>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16</w:t>
            </w:r>
          </w:p>
        </w:tc>
        <w:tc>
          <w:tcPr>
            <w:tcW w:w="1025" w:type="pct"/>
            <w:tcBorders>
              <w:top w:val="single" w:color="auto" w:sz="4" w:space="0"/>
              <w:left w:val="nil"/>
              <w:bottom w:val="single" w:color="auto" w:sz="4" w:space="0"/>
              <w:right w:val="single" w:color="auto" w:sz="4" w:space="0"/>
            </w:tcBorders>
            <w:shd w:val="clear" w:color="000000" w:fill="FFFFFF"/>
            <w:vAlign w:val="bottom"/>
          </w:tcPr>
          <w:p>
            <w:pPr>
              <w:widowControl/>
              <w:jc w:val="left"/>
              <w:rPr>
                <w:rFonts w:ascii="宋体" w:hAnsi="宋体" w:cs="Tahoma"/>
                <w:color w:val="000000"/>
                <w:kern w:val="0"/>
                <w:szCs w:val="21"/>
              </w:rPr>
            </w:pPr>
            <w:r>
              <w:rPr>
                <w:rFonts w:hint="eastAsia" w:ascii="宋体" w:hAnsi="宋体" w:cs="Tahoma"/>
                <w:color w:val="000000"/>
                <w:kern w:val="0"/>
                <w:szCs w:val="21"/>
              </w:rPr>
              <w:t>过刊装订</w:t>
            </w:r>
          </w:p>
        </w:tc>
        <w:tc>
          <w:tcPr>
            <w:tcW w:w="2685" w:type="pct"/>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过刊挑选、装订、编目、上架</w:t>
            </w:r>
          </w:p>
        </w:tc>
        <w:tc>
          <w:tcPr>
            <w:tcW w:w="388" w:type="pct"/>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册</w:t>
            </w:r>
          </w:p>
        </w:tc>
        <w:tc>
          <w:tcPr>
            <w:tcW w:w="514" w:type="pct"/>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3000</w:t>
            </w:r>
          </w:p>
        </w:tc>
      </w:tr>
    </w:tbl>
    <w:p>
      <w:pPr>
        <w:numPr>
          <w:ilvl w:val="0"/>
          <w:numId w:val="4"/>
        </w:numPr>
        <w:spacing w:line="360" w:lineRule="auto"/>
        <w:ind w:firstLine="420" w:firstLineChars="200"/>
        <w:rPr>
          <w:rFonts w:ascii="Times New Roman" w:hAnsi="Times New Roman" w:eastAsiaTheme="majorEastAsia"/>
          <w:szCs w:val="21"/>
        </w:rPr>
      </w:pPr>
      <w:r>
        <w:rPr>
          <w:rFonts w:ascii="Times New Roman" w:hAnsi="Times New Roman" w:eastAsiaTheme="majorEastAsia"/>
          <w:szCs w:val="21"/>
        </w:rPr>
        <w:t>数量为预估量，最终按照实际发生的数量结算；</w:t>
      </w:r>
    </w:p>
    <w:p/>
    <w:p>
      <w:pPr>
        <w:pStyle w:val="3"/>
        <w:spacing w:line="360" w:lineRule="auto"/>
        <w:rPr>
          <w:rFonts w:ascii="Times New Roman" w:hAnsi="Times New Roman" w:eastAsiaTheme="majorEastAsia"/>
          <w:sz w:val="24"/>
        </w:rPr>
      </w:pPr>
      <w:r>
        <w:rPr>
          <w:rFonts w:hint="eastAsia" w:ascii="Times New Roman" w:hAnsi="Times New Roman" w:eastAsiaTheme="majorEastAsia"/>
          <w:sz w:val="24"/>
        </w:rPr>
        <w:t>2.</w:t>
      </w:r>
      <w:r>
        <w:rPr>
          <w:rFonts w:ascii="Times New Roman" w:hAnsi="Times New Roman" w:eastAsiaTheme="majorEastAsia"/>
          <w:sz w:val="24"/>
        </w:rPr>
        <w:t>工作内容</w:t>
      </w:r>
    </w:p>
    <w:p>
      <w:pPr>
        <w:spacing w:line="360" w:lineRule="auto"/>
        <w:ind w:firstLine="482" w:firstLineChars="200"/>
        <w:rPr>
          <w:rFonts w:ascii="Times New Roman" w:hAnsi="Times New Roman" w:eastAsiaTheme="majorEastAsia"/>
          <w:sz w:val="24"/>
        </w:rPr>
      </w:pPr>
      <w:r>
        <w:rPr>
          <w:rFonts w:hint="eastAsia" w:ascii="Times New Roman" w:hAnsi="Times New Roman" w:eastAsiaTheme="majorEastAsia"/>
          <w:b/>
          <w:bCs/>
          <w:sz w:val="24"/>
        </w:rPr>
        <w:t>2.1</w:t>
      </w:r>
      <w:r>
        <w:rPr>
          <w:rFonts w:ascii="Times New Roman" w:hAnsi="Times New Roman" w:eastAsiaTheme="majorEastAsia"/>
          <w:b/>
          <w:bCs/>
          <w:sz w:val="24"/>
        </w:rPr>
        <w:t>图书下架</w:t>
      </w:r>
      <w:r>
        <w:rPr>
          <w:rFonts w:ascii="Times New Roman" w:hAnsi="Times New Roman" w:eastAsiaTheme="majorEastAsia"/>
          <w:sz w:val="24"/>
        </w:rPr>
        <w:t>：</w:t>
      </w:r>
    </w:p>
    <w:p>
      <w:pPr>
        <w:spacing w:line="360" w:lineRule="auto"/>
        <w:rPr>
          <w:rFonts w:ascii="Times New Roman" w:hAnsi="Times New Roman" w:eastAsiaTheme="majorEastAsia"/>
          <w:b/>
          <w:bCs/>
          <w:szCs w:val="21"/>
        </w:rPr>
      </w:pPr>
      <w:r>
        <w:rPr>
          <w:rFonts w:hint="eastAsia" w:ascii="Times New Roman" w:hAnsi="Times New Roman" w:eastAsiaTheme="majorEastAsia"/>
          <w:b/>
          <w:bCs/>
          <w:szCs w:val="21"/>
        </w:rPr>
        <w:t>（1）</w:t>
      </w:r>
      <w:r>
        <w:rPr>
          <w:rFonts w:ascii="Times New Roman" w:hAnsi="Times New Roman" w:eastAsiaTheme="majorEastAsia"/>
          <w:b/>
          <w:bCs/>
          <w:szCs w:val="21"/>
        </w:rPr>
        <w:t>下架范围</w:t>
      </w:r>
      <w:r>
        <w:rPr>
          <w:rFonts w:ascii="Times New Roman" w:hAnsi="Times New Roman" w:eastAsiaTheme="majorEastAsia"/>
          <w:szCs w:val="21"/>
        </w:rPr>
        <w:t>：一楼西、三楼西、四楼西、八楼中、八楼东书库2个以上复本的图书，除保留2个复本外其余全部下架；二楼西文学类图书由</w:t>
      </w:r>
      <w:r>
        <w:rPr>
          <w:rFonts w:hint="eastAsia" w:ascii="Times New Roman" w:hAnsi="Times New Roman" w:eastAsiaTheme="majorEastAsia"/>
          <w:szCs w:val="21"/>
        </w:rPr>
        <w:t>图书馆</w:t>
      </w:r>
      <w:r>
        <w:rPr>
          <w:rFonts w:ascii="Times New Roman" w:hAnsi="Times New Roman" w:eastAsiaTheme="majorEastAsia"/>
          <w:szCs w:val="21"/>
        </w:rPr>
        <w:t>工作人员按版本、出版年代及借阅率，挑选要下架的图书在架上横放，由</w:t>
      </w:r>
      <w:r>
        <w:rPr>
          <w:rFonts w:hint="eastAsia" w:ascii="Times New Roman" w:hAnsi="Times New Roman" w:eastAsiaTheme="majorEastAsia"/>
          <w:szCs w:val="21"/>
        </w:rPr>
        <w:t>承包单位工作</w:t>
      </w:r>
      <w:r>
        <w:rPr>
          <w:rFonts w:ascii="Times New Roman" w:hAnsi="Times New Roman" w:eastAsiaTheme="majorEastAsia"/>
          <w:szCs w:val="21"/>
        </w:rPr>
        <w:t xml:space="preserve">人员下架。三楼东书库暂不下架。 </w:t>
      </w:r>
      <w:r>
        <w:rPr>
          <w:rFonts w:hint="eastAsia" w:ascii="Times New Roman" w:hAnsi="Times New Roman" w:eastAsiaTheme="majorEastAsia"/>
          <w:szCs w:val="21"/>
        </w:rPr>
        <w:t>（2）</w:t>
      </w:r>
      <w:r>
        <w:rPr>
          <w:rFonts w:ascii="Times New Roman" w:hAnsi="Times New Roman" w:eastAsiaTheme="majorEastAsia"/>
          <w:b/>
          <w:bCs/>
          <w:szCs w:val="21"/>
        </w:rPr>
        <w:t>图书调拨：</w:t>
      </w:r>
      <w:r>
        <w:rPr>
          <w:rFonts w:ascii="Times New Roman" w:hAnsi="Times New Roman" w:eastAsiaTheme="majorEastAsia"/>
          <w:szCs w:val="21"/>
        </w:rPr>
        <w:t>完成所有下架图书系统调拨，并在系统中的“在馆”状态修改为“不可借”状态</w:t>
      </w:r>
      <w:r>
        <w:rPr>
          <w:rFonts w:hint="eastAsia" w:ascii="Times New Roman" w:hAnsi="Times New Roman" w:eastAsiaTheme="majorEastAsia"/>
          <w:szCs w:val="21"/>
        </w:rPr>
        <w:t>。</w:t>
      </w:r>
      <w:r>
        <w:rPr>
          <w:rFonts w:hint="eastAsia" w:ascii="Times New Roman" w:hAnsi="Times New Roman" w:eastAsiaTheme="majorEastAsia"/>
          <w:b/>
          <w:bCs/>
          <w:szCs w:val="21"/>
        </w:rPr>
        <w:t>（3）</w:t>
      </w:r>
      <w:r>
        <w:rPr>
          <w:rFonts w:ascii="Times New Roman" w:hAnsi="Times New Roman" w:eastAsiaTheme="majorEastAsia"/>
          <w:b/>
          <w:bCs/>
          <w:szCs w:val="21"/>
        </w:rPr>
        <w:t>图书打包：</w:t>
      </w:r>
      <w:r>
        <w:rPr>
          <w:rFonts w:ascii="Times New Roman" w:hAnsi="Times New Roman" w:eastAsiaTheme="majorEastAsia"/>
          <w:szCs w:val="21"/>
        </w:rPr>
        <w:t>完成所有新下架图书打包，边下边打；完成4楼东提前下架的经管类图书分类并打包；完成一楼临时密库图书分类并打包。</w:t>
      </w:r>
      <w:r>
        <w:rPr>
          <w:rFonts w:ascii="Times New Roman" w:hAnsi="Times New Roman" w:eastAsiaTheme="majorEastAsia"/>
          <w:b/>
          <w:bCs/>
          <w:szCs w:val="21"/>
        </w:rPr>
        <w:t>（4）图书搬运及存放</w:t>
      </w:r>
      <w:r>
        <w:rPr>
          <w:rFonts w:ascii="Times New Roman" w:hAnsi="Times New Roman" w:eastAsiaTheme="majorEastAsia"/>
          <w:szCs w:val="21"/>
        </w:rPr>
        <w:t>：所有打包图书搬运至地下室负一楼临时存放点，并做好临时存放点的防水、防潮、防火处理</w:t>
      </w:r>
      <w:r>
        <w:rPr>
          <w:rFonts w:hint="eastAsia" w:ascii="Times New Roman" w:hAnsi="Times New Roman" w:eastAsiaTheme="majorEastAsia"/>
          <w:szCs w:val="21"/>
        </w:rPr>
        <w:t>。</w:t>
      </w:r>
    </w:p>
    <w:p>
      <w:pPr>
        <w:spacing w:line="360" w:lineRule="auto"/>
        <w:ind w:firstLine="422" w:firstLineChars="200"/>
        <w:rPr>
          <w:rFonts w:ascii="Times New Roman" w:hAnsi="Times New Roman" w:eastAsiaTheme="majorEastAsia"/>
          <w:szCs w:val="21"/>
        </w:rPr>
      </w:pPr>
      <w:r>
        <w:rPr>
          <w:rFonts w:hint="eastAsia" w:ascii="Times New Roman" w:hAnsi="Times New Roman" w:eastAsiaTheme="majorEastAsia"/>
          <w:b/>
          <w:bCs/>
          <w:szCs w:val="21"/>
        </w:rPr>
        <w:t>2.2</w:t>
      </w:r>
      <w:r>
        <w:rPr>
          <w:rFonts w:ascii="Times New Roman" w:hAnsi="Times New Roman" w:eastAsiaTheme="majorEastAsia"/>
          <w:b/>
          <w:bCs/>
          <w:szCs w:val="21"/>
        </w:rPr>
        <w:t>图书盘点：</w:t>
      </w:r>
      <w:r>
        <w:rPr>
          <w:rFonts w:ascii="Times New Roman" w:hAnsi="Times New Roman" w:eastAsiaTheme="majorEastAsia"/>
          <w:szCs w:val="21"/>
        </w:rPr>
        <w:t>对下架以后剩余图书（密库除外）进行盘点，包括“两奖”文献馆、过刊阅览室、七楼中阅览室、七楼</w:t>
      </w:r>
      <w:r>
        <w:rPr>
          <w:rFonts w:hint="eastAsia" w:ascii="Times New Roman" w:hAnsi="Times New Roman" w:eastAsiaTheme="majorEastAsia"/>
          <w:color w:val="FF0000"/>
          <w:szCs w:val="21"/>
        </w:rPr>
        <w:t>东</w:t>
      </w:r>
      <w:r>
        <w:rPr>
          <w:rFonts w:ascii="Times New Roman" w:hAnsi="Times New Roman" w:eastAsiaTheme="majorEastAsia"/>
          <w:szCs w:val="21"/>
        </w:rPr>
        <w:t>阅览室、早稻田文库以及其他藏书空间。</w:t>
      </w:r>
    </w:p>
    <w:p>
      <w:pPr>
        <w:spacing w:line="360" w:lineRule="auto"/>
        <w:ind w:firstLine="422" w:firstLineChars="200"/>
        <w:rPr>
          <w:rFonts w:ascii="Times New Roman" w:hAnsi="Times New Roman" w:eastAsiaTheme="majorEastAsia"/>
          <w:b/>
          <w:bCs/>
          <w:szCs w:val="21"/>
        </w:rPr>
      </w:pPr>
      <w:r>
        <w:rPr>
          <w:rFonts w:hint="eastAsia" w:ascii="Times New Roman" w:hAnsi="Times New Roman" w:eastAsiaTheme="majorEastAsia"/>
          <w:b/>
          <w:bCs/>
          <w:szCs w:val="21"/>
        </w:rPr>
        <w:t>2.3</w:t>
      </w:r>
      <w:r>
        <w:rPr>
          <w:rFonts w:ascii="Times New Roman" w:hAnsi="Times New Roman" w:eastAsiaTheme="majorEastAsia"/>
          <w:b/>
          <w:bCs/>
          <w:szCs w:val="21"/>
        </w:rPr>
        <w:t>一楼西书库与二楼东阅览室置换：</w:t>
      </w:r>
    </w:p>
    <w:p>
      <w:pPr>
        <w:numPr>
          <w:ilvl w:val="0"/>
          <w:numId w:val="5"/>
        </w:numPr>
        <w:spacing w:line="360" w:lineRule="auto"/>
        <w:rPr>
          <w:rFonts w:ascii="Times New Roman" w:hAnsi="Times New Roman" w:eastAsiaTheme="majorEastAsia"/>
          <w:szCs w:val="21"/>
        </w:rPr>
      </w:pPr>
      <w:r>
        <w:rPr>
          <w:rFonts w:ascii="Times New Roman" w:hAnsi="Times New Roman" w:eastAsiaTheme="majorEastAsia"/>
          <w:szCs w:val="21"/>
        </w:rPr>
        <w:t>将一楼西书库图书下架并搬运至二楼东阅览室重新上架；</w:t>
      </w:r>
      <w:r>
        <w:rPr>
          <w:rFonts w:hint="eastAsia" w:ascii="Times New Roman" w:hAnsi="Times New Roman" w:eastAsiaTheme="majorEastAsia"/>
          <w:szCs w:val="21"/>
        </w:rPr>
        <w:t>（2）</w:t>
      </w:r>
      <w:r>
        <w:rPr>
          <w:rFonts w:ascii="Times New Roman" w:hAnsi="Times New Roman" w:eastAsiaTheme="majorEastAsia"/>
          <w:szCs w:val="21"/>
        </w:rPr>
        <w:t>拆除一楼西书库书架，主体搬运至二楼东阅览室并重新组装，部分搬运至三楼</w:t>
      </w:r>
      <w:r>
        <w:rPr>
          <w:rFonts w:hint="eastAsia" w:ascii="Times New Roman" w:hAnsi="Times New Roman" w:eastAsiaTheme="majorEastAsia"/>
          <w:szCs w:val="21"/>
        </w:rPr>
        <w:t>外文库</w:t>
      </w:r>
      <w:r>
        <w:rPr>
          <w:rFonts w:ascii="Times New Roman" w:hAnsi="Times New Roman" w:eastAsiaTheme="majorEastAsia"/>
          <w:szCs w:val="21"/>
        </w:rPr>
        <w:t>南面管理用房并组装，</w:t>
      </w:r>
      <w:r>
        <w:rPr>
          <w:rFonts w:hint="eastAsia" w:ascii="Times New Roman" w:hAnsi="Times New Roman" w:eastAsiaTheme="majorEastAsia"/>
          <w:szCs w:val="21"/>
        </w:rPr>
        <w:t>其余</w:t>
      </w:r>
      <w:r>
        <w:rPr>
          <w:rFonts w:ascii="Times New Roman" w:hAnsi="Times New Roman" w:eastAsiaTheme="majorEastAsia"/>
          <w:szCs w:val="21"/>
        </w:rPr>
        <w:t>书架搬运至九楼西边安装</w:t>
      </w:r>
      <w:r>
        <w:rPr>
          <w:rFonts w:hint="eastAsia" w:ascii="Times New Roman" w:hAnsi="Times New Roman" w:eastAsiaTheme="majorEastAsia"/>
          <w:szCs w:val="21"/>
        </w:rPr>
        <w:t>，剩余书架放九</w:t>
      </w:r>
      <w:r>
        <w:rPr>
          <w:rFonts w:ascii="Times New Roman" w:hAnsi="Times New Roman" w:eastAsiaTheme="majorEastAsia"/>
          <w:szCs w:val="21"/>
        </w:rPr>
        <w:t>楼</w:t>
      </w:r>
      <w:r>
        <w:rPr>
          <w:rFonts w:hint="eastAsia" w:ascii="Times New Roman" w:hAnsi="Times New Roman" w:eastAsiaTheme="majorEastAsia"/>
          <w:szCs w:val="21"/>
        </w:rPr>
        <w:t>楼</w:t>
      </w:r>
      <w:r>
        <w:rPr>
          <w:rFonts w:ascii="Times New Roman" w:hAnsi="Times New Roman" w:eastAsiaTheme="majorEastAsia"/>
          <w:szCs w:val="21"/>
        </w:rPr>
        <w:t>顶存放</w:t>
      </w:r>
      <w:r>
        <w:rPr>
          <w:rFonts w:hint="eastAsia" w:ascii="Times New Roman" w:hAnsi="Times New Roman" w:eastAsiaTheme="majorEastAsia"/>
          <w:szCs w:val="21"/>
        </w:rPr>
        <w:t>。</w:t>
      </w:r>
      <w:r>
        <w:rPr>
          <w:rFonts w:ascii="Times New Roman" w:hAnsi="Times New Roman" w:eastAsiaTheme="majorEastAsia"/>
          <w:szCs w:val="21"/>
        </w:rPr>
        <w:t>（3）将二楼东阅览桌椅</w:t>
      </w:r>
      <w:r>
        <w:rPr>
          <w:rFonts w:hint="eastAsia" w:ascii="Times New Roman" w:hAnsi="Times New Roman" w:eastAsiaTheme="majorEastAsia"/>
          <w:szCs w:val="21"/>
        </w:rPr>
        <w:t>、</w:t>
      </w:r>
      <w:r>
        <w:rPr>
          <w:rFonts w:ascii="Times New Roman" w:hAnsi="Times New Roman" w:eastAsiaTheme="majorEastAsia"/>
          <w:szCs w:val="21"/>
        </w:rPr>
        <w:t>矮柜</w:t>
      </w:r>
      <w:r>
        <w:rPr>
          <w:rFonts w:hint="eastAsia" w:ascii="Times New Roman" w:hAnsi="Times New Roman" w:eastAsiaTheme="majorEastAsia"/>
          <w:szCs w:val="21"/>
        </w:rPr>
        <w:t>、书架</w:t>
      </w:r>
      <w:r>
        <w:rPr>
          <w:rFonts w:ascii="Times New Roman" w:hAnsi="Times New Roman" w:eastAsiaTheme="majorEastAsia"/>
          <w:szCs w:val="21"/>
        </w:rPr>
        <w:t>搬运至一楼西书库重新</w:t>
      </w:r>
      <w:r>
        <w:rPr>
          <w:rFonts w:hint="eastAsia" w:ascii="Times New Roman" w:hAnsi="Times New Roman" w:eastAsiaTheme="majorEastAsia"/>
          <w:szCs w:val="21"/>
        </w:rPr>
        <w:t>安装并</w:t>
      </w:r>
      <w:r>
        <w:rPr>
          <w:rFonts w:ascii="Times New Roman" w:hAnsi="Times New Roman" w:eastAsiaTheme="majorEastAsia"/>
          <w:szCs w:val="21"/>
        </w:rPr>
        <w:t>摆放。</w:t>
      </w:r>
    </w:p>
    <w:p>
      <w:pPr>
        <w:spacing w:line="360" w:lineRule="auto"/>
        <w:ind w:firstLine="422" w:firstLineChars="200"/>
        <w:rPr>
          <w:rFonts w:ascii="Times New Roman" w:hAnsi="Times New Roman" w:eastAsiaTheme="majorEastAsia"/>
          <w:szCs w:val="21"/>
        </w:rPr>
      </w:pPr>
      <w:r>
        <w:rPr>
          <w:rFonts w:hint="eastAsia" w:ascii="Times New Roman" w:hAnsi="Times New Roman" w:eastAsiaTheme="majorEastAsia"/>
          <w:b/>
          <w:bCs/>
          <w:szCs w:val="21"/>
        </w:rPr>
        <w:t>2.4</w:t>
      </w:r>
      <w:r>
        <w:rPr>
          <w:rFonts w:ascii="Times New Roman" w:hAnsi="Times New Roman" w:eastAsiaTheme="majorEastAsia"/>
          <w:b/>
          <w:bCs/>
          <w:szCs w:val="21"/>
        </w:rPr>
        <w:t>早稻田文库挪架：</w:t>
      </w:r>
      <w:r>
        <w:rPr>
          <w:rFonts w:ascii="Times New Roman" w:hAnsi="Times New Roman" w:eastAsiaTheme="majorEastAsia"/>
          <w:szCs w:val="21"/>
        </w:rPr>
        <w:t>（1）原地下架图书；（2）挪动书架至指定位置（前后位置均在专题文库内）；（3）重新上架图书。</w:t>
      </w:r>
    </w:p>
    <w:p>
      <w:pPr>
        <w:spacing w:line="360" w:lineRule="auto"/>
        <w:ind w:firstLine="422" w:firstLineChars="200"/>
        <w:rPr>
          <w:rFonts w:ascii="Times New Roman" w:hAnsi="Times New Roman" w:eastAsiaTheme="majorEastAsia"/>
          <w:szCs w:val="21"/>
        </w:rPr>
      </w:pPr>
      <w:r>
        <w:rPr>
          <w:rFonts w:hint="eastAsia" w:ascii="Times New Roman" w:hAnsi="Times New Roman" w:eastAsiaTheme="majorEastAsia"/>
          <w:b/>
          <w:bCs/>
          <w:szCs w:val="21"/>
        </w:rPr>
        <w:t>2.5</w:t>
      </w:r>
      <w:r>
        <w:rPr>
          <w:rFonts w:ascii="Times New Roman" w:hAnsi="Times New Roman" w:eastAsiaTheme="majorEastAsia"/>
          <w:b/>
          <w:bCs/>
          <w:szCs w:val="21"/>
        </w:rPr>
        <w:t>捐赠图书上架：</w:t>
      </w:r>
      <w:r>
        <w:rPr>
          <w:rFonts w:ascii="Times New Roman" w:hAnsi="Times New Roman" w:eastAsiaTheme="majorEastAsia"/>
          <w:szCs w:val="21"/>
        </w:rPr>
        <w:t>从各书库将捐赠图书转移至三楼</w:t>
      </w:r>
      <w:r>
        <w:rPr>
          <w:rFonts w:hint="eastAsia" w:ascii="Times New Roman" w:hAnsi="Times New Roman" w:eastAsiaTheme="majorEastAsia"/>
          <w:szCs w:val="21"/>
        </w:rPr>
        <w:t>外文库</w:t>
      </w:r>
      <w:r>
        <w:rPr>
          <w:rFonts w:ascii="Times New Roman" w:hAnsi="Times New Roman" w:eastAsiaTheme="majorEastAsia"/>
          <w:szCs w:val="21"/>
        </w:rPr>
        <w:t>南面</w:t>
      </w:r>
      <w:r>
        <w:rPr>
          <w:rFonts w:hint="eastAsia" w:ascii="Times New Roman" w:hAnsi="Times New Roman" w:eastAsiaTheme="majorEastAsia"/>
          <w:szCs w:val="21"/>
        </w:rPr>
        <w:t>捐赠图书</w:t>
      </w:r>
      <w:r>
        <w:rPr>
          <w:rFonts w:ascii="Times New Roman" w:hAnsi="Times New Roman" w:eastAsiaTheme="majorEastAsia"/>
          <w:szCs w:val="21"/>
        </w:rPr>
        <w:t>专库（原管理用房）。</w:t>
      </w:r>
    </w:p>
    <w:p>
      <w:pPr>
        <w:spacing w:line="360" w:lineRule="auto"/>
        <w:ind w:firstLine="422" w:firstLineChars="200"/>
        <w:rPr>
          <w:rFonts w:ascii="Times New Roman" w:hAnsi="Times New Roman" w:eastAsiaTheme="majorEastAsia"/>
          <w:szCs w:val="21"/>
        </w:rPr>
      </w:pPr>
      <w:r>
        <w:rPr>
          <w:rFonts w:hint="eastAsia" w:ascii="Times New Roman" w:hAnsi="Times New Roman" w:eastAsiaTheme="majorEastAsia"/>
          <w:b/>
          <w:bCs/>
          <w:szCs w:val="21"/>
        </w:rPr>
        <w:t>2.6</w:t>
      </w:r>
      <w:r>
        <w:rPr>
          <w:rFonts w:ascii="Times New Roman" w:hAnsi="Times New Roman" w:eastAsiaTheme="majorEastAsia"/>
          <w:b/>
          <w:bCs/>
          <w:szCs w:val="21"/>
        </w:rPr>
        <w:t>过刊</w:t>
      </w:r>
      <w:r>
        <w:rPr>
          <w:rFonts w:hint="eastAsia" w:ascii="Times New Roman" w:hAnsi="Times New Roman" w:eastAsiaTheme="majorEastAsia"/>
          <w:b/>
          <w:bCs/>
          <w:szCs w:val="21"/>
        </w:rPr>
        <w:t>整理</w:t>
      </w:r>
      <w:r>
        <w:rPr>
          <w:rFonts w:ascii="Times New Roman" w:hAnsi="Times New Roman" w:eastAsiaTheme="majorEastAsia"/>
          <w:b/>
          <w:bCs/>
          <w:szCs w:val="21"/>
        </w:rPr>
        <w:t>装订：</w:t>
      </w:r>
      <w:r>
        <w:rPr>
          <w:rFonts w:ascii="Times New Roman" w:hAnsi="Times New Roman" w:eastAsiaTheme="majorEastAsia"/>
          <w:szCs w:val="21"/>
        </w:rPr>
        <w:t>对部分未装订过刊进行</w:t>
      </w:r>
      <w:r>
        <w:rPr>
          <w:rFonts w:hint="eastAsia" w:ascii="Times New Roman" w:hAnsi="Times New Roman" w:eastAsiaTheme="majorEastAsia"/>
          <w:szCs w:val="21"/>
        </w:rPr>
        <w:t>挑选、</w:t>
      </w:r>
      <w:r>
        <w:rPr>
          <w:rFonts w:ascii="Times New Roman" w:hAnsi="Times New Roman" w:eastAsiaTheme="majorEastAsia"/>
          <w:szCs w:val="21"/>
        </w:rPr>
        <w:t>装订</w:t>
      </w:r>
      <w:r>
        <w:rPr>
          <w:rFonts w:hint="eastAsia" w:ascii="Times New Roman" w:hAnsi="Times New Roman" w:eastAsiaTheme="majorEastAsia"/>
          <w:szCs w:val="21"/>
        </w:rPr>
        <w:t>、编目</w:t>
      </w:r>
      <w:r>
        <w:rPr>
          <w:rFonts w:ascii="Times New Roman" w:hAnsi="Times New Roman" w:eastAsiaTheme="majorEastAsia"/>
          <w:szCs w:val="21"/>
        </w:rPr>
        <w:t>并上架（由资源建设部明确需要装订的过刊目录和数量）。</w:t>
      </w:r>
    </w:p>
    <w:p>
      <w:pPr>
        <w:pStyle w:val="3"/>
        <w:spacing w:line="360" w:lineRule="auto"/>
        <w:rPr>
          <w:rFonts w:ascii="Times New Roman" w:hAnsi="Times New Roman" w:eastAsiaTheme="majorEastAsia"/>
          <w:sz w:val="24"/>
        </w:rPr>
      </w:pPr>
      <w:r>
        <w:rPr>
          <w:rFonts w:hint="eastAsia" w:ascii="Times New Roman" w:hAnsi="Times New Roman" w:eastAsiaTheme="majorEastAsia"/>
          <w:sz w:val="24"/>
        </w:rPr>
        <w:t>3</w:t>
      </w:r>
      <w:r>
        <w:rPr>
          <w:rFonts w:ascii="Times New Roman" w:hAnsi="Times New Roman" w:eastAsiaTheme="majorEastAsia"/>
          <w:sz w:val="24"/>
        </w:rPr>
        <w:t>工作要求</w:t>
      </w:r>
    </w:p>
    <w:p>
      <w:pPr>
        <w:spacing w:line="360" w:lineRule="auto"/>
        <w:ind w:firstLine="422" w:firstLineChars="200"/>
        <w:rPr>
          <w:rFonts w:ascii="Times New Roman" w:hAnsi="Times New Roman" w:eastAsiaTheme="majorEastAsia"/>
          <w:szCs w:val="21"/>
        </w:rPr>
      </w:pPr>
      <w:r>
        <w:rPr>
          <w:rFonts w:hint="eastAsia" w:ascii="Times New Roman" w:hAnsi="Times New Roman" w:eastAsiaTheme="majorEastAsia"/>
          <w:b/>
          <w:bCs/>
          <w:szCs w:val="21"/>
        </w:rPr>
        <w:t>3.1</w:t>
      </w:r>
      <w:r>
        <w:rPr>
          <w:rFonts w:ascii="Times New Roman" w:hAnsi="Times New Roman" w:eastAsiaTheme="majorEastAsia"/>
          <w:b/>
          <w:bCs/>
          <w:szCs w:val="21"/>
        </w:rPr>
        <w:t>图书下架要求</w:t>
      </w:r>
      <w:r>
        <w:rPr>
          <w:rFonts w:ascii="Times New Roman" w:hAnsi="Times New Roman" w:eastAsiaTheme="majorEastAsia"/>
          <w:szCs w:val="21"/>
        </w:rPr>
        <w:t>：（1）严格按照</w:t>
      </w:r>
      <w:r>
        <w:rPr>
          <w:rFonts w:hint="eastAsia" w:ascii="Times New Roman" w:hAnsi="Times New Roman" w:eastAsiaTheme="majorEastAsia"/>
          <w:szCs w:val="21"/>
        </w:rPr>
        <w:t>“</w:t>
      </w:r>
      <w:r>
        <w:rPr>
          <w:rFonts w:hint="eastAsia" w:ascii="Times New Roman" w:hAnsi="Times New Roman" w:eastAsiaTheme="majorEastAsia"/>
          <w:b/>
          <w:bCs/>
          <w:szCs w:val="21"/>
        </w:rPr>
        <w:t>2.1</w:t>
      </w:r>
      <w:r>
        <w:rPr>
          <w:rFonts w:ascii="Times New Roman" w:hAnsi="Times New Roman" w:eastAsiaTheme="majorEastAsia"/>
          <w:b/>
          <w:bCs/>
          <w:szCs w:val="21"/>
        </w:rPr>
        <w:t>图书下架</w:t>
      </w:r>
      <w:r>
        <w:rPr>
          <w:rFonts w:hint="eastAsia" w:ascii="Times New Roman" w:hAnsi="Times New Roman" w:eastAsiaTheme="majorEastAsia"/>
          <w:szCs w:val="21"/>
        </w:rPr>
        <w:t>”</w:t>
      </w:r>
      <w:r>
        <w:rPr>
          <w:rFonts w:ascii="Times New Roman" w:hAnsi="Times New Roman" w:eastAsiaTheme="majorEastAsia"/>
          <w:szCs w:val="21"/>
        </w:rPr>
        <w:t>下架标准下架。（2）按照每包30本左右的标准进行打包，图书规格有差异的可适当调整数量；（3）必须严格按照图书编号顺序进行打包，每包图书必须进行清点核对，每包图书准备2份书目清单，1份存放在包内，1份外贴在包上，并做好相应的EXCEL书目清单备份；（4）做好打包图书防水防潮防虫处理，打包纸和打包要求必须符合行业标准，避免包内图书受潮、霉烂或虫蛀等破坏。（5）打包图书按照顺序在临时存放点堆放。</w:t>
      </w:r>
    </w:p>
    <w:p>
      <w:pPr>
        <w:spacing w:line="360" w:lineRule="auto"/>
        <w:ind w:firstLine="422" w:firstLineChars="200"/>
        <w:rPr>
          <w:rFonts w:ascii="Times New Roman" w:hAnsi="Times New Roman" w:eastAsiaTheme="majorEastAsia"/>
          <w:szCs w:val="21"/>
        </w:rPr>
      </w:pPr>
      <w:r>
        <w:rPr>
          <w:rFonts w:hint="eastAsia" w:ascii="Times New Roman" w:hAnsi="Times New Roman" w:eastAsiaTheme="majorEastAsia"/>
          <w:b/>
          <w:bCs/>
          <w:szCs w:val="21"/>
        </w:rPr>
        <w:t>3.2</w:t>
      </w:r>
      <w:r>
        <w:rPr>
          <w:rFonts w:ascii="Times New Roman" w:hAnsi="Times New Roman" w:eastAsiaTheme="majorEastAsia"/>
          <w:b/>
          <w:bCs/>
          <w:szCs w:val="21"/>
        </w:rPr>
        <w:t>图书盘点要求：</w:t>
      </w:r>
      <w:r>
        <w:rPr>
          <w:rFonts w:ascii="Times New Roman" w:hAnsi="Times New Roman" w:eastAsiaTheme="majorEastAsia"/>
          <w:szCs w:val="21"/>
        </w:rPr>
        <w:t>（1）盘点方式采用联机扫描方式进行。（2）需要采集在架的每一本图书信息，查清图书资产数量。（2）核对每一条图书信息，发现图书条码损坏、图书系统信息与实物信息不一致（即图书条码贴错）、图书错架乱架、图书损坏等问题并做好信息登记与整理。（3）与图书馆相关部门配合及时做好图书异常情况处理。（5）</w:t>
      </w:r>
      <w:r>
        <w:rPr>
          <w:rFonts w:hint="eastAsia" w:ascii="Times New Roman" w:hAnsi="Times New Roman" w:eastAsiaTheme="majorEastAsia"/>
          <w:szCs w:val="21"/>
        </w:rPr>
        <w:t>供应商</w:t>
      </w:r>
      <w:r>
        <w:rPr>
          <w:rFonts w:ascii="Times New Roman" w:hAnsi="Times New Roman" w:eastAsiaTheme="majorEastAsia"/>
          <w:szCs w:val="21"/>
        </w:rPr>
        <w:t>进场前须提供完整的盘点方案并经甲方认可后方可正式开始盘点。（6）</w:t>
      </w:r>
      <w:r>
        <w:rPr>
          <w:rFonts w:hint="eastAsia" w:ascii="Times New Roman" w:hAnsi="Times New Roman" w:eastAsiaTheme="majorEastAsia"/>
          <w:szCs w:val="21"/>
        </w:rPr>
        <w:t>供应商</w:t>
      </w:r>
      <w:r>
        <w:rPr>
          <w:rFonts w:ascii="Times New Roman" w:hAnsi="Times New Roman" w:eastAsiaTheme="majorEastAsia"/>
          <w:szCs w:val="21"/>
        </w:rPr>
        <w:t>自带盘点电脑和扫描枪。（7）不得出现</w:t>
      </w:r>
      <w:r>
        <w:rPr>
          <w:rFonts w:hint="eastAsia" w:ascii="Times New Roman" w:hAnsi="Times New Roman" w:eastAsiaTheme="majorEastAsia"/>
          <w:szCs w:val="21"/>
        </w:rPr>
        <w:t>图书</w:t>
      </w:r>
      <w:r>
        <w:rPr>
          <w:rFonts w:ascii="Times New Roman" w:hAnsi="Times New Roman" w:eastAsiaTheme="majorEastAsia"/>
          <w:szCs w:val="21"/>
        </w:rPr>
        <w:t>漏盘</w:t>
      </w:r>
      <w:r>
        <w:rPr>
          <w:rFonts w:hint="eastAsia" w:ascii="Times New Roman" w:hAnsi="Times New Roman" w:eastAsiaTheme="majorEastAsia"/>
          <w:szCs w:val="21"/>
        </w:rPr>
        <w:t>现象</w:t>
      </w:r>
      <w:r>
        <w:rPr>
          <w:rFonts w:ascii="Times New Roman" w:hAnsi="Times New Roman" w:eastAsiaTheme="majorEastAsia"/>
          <w:szCs w:val="21"/>
        </w:rPr>
        <w:t>。</w:t>
      </w:r>
    </w:p>
    <w:p>
      <w:pPr>
        <w:spacing w:line="360" w:lineRule="auto"/>
        <w:ind w:firstLine="422" w:firstLineChars="200"/>
        <w:rPr>
          <w:rFonts w:ascii="Times New Roman" w:hAnsi="Times New Roman" w:eastAsiaTheme="majorEastAsia"/>
          <w:szCs w:val="21"/>
        </w:rPr>
      </w:pPr>
      <w:r>
        <w:rPr>
          <w:rFonts w:hint="eastAsia" w:ascii="Times New Roman" w:hAnsi="Times New Roman" w:eastAsiaTheme="majorEastAsia"/>
          <w:b/>
          <w:bCs/>
          <w:szCs w:val="21"/>
        </w:rPr>
        <w:t>3.3</w:t>
      </w:r>
      <w:r>
        <w:rPr>
          <w:rFonts w:ascii="Times New Roman" w:hAnsi="Times New Roman" w:eastAsiaTheme="majorEastAsia"/>
          <w:b/>
          <w:bCs/>
          <w:szCs w:val="21"/>
        </w:rPr>
        <w:t>一楼西书库与二楼东阅览室置换要求：</w:t>
      </w:r>
      <w:r>
        <w:rPr>
          <w:rFonts w:ascii="Times New Roman" w:hAnsi="Times New Roman" w:eastAsiaTheme="majorEastAsia"/>
          <w:szCs w:val="21"/>
        </w:rPr>
        <w:t>（1）一楼西书库阅览桌椅、矮柜和二楼东阅览室书架的拆装及搬运数量、摆放位置和要求等根据图书馆现场要求实施。（2）从一楼西书库搬运至二楼东阅览室的图书按索书号顺序上架。上架完成后对书架进行编号。（3）报架</w:t>
      </w:r>
      <w:r>
        <w:rPr>
          <w:rFonts w:hint="eastAsia" w:ascii="Times New Roman" w:hAnsi="Times New Roman" w:eastAsiaTheme="majorEastAsia"/>
          <w:szCs w:val="21"/>
        </w:rPr>
        <w:t>和</w:t>
      </w:r>
      <w:r>
        <w:rPr>
          <w:rFonts w:ascii="Times New Roman" w:hAnsi="Times New Roman" w:eastAsiaTheme="majorEastAsia"/>
          <w:szCs w:val="21"/>
        </w:rPr>
        <w:t>矮柜由</w:t>
      </w:r>
      <w:r>
        <w:rPr>
          <w:rFonts w:hint="eastAsia" w:ascii="Times New Roman" w:hAnsi="Times New Roman" w:eastAsiaTheme="majorEastAsia"/>
          <w:szCs w:val="21"/>
        </w:rPr>
        <w:t>供应商对接原厂</w:t>
      </w:r>
      <w:r>
        <w:rPr>
          <w:rFonts w:ascii="Times New Roman" w:hAnsi="Times New Roman" w:eastAsiaTheme="majorEastAsia"/>
          <w:szCs w:val="21"/>
        </w:rPr>
        <w:t>专门人员拆装。</w:t>
      </w:r>
    </w:p>
    <w:p>
      <w:pPr>
        <w:spacing w:line="360" w:lineRule="auto"/>
        <w:ind w:firstLine="422" w:firstLineChars="200"/>
        <w:rPr>
          <w:rFonts w:ascii="Times New Roman" w:hAnsi="Times New Roman" w:eastAsiaTheme="majorEastAsia"/>
          <w:szCs w:val="21"/>
        </w:rPr>
      </w:pPr>
      <w:r>
        <w:rPr>
          <w:rFonts w:hint="eastAsia" w:ascii="Times New Roman" w:hAnsi="Times New Roman" w:eastAsiaTheme="majorEastAsia"/>
          <w:b/>
          <w:bCs/>
          <w:szCs w:val="21"/>
        </w:rPr>
        <w:t>3.4</w:t>
      </w:r>
      <w:r>
        <w:rPr>
          <w:rFonts w:ascii="Times New Roman" w:hAnsi="Times New Roman" w:eastAsiaTheme="majorEastAsia"/>
          <w:b/>
          <w:bCs/>
          <w:szCs w:val="21"/>
        </w:rPr>
        <w:t>早稻田文库挪架要求：</w:t>
      </w:r>
      <w:r>
        <w:rPr>
          <w:rFonts w:ascii="Times New Roman" w:hAnsi="Times New Roman" w:eastAsiaTheme="majorEastAsia"/>
          <w:szCs w:val="21"/>
        </w:rPr>
        <w:t>挪动位置根据图书馆现场要求实施。</w:t>
      </w:r>
    </w:p>
    <w:p>
      <w:pPr>
        <w:spacing w:line="360" w:lineRule="auto"/>
        <w:ind w:firstLine="422" w:firstLineChars="200"/>
        <w:rPr>
          <w:rFonts w:ascii="Times New Roman" w:hAnsi="Times New Roman" w:eastAsiaTheme="majorEastAsia"/>
          <w:szCs w:val="21"/>
        </w:rPr>
      </w:pPr>
      <w:r>
        <w:rPr>
          <w:rFonts w:hint="eastAsia" w:ascii="Times New Roman" w:hAnsi="Times New Roman" w:eastAsiaTheme="majorEastAsia"/>
          <w:b/>
          <w:bCs/>
          <w:szCs w:val="21"/>
        </w:rPr>
        <w:t>3.5</w:t>
      </w:r>
      <w:r>
        <w:rPr>
          <w:rFonts w:ascii="Times New Roman" w:hAnsi="Times New Roman" w:eastAsiaTheme="majorEastAsia"/>
          <w:b/>
          <w:bCs/>
          <w:szCs w:val="21"/>
        </w:rPr>
        <w:t>捐赠图书上架要求：</w:t>
      </w:r>
      <w:r>
        <w:rPr>
          <w:rFonts w:ascii="Times New Roman" w:hAnsi="Times New Roman" w:eastAsiaTheme="majorEastAsia"/>
          <w:szCs w:val="21"/>
        </w:rPr>
        <w:t>根据图书馆要求进行上架。</w:t>
      </w:r>
    </w:p>
    <w:p>
      <w:pPr>
        <w:spacing w:line="360" w:lineRule="auto"/>
        <w:ind w:firstLine="422" w:firstLineChars="200"/>
        <w:rPr>
          <w:rFonts w:ascii="Times New Roman" w:hAnsi="Times New Roman" w:eastAsiaTheme="majorEastAsia"/>
          <w:szCs w:val="21"/>
        </w:rPr>
      </w:pPr>
      <w:r>
        <w:rPr>
          <w:rFonts w:hint="eastAsia" w:ascii="Times New Roman" w:hAnsi="Times New Roman" w:eastAsiaTheme="majorEastAsia"/>
          <w:b/>
          <w:bCs/>
          <w:szCs w:val="21"/>
        </w:rPr>
        <w:t>3.6</w:t>
      </w:r>
      <w:r>
        <w:rPr>
          <w:rFonts w:ascii="Times New Roman" w:hAnsi="Times New Roman" w:eastAsiaTheme="majorEastAsia"/>
          <w:b/>
          <w:bCs/>
          <w:szCs w:val="21"/>
        </w:rPr>
        <w:t>过刊装订要求：</w:t>
      </w:r>
      <w:r>
        <w:rPr>
          <w:rFonts w:ascii="Times New Roman" w:hAnsi="Times New Roman" w:eastAsiaTheme="majorEastAsia"/>
          <w:szCs w:val="21"/>
        </w:rPr>
        <w:t>根据图书馆要求进行装订。</w:t>
      </w:r>
    </w:p>
    <w:p>
      <w:pPr>
        <w:pStyle w:val="3"/>
        <w:spacing w:line="360" w:lineRule="auto"/>
        <w:rPr>
          <w:rFonts w:ascii="Times New Roman" w:hAnsi="Times New Roman" w:eastAsiaTheme="majorEastAsia"/>
          <w:sz w:val="24"/>
        </w:rPr>
      </w:pPr>
      <w:r>
        <w:rPr>
          <w:rFonts w:hint="eastAsia" w:ascii="Times New Roman" w:hAnsi="Times New Roman" w:eastAsiaTheme="majorEastAsia"/>
          <w:sz w:val="24"/>
        </w:rPr>
        <w:t>4.工作流程</w:t>
      </w:r>
    </w:p>
    <w:p>
      <w:pPr>
        <w:spacing w:line="360" w:lineRule="auto"/>
        <w:ind w:firstLine="422" w:firstLineChars="200"/>
        <w:rPr>
          <w:rFonts w:ascii="Times New Roman" w:hAnsi="Times New Roman" w:eastAsiaTheme="majorEastAsia"/>
          <w:szCs w:val="21"/>
        </w:rPr>
      </w:pPr>
      <w:r>
        <w:rPr>
          <w:rFonts w:hint="eastAsia" w:ascii="Times New Roman" w:hAnsi="Times New Roman" w:eastAsiaTheme="majorEastAsia"/>
          <w:b/>
          <w:bCs/>
          <w:szCs w:val="21"/>
        </w:rPr>
        <w:t>4.1</w:t>
      </w:r>
      <w:r>
        <w:rPr>
          <w:rFonts w:ascii="Times New Roman" w:hAnsi="Times New Roman" w:eastAsiaTheme="majorEastAsia"/>
          <w:b/>
          <w:bCs/>
          <w:szCs w:val="21"/>
        </w:rPr>
        <w:t>制定工作方案：</w:t>
      </w:r>
      <w:r>
        <w:rPr>
          <w:rFonts w:ascii="Times New Roman" w:hAnsi="Times New Roman" w:eastAsiaTheme="majorEastAsia"/>
          <w:szCs w:val="21"/>
        </w:rPr>
        <w:t>包括剔旧盘点的整体工作方案和具体</w:t>
      </w:r>
      <w:r>
        <w:rPr>
          <w:rFonts w:hint="eastAsia" w:ascii="Times New Roman" w:hAnsi="Times New Roman" w:eastAsiaTheme="majorEastAsia"/>
          <w:szCs w:val="21"/>
        </w:rPr>
        <w:t>盘点方</w:t>
      </w:r>
      <w:r>
        <w:rPr>
          <w:rFonts w:ascii="Times New Roman" w:hAnsi="Times New Roman" w:eastAsiaTheme="majorEastAsia"/>
          <w:szCs w:val="21"/>
        </w:rPr>
        <w:t>案</w:t>
      </w:r>
      <w:r>
        <w:rPr>
          <w:rFonts w:hint="eastAsia" w:ascii="Times New Roman" w:hAnsi="Times New Roman" w:eastAsiaTheme="majorEastAsia"/>
          <w:szCs w:val="21"/>
        </w:rPr>
        <w:t>，</w:t>
      </w:r>
      <w:r>
        <w:rPr>
          <w:rFonts w:hint="eastAsia"/>
        </w:rPr>
        <w:t>具体实施方案由供应商制定并实施</w:t>
      </w:r>
      <w:r>
        <w:rPr>
          <w:rFonts w:ascii="Times New Roman" w:hAnsi="Times New Roman" w:eastAsiaTheme="majorEastAsia"/>
          <w:szCs w:val="21"/>
        </w:rPr>
        <w:t>。</w:t>
      </w:r>
    </w:p>
    <w:p>
      <w:pPr>
        <w:spacing w:line="360" w:lineRule="auto"/>
        <w:ind w:firstLine="422" w:firstLineChars="200"/>
        <w:rPr>
          <w:rFonts w:ascii="Times New Roman" w:hAnsi="Times New Roman" w:eastAsiaTheme="majorEastAsia"/>
          <w:b/>
          <w:bCs/>
          <w:szCs w:val="21"/>
        </w:rPr>
      </w:pPr>
      <w:r>
        <w:rPr>
          <w:rFonts w:hint="eastAsia" w:ascii="Times New Roman" w:hAnsi="Times New Roman" w:eastAsiaTheme="majorEastAsia"/>
          <w:b/>
          <w:bCs/>
          <w:szCs w:val="21"/>
        </w:rPr>
        <w:t>4.2</w:t>
      </w:r>
      <w:r>
        <w:rPr>
          <w:rFonts w:ascii="Times New Roman" w:hAnsi="Times New Roman" w:eastAsiaTheme="majorEastAsia"/>
          <w:b/>
          <w:bCs/>
          <w:szCs w:val="21"/>
        </w:rPr>
        <w:t>培训工作人员</w:t>
      </w:r>
    </w:p>
    <w:p>
      <w:pPr>
        <w:spacing w:line="360" w:lineRule="auto"/>
        <w:ind w:firstLine="420" w:firstLineChars="200"/>
        <w:rPr>
          <w:rFonts w:ascii="Times New Roman" w:hAnsi="Times New Roman" w:eastAsiaTheme="majorEastAsia"/>
          <w:szCs w:val="21"/>
        </w:rPr>
      </w:pPr>
      <w:r>
        <w:rPr>
          <w:rFonts w:ascii="Times New Roman" w:hAnsi="Times New Roman" w:eastAsiaTheme="majorEastAsia"/>
          <w:szCs w:val="21"/>
        </w:rPr>
        <w:t>剔旧盘点正式开始前，对</w:t>
      </w:r>
      <w:r>
        <w:rPr>
          <w:rFonts w:hint="eastAsia" w:ascii="Times New Roman" w:hAnsi="Times New Roman" w:eastAsiaTheme="majorEastAsia"/>
          <w:szCs w:val="21"/>
        </w:rPr>
        <w:t>供应商</w:t>
      </w:r>
      <w:r>
        <w:rPr>
          <w:rFonts w:ascii="Times New Roman" w:hAnsi="Times New Roman" w:eastAsiaTheme="majorEastAsia"/>
          <w:szCs w:val="21"/>
        </w:rPr>
        <w:t>工作人员进行培训。培训内容包括工作内容、工作标准、责任分工、操作要求、进度安排、安全防护以及应急处置等方面。培训工作由读者服务部会同其他相关部门负责实施。</w:t>
      </w:r>
    </w:p>
    <w:p>
      <w:pPr>
        <w:spacing w:line="360" w:lineRule="auto"/>
        <w:ind w:firstLine="422" w:firstLineChars="200"/>
        <w:rPr>
          <w:rFonts w:ascii="Times New Roman" w:hAnsi="Times New Roman" w:eastAsiaTheme="majorEastAsia"/>
          <w:b/>
          <w:bCs/>
          <w:szCs w:val="21"/>
        </w:rPr>
      </w:pPr>
      <w:r>
        <w:rPr>
          <w:rFonts w:hint="eastAsia" w:ascii="Times New Roman" w:hAnsi="Times New Roman" w:eastAsiaTheme="majorEastAsia"/>
          <w:b/>
          <w:bCs/>
          <w:szCs w:val="21"/>
        </w:rPr>
        <w:t>4.3</w:t>
      </w:r>
      <w:r>
        <w:rPr>
          <w:rFonts w:ascii="Times New Roman" w:hAnsi="Times New Roman" w:eastAsiaTheme="majorEastAsia"/>
          <w:b/>
          <w:bCs/>
          <w:szCs w:val="21"/>
        </w:rPr>
        <w:t>实施剔旧盘点</w:t>
      </w:r>
    </w:p>
    <w:p>
      <w:pPr>
        <w:numPr>
          <w:ilvl w:val="0"/>
          <w:numId w:val="6"/>
        </w:numPr>
        <w:spacing w:line="360" w:lineRule="auto"/>
        <w:ind w:firstLine="422" w:firstLineChars="200"/>
        <w:rPr>
          <w:rFonts w:ascii="Times New Roman" w:hAnsi="Times New Roman" w:eastAsiaTheme="majorEastAsia"/>
          <w:b/>
          <w:bCs/>
          <w:szCs w:val="21"/>
        </w:rPr>
      </w:pPr>
      <w:r>
        <w:rPr>
          <w:rFonts w:ascii="Times New Roman" w:hAnsi="Times New Roman" w:eastAsiaTheme="majorEastAsia"/>
          <w:b/>
          <w:bCs/>
          <w:szCs w:val="21"/>
        </w:rPr>
        <w:t>总体工作流程</w:t>
      </w:r>
    </w:p>
    <w:p>
      <w:pPr>
        <w:spacing w:line="360" w:lineRule="auto"/>
        <w:ind w:firstLine="420" w:firstLineChars="200"/>
        <w:rPr>
          <w:rFonts w:ascii="Times New Roman" w:hAnsi="Times New Roman" w:eastAsiaTheme="majorEastAsia"/>
          <w:szCs w:val="21"/>
        </w:rPr>
      </w:pPr>
      <w:r>
        <w:rPr>
          <w:rFonts w:ascii="Times New Roman" w:hAnsi="Times New Roman" w:eastAsiaTheme="majorEastAsia"/>
          <w:szCs w:val="21"/>
        </w:rPr>
        <w:t>总体上按照书库置换、图书下架、图书盘点的顺序进行。</w:t>
      </w:r>
    </w:p>
    <w:p>
      <w:pPr>
        <w:numPr>
          <w:ilvl w:val="0"/>
          <w:numId w:val="6"/>
        </w:numPr>
        <w:spacing w:line="360" w:lineRule="auto"/>
        <w:ind w:firstLine="422" w:firstLineChars="200"/>
        <w:rPr>
          <w:rFonts w:ascii="Times New Roman" w:hAnsi="Times New Roman" w:eastAsiaTheme="majorEastAsia"/>
          <w:b/>
          <w:bCs/>
          <w:szCs w:val="21"/>
        </w:rPr>
      </w:pPr>
      <w:r>
        <w:rPr>
          <w:rFonts w:ascii="Times New Roman" w:hAnsi="Times New Roman" w:eastAsiaTheme="majorEastAsia"/>
          <w:b/>
          <w:bCs/>
          <w:szCs w:val="21"/>
        </w:rPr>
        <w:t>书库置换流程</w:t>
      </w:r>
    </w:p>
    <w:p>
      <w:pPr>
        <w:pStyle w:val="20"/>
        <w:spacing w:line="360" w:lineRule="auto"/>
        <w:rPr>
          <w:rFonts w:ascii="Times New Roman" w:hAnsi="Times New Roman" w:cs="Times New Roman" w:eastAsiaTheme="majorEastAsia"/>
          <w:szCs w:val="21"/>
        </w:rPr>
      </w:pPr>
      <w:r>
        <w:rPr>
          <w:rFonts w:ascii="Times New Roman" w:hAnsi="Times New Roman" w:cs="Times New Roman" w:eastAsiaTheme="majorEastAsia"/>
          <w:szCs w:val="21"/>
        </w:rPr>
        <w:t>①下架一楼西书库图书；②拆卸一楼西书库书架；③搬运一楼西书库书架至二楼东阅览室；④搬运二楼东阅览室桌椅和矮柜至一楼西书库；⑤重新上架二楼东阅览室图书；⑥重新编号二楼东阅览室书架。</w:t>
      </w:r>
    </w:p>
    <w:p>
      <w:pPr>
        <w:numPr>
          <w:ilvl w:val="0"/>
          <w:numId w:val="6"/>
        </w:numPr>
        <w:spacing w:line="360" w:lineRule="auto"/>
        <w:ind w:firstLine="422" w:firstLineChars="200"/>
        <w:rPr>
          <w:rFonts w:ascii="Times New Roman" w:hAnsi="Times New Roman" w:eastAsiaTheme="majorEastAsia"/>
          <w:b/>
          <w:bCs/>
          <w:szCs w:val="21"/>
        </w:rPr>
      </w:pPr>
      <w:r>
        <w:rPr>
          <w:rFonts w:ascii="Times New Roman" w:hAnsi="Times New Roman" w:eastAsiaTheme="majorEastAsia"/>
          <w:b/>
          <w:bCs/>
          <w:szCs w:val="21"/>
        </w:rPr>
        <w:t>图书下架流程</w:t>
      </w:r>
    </w:p>
    <w:p>
      <w:pPr>
        <w:pStyle w:val="20"/>
        <w:spacing w:line="360" w:lineRule="auto"/>
        <w:rPr>
          <w:rFonts w:ascii="Times New Roman" w:hAnsi="Times New Roman" w:cs="Times New Roman" w:eastAsiaTheme="majorEastAsia"/>
          <w:szCs w:val="21"/>
        </w:rPr>
      </w:pPr>
      <w:r>
        <w:rPr>
          <w:rFonts w:ascii="Times New Roman" w:hAnsi="Times New Roman" w:cs="Times New Roman" w:eastAsiaTheme="majorEastAsia"/>
          <w:szCs w:val="21"/>
        </w:rPr>
        <w:t>①按中图分类号字母顺序从各书库下架；②按照索书号顺序下架图书；③完成图书系统调拨；④按照图书索书号顺序进行打包⑤整理每包下架图书书目清单；</w:t>
      </w:r>
      <w:r>
        <w:rPr>
          <w:rFonts w:hint="eastAsia" w:ascii="Times New Roman" w:hAnsi="Times New Roman" w:cs="Times New Roman" w:eastAsiaTheme="majorEastAsia"/>
          <w:szCs w:val="21"/>
        </w:rPr>
        <w:t xml:space="preserve"> </w:t>
      </w:r>
      <w:r>
        <w:rPr>
          <w:rFonts w:ascii="Times New Roman" w:hAnsi="Times New Roman" w:cs="Times New Roman" w:eastAsiaTheme="majorEastAsia"/>
          <w:szCs w:val="21"/>
        </w:rPr>
        <w:t>⑥包内存放和外贴打包的书目清单⑦搬运图书至地下室负一楼临时存放点；⑧按打包顺序堆放；⑨做好防水、防潮、防火、防虫工作。</w:t>
      </w:r>
    </w:p>
    <w:p>
      <w:pPr>
        <w:numPr>
          <w:ilvl w:val="0"/>
          <w:numId w:val="6"/>
        </w:numPr>
        <w:spacing w:line="360" w:lineRule="auto"/>
        <w:ind w:firstLine="422" w:firstLineChars="200"/>
        <w:rPr>
          <w:rFonts w:ascii="Times New Roman" w:hAnsi="Times New Roman" w:eastAsiaTheme="majorEastAsia"/>
          <w:b/>
          <w:bCs/>
          <w:szCs w:val="21"/>
        </w:rPr>
      </w:pPr>
      <w:r>
        <w:rPr>
          <w:rFonts w:ascii="Times New Roman" w:hAnsi="Times New Roman" w:eastAsiaTheme="majorEastAsia"/>
          <w:b/>
          <w:bCs/>
          <w:szCs w:val="21"/>
        </w:rPr>
        <w:t>图书盘点流程</w:t>
      </w:r>
    </w:p>
    <w:p>
      <w:pPr>
        <w:spacing w:line="360" w:lineRule="auto"/>
        <w:ind w:firstLine="420" w:firstLineChars="200"/>
        <w:rPr>
          <w:rFonts w:ascii="Times New Roman" w:hAnsi="Times New Roman" w:eastAsiaTheme="majorEastAsia"/>
          <w:szCs w:val="21"/>
        </w:rPr>
      </w:pPr>
      <w:r>
        <w:rPr>
          <w:rFonts w:ascii="Times New Roman" w:hAnsi="Times New Roman" w:eastAsiaTheme="majorEastAsia"/>
          <w:szCs w:val="21"/>
        </w:rPr>
        <w:t>①制定盘点数据顺序（同上）；②提前发布闭馆通知；③盘点设备准备及调试；④逐本扫描图书；⑤对每一本图书进行图书实体与图书系统比对，逐本核对图书信息；⑥如发现有图书条码损坏、图书信息不一致、图书错架乱架等异常情况，做好图书标记并通知有关馆员；⑦处理图书异常情况。</w:t>
      </w:r>
    </w:p>
    <w:p>
      <w:pPr>
        <w:spacing w:line="360" w:lineRule="auto"/>
        <w:ind w:firstLine="422" w:firstLineChars="200"/>
        <w:rPr>
          <w:rFonts w:ascii="Times New Roman" w:hAnsi="Times New Roman" w:eastAsiaTheme="majorEastAsia"/>
          <w:b/>
          <w:bCs/>
          <w:szCs w:val="21"/>
        </w:rPr>
      </w:pPr>
      <w:r>
        <w:rPr>
          <w:rFonts w:hint="eastAsia" w:ascii="Times New Roman" w:hAnsi="Times New Roman" w:eastAsiaTheme="majorEastAsia"/>
          <w:b/>
          <w:bCs/>
          <w:szCs w:val="21"/>
        </w:rPr>
        <w:t>4.4</w:t>
      </w:r>
      <w:r>
        <w:rPr>
          <w:rFonts w:ascii="Times New Roman" w:hAnsi="Times New Roman" w:eastAsiaTheme="majorEastAsia"/>
          <w:b/>
          <w:bCs/>
          <w:szCs w:val="21"/>
        </w:rPr>
        <w:t>完成剔旧盘点报告</w:t>
      </w:r>
    </w:p>
    <w:p>
      <w:pPr>
        <w:spacing w:line="360" w:lineRule="auto"/>
        <w:ind w:firstLine="420" w:firstLineChars="200"/>
        <w:rPr>
          <w:rFonts w:ascii="Times New Roman" w:hAnsi="Times New Roman" w:eastAsiaTheme="majorEastAsia"/>
          <w:szCs w:val="21"/>
        </w:rPr>
      </w:pPr>
      <w:r>
        <w:rPr>
          <w:rFonts w:ascii="Times New Roman" w:hAnsi="Times New Roman" w:eastAsiaTheme="majorEastAsia"/>
          <w:szCs w:val="21"/>
        </w:rPr>
        <w:t>剔旧盘点工作完成后，</w:t>
      </w:r>
      <w:r>
        <w:rPr>
          <w:rFonts w:hint="eastAsia"/>
        </w:rPr>
        <w:t>供应商应提供盘点报告。</w:t>
      </w:r>
    </w:p>
    <w:p>
      <w:pPr>
        <w:spacing w:line="360" w:lineRule="auto"/>
        <w:ind w:firstLine="422" w:firstLineChars="200"/>
        <w:rPr>
          <w:rFonts w:ascii="Times New Roman" w:hAnsi="Times New Roman" w:eastAsiaTheme="majorEastAsia"/>
          <w:b/>
          <w:bCs/>
          <w:szCs w:val="21"/>
        </w:rPr>
      </w:pPr>
      <w:r>
        <w:rPr>
          <w:rFonts w:hint="eastAsia" w:ascii="Times New Roman" w:hAnsi="Times New Roman" w:eastAsiaTheme="majorEastAsia"/>
          <w:b/>
          <w:bCs/>
          <w:szCs w:val="21"/>
        </w:rPr>
        <w:t>4.5</w:t>
      </w:r>
      <w:r>
        <w:rPr>
          <w:rFonts w:ascii="Times New Roman" w:hAnsi="Times New Roman" w:eastAsiaTheme="majorEastAsia"/>
          <w:b/>
          <w:bCs/>
          <w:szCs w:val="21"/>
        </w:rPr>
        <w:t>后续相关工作</w:t>
      </w:r>
    </w:p>
    <w:p>
      <w:pPr>
        <w:numPr>
          <w:ilvl w:val="0"/>
          <w:numId w:val="7"/>
        </w:numPr>
        <w:spacing w:line="360" w:lineRule="auto"/>
        <w:ind w:firstLine="422" w:firstLineChars="200"/>
        <w:rPr>
          <w:rFonts w:ascii="Times New Roman" w:hAnsi="Times New Roman" w:eastAsiaTheme="majorEastAsia"/>
          <w:szCs w:val="21"/>
        </w:rPr>
      </w:pPr>
      <w:r>
        <w:rPr>
          <w:rFonts w:ascii="Times New Roman" w:hAnsi="Times New Roman" w:eastAsiaTheme="majorEastAsia"/>
          <w:b/>
          <w:bCs/>
          <w:szCs w:val="21"/>
        </w:rPr>
        <w:t>下架图书管理：</w:t>
      </w:r>
      <w:r>
        <w:rPr>
          <w:rFonts w:ascii="Times New Roman" w:hAnsi="Times New Roman" w:eastAsiaTheme="majorEastAsia"/>
          <w:szCs w:val="21"/>
        </w:rPr>
        <w:t>做好下架图书资产管理。</w:t>
      </w:r>
    </w:p>
    <w:p>
      <w:pPr>
        <w:numPr>
          <w:ilvl w:val="0"/>
          <w:numId w:val="7"/>
        </w:numPr>
        <w:spacing w:line="360" w:lineRule="auto"/>
        <w:ind w:firstLine="422" w:firstLineChars="200"/>
        <w:rPr>
          <w:rFonts w:ascii="Times New Roman" w:hAnsi="Times New Roman" w:eastAsiaTheme="majorEastAsia"/>
          <w:szCs w:val="21"/>
        </w:rPr>
      </w:pPr>
      <w:r>
        <w:rPr>
          <w:rFonts w:ascii="Times New Roman" w:hAnsi="Times New Roman" w:eastAsiaTheme="majorEastAsia"/>
          <w:b/>
          <w:bCs/>
          <w:szCs w:val="21"/>
        </w:rPr>
        <w:t>遗失图书处置</w:t>
      </w:r>
      <w:r>
        <w:rPr>
          <w:rFonts w:ascii="Times New Roman" w:hAnsi="Times New Roman" w:eastAsiaTheme="majorEastAsia"/>
          <w:szCs w:val="21"/>
        </w:rPr>
        <w:t>：对图书盘点发现的异常图书，由办公室与资产处联系，商讨处理方案，并经党政联席会议审议通过后，报学校领导和相关职能部门处置。</w:t>
      </w:r>
    </w:p>
    <w:p>
      <w:pPr>
        <w:pStyle w:val="3"/>
        <w:spacing w:line="360" w:lineRule="auto"/>
        <w:rPr>
          <w:rFonts w:ascii="Times New Roman" w:hAnsi="Times New Roman" w:eastAsiaTheme="majorEastAsia"/>
          <w:sz w:val="24"/>
        </w:rPr>
      </w:pPr>
      <w:r>
        <w:rPr>
          <w:rFonts w:hint="eastAsia" w:ascii="Times New Roman" w:hAnsi="Times New Roman" w:eastAsiaTheme="majorEastAsia"/>
          <w:sz w:val="24"/>
        </w:rPr>
        <w:t>5.</w:t>
      </w:r>
      <w:r>
        <w:rPr>
          <w:rFonts w:ascii="Times New Roman" w:hAnsi="Times New Roman" w:eastAsiaTheme="majorEastAsia"/>
          <w:sz w:val="24"/>
        </w:rPr>
        <w:t>其他事项</w:t>
      </w:r>
    </w:p>
    <w:p>
      <w:pPr>
        <w:spacing w:line="360" w:lineRule="auto"/>
        <w:ind w:firstLine="420" w:firstLineChars="200"/>
        <w:rPr>
          <w:rFonts w:ascii="Times New Roman" w:hAnsi="Times New Roman" w:eastAsiaTheme="majorEastAsia"/>
          <w:szCs w:val="21"/>
        </w:rPr>
      </w:pPr>
      <w:r>
        <w:rPr>
          <w:rFonts w:hint="eastAsia" w:ascii="Times New Roman" w:hAnsi="Times New Roman" w:eastAsiaTheme="majorEastAsia"/>
          <w:szCs w:val="21"/>
        </w:rPr>
        <w:t>1.</w:t>
      </w:r>
      <w:r>
        <w:rPr>
          <w:rFonts w:ascii="Times New Roman" w:hAnsi="Times New Roman" w:eastAsiaTheme="majorEastAsia"/>
          <w:szCs w:val="21"/>
        </w:rPr>
        <w:t>为尽量减少剔旧盘点工作对读者的影响，应该在学校信息门户、教师和学生读者服务群提前发布相关通知公告；</w:t>
      </w:r>
    </w:p>
    <w:p>
      <w:pPr>
        <w:spacing w:line="360" w:lineRule="auto"/>
        <w:ind w:firstLine="420" w:firstLineChars="200"/>
        <w:rPr>
          <w:rFonts w:ascii="Times New Roman" w:hAnsi="Times New Roman" w:eastAsiaTheme="majorEastAsia"/>
          <w:szCs w:val="21"/>
        </w:rPr>
      </w:pPr>
      <w:r>
        <w:rPr>
          <w:rFonts w:hint="eastAsia" w:ascii="Times New Roman" w:hAnsi="Times New Roman" w:eastAsiaTheme="majorEastAsia"/>
          <w:szCs w:val="21"/>
        </w:rPr>
        <w:t>2.</w:t>
      </w:r>
      <w:r>
        <w:rPr>
          <w:rFonts w:ascii="Times New Roman" w:hAnsi="Times New Roman" w:eastAsiaTheme="majorEastAsia"/>
          <w:szCs w:val="21"/>
        </w:rPr>
        <w:t>做好闭库期间的图书借还和阅览室分流工作</w:t>
      </w:r>
      <w:r>
        <w:rPr>
          <w:rFonts w:hint="eastAsia" w:ascii="Times New Roman" w:hAnsi="Times New Roman" w:eastAsiaTheme="majorEastAsia"/>
          <w:szCs w:val="21"/>
        </w:rPr>
        <w:t>。</w:t>
      </w:r>
    </w:p>
    <w:p>
      <w:pPr>
        <w:pStyle w:val="6"/>
        <w:spacing w:before="0" w:beforeLines="0" w:after="0" w:afterLines="0" w:line="288" w:lineRule="auto"/>
        <w:jc w:val="center"/>
        <w:outlineLvl w:val="0"/>
        <w:rPr>
          <w:rFonts w:hAnsi="宋体" w:cs="宋体"/>
          <w:b/>
          <w:sz w:val="32"/>
          <w:szCs w:val="32"/>
        </w:rPr>
      </w:pPr>
      <w:r>
        <w:rPr>
          <w:rFonts w:hint="eastAsia" w:hAnsi="宋体" w:cs="宋体"/>
          <w:b/>
          <w:sz w:val="32"/>
          <w:szCs w:val="32"/>
        </w:rPr>
        <w:br w:type="page"/>
      </w:r>
      <w:r>
        <w:rPr>
          <w:rFonts w:hint="eastAsia" w:hAnsi="宋体" w:cs="宋体"/>
          <w:b/>
          <w:sz w:val="32"/>
          <w:szCs w:val="32"/>
        </w:rPr>
        <w:t>第三章  供应商须知</w:t>
      </w:r>
    </w:p>
    <w:p>
      <w:pPr>
        <w:spacing w:line="288" w:lineRule="auto"/>
        <w:jc w:val="center"/>
        <w:outlineLvl w:val="1"/>
        <w:rPr>
          <w:rFonts w:ascii="宋体" w:hAnsi="宋体" w:cs="宋体"/>
          <w:b/>
          <w:sz w:val="24"/>
        </w:rPr>
      </w:pPr>
      <w:r>
        <w:rPr>
          <w:rFonts w:hint="eastAsia" w:ascii="宋体" w:hAnsi="宋体" w:cs="宋体"/>
          <w:b/>
          <w:sz w:val="24"/>
        </w:rPr>
        <w:t>前附表</w:t>
      </w:r>
    </w:p>
    <w:tbl>
      <w:tblPr>
        <w:tblStyle w:val="1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8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8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采 购 人：浙江财经大学</w:t>
            </w:r>
          </w:p>
          <w:p>
            <w:pPr>
              <w:spacing w:line="360" w:lineRule="auto"/>
              <w:rPr>
                <w:rFonts w:ascii="宋体" w:hAnsi="宋体" w:cs="宋体"/>
                <w:szCs w:val="21"/>
              </w:rPr>
            </w:pPr>
            <w:r>
              <w:rPr>
                <w:rFonts w:hint="eastAsia" w:ascii="宋体" w:hAnsi="宋体" w:cs="宋体"/>
                <w:szCs w:val="21"/>
              </w:rPr>
              <w:t>项目名称：浙江财经大学图书盘点服务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Cs w:val="21"/>
              </w:rPr>
            </w:pPr>
            <w:r>
              <w:rPr>
                <w:rFonts w:hint="eastAsia" w:ascii="宋体" w:hAnsi="宋体" w:cs="宋体"/>
                <w:bCs/>
                <w:szCs w:val="21"/>
              </w:rPr>
              <w:t>2</w:t>
            </w:r>
          </w:p>
        </w:tc>
        <w:tc>
          <w:tcPr>
            <w:tcW w:w="8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是否专门是否专门面向中小企业采购：</w:t>
            </w:r>
            <w:r>
              <w:rPr>
                <w:rFonts w:hint="eastAsia" w:ascii="宋体" w:hAnsi="宋体" w:cs="宋体"/>
                <w:sz w:val="18"/>
                <w:szCs w:val="18"/>
              </w:rPr>
              <w:t xml:space="preserve"> </w:t>
            </w:r>
            <w:r>
              <w:rPr>
                <w:rFonts w:ascii="宋体" w:hAnsi="宋体"/>
                <w:bCs/>
                <w:color w:val="000000"/>
                <w:szCs w:val="21"/>
              </w:rPr>
              <w:fldChar w:fldCharType="begin"/>
            </w:r>
            <w:r>
              <w:rPr>
                <w:rFonts w:ascii="宋体" w:hAnsi="宋体"/>
                <w:bCs/>
                <w:color w:val="000000"/>
                <w:szCs w:val="21"/>
              </w:rPr>
              <w:instrText xml:space="preserve"> eq \o\ac(</w:instrText>
            </w:r>
            <w:r>
              <w:rPr>
                <w:rFonts w:ascii="宋体" w:hAnsi="宋体"/>
                <w:bCs/>
                <w:color w:val="000000"/>
                <w:position w:val="-4"/>
                <w:sz w:val="31"/>
                <w:szCs w:val="21"/>
              </w:rPr>
              <w:instrText xml:space="preserve">□</w:instrText>
            </w:r>
            <w:r>
              <w:rPr>
                <w:rFonts w:ascii="宋体" w:hAnsi="宋体"/>
                <w:bCs/>
                <w:color w:val="000000"/>
                <w:szCs w:val="21"/>
              </w:rPr>
              <w:instrText xml:space="preserve">)</w:instrText>
            </w:r>
            <w:r>
              <w:rPr>
                <w:rFonts w:ascii="宋体" w:hAnsi="宋体"/>
                <w:bCs/>
                <w:color w:val="000000"/>
                <w:szCs w:val="21"/>
              </w:rPr>
              <w:fldChar w:fldCharType="end"/>
            </w:r>
            <w:r>
              <w:rPr>
                <w:rFonts w:hint="eastAsia" w:ascii="宋体" w:hAnsi="宋体"/>
                <w:bCs/>
                <w:color w:val="000000"/>
                <w:szCs w:val="21"/>
              </w:rPr>
              <w:t xml:space="preserve">是 </w:t>
            </w:r>
            <w:r>
              <w:rPr>
                <w:rFonts w:hAnsi="宋体"/>
                <w:sz w:val="24"/>
              </w:rPr>
              <w:sym w:font="Wingdings 2" w:char="0052"/>
            </w:r>
            <w:r>
              <w:rPr>
                <w:rFonts w:hint="eastAsia" w:ascii="宋体" w:hAnsi="宋体" w:cs="宋体"/>
                <w:bCs/>
                <w:color w:val="000000"/>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Cs w:val="21"/>
              </w:rPr>
            </w:pPr>
            <w:r>
              <w:rPr>
                <w:rFonts w:hint="eastAsia" w:ascii="宋体" w:hAnsi="宋体" w:cs="宋体"/>
                <w:bCs/>
                <w:szCs w:val="21"/>
              </w:rPr>
              <w:t>3</w:t>
            </w:r>
          </w:p>
        </w:tc>
        <w:tc>
          <w:tcPr>
            <w:tcW w:w="8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szCs w:val="21"/>
              </w:rPr>
            </w:pPr>
            <w:r>
              <w:rPr>
                <w:rFonts w:hint="eastAsia" w:ascii="宋体" w:hAnsi="宋体" w:cs="宋体"/>
                <w:b/>
                <w:bCs/>
                <w:szCs w:val="21"/>
              </w:rPr>
              <w:t>“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Cs w:val="21"/>
              </w:rPr>
            </w:pPr>
            <w:r>
              <w:rPr>
                <w:rFonts w:hint="eastAsia" w:ascii="宋体" w:hAnsi="宋体" w:cs="宋体"/>
                <w:bCs/>
                <w:szCs w:val="21"/>
              </w:rPr>
              <w:t>4</w:t>
            </w:r>
          </w:p>
        </w:tc>
        <w:tc>
          <w:tcPr>
            <w:tcW w:w="8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szCs w:val="21"/>
              </w:rPr>
            </w:pPr>
            <w:r>
              <w:rPr>
                <w:rFonts w:hint="eastAsia" w:ascii="宋体" w:hAnsi="宋体" w:cs="宋体"/>
                <w:b/>
                <w:bCs/>
                <w:szCs w:val="21"/>
              </w:rPr>
              <w:t>“公章”除特殊说明外系指政采云电子交易客户端（政采云投标客户端）中供应商的电子签章；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Cs w:val="21"/>
              </w:rPr>
            </w:pPr>
            <w:r>
              <w:rPr>
                <w:rFonts w:hint="eastAsia" w:ascii="宋体" w:hAnsi="宋体" w:cs="宋体"/>
                <w:bCs/>
                <w:szCs w:val="21"/>
              </w:rPr>
              <w:t>5</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textAlignment w:val="bottom"/>
              <w:rPr>
                <w:rFonts w:ascii="宋体" w:hAnsi="宋体" w:cs="宋体"/>
                <w:b/>
                <w:bCs/>
                <w:szCs w:val="21"/>
              </w:rPr>
            </w:pPr>
            <w:r>
              <w:rPr>
                <w:rFonts w:hint="eastAsia" w:ascii="宋体" w:hAnsi="宋体" w:cs="宋体"/>
                <w:b/>
                <w:bCs/>
                <w:szCs w:val="21"/>
              </w:rPr>
              <w:t>磋商费用：</w:t>
            </w:r>
          </w:p>
          <w:p>
            <w:pPr>
              <w:autoSpaceDE w:val="0"/>
              <w:autoSpaceDN w:val="0"/>
              <w:spacing w:line="360" w:lineRule="auto"/>
              <w:textAlignment w:val="bottom"/>
              <w:rPr>
                <w:rFonts w:ascii="宋体" w:hAnsi="宋体" w:cs="宋体"/>
                <w:szCs w:val="21"/>
              </w:rPr>
            </w:pPr>
            <w:r>
              <w:rPr>
                <w:rFonts w:hint="eastAsia" w:ascii="宋体" w:hAnsi="宋体" w:cs="宋体"/>
                <w:szCs w:val="21"/>
              </w:rPr>
              <w:t>1.不论磋商结果如何，供应商均应自行承担所有与磋商有关的全部费用；</w:t>
            </w:r>
          </w:p>
          <w:p>
            <w:pPr>
              <w:autoSpaceDE w:val="0"/>
              <w:autoSpaceDN w:val="0"/>
              <w:spacing w:line="360" w:lineRule="auto"/>
              <w:textAlignment w:val="bottom"/>
              <w:rPr>
                <w:rFonts w:ascii="宋体" w:hAnsi="宋体" w:cs="宋体"/>
                <w:szCs w:val="21"/>
              </w:rPr>
            </w:pPr>
            <w:r>
              <w:rPr>
                <w:rFonts w:hint="eastAsia" w:ascii="宋体" w:hAnsi="宋体" w:cs="宋体"/>
                <w:szCs w:val="21"/>
              </w:rPr>
              <w:t>支付代理服务费：成交通知书发出之日起7个工作日内，收费标准：2000元。</w:t>
            </w:r>
          </w:p>
          <w:p>
            <w:pPr>
              <w:spacing w:line="360" w:lineRule="auto"/>
              <w:rPr>
                <w:rFonts w:ascii="宋体" w:hAnsi="宋体" w:cs="宋体"/>
                <w:b/>
                <w:bCs/>
                <w:szCs w:val="21"/>
              </w:rPr>
            </w:pPr>
            <w:r>
              <w:rPr>
                <w:rFonts w:hint="eastAsia" w:ascii="宋体" w:hAnsi="宋体" w:cs="宋体"/>
                <w:szCs w:val="21"/>
              </w:rPr>
              <w:t>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Cs w:val="21"/>
              </w:rPr>
            </w:pPr>
            <w:r>
              <w:rPr>
                <w:rFonts w:hint="eastAsia" w:ascii="宋体" w:hAnsi="宋体" w:cs="宋体"/>
                <w:bCs/>
                <w:szCs w:val="21"/>
              </w:rPr>
              <w:t>6</w:t>
            </w:r>
          </w:p>
        </w:tc>
        <w:tc>
          <w:tcPr>
            <w:tcW w:w="8647" w:type="dxa"/>
            <w:tcBorders>
              <w:top w:val="single" w:color="auto" w:sz="4" w:space="0"/>
              <w:left w:val="single" w:color="auto" w:sz="4" w:space="0"/>
              <w:bottom w:val="single" w:color="auto" w:sz="4" w:space="0"/>
              <w:right w:val="single" w:color="auto" w:sz="4" w:space="0"/>
            </w:tcBorders>
            <w:vAlign w:val="center"/>
          </w:tcPr>
          <w:p>
            <w:pPr>
              <w:spacing w:before="72" w:beforeLines="30" w:line="288" w:lineRule="auto"/>
              <w:rPr>
                <w:rFonts w:ascii="宋体" w:hAnsi="宋体" w:cs="宋体"/>
                <w:b/>
                <w:bCs/>
                <w:szCs w:val="21"/>
              </w:rPr>
            </w:pPr>
            <w:r>
              <w:rPr>
                <w:rFonts w:hint="eastAsia" w:ascii="宋体" w:hAnsi="宋体" w:cs="宋体"/>
                <w:b/>
                <w:bCs/>
                <w:szCs w:val="21"/>
              </w:rPr>
              <w:t>响应文件份数：</w:t>
            </w:r>
          </w:p>
          <w:p>
            <w:pPr>
              <w:autoSpaceDE w:val="0"/>
              <w:autoSpaceDN w:val="0"/>
              <w:spacing w:line="360" w:lineRule="auto"/>
              <w:textAlignment w:val="bottom"/>
              <w:rPr>
                <w:rFonts w:ascii="宋体" w:hAnsi="宋体" w:cs="宋体"/>
                <w:szCs w:val="21"/>
              </w:rPr>
            </w:pPr>
            <w:r>
              <w:rPr>
                <w:rFonts w:hint="eastAsia" w:ascii="宋体" w:hAnsi="宋体" w:cs="宋体"/>
                <w:szCs w:val="21"/>
              </w:rPr>
              <w:t>1.电子加密响应文件：在线上传递交一份；备份响应文件（如有）以介质（U盘）存储的数据电文形式：密封包装后（EMS邮寄或顺丰快递形式）递交一份邮寄地址：杭州市西湖区振华路298号西港发展中心7幢7楼 浙江建友工程咨询有限公司徐梦遥收。</w:t>
            </w:r>
          </w:p>
          <w:p>
            <w:pPr>
              <w:autoSpaceDE w:val="0"/>
              <w:autoSpaceDN w:val="0"/>
              <w:spacing w:line="360" w:lineRule="auto"/>
              <w:textAlignment w:val="bottom"/>
              <w:rPr>
                <w:rFonts w:ascii="宋体" w:hAnsi="宋体" w:cs="宋体"/>
                <w:szCs w:val="21"/>
              </w:rPr>
            </w:pPr>
            <w:r>
              <w:rPr>
                <w:rFonts w:hint="eastAsia" w:ascii="宋体" w:hAnsi="宋体" w:cs="宋体"/>
                <w:b/>
                <w:bCs/>
                <w:szCs w:val="21"/>
              </w:rPr>
              <w:t>2.纸质文件一份：</w:t>
            </w:r>
            <w:r>
              <w:rPr>
                <w:rFonts w:hint="eastAsia" w:ascii="宋体" w:hAnsi="宋体" w:cs="宋体"/>
                <w:szCs w:val="21"/>
              </w:rPr>
              <w:t>资格、报价、商务、技术文件分别编制并合订成一册，内容需与电子加密文件保持一致，在响应截止时间之前密封包装后EMS或顺丰邮寄形式递交（邮寄地址：杭州市西湖区振华路298号西港发展中心7幢7楼 浙江建友工程咨询有限公司徐梦遥收）。</w:t>
            </w:r>
          </w:p>
          <w:p>
            <w:pPr>
              <w:autoSpaceDE w:val="0"/>
              <w:autoSpaceDN w:val="0"/>
              <w:spacing w:line="360" w:lineRule="auto"/>
              <w:textAlignment w:val="bottom"/>
              <w:rPr>
                <w:rFonts w:ascii="宋体" w:hAnsi="宋体" w:cs="宋体"/>
                <w:szCs w:val="21"/>
              </w:rPr>
            </w:pPr>
            <w:r>
              <w:rPr>
                <w:rFonts w:hint="eastAsia" w:ascii="宋体" w:hAnsi="宋体" w:cs="宋体"/>
                <w:b/>
                <w:bCs/>
                <w:szCs w:val="21"/>
              </w:rPr>
              <w:t>注：</w:t>
            </w:r>
            <w:r>
              <w:rPr>
                <w:rFonts w:hint="eastAsia" w:ascii="宋体" w:hAnsi="宋体" w:cs="宋体"/>
                <w:szCs w:val="21"/>
              </w:rPr>
              <w:t>备份文件和纸质文件及演示样片可密封一起邮寄。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yellow"/>
              </w:rPr>
            </w:pPr>
            <w:r>
              <w:rPr>
                <w:rFonts w:hint="eastAsia" w:ascii="宋体" w:hAnsi="宋体" w:cs="宋体"/>
                <w:szCs w:val="21"/>
              </w:rPr>
              <w:t>7</w:t>
            </w:r>
          </w:p>
        </w:tc>
        <w:tc>
          <w:tcPr>
            <w:tcW w:w="8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响应文件的上传、递交：</w:t>
            </w:r>
          </w:p>
          <w:p>
            <w:pPr>
              <w:spacing w:line="360" w:lineRule="auto"/>
              <w:rPr>
                <w:rFonts w:ascii="宋体" w:hAnsi="宋体" w:cs="宋体"/>
                <w:szCs w:val="21"/>
              </w:rPr>
            </w:pPr>
            <w:r>
              <w:rPr>
                <w:rFonts w:hint="eastAsia" w:ascii="宋体" w:hAnsi="宋体" w:cs="宋体"/>
                <w:szCs w:val="21"/>
              </w:rPr>
              <w:t>（1）电子加密响应文件的上传：</w:t>
            </w:r>
          </w:p>
          <w:p>
            <w:pPr>
              <w:spacing w:line="360" w:lineRule="auto"/>
              <w:rPr>
                <w:rFonts w:ascii="宋体" w:hAnsi="宋体" w:cs="宋体"/>
                <w:szCs w:val="21"/>
              </w:rPr>
            </w:pPr>
            <w:r>
              <w:rPr>
                <w:rFonts w:hint="eastAsia" w:ascii="宋体" w:hAnsi="宋体" w:cs="宋体"/>
                <w:szCs w:val="21"/>
              </w:rPr>
              <w:t>▲a.供应商应在响应文件提交截止时间前将电子加密响应文件成功上传至政府采购云平台，否则响应无效；</w:t>
            </w:r>
          </w:p>
          <w:p>
            <w:pPr>
              <w:spacing w:line="360" w:lineRule="auto"/>
              <w:rPr>
                <w:rFonts w:ascii="宋体" w:hAnsi="宋体" w:cs="宋体"/>
                <w:szCs w:val="21"/>
              </w:rPr>
            </w:pPr>
            <w:r>
              <w:rPr>
                <w:rFonts w:hint="eastAsia" w:ascii="宋体" w:hAnsi="宋体" w:cs="宋体"/>
                <w:szCs w:val="21"/>
              </w:rPr>
              <w:t>b.电子加密响应文件成功上传后，供应商可自行打印响应文件接收回执。</w:t>
            </w:r>
          </w:p>
          <w:p>
            <w:pPr>
              <w:spacing w:line="360" w:lineRule="auto"/>
              <w:rPr>
                <w:rFonts w:ascii="宋体" w:hAnsi="宋体" w:cs="宋体"/>
                <w:szCs w:val="21"/>
              </w:rPr>
            </w:pPr>
            <w:r>
              <w:rPr>
                <w:rFonts w:hint="eastAsia" w:ascii="宋体" w:hAnsi="宋体" w:cs="宋体"/>
                <w:szCs w:val="21"/>
              </w:rPr>
              <w:t>（2）备份响应文件的密封包装、递交：</w:t>
            </w:r>
          </w:p>
          <w:p>
            <w:pPr>
              <w:spacing w:line="360" w:lineRule="auto"/>
              <w:rPr>
                <w:rFonts w:ascii="宋体" w:hAnsi="宋体" w:cs="宋体"/>
                <w:szCs w:val="21"/>
              </w:rPr>
            </w:pPr>
            <w:r>
              <w:rPr>
                <w:rFonts w:hint="eastAsia" w:ascii="宋体" w:hAnsi="宋体" w:cs="宋体"/>
                <w:szCs w:val="21"/>
              </w:rPr>
              <w:t>a.供应商在政府采购云平台完成电子加密响应文件的上传后，可以EMS或顺丰邮寄形式在响应文件提交截止时间前递交以介质（U盘）存储的数据电文形式的备份响应文件；</w:t>
            </w:r>
          </w:p>
          <w:p>
            <w:pPr>
              <w:spacing w:line="360" w:lineRule="auto"/>
              <w:rPr>
                <w:rFonts w:ascii="宋体" w:hAnsi="宋体" w:cs="宋体"/>
                <w:szCs w:val="21"/>
              </w:rPr>
            </w:pPr>
            <w:r>
              <w:rPr>
                <w:rFonts w:hint="eastAsia" w:ascii="宋体" w:hAnsi="宋体" w:cs="宋体"/>
                <w:szCs w:val="21"/>
              </w:rPr>
              <w:t>b.备份响应文件应当密封包装并在包装上标注</w:t>
            </w:r>
            <w:r>
              <w:rPr>
                <w:rFonts w:hint="eastAsia" w:ascii="宋体" w:hAnsi="宋体" w:cs="宋体"/>
                <w:b/>
                <w:bCs/>
                <w:szCs w:val="21"/>
              </w:rPr>
              <w:t>项目名称、供应商名称并加盖公章</w:t>
            </w:r>
            <w:r>
              <w:rPr>
                <w:rFonts w:hint="eastAsia" w:ascii="宋体" w:hAnsi="宋体" w:cs="宋体"/>
                <w:szCs w:val="21"/>
              </w:rPr>
              <w:t>（非电子签章），供应商逾期送达或者未密封包装的备份响应文件采购代理机构将予以拒收；</w:t>
            </w:r>
          </w:p>
          <w:p>
            <w:pPr>
              <w:spacing w:line="360" w:lineRule="auto"/>
              <w:rPr>
                <w:rFonts w:ascii="宋体" w:hAnsi="宋体" w:cs="宋体"/>
                <w:szCs w:val="21"/>
              </w:rPr>
            </w:pPr>
            <w:r>
              <w:rPr>
                <w:rFonts w:hint="eastAsia" w:ascii="宋体" w:hAnsi="宋体" w:cs="宋体"/>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8</w:t>
            </w:r>
          </w:p>
        </w:tc>
        <w:tc>
          <w:tcPr>
            <w:tcW w:w="8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rPr>
            </w:pPr>
            <w:r>
              <w:rPr>
                <w:rFonts w:hint="eastAsia" w:ascii="宋体" w:hAnsi="宋体" w:cs="宋体"/>
                <w:szCs w:val="21"/>
              </w:rPr>
              <w:t>磋商响应报价：</w:t>
            </w:r>
            <w:r>
              <w:rPr>
                <w:rFonts w:hint="eastAsia" w:ascii="宋体" w:hAnsi="宋体" w:cs="宋体"/>
                <w:b/>
                <w:szCs w:val="21"/>
              </w:rPr>
              <w:t>本项目采用人民币报价。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9</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textAlignment w:val="bottom"/>
              <w:rPr>
                <w:rFonts w:ascii="宋体" w:hAnsi="宋体" w:cs="宋体"/>
                <w:szCs w:val="21"/>
              </w:rPr>
            </w:pPr>
            <w:r>
              <w:rPr>
                <w:rFonts w:hint="eastAsia" w:ascii="宋体" w:hAnsi="宋体" w:cs="宋体"/>
                <w:szCs w:val="21"/>
              </w:rPr>
              <w:t>评审办法及评分标准：详见第四章《评审办法及评分标准》。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textAlignment w:val="bottom"/>
              <w:rPr>
                <w:rFonts w:ascii="宋体" w:hAnsi="宋体" w:cs="宋体"/>
                <w:szCs w:val="21"/>
              </w:rPr>
            </w:pPr>
            <w:r>
              <w:rPr>
                <w:rFonts w:hint="eastAsia" w:ascii="宋体" w:hAnsi="宋体" w:cs="宋体"/>
                <w:szCs w:val="21"/>
              </w:rPr>
              <w:t>成交结果公示：成交结果公示于浙江政府采购网（http://www.zjzfcg.gov.cn)等相关网站或媒体。</w:t>
            </w:r>
          </w:p>
          <w:p>
            <w:pPr>
              <w:autoSpaceDE w:val="0"/>
              <w:autoSpaceDN w:val="0"/>
              <w:spacing w:line="360" w:lineRule="auto"/>
              <w:textAlignment w:val="bottom"/>
              <w:rPr>
                <w:rFonts w:ascii="宋体" w:hAnsi="宋体" w:cs="宋体"/>
                <w:szCs w:val="21"/>
              </w:rPr>
            </w:pPr>
            <w:r>
              <w:rPr>
                <w:rFonts w:hint="eastAsia" w:ascii="宋体" w:hAnsi="宋体" w:cs="宋体"/>
                <w:szCs w:val="21"/>
              </w:rPr>
              <w:t>成交通知：成交结果公告发出之日发成交通知书。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textAlignment w:val="bottom"/>
              <w:rPr>
                <w:rFonts w:ascii="宋体" w:hAnsi="宋体" w:cs="宋体"/>
                <w:szCs w:val="21"/>
              </w:rPr>
            </w:pPr>
            <w:r>
              <w:rPr>
                <w:rFonts w:hint="eastAsia" w:ascii="宋体" w:hAnsi="宋体" w:cs="宋体"/>
                <w:szCs w:val="21"/>
              </w:rPr>
              <w:t>签订合同：成交通知书发出之日起30日内。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ascii="宋体" w:hAnsi="宋体" w:cs="宋体"/>
                <w:szCs w:val="21"/>
              </w:rPr>
            </w:pPr>
            <w:r>
              <w:rPr>
                <w:rFonts w:hint="eastAsia" w:ascii="宋体" w:hAnsi="宋体" w:cs="宋体"/>
                <w:szCs w:val="21"/>
              </w:rPr>
              <w:t>12</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textAlignment w:val="bottom"/>
              <w:rPr>
                <w:rFonts w:ascii="宋体" w:hAnsi="宋体" w:cs="宋体"/>
                <w:szCs w:val="21"/>
              </w:rPr>
            </w:pPr>
            <w:r>
              <w:rPr>
                <w:rFonts w:hint="eastAsia" w:ascii="宋体" w:hAnsi="宋体" w:cs="宋体"/>
                <w:szCs w:val="21"/>
              </w:rPr>
              <w:t>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ascii="宋体" w:hAnsi="宋体" w:cs="宋体"/>
                <w:szCs w:val="21"/>
              </w:rPr>
            </w:pPr>
            <w:r>
              <w:rPr>
                <w:rFonts w:hint="eastAsia" w:ascii="宋体" w:hAnsi="宋体" w:cs="宋体"/>
                <w:szCs w:val="21"/>
              </w:rPr>
              <w:t>13</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textAlignment w:val="bottom"/>
              <w:rPr>
                <w:rFonts w:ascii="宋体" w:hAnsi="宋体" w:cs="宋体"/>
                <w:szCs w:val="21"/>
              </w:rPr>
            </w:pPr>
            <w:r>
              <w:rPr>
                <w:rFonts w:hint="eastAsia" w:ascii="宋体" w:hAnsi="宋体" w:cs="宋体"/>
                <w:szCs w:val="21"/>
              </w:rPr>
              <w:t>磋商过程中可能实质性变动的内容：采购需求中的技术、服务要求以及合同草案条款。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ascii="宋体" w:hAnsi="宋体" w:cs="宋体"/>
                <w:szCs w:val="21"/>
              </w:rPr>
            </w:pPr>
            <w:r>
              <w:rPr>
                <w:rFonts w:hint="eastAsia" w:ascii="宋体" w:hAnsi="宋体" w:cs="宋体"/>
                <w:szCs w:val="21"/>
              </w:rPr>
              <w:t>14</w:t>
            </w:r>
          </w:p>
        </w:tc>
        <w:tc>
          <w:tcPr>
            <w:tcW w:w="8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政府采购促进中小企业发展：提供材料详见磋商文件第六章“报价文件”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ascii="宋体" w:hAnsi="宋体" w:cs="宋体"/>
                <w:szCs w:val="21"/>
              </w:rPr>
            </w:pPr>
            <w:r>
              <w:rPr>
                <w:rFonts w:hint="eastAsia" w:ascii="宋体" w:hAnsi="宋体" w:cs="宋体"/>
                <w:szCs w:val="21"/>
              </w:rPr>
              <w:t>15</w:t>
            </w:r>
          </w:p>
        </w:tc>
        <w:tc>
          <w:tcPr>
            <w:tcW w:w="8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政府采购支持监狱企业发展：提供材料详见磋商文件第六章“报价文件”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ascii="宋体" w:hAnsi="宋体" w:cs="宋体"/>
                <w:szCs w:val="21"/>
              </w:rPr>
            </w:pPr>
            <w:r>
              <w:rPr>
                <w:rFonts w:hint="eastAsia" w:ascii="宋体" w:hAnsi="宋体" w:cs="宋体"/>
                <w:szCs w:val="21"/>
              </w:rPr>
              <w:t>16</w:t>
            </w:r>
          </w:p>
        </w:tc>
        <w:tc>
          <w:tcPr>
            <w:tcW w:w="8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政府采购促进残疾人就业：提供材料详见磋商文件第六章“报价文件”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17</w:t>
            </w:r>
          </w:p>
        </w:tc>
        <w:tc>
          <w:tcPr>
            <w:tcW w:w="8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政府强制采购节能产品：</w:t>
            </w:r>
            <w:r>
              <w:rPr>
                <w:rFonts w:ascii="宋体" w:hAnsi="宋体" w:cs="宋体"/>
                <w:szCs w:val="21"/>
              </w:rPr>
              <w:t xml:space="preserve"> </w:t>
            </w:r>
          </w:p>
          <w:p>
            <w:pPr>
              <w:spacing w:line="360" w:lineRule="auto"/>
              <w:rPr>
                <w:rFonts w:ascii="宋体" w:hAnsi="宋体" w:cs="宋体"/>
                <w:szCs w:val="21"/>
              </w:rPr>
            </w:pPr>
            <w:r>
              <w:rPr>
                <w:rFonts w:hAnsi="宋体"/>
                <w:sz w:val="24"/>
              </w:rPr>
              <w:sym w:font="Wingdings 2" w:char="00A3"/>
            </w:r>
            <w:r>
              <w:rPr>
                <w:rFonts w:hint="eastAsia" w:ascii="宋体" w:hAnsi="宋体" w:cs="宋体"/>
                <w:szCs w:val="21"/>
              </w:rPr>
              <w:t>强制采购节能产品</w:t>
            </w:r>
            <w:r>
              <w:rPr>
                <w:rFonts w:hint="eastAsia" w:ascii="宋体" w:hAnsi="宋体" w:cs="宋体"/>
                <w:szCs w:val="21"/>
              </w:rPr>
              <w:br w:type="textWrapping"/>
            </w:r>
            <w:r>
              <w:rPr>
                <w:rFonts w:hint="eastAsia" w:ascii="宋体" w:hAnsi="宋体" w:cs="宋体"/>
                <w:szCs w:val="21"/>
              </w:rPr>
              <w:t>□优先采购节能产品</w:t>
            </w:r>
            <w:r>
              <w:rPr>
                <w:rFonts w:hint="eastAsia" w:ascii="宋体" w:hAnsi="宋体" w:cs="宋体"/>
                <w:szCs w:val="21"/>
              </w:rPr>
              <w:br w:type="textWrapping"/>
            </w:r>
            <w:r>
              <w:rPr>
                <w:rFonts w:hint="eastAsia" w:ascii="宋体" w:hAnsi="宋体" w:cs="宋体"/>
                <w:szCs w:val="21"/>
              </w:rPr>
              <w:sym w:font="Wingdings 2" w:char="0052"/>
            </w:r>
            <w:r>
              <w:rPr>
                <w:rFonts w:hint="eastAsia" w:ascii="宋体" w:hAnsi="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spacing w:line="360" w:lineRule="auto"/>
              <w:jc w:val="center"/>
              <w:rPr>
                <w:rFonts w:ascii="宋体" w:hAnsi="宋体" w:cs="宋体"/>
                <w:szCs w:val="21"/>
              </w:rPr>
            </w:pPr>
            <w:r>
              <w:rPr>
                <w:rFonts w:hint="eastAsia" w:ascii="宋体" w:hAnsi="宋体" w:cs="宋体"/>
                <w:szCs w:val="21"/>
              </w:rPr>
              <w:t>18</w:t>
            </w:r>
          </w:p>
        </w:tc>
        <w:tc>
          <w:tcPr>
            <w:tcW w:w="8647" w:type="dxa"/>
            <w:vAlign w:val="center"/>
          </w:tcPr>
          <w:p>
            <w:pPr>
              <w:spacing w:line="360" w:lineRule="auto"/>
              <w:rPr>
                <w:rFonts w:ascii="宋体" w:hAnsi="宋体" w:cs="宋体"/>
                <w:szCs w:val="21"/>
              </w:rPr>
            </w:pPr>
            <w:r>
              <w:rPr>
                <w:rFonts w:hint="eastAsia" w:ascii="宋体" w:hAnsi="宋体" w:cs="宋体"/>
                <w:szCs w:val="21"/>
              </w:rPr>
              <w:t>政府采购鼓励节能产品：</w:t>
            </w:r>
          </w:p>
          <w:p>
            <w:pPr>
              <w:spacing w:line="360" w:lineRule="auto"/>
              <w:rPr>
                <w:rFonts w:ascii="宋体" w:hAnsi="宋体" w:cs="宋体"/>
                <w:szCs w:val="21"/>
              </w:rPr>
            </w:pPr>
            <w:r>
              <w:rPr>
                <w:rFonts w:hint="eastAsia" w:ascii="宋体" w:hAnsi="宋体" w:cs="宋体"/>
                <w:szCs w:val="21"/>
              </w:rPr>
              <w:t>□强制采购节能产品</w:t>
            </w:r>
            <w:r>
              <w:rPr>
                <w:rFonts w:hint="eastAsia" w:ascii="宋体" w:hAnsi="宋体" w:cs="宋体"/>
                <w:szCs w:val="21"/>
              </w:rPr>
              <w:br w:type="textWrapping"/>
            </w:r>
            <w:r>
              <w:rPr>
                <w:rFonts w:hAnsi="宋体"/>
                <w:sz w:val="24"/>
              </w:rPr>
              <w:sym w:font="Wingdings 2" w:char="00A3"/>
            </w:r>
            <w:r>
              <w:rPr>
                <w:rFonts w:hint="eastAsia" w:ascii="宋体" w:hAnsi="宋体" w:cs="宋体"/>
                <w:szCs w:val="21"/>
              </w:rPr>
              <w:t>优先采购节能产品</w:t>
            </w:r>
            <w:r>
              <w:rPr>
                <w:rFonts w:hint="eastAsia" w:ascii="宋体" w:hAnsi="宋体" w:cs="宋体"/>
                <w:szCs w:val="21"/>
              </w:rPr>
              <w:br w:type="textWrapping"/>
            </w:r>
            <w:r>
              <w:rPr>
                <w:rFonts w:hint="eastAsia" w:ascii="宋体" w:hAnsi="宋体" w:cs="宋体"/>
                <w:szCs w:val="21"/>
              </w:rPr>
              <w:sym w:font="Wingdings 2" w:char="0052"/>
            </w:r>
            <w:r>
              <w:rPr>
                <w:rFonts w:hint="eastAsia" w:ascii="宋体" w:hAnsi="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spacing w:line="360" w:lineRule="auto"/>
              <w:jc w:val="center"/>
              <w:rPr>
                <w:rFonts w:ascii="宋体" w:hAnsi="宋体" w:cs="宋体"/>
                <w:szCs w:val="21"/>
              </w:rPr>
            </w:pPr>
            <w:r>
              <w:rPr>
                <w:rFonts w:hint="eastAsia" w:ascii="宋体" w:hAnsi="宋体" w:cs="宋体"/>
                <w:szCs w:val="21"/>
              </w:rPr>
              <w:t>19</w:t>
            </w:r>
          </w:p>
        </w:tc>
        <w:tc>
          <w:tcPr>
            <w:tcW w:w="8647" w:type="dxa"/>
            <w:vAlign w:val="center"/>
          </w:tcPr>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政府采购鼓励环保产品：</w:t>
            </w:r>
          </w:p>
          <w:p>
            <w:pPr>
              <w:autoSpaceDE w:val="0"/>
              <w:autoSpaceDN w:val="0"/>
              <w:snapToGrid w:val="0"/>
              <w:spacing w:line="360" w:lineRule="auto"/>
              <w:textAlignment w:val="bottom"/>
              <w:rPr>
                <w:rFonts w:ascii="宋体" w:hAnsi="宋体" w:cs="宋体"/>
                <w:szCs w:val="21"/>
              </w:rPr>
            </w:pPr>
            <w:r>
              <w:rPr>
                <w:rFonts w:hAnsi="宋体"/>
                <w:sz w:val="24"/>
              </w:rPr>
              <w:sym w:font="Wingdings 2" w:char="00A3"/>
            </w:r>
            <w:r>
              <w:rPr>
                <w:rFonts w:ascii="宋体" w:hAnsi="宋体" w:cs="宋体"/>
                <w:szCs w:val="21"/>
              </w:rPr>
              <w:t>优先采购环境标志</w:t>
            </w:r>
            <w:r>
              <w:rPr>
                <w:rFonts w:hint="eastAsia" w:ascii="宋体" w:hAnsi="宋体" w:cs="宋体"/>
                <w:szCs w:val="21"/>
              </w:rPr>
              <w:t>产品`</w:t>
            </w:r>
          </w:p>
          <w:p>
            <w:pPr>
              <w:spacing w:line="360" w:lineRule="auto"/>
              <w:rPr>
                <w:rFonts w:ascii="宋体" w:hAnsi="宋体" w:cs="宋体"/>
                <w:szCs w:val="21"/>
              </w:rPr>
            </w:pPr>
            <w:r>
              <w:rPr>
                <w:rFonts w:hint="eastAsia" w:hAnsi="宋体" w:cs="宋体"/>
                <w:szCs w:val="21"/>
              </w:rPr>
              <w:sym w:font="Wingdings 2" w:char="0052"/>
            </w:r>
            <w:r>
              <w:rPr>
                <w:rFonts w:hint="eastAsia" w:hAnsi="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spacing w:line="360" w:lineRule="auto"/>
              <w:jc w:val="center"/>
              <w:rPr>
                <w:rFonts w:ascii="宋体" w:hAnsi="宋体" w:cs="宋体"/>
                <w:szCs w:val="21"/>
              </w:rPr>
            </w:pPr>
            <w:r>
              <w:rPr>
                <w:rFonts w:hint="eastAsia" w:ascii="宋体" w:hAnsi="宋体" w:cs="宋体"/>
                <w:szCs w:val="21"/>
              </w:rPr>
              <w:t>20</w:t>
            </w:r>
          </w:p>
        </w:tc>
        <w:tc>
          <w:tcPr>
            <w:tcW w:w="8647" w:type="dxa"/>
            <w:vAlign w:val="center"/>
          </w:tcPr>
          <w:p>
            <w:pPr>
              <w:spacing w:line="360" w:lineRule="auto"/>
              <w:rPr>
                <w:rFonts w:ascii="宋体" w:hAnsi="宋体" w:cs="宋体"/>
                <w:szCs w:val="21"/>
              </w:rPr>
            </w:pPr>
            <w:r>
              <w:rPr>
                <w:rFonts w:hint="eastAsia" w:ascii="宋体" w:hAnsi="宋体" w:cs="宋体"/>
                <w:szCs w:val="21"/>
              </w:rPr>
              <w:t>政府采购进口产品：本项目不允许采购进口产品</w:t>
            </w:r>
          </w:p>
        </w:tc>
      </w:tr>
    </w:tbl>
    <w:p>
      <w:pPr>
        <w:pStyle w:val="6"/>
        <w:spacing w:before="0" w:beforeLines="0" w:after="0" w:afterLines="0" w:line="288" w:lineRule="auto"/>
        <w:jc w:val="center"/>
        <w:outlineLvl w:val="1"/>
        <w:rPr>
          <w:rFonts w:hAnsi="宋体" w:cs="宋体"/>
          <w:b/>
          <w:sz w:val="32"/>
          <w:szCs w:val="32"/>
        </w:rPr>
      </w:pPr>
      <w:r>
        <w:rPr>
          <w:rFonts w:hint="eastAsia" w:hAnsi="宋体" w:cs="宋体"/>
          <w:b/>
          <w:sz w:val="21"/>
          <w:szCs w:val="21"/>
        </w:rPr>
        <w:br w:type="page"/>
      </w:r>
      <w:r>
        <w:rPr>
          <w:rFonts w:hint="eastAsia" w:hAnsi="宋体" w:cs="宋体"/>
          <w:b/>
          <w:sz w:val="32"/>
          <w:szCs w:val="32"/>
        </w:rPr>
        <w:t>一、总  则</w:t>
      </w:r>
    </w:p>
    <w:p>
      <w:pPr>
        <w:spacing w:line="288" w:lineRule="auto"/>
        <w:jc w:val="left"/>
        <w:rPr>
          <w:rFonts w:ascii="宋体" w:hAnsi="宋体" w:cs="宋体"/>
          <w:b/>
          <w:sz w:val="24"/>
        </w:rPr>
      </w:pPr>
      <w:r>
        <w:rPr>
          <w:rFonts w:hint="eastAsia" w:ascii="宋体" w:hAnsi="宋体" w:cs="宋体"/>
          <w:b/>
          <w:sz w:val="24"/>
        </w:rPr>
        <w:t>（一） 适用范围</w:t>
      </w:r>
    </w:p>
    <w:p>
      <w:pPr>
        <w:spacing w:line="288" w:lineRule="auto"/>
        <w:ind w:firstLine="420" w:firstLineChars="200"/>
        <w:jc w:val="left"/>
        <w:rPr>
          <w:rFonts w:ascii="宋体" w:hAnsi="宋体" w:cs="宋体"/>
          <w:szCs w:val="21"/>
        </w:rPr>
      </w:pPr>
      <w:r>
        <w:rPr>
          <w:rFonts w:hint="eastAsia" w:ascii="宋体" w:hAnsi="宋体" w:cs="宋体"/>
          <w:szCs w:val="21"/>
        </w:rPr>
        <w:t>本磋商文件适用于浙江财经大学图书盘点服务的磋商、评审、成交、验收、合同履约、付款等（法律、法规另有规定的，从其规定）。</w:t>
      </w:r>
    </w:p>
    <w:p>
      <w:pPr>
        <w:spacing w:line="288" w:lineRule="auto"/>
        <w:jc w:val="left"/>
        <w:rPr>
          <w:rFonts w:ascii="宋体" w:hAnsi="宋体" w:cs="宋体"/>
          <w:b/>
          <w:sz w:val="24"/>
        </w:rPr>
      </w:pPr>
      <w:r>
        <w:rPr>
          <w:rFonts w:hint="eastAsia" w:ascii="宋体" w:hAnsi="宋体" w:cs="宋体"/>
          <w:b/>
          <w:sz w:val="24"/>
        </w:rPr>
        <w:t>（二） 定义</w:t>
      </w:r>
    </w:p>
    <w:p>
      <w:pPr>
        <w:spacing w:line="288" w:lineRule="auto"/>
        <w:ind w:firstLine="420" w:firstLineChars="200"/>
        <w:jc w:val="left"/>
        <w:rPr>
          <w:rFonts w:ascii="宋体" w:hAnsi="宋体" w:cs="宋体"/>
          <w:szCs w:val="21"/>
        </w:rPr>
      </w:pPr>
      <w:r>
        <w:rPr>
          <w:rFonts w:hint="eastAsia" w:ascii="宋体" w:hAnsi="宋体" w:cs="宋体"/>
          <w:szCs w:val="21"/>
        </w:rPr>
        <w:t>1.“采购人”系指浙江财经大学；</w:t>
      </w:r>
    </w:p>
    <w:p>
      <w:pPr>
        <w:spacing w:line="288" w:lineRule="auto"/>
        <w:ind w:firstLine="420" w:firstLineChars="200"/>
        <w:jc w:val="left"/>
        <w:rPr>
          <w:rFonts w:ascii="宋体" w:hAnsi="宋体" w:cs="宋体"/>
          <w:szCs w:val="21"/>
        </w:rPr>
      </w:pPr>
      <w:r>
        <w:rPr>
          <w:rFonts w:hint="eastAsia" w:ascii="宋体" w:hAnsi="宋体" w:cs="宋体"/>
          <w:szCs w:val="21"/>
        </w:rPr>
        <w:t>2.“采购代理机构”系指组织本次竞争性磋商的浙江建友工程咨询有限公司；</w:t>
      </w:r>
    </w:p>
    <w:p>
      <w:pPr>
        <w:spacing w:line="288" w:lineRule="auto"/>
        <w:ind w:firstLine="420" w:firstLineChars="200"/>
        <w:jc w:val="left"/>
        <w:rPr>
          <w:rFonts w:ascii="宋体" w:hAnsi="宋体" w:cs="宋体"/>
          <w:szCs w:val="21"/>
        </w:rPr>
      </w:pPr>
      <w:r>
        <w:rPr>
          <w:rFonts w:hint="eastAsia" w:ascii="宋体" w:hAnsi="宋体" w:cs="宋体"/>
          <w:szCs w:val="21"/>
        </w:rPr>
        <w:t>3．“供应商”系指响应磋商、参加竞争的法人、其他组织或者自然人；</w:t>
      </w:r>
    </w:p>
    <w:p>
      <w:pPr>
        <w:spacing w:line="288" w:lineRule="auto"/>
        <w:ind w:firstLine="420" w:firstLineChars="200"/>
        <w:jc w:val="left"/>
        <w:rPr>
          <w:rFonts w:ascii="宋体" w:hAnsi="宋体" w:cs="宋体"/>
          <w:szCs w:val="21"/>
        </w:rPr>
      </w:pPr>
      <w:r>
        <w:rPr>
          <w:rFonts w:hint="eastAsia" w:ascii="宋体" w:hAnsi="宋体" w:cs="宋体"/>
          <w:szCs w:val="21"/>
        </w:rPr>
        <w:t>4．“书面形式”包括信函、传真、电子文档等；</w:t>
      </w:r>
    </w:p>
    <w:p>
      <w:pPr>
        <w:spacing w:line="288" w:lineRule="auto"/>
        <w:ind w:firstLine="420" w:firstLineChars="200"/>
        <w:jc w:val="left"/>
        <w:rPr>
          <w:rFonts w:ascii="宋体" w:hAnsi="宋体" w:cs="宋体"/>
          <w:szCs w:val="21"/>
        </w:rPr>
      </w:pPr>
      <w:r>
        <w:rPr>
          <w:rFonts w:hint="eastAsia" w:ascii="宋体" w:hAnsi="宋体" w:cs="宋体"/>
          <w:szCs w:val="21"/>
        </w:rPr>
        <w:t>5．“▲”系指实质性要求条款，供应商必须做出实质性响应。</w:t>
      </w:r>
    </w:p>
    <w:p>
      <w:pPr>
        <w:spacing w:line="288" w:lineRule="auto"/>
        <w:ind w:firstLine="422" w:firstLineChars="200"/>
        <w:jc w:val="left"/>
        <w:rPr>
          <w:rFonts w:ascii="宋体" w:hAnsi="宋体" w:cs="宋体"/>
          <w:b/>
          <w:bCs/>
          <w:szCs w:val="21"/>
        </w:rPr>
      </w:pPr>
      <w:r>
        <w:rPr>
          <w:rFonts w:hint="eastAsia" w:ascii="宋体" w:hAnsi="宋体" w:cs="宋体"/>
          <w:b/>
          <w:bCs/>
          <w:szCs w:val="21"/>
        </w:rPr>
        <w:t>6.“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pPr>
        <w:spacing w:line="288" w:lineRule="auto"/>
        <w:ind w:firstLine="422" w:firstLineChars="200"/>
        <w:jc w:val="left"/>
        <w:rPr>
          <w:rFonts w:ascii="宋体" w:hAnsi="宋体" w:cs="宋体"/>
          <w:szCs w:val="21"/>
        </w:rPr>
      </w:pPr>
      <w:r>
        <w:rPr>
          <w:rFonts w:hint="eastAsia" w:ascii="宋体" w:hAnsi="宋体" w:cs="宋体"/>
          <w:b/>
          <w:bCs/>
          <w:szCs w:val="21"/>
        </w:rPr>
        <w:t>7.“公章”除特殊说明外系指政采云电子交易客户端（政采云投标客户端）中供应商的电子签章；</w:t>
      </w:r>
    </w:p>
    <w:p>
      <w:pPr>
        <w:spacing w:line="288" w:lineRule="auto"/>
        <w:jc w:val="left"/>
        <w:rPr>
          <w:rFonts w:ascii="宋体" w:hAnsi="宋体" w:cs="宋体"/>
          <w:b/>
          <w:sz w:val="24"/>
        </w:rPr>
      </w:pPr>
      <w:r>
        <w:rPr>
          <w:rFonts w:hint="eastAsia" w:ascii="宋体" w:hAnsi="宋体" w:cs="宋体"/>
          <w:b/>
          <w:sz w:val="24"/>
        </w:rPr>
        <w:t>（三） 采购方式</w:t>
      </w:r>
    </w:p>
    <w:p>
      <w:pPr>
        <w:spacing w:line="288" w:lineRule="auto"/>
        <w:ind w:firstLine="420" w:firstLineChars="200"/>
        <w:jc w:val="left"/>
        <w:rPr>
          <w:rFonts w:ascii="宋体" w:hAnsi="宋体" w:cs="宋体"/>
          <w:szCs w:val="21"/>
        </w:rPr>
      </w:pPr>
      <w:r>
        <w:rPr>
          <w:rFonts w:hint="eastAsia" w:ascii="宋体" w:hAnsi="宋体" w:cs="宋体"/>
          <w:szCs w:val="21"/>
        </w:rPr>
        <w:t>本次采购采用竞争性磋商方式通过“政府采购云平台（www.zcygov.cn）”实行在线磋商。</w:t>
      </w:r>
    </w:p>
    <w:p>
      <w:pPr>
        <w:spacing w:line="288" w:lineRule="auto"/>
        <w:jc w:val="left"/>
        <w:rPr>
          <w:rFonts w:ascii="宋体" w:hAnsi="宋体" w:cs="宋体"/>
          <w:b/>
          <w:sz w:val="24"/>
        </w:rPr>
      </w:pPr>
      <w:r>
        <w:rPr>
          <w:rFonts w:hint="eastAsia" w:ascii="宋体" w:hAnsi="宋体" w:cs="宋体"/>
          <w:b/>
          <w:sz w:val="24"/>
        </w:rPr>
        <w:t>（四） 竞争性磋商委托</w:t>
      </w:r>
    </w:p>
    <w:p>
      <w:pPr>
        <w:spacing w:line="288" w:lineRule="auto"/>
        <w:ind w:firstLine="420" w:firstLineChars="200"/>
        <w:rPr>
          <w:rFonts w:ascii="宋体" w:hAnsi="宋体" w:cs="宋体"/>
          <w:szCs w:val="21"/>
        </w:rPr>
      </w:pPr>
      <w:r>
        <w:rPr>
          <w:rFonts w:hint="eastAsia" w:ascii="宋体" w:hAnsi="宋体" w:cs="宋体"/>
          <w:szCs w:val="21"/>
        </w:rPr>
        <w:t>如供应商授权代表不是法定代表人，须有</w:t>
      </w:r>
      <w:r>
        <w:rPr>
          <w:rFonts w:hint="eastAsia" w:ascii="宋体" w:hAnsi="宋体" w:cs="宋体"/>
          <w:bCs/>
          <w:szCs w:val="21"/>
        </w:rPr>
        <w:t>附有法定代表人资格证明书的法定代表人授权委托书</w:t>
      </w:r>
      <w:r>
        <w:rPr>
          <w:rFonts w:hint="eastAsia" w:ascii="宋体" w:hAnsi="宋体" w:cs="宋体"/>
          <w:szCs w:val="21"/>
        </w:rPr>
        <w:t>（，详见响应文件格式）。供应商因未在线参加开标而导致响应文件无法按时解密等一切后果由供应商自行承担。</w:t>
      </w:r>
    </w:p>
    <w:p>
      <w:pPr>
        <w:spacing w:line="288" w:lineRule="auto"/>
        <w:jc w:val="left"/>
        <w:rPr>
          <w:rFonts w:ascii="宋体" w:hAnsi="宋体" w:cs="宋体"/>
          <w:b/>
          <w:sz w:val="24"/>
        </w:rPr>
      </w:pPr>
      <w:r>
        <w:rPr>
          <w:rFonts w:hint="eastAsia" w:ascii="宋体" w:hAnsi="宋体" w:cs="宋体"/>
          <w:b/>
          <w:sz w:val="24"/>
        </w:rPr>
        <w:t>（五） 磋商费用</w:t>
      </w:r>
    </w:p>
    <w:p>
      <w:pPr>
        <w:spacing w:line="288" w:lineRule="auto"/>
        <w:ind w:firstLine="420" w:firstLineChars="200"/>
        <w:jc w:val="left"/>
        <w:rPr>
          <w:rFonts w:ascii="宋体" w:hAnsi="宋体" w:cs="宋体"/>
          <w:szCs w:val="21"/>
        </w:rPr>
      </w:pPr>
      <w:r>
        <w:rPr>
          <w:rFonts w:hint="eastAsia" w:ascii="宋体" w:hAnsi="宋体" w:cs="宋体"/>
          <w:szCs w:val="21"/>
        </w:rPr>
        <w:t>1.不论磋商结果如何，供应商均应自行承担所有与磋商有关的全部费用；</w:t>
      </w:r>
    </w:p>
    <w:p>
      <w:pPr>
        <w:spacing w:line="288" w:lineRule="auto"/>
        <w:ind w:firstLine="420" w:firstLineChars="200"/>
        <w:jc w:val="left"/>
        <w:rPr>
          <w:rFonts w:ascii="宋体" w:hAnsi="宋体" w:cs="宋体"/>
          <w:szCs w:val="21"/>
        </w:rPr>
      </w:pPr>
      <w:r>
        <w:rPr>
          <w:rFonts w:hint="eastAsia" w:ascii="宋体" w:hAnsi="宋体" w:cs="宋体"/>
          <w:szCs w:val="21"/>
        </w:rPr>
        <w:t>2.成交供应商在成交通知书发出之日起七个工作日内，向采购代理机构交纳代理服务费，收费标准：2000元。</w:t>
      </w:r>
    </w:p>
    <w:p>
      <w:pPr>
        <w:spacing w:line="288" w:lineRule="auto"/>
        <w:ind w:firstLine="420" w:firstLineChars="200"/>
        <w:jc w:val="left"/>
        <w:rPr>
          <w:rFonts w:ascii="宋体" w:hAnsi="宋体" w:cs="宋体"/>
          <w:szCs w:val="21"/>
        </w:rPr>
      </w:pPr>
      <w:r>
        <w:rPr>
          <w:rFonts w:hint="eastAsia" w:ascii="宋体" w:hAnsi="宋体" w:cs="宋体"/>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spacing w:line="288" w:lineRule="auto"/>
        <w:jc w:val="left"/>
        <w:rPr>
          <w:rFonts w:ascii="宋体" w:hAnsi="宋体" w:cs="宋体"/>
          <w:b/>
          <w:sz w:val="24"/>
        </w:rPr>
      </w:pPr>
      <w:r>
        <w:rPr>
          <w:rFonts w:hint="eastAsia" w:ascii="宋体" w:hAnsi="宋体" w:cs="宋体"/>
          <w:b/>
          <w:sz w:val="24"/>
        </w:rPr>
        <w:t>（六） 联合体响应</w:t>
      </w:r>
    </w:p>
    <w:p>
      <w:pPr>
        <w:spacing w:line="288" w:lineRule="auto"/>
        <w:ind w:firstLine="420" w:firstLineChars="200"/>
        <w:jc w:val="left"/>
        <w:rPr>
          <w:rFonts w:ascii="宋体" w:hAnsi="宋体" w:cs="宋体"/>
          <w:szCs w:val="21"/>
        </w:rPr>
      </w:pPr>
      <w:r>
        <w:rPr>
          <w:rFonts w:hint="eastAsia" w:ascii="宋体" w:hAnsi="宋体" w:cs="宋体"/>
          <w:szCs w:val="21"/>
        </w:rPr>
        <w:t>本项目不接受联合体响应。</w:t>
      </w:r>
    </w:p>
    <w:p>
      <w:pPr>
        <w:spacing w:line="288" w:lineRule="auto"/>
        <w:jc w:val="left"/>
        <w:rPr>
          <w:rFonts w:ascii="宋体" w:hAnsi="宋体" w:cs="宋体"/>
          <w:b/>
          <w:sz w:val="24"/>
        </w:rPr>
      </w:pPr>
      <w:r>
        <w:rPr>
          <w:rFonts w:hint="eastAsia" w:ascii="宋体" w:hAnsi="宋体" w:cs="宋体"/>
          <w:b/>
          <w:sz w:val="24"/>
        </w:rPr>
        <w:t>（七） 转包与分包</w:t>
      </w:r>
    </w:p>
    <w:p>
      <w:pPr>
        <w:spacing w:line="288" w:lineRule="auto"/>
        <w:ind w:firstLine="420" w:firstLineChars="200"/>
        <w:jc w:val="left"/>
        <w:rPr>
          <w:rFonts w:ascii="宋体" w:hAnsi="宋体" w:cs="宋体"/>
          <w:szCs w:val="21"/>
        </w:rPr>
      </w:pPr>
      <w:r>
        <w:rPr>
          <w:rFonts w:hint="eastAsia" w:ascii="宋体" w:hAnsi="宋体" w:cs="宋体"/>
          <w:szCs w:val="21"/>
        </w:rPr>
        <w:t>1.本项目不允许转包；</w:t>
      </w:r>
    </w:p>
    <w:p>
      <w:pPr>
        <w:spacing w:line="288" w:lineRule="auto"/>
        <w:ind w:firstLine="420" w:firstLineChars="200"/>
        <w:jc w:val="left"/>
        <w:rPr>
          <w:rFonts w:ascii="宋体" w:hAnsi="宋体" w:cs="宋体"/>
          <w:szCs w:val="21"/>
        </w:rPr>
      </w:pPr>
      <w:r>
        <w:rPr>
          <w:rFonts w:hint="eastAsia" w:ascii="宋体" w:hAnsi="宋体" w:cs="宋体"/>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pPr>
        <w:spacing w:line="288" w:lineRule="auto"/>
        <w:rPr>
          <w:rFonts w:ascii="宋体" w:hAnsi="宋体" w:cs="宋体"/>
          <w:b/>
          <w:kern w:val="0"/>
          <w:sz w:val="24"/>
        </w:rPr>
      </w:pPr>
      <w:r>
        <w:rPr>
          <w:rFonts w:hint="eastAsia" w:ascii="宋体" w:hAnsi="宋体" w:cs="宋体"/>
          <w:b/>
          <w:kern w:val="0"/>
          <w:sz w:val="24"/>
        </w:rPr>
        <w:t>（八） 特别说明</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▲1.供应商应仔细阅读磋商文件的所有内容，按照磋商文件的要求提交响应文件，并对所提供的全部资料的真实性承担法律责任。</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▲2.单位负责人为同一人或者存在直接控股、管理关系的不同供应商，不得参加同一合同项下的政府采购活动。</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▲3.为采购项目提供整体设计、规范编制或者项目管理、监理、检测等服务的供应商，不得再参加该采购项目的其他采购活动。</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▲4.供应商授权代表必须为供应商本单位在职职工，并提供2021年1月至今任意一月社保缴纳证明。</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5.采购人、采购代理机构可以视采购项目的具体情况，组织供应商进行现场考察或召开磋商前答疑会，但不得单独或分别组织只有一个供应商参加的现场考察和答疑会。</w:t>
      </w:r>
    </w:p>
    <w:p>
      <w:pPr>
        <w:spacing w:line="288" w:lineRule="auto"/>
        <w:rPr>
          <w:rFonts w:ascii="宋体" w:hAnsi="宋体" w:cs="宋体"/>
          <w:b/>
          <w:kern w:val="0"/>
          <w:sz w:val="24"/>
        </w:rPr>
      </w:pPr>
      <w:r>
        <w:rPr>
          <w:rFonts w:hint="eastAsia" w:ascii="宋体" w:hAnsi="宋体" w:cs="宋体"/>
          <w:b/>
          <w:kern w:val="0"/>
          <w:sz w:val="24"/>
        </w:rPr>
        <w:t>（九） 质疑和投诉</w:t>
      </w:r>
    </w:p>
    <w:p>
      <w:pPr>
        <w:pStyle w:val="2"/>
        <w:spacing w:line="288" w:lineRule="auto"/>
        <w:ind w:firstLine="420" w:firstLineChars="200"/>
        <w:jc w:val="left"/>
        <w:rPr>
          <w:rFonts w:hAnsi="宋体" w:cs="宋体"/>
          <w:spacing w:val="0"/>
          <w:kern w:val="0"/>
          <w:sz w:val="21"/>
          <w:szCs w:val="21"/>
        </w:rPr>
      </w:pPr>
      <w:r>
        <w:rPr>
          <w:rFonts w:hint="eastAsia" w:hAnsi="宋体" w:cs="宋体"/>
          <w:spacing w:val="0"/>
          <w:sz w:val="21"/>
          <w:szCs w:val="21"/>
        </w:rPr>
        <w:t>1.供应商</w:t>
      </w:r>
      <w:r>
        <w:rPr>
          <w:rFonts w:hint="eastAsia" w:hAnsi="宋体" w:cs="宋体"/>
          <w:spacing w:val="0"/>
          <w:kern w:val="0"/>
          <w:sz w:val="21"/>
          <w:szCs w:val="21"/>
        </w:rPr>
        <w:t>认为磋商文件、磋商过程和成交结果使自己的</w:t>
      </w:r>
      <w:r>
        <w:rPr>
          <w:rFonts w:hint="eastAsia" w:hAnsi="宋体" w:cs="宋体"/>
          <w:bCs/>
          <w:spacing w:val="0"/>
          <w:kern w:val="0"/>
          <w:sz w:val="21"/>
          <w:szCs w:val="21"/>
        </w:rPr>
        <w:t>权益受到损害</w:t>
      </w:r>
      <w:r>
        <w:rPr>
          <w:rFonts w:hint="eastAsia" w:hAnsi="宋体" w:cs="宋体"/>
          <w:spacing w:val="0"/>
          <w:kern w:val="0"/>
          <w:sz w:val="21"/>
          <w:szCs w:val="21"/>
        </w:rPr>
        <w:t>的，可以在知道或者应知其权益受到损害之日起</w:t>
      </w:r>
      <w:r>
        <w:rPr>
          <w:rFonts w:hint="eastAsia" w:hAnsi="宋体" w:cs="宋体"/>
          <w:bCs/>
          <w:spacing w:val="0"/>
          <w:kern w:val="0"/>
          <w:sz w:val="21"/>
          <w:szCs w:val="21"/>
        </w:rPr>
        <w:t>七个工作日内</w:t>
      </w:r>
      <w:r>
        <w:rPr>
          <w:rFonts w:hint="eastAsia" w:hAnsi="宋体" w:cs="宋体"/>
          <w:spacing w:val="0"/>
          <w:kern w:val="0"/>
          <w:sz w:val="21"/>
          <w:szCs w:val="21"/>
        </w:rPr>
        <w:t>，以书面形式向采购人或采购代理机构提出质疑。质疑供应商对采购人、采购代理机构的答复不满意或者采购人、采购代理机构未在规定的时间内作出答复的，可以在</w:t>
      </w:r>
      <w:r>
        <w:rPr>
          <w:rFonts w:hint="eastAsia" w:hAnsi="宋体" w:cs="宋体"/>
          <w:bCs/>
          <w:spacing w:val="0"/>
          <w:kern w:val="0"/>
          <w:sz w:val="21"/>
          <w:szCs w:val="21"/>
        </w:rPr>
        <w:t>答复期满后十五个工作日内</w:t>
      </w:r>
      <w:r>
        <w:rPr>
          <w:rFonts w:hint="eastAsia" w:hAnsi="宋体" w:cs="宋体"/>
          <w:spacing w:val="0"/>
          <w:kern w:val="0"/>
          <w:sz w:val="21"/>
          <w:szCs w:val="21"/>
        </w:rPr>
        <w:t>向同级政府采购监督管理部门</w:t>
      </w:r>
      <w:r>
        <w:rPr>
          <w:rFonts w:hint="eastAsia" w:hAnsi="宋体" w:cs="宋体"/>
          <w:bCs/>
          <w:spacing w:val="0"/>
          <w:kern w:val="0"/>
          <w:sz w:val="21"/>
          <w:szCs w:val="21"/>
        </w:rPr>
        <w:t>投诉</w:t>
      </w:r>
      <w:r>
        <w:rPr>
          <w:rFonts w:hint="eastAsia" w:hAnsi="宋体" w:cs="宋体"/>
          <w:spacing w:val="0"/>
          <w:kern w:val="0"/>
          <w:sz w:val="21"/>
          <w:szCs w:val="21"/>
        </w:rPr>
        <w:t>。</w:t>
      </w:r>
    </w:p>
    <w:p>
      <w:pPr>
        <w:pStyle w:val="2"/>
        <w:spacing w:line="288" w:lineRule="auto"/>
        <w:ind w:firstLine="422" w:firstLineChars="200"/>
        <w:jc w:val="left"/>
        <w:rPr>
          <w:rFonts w:hAnsi="宋体" w:cs="宋体"/>
          <w:b/>
          <w:spacing w:val="0"/>
          <w:sz w:val="21"/>
          <w:szCs w:val="21"/>
        </w:rPr>
      </w:pPr>
      <w:r>
        <w:rPr>
          <w:rFonts w:hint="eastAsia" w:hAnsi="宋体" w:cs="宋体"/>
          <w:b/>
          <w:spacing w:val="0"/>
          <w:sz w:val="21"/>
          <w:szCs w:val="21"/>
        </w:rPr>
        <w:t>2.供应商提出质疑应当提交质疑函和必要的证明材料，质疑函范本请到“中国政府采购网下载专区”下载，质疑函应当包括下列内容：</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（一）供应商的姓名或者名称、地址、邮编、联系人及联系电话；</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（二）质疑项目的名称、编号；</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（三）具体、明确的质疑事项和与质疑事项相关的请求；</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（四）事实依据；</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（五）必要的法律依据；</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（六）提出质疑的日期。</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供应商为自然人的，应当由本人签字；供应商为法人或者其他组织的，应当由法定代表人、主要负责人，或者其授权代表签字或者盖章，并加盖公章。</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3.提出质疑的供应商应当是参与本项目响应活动的供应商。</w:t>
      </w:r>
      <w:r>
        <w:rPr>
          <w:rFonts w:hint="eastAsia" w:hAnsi="宋体" w:cs="宋体"/>
          <w:b/>
          <w:spacing w:val="0"/>
          <w:sz w:val="21"/>
          <w:szCs w:val="21"/>
        </w:rPr>
        <w:t>供应商在法定质疑期内应一次性提出针对同一采购程序环节的质疑。</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4.根据《政府采购质疑和投诉办法》第三十七条的规定，供应商在全国范围12个月内三次以上投诉查无实据的，由财政部门列入不良行为记录名单。</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投诉人有下列行为之一的，属于虚假、恶意投诉，由财政部门列入不良行为记录名单，禁止其1至3年内参加政府采购活动：</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（一）捏造事实；</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（二）提供虚假材料；</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（三）以非法手段取得证明材料。证据来源的合法性存在明显疑问，投诉人无法证明其取得方式合法的，视为以非法手段取得证明材料。</w:t>
      </w:r>
    </w:p>
    <w:p>
      <w:pPr>
        <w:pStyle w:val="6"/>
        <w:spacing w:before="0" w:beforeLines="0" w:after="0" w:afterLines="0" w:line="288" w:lineRule="auto"/>
        <w:jc w:val="center"/>
        <w:outlineLvl w:val="1"/>
        <w:rPr>
          <w:rFonts w:hAnsi="宋体" w:cs="宋体"/>
          <w:b/>
          <w:sz w:val="32"/>
          <w:szCs w:val="32"/>
        </w:rPr>
      </w:pPr>
      <w:r>
        <w:rPr>
          <w:rFonts w:hint="eastAsia" w:hAnsi="宋体" w:cs="宋体"/>
          <w:b/>
          <w:sz w:val="21"/>
          <w:szCs w:val="21"/>
        </w:rPr>
        <w:br w:type="page"/>
      </w:r>
      <w:r>
        <w:rPr>
          <w:rFonts w:hint="eastAsia" w:hAnsi="宋体" w:cs="宋体"/>
          <w:b/>
          <w:sz w:val="32"/>
          <w:szCs w:val="32"/>
        </w:rPr>
        <w:t>二、磋商文件</w:t>
      </w:r>
    </w:p>
    <w:p>
      <w:pPr>
        <w:spacing w:line="288" w:lineRule="auto"/>
        <w:jc w:val="left"/>
        <w:rPr>
          <w:rFonts w:ascii="宋体" w:hAnsi="宋体" w:cs="宋体"/>
          <w:b/>
          <w:sz w:val="24"/>
        </w:rPr>
      </w:pPr>
      <w:r>
        <w:rPr>
          <w:rFonts w:hint="eastAsia" w:ascii="宋体" w:hAnsi="宋体" w:cs="宋体"/>
          <w:b/>
          <w:sz w:val="24"/>
        </w:rPr>
        <w:t>（一） 磋商文件的构成。本磋商文件由以下部份组成：</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1.采购邀请</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2.采购需求</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3.供应商须知</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4.评审办法及评分标准</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5.合同主要条款</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6.响应文件格式</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7.本项目磋商文件的澄清、答复、修改、补充的内容</w:t>
      </w:r>
    </w:p>
    <w:p>
      <w:pPr>
        <w:spacing w:line="288" w:lineRule="auto"/>
        <w:jc w:val="left"/>
        <w:rPr>
          <w:rFonts w:ascii="宋体" w:hAnsi="宋体" w:cs="宋体"/>
          <w:sz w:val="24"/>
        </w:rPr>
      </w:pPr>
      <w:r>
        <w:rPr>
          <w:rFonts w:hint="eastAsia" w:ascii="宋体" w:hAnsi="宋体" w:cs="宋体"/>
          <w:b/>
          <w:sz w:val="24"/>
        </w:rPr>
        <w:t>（二） 供应商的风险</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供应商没有按照磋商文件要求提供全部资料，或者供应商没有对磋商文件在各方面作出实质性响应是供应商的风险，并可能导致其磋商响应被拒绝。</w:t>
      </w:r>
    </w:p>
    <w:p>
      <w:pPr>
        <w:spacing w:line="288" w:lineRule="auto"/>
        <w:jc w:val="left"/>
        <w:rPr>
          <w:rFonts w:ascii="宋体" w:hAnsi="宋体" w:cs="宋体"/>
          <w:b/>
          <w:sz w:val="24"/>
        </w:rPr>
      </w:pPr>
      <w:r>
        <w:rPr>
          <w:rFonts w:hint="eastAsia" w:ascii="宋体" w:hAnsi="宋体" w:cs="宋体"/>
          <w:b/>
          <w:sz w:val="24"/>
        </w:rPr>
        <w:t>（三） 磋商文件的澄清与修改</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3.磋商文件澄清、答复、修改、补充的内容为磋商文件的组成部分。当磋商文件与磋商文件的答复、澄清、修改、补充通知就同一内容的表述不一致时，以最后发出的书面形式文件为准。</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4.磋商文件的澄清、答复、修改或补充都应该通过本采购代理机构以法定形式发布，采购人非通过本机构，不得擅自澄清、答复、修改或补充磋商文件。</w:t>
      </w:r>
    </w:p>
    <w:p>
      <w:pPr>
        <w:pStyle w:val="6"/>
        <w:spacing w:before="0" w:beforeLines="0" w:after="0" w:afterLines="0" w:line="288" w:lineRule="auto"/>
        <w:jc w:val="center"/>
        <w:outlineLvl w:val="1"/>
        <w:rPr>
          <w:rFonts w:hAnsi="宋体" w:cs="宋体"/>
          <w:b/>
          <w:sz w:val="32"/>
          <w:szCs w:val="32"/>
        </w:rPr>
      </w:pPr>
      <w:r>
        <w:rPr>
          <w:rFonts w:hint="eastAsia" w:hAnsi="宋体" w:cs="宋体"/>
          <w:sz w:val="21"/>
          <w:szCs w:val="21"/>
        </w:rPr>
        <w:br w:type="page"/>
      </w:r>
      <w:r>
        <w:rPr>
          <w:rFonts w:hint="eastAsia" w:hAnsi="宋体" w:cs="宋体"/>
          <w:b/>
          <w:sz w:val="32"/>
          <w:szCs w:val="32"/>
        </w:rPr>
        <w:t>三、响应文件的编制</w:t>
      </w:r>
    </w:p>
    <w:p>
      <w:pPr>
        <w:spacing w:line="288" w:lineRule="auto"/>
        <w:jc w:val="left"/>
        <w:rPr>
          <w:rFonts w:ascii="宋体" w:hAnsi="宋体" w:cs="宋体"/>
          <w:b/>
          <w:sz w:val="24"/>
        </w:rPr>
      </w:pPr>
      <w:r>
        <w:rPr>
          <w:rFonts w:hint="eastAsia" w:ascii="宋体" w:hAnsi="宋体" w:cs="宋体"/>
          <w:b/>
          <w:sz w:val="24"/>
        </w:rPr>
        <w:t>（一）响应文件的组成</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响应文件由</w:t>
      </w:r>
      <w:r>
        <w:rPr>
          <w:rFonts w:hint="eastAsia" w:hAnsi="宋体" w:cs="宋体"/>
          <w:b/>
          <w:spacing w:val="0"/>
          <w:sz w:val="21"/>
          <w:szCs w:val="21"/>
        </w:rPr>
        <w:t>报价文件、资格文件、商务技术文件</w:t>
      </w:r>
      <w:r>
        <w:rPr>
          <w:rFonts w:hint="eastAsia" w:hAnsi="宋体" w:cs="宋体"/>
          <w:spacing w:val="0"/>
          <w:sz w:val="21"/>
          <w:szCs w:val="21"/>
        </w:rPr>
        <w:t>三部分组成（格式详见磋商文件第六章）。</w:t>
      </w:r>
    </w:p>
    <w:p>
      <w:pPr>
        <w:spacing w:line="288" w:lineRule="auto"/>
        <w:ind w:firstLine="422" w:firstLineChars="200"/>
        <w:jc w:val="left"/>
        <w:rPr>
          <w:rFonts w:ascii="宋体" w:hAnsi="宋体" w:cs="宋体"/>
          <w:b/>
          <w:szCs w:val="21"/>
        </w:rPr>
      </w:pPr>
      <w:r>
        <w:rPr>
          <w:rFonts w:hint="eastAsia" w:ascii="宋体" w:hAnsi="宋体" w:cs="宋体"/>
          <w:b/>
          <w:szCs w:val="21"/>
        </w:rPr>
        <w:t>1.报价文件：</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（1）初次报价一览表</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（2）报价明细表</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（3）中小企业声明函</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（4）监狱企业资格证明材料（若属于监狱企业）</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（5）</w:t>
      </w:r>
      <w:bookmarkStart w:id="30" w:name="OLE_LINK14"/>
      <w:bookmarkStart w:id="31" w:name="OLE_LINK13"/>
      <w:r>
        <w:rPr>
          <w:rFonts w:hint="eastAsia" w:hAnsi="宋体" w:cs="宋体"/>
          <w:spacing w:val="0"/>
          <w:sz w:val="21"/>
          <w:szCs w:val="21"/>
        </w:rPr>
        <w:t>残疾人福利性单位声明函</w:t>
      </w:r>
      <w:bookmarkEnd w:id="30"/>
      <w:bookmarkEnd w:id="31"/>
      <w:r>
        <w:rPr>
          <w:rFonts w:hint="eastAsia" w:hAnsi="宋体" w:cs="宋体"/>
          <w:spacing w:val="0"/>
          <w:sz w:val="21"/>
          <w:szCs w:val="21"/>
        </w:rPr>
        <w:t>（若属于残疾人福利性单位）</w:t>
      </w:r>
    </w:p>
    <w:p>
      <w:pPr>
        <w:spacing w:line="288" w:lineRule="auto"/>
        <w:ind w:firstLine="422" w:firstLineChars="200"/>
        <w:jc w:val="left"/>
        <w:rPr>
          <w:rFonts w:ascii="宋体" w:hAnsi="宋体" w:cs="宋体"/>
          <w:b/>
          <w:bCs/>
          <w:szCs w:val="21"/>
        </w:rPr>
      </w:pPr>
      <w:r>
        <w:rPr>
          <w:rFonts w:hint="eastAsia" w:ascii="宋体" w:hAnsi="宋体" w:cs="宋体"/>
          <w:b/>
          <w:bCs/>
          <w:szCs w:val="21"/>
        </w:rPr>
        <w:t>▲2.资格文件</w:t>
      </w:r>
    </w:p>
    <w:p>
      <w:pPr>
        <w:pStyle w:val="2"/>
        <w:spacing w:line="288" w:lineRule="auto"/>
        <w:ind w:firstLine="422" w:firstLineChars="200"/>
        <w:jc w:val="left"/>
        <w:rPr>
          <w:rFonts w:hAnsi="宋体" w:cs="宋体"/>
          <w:b/>
          <w:spacing w:val="0"/>
          <w:sz w:val="21"/>
          <w:szCs w:val="21"/>
        </w:rPr>
      </w:pPr>
      <w:r>
        <w:rPr>
          <w:rFonts w:hint="eastAsia" w:hAnsi="宋体" w:cs="宋体"/>
          <w:b/>
          <w:spacing w:val="0"/>
          <w:sz w:val="21"/>
          <w:szCs w:val="21"/>
        </w:rPr>
        <w:t>资格审查要求的资格证明材料(均需加盖公章)：</w:t>
      </w:r>
    </w:p>
    <w:p>
      <w:pPr>
        <w:spacing w:line="288" w:lineRule="auto"/>
        <w:ind w:firstLine="420" w:firstLineChars="200"/>
        <w:jc w:val="left"/>
        <w:rPr>
          <w:rFonts w:ascii="宋体" w:hAnsi="宋体" w:cs="宋体"/>
          <w:bCs/>
          <w:szCs w:val="21"/>
        </w:rPr>
      </w:pPr>
      <w:r>
        <w:rPr>
          <w:rFonts w:hint="eastAsia" w:ascii="宋体" w:hAnsi="宋体" w:cs="宋体"/>
          <w:bCs/>
          <w:szCs w:val="21"/>
        </w:rPr>
        <w:t>1）有效的法人或者其他组织的营业执照等证明文件，自然人的身份证明（仅自然人投标时提供）</w:t>
      </w:r>
    </w:p>
    <w:p>
      <w:pPr>
        <w:spacing w:line="288" w:lineRule="auto"/>
        <w:ind w:firstLine="420" w:firstLineChars="200"/>
        <w:jc w:val="left"/>
        <w:rPr>
          <w:rFonts w:ascii="宋体" w:hAnsi="宋体" w:cs="宋体"/>
          <w:bCs/>
          <w:szCs w:val="21"/>
        </w:rPr>
      </w:pPr>
      <w:r>
        <w:rPr>
          <w:rFonts w:hint="eastAsia" w:ascii="宋体" w:hAnsi="宋体" w:cs="宋体"/>
          <w:bCs/>
          <w:szCs w:val="21"/>
        </w:rPr>
        <w:t>2）2020年12月至今任意一月的财务状况报告或开标前三个月内出具的银行资信证明</w:t>
      </w:r>
    </w:p>
    <w:p>
      <w:pPr>
        <w:spacing w:line="288" w:lineRule="auto"/>
        <w:ind w:firstLine="420" w:firstLineChars="200"/>
        <w:jc w:val="left"/>
        <w:rPr>
          <w:rFonts w:ascii="宋体" w:hAnsi="宋体" w:cs="宋体"/>
          <w:bCs/>
          <w:szCs w:val="21"/>
        </w:rPr>
      </w:pPr>
      <w:r>
        <w:rPr>
          <w:rFonts w:hint="eastAsia" w:ascii="宋体" w:hAnsi="宋体" w:cs="宋体"/>
          <w:bCs/>
          <w:szCs w:val="21"/>
        </w:rPr>
        <w:t>3）2021年1月至今任意一月依法缴纳税收的证明材料（依法免税的供应商应提供相应文件证明其依法免税）</w:t>
      </w:r>
    </w:p>
    <w:p>
      <w:pPr>
        <w:spacing w:line="288" w:lineRule="auto"/>
        <w:ind w:firstLine="420" w:firstLineChars="200"/>
        <w:jc w:val="left"/>
        <w:rPr>
          <w:rFonts w:ascii="宋体" w:hAnsi="宋体" w:cs="宋体"/>
          <w:bCs/>
          <w:szCs w:val="21"/>
        </w:rPr>
      </w:pPr>
      <w:r>
        <w:rPr>
          <w:rFonts w:hint="eastAsia" w:ascii="宋体" w:hAnsi="宋体" w:cs="宋体"/>
          <w:bCs/>
          <w:szCs w:val="21"/>
        </w:rPr>
        <w:t>4）2021年1月至今任意一月依法缴纳社会保障资金的证明材料（依法不需要缴纳社会保障资金的供应商应提供相应文件证明其依法不需要缴纳社会保障资金）</w:t>
      </w:r>
    </w:p>
    <w:p>
      <w:pPr>
        <w:spacing w:line="288" w:lineRule="auto"/>
        <w:ind w:firstLine="420" w:firstLineChars="200"/>
        <w:jc w:val="left"/>
        <w:rPr>
          <w:rFonts w:ascii="宋体" w:hAnsi="宋体" w:cs="宋体"/>
          <w:bCs/>
          <w:szCs w:val="21"/>
        </w:rPr>
      </w:pPr>
      <w:r>
        <w:rPr>
          <w:rFonts w:hint="eastAsia" w:ascii="宋体" w:hAnsi="宋体" w:cs="宋体"/>
          <w:bCs/>
          <w:szCs w:val="21"/>
        </w:rPr>
        <w:t>5）具有履行合同所必需的设备和专业技术能力的承诺函</w:t>
      </w:r>
    </w:p>
    <w:p>
      <w:pPr>
        <w:spacing w:line="288" w:lineRule="auto"/>
        <w:ind w:firstLine="420" w:firstLineChars="200"/>
        <w:jc w:val="left"/>
        <w:rPr>
          <w:rFonts w:ascii="宋体" w:hAnsi="宋体" w:cs="宋体"/>
          <w:bCs/>
          <w:szCs w:val="21"/>
        </w:rPr>
      </w:pPr>
      <w:r>
        <w:rPr>
          <w:rFonts w:hint="eastAsia" w:ascii="宋体" w:hAnsi="宋体" w:cs="宋体"/>
          <w:bCs/>
          <w:szCs w:val="21"/>
        </w:rPr>
        <w:t>6）参加政府采购活动前3年内在经营活动中没有重大违法记录的书面声明</w:t>
      </w:r>
    </w:p>
    <w:p>
      <w:pPr>
        <w:spacing w:line="288" w:lineRule="auto"/>
        <w:ind w:firstLine="422" w:firstLineChars="200"/>
        <w:jc w:val="left"/>
        <w:rPr>
          <w:rFonts w:ascii="宋体" w:hAnsi="宋体" w:cs="宋体"/>
          <w:b/>
          <w:szCs w:val="21"/>
        </w:rPr>
      </w:pPr>
      <w:r>
        <w:rPr>
          <w:rFonts w:hint="eastAsia" w:ascii="宋体" w:hAnsi="宋体" w:cs="宋体"/>
          <w:b/>
          <w:szCs w:val="21"/>
        </w:rPr>
        <w:t>3.商务技术文件：</w:t>
      </w:r>
    </w:p>
    <w:p>
      <w:pPr>
        <w:spacing w:line="288" w:lineRule="auto"/>
        <w:ind w:firstLine="420" w:firstLineChars="200"/>
        <w:jc w:val="left"/>
        <w:rPr>
          <w:rFonts w:ascii="宋体" w:hAnsi="宋体" w:cs="宋体"/>
          <w:szCs w:val="21"/>
        </w:rPr>
      </w:pPr>
      <w:r>
        <w:rPr>
          <w:rFonts w:hint="eastAsia" w:ascii="宋体" w:hAnsi="宋体" w:cs="宋体"/>
          <w:szCs w:val="21"/>
        </w:rPr>
        <w:t>A.商务文件：</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（1）响应函</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（2）法定代表人资格证明书、法定代表人授权委托书</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（3）2021年1月至今任意一月供应商授权代表社保缴纳证明（授权代表是法定代表人的可不提供）</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（4）响应声明书</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（5）供应商情况介绍</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（6）商务偏离表</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（7）供应商同类项目实施情况一览表</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（8）节能环保产品证明材料</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w:t>
      </w:r>
      <w:r>
        <w:rPr>
          <w:rFonts w:hAnsi="宋体" w:cs="宋体"/>
          <w:spacing w:val="0"/>
          <w:sz w:val="21"/>
          <w:szCs w:val="21"/>
        </w:rPr>
        <w:t>9</w:t>
      </w:r>
      <w:r>
        <w:rPr>
          <w:rFonts w:hint="eastAsia" w:hAnsi="宋体" w:cs="宋体"/>
          <w:spacing w:val="0"/>
          <w:sz w:val="21"/>
          <w:szCs w:val="21"/>
        </w:rPr>
        <w:t>）供应商需要说明的其他文件和材料</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B.技术文件：</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（1）技术偏离表</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（2）服务方案</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（3）</w:t>
      </w:r>
      <w:r>
        <w:rPr>
          <w:rFonts w:hint="eastAsia" w:hAnsi="宋体" w:cs="宋体"/>
          <w:spacing w:val="-6"/>
          <w:sz w:val="21"/>
          <w:szCs w:val="21"/>
        </w:rPr>
        <w:t>进度安排</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w:t>
      </w:r>
      <w:r>
        <w:rPr>
          <w:rFonts w:hAnsi="宋体" w:cs="宋体"/>
          <w:spacing w:val="0"/>
          <w:sz w:val="21"/>
          <w:szCs w:val="21"/>
        </w:rPr>
        <w:t>4</w:t>
      </w:r>
      <w:r>
        <w:rPr>
          <w:rFonts w:hint="eastAsia" w:hAnsi="宋体" w:cs="宋体"/>
          <w:spacing w:val="0"/>
          <w:sz w:val="21"/>
          <w:szCs w:val="21"/>
        </w:rPr>
        <w:t>）重难点分析及解决措施</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w:t>
      </w:r>
      <w:r>
        <w:rPr>
          <w:rFonts w:hAnsi="宋体" w:cs="宋体"/>
          <w:spacing w:val="0"/>
          <w:sz w:val="21"/>
          <w:szCs w:val="21"/>
        </w:rPr>
        <w:t>5</w:t>
      </w:r>
      <w:r>
        <w:rPr>
          <w:rFonts w:hint="eastAsia" w:hAnsi="宋体" w:cs="宋体"/>
          <w:spacing w:val="0"/>
          <w:sz w:val="21"/>
          <w:szCs w:val="21"/>
        </w:rPr>
        <w:t>）</w:t>
      </w:r>
      <w:r>
        <w:rPr>
          <w:rFonts w:hint="eastAsia" w:hAnsi="宋体" w:cs="宋体"/>
          <w:sz w:val="21"/>
          <w:szCs w:val="21"/>
        </w:rPr>
        <w:t>制度保障</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w:t>
      </w:r>
      <w:r>
        <w:rPr>
          <w:rFonts w:hAnsi="宋体" w:cs="宋体"/>
          <w:spacing w:val="0"/>
          <w:sz w:val="21"/>
          <w:szCs w:val="21"/>
        </w:rPr>
        <w:t>6</w:t>
      </w:r>
      <w:r>
        <w:rPr>
          <w:rFonts w:hint="eastAsia" w:hAnsi="宋体" w:cs="宋体"/>
          <w:spacing w:val="0"/>
          <w:sz w:val="21"/>
          <w:szCs w:val="21"/>
        </w:rPr>
        <w:t>）</w:t>
      </w:r>
      <w:r>
        <w:rPr>
          <w:rFonts w:hint="eastAsia" w:hAnsi="宋体" w:cs="宋体"/>
          <w:sz w:val="21"/>
          <w:szCs w:val="21"/>
        </w:rPr>
        <w:t>拟投入设备</w:t>
      </w:r>
    </w:p>
    <w:p>
      <w:pPr>
        <w:pStyle w:val="2"/>
        <w:spacing w:line="288" w:lineRule="auto"/>
        <w:ind w:firstLine="420" w:firstLineChars="200"/>
        <w:jc w:val="left"/>
        <w:rPr>
          <w:rFonts w:hAnsi="宋体" w:cs="宋体"/>
          <w:spacing w:val="-6"/>
          <w:sz w:val="21"/>
          <w:szCs w:val="21"/>
        </w:rPr>
      </w:pPr>
      <w:r>
        <w:rPr>
          <w:rFonts w:hint="eastAsia" w:hAnsi="宋体" w:cs="宋体"/>
          <w:spacing w:val="0"/>
          <w:sz w:val="21"/>
          <w:szCs w:val="21"/>
        </w:rPr>
        <w:t>（</w:t>
      </w:r>
      <w:r>
        <w:rPr>
          <w:rFonts w:hAnsi="宋体" w:cs="宋体"/>
          <w:spacing w:val="0"/>
          <w:sz w:val="21"/>
          <w:szCs w:val="21"/>
        </w:rPr>
        <w:t>7</w:t>
      </w:r>
      <w:r>
        <w:rPr>
          <w:rFonts w:hint="eastAsia" w:hAnsi="宋体" w:cs="宋体"/>
          <w:spacing w:val="0"/>
          <w:sz w:val="21"/>
          <w:szCs w:val="21"/>
        </w:rPr>
        <w:t>）</w:t>
      </w:r>
      <w:r>
        <w:rPr>
          <w:rFonts w:hint="eastAsia" w:hAnsi="宋体" w:cs="宋体"/>
          <w:spacing w:val="-6"/>
          <w:sz w:val="21"/>
          <w:szCs w:val="21"/>
        </w:rPr>
        <w:t>服务团队</w:t>
      </w:r>
    </w:p>
    <w:p>
      <w:pPr>
        <w:pStyle w:val="2"/>
        <w:spacing w:line="288" w:lineRule="auto"/>
        <w:ind w:firstLine="396" w:firstLineChars="200"/>
        <w:jc w:val="left"/>
      </w:pPr>
      <w:r>
        <w:rPr>
          <w:rFonts w:hint="eastAsia" w:hAnsi="宋体" w:cs="宋体"/>
          <w:spacing w:val="-6"/>
          <w:sz w:val="21"/>
          <w:szCs w:val="21"/>
        </w:rPr>
        <w:t>（8）</w:t>
      </w:r>
      <w:r>
        <w:rPr>
          <w:rFonts w:hint="eastAsia" w:hAnsi="宋体" w:cs="宋体"/>
          <w:sz w:val="21"/>
          <w:szCs w:val="21"/>
          <w:lang w:bidi="ar"/>
        </w:rPr>
        <w:t>应急预案</w:t>
      </w:r>
    </w:p>
    <w:p>
      <w:pPr>
        <w:spacing w:line="288" w:lineRule="auto"/>
        <w:jc w:val="left"/>
        <w:rPr>
          <w:rFonts w:ascii="宋体" w:hAnsi="宋体" w:cs="宋体"/>
          <w:b/>
          <w:sz w:val="24"/>
        </w:rPr>
      </w:pPr>
      <w:r>
        <w:rPr>
          <w:rFonts w:hint="eastAsia" w:ascii="宋体" w:hAnsi="宋体" w:cs="宋体"/>
          <w:b/>
          <w:sz w:val="24"/>
        </w:rPr>
        <w:br w:type="page"/>
      </w:r>
      <w:r>
        <w:rPr>
          <w:rFonts w:hint="eastAsia" w:ascii="宋体" w:hAnsi="宋体" w:cs="宋体"/>
          <w:b/>
          <w:sz w:val="24"/>
        </w:rPr>
        <w:t>（二） 响应文件的签署和份数</w:t>
      </w:r>
    </w:p>
    <w:p>
      <w:pPr>
        <w:spacing w:line="288" w:lineRule="auto"/>
        <w:ind w:firstLine="420" w:firstLineChars="200"/>
        <w:jc w:val="left"/>
        <w:rPr>
          <w:rFonts w:ascii="宋体" w:hAnsi="宋体" w:cs="宋体"/>
          <w:b/>
          <w:bCs/>
          <w:szCs w:val="21"/>
        </w:rPr>
      </w:pPr>
      <w:r>
        <w:rPr>
          <w:rFonts w:hint="eastAsia" w:ascii="宋体" w:hAnsi="宋体" w:cs="宋体"/>
          <w:szCs w:val="21"/>
        </w:rPr>
        <w:t>1.供应商应按照磋商文件和政府采购云平台的要求，根据响应文件的组成规定的内容及顺序通过政采云电子交易客户端（政采云投标客户端）编制加密响应文件，响应文件内容不完整、编排混乱导致响应文件被误读、漏读或者查找不到相关内容的，是供应商的责任。</w:t>
      </w:r>
      <w:r>
        <w:rPr>
          <w:rFonts w:hint="eastAsia" w:ascii="宋体" w:hAnsi="宋体" w:cs="宋体"/>
          <w:b/>
          <w:bCs/>
          <w:szCs w:val="21"/>
        </w:rPr>
        <w:t>其中资格文件、商务技术文件中不得出现磋商响应报价，如因供应商原因提前泄露磋商响应报价，是供应商的责任。</w:t>
      </w:r>
    </w:p>
    <w:p>
      <w:pPr>
        <w:spacing w:line="288" w:lineRule="auto"/>
        <w:ind w:firstLine="420" w:firstLineChars="200"/>
        <w:jc w:val="left"/>
        <w:rPr>
          <w:rFonts w:ascii="宋体" w:hAnsi="宋体" w:cs="宋体"/>
          <w:szCs w:val="21"/>
        </w:rPr>
      </w:pPr>
      <w:r>
        <w:rPr>
          <w:rFonts w:hint="eastAsia" w:ascii="宋体" w:hAnsi="宋体" w:cs="宋体"/>
          <w:szCs w:val="21"/>
        </w:rPr>
        <w:t>2.响应文件须由供应商在规定位置加盖公章并由供应商授权代表签署，供应商应写全称。</w:t>
      </w:r>
    </w:p>
    <w:p>
      <w:pPr>
        <w:spacing w:line="288" w:lineRule="auto"/>
        <w:ind w:firstLine="420" w:firstLineChars="200"/>
        <w:jc w:val="left"/>
        <w:rPr>
          <w:rFonts w:ascii="宋体" w:hAnsi="宋体" w:cs="宋体"/>
          <w:szCs w:val="21"/>
        </w:rPr>
      </w:pPr>
      <w:r>
        <w:rPr>
          <w:rFonts w:hint="eastAsia" w:ascii="宋体" w:hAnsi="宋体" w:cs="宋体"/>
          <w:szCs w:val="21"/>
        </w:rPr>
        <w:t>3.响应文件不得涂改，若有修改错漏处，须由供应商授权代表签字并加盖公章。响应文件因字迹潦草或表达不清所引起的后果由供应商负责。</w:t>
      </w:r>
    </w:p>
    <w:p>
      <w:pPr>
        <w:spacing w:line="288" w:lineRule="auto"/>
        <w:ind w:firstLine="422" w:firstLineChars="200"/>
        <w:jc w:val="left"/>
        <w:rPr>
          <w:rFonts w:ascii="宋体" w:hAnsi="宋体" w:cs="宋体"/>
          <w:b/>
          <w:bCs/>
          <w:szCs w:val="21"/>
        </w:rPr>
      </w:pPr>
      <w:r>
        <w:rPr>
          <w:rFonts w:hint="eastAsia" w:ascii="宋体" w:hAnsi="宋体" w:cs="宋体"/>
          <w:b/>
          <w:bCs/>
          <w:szCs w:val="21"/>
        </w:rPr>
        <w:t xml:space="preserve">4.响应文件份数： </w:t>
      </w:r>
    </w:p>
    <w:p>
      <w:pPr>
        <w:spacing w:line="288" w:lineRule="auto"/>
        <w:ind w:firstLine="422" w:firstLineChars="200"/>
        <w:jc w:val="left"/>
        <w:rPr>
          <w:rFonts w:ascii="宋体" w:hAnsi="宋体" w:cs="宋体"/>
          <w:b/>
          <w:bCs/>
          <w:szCs w:val="21"/>
        </w:rPr>
      </w:pPr>
      <w:r>
        <w:rPr>
          <w:rFonts w:hint="eastAsia" w:ascii="宋体" w:hAnsi="宋体" w:cs="宋体"/>
          <w:b/>
          <w:bCs/>
          <w:szCs w:val="21"/>
        </w:rPr>
        <w:t>电子加密响应文件：政府采购云平台在线上传一份；备份响应文件（如有）以介质（U盘）存储的数据电文形式：密封包装后EMS或顺丰邮寄形式递交一份（邮寄地址：杭州市西湖区振华路298号西港发展中心7幢7楼 浙江建友工程咨询有限公司徐梦遥收）。</w:t>
      </w:r>
    </w:p>
    <w:p>
      <w:pPr>
        <w:spacing w:line="288" w:lineRule="auto"/>
        <w:ind w:firstLine="420" w:firstLineChars="200"/>
        <w:jc w:val="left"/>
        <w:rPr>
          <w:rFonts w:ascii="宋体" w:hAnsi="宋体" w:cs="宋体"/>
          <w:szCs w:val="21"/>
        </w:rPr>
      </w:pPr>
      <w:r>
        <w:rPr>
          <w:rFonts w:hint="eastAsia" w:ascii="宋体" w:hAnsi="宋体" w:cs="宋体"/>
          <w:szCs w:val="21"/>
        </w:rPr>
        <w:t>资格、报价、商务技术文件分别编制并合订成一册，内容需与电子加密文件保持一致，</w:t>
      </w:r>
      <w:r>
        <w:rPr>
          <w:rFonts w:hint="eastAsia" w:ascii="宋体" w:hAnsi="宋体" w:cs="宋体"/>
          <w:b/>
          <w:bCs/>
          <w:szCs w:val="21"/>
        </w:rPr>
        <w:t>在响应截止时间之前密封包装后EMS或顺丰邮寄形式递交（邮寄地址：杭州市西湖区振华路298号西港发展中心7幢7楼 浙江建友工程咨询有限公司徐梦遥收）</w:t>
      </w:r>
      <w:r>
        <w:rPr>
          <w:rFonts w:hint="eastAsia" w:ascii="宋体" w:hAnsi="宋体" w:cs="宋体"/>
          <w:szCs w:val="21"/>
        </w:rPr>
        <w:t>。</w:t>
      </w:r>
    </w:p>
    <w:p>
      <w:pPr>
        <w:spacing w:line="288" w:lineRule="auto"/>
        <w:ind w:firstLine="422" w:firstLineChars="200"/>
        <w:jc w:val="left"/>
        <w:rPr>
          <w:rFonts w:ascii="宋体" w:hAnsi="宋体" w:cs="宋体"/>
          <w:b/>
          <w:bCs/>
          <w:szCs w:val="21"/>
        </w:rPr>
      </w:pPr>
      <w:r>
        <w:rPr>
          <w:rFonts w:hint="eastAsia" w:ascii="宋体" w:hAnsi="宋体" w:cs="宋体"/>
          <w:b/>
          <w:bCs/>
          <w:szCs w:val="21"/>
        </w:rPr>
        <w:t>备注：</w:t>
      </w:r>
    </w:p>
    <w:p>
      <w:pPr>
        <w:spacing w:line="288" w:lineRule="auto"/>
        <w:ind w:firstLine="422" w:firstLineChars="200"/>
        <w:jc w:val="left"/>
        <w:rPr>
          <w:rFonts w:ascii="宋体" w:hAnsi="宋体" w:cs="宋体"/>
          <w:b/>
          <w:sz w:val="24"/>
        </w:rPr>
      </w:pPr>
      <w:r>
        <w:rPr>
          <w:rFonts w:hint="eastAsia" w:ascii="宋体" w:hAnsi="宋体" w:cs="宋体"/>
          <w:b/>
          <w:bCs/>
          <w:szCs w:val="21"/>
        </w:rPr>
        <w:t>供应商可通过浙江省“电子交易/不见面开评标”学习专题提前进行专题学习，熟悉操作，避免影响采购活动（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Fonts w:hint="eastAsia" w:ascii="宋体" w:hAnsi="宋体" w:cs="宋体"/>
          <w:b/>
          <w:bCs/>
          <w:szCs w:val="21"/>
        </w:rPr>
        <w:t>https://edu.zcygov.cn/luban/e-biding</w:t>
      </w:r>
      <w:r>
        <w:rPr>
          <w:rFonts w:hint="eastAsia" w:ascii="宋体" w:hAnsi="宋体" w:cs="宋体"/>
          <w:b/>
          <w:bCs/>
          <w:szCs w:val="21"/>
        </w:rPr>
        <w:fldChar w:fldCharType="end"/>
      </w:r>
      <w:r>
        <w:rPr>
          <w:rFonts w:hint="eastAsia" w:ascii="宋体" w:hAnsi="宋体" w:cs="宋体"/>
          <w:b/>
          <w:bCs/>
          <w:szCs w:val="21"/>
        </w:rPr>
        <w:t>）。</w:t>
      </w:r>
    </w:p>
    <w:p>
      <w:pPr>
        <w:spacing w:line="288" w:lineRule="auto"/>
        <w:jc w:val="left"/>
        <w:rPr>
          <w:rFonts w:ascii="宋体" w:hAnsi="宋体" w:cs="宋体"/>
          <w:b/>
          <w:sz w:val="24"/>
        </w:rPr>
      </w:pPr>
      <w:r>
        <w:rPr>
          <w:rFonts w:hint="eastAsia" w:ascii="宋体" w:hAnsi="宋体" w:cs="宋体"/>
          <w:b/>
          <w:sz w:val="24"/>
        </w:rPr>
        <w:t>（三） 响应文件的上传、递交、修改和撤回</w:t>
      </w:r>
    </w:p>
    <w:p>
      <w:pPr>
        <w:spacing w:line="288" w:lineRule="auto"/>
        <w:ind w:firstLine="420" w:firstLineChars="200"/>
        <w:jc w:val="left"/>
        <w:rPr>
          <w:rFonts w:ascii="宋体" w:hAnsi="宋体" w:cs="宋体"/>
          <w:szCs w:val="21"/>
        </w:rPr>
      </w:pPr>
      <w:r>
        <w:rPr>
          <w:rFonts w:hint="eastAsia" w:ascii="宋体" w:hAnsi="宋体" w:cs="宋体"/>
          <w:szCs w:val="21"/>
        </w:rPr>
        <w:t>1.响应文件的上传、递交：</w:t>
      </w:r>
    </w:p>
    <w:p>
      <w:pPr>
        <w:spacing w:line="288" w:lineRule="auto"/>
        <w:ind w:firstLine="420" w:firstLineChars="200"/>
        <w:jc w:val="left"/>
        <w:rPr>
          <w:rFonts w:ascii="宋体" w:hAnsi="宋体" w:cs="宋体"/>
          <w:szCs w:val="21"/>
        </w:rPr>
      </w:pPr>
      <w:r>
        <w:rPr>
          <w:rFonts w:hint="eastAsia" w:ascii="宋体" w:hAnsi="宋体" w:cs="宋体"/>
          <w:szCs w:val="21"/>
        </w:rPr>
        <w:t>（1）电子加密响应文件的上传：</w:t>
      </w:r>
    </w:p>
    <w:p>
      <w:pPr>
        <w:spacing w:line="288" w:lineRule="auto"/>
        <w:ind w:firstLine="420" w:firstLineChars="200"/>
        <w:jc w:val="left"/>
        <w:rPr>
          <w:rFonts w:ascii="宋体" w:hAnsi="宋体" w:cs="宋体"/>
          <w:szCs w:val="21"/>
        </w:rPr>
      </w:pPr>
      <w:r>
        <w:rPr>
          <w:rFonts w:hint="eastAsia" w:ascii="宋体" w:hAnsi="宋体" w:cs="宋体"/>
          <w:szCs w:val="21"/>
        </w:rPr>
        <w:t>▲a.供应商应在响应文件提交截止时间前将电子加密响应文件成功上传至政府采购云平台，否则磋商响应无效；</w:t>
      </w:r>
    </w:p>
    <w:p>
      <w:pPr>
        <w:spacing w:line="288" w:lineRule="auto"/>
        <w:ind w:firstLine="420" w:firstLineChars="200"/>
        <w:jc w:val="left"/>
        <w:rPr>
          <w:rFonts w:ascii="宋体" w:hAnsi="宋体" w:cs="宋体"/>
          <w:szCs w:val="21"/>
        </w:rPr>
      </w:pPr>
      <w:r>
        <w:rPr>
          <w:rFonts w:hint="eastAsia" w:ascii="宋体" w:hAnsi="宋体" w:cs="宋体"/>
          <w:szCs w:val="21"/>
        </w:rPr>
        <w:t>b.电子加密响应文件成功上传后，供应商可自行打印响应文件接收回执。</w:t>
      </w:r>
    </w:p>
    <w:p>
      <w:pPr>
        <w:spacing w:line="288" w:lineRule="auto"/>
        <w:ind w:firstLine="420" w:firstLineChars="200"/>
        <w:jc w:val="left"/>
        <w:rPr>
          <w:rFonts w:ascii="宋体" w:hAnsi="宋体" w:cs="宋体"/>
          <w:szCs w:val="21"/>
        </w:rPr>
      </w:pPr>
      <w:r>
        <w:rPr>
          <w:rFonts w:hint="eastAsia" w:ascii="宋体" w:hAnsi="宋体" w:cs="宋体"/>
          <w:szCs w:val="21"/>
        </w:rPr>
        <w:t>（2）备份响应文件的密封包装、递交：</w:t>
      </w:r>
    </w:p>
    <w:p>
      <w:pPr>
        <w:spacing w:line="288" w:lineRule="auto"/>
        <w:ind w:firstLine="420" w:firstLineChars="200"/>
        <w:jc w:val="left"/>
        <w:rPr>
          <w:rFonts w:ascii="宋体" w:hAnsi="宋体" w:cs="宋体"/>
          <w:szCs w:val="21"/>
        </w:rPr>
      </w:pPr>
      <w:r>
        <w:rPr>
          <w:rFonts w:hint="eastAsia" w:ascii="宋体" w:hAnsi="宋体" w:cs="宋体"/>
          <w:szCs w:val="21"/>
        </w:rPr>
        <w:t>a.供应商在政府采购云平台完成电子加密响应文件的上传后，可以EMS或顺丰邮寄形式在响应文件提交截止时间前递交以介质（U盘）存储的数据电文形式的备份响应文件；</w:t>
      </w:r>
    </w:p>
    <w:p>
      <w:pPr>
        <w:spacing w:line="288" w:lineRule="auto"/>
        <w:ind w:firstLine="420" w:firstLineChars="200"/>
        <w:jc w:val="left"/>
        <w:rPr>
          <w:rFonts w:ascii="宋体" w:hAnsi="宋体" w:cs="宋体"/>
          <w:szCs w:val="21"/>
        </w:rPr>
      </w:pPr>
      <w:r>
        <w:rPr>
          <w:rFonts w:hint="eastAsia" w:ascii="宋体" w:hAnsi="宋体" w:cs="宋体"/>
          <w:szCs w:val="21"/>
        </w:rPr>
        <w:t>b.备份响应文件应当密封包装并在包装上标注项目名称、供应商名称并加盖公章</w:t>
      </w:r>
      <w:r>
        <w:rPr>
          <w:rFonts w:hint="eastAsia" w:ascii="宋体" w:hAnsi="宋体" w:cs="宋体"/>
          <w:b/>
          <w:bCs/>
          <w:szCs w:val="21"/>
        </w:rPr>
        <w:t>（非电子签章）</w:t>
      </w:r>
      <w:r>
        <w:rPr>
          <w:rFonts w:hint="eastAsia" w:ascii="宋体" w:hAnsi="宋体" w:cs="宋体"/>
          <w:szCs w:val="21"/>
        </w:rPr>
        <w:t>，供应商逾期送达或者未密封包装的备份响应文件采购代理机构将予以拒收；</w:t>
      </w:r>
    </w:p>
    <w:p>
      <w:pPr>
        <w:spacing w:line="288" w:lineRule="auto"/>
        <w:ind w:firstLine="420" w:firstLineChars="200"/>
        <w:jc w:val="left"/>
        <w:rPr>
          <w:rFonts w:ascii="宋体" w:hAnsi="宋体" w:cs="宋体"/>
          <w:szCs w:val="21"/>
        </w:rPr>
      </w:pPr>
      <w:r>
        <w:rPr>
          <w:rFonts w:hint="eastAsia" w:ascii="宋体" w:hAnsi="宋体" w:cs="宋体"/>
          <w:szCs w:val="21"/>
        </w:rPr>
        <w:t>▲c.通过政府采购云平台成功上传的电子加密响应文件已按时解密的，备份响应文件自动失效。响应文件提交截止时间前，供应商仅递交备份响应文件而未将电子加密响应文件成功上传至政府采购云平台的，磋商响应无效。</w:t>
      </w:r>
    </w:p>
    <w:p>
      <w:pPr>
        <w:spacing w:line="288" w:lineRule="auto"/>
        <w:ind w:firstLine="420" w:firstLineChars="200"/>
        <w:jc w:val="left"/>
        <w:rPr>
          <w:rFonts w:ascii="宋体" w:hAnsi="宋体" w:cs="宋体"/>
          <w:szCs w:val="21"/>
        </w:rPr>
      </w:pPr>
      <w:r>
        <w:rPr>
          <w:rFonts w:hint="eastAsia" w:ascii="宋体" w:hAnsi="宋体" w:cs="宋体"/>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spacing w:line="288" w:lineRule="auto"/>
        <w:ind w:firstLine="422" w:firstLineChars="200"/>
        <w:jc w:val="left"/>
        <w:rPr>
          <w:rFonts w:ascii="宋体" w:hAnsi="宋体" w:cs="宋体"/>
          <w:b/>
          <w:bCs/>
          <w:szCs w:val="21"/>
        </w:rPr>
      </w:pPr>
      <w:r>
        <w:rPr>
          <w:rFonts w:hint="eastAsia" w:ascii="宋体" w:hAnsi="宋体" w:cs="宋体"/>
          <w:b/>
          <w:bCs/>
          <w:szCs w:val="21"/>
        </w:rPr>
        <w:t>备注：</w:t>
      </w:r>
    </w:p>
    <w:p>
      <w:pPr>
        <w:spacing w:line="288" w:lineRule="auto"/>
        <w:ind w:firstLine="422" w:firstLineChars="200"/>
        <w:rPr>
          <w:rFonts w:ascii="宋体" w:hAnsi="宋体" w:cs="宋体"/>
          <w:szCs w:val="21"/>
        </w:rPr>
      </w:pPr>
      <w:r>
        <w:rPr>
          <w:rFonts w:hint="eastAsia" w:ascii="宋体" w:hAnsi="宋体" w:cs="宋体"/>
          <w:b/>
          <w:bCs/>
          <w:szCs w:val="21"/>
        </w:rPr>
        <w:t>供应商可通过浙江省“电子交易/不见面开评标”学习专题提前进行专题学习，熟悉操作，避免影响采购活动（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Fonts w:hint="eastAsia" w:ascii="宋体" w:hAnsi="宋体" w:cs="宋体"/>
          <w:b/>
          <w:bCs/>
          <w:szCs w:val="21"/>
        </w:rPr>
        <w:t>https://edu.zcygov.cn/luban/e-biding</w:t>
      </w:r>
      <w:r>
        <w:rPr>
          <w:rFonts w:hint="eastAsia" w:ascii="宋体" w:hAnsi="宋体" w:cs="宋体"/>
          <w:b/>
          <w:bCs/>
          <w:szCs w:val="21"/>
        </w:rPr>
        <w:fldChar w:fldCharType="end"/>
      </w:r>
      <w:r>
        <w:rPr>
          <w:rFonts w:hint="eastAsia" w:ascii="宋体" w:hAnsi="宋体" w:cs="宋体"/>
          <w:b/>
          <w:bCs/>
          <w:szCs w:val="21"/>
        </w:rPr>
        <w:t>）。</w:t>
      </w:r>
    </w:p>
    <w:p>
      <w:pPr>
        <w:spacing w:line="288" w:lineRule="auto"/>
        <w:jc w:val="left"/>
        <w:rPr>
          <w:rFonts w:ascii="宋体" w:hAnsi="宋体" w:cs="宋体"/>
          <w:sz w:val="24"/>
        </w:rPr>
      </w:pPr>
      <w:r>
        <w:rPr>
          <w:rFonts w:hint="eastAsia" w:ascii="宋体" w:hAnsi="宋体" w:cs="宋体"/>
          <w:b/>
          <w:sz w:val="24"/>
        </w:rPr>
        <w:t>（四） 响应文件的语言及计量</w:t>
      </w:r>
    </w:p>
    <w:p>
      <w:pPr>
        <w:spacing w:line="288" w:lineRule="auto"/>
        <w:ind w:firstLine="420" w:firstLineChars="200"/>
        <w:jc w:val="left"/>
        <w:rPr>
          <w:rFonts w:ascii="宋体" w:hAnsi="宋体" w:cs="宋体"/>
          <w:szCs w:val="21"/>
        </w:rPr>
      </w:pPr>
      <w:r>
        <w:rPr>
          <w:rFonts w:hint="eastAsia" w:ascii="宋体" w:hAnsi="宋体" w:cs="宋体"/>
          <w:szCs w:val="21"/>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pPr>
        <w:spacing w:line="288" w:lineRule="auto"/>
        <w:jc w:val="left"/>
        <w:rPr>
          <w:rFonts w:ascii="宋体" w:hAnsi="宋体" w:cs="宋体"/>
          <w:sz w:val="24"/>
        </w:rPr>
      </w:pPr>
      <w:r>
        <w:rPr>
          <w:rFonts w:hint="eastAsia" w:ascii="宋体" w:hAnsi="宋体" w:cs="宋体"/>
          <w:b/>
          <w:sz w:val="24"/>
        </w:rPr>
        <w:t>（五） 磋商响应报价</w:t>
      </w:r>
    </w:p>
    <w:p>
      <w:pPr>
        <w:pStyle w:val="6"/>
        <w:spacing w:before="0" w:beforeLines="0" w:after="0" w:afterLines="0" w:line="288" w:lineRule="auto"/>
        <w:ind w:firstLine="422" w:firstLineChars="200"/>
        <w:jc w:val="left"/>
        <w:rPr>
          <w:rFonts w:hAnsi="宋体" w:cs="宋体"/>
          <w:b/>
          <w:sz w:val="21"/>
          <w:szCs w:val="21"/>
        </w:rPr>
      </w:pPr>
      <w:r>
        <w:rPr>
          <w:rFonts w:hint="eastAsia" w:hAnsi="宋体" w:cs="宋体"/>
          <w:b/>
          <w:sz w:val="21"/>
          <w:szCs w:val="21"/>
        </w:rPr>
        <w:t>1.本项目采用人民币报价。</w:t>
      </w:r>
    </w:p>
    <w:p>
      <w:pPr>
        <w:pStyle w:val="6"/>
        <w:spacing w:before="0" w:beforeLines="0" w:after="0" w:afterLines="0" w:line="288" w:lineRule="auto"/>
        <w:ind w:firstLine="420" w:firstLineChars="200"/>
        <w:jc w:val="left"/>
        <w:rPr>
          <w:rFonts w:hAnsi="宋体" w:cs="宋体"/>
          <w:sz w:val="21"/>
          <w:szCs w:val="21"/>
        </w:rPr>
      </w:pPr>
      <w:r>
        <w:rPr>
          <w:rFonts w:hint="eastAsia" w:hAnsi="宋体" w:cs="宋体"/>
          <w:sz w:val="21"/>
          <w:szCs w:val="21"/>
        </w:rPr>
        <w:t>2.磋商响应报价应按磋商文件中相关附表格式填写。</w:t>
      </w:r>
    </w:p>
    <w:p>
      <w:pPr>
        <w:pStyle w:val="6"/>
        <w:spacing w:before="0" w:beforeLines="0" w:after="0" w:afterLines="0" w:line="288" w:lineRule="auto"/>
        <w:ind w:firstLine="420" w:firstLineChars="200"/>
        <w:jc w:val="left"/>
        <w:rPr>
          <w:rFonts w:hAnsi="宋体" w:cs="宋体"/>
          <w:sz w:val="21"/>
          <w:szCs w:val="21"/>
        </w:rPr>
      </w:pPr>
      <w:r>
        <w:rPr>
          <w:rFonts w:hint="eastAsia" w:hAnsi="宋体" w:cs="宋体"/>
          <w:sz w:val="21"/>
          <w:szCs w:val="21"/>
        </w:rPr>
        <w:t>3.最后磋商报价是履行合同的最终价格，应包括完成所有产品供货及履行所有规定服务所产生的全部费用。</w:t>
      </w:r>
    </w:p>
    <w:p>
      <w:pPr>
        <w:pStyle w:val="4"/>
        <w:numPr>
          <w:ilvl w:val="0"/>
          <w:numId w:val="0"/>
        </w:numPr>
        <w:tabs>
          <w:tab w:val="left" w:pos="454"/>
          <w:tab w:val="left" w:pos="720"/>
        </w:tabs>
        <w:spacing w:line="288" w:lineRule="auto"/>
        <w:ind w:left="301" w:hanging="301" w:hangingChars="143"/>
        <w:rPr>
          <w:rFonts w:ascii="宋体" w:hAnsi="宋体" w:cs="宋体"/>
          <w:b/>
        </w:rPr>
      </w:pPr>
      <w:r>
        <w:rPr>
          <w:rFonts w:hint="eastAsia" w:ascii="宋体" w:hAnsi="宋体" w:cs="宋体"/>
          <w:b/>
        </w:rPr>
        <w:t>（六） 响应有效期</w:t>
      </w:r>
    </w:p>
    <w:p>
      <w:pPr>
        <w:pStyle w:val="6"/>
        <w:spacing w:before="0" w:beforeLines="0" w:after="0" w:afterLines="0" w:line="288" w:lineRule="auto"/>
        <w:ind w:firstLine="420" w:firstLineChars="200"/>
        <w:jc w:val="left"/>
        <w:rPr>
          <w:rFonts w:hAnsi="宋体" w:cs="宋体"/>
          <w:sz w:val="21"/>
          <w:szCs w:val="21"/>
        </w:rPr>
      </w:pPr>
      <w:r>
        <w:rPr>
          <w:rFonts w:hint="eastAsia" w:hAnsi="宋体" w:cs="宋体"/>
          <w:sz w:val="21"/>
          <w:szCs w:val="21"/>
        </w:rPr>
        <w:t>▲1.从提交响应文件的截止之日起算90天。</w:t>
      </w:r>
    </w:p>
    <w:p>
      <w:pPr>
        <w:pStyle w:val="6"/>
        <w:spacing w:before="0" w:beforeLines="0" w:after="0" w:afterLines="0" w:line="288" w:lineRule="auto"/>
        <w:ind w:firstLine="420" w:firstLineChars="200"/>
        <w:jc w:val="left"/>
        <w:rPr>
          <w:rFonts w:hAnsi="宋体" w:cs="宋体"/>
          <w:sz w:val="21"/>
          <w:szCs w:val="21"/>
        </w:rPr>
      </w:pPr>
      <w:r>
        <w:rPr>
          <w:rFonts w:hint="eastAsia" w:hAnsi="宋体" w:cs="宋体"/>
          <w:sz w:val="21"/>
          <w:szCs w:val="21"/>
        </w:rPr>
        <w:t>2.在原响应有效期满之前，如果出现特殊情况，采购人或采购代理机构以书面形式通知供应商延长响应有效期。</w:t>
      </w:r>
    </w:p>
    <w:p>
      <w:pPr>
        <w:spacing w:line="288" w:lineRule="auto"/>
        <w:rPr>
          <w:rFonts w:ascii="宋体" w:hAnsi="宋体" w:cs="宋体"/>
          <w:b/>
          <w:sz w:val="24"/>
        </w:rPr>
      </w:pPr>
      <w:r>
        <w:rPr>
          <w:rFonts w:hint="eastAsia" w:ascii="宋体" w:hAnsi="宋体" w:cs="宋体"/>
          <w:b/>
          <w:sz w:val="24"/>
        </w:rPr>
        <w:t>（七） 磋商响应无效的情形</w:t>
      </w:r>
    </w:p>
    <w:p>
      <w:pPr>
        <w:spacing w:line="288" w:lineRule="auto"/>
        <w:ind w:firstLine="422" w:firstLineChars="200"/>
        <w:rPr>
          <w:rFonts w:ascii="宋体" w:hAnsi="宋体" w:cs="宋体"/>
          <w:b/>
          <w:szCs w:val="21"/>
        </w:rPr>
      </w:pPr>
      <w:r>
        <w:rPr>
          <w:rFonts w:hint="eastAsia" w:ascii="宋体" w:hAnsi="宋体" w:cs="宋体"/>
          <w:b/>
          <w:szCs w:val="21"/>
        </w:rPr>
        <w:t>1.在资格审查时，如发现下列情形之一的，响应文件将被视为无效：</w:t>
      </w:r>
    </w:p>
    <w:p>
      <w:pPr>
        <w:spacing w:line="288" w:lineRule="auto"/>
        <w:ind w:firstLine="420" w:firstLineChars="200"/>
        <w:rPr>
          <w:rFonts w:ascii="宋体" w:hAnsi="宋体" w:cs="宋体"/>
          <w:szCs w:val="21"/>
        </w:rPr>
      </w:pPr>
      <w:r>
        <w:rPr>
          <w:rFonts w:hint="eastAsia" w:ascii="宋体" w:hAnsi="宋体" w:cs="宋体"/>
          <w:szCs w:val="21"/>
        </w:rPr>
        <w:t>（1）资格证明材料不全的，或者不符合磋商文件要求的；</w:t>
      </w:r>
    </w:p>
    <w:p>
      <w:pPr>
        <w:spacing w:line="288" w:lineRule="auto"/>
        <w:ind w:firstLine="420" w:firstLineChars="200"/>
        <w:rPr>
          <w:rFonts w:ascii="宋体" w:hAnsi="宋体" w:cs="宋体"/>
          <w:szCs w:val="21"/>
        </w:rPr>
      </w:pPr>
      <w:r>
        <w:rPr>
          <w:rFonts w:hint="eastAsia" w:ascii="宋体" w:hAnsi="宋体" w:cs="宋体"/>
          <w:szCs w:val="21"/>
        </w:rPr>
        <w:t>（2）供应商不具备磋商文件中规定的资格要求的；</w:t>
      </w:r>
    </w:p>
    <w:p>
      <w:pPr>
        <w:spacing w:line="288" w:lineRule="auto"/>
        <w:ind w:firstLine="420" w:firstLineChars="200"/>
        <w:rPr>
          <w:rFonts w:ascii="宋体" w:hAnsi="宋体" w:cs="宋体"/>
          <w:szCs w:val="21"/>
        </w:rPr>
      </w:pPr>
      <w:r>
        <w:rPr>
          <w:rFonts w:hint="eastAsia" w:ascii="宋体" w:hAnsi="宋体" w:cs="宋体"/>
          <w:szCs w:val="21"/>
        </w:rPr>
        <w:t>（3）经查询存在不良信用记录的。</w:t>
      </w:r>
    </w:p>
    <w:p>
      <w:pPr>
        <w:spacing w:line="288" w:lineRule="auto"/>
        <w:ind w:firstLine="422" w:firstLineChars="200"/>
        <w:rPr>
          <w:rFonts w:ascii="宋体" w:hAnsi="宋体" w:cs="宋体"/>
          <w:b/>
          <w:szCs w:val="21"/>
        </w:rPr>
      </w:pPr>
      <w:r>
        <w:rPr>
          <w:rFonts w:hint="eastAsia" w:ascii="宋体" w:hAnsi="宋体" w:cs="宋体"/>
          <w:b/>
          <w:szCs w:val="21"/>
        </w:rPr>
        <w:t>2.在符合性审查、商务和技术评审时，如发现下列情形之一的，响应文件将被视为无效：</w:t>
      </w:r>
    </w:p>
    <w:p>
      <w:pPr>
        <w:spacing w:line="288" w:lineRule="auto"/>
        <w:ind w:firstLine="420" w:firstLineChars="200"/>
        <w:rPr>
          <w:rFonts w:ascii="宋体" w:hAnsi="宋体" w:cs="宋体"/>
          <w:szCs w:val="21"/>
        </w:rPr>
      </w:pPr>
      <w:r>
        <w:rPr>
          <w:rFonts w:hint="eastAsia" w:ascii="宋体" w:hAnsi="宋体" w:cs="宋体"/>
          <w:szCs w:val="21"/>
        </w:rPr>
        <w:t>（1）资格文件、商务技术文件未按要求签署、盖章的；</w:t>
      </w:r>
    </w:p>
    <w:p>
      <w:pPr>
        <w:spacing w:line="288" w:lineRule="auto"/>
        <w:ind w:firstLine="420" w:firstLineChars="200"/>
        <w:rPr>
          <w:rFonts w:ascii="宋体" w:hAnsi="宋体" w:cs="宋体"/>
          <w:szCs w:val="21"/>
        </w:rPr>
      </w:pPr>
      <w:r>
        <w:rPr>
          <w:rFonts w:hint="eastAsia" w:ascii="宋体" w:hAnsi="宋体" w:cs="宋体"/>
          <w:szCs w:val="21"/>
        </w:rPr>
        <w:t xml:space="preserve">（2）未提供或未按要求提供响应函、法定代表人资格证明书、法定代表人授权委托书、响应声明书； </w:t>
      </w:r>
    </w:p>
    <w:p>
      <w:pPr>
        <w:spacing w:line="288" w:lineRule="auto"/>
        <w:ind w:firstLine="420" w:firstLineChars="200"/>
        <w:rPr>
          <w:rFonts w:ascii="宋体" w:hAnsi="宋体" w:cs="宋体"/>
          <w:szCs w:val="21"/>
        </w:rPr>
      </w:pPr>
      <w:r>
        <w:rPr>
          <w:rFonts w:hint="eastAsia" w:ascii="宋体" w:hAnsi="宋体" w:cs="宋体"/>
          <w:szCs w:val="21"/>
        </w:rPr>
        <w:t>（3）法定代表人委托授权代表参加响应但未按要求提供授权代表社保缴纳证明的；</w:t>
      </w:r>
    </w:p>
    <w:p>
      <w:pPr>
        <w:spacing w:line="288" w:lineRule="auto"/>
        <w:ind w:firstLine="420" w:firstLineChars="200"/>
        <w:rPr>
          <w:rFonts w:ascii="宋体" w:hAnsi="宋体" w:cs="宋体"/>
          <w:szCs w:val="21"/>
        </w:rPr>
      </w:pPr>
      <w:r>
        <w:rPr>
          <w:rFonts w:hint="eastAsia" w:ascii="宋体" w:hAnsi="宋体" w:cs="宋体"/>
          <w:szCs w:val="21"/>
        </w:rPr>
        <w:t>（4）未提供或未如实提供商务、技术偏离表的；</w:t>
      </w:r>
    </w:p>
    <w:p>
      <w:pPr>
        <w:spacing w:line="288" w:lineRule="auto"/>
        <w:ind w:firstLine="420" w:firstLineChars="200"/>
        <w:rPr>
          <w:rFonts w:ascii="宋体" w:hAnsi="宋体" w:cs="宋体"/>
          <w:szCs w:val="21"/>
        </w:rPr>
      </w:pPr>
      <w:r>
        <w:rPr>
          <w:rFonts w:hint="eastAsia" w:ascii="宋体" w:hAnsi="宋体" w:cs="宋体"/>
          <w:szCs w:val="21"/>
        </w:rPr>
        <w:t>（5）明显不符合磋商文件要求，或者与磋商文件中标“▲”的项目发生实质性偏离的；</w:t>
      </w:r>
    </w:p>
    <w:p>
      <w:pPr>
        <w:spacing w:line="288" w:lineRule="auto"/>
        <w:ind w:firstLine="420" w:firstLineChars="200"/>
        <w:rPr>
          <w:rFonts w:ascii="宋体" w:hAnsi="宋体" w:cs="宋体"/>
          <w:szCs w:val="21"/>
        </w:rPr>
      </w:pPr>
      <w:r>
        <w:rPr>
          <w:rFonts w:hint="eastAsia" w:ascii="宋体" w:hAnsi="宋体" w:cs="宋体"/>
          <w:szCs w:val="21"/>
        </w:rPr>
        <w:t>（6）技术负偏离及商务负偏离合计6项以上的；</w:t>
      </w:r>
    </w:p>
    <w:p>
      <w:pPr>
        <w:spacing w:line="288" w:lineRule="auto"/>
        <w:ind w:firstLine="420" w:firstLineChars="200"/>
        <w:rPr>
          <w:rFonts w:ascii="宋体" w:hAnsi="宋体" w:cs="宋体"/>
          <w:szCs w:val="21"/>
        </w:rPr>
      </w:pPr>
      <w:r>
        <w:rPr>
          <w:rFonts w:hint="eastAsia" w:ascii="宋体" w:hAnsi="宋体" w:cs="宋体"/>
          <w:szCs w:val="21"/>
        </w:rPr>
        <w:t>（7）未提供或未如实提供响应货物的技术参数，或者响应文件标明的响应或偏离与事实不符或虚假响应的；</w:t>
      </w:r>
    </w:p>
    <w:p>
      <w:pPr>
        <w:spacing w:line="288" w:lineRule="auto"/>
        <w:ind w:firstLine="420" w:firstLineChars="200"/>
        <w:rPr>
          <w:rFonts w:ascii="宋体" w:hAnsi="宋体" w:cs="宋体"/>
          <w:szCs w:val="21"/>
        </w:rPr>
      </w:pPr>
      <w:r>
        <w:rPr>
          <w:rFonts w:hint="eastAsia" w:ascii="宋体" w:hAnsi="宋体" w:cs="宋体"/>
          <w:szCs w:val="21"/>
        </w:rPr>
        <w:t>（8）响应技术方案不明确，存在一个或一个以上备选（替代）响应方案的；</w:t>
      </w:r>
    </w:p>
    <w:p>
      <w:pPr>
        <w:spacing w:line="288" w:lineRule="auto"/>
        <w:ind w:firstLine="420" w:firstLineChars="200"/>
        <w:rPr>
          <w:rFonts w:ascii="宋体" w:hAnsi="宋体" w:cs="宋体"/>
          <w:szCs w:val="21"/>
        </w:rPr>
      </w:pPr>
      <w:r>
        <w:rPr>
          <w:rFonts w:hint="eastAsia" w:ascii="宋体" w:hAnsi="宋体" w:cs="宋体"/>
          <w:szCs w:val="21"/>
        </w:rPr>
        <w:t>（9）响应文件含有采购人不能接受的附加条件的；</w:t>
      </w:r>
    </w:p>
    <w:p>
      <w:pPr>
        <w:spacing w:line="288" w:lineRule="auto"/>
        <w:ind w:firstLine="420" w:firstLineChars="200"/>
        <w:rPr>
          <w:rFonts w:ascii="宋体" w:hAnsi="宋体" w:cs="宋体"/>
          <w:szCs w:val="21"/>
        </w:rPr>
      </w:pPr>
      <w:r>
        <w:rPr>
          <w:rFonts w:hint="eastAsia" w:ascii="宋体" w:hAnsi="宋体" w:cs="宋体"/>
          <w:szCs w:val="21"/>
        </w:rPr>
        <w:t>（10）法律、法规和磋商文件规定的其他无效情形。</w:t>
      </w:r>
    </w:p>
    <w:p>
      <w:pPr>
        <w:spacing w:line="288" w:lineRule="auto"/>
        <w:ind w:firstLine="422" w:firstLineChars="200"/>
        <w:rPr>
          <w:rFonts w:ascii="宋体" w:hAnsi="宋体" w:cs="宋体"/>
          <w:b/>
          <w:szCs w:val="21"/>
        </w:rPr>
      </w:pPr>
      <w:r>
        <w:rPr>
          <w:rFonts w:hint="eastAsia" w:ascii="宋体" w:hAnsi="宋体" w:cs="宋体"/>
          <w:b/>
          <w:szCs w:val="21"/>
        </w:rPr>
        <w:t>3.在报价评审时，如发现下列情形之一的，响应文件将被视为无效：</w:t>
      </w:r>
    </w:p>
    <w:p>
      <w:pPr>
        <w:spacing w:line="288" w:lineRule="auto"/>
        <w:ind w:firstLine="420" w:firstLineChars="200"/>
        <w:rPr>
          <w:rFonts w:ascii="宋体" w:hAnsi="宋体" w:cs="宋体"/>
          <w:szCs w:val="21"/>
        </w:rPr>
      </w:pPr>
      <w:r>
        <w:rPr>
          <w:rFonts w:hint="eastAsia" w:ascii="宋体" w:hAnsi="宋体" w:cs="宋体"/>
          <w:szCs w:val="21"/>
        </w:rPr>
        <w:t>（1）最后报价超过磋商文件中规定的预算金额的；</w:t>
      </w:r>
    </w:p>
    <w:p>
      <w:pPr>
        <w:spacing w:line="288" w:lineRule="auto"/>
        <w:ind w:firstLine="420" w:firstLineChars="200"/>
        <w:rPr>
          <w:rFonts w:ascii="宋体" w:hAnsi="宋体" w:cs="宋体"/>
          <w:szCs w:val="21"/>
        </w:rPr>
      </w:pPr>
      <w:r>
        <w:rPr>
          <w:rFonts w:hint="eastAsia" w:ascii="宋体" w:hAnsi="宋体" w:cs="宋体"/>
          <w:szCs w:val="21"/>
        </w:rPr>
        <w:t>（2）最后报价具有选择性的；</w:t>
      </w:r>
    </w:p>
    <w:p>
      <w:pPr>
        <w:pStyle w:val="13"/>
        <w:rPr>
          <w:color w:val="auto"/>
        </w:rPr>
      </w:pPr>
      <w:r>
        <w:rPr>
          <w:rFonts w:hint="eastAsia" w:ascii="宋体" w:hAnsi="宋体" w:cs="宋体"/>
          <w:sz w:val="21"/>
          <w:szCs w:val="21"/>
        </w:rPr>
        <w:t xml:space="preserve">    </w:t>
      </w:r>
      <w:r>
        <w:rPr>
          <w:rFonts w:hint="eastAsia" w:ascii="宋体" w:hAnsi="宋体" w:cs="宋体"/>
          <w:color w:val="auto"/>
          <w:sz w:val="21"/>
          <w:szCs w:val="21"/>
        </w:rPr>
        <w:t>（3）未在规定时间内提供最后报价的。</w:t>
      </w:r>
    </w:p>
    <w:p>
      <w:pPr>
        <w:spacing w:line="288" w:lineRule="auto"/>
        <w:ind w:firstLine="422" w:firstLineChars="200"/>
        <w:rPr>
          <w:rFonts w:ascii="宋体" w:hAnsi="宋体" w:cs="宋体"/>
          <w:b/>
          <w:szCs w:val="21"/>
        </w:rPr>
      </w:pPr>
      <w:r>
        <w:rPr>
          <w:rFonts w:hint="eastAsia" w:ascii="宋体" w:hAnsi="宋体" w:cs="宋体"/>
          <w:b/>
          <w:szCs w:val="21"/>
        </w:rPr>
        <w:t>4.有下列情形之一的，视为供应商串通投标，其响应无效，由采购人或采购代理机构上报政府采购监督管理部门，视情列入不良行为记录名单，在一至三年内禁止参加政府采购活动：</w:t>
      </w:r>
    </w:p>
    <w:p>
      <w:pPr>
        <w:spacing w:line="288" w:lineRule="auto"/>
        <w:ind w:firstLine="420" w:firstLineChars="200"/>
        <w:rPr>
          <w:rFonts w:ascii="宋体" w:hAnsi="宋体" w:cs="宋体"/>
          <w:szCs w:val="21"/>
        </w:rPr>
      </w:pPr>
      <w:r>
        <w:rPr>
          <w:rFonts w:hint="eastAsia" w:ascii="宋体" w:hAnsi="宋体" w:cs="宋体"/>
          <w:szCs w:val="21"/>
        </w:rPr>
        <w:t>（1）不同供应商的响应文件由同一单位或者个人编制；</w:t>
      </w:r>
    </w:p>
    <w:p>
      <w:pPr>
        <w:spacing w:line="288" w:lineRule="auto"/>
        <w:ind w:firstLine="420" w:firstLineChars="200"/>
        <w:rPr>
          <w:rFonts w:ascii="宋体" w:hAnsi="宋体" w:cs="宋体"/>
          <w:szCs w:val="21"/>
        </w:rPr>
      </w:pPr>
      <w:r>
        <w:rPr>
          <w:rFonts w:hint="eastAsia" w:ascii="宋体" w:hAnsi="宋体" w:cs="宋体"/>
          <w:szCs w:val="21"/>
        </w:rPr>
        <w:t>（2）不同供应商委托同一单位或者个人办理响应事宜；</w:t>
      </w:r>
    </w:p>
    <w:p>
      <w:pPr>
        <w:spacing w:line="288" w:lineRule="auto"/>
        <w:ind w:firstLine="420" w:firstLineChars="200"/>
        <w:rPr>
          <w:rFonts w:ascii="宋体" w:hAnsi="宋体" w:cs="宋体"/>
          <w:szCs w:val="21"/>
        </w:rPr>
      </w:pPr>
      <w:r>
        <w:rPr>
          <w:rFonts w:hint="eastAsia" w:ascii="宋体" w:hAnsi="宋体" w:cs="宋体"/>
          <w:szCs w:val="21"/>
        </w:rPr>
        <w:t>（3）不同供应商的响应文件载明的项目管理成员或者联系人员为同一人；</w:t>
      </w:r>
    </w:p>
    <w:p>
      <w:pPr>
        <w:spacing w:line="288" w:lineRule="auto"/>
        <w:ind w:firstLine="420" w:firstLineChars="200"/>
        <w:rPr>
          <w:rFonts w:ascii="宋体" w:hAnsi="宋体" w:cs="宋体"/>
          <w:szCs w:val="21"/>
        </w:rPr>
      </w:pPr>
      <w:r>
        <w:rPr>
          <w:rFonts w:hint="eastAsia" w:ascii="宋体" w:hAnsi="宋体" w:cs="宋体"/>
          <w:szCs w:val="21"/>
        </w:rPr>
        <w:t>（4）不同供应商的响应文件异常一致或者最后报价呈规律性差异；</w:t>
      </w:r>
    </w:p>
    <w:p>
      <w:pPr>
        <w:spacing w:line="288" w:lineRule="auto"/>
        <w:ind w:firstLine="420" w:firstLineChars="200"/>
        <w:rPr>
          <w:rFonts w:ascii="宋体" w:hAnsi="宋体" w:cs="宋体"/>
          <w:szCs w:val="21"/>
        </w:rPr>
      </w:pPr>
      <w:r>
        <w:rPr>
          <w:rFonts w:hint="eastAsia" w:ascii="宋体" w:hAnsi="宋体" w:cs="宋体"/>
          <w:szCs w:val="21"/>
        </w:rPr>
        <w:t>（5）不同供应商的响应文件相互混装；</w:t>
      </w:r>
    </w:p>
    <w:p>
      <w:pPr>
        <w:pStyle w:val="6"/>
        <w:spacing w:before="0" w:beforeLines="0" w:after="0" w:afterLines="0" w:line="288" w:lineRule="auto"/>
        <w:jc w:val="center"/>
        <w:outlineLvl w:val="1"/>
        <w:rPr>
          <w:rFonts w:hAnsi="宋体" w:cs="宋体"/>
          <w:b/>
          <w:sz w:val="32"/>
          <w:szCs w:val="32"/>
        </w:rPr>
      </w:pPr>
      <w:r>
        <w:rPr>
          <w:rFonts w:hint="eastAsia" w:hAnsi="宋体" w:cs="宋体"/>
          <w:b/>
          <w:sz w:val="21"/>
          <w:szCs w:val="21"/>
        </w:rPr>
        <w:br w:type="page"/>
      </w:r>
      <w:r>
        <w:rPr>
          <w:rFonts w:hint="eastAsia" w:hAnsi="宋体" w:cs="宋体"/>
          <w:b/>
          <w:sz w:val="32"/>
          <w:szCs w:val="32"/>
        </w:rPr>
        <w:t>四、响应文件开启</w:t>
      </w:r>
    </w:p>
    <w:p>
      <w:pPr>
        <w:pStyle w:val="2"/>
        <w:spacing w:line="288" w:lineRule="auto"/>
        <w:ind w:firstLine="0"/>
        <w:rPr>
          <w:rFonts w:hAnsi="宋体" w:cs="宋体"/>
          <w:b/>
          <w:spacing w:val="0"/>
          <w:sz w:val="24"/>
          <w:szCs w:val="24"/>
        </w:rPr>
      </w:pPr>
      <w:r>
        <w:rPr>
          <w:rFonts w:hint="eastAsia" w:hAnsi="宋体" w:cs="宋体"/>
          <w:b/>
          <w:spacing w:val="0"/>
          <w:sz w:val="24"/>
          <w:szCs w:val="24"/>
        </w:rPr>
        <w:t>（一） 响应文件开启准备</w:t>
      </w:r>
    </w:p>
    <w:p>
      <w:pPr>
        <w:spacing w:line="288" w:lineRule="auto"/>
        <w:ind w:firstLine="420" w:firstLineChars="200"/>
        <w:rPr>
          <w:rFonts w:ascii="宋体" w:hAnsi="宋体" w:cs="宋体"/>
          <w:szCs w:val="21"/>
        </w:rPr>
      </w:pPr>
      <w:r>
        <w:rPr>
          <w:rFonts w:hint="eastAsia" w:ascii="宋体" w:hAnsi="宋体" w:cs="宋体"/>
          <w:szCs w:val="21"/>
        </w:rPr>
        <w:t>1.制订响应文件开启、评审工作的组织方案，落实工作场地、设施，检查录音录像采集设备运行情况。</w:t>
      </w:r>
    </w:p>
    <w:p>
      <w:pPr>
        <w:spacing w:line="288" w:lineRule="auto"/>
        <w:ind w:firstLine="420" w:firstLineChars="200"/>
        <w:rPr>
          <w:rFonts w:ascii="宋体" w:hAnsi="宋体" w:cs="宋体"/>
          <w:szCs w:val="21"/>
        </w:rPr>
      </w:pPr>
      <w:r>
        <w:rPr>
          <w:rFonts w:hint="eastAsia" w:ascii="宋体" w:hAnsi="宋体" w:cs="宋体"/>
          <w:szCs w:val="21"/>
        </w:rPr>
        <w:t>2.通知或邀请相关单位和人员出席响应文件开启、评审活动（按规定由相关监管部门或其授权机构随机抽取、通知的政府采购评审专家除外）。</w:t>
      </w:r>
    </w:p>
    <w:p>
      <w:pPr>
        <w:spacing w:line="288" w:lineRule="auto"/>
        <w:ind w:firstLine="420" w:firstLineChars="200"/>
        <w:rPr>
          <w:rFonts w:ascii="宋体" w:hAnsi="宋体" w:cs="宋体"/>
          <w:szCs w:val="21"/>
        </w:rPr>
      </w:pPr>
      <w:r>
        <w:rPr>
          <w:rFonts w:hint="eastAsia" w:ascii="宋体" w:hAnsi="宋体" w:cs="宋体"/>
          <w:szCs w:val="21"/>
        </w:rPr>
        <w:t>3.准备政府采购项目的相关文件资料，如项目政府采购预算确认书（计划）、专家抽取有关凭证、项目书面说明、磋商文件、补充文件及质疑答复情况、现场工作所需的相关登记表单、评审工作底稿等。</w:t>
      </w:r>
    </w:p>
    <w:p>
      <w:pPr>
        <w:spacing w:line="288" w:lineRule="auto"/>
        <w:ind w:firstLine="420" w:firstLineChars="200"/>
        <w:rPr>
          <w:rFonts w:ascii="宋体" w:hAnsi="宋体" w:cs="宋体"/>
          <w:szCs w:val="21"/>
        </w:rPr>
      </w:pPr>
      <w:r>
        <w:rPr>
          <w:rFonts w:hint="eastAsia" w:ascii="宋体" w:hAnsi="宋体" w:cs="宋体"/>
          <w:szCs w:val="21"/>
        </w:rPr>
        <w:t>4.其他应准备的事项。</w:t>
      </w:r>
    </w:p>
    <w:p>
      <w:pPr>
        <w:pStyle w:val="2"/>
        <w:spacing w:line="288" w:lineRule="auto"/>
        <w:ind w:firstLine="0"/>
        <w:rPr>
          <w:rFonts w:hAnsi="宋体" w:cs="宋体"/>
          <w:b/>
          <w:spacing w:val="0"/>
          <w:sz w:val="24"/>
          <w:szCs w:val="24"/>
        </w:rPr>
      </w:pPr>
      <w:r>
        <w:rPr>
          <w:rFonts w:hint="eastAsia" w:hAnsi="宋体" w:cs="宋体"/>
          <w:b/>
          <w:spacing w:val="0"/>
          <w:sz w:val="24"/>
          <w:szCs w:val="24"/>
        </w:rPr>
        <w:t>（二） 响应文件开启程序</w:t>
      </w:r>
    </w:p>
    <w:p>
      <w:pPr>
        <w:pStyle w:val="2"/>
        <w:spacing w:line="288" w:lineRule="auto"/>
        <w:ind w:firstLine="420" w:firstLineChars="200"/>
        <w:rPr>
          <w:rFonts w:hAnsi="宋体" w:cs="宋体"/>
          <w:spacing w:val="0"/>
          <w:sz w:val="21"/>
          <w:szCs w:val="21"/>
        </w:rPr>
      </w:pPr>
      <w:r>
        <w:rPr>
          <w:rFonts w:hint="eastAsia" w:hAnsi="宋体" w:cs="宋体"/>
          <w:spacing w:val="0"/>
          <w:sz w:val="21"/>
          <w:szCs w:val="21"/>
        </w:rPr>
        <w:t>采购代理机构按照磋商文件规定的时间、地点和程序组织响应文件开启。具体按以下程序进行：</w:t>
      </w:r>
    </w:p>
    <w:p>
      <w:pPr>
        <w:pStyle w:val="2"/>
        <w:spacing w:line="288" w:lineRule="auto"/>
        <w:ind w:firstLine="420" w:firstLineChars="200"/>
        <w:rPr>
          <w:rFonts w:hAnsi="宋体" w:cs="宋体"/>
          <w:spacing w:val="0"/>
          <w:sz w:val="21"/>
          <w:szCs w:val="21"/>
        </w:rPr>
      </w:pPr>
      <w:r>
        <w:rPr>
          <w:rFonts w:hint="eastAsia" w:hAnsi="宋体" w:cs="宋体"/>
          <w:spacing w:val="0"/>
          <w:sz w:val="21"/>
          <w:szCs w:val="21"/>
        </w:rPr>
        <w:t>1.开启响应文件开启场地的录音录像采集设备，并确保其正常运行。</w:t>
      </w:r>
    </w:p>
    <w:p>
      <w:pPr>
        <w:pStyle w:val="2"/>
        <w:spacing w:line="288" w:lineRule="auto"/>
        <w:ind w:firstLine="420" w:firstLineChars="200"/>
        <w:rPr>
          <w:rFonts w:hAnsi="宋体" w:cs="宋体"/>
          <w:spacing w:val="0"/>
          <w:sz w:val="21"/>
          <w:szCs w:val="21"/>
        </w:rPr>
      </w:pPr>
      <w:r>
        <w:rPr>
          <w:rFonts w:hint="eastAsia" w:hAnsi="宋体" w:cs="宋体"/>
          <w:spacing w:val="0"/>
          <w:sz w:val="21"/>
          <w:szCs w:val="21"/>
        </w:rPr>
        <w:t>2.核验出席响应文件开启活动现场的各相关单位人员身份，并组织其分别登记、签到，无关人员可拒绝其进入现场。</w:t>
      </w:r>
    </w:p>
    <w:p>
      <w:pPr>
        <w:pStyle w:val="2"/>
        <w:spacing w:line="288" w:lineRule="auto"/>
        <w:ind w:firstLine="420" w:firstLineChars="200"/>
        <w:rPr>
          <w:rFonts w:hAnsi="宋体" w:cs="宋体"/>
          <w:spacing w:val="0"/>
          <w:sz w:val="21"/>
          <w:szCs w:val="21"/>
        </w:rPr>
      </w:pPr>
      <w:r>
        <w:rPr>
          <w:rFonts w:hint="eastAsia" w:hAnsi="宋体" w:cs="宋体"/>
          <w:spacing w:val="0"/>
          <w:sz w:val="21"/>
          <w:szCs w:val="21"/>
        </w:rPr>
        <w:t>3.</w:t>
      </w:r>
      <w:r>
        <w:rPr>
          <w:rFonts w:hint="eastAsia" w:hAnsi="宋体" w:cs="宋体"/>
          <w:spacing w:val="0"/>
        </w:rPr>
        <w:t xml:space="preserve"> </w:t>
      </w:r>
      <w:r>
        <w:rPr>
          <w:rFonts w:hint="eastAsia" w:hAnsi="宋体" w:cs="宋体"/>
          <w:spacing w:val="0"/>
          <w:sz w:val="21"/>
          <w:szCs w:val="21"/>
        </w:rPr>
        <w:t>政府采购云平台在线进行响应文件签收，供应商可自行打印响应文件接收回执。</w:t>
      </w:r>
    </w:p>
    <w:p>
      <w:pPr>
        <w:pStyle w:val="2"/>
        <w:spacing w:line="288" w:lineRule="auto"/>
        <w:ind w:firstLine="420" w:firstLineChars="200"/>
        <w:rPr>
          <w:rFonts w:hAnsi="宋体" w:cs="宋体"/>
          <w:spacing w:val="0"/>
          <w:sz w:val="21"/>
          <w:szCs w:val="21"/>
        </w:rPr>
      </w:pPr>
      <w:r>
        <w:rPr>
          <w:rFonts w:hint="eastAsia" w:hAnsi="宋体" w:cs="宋体"/>
          <w:spacing w:val="0"/>
          <w:sz w:val="21"/>
          <w:szCs w:val="21"/>
        </w:rPr>
        <w:t>4.主持人介绍响应文件开启现场的人员情况，宣读递交响应文件的供应商名单、响应文件开启纪律、应当回避的情形等注意事项。</w:t>
      </w:r>
    </w:p>
    <w:p>
      <w:pPr>
        <w:pStyle w:val="2"/>
        <w:spacing w:line="288" w:lineRule="auto"/>
        <w:ind w:firstLine="420" w:firstLineChars="200"/>
        <w:rPr>
          <w:rFonts w:hAnsi="宋体" w:cs="宋体"/>
          <w:spacing w:val="0"/>
          <w:sz w:val="21"/>
          <w:szCs w:val="21"/>
        </w:rPr>
      </w:pPr>
      <w:r>
        <w:rPr>
          <w:rFonts w:hint="eastAsia" w:hAnsi="宋体" w:cs="宋体"/>
          <w:spacing w:val="0"/>
          <w:sz w:val="21"/>
          <w:szCs w:val="21"/>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pStyle w:val="2"/>
        <w:spacing w:line="288" w:lineRule="auto"/>
        <w:ind w:firstLine="420" w:firstLineChars="200"/>
        <w:rPr>
          <w:rFonts w:hAnsi="宋体" w:cs="宋体"/>
          <w:spacing w:val="0"/>
          <w:sz w:val="21"/>
          <w:szCs w:val="21"/>
        </w:rPr>
      </w:pPr>
      <w:r>
        <w:rPr>
          <w:rFonts w:hint="eastAsia" w:hAnsi="宋体" w:cs="宋体"/>
          <w:spacing w:val="0"/>
          <w:sz w:val="21"/>
          <w:szCs w:val="21"/>
        </w:rPr>
        <w:t>6.开启响应文件。</w:t>
      </w:r>
    </w:p>
    <w:p>
      <w:pPr>
        <w:pStyle w:val="2"/>
        <w:spacing w:line="288" w:lineRule="auto"/>
        <w:ind w:firstLine="422" w:firstLineChars="200"/>
        <w:rPr>
          <w:rFonts w:hAnsi="宋体" w:cs="宋体"/>
          <w:b/>
          <w:bCs/>
          <w:spacing w:val="0"/>
          <w:sz w:val="21"/>
          <w:szCs w:val="21"/>
        </w:rPr>
      </w:pPr>
      <w:r>
        <w:rPr>
          <w:rFonts w:hint="eastAsia" w:hAnsi="宋体" w:cs="宋体"/>
          <w:b/>
          <w:bCs/>
          <w:spacing w:val="0"/>
          <w:sz w:val="21"/>
          <w:szCs w:val="21"/>
        </w:rPr>
        <w:t>特别说明：如遇政府采购云平台电子化开标或评审程序调整的，按调整后程序执行。</w:t>
      </w:r>
    </w:p>
    <w:p>
      <w:pPr>
        <w:pStyle w:val="2"/>
        <w:spacing w:line="288" w:lineRule="auto"/>
        <w:ind w:firstLine="420" w:firstLineChars="200"/>
        <w:rPr>
          <w:rFonts w:hAnsi="宋体" w:cs="宋体"/>
          <w:spacing w:val="0"/>
          <w:sz w:val="21"/>
          <w:szCs w:val="21"/>
        </w:rPr>
      </w:pPr>
    </w:p>
    <w:p>
      <w:pPr>
        <w:pStyle w:val="6"/>
        <w:spacing w:before="0" w:beforeLines="0" w:after="0" w:afterLines="0" w:line="288" w:lineRule="auto"/>
        <w:jc w:val="center"/>
        <w:outlineLvl w:val="1"/>
        <w:rPr>
          <w:rFonts w:hAnsi="宋体" w:cs="宋体"/>
          <w:b/>
          <w:sz w:val="32"/>
          <w:szCs w:val="32"/>
        </w:rPr>
      </w:pPr>
      <w:r>
        <w:rPr>
          <w:rFonts w:hint="eastAsia" w:hAnsi="宋体" w:cs="宋体"/>
          <w:b/>
          <w:sz w:val="32"/>
          <w:szCs w:val="32"/>
        </w:rPr>
        <w:br w:type="page"/>
      </w:r>
      <w:r>
        <w:rPr>
          <w:rFonts w:hint="eastAsia" w:hAnsi="宋体" w:cs="宋体"/>
          <w:b/>
          <w:sz w:val="32"/>
          <w:szCs w:val="32"/>
        </w:rPr>
        <w:t>五、磋商程序</w:t>
      </w:r>
    </w:p>
    <w:p>
      <w:pPr>
        <w:spacing w:line="288" w:lineRule="auto"/>
        <w:rPr>
          <w:rFonts w:ascii="宋体" w:hAnsi="宋体" w:cs="宋体"/>
          <w:b/>
          <w:sz w:val="24"/>
        </w:rPr>
      </w:pPr>
      <w:r>
        <w:rPr>
          <w:rFonts w:hint="eastAsia" w:ascii="宋体" w:hAnsi="宋体" w:cs="宋体"/>
          <w:b/>
          <w:sz w:val="24"/>
        </w:rPr>
        <w:t>（一） 组建磋商小组</w:t>
      </w:r>
    </w:p>
    <w:p>
      <w:pPr>
        <w:pStyle w:val="6"/>
        <w:spacing w:before="0" w:beforeLines="0" w:after="0" w:afterLines="0" w:line="288" w:lineRule="auto"/>
        <w:ind w:firstLine="420" w:firstLineChars="200"/>
        <w:rPr>
          <w:rFonts w:hAnsi="宋体" w:cs="宋体"/>
          <w:sz w:val="21"/>
          <w:szCs w:val="21"/>
        </w:rPr>
      </w:pPr>
      <w:r>
        <w:rPr>
          <w:rFonts w:hint="eastAsia" w:hAnsi="宋体" w:cs="宋体"/>
          <w:sz w:val="21"/>
          <w:szCs w:val="21"/>
        </w:rPr>
        <w:t>本项目磋商小组依据相关法律法规组建，成员人数为3人。</w:t>
      </w:r>
    </w:p>
    <w:p>
      <w:pPr>
        <w:pStyle w:val="2"/>
        <w:spacing w:line="288" w:lineRule="auto"/>
        <w:ind w:firstLine="0"/>
        <w:rPr>
          <w:rFonts w:hAnsi="宋体" w:cs="宋体"/>
          <w:b/>
          <w:spacing w:val="0"/>
          <w:sz w:val="24"/>
          <w:szCs w:val="24"/>
        </w:rPr>
      </w:pPr>
      <w:r>
        <w:rPr>
          <w:rFonts w:hint="eastAsia" w:hAnsi="宋体" w:cs="宋体"/>
          <w:b/>
          <w:spacing w:val="0"/>
          <w:sz w:val="24"/>
          <w:szCs w:val="24"/>
        </w:rPr>
        <w:t>（二） 评审的方式</w:t>
      </w:r>
    </w:p>
    <w:p>
      <w:pPr>
        <w:pStyle w:val="2"/>
        <w:spacing w:line="288" w:lineRule="auto"/>
        <w:ind w:firstLine="420" w:firstLineChars="200"/>
        <w:rPr>
          <w:rFonts w:hAnsi="宋体" w:cs="宋体"/>
          <w:spacing w:val="0"/>
          <w:sz w:val="21"/>
          <w:szCs w:val="21"/>
        </w:rPr>
      </w:pPr>
      <w:r>
        <w:rPr>
          <w:rFonts w:hint="eastAsia" w:hAnsi="宋体" w:cs="宋体"/>
          <w:spacing w:val="0"/>
          <w:sz w:val="21"/>
          <w:szCs w:val="21"/>
        </w:rPr>
        <w:t>本项目采用不公开方式评审，评审的依据为磋商文件、响应文件和磋商记录。</w:t>
      </w:r>
    </w:p>
    <w:p>
      <w:pPr>
        <w:pStyle w:val="2"/>
        <w:spacing w:line="288" w:lineRule="auto"/>
        <w:ind w:firstLine="0"/>
        <w:rPr>
          <w:rFonts w:hAnsi="宋体" w:cs="宋体"/>
          <w:b/>
          <w:spacing w:val="0"/>
          <w:sz w:val="24"/>
          <w:szCs w:val="24"/>
        </w:rPr>
      </w:pPr>
      <w:r>
        <w:rPr>
          <w:rFonts w:hint="eastAsia" w:hAnsi="宋体" w:cs="宋体"/>
          <w:b/>
          <w:spacing w:val="0"/>
          <w:sz w:val="24"/>
          <w:szCs w:val="24"/>
        </w:rPr>
        <w:t>（三） 评审程序</w:t>
      </w:r>
    </w:p>
    <w:p>
      <w:pPr>
        <w:pStyle w:val="2"/>
        <w:spacing w:line="288" w:lineRule="auto"/>
        <w:ind w:firstLine="420" w:firstLineChars="200"/>
        <w:rPr>
          <w:rFonts w:hAnsi="宋体" w:cs="宋体"/>
          <w:spacing w:val="0"/>
          <w:sz w:val="21"/>
          <w:szCs w:val="21"/>
        </w:rPr>
      </w:pPr>
      <w:r>
        <w:rPr>
          <w:rFonts w:hint="eastAsia" w:hAnsi="宋体" w:cs="宋体"/>
          <w:spacing w:val="0"/>
          <w:sz w:val="21"/>
          <w:szCs w:val="21"/>
        </w:rPr>
        <w:t>采购代理机构按照磋商文件规定的时间、地点及程序组织评审。评审活动一般应按以下程序组织开展：</w:t>
      </w:r>
    </w:p>
    <w:p>
      <w:pPr>
        <w:pStyle w:val="2"/>
        <w:spacing w:line="288" w:lineRule="auto"/>
        <w:ind w:firstLine="420" w:firstLineChars="200"/>
        <w:rPr>
          <w:rFonts w:hAnsi="宋体" w:cs="宋体"/>
          <w:spacing w:val="0"/>
          <w:sz w:val="21"/>
          <w:szCs w:val="21"/>
        </w:rPr>
      </w:pPr>
      <w:r>
        <w:rPr>
          <w:rFonts w:hint="eastAsia" w:hAnsi="宋体" w:cs="宋体"/>
          <w:spacing w:val="0"/>
          <w:sz w:val="21"/>
          <w:szCs w:val="21"/>
        </w:rPr>
        <w:t>1.开启评审场地的录音录像采集设备，并确保其正常运行。</w:t>
      </w:r>
    </w:p>
    <w:p>
      <w:pPr>
        <w:pStyle w:val="2"/>
        <w:spacing w:line="288" w:lineRule="auto"/>
        <w:ind w:firstLine="420" w:firstLineChars="200"/>
        <w:rPr>
          <w:rFonts w:hAnsi="宋体" w:cs="宋体"/>
          <w:spacing w:val="0"/>
          <w:sz w:val="21"/>
          <w:szCs w:val="21"/>
        </w:rPr>
      </w:pPr>
      <w:r>
        <w:rPr>
          <w:rFonts w:hint="eastAsia" w:hAnsi="宋体" w:cs="宋体"/>
          <w:spacing w:val="0"/>
          <w:sz w:val="21"/>
          <w:szCs w:val="21"/>
        </w:rPr>
        <w:t>2.核验出席评审活动现场的磋商小组各成员和相关监督人员身份，并要求其分别登记、签到，按规定统一收缴、保存其通讯工具，无关人员一律拒绝其进入评审现场。</w:t>
      </w:r>
    </w:p>
    <w:p>
      <w:pPr>
        <w:pStyle w:val="2"/>
        <w:spacing w:line="288" w:lineRule="auto"/>
        <w:ind w:firstLine="420" w:firstLineChars="200"/>
        <w:rPr>
          <w:rFonts w:hAnsi="宋体" w:cs="宋体"/>
          <w:spacing w:val="0"/>
          <w:sz w:val="21"/>
          <w:szCs w:val="21"/>
        </w:rPr>
      </w:pPr>
      <w:r>
        <w:rPr>
          <w:rFonts w:hint="eastAsia" w:hAnsi="宋体" w:cs="宋体"/>
          <w:spacing w:val="0"/>
          <w:sz w:val="21"/>
          <w:szCs w:val="21"/>
        </w:rPr>
        <w:t>3.介绍评审现场的人员情况，宣布评审工作纪律，告知磋商小组应当回避情形；组织推选磋商小组组长。</w:t>
      </w:r>
    </w:p>
    <w:p>
      <w:pPr>
        <w:pStyle w:val="2"/>
        <w:spacing w:line="288" w:lineRule="auto"/>
        <w:ind w:firstLine="420" w:firstLineChars="200"/>
        <w:rPr>
          <w:rFonts w:hAnsi="宋体" w:cs="宋体"/>
          <w:spacing w:val="0"/>
          <w:sz w:val="21"/>
          <w:szCs w:val="21"/>
        </w:rPr>
      </w:pPr>
      <w:r>
        <w:rPr>
          <w:rFonts w:hint="eastAsia" w:hAnsi="宋体" w:cs="宋体"/>
          <w:spacing w:val="0"/>
          <w:sz w:val="21"/>
          <w:szCs w:val="21"/>
        </w:rPr>
        <w:t>4. 依法获取采购文件的供应商名单及资格预审情况（如有），宣读最终解密响应文件的供应商名单，组织磋商小组各位成员签订《政府采购评审人员廉洁自律承诺书》。</w:t>
      </w:r>
    </w:p>
    <w:p>
      <w:pPr>
        <w:pStyle w:val="2"/>
        <w:spacing w:line="288" w:lineRule="auto"/>
        <w:ind w:firstLine="420" w:firstLineChars="200"/>
        <w:rPr>
          <w:rFonts w:hAnsi="宋体" w:cs="宋体"/>
          <w:spacing w:val="0"/>
          <w:sz w:val="21"/>
          <w:szCs w:val="21"/>
        </w:rPr>
      </w:pPr>
      <w:r>
        <w:rPr>
          <w:rFonts w:hint="eastAsia" w:hAnsi="宋体" w:cs="宋体"/>
          <w:spacing w:val="0"/>
          <w:sz w:val="21"/>
          <w:szCs w:val="21"/>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pPr>
        <w:pStyle w:val="2"/>
        <w:spacing w:line="288" w:lineRule="auto"/>
        <w:ind w:firstLine="420" w:firstLineChars="200"/>
        <w:rPr>
          <w:rFonts w:hAnsi="宋体" w:cs="宋体"/>
          <w:spacing w:val="0"/>
          <w:sz w:val="21"/>
          <w:szCs w:val="21"/>
        </w:rPr>
      </w:pPr>
      <w:r>
        <w:rPr>
          <w:rFonts w:hint="eastAsia" w:hAnsi="宋体" w:cs="宋体"/>
          <w:spacing w:val="0"/>
          <w:sz w:val="21"/>
          <w:szCs w:val="21"/>
        </w:rPr>
        <w:t>6.磋商小组组长组织磋商小组成员根据磋商文件规定的评审程序、评审方法和评审标准进行独立评审。未实质性响应磋商文件的响应文件按无效响应处理，磋商小组告知提交响应文件的供应商。</w:t>
      </w:r>
    </w:p>
    <w:p>
      <w:pPr>
        <w:pStyle w:val="2"/>
        <w:spacing w:line="288" w:lineRule="auto"/>
        <w:ind w:firstLine="420" w:firstLineChars="200"/>
        <w:rPr>
          <w:rFonts w:hAnsi="宋体" w:cs="宋体"/>
          <w:spacing w:val="0"/>
          <w:sz w:val="21"/>
          <w:szCs w:val="21"/>
        </w:rPr>
      </w:pPr>
      <w:r>
        <w:rPr>
          <w:rFonts w:hint="eastAsia" w:hAnsi="宋体" w:cs="宋体"/>
          <w:spacing w:val="0"/>
          <w:sz w:val="21"/>
          <w:szCs w:val="21"/>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政府采购云平台询标函形式同时通知所有参加磋商的供应商。供应商在按照磋商文件的变动情况和磋商小组的要求重新提交响应文件，并由其法定代表人或授权代表签字或者加盖公章。</w:t>
      </w:r>
    </w:p>
    <w:p>
      <w:pPr>
        <w:pStyle w:val="2"/>
        <w:spacing w:line="288" w:lineRule="auto"/>
        <w:ind w:firstLine="420" w:firstLineChars="200"/>
        <w:rPr>
          <w:rFonts w:hAnsi="宋体" w:cs="宋体"/>
          <w:spacing w:val="0"/>
          <w:sz w:val="21"/>
          <w:szCs w:val="21"/>
        </w:rPr>
      </w:pPr>
      <w:r>
        <w:rPr>
          <w:rFonts w:hint="eastAsia" w:hAnsi="宋体" w:cs="宋体"/>
          <w:spacing w:val="0"/>
          <w:sz w:val="21"/>
          <w:szCs w:val="21"/>
        </w:rPr>
        <w:t>8.磋商文件能够详细列明采购标的的技术、服务要求的，磋商结束后，磋商小组要求所有实质性响应的供应商在规定时间内在线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在线提交最后磋商报价。</w:t>
      </w:r>
    </w:p>
    <w:p>
      <w:pPr>
        <w:pStyle w:val="2"/>
        <w:spacing w:line="288" w:lineRule="auto"/>
        <w:ind w:firstLine="420" w:firstLineChars="200"/>
        <w:rPr>
          <w:rFonts w:hAnsi="宋体" w:cs="宋体"/>
          <w:spacing w:val="0"/>
          <w:sz w:val="21"/>
          <w:szCs w:val="21"/>
        </w:rPr>
      </w:pPr>
      <w:r>
        <w:rPr>
          <w:rFonts w:hint="eastAsia" w:hAnsi="宋体" w:cs="宋体"/>
          <w:spacing w:val="0"/>
          <w:sz w:val="21"/>
          <w:szCs w:val="21"/>
        </w:rPr>
        <w:t>9.经磋商确定最终采购需求和提交最后磋商报价的供应商后，由磋商小组采用综合评分法对提交最后磋商报价的供应商的响应文件和最后磋商报价进行综合评分。</w:t>
      </w:r>
    </w:p>
    <w:p>
      <w:pPr>
        <w:pStyle w:val="2"/>
        <w:spacing w:line="288" w:lineRule="auto"/>
        <w:ind w:firstLine="420" w:firstLineChars="200"/>
        <w:rPr>
          <w:rFonts w:hAnsi="宋体" w:cs="宋体"/>
          <w:spacing w:val="0"/>
          <w:sz w:val="21"/>
          <w:szCs w:val="21"/>
        </w:rPr>
      </w:pPr>
      <w:r>
        <w:rPr>
          <w:rFonts w:hint="eastAsia" w:hAnsi="宋体" w:cs="宋体"/>
          <w:spacing w:val="0"/>
          <w:sz w:val="21"/>
          <w:szCs w:val="21"/>
        </w:rPr>
        <w:t>10.采购代理机构可协助磋商小组组长对打分结果进行校对、核对；对明显畸高、畸低的评分，磋商小组组长应提醒相关评审人员进行复核或书面说明理由，评审人员拒绝说明的，由现场监督员据实记录。</w:t>
      </w:r>
    </w:p>
    <w:p>
      <w:pPr>
        <w:pStyle w:val="2"/>
        <w:spacing w:line="288" w:lineRule="auto"/>
        <w:ind w:firstLine="420" w:firstLineChars="200"/>
        <w:rPr>
          <w:rFonts w:hAnsi="宋体" w:cs="宋体"/>
          <w:spacing w:val="0"/>
          <w:sz w:val="21"/>
          <w:szCs w:val="21"/>
        </w:rPr>
      </w:pPr>
      <w:r>
        <w:rPr>
          <w:rFonts w:hint="eastAsia" w:hAnsi="宋体" w:cs="宋体"/>
          <w:spacing w:val="0"/>
          <w:sz w:val="21"/>
          <w:szCs w:val="21"/>
        </w:rPr>
        <w:t>11.做好评审现场相关记录，协助磋商小组组长做好评审报告起草、有关内容电脑文字录入等工作，并要求磋商小组各成员签字确认。</w:t>
      </w:r>
    </w:p>
    <w:p>
      <w:pPr>
        <w:pStyle w:val="2"/>
        <w:spacing w:line="288" w:lineRule="auto"/>
        <w:ind w:firstLine="420" w:firstLineChars="200"/>
        <w:rPr>
          <w:rFonts w:hAnsi="宋体" w:cs="宋体"/>
          <w:spacing w:val="0"/>
          <w:sz w:val="21"/>
          <w:szCs w:val="21"/>
        </w:rPr>
      </w:pPr>
      <w:r>
        <w:rPr>
          <w:rFonts w:hint="eastAsia" w:hAnsi="宋体" w:cs="宋体"/>
          <w:spacing w:val="0"/>
          <w:sz w:val="21"/>
          <w:szCs w:val="21"/>
        </w:rPr>
        <w:t>12.评审结束后，采购代理机构交还评审人员及其他现场相关人员的通讯工具，主持人公布成交候选供应商名单。</w:t>
      </w:r>
    </w:p>
    <w:p>
      <w:pPr>
        <w:pStyle w:val="2"/>
        <w:spacing w:line="288" w:lineRule="auto"/>
        <w:ind w:firstLine="0"/>
        <w:rPr>
          <w:rFonts w:hAnsi="宋体" w:cs="宋体"/>
          <w:b/>
          <w:spacing w:val="0"/>
          <w:sz w:val="24"/>
          <w:szCs w:val="24"/>
        </w:rPr>
      </w:pPr>
      <w:r>
        <w:rPr>
          <w:rFonts w:hint="eastAsia" w:hAnsi="宋体" w:cs="宋体"/>
          <w:b/>
          <w:spacing w:val="0"/>
          <w:sz w:val="24"/>
          <w:szCs w:val="24"/>
        </w:rPr>
        <w:t>（四） 澄清问题的形式</w:t>
      </w:r>
    </w:p>
    <w:p>
      <w:pPr>
        <w:pStyle w:val="2"/>
        <w:spacing w:line="288" w:lineRule="auto"/>
        <w:ind w:firstLine="420" w:firstLineChars="200"/>
        <w:rPr>
          <w:rFonts w:hAnsi="宋体" w:cs="宋体"/>
          <w:spacing w:val="0"/>
          <w:sz w:val="21"/>
          <w:szCs w:val="21"/>
        </w:rPr>
      </w:pPr>
      <w:r>
        <w:rPr>
          <w:rFonts w:hint="eastAsia" w:hAnsi="宋体" w:cs="宋体"/>
          <w:spacing w:val="0"/>
          <w:sz w:val="21"/>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
        <w:spacing w:line="288" w:lineRule="auto"/>
        <w:ind w:firstLine="420" w:firstLineChars="200"/>
        <w:rPr>
          <w:rFonts w:hAnsi="宋体" w:cs="宋体"/>
          <w:spacing w:val="0"/>
          <w:sz w:val="21"/>
          <w:szCs w:val="21"/>
        </w:rPr>
      </w:pPr>
      <w:r>
        <w:rPr>
          <w:rFonts w:hint="eastAsia" w:hAnsi="宋体" w:cs="宋体"/>
          <w:spacing w:val="0"/>
          <w:sz w:val="21"/>
          <w:szCs w:val="21"/>
        </w:rPr>
        <w:t>磋商小组要求供应商澄清、说明或者更正响应文件应当以书面形式作出。供应商的澄清、说明或者更正应当由法定代表人或其授权代表签字或者加盖公章。</w:t>
      </w:r>
    </w:p>
    <w:p>
      <w:pPr>
        <w:pStyle w:val="2"/>
        <w:spacing w:line="288" w:lineRule="auto"/>
        <w:ind w:firstLine="0"/>
        <w:rPr>
          <w:rFonts w:hAnsi="宋体" w:cs="宋体"/>
          <w:b/>
          <w:spacing w:val="0"/>
          <w:sz w:val="24"/>
          <w:szCs w:val="24"/>
        </w:rPr>
      </w:pPr>
      <w:r>
        <w:rPr>
          <w:rFonts w:hint="eastAsia" w:hAnsi="宋体" w:cs="宋体"/>
          <w:b/>
          <w:spacing w:val="0"/>
          <w:sz w:val="24"/>
          <w:szCs w:val="24"/>
        </w:rPr>
        <w:t>（五） 评审原则和评审办法</w:t>
      </w:r>
    </w:p>
    <w:p>
      <w:pPr>
        <w:spacing w:line="288" w:lineRule="auto"/>
        <w:ind w:firstLine="420" w:firstLineChars="200"/>
        <w:rPr>
          <w:rFonts w:ascii="宋体" w:hAnsi="宋体" w:cs="宋体"/>
          <w:szCs w:val="21"/>
        </w:rPr>
      </w:pPr>
      <w:r>
        <w:rPr>
          <w:rFonts w:hint="eastAsia" w:ascii="宋体" w:hAnsi="宋体" w:cs="宋体"/>
          <w:szCs w:val="21"/>
        </w:rPr>
        <w:t>1.评审专家应当遵守评审工作纪律，不得泄露评审情况和评审中获悉的商业秘密。磋商小组成员应当按照客观、公正、审慎的原则，根据</w:t>
      </w:r>
      <w:r>
        <w:rPr>
          <w:rFonts w:hint="eastAsia" w:ascii="宋体" w:hAnsi="宋体" w:cs="宋体"/>
          <w:kern w:val="0"/>
          <w:szCs w:val="21"/>
        </w:rPr>
        <w:t>磋商文件规定的评审程序、评审方法和评审标准进行独立评审。</w:t>
      </w:r>
    </w:p>
    <w:p>
      <w:pPr>
        <w:spacing w:line="288" w:lineRule="auto"/>
        <w:ind w:firstLine="420" w:firstLineChars="200"/>
        <w:rPr>
          <w:rFonts w:ascii="宋体" w:hAnsi="宋体" w:cs="宋体"/>
          <w:bCs/>
          <w:szCs w:val="21"/>
        </w:rPr>
      </w:pPr>
      <w:r>
        <w:rPr>
          <w:rFonts w:hint="eastAsia" w:ascii="宋体" w:hAnsi="宋体" w:cs="宋体"/>
          <w:bCs/>
          <w:szCs w:val="21"/>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spacing w:line="288" w:lineRule="auto"/>
        <w:ind w:firstLine="420" w:firstLineChars="200"/>
        <w:rPr>
          <w:rFonts w:ascii="宋体" w:hAnsi="宋体" w:cs="宋体"/>
          <w:bCs/>
          <w:szCs w:val="21"/>
        </w:rPr>
      </w:pPr>
      <w:r>
        <w:rPr>
          <w:rFonts w:hint="eastAsia" w:ascii="宋体" w:hAnsi="宋体" w:cs="宋体"/>
          <w:bCs/>
          <w:szCs w:val="21"/>
        </w:rPr>
        <w:t>3.磋商文件内容违反国家有关强制性规定的，磋商小组应当停止评审并向采购人或者采购代理机构说明情况。</w:t>
      </w:r>
    </w:p>
    <w:p>
      <w:pPr>
        <w:spacing w:line="288" w:lineRule="auto"/>
        <w:ind w:firstLine="420" w:firstLineChars="200"/>
        <w:rPr>
          <w:rFonts w:ascii="宋体" w:hAnsi="宋体" w:cs="宋体"/>
          <w:kern w:val="0"/>
          <w:szCs w:val="21"/>
        </w:rPr>
      </w:pPr>
      <w:r>
        <w:rPr>
          <w:rFonts w:hint="eastAsia" w:ascii="宋体" w:hAnsi="宋体" w:cs="宋体"/>
          <w:bCs/>
          <w:szCs w:val="21"/>
        </w:rPr>
        <w:t>4.</w:t>
      </w:r>
      <w:r>
        <w:rPr>
          <w:rFonts w:hint="eastAsia" w:ascii="宋体" w:hAnsi="宋体" w:cs="宋体"/>
          <w:kern w:val="0"/>
          <w:szCs w:val="21"/>
        </w:rPr>
        <w:t>采购人、采购代理机构不得向磋商小组中的评审专家作倾向性、误导性的解释或者说明。</w:t>
      </w:r>
    </w:p>
    <w:p>
      <w:pPr>
        <w:spacing w:line="288" w:lineRule="auto"/>
        <w:ind w:firstLine="420" w:firstLineChars="200"/>
        <w:rPr>
          <w:rFonts w:ascii="宋体" w:hAnsi="宋体" w:cs="宋体"/>
          <w:bCs/>
          <w:szCs w:val="21"/>
        </w:rPr>
      </w:pPr>
      <w:r>
        <w:rPr>
          <w:rFonts w:hint="eastAsia" w:ascii="宋体" w:hAnsi="宋体" w:cs="宋体"/>
          <w:bCs/>
          <w:szCs w:val="21"/>
        </w:rPr>
        <w:t>5.已提交响应文件的供应商，在提交最后磋商报价之前，可以根据磋商情况退出磋商。</w:t>
      </w:r>
    </w:p>
    <w:p>
      <w:pPr>
        <w:spacing w:line="288" w:lineRule="auto"/>
        <w:ind w:firstLine="420" w:firstLineChars="200"/>
        <w:rPr>
          <w:rFonts w:ascii="宋体" w:hAnsi="宋体" w:cs="宋体"/>
          <w:bCs/>
          <w:szCs w:val="21"/>
        </w:rPr>
      </w:pPr>
      <w:r>
        <w:rPr>
          <w:rFonts w:hint="eastAsia" w:ascii="宋体" w:hAnsi="宋体" w:cs="宋体"/>
          <w:bCs/>
          <w:szCs w:val="21"/>
        </w:rPr>
        <w:t>6.</w:t>
      </w:r>
      <w:r>
        <w:rPr>
          <w:rFonts w:hint="eastAsia" w:ascii="宋体" w:hAnsi="宋体" w:cs="宋体"/>
          <w:kern w:val="0"/>
          <w:szCs w:val="21"/>
        </w:rPr>
        <w:t>采用竞争性磋商采购方式采购的政府购买服务项目（含政府和社会资本合作项目），在采购过程中符合要求的供应商（社会资本）只有2家的，竞争性磋商采购活动可以继续进行。</w:t>
      </w:r>
    </w:p>
    <w:p>
      <w:pPr>
        <w:pStyle w:val="2"/>
        <w:spacing w:line="288" w:lineRule="auto"/>
        <w:ind w:firstLine="420" w:firstLineChars="200"/>
        <w:rPr>
          <w:rFonts w:hAnsi="宋体" w:cs="宋体"/>
          <w:spacing w:val="0"/>
          <w:kern w:val="0"/>
          <w:sz w:val="21"/>
          <w:szCs w:val="21"/>
        </w:rPr>
      </w:pPr>
      <w:r>
        <w:rPr>
          <w:rFonts w:hint="eastAsia" w:hAnsi="宋体" w:cs="宋体"/>
          <w:bCs/>
          <w:spacing w:val="0"/>
          <w:sz w:val="21"/>
          <w:szCs w:val="21"/>
        </w:rPr>
        <w:t>7.</w:t>
      </w:r>
      <w:r>
        <w:rPr>
          <w:rFonts w:hint="eastAsia" w:hAnsi="宋体" w:cs="宋体"/>
          <w:spacing w:val="0"/>
          <w:kern w:val="0"/>
          <w:sz w:val="21"/>
          <w:szCs w:val="21"/>
        </w:rPr>
        <w:t>磋商轮次不超过三轮,具体根据项目的情况由磋商小组决定。</w:t>
      </w:r>
    </w:p>
    <w:p>
      <w:pPr>
        <w:spacing w:line="288" w:lineRule="auto"/>
        <w:ind w:firstLine="420" w:firstLineChars="200"/>
        <w:rPr>
          <w:rFonts w:ascii="宋体" w:hAnsi="宋体" w:cs="宋体"/>
          <w:bCs/>
          <w:szCs w:val="21"/>
        </w:rPr>
      </w:pPr>
      <w:r>
        <w:rPr>
          <w:rFonts w:hint="eastAsia" w:ascii="宋体" w:hAnsi="宋体" w:cs="宋体"/>
          <w:bCs/>
          <w:szCs w:val="21"/>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288" w:lineRule="auto"/>
        <w:ind w:firstLine="420" w:firstLineChars="200"/>
        <w:rPr>
          <w:rFonts w:ascii="宋体" w:hAnsi="宋体" w:cs="宋体"/>
          <w:szCs w:val="21"/>
        </w:rPr>
      </w:pPr>
      <w:r>
        <w:rPr>
          <w:rFonts w:hint="eastAsia" w:ascii="宋体" w:hAnsi="宋体" w:cs="宋体"/>
          <w:szCs w:val="21"/>
        </w:rPr>
        <w:t>9.评审办法。本项目评审办法是综合评分法，具体评审内容及评分标准等详见《第四章：评审办法及评分标准》。</w:t>
      </w:r>
    </w:p>
    <w:p>
      <w:pPr>
        <w:spacing w:line="288" w:lineRule="auto"/>
        <w:rPr>
          <w:rFonts w:ascii="宋体" w:hAnsi="宋体" w:cs="宋体"/>
          <w:b/>
          <w:sz w:val="24"/>
        </w:rPr>
      </w:pPr>
      <w:r>
        <w:rPr>
          <w:rFonts w:hint="eastAsia" w:ascii="宋体" w:hAnsi="宋体" w:cs="宋体"/>
          <w:b/>
          <w:sz w:val="24"/>
        </w:rPr>
        <w:t>（六） 成 交</w:t>
      </w:r>
    </w:p>
    <w:p>
      <w:pPr>
        <w:spacing w:line="288" w:lineRule="auto"/>
        <w:ind w:firstLine="420" w:firstLineChars="200"/>
        <w:rPr>
          <w:rFonts w:ascii="宋体" w:hAnsi="宋体" w:cs="宋体"/>
          <w:szCs w:val="21"/>
        </w:rPr>
      </w:pPr>
      <w:r>
        <w:rPr>
          <w:rFonts w:hint="eastAsia" w:ascii="宋体" w:hAnsi="宋体" w:cs="宋体"/>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288" w:lineRule="auto"/>
        <w:ind w:firstLine="420" w:firstLineChars="200"/>
        <w:rPr>
          <w:rFonts w:ascii="宋体" w:hAnsi="宋体" w:cs="宋体"/>
          <w:szCs w:val="21"/>
        </w:rPr>
      </w:pPr>
      <w:r>
        <w:rPr>
          <w:rFonts w:hint="eastAsia" w:ascii="宋体" w:hAnsi="宋体" w:cs="宋体"/>
          <w:szCs w:val="21"/>
        </w:rPr>
        <w:t>2.采购代理机构在成交供应商确定后2个工作日内在浙江政府采购网（http://www.zjzfcg.gov.cn)等相关网站或媒体上公告成交结果，同时向成交供应商发出成交通知书，并将磋商文件随成交结果同时公告。</w:t>
      </w:r>
    </w:p>
    <w:p>
      <w:pPr>
        <w:spacing w:line="288" w:lineRule="auto"/>
        <w:rPr>
          <w:rFonts w:ascii="宋体" w:hAnsi="宋体" w:cs="宋体"/>
          <w:sz w:val="24"/>
        </w:rPr>
      </w:pPr>
      <w:r>
        <w:rPr>
          <w:rFonts w:hint="eastAsia" w:ascii="宋体" w:hAnsi="宋体" w:cs="宋体"/>
          <w:b/>
          <w:bCs/>
          <w:sz w:val="24"/>
        </w:rPr>
        <w:t>（七） 合同授予</w:t>
      </w:r>
    </w:p>
    <w:p>
      <w:pPr>
        <w:spacing w:line="288" w:lineRule="auto"/>
        <w:ind w:firstLine="420" w:firstLineChars="200"/>
        <w:rPr>
          <w:rFonts w:ascii="宋体" w:hAnsi="宋体" w:cs="宋体"/>
          <w:szCs w:val="21"/>
        </w:rPr>
      </w:pPr>
      <w:r>
        <w:rPr>
          <w:rFonts w:hint="eastAsia" w:ascii="宋体" w:hAnsi="宋体" w:cs="宋体"/>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spacing w:line="288" w:lineRule="auto"/>
        <w:ind w:firstLine="420" w:firstLineChars="200"/>
        <w:rPr>
          <w:rFonts w:ascii="宋体" w:hAnsi="宋体" w:cs="宋体"/>
          <w:szCs w:val="21"/>
        </w:rPr>
      </w:pPr>
      <w:r>
        <w:rPr>
          <w:rFonts w:hint="eastAsia" w:ascii="宋体" w:hAnsi="宋体" w:cs="宋体"/>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ind w:firstLine="420" w:firstLineChars="200"/>
        <w:rPr>
          <w:rFonts w:ascii="宋体" w:hAnsi="宋体" w:cs="宋体"/>
          <w:szCs w:val="21"/>
        </w:rPr>
      </w:pPr>
    </w:p>
    <w:p>
      <w:pPr>
        <w:pStyle w:val="6"/>
        <w:spacing w:before="0" w:beforeLines="0" w:after="0" w:afterLines="0" w:line="288" w:lineRule="auto"/>
        <w:jc w:val="center"/>
        <w:outlineLvl w:val="1"/>
        <w:rPr>
          <w:rFonts w:hAnsi="宋体" w:cs="宋体"/>
          <w:b/>
          <w:sz w:val="32"/>
          <w:szCs w:val="32"/>
        </w:rPr>
      </w:pPr>
      <w:r>
        <w:rPr>
          <w:rFonts w:hint="eastAsia" w:hAnsi="宋体" w:cs="宋体"/>
          <w:b/>
          <w:sz w:val="32"/>
          <w:szCs w:val="32"/>
        </w:rPr>
        <w:br w:type="page"/>
      </w:r>
      <w:r>
        <w:rPr>
          <w:rFonts w:hint="eastAsia" w:hAnsi="宋体" w:cs="宋体"/>
          <w:b/>
          <w:sz w:val="32"/>
          <w:szCs w:val="32"/>
        </w:rPr>
        <w:t>六、可中止电子交易活动的情形</w:t>
      </w:r>
    </w:p>
    <w:p>
      <w:pPr>
        <w:spacing w:line="288" w:lineRule="auto"/>
        <w:ind w:firstLine="420" w:firstLineChars="200"/>
        <w:rPr>
          <w:rFonts w:ascii="宋体" w:hAnsi="宋体" w:cs="宋体"/>
          <w:szCs w:val="21"/>
        </w:rPr>
      </w:pPr>
      <w:r>
        <w:rPr>
          <w:rFonts w:hint="eastAsia" w:ascii="宋体" w:hAnsi="宋体" w:cs="宋体"/>
          <w:szCs w:val="21"/>
        </w:rPr>
        <w:t>采购过程中出现以下情形，导致电子交易平台无法正常运行，或者无法保证电子交易的公平、公正和安全时，采购代理机构可中止电子交易活动：</w:t>
      </w:r>
    </w:p>
    <w:p>
      <w:pPr>
        <w:spacing w:line="288" w:lineRule="auto"/>
        <w:ind w:firstLine="420" w:firstLineChars="200"/>
        <w:rPr>
          <w:rFonts w:ascii="宋体" w:hAnsi="宋体" w:cs="宋体"/>
          <w:szCs w:val="21"/>
        </w:rPr>
      </w:pPr>
      <w:r>
        <w:rPr>
          <w:rFonts w:hint="eastAsia" w:ascii="宋体" w:hAnsi="宋体" w:cs="宋体"/>
          <w:szCs w:val="21"/>
        </w:rPr>
        <w:t>1.电子交易平台发生故障而无法登录访问的；</w:t>
      </w:r>
    </w:p>
    <w:p>
      <w:pPr>
        <w:spacing w:line="288" w:lineRule="auto"/>
        <w:ind w:firstLine="420" w:firstLineChars="200"/>
        <w:rPr>
          <w:rFonts w:ascii="宋体" w:hAnsi="宋体" w:cs="宋体"/>
          <w:szCs w:val="21"/>
        </w:rPr>
      </w:pPr>
      <w:r>
        <w:rPr>
          <w:rFonts w:hint="eastAsia" w:ascii="宋体" w:hAnsi="宋体" w:cs="宋体"/>
          <w:szCs w:val="21"/>
        </w:rPr>
        <w:t>2.电子交易平台应用或数据库出现错误，不能进行正常操作的；</w:t>
      </w:r>
    </w:p>
    <w:p>
      <w:pPr>
        <w:spacing w:line="288" w:lineRule="auto"/>
        <w:ind w:firstLine="420" w:firstLineChars="200"/>
        <w:rPr>
          <w:rFonts w:ascii="宋体" w:hAnsi="宋体" w:cs="宋体"/>
          <w:szCs w:val="21"/>
        </w:rPr>
      </w:pPr>
      <w:r>
        <w:rPr>
          <w:rFonts w:hint="eastAsia" w:ascii="宋体" w:hAnsi="宋体" w:cs="宋体"/>
          <w:szCs w:val="21"/>
        </w:rPr>
        <w:t>3.电子交易平台发现严重安全漏洞，有潜在泄密危险的；</w:t>
      </w:r>
    </w:p>
    <w:p>
      <w:pPr>
        <w:spacing w:line="288" w:lineRule="auto"/>
        <w:ind w:firstLine="420" w:firstLineChars="200"/>
        <w:rPr>
          <w:rFonts w:ascii="宋体" w:hAnsi="宋体" w:cs="宋体"/>
          <w:szCs w:val="21"/>
        </w:rPr>
      </w:pPr>
      <w:r>
        <w:rPr>
          <w:rFonts w:hint="eastAsia" w:ascii="宋体" w:hAnsi="宋体" w:cs="宋体"/>
          <w:szCs w:val="21"/>
        </w:rPr>
        <w:t>4.病毒发作导致不能进行正常操作的；</w:t>
      </w:r>
    </w:p>
    <w:p>
      <w:pPr>
        <w:spacing w:line="288" w:lineRule="auto"/>
        <w:ind w:firstLine="420" w:firstLineChars="200"/>
        <w:rPr>
          <w:rFonts w:ascii="宋体" w:hAnsi="宋体" w:cs="宋体"/>
          <w:szCs w:val="21"/>
        </w:rPr>
      </w:pPr>
      <w:r>
        <w:rPr>
          <w:rFonts w:hint="eastAsia" w:ascii="宋体" w:hAnsi="宋体" w:cs="宋体"/>
          <w:szCs w:val="21"/>
        </w:rPr>
        <w:t>5.其他无法保证电子交易的公平、公正和安全的情况。</w:t>
      </w:r>
    </w:p>
    <w:p>
      <w:pPr>
        <w:spacing w:line="288" w:lineRule="auto"/>
        <w:ind w:firstLine="420" w:firstLineChars="200"/>
        <w:rPr>
          <w:rFonts w:ascii="宋体" w:hAnsi="宋体" w:cs="宋体"/>
        </w:rPr>
      </w:pPr>
      <w:r>
        <w:rPr>
          <w:rFonts w:hint="eastAsia" w:ascii="宋体" w:hAnsi="宋体" w:cs="宋体"/>
          <w:szCs w:val="21"/>
        </w:rPr>
        <w:t>出现前款规定情形，不影响采购公平、公正性的，采购代理机构可以待上述情形消除后继续组织电子交易活动；影响或可能影响采购公平、公正性的，应当重新采购。</w:t>
      </w:r>
    </w:p>
    <w:p>
      <w:pPr>
        <w:spacing w:line="288" w:lineRule="auto"/>
        <w:ind w:firstLine="420" w:firstLineChars="200"/>
        <w:rPr>
          <w:rFonts w:ascii="宋体" w:hAnsi="宋体" w:cs="宋体"/>
          <w:szCs w:val="21"/>
        </w:rPr>
      </w:pPr>
    </w:p>
    <w:p>
      <w:pPr>
        <w:pStyle w:val="6"/>
        <w:spacing w:before="0" w:beforeLines="0" w:after="0" w:afterLines="0" w:line="288" w:lineRule="auto"/>
        <w:jc w:val="center"/>
        <w:outlineLvl w:val="0"/>
        <w:rPr>
          <w:rFonts w:hAnsi="宋体" w:cs="宋体"/>
          <w:b/>
          <w:sz w:val="32"/>
          <w:szCs w:val="32"/>
        </w:rPr>
      </w:pPr>
      <w:r>
        <w:rPr>
          <w:rFonts w:hint="eastAsia" w:hAnsi="宋体" w:cs="宋体"/>
          <w:b/>
          <w:bCs/>
          <w:sz w:val="21"/>
          <w:szCs w:val="21"/>
        </w:rPr>
        <w:br w:type="page"/>
      </w:r>
      <w:r>
        <w:rPr>
          <w:rFonts w:hint="eastAsia" w:hAnsi="宋体" w:cs="宋体"/>
          <w:b/>
          <w:sz w:val="32"/>
          <w:szCs w:val="32"/>
        </w:rPr>
        <w:t>第四章  评审办法及评分标准</w:t>
      </w:r>
    </w:p>
    <w:p>
      <w:pPr>
        <w:spacing w:line="288" w:lineRule="auto"/>
        <w:rPr>
          <w:rFonts w:ascii="宋体" w:hAnsi="宋体" w:cs="宋体"/>
          <w:b/>
          <w:sz w:val="24"/>
        </w:rPr>
      </w:pPr>
      <w:r>
        <w:rPr>
          <w:rFonts w:hint="eastAsia" w:ascii="宋体" w:hAnsi="宋体" w:cs="宋体"/>
          <w:b/>
          <w:sz w:val="24"/>
        </w:rPr>
        <w:t>一、总则</w:t>
      </w:r>
    </w:p>
    <w:p>
      <w:pPr>
        <w:spacing w:line="288" w:lineRule="auto"/>
        <w:ind w:firstLine="420" w:firstLineChars="200"/>
        <w:rPr>
          <w:rFonts w:ascii="宋体" w:hAnsi="宋体" w:cs="宋体"/>
          <w:bCs/>
          <w:szCs w:val="21"/>
        </w:rPr>
      </w:pPr>
      <w:r>
        <w:rPr>
          <w:rFonts w:hint="eastAsia" w:ascii="宋体" w:hAnsi="宋体" w:cs="宋体"/>
          <w:szCs w:val="21"/>
        </w:rPr>
        <w:t>本次评审采用综合评分法，总分为100分。合格供应商的评审得分为各项目汇总得分，磋商小组应当根据综合评分情况，按照评审得分由高到低顺序推荐3名以上成交候选供应商，评审得分相同的，按照最后磋商报价由低到高的顺序推荐。评审得分且最后磋商报价相同的，按照技术指标优劣顺序推荐。</w:t>
      </w:r>
      <w:r>
        <w:rPr>
          <w:rFonts w:hint="eastAsia" w:ascii="宋体" w:hAnsi="宋体" w:cs="宋体"/>
          <w:bCs/>
          <w:szCs w:val="21"/>
        </w:rPr>
        <w:t>评分过程中采用四舍五入法，并保留小数2位。</w:t>
      </w:r>
    </w:p>
    <w:p>
      <w:pPr>
        <w:spacing w:line="288" w:lineRule="auto"/>
        <w:ind w:firstLine="420" w:firstLineChars="200"/>
        <w:rPr>
          <w:rFonts w:ascii="宋体" w:hAnsi="宋体" w:cs="宋体"/>
          <w:bCs/>
          <w:szCs w:val="21"/>
        </w:rPr>
      </w:pPr>
      <w:r>
        <w:rPr>
          <w:rFonts w:hint="eastAsia" w:ascii="宋体" w:hAnsi="宋体" w:cs="宋体"/>
          <w:szCs w:val="21"/>
        </w:rPr>
        <w:t>供应商评审</w:t>
      </w:r>
      <w:r>
        <w:rPr>
          <w:rFonts w:hint="eastAsia" w:ascii="宋体" w:hAnsi="宋体" w:cs="宋体"/>
          <w:bCs/>
          <w:szCs w:val="21"/>
        </w:rPr>
        <w:t>综合得分=商务分+技术分+价格分</w:t>
      </w:r>
    </w:p>
    <w:p>
      <w:pPr>
        <w:spacing w:line="288" w:lineRule="auto"/>
        <w:ind w:firstLine="420" w:firstLineChars="200"/>
        <w:rPr>
          <w:rFonts w:ascii="宋体" w:hAnsi="宋体" w:cs="宋体"/>
          <w:szCs w:val="21"/>
        </w:rPr>
      </w:pPr>
      <w:r>
        <w:rPr>
          <w:rFonts w:hint="eastAsia" w:ascii="宋体" w:hAnsi="宋体" w:cs="宋体"/>
          <w:bCs/>
          <w:szCs w:val="21"/>
        </w:rPr>
        <w:t>商务分、技术分按照磋商小组成员的独立评分结果的算术平均分计算，计算公式为：商务分、技术分=（磋商小组所有成员评分合计数）/（磋商小组组成人员数）</w:t>
      </w:r>
    </w:p>
    <w:p>
      <w:pPr>
        <w:numPr>
          <w:ilvl w:val="0"/>
          <w:numId w:val="3"/>
        </w:numPr>
        <w:spacing w:line="288" w:lineRule="auto"/>
        <w:rPr>
          <w:rFonts w:ascii="宋体" w:hAnsi="宋体" w:cs="宋体"/>
          <w:b/>
          <w:bCs/>
          <w:szCs w:val="21"/>
        </w:rPr>
      </w:pPr>
      <w:r>
        <w:rPr>
          <w:rFonts w:hint="eastAsia" w:ascii="宋体" w:hAnsi="宋体" w:cs="宋体"/>
          <w:b/>
          <w:sz w:val="24"/>
        </w:rPr>
        <w:t>评审内容及标准</w:t>
      </w:r>
    </w:p>
    <w:p>
      <w:pPr>
        <w:pStyle w:val="14"/>
      </w:pPr>
    </w:p>
    <w:tbl>
      <w:tblPr>
        <w:tblStyle w:val="10"/>
        <w:tblW w:w="51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676"/>
        <w:gridCol w:w="7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pct"/>
            <w:vAlign w:val="center"/>
          </w:tcPr>
          <w:p>
            <w:pPr>
              <w:jc w:val="center"/>
              <w:rPr>
                <w:rFonts w:ascii="宋体" w:hAnsi="宋体"/>
                <w:b/>
                <w:bCs/>
                <w:szCs w:val="21"/>
              </w:rPr>
            </w:pPr>
            <w:r>
              <w:rPr>
                <w:rFonts w:ascii="宋体" w:hAnsi="宋体"/>
                <w:b/>
                <w:bCs/>
                <w:szCs w:val="21"/>
              </w:rPr>
              <w:t>评分项目</w:t>
            </w:r>
          </w:p>
        </w:tc>
        <w:tc>
          <w:tcPr>
            <w:tcW w:w="342" w:type="pct"/>
            <w:vAlign w:val="center"/>
          </w:tcPr>
          <w:p>
            <w:pPr>
              <w:jc w:val="center"/>
              <w:rPr>
                <w:rFonts w:ascii="宋体" w:hAnsi="宋体"/>
                <w:b/>
                <w:bCs/>
                <w:szCs w:val="21"/>
              </w:rPr>
            </w:pPr>
            <w:r>
              <w:rPr>
                <w:rFonts w:ascii="宋体" w:hAnsi="宋体"/>
                <w:b/>
                <w:bCs/>
                <w:szCs w:val="21"/>
              </w:rPr>
              <w:t>分值</w:t>
            </w:r>
          </w:p>
        </w:tc>
        <w:tc>
          <w:tcPr>
            <w:tcW w:w="3747" w:type="pct"/>
            <w:vAlign w:val="center"/>
          </w:tcPr>
          <w:p>
            <w:pPr>
              <w:jc w:val="center"/>
              <w:rPr>
                <w:rFonts w:ascii="宋体" w:hAnsi="宋体"/>
                <w:b/>
                <w:bCs/>
                <w:szCs w:val="21"/>
              </w:rPr>
            </w:pPr>
            <w:r>
              <w:rPr>
                <w:rFonts w:ascii="宋体" w:hAnsi="宋体"/>
                <w:b/>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pPr>
              <w:jc w:val="center"/>
              <w:rPr>
                <w:rFonts w:ascii="宋体" w:hAnsi="宋体"/>
                <w:szCs w:val="21"/>
              </w:rPr>
            </w:pPr>
            <w:r>
              <w:rPr>
                <w:rFonts w:ascii="宋体" w:hAnsi="宋体"/>
                <w:b/>
                <w:bCs/>
                <w:szCs w:val="21"/>
              </w:rPr>
              <w:t>价格分（</w:t>
            </w:r>
            <w:r>
              <w:rPr>
                <w:rFonts w:hint="eastAsia" w:ascii="宋体" w:hAnsi="宋体"/>
                <w:b/>
                <w:bCs/>
                <w:szCs w:val="21"/>
              </w:rPr>
              <w:t>15</w:t>
            </w:r>
            <w:r>
              <w:rPr>
                <w:rFonts w:ascii="宋体" w:hAnsi="宋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pct"/>
            <w:vAlign w:val="center"/>
          </w:tcPr>
          <w:p>
            <w:pPr>
              <w:jc w:val="center"/>
              <w:rPr>
                <w:rFonts w:ascii="宋体" w:hAnsi="宋体"/>
                <w:szCs w:val="21"/>
              </w:rPr>
            </w:pPr>
            <w:r>
              <w:rPr>
                <w:rFonts w:hint="eastAsia" w:ascii="宋体" w:hAnsi="宋体"/>
                <w:szCs w:val="21"/>
              </w:rPr>
              <w:t>最后磋商报价</w:t>
            </w:r>
          </w:p>
        </w:tc>
        <w:tc>
          <w:tcPr>
            <w:tcW w:w="342" w:type="pct"/>
            <w:vAlign w:val="center"/>
          </w:tcPr>
          <w:p>
            <w:pPr>
              <w:jc w:val="center"/>
              <w:rPr>
                <w:rFonts w:ascii="宋体" w:hAnsi="宋体"/>
                <w:szCs w:val="21"/>
              </w:rPr>
            </w:pPr>
            <w:r>
              <w:rPr>
                <w:rFonts w:hint="eastAsia" w:ascii="宋体" w:hAnsi="宋体"/>
                <w:szCs w:val="21"/>
              </w:rPr>
              <w:t>15</w:t>
            </w:r>
          </w:p>
        </w:tc>
        <w:tc>
          <w:tcPr>
            <w:tcW w:w="3747" w:type="pct"/>
            <w:vAlign w:val="center"/>
          </w:tcPr>
          <w:p>
            <w:pPr>
              <w:rPr>
                <w:rFonts w:ascii="宋体" w:hAnsi="宋体"/>
                <w:szCs w:val="21"/>
              </w:rPr>
            </w:pPr>
            <w:r>
              <w:rPr>
                <w:rFonts w:hint="eastAsia" w:ascii="宋体" w:hAnsi="宋体"/>
                <w:szCs w:val="21"/>
              </w:rPr>
              <w:t>价格分采用低价优先法计算，即满足磋商文件要求且最后磋商报价最低的供应商的价格为磋商基准价，其价格分为满分。其他供应商的价格分统一按照下列公式计算：</w:t>
            </w:r>
          </w:p>
          <w:p>
            <w:pPr>
              <w:rPr>
                <w:rFonts w:ascii="宋体" w:hAnsi="宋体"/>
                <w:szCs w:val="21"/>
              </w:rPr>
            </w:pPr>
            <w:r>
              <w:rPr>
                <w:rFonts w:hint="eastAsia" w:ascii="宋体" w:hAnsi="宋体"/>
                <w:szCs w:val="21"/>
              </w:rPr>
              <w:t>磋商报价得分=（磋商基准价/最后磋商报价）×15%×100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pPr>
              <w:jc w:val="center"/>
              <w:rPr>
                <w:rFonts w:ascii="宋体" w:hAnsi="宋体"/>
                <w:szCs w:val="21"/>
              </w:rPr>
            </w:pPr>
            <w:r>
              <w:rPr>
                <w:rFonts w:ascii="宋体" w:hAnsi="宋体"/>
                <w:b/>
                <w:bCs/>
                <w:szCs w:val="21"/>
              </w:rPr>
              <w:t>商务</w:t>
            </w:r>
            <w:r>
              <w:rPr>
                <w:rFonts w:hint="eastAsia" w:ascii="宋体" w:hAnsi="宋体"/>
                <w:b/>
                <w:bCs/>
                <w:szCs w:val="21"/>
              </w:rPr>
              <w:t>分</w:t>
            </w:r>
            <w:r>
              <w:rPr>
                <w:rFonts w:ascii="宋体" w:hAnsi="宋体"/>
                <w:b/>
                <w:bCs/>
                <w:szCs w:val="21"/>
              </w:rPr>
              <w:t>（</w:t>
            </w:r>
            <w:r>
              <w:rPr>
                <w:rFonts w:hint="eastAsia" w:ascii="宋体" w:hAnsi="宋体"/>
                <w:b/>
                <w:bCs/>
                <w:szCs w:val="21"/>
              </w:rPr>
              <w:t>13</w:t>
            </w:r>
            <w:r>
              <w:rPr>
                <w:rFonts w:ascii="宋体" w:hAnsi="宋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pct"/>
            <w:vMerge w:val="restart"/>
            <w:vAlign w:val="center"/>
          </w:tcPr>
          <w:p>
            <w:pPr>
              <w:jc w:val="center"/>
              <w:rPr>
                <w:rFonts w:ascii="宋体" w:hAnsi="宋体"/>
                <w:szCs w:val="21"/>
              </w:rPr>
            </w:pPr>
            <w:r>
              <w:rPr>
                <w:rFonts w:ascii="宋体" w:hAnsi="宋体"/>
                <w:szCs w:val="21"/>
              </w:rPr>
              <w:t>业绩</w:t>
            </w:r>
          </w:p>
        </w:tc>
        <w:tc>
          <w:tcPr>
            <w:tcW w:w="342" w:type="pct"/>
            <w:vAlign w:val="center"/>
          </w:tcPr>
          <w:p>
            <w:pPr>
              <w:jc w:val="center"/>
              <w:rPr>
                <w:rFonts w:ascii="宋体" w:hAnsi="宋体"/>
                <w:szCs w:val="21"/>
              </w:rPr>
            </w:pPr>
            <w:r>
              <w:rPr>
                <w:rFonts w:hint="eastAsia" w:ascii="宋体" w:hAnsi="宋体"/>
                <w:szCs w:val="21"/>
              </w:rPr>
              <w:t>5</w:t>
            </w:r>
          </w:p>
        </w:tc>
        <w:tc>
          <w:tcPr>
            <w:tcW w:w="3747" w:type="pct"/>
            <w:vAlign w:val="center"/>
          </w:tcPr>
          <w:p>
            <w:pPr>
              <w:rPr>
                <w:rFonts w:ascii="宋体" w:hAnsi="宋体"/>
                <w:szCs w:val="21"/>
              </w:rPr>
            </w:pPr>
            <w:r>
              <w:rPr>
                <w:rFonts w:hint="eastAsia" w:ascii="宋体" w:hAnsi="宋体"/>
                <w:szCs w:val="21"/>
              </w:rPr>
              <w:t>供应商自 201</w:t>
            </w:r>
            <w:r>
              <w:rPr>
                <w:rFonts w:ascii="宋体" w:hAnsi="宋体"/>
                <w:szCs w:val="21"/>
              </w:rPr>
              <w:t>8</w:t>
            </w:r>
            <w:r>
              <w:rPr>
                <w:rFonts w:hint="eastAsia" w:ascii="宋体" w:hAnsi="宋体"/>
                <w:szCs w:val="21"/>
              </w:rPr>
              <w:t xml:space="preserve"> 年 1 月 1 日以来（以合同签订时间为准）具有类似其它图书馆剔旧打包盘点承包经验项目成功应用的案例，每提供1个合同得1分。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pct"/>
            <w:vMerge w:val="continue"/>
            <w:vAlign w:val="center"/>
          </w:tcPr>
          <w:p>
            <w:pPr>
              <w:jc w:val="center"/>
              <w:rPr>
                <w:rFonts w:ascii="宋体" w:hAnsi="宋体"/>
                <w:szCs w:val="21"/>
              </w:rPr>
            </w:pPr>
          </w:p>
        </w:tc>
        <w:tc>
          <w:tcPr>
            <w:tcW w:w="342" w:type="pct"/>
            <w:vAlign w:val="center"/>
          </w:tcPr>
          <w:p>
            <w:pPr>
              <w:jc w:val="center"/>
              <w:rPr>
                <w:rFonts w:ascii="宋体" w:hAnsi="宋体"/>
                <w:szCs w:val="21"/>
              </w:rPr>
            </w:pPr>
            <w:r>
              <w:rPr>
                <w:rFonts w:hint="eastAsia" w:ascii="宋体" w:hAnsi="宋体"/>
                <w:szCs w:val="21"/>
              </w:rPr>
              <w:t>5</w:t>
            </w:r>
          </w:p>
        </w:tc>
        <w:tc>
          <w:tcPr>
            <w:tcW w:w="3747" w:type="pct"/>
            <w:vAlign w:val="center"/>
          </w:tcPr>
          <w:p>
            <w:pPr>
              <w:rPr>
                <w:rFonts w:ascii="宋体" w:hAnsi="宋体"/>
                <w:szCs w:val="21"/>
              </w:rPr>
            </w:pPr>
            <w:r>
              <w:rPr>
                <w:rFonts w:hint="eastAsia" w:ascii="宋体" w:hAnsi="宋体"/>
                <w:szCs w:val="21"/>
              </w:rPr>
              <w:t>拟投入本项目的项目负责人必须具有3年以上同类业绩并提供相应证明材料，每提供1个合同得1分，不得与公司业绩重复。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pct"/>
            <w:vAlign w:val="center"/>
          </w:tcPr>
          <w:p>
            <w:pPr>
              <w:jc w:val="center"/>
              <w:rPr>
                <w:rFonts w:ascii="宋体" w:hAnsi="宋体"/>
                <w:szCs w:val="21"/>
              </w:rPr>
            </w:pPr>
            <w:r>
              <w:rPr>
                <w:rFonts w:hint="eastAsia" w:ascii="宋体" w:hAnsi="宋体"/>
                <w:szCs w:val="21"/>
              </w:rPr>
              <w:t>供应商信誉</w:t>
            </w:r>
          </w:p>
        </w:tc>
        <w:tc>
          <w:tcPr>
            <w:tcW w:w="342" w:type="pct"/>
            <w:vAlign w:val="center"/>
          </w:tcPr>
          <w:p>
            <w:pPr>
              <w:ind w:firstLine="210" w:firstLineChars="100"/>
              <w:rPr>
                <w:rFonts w:ascii="宋体" w:hAnsi="宋体"/>
                <w:szCs w:val="21"/>
              </w:rPr>
            </w:pPr>
            <w:r>
              <w:rPr>
                <w:rFonts w:ascii="宋体" w:hAnsi="宋体"/>
                <w:szCs w:val="21"/>
              </w:rPr>
              <w:t>3</w:t>
            </w:r>
          </w:p>
        </w:tc>
        <w:tc>
          <w:tcPr>
            <w:tcW w:w="3747" w:type="pct"/>
            <w:vAlign w:val="center"/>
          </w:tcPr>
          <w:p>
            <w:pPr>
              <w:rPr>
                <w:rFonts w:ascii="宋体" w:hAnsi="宋体"/>
                <w:szCs w:val="21"/>
              </w:rPr>
            </w:pPr>
            <w:r>
              <w:rPr>
                <w:rFonts w:hint="eastAsia" w:ascii="宋体" w:hAnsi="宋体"/>
                <w:spacing w:val="-6"/>
                <w:szCs w:val="21"/>
              </w:rPr>
              <w:t>具有</w:t>
            </w:r>
            <w:r>
              <w:rPr>
                <w:rFonts w:ascii="宋体" w:hAnsi="宋体"/>
                <w:spacing w:val="-6"/>
                <w:szCs w:val="21"/>
              </w:rPr>
              <w:t>ISO</w:t>
            </w:r>
            <w:r>
              <w:rPr>
                <w:rFonts w:hint="eastAsia" w:ascii="宋体" w:hAnsi="宋体"/>
                <w:spacing w:val="-6"/>
                <w:szCs w:val="21"/>
              </w:rPr>
              <w:t>系列管理体系认证、有关部门颁发的企业信誉相关的奖项，每提供一份有效证明材料得</w:t>
            </w:r>
            <w:r>
              <w:rPr>
                <w:rFonts w:ascii="宋体" w:hAnsi="宋体"/>
                <w:spacing w:val="-6"/>
                <w:szCs w:val="21"/>
              </w:rPr>
              <w:t>1</w:t>
            </w:r>
            <w:r>
              <w:rPr>
                <w:rFonts w:hint="eastAsia" w:ascii="宋体" w:hAnsi="宋体"/>
                <w:spacing w:val="-6"/>
                <w:szCs w:val="21"/>
              </w:rPr>
              <w:t>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pPr>
              <w:jc w:val="center"/>
              <w:rPr>
                <w:rFonts w:ascii="宋体" w:hAnsi="宋体"/>
                <w:szCs w:val="21"/>
              </w:rPr>
            </w:pPr>
            <w:r>
              <w:rPr>
                <w:rFonts w:ascii="宋体" w:hAnsi="宋体"/>
                <w:b/>
                <w:bCs/>
                <w:szCs w:val="21"/>
              </w:rPr>
              <w:t>技术分（</w:t>
            </w:r>
            <w:r>
              <w:rPr>
                <w:rFonts w:hint="eastAsia" w:ascii="宋体" w:hAnsi="宋体"/>
                <w:b/>
                <w:bCs/>
                <w:szCs w:val="21"/>
              </w:rPr>
              <w:t>72</w:t>
            </w:r>
            <w:r>
              <w:rPr>
                <w:rFonts w:ascii="宋体" w:hAnsi="宋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pct"/>
            <w:vAlign w:val="center"/>
          </w:tcPr>
          <w:p>
            <w:pPr>
              <w:jc w:val="center"/>
              <w:rPr>
                <w:rFonts w:ascii="宋体" w:hAnsi="宋体"/>
                <w:szCs w:val="21"/>
              </w:rPr>
            </w:pPr>
            <w:r>
              <w:rPr>
                <w:rFonts w:hint="eastAsia" w:ascii="宋体" w:hAnsi="宋体"/>
                <w:szCs w:val="21"/>
              </w:rPr>
              <w:t>响应程度</w:t>
            </w:r>
          </w:p>
        </w:tc>
        <w:tc>
          <w:tcPr>
            <w:tcW w:w="342" w:type="pct"/>
            <w:vAlign w:val="center"/>
          </w:tcPr>
          <w:p>
            <w:pPr>
              <w:ind w:firstLine="105" w:firstLineChars="50"/>
              <w:rPr>
                <w:rFonts w:ascii="宋体" w:hAnsi="宋体"/>
                <w:szCs w:val="21"/>
              </w:rPr>
            </w:pPr>
            <w:r>
              <w:rPr>
                <w:rFonts w:hint="eastAsia" w:ascii="宋体" w:hAnsi="宋体"/>
                <w:szCs w:val="21"/>
              </w:rPr>
              <w:t>15</w:t>
            </w:r>
          </w:p>
        </w:tc>
        <w:tc>
          <w:tcPr>
            <w:tcW w:w="3747" w:type="pct"/>
            <w:vAlign w:val="center"/>
          </w:tcPr>
          <w:p>
            <w:pPr>
              <w:rPr>
                <w:rFonts w:ascii="宋体" w:hAnsi="宋体"/>
                <w:szCs w:val="21"/>
              </w:rPr>
            </w:pPr>
            <w:r>
              <w:rPr>
                <w:rFonts w:hint="eastAsia" w:ascii="宋体" w:hAnsi="宋体"/>
                <w:szCs w:val="21"/>
              </w:rPr>
              <w:t>全部满足采购文件明确的采购需求的，得15分；</w:t>
            </w:r>
          </w:p>
          <w:p>
            <w:pPr>
              <w:rPr>
                <w:rFonts w:ascii="宋体" w:hAnsi="宋体"/>
                <w:szCs w:val="21"/>
              </w:rPr>
            </w:pPr>
            <w:r>
              <w:rPr>
                <w:rFonts w:hint="eastAsia" w:ascii="宋体" w:hAnsi="宋体"/>
                <w:szCs w:val="21"/>
              </w:rPr>
              <w:t>允许偏离的采购需求条款低于采购需求要求（负偏离）的，每条扣3分（15分，扣完为止）。允许偏离的采购需求条款低于采购需求要求（负偏离）达到6条及以上的响应文件无效。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pct"/>
            <w:vMerge w:val="restart"/>
            <w:vAlign w:val="center"/>
          </w:tcPr>
          <w:p>
            <w:pPr>
              <w:jc w:val="center"/>
              <w:rPr>
                <w:rFonts w:ascii="宋体" w:hAnsi="宋体"/>
                <w:szCs w:val="21"/>
              </w:rPr>
            </w:pPr>
            <w:r>
              <w:rPr>
                <w:rFonts w:hint="eastAsia" w:ascii="宋体" w:hAnsi="宋体"/>
                <w:szCs w:val="21"/>
              </w:rPr>
              <w:t>服务方案</w:t>
            </w:r>
          </w:p>
        </w:tc>
        <w:tc>
          <w:tcPr>
            <w:tcW w:w="342" w:type="pct"/>
            <w:vAlign w:val="center"/>
          </w:tcPr>
          <w:p>
            <w:pPr>
              <w:ind w:firstLine="210" w:firstLineChars="100"/>
              <w:rPr>
                <w:rFonts w:ascii="宋体" w:hAnsi="宋体"/>
                <w:szCs w:val="21"/>
              </w:rPr>
            </w:pPr>
            <w:r>
              <w:rPr>
                <w:rFonts w:ascii="宋体" w:hAnsi="宋体"/>
                <w:szCs w:val="21"/>
              </w:rPr>
              <w:t>5</w:t>
            </w:r>
          </w:p>
        </w:tc>
        <w:tc>
          <w:tcPr>
            <w:tcW w:w="3747" w:type="pct"/>
            <w:vAlign w:val="center"/>
          </w:tcPr>
          <w:p>
            <w:pPr>
              <w:rPr>
                <w:rFonts w:ascii="宋体" w:hAnsi="宋体"/>
                <w:szCs w:val="21"/>
              </w:rPr>
            </w:pPr>
            <w:r>
              <w:rPr>
                <w:rFonts w:hint="eastAsia" w:ascii="宋体" w:hAnsi="宋体"/>
                <w:szCs w:val="21"/>
              </w:rPr>
              <w:t>供应商对本项目背景理解是否到位，根据采购需求提出的服务方案，以及方案合理性和可操作性等进行综合评分。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pct"/>
            <w:vMerge w:val="continue"/>
            <w:vAlign w:val="center"/>
          </w:tcPr>
          <w:p>
            <w:pPr>
              <w:jc w:val="center"/>
              <w:rPr>
                <w:rFonts w:ascii="宋体" w:hAnsi="宋体"/>
                <w:szCs w:val="21"/>
              </w:rPr>
            </w:pPr>
          </w:p>
        </w:tc>
        <w:tc>
          <w:tcPr>
            <w:tcW w:w="342" w:type="pct"/>
            <w:vAlign w:val="center"/>
          </w:tcPr>
          <w:p>
            <w:pPr>
              <w:ind w:firstLine="210" w:firstLineChars="100"/>
              <w:rPr>
                <w:rFonts w:ascii="宋体" w:hAnsi="宋体"/>
                <w:szCs w:val="21"/>
              </w:rPr>
            </w:pPr>
            <w:r>
              <w:rPr>
                <w:rFonts w:hint="eastAsia" w:ascii="宋体" w:hAnsi="宋体"/>
                <w:szCs w:val="21"/>
              </w:rPr>
              <w:t>5</w:t>
            </w:r>
          </w:p>
        </w:tc>
        <w:tc>
          <w:tcPr>
            <w:tcW w:w="3747" w:type="pct"/>
            <w:vAlign w:val="center"/>
          </w:tcPr>
          <w:p>
            <w:pPr>
              <w:rPr>
                <w:rFonts w:ascii="宋体" w:hAnsi="宋体"/>
                <w:szCs w:val="21"/>
              </w:rPr>
            </w:pPr>
            <w:r>
              <w:rPr>
                <w:rFonts w:hint="eastAsia" w:ascii="宋体" w:hAnsi="宋体"/>
                <w:szCs w:val="21"/>
              </w:rPr>
              <w:t>关于疫情环境下，</w:t>
            </w:r>
            <w:r>
              <w:rPr>
                <w:rFonts w:hint="eastAsia" w:ascii="宋体" w:hAnsi="宋体" w:cs="宋体"/>
                <w:szCs w:val="21"/>
              </w:rPr>
              <w:t>服从采购人协调和统一管理及配合措施，以及特殊服务承诺措施。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pct"/>
            <w:vMerge w:val="restart"/>
            <w:vAlign w:val="center"/>
          </w:tcPr>
          <w:p>
            <w:pPr>
              <w:jc w:val="center"/>
              <w:rPr>
                <w:rFonts w:ascii="宋体" w:hAnsi="宋体" w:cs="宋体"/>
                <w:spacing w:val="-6"/>
                <w:szCs w:val="21"/>
              </w:rPr>
            </w:pPr>
            <w:r>
              <w:rPr>
                <w:rFonts w:hint="eastAsia" w:ascii="宋体" w:hAnsi="宋体" w:cs="宋体"/>
                <w:spacing w:val="-6"/>
                <w:szCs w:val="21"/>
              </w:rPr>
              <w:t>进度安排</w:t>
            </w:r>
          </w:p>
        </w:tc>
        <w:tc>
          <w:tcPr>
            <w:tcW w:w="342" w:type="pct"/>
            <w:vAlign w:val="center"/>
          </w:tcPr>
          <w:p>
            <w:pPr>
              <w:jc w:val="center"/>
              <w:rPr>
                <w:rFonts w:ascii="宋体" w:hAnsi="宋体" w:cs="宋体"/>
                <w:spacing w:val="-6"/>
                <w:szCs w:val="21"/>
              </w:rPr>
            </w:pPr>
            <w:r>
              <w:rPr>
                <w:rFonts w:hint="eastAsia" w:ascii="宋体" w:hAnsi="宋体" w:cs="宋体"/>
                <w:spacing w:val="-6"/>
                <w:szCs w:val="21"/>
              </w:rPr>
              <w:t>5</w:t>
            </w:r>
          </w:p>
        </w:tc>
        <w:tc>
          <w:tcPr>
            <w:tcW w:w="3747" w:type="pct"/>
            <w:vAlign w:val="center"/>
          </w:tcPr>
          <w:p>
            <w:pPr>
              <w:rPr>
                <w:rFonts w:ascii="宋体" w:hAnsi="宋体"/>
                <w:szCs w:val="21"/>
              </w:rPr>
            </w:pPr>
            <w:r>
              <w:rPr>
                <w:rFonts w:hint="eastAsia" w:ascii="宋体" w:hAnsi="宋体"/>
                <w:szCs w:val="21"/>
              </w:rPr>
              <w:t>供应商针对项目的时间进度安排的条理性。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pct"/>
            <w:vMerge w:val="continue"/>
            <w:vAlign w:val="center"/>
          </w:tcPr>
          <w:p>
            <w:pPr>
              <w:jc w:val="center"/>
              <w:rPr>
                <w:rFonts w:ascii="宋体" w:hAnsi="宋体"/>
                <w:szCs w:val="21"/>
              </w:rPr>
            </w:pPr>
          </w:p>
        </w:tc>
        <w:tc>
          <w:tcPr>
            <w:tcW w:w="342" w:type="pct"/>
            <w:vAlign w:val="center"/>
          </w:tcPr>
          <w:p>
            <w:pPr>
              <w:jc w:val="center"/>
              <w:rPr>
                <w:rFonts w:ascii="宋体" w:hAnsi="宋体" w:cs="宋体"/>
                <w:spacing w:val="-6"/>
                <w:szCs w:val="21"/>
              </w:rPr>
            </w:pPr>
            <w:r>
              <w:rPr>
                <w:rFonts w:hint="eastAsia" w:ascii="宋体" w:hAnsi="宋体" w:cs="宋体"/>
                <w:spacing w:val="-6"/>
                <w:szCs w:val="21"/>
              </w:rPr>
              <w:t>5</w:t>
            </w:r>
          </w:p>
        </w:tc>
        <w:tc>
          <w:tcPr>
            <w:tcW w:w="3747" w:type="pct"/>
            <w:vAlign w:val="center"/>
          </w:tcPr>
          <w:p>
            <w:pPr>
              <w:rPr>
                <w:rFonts w:ascii="宋体" w:hAnsi="宋体"/>
                <w:szCs w:val="21"/>
              </w:rPr>
            </w:pPr>
            <w:r>
              <w:rPr>
                <w:rFonts w:hint="eastAsia" w:ascii="宋体" w:hAnsi="宋体"/>
                <w:szCs w:val="21"/>
              </w:rPr>
              <w:t>供应商按时完成项目的保证措施的科学性、合理性。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pct"/>
            <w:vMerge w:val="restart"/>
            <w:vAlign w:val="center"/>
          </w:tcPr>
          <w:p>
            <w:pPr>
              <w:jc w:val="center"/>
              <w:rPr>
                <w:rFonts w:ascii="宋体" w:hAnsi="宋体"/>
                <w:szCs w:val="21"/>
              </w:rPr>
            </w:pPr>
            <w:r>
              <w:rPr>
                <w:rFonts w:hint="eastAsia" w:ascii="宋体" w:hAnsi="宋体"/>
                <w:szCs w:val="21"/>
              </w:rPr>
              <w:t>重难点分析及解决措施</w:t>
            </w:r>
          </w:p>
        </w:tc>
        <w:tc>
          <w:tcPr>
            <w:tcW w:w="342" w:type="pct"/>
            <w:vAlign w:val="center"/>
          </w:tcPr>
          <w:p>
            <w:pPr>
              <w:ind w:firstLine="210" w:firstLineChars="100"/>
              <w:rPr>
                <w:rFonts w:ascii="宋体" w:hAnsi="宋体"/>
                <w:szCs w:val="21"/>
              </w:rPr>
            </w:pPr>
            <w:r>
              <w:rPr>
                <w:rFonts w:hint="eastAsia" w:ascii="宋体" w:hAnsi="宋体"/>
                <w:szCs w:val="21"/>
              </w:rPr>
              <w:t>5</w:t>
            </w:r>
          </w:p>
        </w:tc>
        <w:tc>
          <w:tcPr>
            <w:tcW w:w="3747" w:type="pct"/>
            <w:vAlign w:val="center"/>
          </w:tcPr>
          <w:p>
            <w:pPr>
              <w:rPr>
                <w:rFonts w:ascii="宋体" w:hAnsi="宋体"/>
                <w:szCs w:val="21"/>
              </w:rPr>
            </w:pPr>
            <w:r>
              <w:rPr>
                <w:rFonts w:hint="eastAsia" w:ascii="宋体" w:hAnsi="宋体"/>
                <w:szCs w:val="21"/>
              </w:rPr>
              <w:t>供应商针对本项目提出的重点、难点是否具有参考性，对项目实施具有指导意义。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pct"/>
            <w:vMerge w:val="continue"/>
            <w:vAlign w:val="center"/>
          </w:tcPr>
          <w:p>
            <w:pPr>
              <w:jc w:val="center"/>
              <w:rPr>
                <w:rFonts w:ascii="宋体" w:hAnsi="宋体"/>
                <w:szCs w:val="21"/>
              </w:rPr>
            </w:pPr>
          </w:p>
        </w:tc>
        <w:tc>
          <w:tcPr>
            <w:tcW w:w="342" w:type="pct"/>
            <w:vAlign w:val="center"/>
          </w:tcPr>
          <w:p>
            <w:pPr>
              <w:ind w:firstLine="210" w:firstLineChars="100"/>
              <w:rPr>
                <w:rFonts w:ascii="宋体" w:hAnsi="宋体"/>
                <w:szCs w:val="21"/>
              </w:rPr>
            </w:pPr>
            <w:r>
              <w:rPr>
                <w:rFonts w:hint="eastAsia" w:ascii="宋体" w:hAnsi="宋体"/>
                <w:szCs w:val="21"/>
              </w:rPr>
              <w:t>5</w:t>
            </w:r>
          </w:p>
        </w:tc>
        <w:tc>
          <w:tcPr>
            <w:tcW w:w="3747" w:type="pct"/>
            <w:vAlign w:val="center"/>
          </w:tcPr>
          <w:p>
            <w:pPr>
              <w:rPr>
                <w:rFonts w:ascii="宋体" w:hAnsi="宋体"/>
                <w:szCs w:val="21"/>
              </w:rPr>
            </w:pPr>
            <w:r>
              <w:rPr>
                <w:rFonts w:hint="eastAsia" w:ascii="宋体" w:hAnsi="宋体"/>
                <w:szCs w:val="21"/>
              </w:rPr>
              <w:t>针对供应商提出的重难点是否有相应的解决措施，措施是否科学合理。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pct"/>
            <w:vMerge w:val="restart"/>
            <w:vAlign w:val="center"/>
          </w:tcPr>
          <w:p>
            <w:pPr>
              <w:jc w:val="center"/>
            </w:pPr>
            <w:r>
              <w:rPr>
                <w:rFonts w:hint="eastAsia" w:ascii="宋体" w:hAnsi="宋体" w:cs="宋体"/>
                <w:szCs w:val="21"/>
              </w:rPr>
              <w:t>制度保障</w:t>
            </w:r>
          </w:p>
        </w:tc>
        <w:tc>
          <w:tcPr>
            <w:tcW w:w="342" w:type="pct"/>
            <w:vAlign w:val="center"/>
          </w:tcPr>
          <w:p>
            <w:pPr>
              <w:jc w:val="center"/>
              <w:rPr>
                <w:rFonts w:ascii="宋体" w:hAnsi="宋体" w:cs="宋体"/>
                <w:spacing w:val="-6"/>
                <w:szCs w:val="21"/>
              </w:rPr>
            </w:pPr>
            <w:r>
              <w:rPr>
                <w:rFonts w:hint="eastAsia" w:ascii="宋体" w:hAnsi="宋体" w:cs="宋体"/>
                <w:spacing w:val="-6"/>
                <w:szCs w:val="21"/>
              </w:rPr>
              <w:t>5</w:t>
            </w:r>
          </w:p>
        </w:tc>
        <w:tc>
          <w:tcPr>
            <w:tcW w:w="3747" w:type="pct"/>
            <w:vAlign w:val="center"/>
          </w:tcPr>
          <w:p>
            <w:pPr>
              <w:rPr>
                <w:rFonts w:ascii="宋体" w:hAnsi="宋体"/>
                <w:bCs/>
                <w:spacing w:val="-6"/>
                <w:szCs w:val="21"/>
              </w:rPr>
            </w:pPr>
            <w:r>
              <w:rPr>
                <w:rFonts w:hint="eastAsia" w:ascii="宋体" w:hAnsi="宋体" w:cs="宋体"/>
                <w:szCs w:val="21"/>
              </w:rPr>
              <w:t>内部管理制度是否全面、有针对性、措施完善，措施得力。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pct"/>
            <w:vMerge w:val="continue"/>
            <w:vAlign w:val="center"/>
          </w:tcPr>
          <w:p>
            <w:pPr>
              <w:jc w:val="center"/>
              <w:rPr>
                <w:rFonts w:ascii="宋体" w:hAnsi="宋体" w:cs="宋体"/>
                <w:szCs w:val="21"/>
              </w:rPr>
            </w:pPr>
          </w:p>
        </w:tc>
        <w:tc>
          <w:tcPr>
            <w:tcW w:w="342" w:type="pct"/>
            <w:vAlign w:val="center"/>
          </w:tcPr>
          <w:p>
            <w:pPr>
              <w:jc w:val="center"/>
              <w:rPr>
                <w:rFonts w:ascii="宋体" w:hAnsi="宋体" w:cs="宋体"/>
                <w:spacing w:val="-6"/>
                <w:szCs w:val="21"/>
              </w:rPr>
            </w:pPr>
            <w:r>
              <w:rPr>
                <w:rFonts w:hint="eastAsia" w:ascii="宋体" w:hAnsi="宋体" w:cs="宋体"/>
                <w:spacing w:val="-6"/>
                <w:szCs w:val="21"/>
              </w:rPr>
              <w:t>5</w:t>
            </w:r>
          </w:p>
        </w:tc>
        <w:tc>
          <w:tcPr>
            <w:tcW w:w="3747" w:type="pct"/>
            <w:vAlign w:val="center"/>
          </w:tcPr>
          <w:p>
            <w:pPr>
              <w:rPr>
                <w:rFonts w:ascii="宋体" w:hAnsi="宋体" w:cs="宋体"/>
                <w:szCs w:val="21"/>
              </w:rPr>
            </w:pPr>
            <w:r>
              <w:rPr>
                <w:rFonts w:hint="eastAsia" w:ascii="宋体" w:hAnsi="宋体"/>
                <w:bCs/>
                <w:spacing w:val="-6"/>
                <w:szCs w:val="21"/>
              </w:rPr>
              <w:t>对搬运过程中安全方面的承诺及保障措施。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pct"/>
            <w:vAlign w:val="center"/>
          </w:tcPr>
          <w:p>
            <w:pPr>
              <w:jc w:val="center"/>
            </w:pPr>
            <w:r>
              <w:rPr>
                <w:rFonts w:hint="eastAsia" w:ascii="宋体" w:hAnsi="宋体" w:cs="宋体"/>
                <w:szCs w:val="21"/>
              </w:rPr>
              <w:t>拟投入设备</w:t>
            </w:r>
          </w:p>
        </w:tc>
        <w:tc>
          <w:tcPr>
            <w:tcW w:w="342" w:type="pct"/>
            <w:vAlign w:val="center"/>
          </w:tcPr>
          <w:p>
            <w:pPr>
              <w:jc w:val="center"/>
              <w:rPr>
                <w:rFonts w:ascii="宋体" w:hAnsi="宋体" w:cs="宋体"/>
                <w:spacing w:val="-6"/>
                <w:szCs w:val="21"/>
              </w:rPr>
            </w:pPr>
            <w:r>
              <w:rPr>
                <w:rFonts w:hint="eastAsia" w:ascii="宋体" w:hAnsi="宋体" w:cs="宋体"/>
                <w:spacing w:val="-6"/>
                <w:szCs w:val="21"/>
              </w:rPr>
              <w:t>5</w:t>
            </w:r>
          </w:p>
        </w:tc>
        <w:tc>
          <w:tcPr>
            <w:tcW w:w="3747" w:type="pct"/>
            <w:vAlign w:val="center"/>
          </w:tcPr>
          <w:p>
            <w:pPr>
              <w:rPr>
                <w:rFonts w:ascii="宋体" w:hAnsi="宋体" w:cs="宋体"/>
                <w:szCs w:val="21"/>
                <w:lang w:bidi="ar"/>
              </w:rPr>
            </w:pPr>
            <w:r>
              <w:rPr>
                <w:rFonts w:hint="eastAsia" w:ascii="宋体" w:hAnsi="宋体" w:cs="宋体"/>
                <w:szCs w:val="21"/>
                <w:lang w:bidi="ar"/>
              </w:rPr>
              <w:t>供应商拟投入本项目的设备情况。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pct"/>
            <w:vMerge w:val="restart"/>
            <w:vAlign w:val="center"/>
          </w:tcPr>
          <w:p>
            <w:pPr>
              <w:jc w:val="center"/>
              <w:rPr>
                <w:rFonts w:ascii="宋体" w:hAnsi="宋体"/>
                <w:spacing w:val="-6"/>
                <w:szCs w:val="21"/>
              </w:rPr>
            </w:pPr>
            <w:r>
              <w:rPr>
                <w:rFonts w:hint="eastAsia" w:ascii="宋体" w:hAnsi="宋体" w:cs="宋体"/>
                <w:spacing w:val="-6"/>
                <w:szCs w:val="21"/>
              </w:rPr>
              <w:t>服务团队</w:t>
            </w:r>
          </w:p>
        </w:tc>
        <w:tc>
          <w:tcPr>
            <w:tcW w:w="342" w:type="pct"/>
            <w:vAlign w:val="center"/>
          </w:tcPr>
          <w:p>
            <w:pPr>
              <w:jc w:val="center"/>
              <w:rPr>
                <w:rFonts w:ascii="宋体" w:hAnsi="宋体"/>
                <w:spacing w:val="-6"/>
                <w:szCs w:val="21"/>
              </w:rPr>
            </w:pPr>
            <w:r>
              <w:rPr>
                <w:rFonts w:ascii="宋体" w:hAnsi="宋体" w:cs="宋体"/>
                <w:szCs w:val="21"/>
                <w:lang w:bidi="ar"/>
              </w:rPr>
              <w:t>5</w:t>
            </w:r>
          </w:p>
        </w:tc>
        <w:tc>
          <w:tcPr>
            <w:tcW w:w="3747" w:type="pct"/>
            <w:vAlign w:val="center"/>
          </w:tcPr>
          <w:p>
            <w:pPr>
              <w:rPr>
                <w:rFonts w:hAnsi="宋体"/>
                <w:bCs/>
                <w:spacing w:val="-6"/>
                <w:szCs w:val="21"/>
              </w:rPr>
            </w:pPr>
            <w:r>
              <w:rPr>
                <w:rFonts w:hint="eastAsia" w:ascii="宋体" w:hAnsi="宋体" w:cs="宋体"/>
                <w:spacing w:val="-6"/>
                <w:szCs w:val="21"/>
                <w:lang w:bidi="ar"/>
              </w:rPr>
              <w:t>拟派现场负责人管理、业务经验。（以响应文件提供的证明文件及社保缴纳证明为准，不提供不得分。）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pct"/>
            <w:vMerge w:val="continue"/>
            <w:vAlign w:val="center"/>
          </w:tcPr>
          <w:p>
            <w:pPr>
              <w:jc w:val="center"/>
              <w:rPr>
                <w:rFonts w:ascii="宋体" w:hAnsi="宋体" w:cs="宋体"/>
                <w:szCs w:val="21"/>
              </w:rPr>
            </w:pPr>
          </w:p>
        </w:tc>
        <w:tc>
          <w:tcPr>
            <w:tcW w:w="342" w:type="pct"/>
            <w:vAlign w:val="center"/>
          </w:tcPr>
          <w:p>
            <w:pPr>
              <w:jc w:val="center"/>
              <w:rPr>
                <w:rFonts w:ascii="宋体" w:hAnsi="宋体" w:cs="宋体"/>
                <w:spacing w:val="-6"/>
                <w:szCs w:val="21"/>
              </w:rPr>
            </w:pPr>
            <w:r>
              <w:rPr>
                <w:rFonts w:hint="eastAsia" w:ascii="宋体" w:hAnsi="宋体" w:cs="宋体"/>
                <w:szCs w:val="21"/>
                <w:lang w:bidi="ar"/>
              </w:rPr>
              <w:t>5</w:t>
            </w:r>
          </w:p>
        </w:tc>
        <w:tc>
          <w:tcPr>
            <w:tcW w:w="3747" w:type="pct"/>
            <w:vAlign w:val="center"/>
          </w:tcPr>
          <w:p>
            <w:pPr>
              <w:rPr>
                <w:rFonts w:ascii="宋体" w:hAnsi="宋体" w:cs="宋体"/>
                <w:spacing w:val="-6"/>
                <w:szCs w:val="21"/>
              </w:rPr>
            </w:pPr>
            <w:r>
              <w:rPr>
                <w:rFonts w:hint="eastAsia" w:ascii="宋体" w:hAnsi="宋体" w:cs="宋体"/>
                <w:spacing w:val="-6"/>
                <w:szCs w:val="21"/>
                <w:lang w:bidi="ar"/>
              </w:rPr>
              <w:t>拟投入本项目人员岗位配备、数量、素质情况、年龄结构情况。以响应文件提供的证明文件及社保缴纳证明为准，不提供不得分。）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pct"/>
            <w:vAlign w:val="center"/>
          </w:tcPr>
          <w:p>
            <w:pPr>
              <w:spacing w:line="288" w:lineRule="auto"/>
              <w:jc w:val="center"/>
              <w:rPr>
                <w:rFonts w:ascii="宋体" w:hAnsi="宋体"/>
                <w:spacing w:val="-6"/>
                <w:szCs w:val="21"/>
              </w:rPr>
            </w:pPr>
            <w:r>
              <w:rPr>
                <w:rFonts w:hint="eastAsia" w:ascii="宋体" w:hAnsi="宋体" w:cs="宋体"/>
                <w:szCs w:val="21"/>
                <w:lang w:bidi="ar"/>
              </w:rPr>
              <w:t>应急预案</w:t>
            </w:r>
          </w:p>
        </w:tc>
        <w:tc>
          <w:tcPr>
            <w:tcW w:w="342" w:type="pct"/>
            <w:vAlign w:val="center"/>
          </w:tcPr>
          <w:p>
            <w:pPr>
              <w:spacing w:line="288" w:lineRule="auto"/>
              <w:jc w:val="center"/>
              <w:rPr>
                <w:rFonts w:ascii="宋体" w:hAnsi="宋体"/>
                <w:spacing w:val="-6"/>
                <w:szCs w:val="21"/>
              </w:rPr>
            </w:pPr>
            <w:r>
              <w:rPr>
                <w:rFonts w:hint="eastAsia" w:ascii="宋体" w:hAnsi="宋体"/>
                <w:spacing w:val="-6"/>
                <w:szCs w:val="21"/>
              </w:rPr>
              <w:t>2</w:t>
            </w:r>
          </w:p>
        </w:tc>
        <w:tc>
          <w:tcPr>
            <w:tcW w:w="3747" w:type="pct"/>
            <w:vAlign w:val="center"/>
          </w:tcPr>
          <w:p>
            <w:pPr>
              <w:spacing w:line="288" w:lineRule="auto"/>
              <w:rPr>
                <w:rFonts w:hAnsi="宋体"/>
                <w:bCs/>
                <w:spacing w:val="-6"/>
                <w:szCs w:val="21"/>
              </w:rPr>
            </w:pPr>
            <w:r>
              <w:rPr>
                <w:rFonts w:hint="eastAsia" w:ascii="宋体" w:hAnsi="宋体" w:cs="宋体"/>
                <w:szCs w:val="21"/>
                <w:lang w:bidi="ar"/>
              </w:rPr>
              <w:t>应急事件的处理预案，包括采购人紧急临时任务、遇上恶劣天气等情况的应对措施。</w:t>
            </w:r>
          </w:p>
        </w:tc>
      </w:tr>
    </w:tbl>
    <w:p>
      <w:pPr>
        <w:spacing w:line="360" w:lineRule="auto"/>
        <w:rPr>
          <w:rFonts w:ascii="宋体" w:hAnsi="宋体" w:cs="宋体"/>
          <w:b/>
          <w:szCs w:val="21"/>
        </w:rPr>
      </w:pPr>
    </w:p>
    <w:p>
      <w:pPr>
        <w:spacing w:line="360" w:lineRule="auto"/>
        <w:rPr>
          <w:rFonts w:ascii="宋体" w:hAnsi="宋体" w:cs="宋体"/>
          <w:b/>
          <w:szCs w:val="21"/>
        </w:rPr>
      </w:pPr>
      <w:r>
        <w:rPr>
          <w:rFonts w:hint="eastAsia" w:ascii="宋体" w:hAnsi="宋体" w:cs="宋体"/>
          <w:b/>
          <w:szCs w:val="21"/>
        </w:rPr>
        <w:t>说明：</w:t>
      </w:r>
    </w:p>
    <w:p>
      <w:pPr>
        <w:adjustRightInd w:val="0"/>
        <w:snapToGrid w:val="0"/>
        <w:spacing w:line="360" w:lineRule="auto"/>
        <w:rPr>
          <w:b/>
          <w:bCs/>
        </w:rPr>
      </w:pPr>
      <w:r>
        <w:rPr>
          <w:rFonts w:hint="eastAsia" w:ascii="宋体" w:hAnsi="宋体" w:cs="宋体"/>
          <w:b/>
          <w:szCs w:val="21"/>
        </w:rPr>
        <w:t>1.根据《政府采购促进中小企业发展管理办法》（财库[2020]46号）的规定，</w:t>
      </w:r>
      <w:r>
        <w:rPr>
          <w:rFonts w:hint="eastAsia"/>
          <w:b/>
          <w:bCs/>
          <w:color w:val="000000"/>
        </w:rPr>
        <w:t>本项目对符合规定的小微企业（含小型企业）报价给予</w:t>
      </w:r>
      <w:r>
        <w:rPr>
          <w:rFonts w:hint="eastAsia"/>
          <w:b/>
          <w:bCs/>
          <w:color w:val="000000"/>
          <w:u w:val="single"/>
        </w:rPr>
        <w:t>6</w:t>
      </w:r>
      <w:r>
        <w:rPr>
          <w:rFonts w:hint="eastAsia"/>
          <w:b/>
          <w:bCs/>
          <w:color w:val="000000"/>
        </w:rPr>
        <w:t>% 的扣除。（本项目采购标的对应的中小企业计划分标准所属行业为：</w:t>
      </w:r>
      <w:r>
        <w:rPr>
          <w:rFonts w:hint="eastAsia"/>
          <w:b/>
          <w:bCs/>
        </w:rPr>
        <w:t>其他未列明行业。从业人员300人以下的为中小微型企业。其中，从业人员100人及以上的为中型企业；从业人员10人及以上的为小型企业；从业人员10人以下的为微型企业。</w:t>
      </w:r>
    </w:p>
    <w:p>
      <w:pPr>
        <w:adjustRightInd w:val="0"/>
        <w:snapToGrid w:val="0"/>
        <w:spacing w:line="360" w:lineRule="auto"/>
        <w:rPr>
          <w:b/>
          <w:bCs/>
          <w:color w:val="000000"/>
        </w:rPr>
      </w:pPr>
      <w:r>
        <w:rPr>
          <w:rFonts w:hint="eastAsia"/>
          <w:b/>
          <w:bCs/>
          <w:color w:val="000000"/>
        </w:rPr>
        <w:t>响应文件中须同时出具《政府采购促进中小企业发展管理办法》【财库（2020）46号】规定的《中小企业声明函》（见第六章响应文件格式），否则不得享受价格扣除。</w:t>
      </w:r>
    </w:p>
    <w:p>
      <w:pPr>
        <w:spacing w:line="360" w:lineRule="auto"/>
        <w:rPr>
          <w:rFonts w:ascii="宋体" w:hAnsi="宋体" w:cs="宋体"/>
          <w:b/>
          <w:bCs/>
          <w:szCs w:val="21"/>
        </w:rPr>
      </w:pPr>
      <w:r>
        <w:rPr>
          <w:rFonts w:hint="eastAsia" w:ascii="宋体" w:hAnsi="宋体" w:cs="宋体"/>
          <w:b/>
          <w:szCs w:val="21"/>
        </w:rPr>
        <w:t>2.根据《关于政府采购支持监狱企业发展有关问题的通知》（财库[2014]68号）的规定，供应商如为监狱企业并提交相关证明材料</w:t>
      </w:r>
      <w:r>
        <w:rPr>
          <w:rFonts w:hint="eastAsia" w:ascii="宋体" w:hAnsi="宋体" w:cs="宋体"/>
          <w:b/>
          <w:bCs/>
          <w:szCs w:val="21"/>
        </w:rPr>
        <w:t>的，视同小型、微型企业；</w:t>
      </w:r>
    </w:p>
    <w:p>
      <w:pPr>
        <w:spacing w:line="360" w:lineRule="auto"/>
        <w:rPr>
          <w:rFonts w:ascii="宋体" w:hAnsi="宋体" w:cs="宋体"/>
          <w:b/>
          <w:szCs w:val="21"/>
        </w:rPr>
      </w:pPr>
      <w:r>
        <w:rPr>
          <w:rFonts w:hint="eastAsia" w:ascii="宋体" w:hAnsi="宋体" w:cs="宋体"/>
          <w:b/>
          <w:szCs w:val="21"/>
        </w:rPr>
        <w:t>3.根据《关于促进残疾人就业政府采购政策的通知》（财库[2017]141号）的规定，供应商如为残疾人福利性单位并提交《残疾人福利性单位声明函》</w:t>
      </w:r>
      <w:r>
        <w:rPr>
          <w:rFonts w:hint="eastAsia" w:ascii="宋体" w:hAnsi="宋体" w:cs="宋体"/>
          <w:b/>
          <w:bCs/>
          <w:szCs w:val="21"/>
        </w:rPr>
        <w:t>的，视同小型、微型企业</w:t>
      </w:r>
      <w:r>
        <w:rPr>
          <w:rFonts w:hint="eastAsia" w:ascii="宋体" w:hAnsi="宋体" w:cs="宋体"/>
          <w:b/>
          <w:szCs w:val="21"/>
        </w:rPr>
        <w:t>；</w:t>
      </w:r>
    </w:p>
    <w:p>
      <w:pPr>
        <w:spacing w:line="360" w:lineRule="auto"/>
        <w:rPr>
          <w:rFonts w:ascii="宋体" w:hAnsi="宋体" w:cs="宋体"/>
          <w:b/>
          <w:szCs w:val="21"/>
        </w:rPr>
      </w:pPr>
      <w:r>
        <w:rPr>
          <w:rFonts w:hint="eastAsia" w:ascii="宋体" w:hAnsi="宋体" w:cs="宋体"/>
          <w:b/>
          <w:szCs w:val="21"/>
        </w:rPr>
        <w:t>4.残疾人福利性单位属于小型、微型企业的，不重复享受政策。</w:t>
      </w:r>
    </w:p>
    <w:p>
      <w:pPr>
        <w:pStyle w:val="6"/>
        <w:spacing w:before="0" w:beforeLines="0" w:after="0" w:afterLines="0" w:line="288" w:lineRule="auto"/>
        <w:jc w:val="center"/>
        <w:outlineLvl w:val="0"/>
        <w:rPr>
          <w:rFonts w:hAnsi="宋体" w:cs="宋体"/>
          <w:b/>
          <w:sz w:val="32"/>
          <w:szCs w:val="32"/>
        </w:rPr>
      </w:pPr>
      <w:r>
        <w:rPr>
          <w:rFonts w:hint="eastAsia" w:hAnsi="宋体" w:cs="宋体"/>
          <w:b/>
          <w:bCs/>
          <w:sz w:val="21"/>
          <w:szCs w:val="21"/>
        </w:rPr>
        <w:br w:type="page"/>
      </w:r>
      <w:r>
        <w:rPr>
          <w:rFonts w:hint="eastAsia" w:hAnsi="宋体" w:cs="宋体"/>
          <w:b/>
          <w:sz w:val="32"/>
          <w:szCs w:val="32"/>
        </w:rPr>
        <w:t>第五章  合同主要条款</w:t>
      </w:r>
    </w:p>
    <w:p>
      <w:pPr>
        <w:spacing w:line="288" w:lineRule="auto"/>
        <w:jc w:val="center"/>
        <w:rPr>
          <w:rFonts w:ascii="宋体" w:hAnsi="宋体" w:cs="宋体"/>
          <w:b/>
          <w:color w:val="000000"/>
          <w:sz w:val="24"/>
        </w:rPr>
      </w:pPr>
      <w:r>
        <w:rPr>
          <w:rFonts w:hint="eastAsia" w:ascii="宋体" w:hAnsi="宋体" w:cs="宋体"/>
          <w:b/>
          <w:color w:val="000000"/>
          <w:sz w:val="24"/>
        </w:rPr>
        <w:t>浙江财经大学图书盘点服务采购合同</w:t>
      </w:r>
    </w:p>
    <w:p>
      <w:pPr>
        <w:spacing w:line="288" w:lineRule="auto"/>
        <w:ind w:firstLine="420" w:firstLineChars="200"/>
        <w:jc w:val="center"/>
        <w:rPr>
          <w:rFonts w:ascii="宋体" w:hAnsi="宋体" w:cs="宋体"/>
          <w:szCs w:val="21"/>
        </w:rPr>
      </w:pPr>
      <w:r>
        <w:rPr>
          <w:rFonts w:hint="eastAsia" w:ascii="宋体" w:hAnsi="宋体" w:cs="宋体"/>
          <w:szCs w:val="21"/>
        </w:rPr>
        <w:t>（本合同为合同样稿，最终稿由三方协商后确定，合同实质性内容不得更改；签订合同时删除此行）</w:t>
      </w:r>
    </w:p>
    <w:p>
      <w:pPr>
        <w:pStyle w:val="13"/>
      </w:pPr>
    </w:p>
    <w:p>
      <w:pPr>
        <w:spacing w:line="336" w:lineRule="auto"/>
        <w:ind w:left="6195" w:hanging="6195" w:hangingChars="2950"/>
        <w:rPr>
          <w:rFonts w:ascii="宋体" w:hAnsi="宋体" w:cs="宋体"/>
          <w:szCs w:val="21"/>
        </w:rPr>
      </w:pPr>
      <w:r>
        <w:rPr>
          <w:rFonts w:hint="eastAsia" w:ascii="宋体" w:hAnsi="宋体" w:cs="宋体"/>
          <w:szCs w:val="21"/>
        </w:rPr>
        <w:t>项目编号：</w:t>
      </w:r>
      <w:r>
        <w:rPr>
          <w:rFonts w:hint="eastAsia" w:ascii="宋体" w:hAnsi="宋体" w:cs="宋体"/>
          <w:bCs/>
          <w:szCs w:val="21"/>
        </w:rPr>
        <w:t xml:space="preserve"> ZJJY-20210713-01</w:t>
      </w:r>
    </w:p>
    <w:p>
      <w:pPr>
        <w:spacing w:line="336" w:lineRule="auto"/>
        <w:ind w:left="6195" w:hanging="6195" w:hangingChars="2950"/>
        <w:rPr>
          <w:rFonts w:ascii="宋体" w:hAnsi="宋体" w:cs="宋体"/>
          <w:szCs w:val="21"/>
        </w:rPr>
      </w:pPr>
      <w:r>
        <w:rPr>
          <w:rFonts w:hint="eastAsia" w:ascii="宋体" w:hAnsi="宋体" w:cs="宋体"/>
          <w:szCs w:val="21"/>
        </w:rPr>
        <w:t>确认书编号：</w:t>
      </w:r>
    </w:p>
    <w:p>
      <w:pPr>
        <w:spacing w:line="336" w:lineRule="auto"/>
        <w:rPr>
          <w:rFonts w:ascii="宋体" w:hAnsi="宋体" w:cs="宋体"/>
          <w:szCs w:val="21"/>
        </w:rPr>
      </w:pPr>
      <w:r>
        <w:rPr>
          <w:rFonts w:hint="eastAsia" w:ascii="宋体" w:hAnsi="宋体" w:cs="宋体"/>
          <w:szCs w:val="21"/>
        </w:rPr>
        <w:t>甲方（需方）：浙江财经大学</w:t>
      </w:r>
    </w:p>
    <w:p>
      <w:pPr>
        <w:spacing w:line="336" w:lineRule="auto"/>
        <w:rPr>
          <w:rFonts w:ascii="宋体" w:hAnsi="宋体" w:cs="宋体"/>
          <w:szCs w:val="21"/>
        </w:rPr>
      </w:pPr>
      <w:r>
        <w:rPr>
          <w:rFonts w:hint="eastAsia" w:ascii="宋体" w:hAnsi="宋体" w:cs="宋体"/>
          <w:szCs w:val="21"/>
        </w:rPr>
        <w:t>乙方（供方）：</w:t>
      </w:r>
    </w:p>
    <w:p>
      <w:pPr>
        <w:spacing w:line="336" w:lineRule="auto"/>
        <w:rPr>
          <w:rFonts w:ascii="宋体" w:hAnsi="宋体" w:cs="宋体"/>
          <w:color w:val="000000"/>
        </w:rPr>
      </w:pPr>
      <w:r>
        <w:rPr>
          <w:rFonts w:hint="eastAsia" w:ascii="宋体" w:hAnsi="宋体" w:cs="宋体"/>
          <w:szCs w:val="21"/>
        </w:rPr>
        <w:t>采购代理机构（鉴证方）：浙江建友工程咨询有限公司</w:t>
      </w:r>
    </w:p>
    <w:p>
      <w:pPr>
        <w:widowControl/>
        <w:numPr>
          <w:ilvl w:val="0"/>
          <w:numId w:val="8"/>
        </w:numPr>
        <w:spacing w:line="336" w:lineRule="auto"/>
        <w:ind w:firstLine="420" w:firstLineChars="200"/>
        <w:rPr>
          <w:rFonts w:ascii="宋体" w:hAnsi="宋体" w:cs="宋体"/>
          <w:kern w:val="0"/>
          <w:szCs w:val="21"/>
        </w:rPr>
      </w:pPr>
      <w:r>
        <w:rPr>
          <w:rFonts w:hint="eastAsia" w:ascii="宋体" w:hAnsi="宋体" w:cs="宋体"/>
          <w:kern w:val="0"/>
          <w:szCs w:val="21"/>
        </w:rPr>
        <w:t>乙双方根据浙江建友工程咨询有限公司关于</w:t>
      </w:r>
      <w:r>
        <w:rPr>
          <w:rFonts w:hint="eastAsia" w:ascii="宋体" w:hAnsi="宋体" w:cs="宋体"/>
          <w:bCs/>
          <w:szCs w:val="21"/>
          <w:u w:val="single"/>
        </w:rPr>
        <w:t>浙江财经大学图书盘点服务</w:t>
      </w:r>
      <w:r>
        <w:rPr>
          <w:rFonts w:ascii="宋体" w:hAnsi="宋体" w:cs="宋体"/>
          <w:bCs/>
          <w:szCs w:val="21"/>
          <w:u w:val="single"/>
        </w:rPr>
        <w:t xml:space="preserve"> </w:t>
      </w:r>
      <w:r>
        <w:rPr>
          <w:rFonts w:hint="eastAsia" w:ascii="宋体" w:hAnsi="宋体" w:cs="宋体"/>
          <w:kern w:val="0"/>
          <w:szCs w:val="21"/>
        </w:rPr>
        <w:t>竞争性磋商的结果，签署合同。</w:t>
      </w:r>
    </w:p>
    <w:p>
      <w:pPr>
        <w:pStyle w:val="15"/>
        <w:spacing w:line="288" w:lineRule="auto"/>
        <w:rPr>
          <w:rStyle w:val="16"/>
          <w:rFonts w:ascii="宋体" w:hAnsi="宋体" w:cs="Arial"/>
          <w:b/>
          <w:bCs/>
          <w:color w:val="auto"/>
          <w:sz w:val="21"/>
          <w:szCs w:val="21"/>
        </w:rPr>
      </w:pPr>
      <w:r>
        <w:rPr>
          <w:rStyle w:val="16"/>
          <w:rFonts w:ascii="宋体" w:hAnsi="宋体" w:cs="Arial"/>
          <w:b/>
          <w:bCs/>
          <w:color w:val="auto"/>
          <w:sz w:val="21"/>
          <w:szCs w:val="21"/>
        </w:rPr>
        <w:t>第一条：采购商品清单及合同价格</w:t>
      </w:r>
    </w:p>
    <w:tbl>
      <w:tblPr>
        <w:tblStyle w:val="10"/>
        <w:tblW w:w="9360" w:type="dxa"/>
        <w:tblInd w:w="-1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800"/>
        <w:gridCol w:w="2520"/>
        <w:gridCol w:w="720"/>
        <w:gridCol w:w="720"/>
        <w:gridCol w:w="126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pStyle w:val="15"/>
              <w:spacing w:line="288" w:lineRule="auto"/>
              <w:jc w:val="center"/>
              <w:rPr>
                <w:rStyle w:val="16"/>
                <w:rFonts w:ascii="宋体" w:hAnsi="宋体"/>
                <w:color w:val="auto"/>
                <w:sz w:val="21"/>
                <w:szCs w:val="21"/>
              </w:rPr>
            </w:pPr>
            <w:r>
              <w:rPr>
                <w:rStyle w:val="16"/>
                <w:rFonts w:ascii="宋体" w:hAnsi="宋体"/>
                <w:color w:val="auto"/>
                <w:sz w:val="21"/>
                <w:szCs w:val="21"/>
              </w:rPr>
              <w:t>序号</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15"/>
              <w:spacing w:line="288" w:lineRule="auto"/>
              <w:jc w:val="center"/>
              <w:rPr>
                <w:rStyle w:val="16"/>
                <w:rFonts w:ascii="宋体" w:hAnsi="宋体"/>
                <w:color w:val="auto"/>
                <w:sz w:val="21"/>
                <w:szCs w:val="21"/>
              </w:rPr>
            </w:pPr>
            <w:r>
              <w:rPr>
                <w:rStyle w:val="16"/>
                <w:rFonts w:hint="eastAsia" w:ascii="宋体" w:hAnsi="宋体"/>
                <w:color w:val="auto"/>
                <w:sz w:val="21"/>
                <w:szCs w:val="21"/>
              </w:rPr>
              <w:t>内容</w:t>
            </w:r>
          </w:p>
        </w:tc>
        <w:tc>
          <w:tcPr>
            <w:tcW w:w="2520" w:type="dxa"/>
            <w:tcBorders>
              <w:top w:val="single" w:color="000000" w:sz="4" w:space="0"/>
              <w:left w:val="single" w:color="000000" w:sz="4" w:space="0"/>
              <w:bottom w:val="single" w:color="000000" w:sz="4" w:space="0"/>
              <w:right w:val="single" w:color="000000" w:sz="4" w:space="0"/>
            </w:tcBorders>
            <w:vAlign w:val="center"/>
          </w:tcPr>
          <w:p>
            <w:pPr>
              <w:pStyle w:val="15"/>
              <w:spacing w:line="288" w:lineRule="auto"/>
              <w:jc w:val="center"/>
              <w:rPr>
                <w:rStyle w:val="16"/>
                <w:rFonts w:ascii="宋体" w:hAnsi="宋体"/>
                <w:color w:val="auto"/>
                <w:sz w:val="21"/>
                <w:szCs w:val="21"/>
              </w:rPr>
            </w:pPr>
            <w:r>
              <w:rPr>
                <w:rStyle w:val="16"/>
                <w:rFonts w:hint="eastAsia" w:ascii="宋体" w:hAnsi="宋体"/>
                <w:color w:val="auto"/>
                <w:sz w:val="21"/>
                <w:szCs w:val="21"/>
              </w:rPr>
              <w:t>描述</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15"/>
              <w:spacing w:line="288" w:lineRule="auto"/>
              <w:jc w:val="center"/>
              <w:rPr>
                <w:rStyle w:val="16"/>
                <w:rFonts w:ascii="宋体" w:hAnsi="宋体"/>
                <w:color w:val="auto"/>
                <w:sz w:val="21"/>
                <w:szCs w:val="21"/>
              </w:rPr>
            </w:pPr>
            <w:r>
              <w:rPr>
                <w:rStyle w:val="16"/>
                <w:rFonts w:ascii="宋体" w:hAnsi="宋体"/>
                <w:color w:val="auto"/>
                <w:sz w:val="21"/>
                <w:szCs w:val="21"/>
              </w:rPr>
              <w:t>数量</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15"/>
              <w:spacing w:line="288" w:lineRule="auto"/>
              <w:jc w:val="center"/>
              <w:rPr>
                <w:rStyle w:val="16"/>
                <w:rFonts w:ascii="宋体" w:hAnsi="宋体"/>
                <w:color w:val="auto"/>
                <w:sz w:val="21"/>
                <w:szCs w:val="21"/>
              </w:rPr>
            </w:pPr>
            <w:r>
              <w:rPr>
                <w:rStyle w:val="16"/>
                <w:rFonts w:ascii="宋体" w:hAnsi="宋体"/>
                <w:color w:val="auto"/>
                <w:sz w:val="21"/>
                <w:szCs w:val="21"/>
              </w:rPr>
              <w:t>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15"/>
              <w:spacing w:line="288" w:lineRule="auto"/>
              <w:jc w:val="center"/>
              <w:rPr>
                <w:rStyle w:val="16"/>
                <w:rFonts w:ascii="宋体" w:hAnsi="宋体"/>
                <w:color w:val="auto"/>
                <w:sz w:val="21"/>
                <w:szCs w:val="21"/>
              </w:rPr>
            </w:pPr>
            <w:r>
              <w:rPr>
                <w:rStyle w:val="16"/>
                <w:rFonts w:ascii="宋体" w:hAnsi="宋体"/>
                <w:color w:val="auto"/>
                <w:sz w:val="21"/>
                <w:szCs w:val="21"/>
              </w:rPr>
              <w:t>单价</w:t>
            </w:r>
          </w:p>
        </w:tc>
        <w:tc>
          <w:tcPr>
            <w:tcW w:w="1620" w:type="dxa"/>
            <w:tcBorders>
              <w:top w:val="single" w:color="000000" w:sz="4" w:space="0"/>
              <w:left w:val="single" w:color="000000" w:sz="4" w:space="0"/>
              <w:bottom w:val="single" w:color="000000" w:sz="4" w:space="0"/>
              <w:right w:val="single" w:color="000000" w:sz="4" w:space="0"/>
            </w:tcBorders>
            <w:vAlign w:val="center"/>
          </w:tcPr>
          <w:p>
            <w:pPr>
              <w:pStyle w:val="15"/>
              <w:spacing w:line="288" w:lineRule="auto"/>
              <w:jc w:val="center"/>
              <w:rPr>
                <w:rStyle w:val="16"/>
                <w:rFonts w:ascii="宋体" w:hAnsi="宋体"/>
                <w:color w:val="auto"/>
                <w:sz w:val="21"/>
                <w:szCs w:val="21"/>
              </w:rPr>
            </w:pPr>
            <w:r>
              <w:rPr>
                <w:rStyle w:val="16"/>
                <w:rFonts w:ascii="宋体" w:hAnsi="宋体"/>
                <w:color w:val="auto"/>
                <w:sz w:val="21"/>
                <w:szCs w:val="21"/>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7"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pStyle w:val="15"/>
              <w:spacing w:line="288" w:lineRule="auto"/>
              <w:jc w:val="center"/>
              <w:rPr>
                <w:rStyle w:val="16"/>
                <w:rFonts w:ascii="宋体" w:hAnsi="宋体"/>
                <w:color w:val="auto"/>
                <w:sz w:val="21"/>
                <w:szCs w:val="21"/>
              </w:rPr>
            </w:pPr>
            <w:r>
              <w:rPr>
                <w:rStyle w:val="16"/>
                <w:rFonts w:ascii="宋体" w:hAnsi="宋体"/>
                <w:color w:val="auto"/>
                <w:sz w:val="21"/>
                <w:szCs w:val="21"/>
              </w:rPr>
              <w:t>1</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15"/>
              <w:spacing w:line="288" w:lineRule="auto"/>
              <w:jc w:val="center"/>
              <w:rPr>
                <w:rStyle w:val="16"/>
                <w:rFonts w:ascii="宋体" w:hAnsi="宋体"/>
                <w:color w:val="auto"/>
                <w:sz w:val="21"/>
                <w:szCs w:val="21"/>
              </w:rPr>
            </w:pPr>
          </w:p>
        </w:tc>
        <w:tc>
          <w:tcPr>
            <w:tcW w:w="2520" w:type="dxa"/>
            <w:tcBorders>
              <w:top w:val="single" w:color="000000" w:sz="4" w:space="0"/>
              <w:left w:val="single" w:color="000000" w:sz="4" w:space="0"/>
              <w:bottom w:val="single" w:color="000000" w:sz="4" w:space="0"/>
              <w:right w:val="single" w:color="000000" w:sz="4" w:space="0"/>
            </w:tcBorders>
          </w:tcPr>
          <w:p>
            <w:pPr>
              <w:pStyle w:val="15"/>
              <w:spacing w:line="288" w:lineRule="auto"/>
              <w:jc w:val="center"/>
              <w:rPr>
                <w:rStyle w:val="16"/>
                <w:rFonts w:ascii="宋体" w:hAnsi="宋体"/>
                <w:color w:val="auto"/>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15"/>
              <w:spacing w:line="288" w:lineRule="auto"/>
              <w:jc w:val="center"/>
              <w:rPr>
                <w:rStyle w:val="16"/>
                <w:rFonts w:ascii="宋体" w:hAnsi="宋体"/>
                <w:color w:val="auto"/>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15"/>
              <w:spacing w:line="288" w:lineRule="auto"/>
              <w:jc w:val="center"/>
              <w:rPr>
                <w:rStyle w:val="16"/>
                <w:rFonts w:ascii="宋体" w:hAnsi="宋体"/>
                <w:color w:val="auto"/>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15"/>
              <w:spacing w:line="288" w:lineRule="auto"/>
              <w:jc w:val="center"/>
              <w:rPr>
                <w:rStyle w:val="16"/>
                <w:rFonts w:ascii="宋体" w:hAnsi="宋体"/>
                <w:color w:val="auto"/>
                <w:sz w:val="21"/>
                <w:szCs w:val="21"/>
              </w:rPr>
            </w:pPr>
          </w:p>
        </w:tc>
        <w:tc>
          <w:tcPr>
            <w:tcW w:w="1620" w:type="dxa"/>
            <w:tcBorders>
              <w:top w:val="single" w:color="000000" w:sz="4" w:space="0"/>
              <w:left w:val="single" w:color="000000" w:sz="4" w:space="0"/>
              <w:bottom w:val="single" w:color="000000" w:sz="4" w:space="0"/>
              <w:right w:val="single" w:color="000000" w:sz="4" w:space="0"/>
            </w:tcBorders>
            <w:vAlign w:val="center"/>
          </w:tcPr>
          <w:p>
            <w:pPr>
              <w:pStyle w:val="15"/>
              <w:spacing w:line="288" w:lineRule="auto"/>
              <w:jc w:val="center"/>
              <w:rPr>
                <w:rStyle w:val="16"/>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7"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pStyle w:val="15"/>
              <w:spacing w:line="288" w:lineRule="auto"/>
              <w:jc w:val="center"/>
              <w:rPr>
                <w:rStyle w:val="16"/>
                <w:rFonts w:ascii="宋体" w:hAnsi="宋体"/>
                <w:color w:val="auto"/>
                <w:sz w:val="21"/>
                <w:szCs w:val="21"/>
              </w:rPr>
            </w:pPr>
            <w:r>
              <w:rPr>
                <w:rStyle w:val="16"/>
                <w:rFonts w:hint="eastAsia" w:ascii="宋体" w:hAnsi="宋体"/>
                <w:color w:val="auto"/>
                <w:sz w:val="21"/>
                <w:szCs w:val="21"/>
              </w:rPr>
              <w:t>2</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15"/>
              <w:spacing w:line="288" w:lineRule="auto"/>
              <w:jc w:val="center"/>
              <w:rPr>
                <w:rStyle w:val="16"/>
                <w:rFonts w:ascii="宋体" w:hAnsi="宋体"/>
                <w:color w:val="auto"/>
                <w:sz w:val="21"/>
                <w:szCs w:val="21"/>
              </w:rPr>
            </w:pPr>
          </w:p>
        </w:tc>
        <w:tc>
          <w:tcPr>
            <w:tcW w:w="2520" w:type="dxa"/>
            <w:tcBorders>
              <w:top w:val="single" w:color="000000" w:sz="4" w:space="0"/>
              <w:left w:val="single" w:color="000000" w:sz="4" w:space="0"/>
              <w:bottom w:val="single" w:color="000000" w:sz="4" w:space="0"/>
              <w:right w:val="single" w:color="000000" w:sz="4" w:space="0"/>
            </w:tcBorders>
          </w:tcPr>
          <w:p>
            <w:pPr>
              <w:pStyle w:val="15"/>
              <w:spacing w:line="288" w:lineRule="auto"/>
              <w:jc w:val="center"/>
              <w:rPr>
                <w:rStyle w:val="16"/>
                <w:rFonts w:ascii="宋体" w:hAnsi="宋体"/>
                <w:color w:val="auto"/>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15"/>
              <w:spacing w:line="288" w:lineRule="auto"/>
              <w:jc w:val="center"/>
              <w:rPr>
                <w:rStyle w:val="16"/>
                <w:rFonts w:ascii="宋体" w:hAnsi="宋体"/>
                <w:color w:val="auto"/>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15"/>
              <w:spacing w:line="288" w:lineRule="auto"/>
              <w:jc w:val="center"/>
              <w:rPr>
                <w:rStyle w:val="16"/>
                <w:rFonts w:ascii="宋体" w:hAnsi="宋体"/>
                <w:color w:val="auto"/>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15"/>
              <w:spacing w:line="288" w:lineRule="auto"/>
              <w:jc w:val="center"/>
              <w:rPr>
                <w:rStyle w:val="16"/>
                <w:rFonts w:ascii="宋体" w:hAnsi="宋体"/>
                <w:color w:val="auto"/>
                <w:sz w:val="21"/>
                <w:szCs w:val="21"/>
              </w:rPr>
            </w:pPr>
          </w:p>
        </w:tc>
        <w:tc>
          <w:tcPr>
            <w:tcW w:w="1620" w:type="dxa"/>
            <w:tcBorders>
              <w:top w:val="single" w:color="000000" w:sz="4" w:space="0"/>
              <w:left w:val="single" w:color="000000" w:sz="4" w:space="0"/>
              <w:bottom w:val="single" w:color="000000" w:sz="4" w:space="0"/>
              <w:right w:val="single" w:color="000000" w:sz="4" w:space="0"/>
            </w:tcBorders>
            <w:vAlign w:val="center"/>
          </w:tcPr>
          <w:p>
            <w:pPr>
              <w:pStyle w:val="15"/>
              <w:spacing w:line="288" w:lineRule="auto"/>
              <w:jc w:val="center"/>
              <w:rPr>
                <w:rStyle w:val="16"/>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7"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pStyle w:val="15"/>
              <w:spacing w:line="288" w:lineRule="auto"/>
              <w:jc w:val="center"/>
              <w:rPr>
                <w:rStyle w:val="16"/>
                <w:rFonts w:ascii="宋体" w:hAnsi="宋体"/>
                <w:color w:val="auto"/>
                <w:sz w:val="21"/>
                <w:szCs w:val="21"/>
              </w:rPr>
            </w:pPr>
            <w:r>
              <w:rPr>
                <w:rStyle w:val="16"/>
                <w:rFonts w:hint="eastAsia" w:ascii="宋体" w:hAnsi="宋体"/>
                <w:color w:val="auto"/>
                <w:sz w:val="21"/>
                <w:szCs w:val="21"/>
              </w:rPr>
              <w:t>3</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15"/>
              <w:spacing w:line="288" w:lineRule="auto"/>
              <w:jc w:val="center"/>
              <w:rPr>
                <w:rStyle w:val="16"/>
                <w:rFonts w:ascii="宋体" w:hAnsi="宋体"/>
                <w:color w:val="auto"/>
                <w:sz w:val="21"/>
                <w:szCs w:val="21"/>
              </w:rPr>
            </w:pPr>
          </w:p>
        </w:tc>
        <w:tc>
          <w:tcPr>
            <w:tcW w:w="2520" w:type="dxa"/>
            <w:tcBorders>
              <w:top w:val="single" w:color="000000" w:sz="4" w:space="0"/>
              <w:left w:val="single" w:color="000000" w:sz="4" w:space="0"/>
              <w:bottom w:val="single" w:color="000000" w:sz="4" w:space="0"/>
              <w:right w:val="single" w:color="000000" w:sz="4" w:space="0"/>
            </w:tcBorders>
          </w:tcPr>
          <w:p>
            <w:pPr>
              <w:pStyle w:val="15"/>
              <w:spacing w:line="288" w:lineRule="auto"/>
              <w:jc w:val="center"/>
              <w:rPr>
                <w:rStyle w:val="16"/>
                <w:rFonts w:ascii="宋体" w:hAnsi="宋体"/>
                <w:color w:val="auto"/>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15"/>
              <w:spacing w:line="288" w:lineRule="auto"/>
              <w:jc w:val="center"/>
              <w:rPr>
                <w:rStyle w:val="16"/>
                <w:rFonts w:ascii="宋体" w:hAnsi="宋体"/>
                <w:color w:val="auto"/>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15"/>
              <w:spacing w:line="288" w:lineRule="auto"/>
              <w:jc w:val="center"/>
              <w:rPr>
                <w:rStyle w:val="16"/>
                <w:rFonts w:ascii="宋体" w:hAnsi="宋体"/>
                <w:color w:val="auto"/>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15"/>
              <w:spacing w:line="288" w:lineRule="auto"/>
              <w:jc w:val="center"/>
              <w:rPr>
                <w:rStyle w:val="16"/>
                <w:rFonts w:ascii="宋体" w:hAnsi="宋体"/>
                <w:color w:val="auto"/>
                <w:sz w:val="21"/>
                <w:szCs w:val="21"/>
              </w:rPr>
            </w:pPr>
          </w:p>
        </w:tc>
        <w:tc>
          <w:tcPr>
            <w:tcW w:w="1620" w:type="dxa"/>
            <w:tcBorders>
              <w:top w:val="single" w:color="000000" w:sz="4" w:space="0"/>
              <w:left w:val="single" w:color="000000" w:sz="4" w:space="0"/>
              <w:bottom w:val="single" w:color="000000" w:sz="4" w:space="0"/>
              <w:right w:val="single" w:color="000000" w:sz="4" w:space="0"/>
            </w:tcBorders>
            <w:vAlign w:val="center"/>
          </w:tcPr>
          <w:p>
            <w:pPr>
              <w:pStyle w:val="15"/>
              <w:spacing w:line="288" w:lineRule="auto"/>
              <w:jc w:val="center"/>
              <w:rPr>
                <w:rStyle w:val="16"/>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7"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pStyle w:val="15"/>
              <w:spacing w:line="288" w:lineRule="auto"/>
              <w:jc w:val="center"/>
              <w:rPr>
                <w:rStyle w:val="16"/>
                <w:rFonts w:ascii="宋体" w:hAnsi="宋体"/>
                <w:color w:val="auto"/>
                <w:sz w:val="21"/>
                <w:szCs w:val="21"/>
              </w:rPr>
            </w:pPr>
            <w:r>
              <w:rPr>
                <w:rStyle w:val="16"/>
                <w:rFonts w:hint="eastAsia" w:ascii="宋体" w:hAnsi="宋体"/>
                <w:color w:val="auto"/>
                <w:sz w:val="21"/>
                <w:szCs w:val="21"/>
              </w:rPr>
              <w:t>...</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15"/>
              <w:spacing w:line="288" w:lineRule="auto"/>
              <w:jc w:val="center"/>
              <w:rPr>
                <w:rStyle w:val="16"/>
                <w:rFonts w:ascii="宋体" w:hAnsi="宋体"/>
                <w:color w:val="auto"/>
                <w:sz w:val="21"/>
                <w:szCs w:val="21"/>
              </w:rPr>
            </w:pPr>
          </w:p>
        </w:tc>
        <w:tc>
          <w:tcPr>
            <w:tcW w:w="2520" w:type="dxa"/>
            <w:tcBorders>
              <w:top w:val="single" w:color="000000" w:sz="4" w:space="0"/>
              <w:left w:val="single" w:color="000000" w:sz="4" w:space="0"/>
              <w:bottom w:val="single" w:color="000000" w:sz="4" w:space="0"/>
              <w:right w:val="single" w:color="000000" w:sz="4" w:space="0"/>
            </w:tcBorders>
          </w:tcPr>
          <w:p>
            <w:pPr>
              <w:pStyle w:val="15"/>
              <w:spacing w:line="288" w:lineRule="auto"/>
              <w:jc w:val="center"/>
              <w:rPr>
                <w:rStyle w:val="16"/>
                <w:rFonts w:ascii="宋体" w:hAnsi="宋体"/>
                <w:color w:val="auto"/>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15"/>
              <w:spacing w:line="288" w:lineRule="auto"/>
              <w:jc w:val="center"/>
              <w:rPr>
                <w:rStyle w:val="16"/>
                <w:rFonts w:ascii="宋体" w:hAnsi="宋体"/>
                <w:color w:val="auto"/>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15"/>
              <w:spacing w:line="288" w:lineRule="auto"/>
              <w:jc w:val="center"/>
              <w:rPr>
                <w:rStyle w:val="16"/>
                <w:rFonts w:ascii="宋体" w:hAnsi="宋体"/>
                <w:color w:val="auto"/>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15"/>
              <w:spacing w:line="288" w:lineRule="auto"/>
              <w:jc w:val="center"/>
              <w:rPr>
                <w:rStyle w:val="16"/>
                <w:rFonts w:ascii="宋体" w:hAnsi="宋体"/>
                <w:color w:val="auto"/>
                <w:sz w:val="21"/>
                <w:szCs w:val="21"/>
              </w:rPr>
            </w:pPr>
          </w:p>
        </w:tc>
        <w:tc>
          <w:tcPr>
            <w:tcW w:w="1620" w:type="dxa"/>
            <w:tcBorders>
              <w:top w:val="single" w:color="000000" w:sz="4" w:space="0"/>
              <w:left w:val="single" w:color="000000" w:sz="4" w:space="0"/>
              <w:bottom w:val="single" w:color="000000" w:sz="4" w:space="0"/>
              <w:right w:val="single" w:color="000000" w:sz="4" w:space="0"/>
            </w:tcBorders>
            <w:vAlign w:val="center"/>
          </w:tcPr>
          <w:p>
            <w:pPr>
              <w:pStyle w:val="15"/>
              <w:spacing w:line="288" w:lineRule="auto"/>
              <w:jc w:val="center"/>
              <w:rPr>
                <w:rStyle w:val="16"/>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5" w:hRule="atLeast"/>
        </w:trPr>
        <w:tc>
          <w:tcPr>
            <w:tcW w:w="2520" w:type="dxa"/>
            <w:gridSpan w:val="2"/>
            <w:tcBorders>
              <w:top w:val="single" w:color="000000" w:sz="4" w:space="0"/>
              <w:left w:val="single" w:color="000000" w:sz="4" w:space="0"/>
              <w:bottom w:val="single" w:color="000000" w:sz="4" w:space="0"/>
              <w:right w:val="single" w:color="000000" w:sz="4" w:space="0"/>
            </w:tcBorders>
            <w:vAlign w:val="center"/>
          </w:tcPr>
          <w:p>
            <w:pPr>
              <w:pStyle w:val="15"/>
              <w:spacing w:line="288" w:lineRule="auto"/>
              <w:jc w:val="center"/>
              <w:rPr>
                <w:rStyle w:val="16"/>
                <w:rFonts w:ascii="宋体" w:hAnsi="宋体"/>
                <w:color w:val="auto"/>
                <w:sz w:val="21"/>
                <w:szCs w:val="21"/>
              </w:rPr>
            </w:pPr>
            <w:r>
              <w:rPr>
                <w:rStyle w:val="16"/>
                <w:rFonts w:ascii="宋体" w:hAnsi="宋体"/>
                <w:color w:val="auto"/>
                <w:sz w:val="21"/>
                <w:szCs w:val="21"/>
              </w:rPr>
              <w:t>合同总价（人民币）</w:t>
            </w:r>
          </w:p>
        </w:tc>
        <w:tc>
          <w:tcPr>
            <w:tcW w:w="6840" w:type="dxa"/>
            <w:gridSpan w:val="5"/>
            <w:tcBorders>
              <w:top w:val="single" w:color="000000" w:sz="4" w:space="0"/>
              <w:left w:val="single" w:color="000000" w:sz="4" w:space="0"/>
              <w:bottom w:val="single" w:color="000000" w:sz="4" w:space="0"/>
              <w:right w:val="single" w:color="000000" w:sz="4" w:space="0"/>
            </w:tcBorders>
            <w:vAlign w:val="center"/>
          </w:tcPr>
          <w:p>
            <w:pPr>
              <w:pStyle w:val="15"/>
              <w:spacing w:line="288" w:lineRule="auto"/>
              <w:jc w:val="center"/>
              <w:rPr>
                <w:rStyle w:val="16"/>
                <w:rFonts w:ascii="宋体" w:hAnsi="宋体"/>
                <w:color w:val="auto"/>
                <w:sz w:val="21"/>
                <w:szCs w:val="21"/>
              </w:rPr>
            </w:pPr>
          </w:p>
        </w:tc>
      </w:tr>
    </w:tbl>
    <w:p>
      <w:pPr>
        <w:pStyle w:val="15"/>
        <w:spacing w:line="288" w:lineRule="auto"/>
        <w:ind w:firstLine="420" w:firstLineChars="200"/>
        <w:rPr>
          <w:rStyle w:val="16"/>
          <w:rFonts w:hint="eastAsia" w:ascii="宋体" w:hAnsi="宋体"/>
          <w:color w:val="auto"/>
          <w:sz w:val="21"/>
          <w:szCs w:val="21"/>
        </w:rPr>
      </w:pPr>
      <w:r>
        <w:rPr>
          <w:rStyle w:val="16"/>
          <w:rFonts w:ascii="宋体" w:hAnsi="宋体"/>
          <w:color w:val="auto"/>
          <w:sz w:val="21"/>
          <w:szCs w:val="21"/>
        </w:rPr>
        <w:t>注：合同金额据实结算</w:t>
      </w:r>
      <w:r>
        <w:rPr>
          <w:rStyle w:val="16"/>
          <w:rFonts w:hint="eastAsia" w:ascii="宋体" w:hAnsi="宋体"/>
          <w:color w:val="auto"/>
          <w:sz w:val="21"/>
          <w:szCs w:val="21"/>
        </w:rPr>
        <w:t>，</w:t>
      </w:r>
      <w:r>
        <w:rPr>
          <w:rStyle w:val="16"/>
          <w:rFonts w:ascii="宋体" w:hAnsi="宋体"/>
          <w:color w:val="auto"/>
          <w:sz w:val="21"/>
          <w:szCs w:val="21"/>
        </w:rPr>
        <w:t>最终结算金额如有增加的</w:t>
      </w:r>
      <w:r>
        <w:rPr>
          <w:rStyle w:val="16"/>
          <w:rFonts w:hint="eastAsia" w:ascii="宋体" w:hAnsi="宋体"/>
          <w:color w:val="auto"/>
          <w:sz w:val="21"/>
          <w:szCs w:val="21"/>
        </w:rPr>
        <w:t>，</w:t>
      </w:r>
      <w:r>
        <w:rPr>
          <w:rStyle w:val="16"/>
          <w:rFonts w:ascii="宋体" w:hAnsi="宋体"/>
          <w:color w:val="auto"/>
          <w:sz w:val="21"/>
          <w:szCs w:val="21"/>
        </w:rPr>
        <w:t>增加部分不得超过合同总金额的</w:t>
      </w:r>
      <w:r>
        <w:rPr>
          <w:rStyle w:val="16"/>
          <w:rFonts w:hint="eastAsia" w:ascii="宋体" w:hAnsi="宋体"/>
          <w:color w:val="auto"/>
          <w:sz w:val="21"/>
          <w:szCs w:val="21"/>
        </w:rPr>
        <w:t>1</w:t>
      </w:r>
      <w:r>
        <w:rPr>
          <w:rStyle w:val="16"/>
          <w:rFonts w:ascii="宋体" w:hAnsi="宋体"/>
          <w:color w:val="auto"/>
          <w:sz w:val="21"/>
          <w:szCs w:val="21"/>
        </w:rPr>
        <w:t>0</w:t>
      </w:r>
      <w:r>
        <w:rPr>
          <w:rStyle w:val="16"/>
          <w:rFonts w:hint="eastAsia" w:ascii="宋体" w:hAnsi="宋体"/>
          <w:color w:val="auto"/>
          <w:sz w:val="21"/>
          <w:szCs w:val="21"/>
        </w:rPr>
        <w:t>%。</w:t>
      </w:r>
    </w:p>
    <w:p>
      <w:pPr>
        <w:pStyle w:val="15"/>
        <w:spacing w:line="288" w:lineRule="auto"/>
        <w:rPr>
          <w:rStyle w:val="16"/>
          <w:rFonts w:ascii="宋体" w:hAnsi="宋体"/>
          <w:color w:val="auto"/>
          <w:sz w:val="21"/>
          <w:szCs w:val="21"/>
        </w:rPr>
      </w:pPr>
    </w:p>
    <w:p>
      <w:pPr>
        <w:pStyle w:val="15"/>
        <w:spacing w:line="288" w:lineRule="auto"/>
        <w:ind w:left="422" w:hanging="422" w:hangingChars="200"/>
        <w:rPr>
          <w:rStyle w:val="16"/>
          <w:rFonts w:ascii="宋体" w:hAnsi="宋体" w:cs="Arial"/>
          <w:color w:val="auto"/>
          <w:sz w:val="21"/>
          <w:szCs w:val="21"/>
        </w:rPr>
      </w:pPr>
      <w:r>
        <w:rPr>
          <w:rStyle w:val="16"/>
          <w:rFonts w:ascii="宋体" w:hAnsi="宋体" w:cs="Arial"/>
          <w:b/>
          <w:bCs/>
          <w:color w:val="auto"/>
          <w:sz w:val="21"/>
          <w:szCs w:val="21"/>
        </w:rPr>
        <w:t>第二条：质量保证</w:t>
      </w:r>
      <w:r>
        <w:rPr>
          <w:rStyle w:val="16"/>
          <w:rFonts w:hint="eastAsia" w:ascii="宋体" w:hAnsi="宋体" w:cs="Arial"/>
          <w:color w:val="auto"/>
          <w:sz w:val="21"/>
          <w:szCs w:val="21"/>
        </w:rPr>
        <w:cr/>
      </w:r>
      <w:r>
        <w:rPr>
          <w:rStyle w:val="16"/>
          <w:rFonts w:hint="eastAsia" w:ascii="宋体" w:hAnsi="宋体" w:cs="Arial"/>
          <w:color w:val="auto"/>
          <w:sz w:val="21"/>
          <w:szCs w:val="21"/>
        </w:rPr>
        <w:t>质保期：项目整体质保期1年。</w:t>
      </w:r>
    </w:p>
    <w:p>
      <w:pPr>
        <w:pStyle w:val="15"/>
        <w:spacing w:line="288" w:lineRule="auto"/>
        <w:ind w:firstLine="420" w:firstLineChars="200"/>
        <w:rPr>
          <w:rStyle w:val="16"/>
          <w:rFonts w:ascii="宋体" w:hAnsi="宋体" w:cs="Arial"/>
          <w:color w:val="auto"/>
          <w:sz w:val="21"/>
          <w:szCs w:val="21"/>
        </w:rPr>
      </w:pPr>
      <w:r>
        <w:rPr>
          <w:rStyle w:val="16"/>
          <w:rFonts w:hint="eastAsia" w:ascii="宋体" w:hAnsi="宋体" w:cs="Arial"/>
          <w:color w:val="auto"/>
          <w:sz w:val="21"/>
          <w:szCs w:val="21"/>
        </w:rPr>
        <w:t>服务范围：图书剔旧、打包、盘点、书库置换、过刊装订</w:t>
      </w:r>
    </w:p>
    <w:p>
      <w:pPr>
        <w:pStyle w:val="15"/>
        <w:spacing w:line="288" w:lineRule="auto"/>
        <w:rPr>
          <w:rStyle w:val="16"/>
          <w:rFonts w:ascii="宋体" w:hAnsi="宋体"/>
          <w:color w:val="auto"/>
          <w:sz w:val="21"/>
          <w:szCs w:val="21"/>
        </w:rPr>
      </w:pPr>
      <w:r>
        <w:rPr>
          <w:rStyle w:val="16"/>
          <w:rFonts w:ascii="宋体" w:hAnsi="宋体" w:cs="Arial"/>
          <w:b/>
          <w:bCs/>
          <w:color w:val="auto"/>
          <w:sz w:val="21"/>
          <w:szCs w:val="21"/>
        </w:rPr>
        <w:t>第三条：技术资料</w:t>
      </w:r>
    </w:p>
    <w:p>
      <w:pPr>
        <w:pStyle w:val="15"/>
        <w:spacing w:line="288" w:lineRule="auto"/>
        <w:ind w:firstLine="420" w:firstLineChars="200"/>
        <w:rPr>
          <w:rStyle w:val="16"/>
          <w:rFonts w:ascii="宋体" w:hAnsi="宋体"/>
          <w:color w:val="auto"/>
          <w:sz w:val="21"/>
          <w:szCs w:val="21"/>
        </w:rPr>
      </w:pPr>
      <w:r>
        <w:rPr>
          <w:rStyle w:val="16"/>
          <w:rFonts w:ascii="宋体" w:hAnsi="宋体"/>
          <w:color w:val="auto"/>
          <w:sz w:val="21"/>
          <w:szCs w:val="21"/>
        </w:rPr>
        <w:t>1．乙方应按</w:t>
      </w:r>
      <w:r>
        <w:rPr>
          <w:rStyle w:val="16"/>
          <w:rFonts w:hint="eastAsia" w:ascii="宋体" w:hAnsi="宋体"/>
          <w:color w:val="auto"/>
          <w:sz w:val="21"/>
          <w:szCs w:val="21"/>
        </w:rPr>
        <w:t>磋商</w:t>
      </w:r>
      <w:r>
        <w:rPr>
          <w:rStyle w:val="16"/>
          <w:rFonts w:ascii="宋体" w:hAnsi="宋体"/>
          <w:color w:val="auto"/>
          <w:sz w:val="21"/>
          <w:szCs w:val="21"/>
        </w:rPr>
        <w:t>文件规定的时间向甲方提供使用货物的有关技术资料。</w:t>
      </w:r>
    </w:p>
    <w:p>
      <w:pPr>
        <w:pStyle w:val="15"/>
        <w:spacing w:line="288" w:lineRule="auto"/>
        <w:ind w:firstLine="420" w:firstLineChars="200"/>
        <w:rPr>
          <w:rStyle w:val="16"/>
          <w:rFonts w:ascii="宋体" w:hAnsi="宋体"/>
          <w:color w:val="auto"/>
          <w:sz w:val="21"/>
          <w:szCs w:val="21"/>
        </w:rPr>
      </w:pPr>
      <w:r>
        <w:rPr>
          <w:rStyle w:val="16"/>
          <w:rFonts w:ascii="宋体" w:hAnsi="宋体"/>
          <w:color w:val="auto"/>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5"/>
        <w:spacing w:line="288" w:lineRule="auto"/>
        <w:rPr>
          <w:rStyle w:val="16"/>
          <w:rFonts w:ascii="宋体" w:hAnsi="宋体" w:cs="Arial"/>
          <w:b/>
          <w:bCs/>
          <w:color w:val="auto"/>
          <w:sz w:val="21"/>
          <w:szCs w:val="21"/>
        </w:rPr>
      </w:pPr>
      <w:r>
        <w:rPr>
          <w:rStyle w:val="16"/>
          <w:rFonts w:ascii="宋体" w:hAnsi="宋体" w:cs="Arial"/>
          <w:b/>
          <w:bCs/>
          <w:color w:val="auto"/>
          <w:sz w:val="21"/>
          <w:szCs w:val="21"/>
        </w:rPr>
        <w:t>第四条：知识产权</w:t>
      </w:r>
    </w:p>
    <w:p>
      <w:pPr>
        <w:pStyle w:val="15"/>
        <w:spacing w:line="288" w:lineRule="auto"/>
        <w:ind w:firstLine="420" w:firstLineChars="200"/>
        <w:rPr>
          <w:rStyle w:val="16"/>
          <w:rFonts w:ascii="宋体" w:hAnsi="宋体"/>
          <w:color w:val="auto"/>
          <w:sz w:val="21"/>
          <w:szCs w:val="21"/>
        </w:rPr>
      </w:pPr>
      <w:r>
        <w:rPr>
          <w:rStyle w:val="16"/>
          <w:rFonts w:ascii="宋体" w:hAnsi="宋体"/>
          <w:color w:val="auto"/>
          <w:sz w:val="21"/>
          <w:szCs w:val="21"/>
        </w:rPr>
        <w:t>乙方应保证所提供的货物或其任何一部分均不会侵犯任何第三方的知识产权</w:t>
      </w:r>
    </w:p>
    <w:p>
      <w:pPr>
        <w:pStyle w:val="15"/>
        <w:spacing w:line="288" w:lineRule="auto"/>
        <w:rPr>
          <w:rStyle w:val="16"/>
          <w:rFonts w:ascii="宋体" w:hAnsi="宋体" w:cs="Arial"/>
          <w:b/>
          <w:bCs/>
          <w:color w:val="auto"/>
          <w:sz w:val="21"/>
          <w:szCs w:val="21"/>
        </w:rPr>
      </w:pPr>
      <w:r>
        <w:rPr>
          <w:rStyle w:val="16"/>
          <w:rFonts w:ascii="宋体" w:hAnsi="宋体" w:cs="Arial"/>
          <w:b/>
          <w:bCs/>
          <w:color w:val="auto"/>
          <w:sz w:val="21"/>
          <w:szCs w:val="21"/>
        </w:rPr>
        <w:t>第五条：</w:t>
      </w:r>
      <w:r>
        <w:rPr>
          <w:rStyle w:val="16"/>
          <w:rFonts w:hint="eastAsia" w:ascii="宋体" w:hAnsi="宋体" w:cs="Arial"/>
          <w:b/>
          <w:bCs/>
          <w:color w:val="auto"/>
          <w:sz w:val="21"/>
          <w:szCs w:val="21"/>
        </w:rPr>
        <w:t>服务</w:t>
      </w:r>
      <w:r>
        <w:rPr>
          <w:rStyle w:val="16"/>
          <w:rFonts w:ascii="宋体" w:hAnsi="宋体" w:cs="Arial"/>
          <w:b/>
          <w:bCs/>
          <w:color w:val="auto"/>
          <w:sz w:val="21"/>
          <w:szCs w:val="21"/>
        </w:rPr>
        <w:t>时间、地点</w:t>
      </w:r>
    </w:p>
    <w:p>
      <w:pPr>
        <w:pStyle w:val="15"/>
        <w:spacing w:line="288" w:lineRule="auto"/>
        <w:ind w:firstLine="420" w:firstLineChars="200"/>
        <w:rPr>
          <w:rStyle w:val="16"/>
          <w:rFonts w:ascii="宋体" w:hAnsi="宋体" w:cs="Arial"/>
          <w:color w:val="auto"/>
          <w:sz w:val="21"/>
          <w:szCs w:val="21"/>
        </w:rPr>
      </w:pPr>
      <w:r>
        <w:rPr>
          <w:rStyle w:val="16"/>
          <w:rFonts w:hint="eastAsia" w:ascii="宋体" w:hAnsi="宋体" w:cs="Arial"/>
          <w:color w:val="auto"/>
          <w:sz w:val="21"/>
          <w:szCs w:val="21"/>
        </w:rPr>
        <w:t>服务期限：自合同签订之日开始三个月内完成并完成验收。</w:t>
      </w:r>
    </w:p>
    <w:p>
      <w:pPr>
        <w:pStyle w:val="15"/>
        <w:spacing w:line="288" w:lineRule="auto"/>
        <w:ind w:firstLine="420" w:firstLineChars="200"/>
        <w:rPr>
          <w:rStyle w:val="16"/>
          <w:rFonts w:ascii="宋体" w:hAnsi="宋体" w:cs="Arial"/>
          <w:color w:val="auto"/>
          <w:sz w:val="21"/>
          <w:szCs w:val="21"/>
        </w:rPr>
      </w:pPr>
      <w:r>
        <w:rPr>
          <w:rStyle w:val="16"/>
          <w:rFonts w:hint="eastAsia" w:ascii="宋体" w:hAnsi="宋体" w:cs="Arial"/>
          <w:color w:val="auto"/>
          <w:sz w:val="21"/>
          <w:szCs w:val="21"/>
        </w:rPr>
        <w:t>地点:浙江财经大学</w:t>
      </w:r>
    </w:p>
    <w:p>
      <w:pPr>
        <w:pStyle w:val="15"/>
        <w:spacing w:line="288" w:lineRule="auto"/>
        <w:rPr>
          <w:rStyle w:val="16"/>
          <w:rFonts w:ascii="宋体" w:hAnsi="宋体" w:cs="Arial"/>
          <w:b/>
          <w:bCs/>
          <w:color w:val="auto"/>
          <w:sz w:val="21"/>
          <w:szCs w:val="21"/>
        </w:rPr>
      </w:pPr>
      <w:r>
        <w:rPr>
          <w:rStyle w:val="16"/>
          <w:rFonts w:ascii="宋体" w:hAnsi="宋体" w:cs="Arial"/>
          <w:b/>
          <w:bCs/>
          <w:color w:val="auto"/>
          <w:sz w:val="21"/>
          <w:szCs w:val="21"/>
        </w:rPr>
        <w:t>第六条：售后服务</w:t>
      </w:r>
    </w:p>
    <w:p>
      <w:pPr>
        <w:pStyle w:val="15"/>
        <w:spacing w:line="288" w:lineRule="auto"/>
        <w:ind w:firstLine="420" w:firstLineChars="200"/>
        <w:rPr>
          <w:rStyle w:val="16"/>
          <w:rFonts w:ascii="宋体" w:hAnsi="宋体"/>
          <w:color w:val="auto"/>
          <w:sz w:val="21"/>
          <w:szCs w:val="21"/>
        </w:rPr>
      </w:pPr>
      <w:r>
        <w:rPr>
          <w:rStyle w:val="16"/>
          <w:rFonts w:hint="eastAsia" w:ascii="宋体" w:hAnsi="宋体"/>
          <w:color w:val="auto"/>
          <w:sz w:val="21"/>
          <w:szCs w:val="21"/>
        </w:rPr>
        <w:t>1.拟派人员必须具有一定的图书剔旧盘点工作经验，项目负责人必须具有3年以上同类业绩并提供相应证明材料；</w:t>
      </w:r>
    </w:p>
    <w:p>
      <w:pPr>
        <w:pStyle w:val="15"/>
        <w:spacing w:line="288" w:lineRule="auto"/>
        <w:ind w:firstLine="420" w:firstLineChars="200"/>
        <w:rPr>
          <w:rStyle w:val="16"/>
          <w:rFonts w:ascii="宋体" w:hAnsi="宋体"/>
          <w:color w:val="auto"/>
          <w:sz w:val="21"/>
          <w:szCs w:val="21"/>
        </w:rPr>
      </w:pPr>
      <w:r>
        <w:rPr>
          <w:rStyle w:val="16"/>
          <w:rFonts w:hint="eastAsia" w:ascii="宋体" w:hAnsi="宋体"/>
          <w:color w:val="auto"/>
          <w:sz w:val="21"/>
          <w:szCs w:val="21"/>
        </w:rPr>
        <w:t>2.工作过程中，乙方要加强对现场工作人员的管理，同时要与甲方保持良好沟通，服从甲方管理与安排，积极响应甲方要求；</w:t>
      </w:r>
    </w:p>
    <w:p>
      <w:pPr>
        <w:pStyle w:val="15"/>
        <w:spacing w:line="288" w:lineRule="auto"/>
        <w:ind w:firstLine="420" w:firstLineChars="200"/>
        <w:rPr>
          <w:rStyle w:val="16"/>
          <w:rFonts w:ascii="宋体" w:hAnsi="宋体"/>
          <w:color w:val="auto"/>
          <w:sz w:val="21"/>
          <w:szCs w:val="21"/>
        </w:rPr>
      </w:pPr>
      <w:r>
        <w:rPr>
          <w:rStyle w:val="16"/>
          <w:rFonts w:hint="eastAsia" w:ascii="宋体" w:hAnsi="宋体"/>
          <w:color w:val="auto"/>
          <w:sz w:val="21"/>
          <w:szCs w:val="21"/>
        </w:rPr>
        <w:t>3.甲方有权对乙方的工作进行监督检查，必要时可以要求调换工作人员；</w:t>
      </w:r>
    </w:p>
    <w:p>
      <w:pPr>
        <w:pStyle w:val="15"/>
        <w:spacing w:line="288" w:lineRule="auto"/>
        <w:ind w:firstLine="420" w:firstLineChars="200"/>
        <w:rPr>
          <w:rStyle w:val="16"/>
          <w:rFonts w:ascii="宋体" w:hAnsi="宋体"/>
          <w:color w:val="auto"/>
          <w:sz w:val="21"/>
          <w:szCs w:val="21"/>
        </w:rPr>
      </w:pPr>
      <w:r>
        <w:rPr>
          <w:rStyle w:val="16"/>
          <w:rFonts w:hint="eastAsia" w:ascii="宋体" w:hAnsi="宋体"/>
          <w:color w:val="auto"/>
          <w:sz w:val="21"/>
          <w:szCs w:val="21"/>
        </w:rPr>
        <w:t>3.拟派人员食宿自理并符合学校相关防疫规定；</w:t>
      </w:r>
    </w:p>
    <w:p>
      <w:pPr>
        <w:pStyle w:val="15"/>
        <w:spacing w:line="288" w:lineRule="auto"/>
        <w:ind w:firstLine="420" w:firstLineChars="200"/>
        <w:rPr>
          <w:rStyle w:val="16"/>
          <w:rFonts w:ascii="宋体" w:hAnsi="宋体"/>
          <w:color w:val="auto"/>
          <w:sz w:val="21"/>
          <w:szCs w:val="21"/>
        </w:rPr>
      </w:pPr>
      <w:r>
        <w:rPr>
          <w:rStyle w:val="16"/>
          <w:rFonts w:hint="eastAsia" w:ascii="宋体" w:hAnsi="宋体"/>
          <w:color w:val="auto"/>
          <w:sz w:val="21"/>
          <w:szCs w:val="21"/>
        </w:rPr>
        <w:t>5.剔旧盘点工作中，有关的电脑及扫描设备由乙方提供；</w:t>
      </w:r>
    </w:p>
    <w:p>
      <w:pPr>
        <w:pStyle w:val="15"/>
        <w:spacing w:line="288" w:lineRule="auto"/>
        <w:ind w:firstLine="420" w:firstLineChars="200"/>
        <w:rPr>
          <w:rStyle w:val="16"/>
          <w:rFonts w:ascii="宋体" w:hAnsi="宋体"/>
          <w:color w:val="auto"/>
          <w:sz w:val="21"/>
          <w:szCs w:val="21"/>
        </w:rPr>
      </w:pPr>
      <w:r>
        <w:rPr>
          <w:rStyle w:val="16"/>
          <w:rFonts w:hint="eastAsia" w:ascii="宋体" w:hAnsi="宋体"/>
          <w:color w:val="auto"/>
          <w:sz w:val="21"/>
          <w:szCs w:val="21"/>
        </w:rPr>
        <w:t>6.剔旧盘点工作完成后，乙方须按要求向甲方提供详细剔旧盘点报告。</w:t>
      </w:r>
    </w:p>
    <w:p>
      <w:pPr>
        <w:pStyle w:val="15"/>
        <w:spacing w:line="288" w:lineRule="auto"/>
        <w:rPr>
          <w:rStyle w:val="16"/>
          <w:rFonts w:ascii="宋体" w:hAnsi="宋体" w:cs="Arial"/>
          <w:b/>
          <w:bCs/>
          <w:color w:val="auto"/>
          <w:sz w:val="21"/>
          <w:szCs w:val="21"/>
        </w:rPr>
      </w:pPr>
      <w:r>
        <w:rPr>
          <w:rStyle w:val="16"/>
          <w:rFonts w:ascii="宋体" w:hAnsi="宋体" w:cs="Arial"/>
          <w:b/>
          <w:bCs/>
          <w:color w:val="auto"/>
          <w:sz w:val="21"/>
          <w:szCs w:val="21"/>
        </w:rPr>
        <w:t>第七条：</w:t>
      </w:r>
      <w:r>
        <w:rPr>
          <w:rStyle w:val="16"/>
          <w:rFonts w:hint="eastAsia" w:ascii="宋体" w:hAnsi="宋体" w:cs="Arial"/>
          <w:b/>
          <w:bCs/>
          <w:color w:val="auto"/>
          <w:sz w:val="21"/>
          <w:szCs w:val="21"/>
        </w:rPr>
        <w:t>质量</w:t>
      </w:r>
      <w:r>
        <w:rPr>
          <w:rStyle w:val="16"/>
          <w:rFonts w:ascii="宋体" w:hAnsi="宋体" w:cs="Arial"/>
          <w:b/>
          <w:bCs/>
          <w:color w:val="auto"/>
          <w:sz w:val="21"/>
          <w:szCs w:val="21"/>
        </w:rPr>
        <w:t>验收</w:t>
      </w:r>
    </w:p>
    <w:p>
      <w:pPr>
        <w:pStyle w:val="15"/>
        <w:spacing w:line="288" w:lineRule="auto"/>
        <w:ind w:firstLine="420" w:firstLineChars="200"/>
        <w:rPr>
          <w:rStyle w:val="16"/>
          <w:rFonts w:ascii="宋体" w:hAnsi="宋体" w:cs="Arial"/>
          <w:color w:val="auto"/>
          <w:sz w:val="21"/>
          <w:szCs w:val="21"/>
        </w:rPr>
      </w:pPr>
      <w:r>
        <w:rPr>
          <w:rStyle w:val="16"/>
          <w:rFonts w:hint="eastAsia" w:ascii="宋体" w:hAnsi="宋体" w:cs="Arial"/>
          <w:color w:val="auto"/>
          <w:sz w:val="21"/>
          <w:szCs w:val="21"/>
        </w:rPr>
        <w:t>甲方将按照5%的比例对下架与盘点的图书进行随机抽查，图书数量、信息、位置等差错率均不大于0.1%；乙方有关剔旧盘点服务质保期不低于1年，若一年内发现有相关问题，乙方必须负责免费维修或整改。</w:t>
      </w:r>
    </w:p>
    <w:p>
      <w:pPr>
        <w:pStyle w:val="15"/>
        <w:spacing w:line="288" w:lineRule="auto"/>
        <w:rPr>
          <w:rStyle w:val="16"/>
          <w:rFonts w:ascii="宋体" w:hAnsi="宋体"/>
          <w:color w:val="auto"/>
          <w:sz w:val="21"/>
          <w:szCs w:val="21"/>
        </w:rPr>
      </w:pPr>
      <w:r>
        <w:rPr>
          <w:rStyle w:val="16"/>
          <w:rFonts w:ascii="宋体" w:hAnsi="宋体" w:cs="Arial"/>
          <w:b/>
          <w:bCs/>
          <w:color w:val="auto"/>
          <w:sz w:val="21"/>
          <w:szCs w:val="21"/>
        </w:rPr>
        <w:t>第八条：</w:t>
      </w:r>
      <w:r>
        <w:rPr>
          <w:rStyle w:val="16"/>
          <w:rFonts w:hint="eastAsia" w:ascii="宋体" w:hAnsi="宋体" w:cs="Arial"/>
          <w:b/>
          <w:bCs/>
          <w:color w:val="auto"/>
          <w:sz w:val="21"/>
          <w:szCs w:val="21"/>
        </w:rPr>
        <w:t>履约保证金及</w:t>
      </w:r>
      <w:r>
        <w:rPr>
          <w:rStyle w:val="16"/>
          <w:rFonts w:ascii="宋体" w:hAnsi="宋体" w:cs="Arial"/>
          <w:b/>
          <w:bCs/>
          <w:color w:val="auto"/>
          <w:sz w:val="21"/>
          <w:szCs w:val="21"/>
        </w:rPr>
        <w:t>货款的支付</w:t>
      </w:r>
    </w:p>
    <w:p>
      <w:pPr>
        <w:pStyle w:val="15"/>
        <w:spacing w:line="288" w:lineRule="auto"/>
        <w:ind w:firstLine="420" w:firstLineChars="200"/>
        <w:rPr>
          <w:rStyle w:val="16"/>
          <w:rFonts w:ascii="宋体" w:hAnsi="宋体"/>
          <w:color w:val="auto"/>
          <w:sz w:val="21"/>
          <w:szCs w:val="21"/>
        </w:rPr>
      </w:pPr>
      <w:r>
        <w:rPr>
          <w:rStyle w:val="16"/>
          <w:rFonts w:hint="eastAsia" w:ascii="宋体" w:hAnsi="宋体"/>
          <w:color w:val="auto"/>
          <w:sz w:val="21"/>
          <w:szCs w:val="21"/>
        </w:rPr>
        <w:t>1.合同签订后7日内乙方向甲方交付合同总金额5%履约保证金（提交方式：支票、汇票、本票或者金融机构、担保机构出具的保函等非现金形式），验收合格后转为质保金，如无质量问题，由甲方在15个工作日内一次性无息退回。</w:t>
      </w:r>
    </w:p>
    <w:p>
      <w:pPr>
        <w:pStyle w:val="15"/>
        <w:spacing w:line="288" w:lineRule="auto"/>
        <w:ind w:firstLine="420" w:firstLineChars="200"/>
        <w:rPr>
          <w:rStyle w:val="16"/>
          <w:rFonts w:ascii="宋体" w:hAnsi="宋体"/>
          <w:color w:val="auto"/>
          <w:sz w:val="21"/>
          <w:szCs w:val="21"/>
        </w:rPr>
      </w:pPr>
      <w:r>
        <w:rPr>
          <w:rStyle w:val="16"/>
          <w:rFonts w:hint="eastAsia" w:ascii="宋体" w:hAnsi="宋体"/>
          <w:color w:val="auto"/>
          <w:sz w:val="21"/>
          <w:szCs w:val="21"/>
        </w:rPr>
        <w:t>2</w:t>
      </w:r>
      <w:r>
        <w:rPr>
          <w:rStyle w:val="16"/>
          <w:rFonts w:ascii="宋体" w:hAnsi="宋体"/>
          <w:color w:val="auto"/>
          <w:sz w:val="21"/>
          <w:szCs w:val="21"/>
        </w:rPr>
        <w:t>.</w:t>
      </w:r>
      <w:r>
        <w:rPr>
          <w:rStyle w:val="16"/>
          <w:rFonts w:hint="eastAsia" w:ascii="宋体" w:hAnsi="宋体"/>
          <w:color w:val="auto"/>
          <w:sz w:val="21"/>
          <w:szCs w:val="21"/>
        </w:rPr>
        <w:t>乙方提交银行、保险公司等金融机构出具的预付款保函；支付时间和数额：合同生效并具备实施条件后</w:t>
      </w:r>
      <w:r>
        <w:rPr>
          <w:rStyle w:val="16"/>
          <w:rFonts w:ascii="宋体" w:hAnsi="宋体"/>
          <w:color w:val="auto"/>
          <w:sz w:val="21"/>
          <w:szCs w:val="21"/>
        </w:rPr>
        <w:t>7</w:t>
      </w:r>
      <w:r>
        <w:rPr>
          <w:rStyle w:val="16"/>
          <w:rFonts w:hint="eastAsia" w:ascii="宋体" w:hAnsi="宋体"/>
          <w:color w:val="auto"/>
          <w:sz w:val="21"/>
          <w:szCs w:val="21"/>
        </w:rPr>
        <w:t>日内，甲方向乙方支付合同金额30%的预付款。</w:t>
      </w:r>
    </w:p>
    <w:p>
      <w:pPr>
        <w:pStyle w:val="15"/>
        <w:spacing w:line="288" w:lineRule="auto"/>
        <w:ind w:firstLine="420" w:firstLineChars="200"/>
        <w:rPr>
          <w:rStyle w:val="16"/>
          <w:rFonts w:ascii="宋体" w:hAnsi="宋体"/>
          <w:color w:val="auto"/>
          <w:sz w:val="21"/>
          <w:szCs w:val="21"/>
        </w:rPr>
      </w:pPr>
      <w:r>
        <w:rPr>
          <w:rStyle w:val="16"/>
          <w:rFonts w:hint="eastAsia" w:ascii="宋体" w:hAnsi="宋体"/>
          <w:color w:val="auto"/>
          <w:sz w:val="21"/>
          <w:szCs w:val="21"/>
        </w:rPr>
        <w:t>3</w:t>
      </w:r>
      <w:r>
        <w:rPr>
          <w:rStyle w:val="16"/>
          <w:rFonts w:ascii="宋体" w:hAnsi="宋体"/>
          <w:color w:val="auto"/>
          <w:sz w:val="21"/>
          <w:szCs w:val="21"/>
        </w:rPr>
        <w:t>.</w:t>
      </w:r>
      <w:r>
        <w:rPr>
          <w:rStyle w:val="16"/>
          <w:rFonts w:hint="eastAsia" w:ascii="宋体" w:hAnsi="宋体"/>
          <w:color w:val="auto"/>
          <w:sz w:val="21"/>
          <w:szCs w:val="21"/>
        </w:rPr>
        <w:t>经甲方验收合格后，由甲方向乙方支付合同剩余全额货款的60%，剩余10%在一年售后服务期后付清。</w:t>
      </w:r>
    </w:p>
    <w:p>
      <w:pPr>
        <w:pStyle w:val="15"/>
        <w:spacing w:line="288" w:lineRule="auto"/>
        <w:rPr>
          <w:rStyle w:val="16"/>
          <w:rFonts w:ascii="宋体" w:hAnsi="宋体" w:cs="Arial"/>
          <w:b/>
          <w:bCs/>
          <w:color w:val="auto"/>
          <w:sz w:val="21"/>
          <w:szCs w:val="21"/>
        </w:rPr>
      </w:pPr>
      <w:r>
        <w:rPr>
          <w:rStyle w:val="16"/>
          <w:rFonts w:ascii="宋体" w:hAnsi="宋体" w:cs="Arial"/>
          <w:b/>
          <w:bCs/>
          <w:color w:val="auto"/>
          <w:sz w:val="21"/>
          <w:szCs w:val="21"/>
        </w:rPr>
        <w:t>第九条：违约责任</w:t>
      </w:r>
    </w:p>
    <w:p>
      <w:pPr>
        <w:pStyle w:val="15"/>
        <w:spacing w:line="288" w:lineRule="auto"/>
        <w:ind w:firstLine="420" w:firstLineChars="200"/>
        <w:rPr>
          <w:rStyle w:val="16"/>
          <w:rFonts w:ascii="宋体" w:hAnsi="宋体"/>
          <w:color w:val="auto"/>
          <w:sz w:val="21"/>
          <w:szCs w:val="21"/>
        </w:rPr>
      </w:pPr>
      <w:r>
        <w:rPr>
          <w:rStyle w:val="16"/>
          <w:rFonts w:ascii="宋体" w:hAnsi="宋体"/>
          <w:color w:val="auto"/>
          <w:sz w:val="21"/>
          <w:szCs w:val="21"/>
        </w:rPr>
        <w:t>1．乙方逾期履行合同的，自逾期之日起，向甲方每日偿付合同总价千分之五的滞纳金。</w:t>
      </w:r>
    </w:p>
    <w:p>
      <w:pPr>
        <w:pStyle w:val="15"/>
        <w:spacing w:line="288" w:lineRule="auto"/>
        <w:ind w:firstLine="420" w:firstLineChars="200"/>
        <w:rPr>
          <w:rStyle w:val="16"/>
          <w:rFonts w:ascii="宋体" w:hAnsi="宋体"/>
          <w:color w:val="auto"/>
          <w:sz w:val="21"/>
          <w:szCs w:val="21"/>
        </w:rPr>
      </w:pPr>
      <w:r>
        <w:rPr>
          <w:rStyle w:val="16"/>
          <w:rFonts w:ascii="宋体" w:hAnsi="宋体"/>
          <w:color w:val="auto"/>
          <w:sz w:val="21"/>
          <w:szCs w:val="21"/>
        </w:rPr>
        <w:t>2．甲方逾期支付货款的，自逾期之日起，向乙方每日偿付未付价款千分之五的滞纳金。</w:t>
      </w:r>
    </w:p>
    <w:p>
      <w:pPr>
        <w:pStyle w:val="15"/>
        <w:spacing w:line="288" w:lineRule="auto"/>
        <w:ind w:firstLine="420" w:firstLineChars="200"/>
        <w:rPr>
          <w:rStyle w:val="16"/>
          <w:rFonts w:ascii="宋体" w:hAnsi="宋体"/>
          <w:color w:val="auto"/>
          <w:sz w:val="21"/>
          <w:szCs w:val="21"/>
        </w:rPr>
      </w:pPr>
      <w:r>
        <w:rPr>
          <w:rStyle w:val="16"/>
          <w:rFonts w:ascii="宋体" w:hAnsi="宋体"/>
          <w:color w:val="auto"/>
          <w:sz w:val="21"/>
          <w:szCs w:val="21"/>
        </w:rPr>
        <w:t>3．如验收不能达到质量功能（性能）标准，乙方要支付给甲方总货款的20％作为违约赔偿金。</w:t>
      </w:r>
    </w:p>
    <w:p>
      <w:pPr>
        <w:pStyle w:val="15"/>
        <w:spacing w:line="288" w:lineRule="auto"/>
        <w:rPr>
          <w:rStyle w:val="16"/>
          <w:rFonts w:ascii="宋体" w:hAnsi="宋体"/>
          <w:color w:val="auto"/>
          <w:sz w:val="21"/>
          <w:szCs w:val="21"/>
        </w:rPr>
      </w:pPr>
      <w:r>
        <w:rPr>
          <w:rStyle w:val="16"/>
          <w:rFonts w:ascii="宋体" w:hAnsi="宋体" w:cs="Arial"/>
          <w:b/>
          <w:bCs/>
          <w:color w:val="auto"/>
          <w:sz w:val="21"/>
          <w:szCs w:val="21"/>
        </w:rPr>
        <w:t>第十条：不可抗力事件处理</w:t>
      </w:r>
    </w:p>
    <w:p>
      <w:pPr>
        <w:pStyle w:val="15"/>
        <w:spacing w:line="288" w:lineRule="auto"/>
        <w:ind w:firstLine="420" w:firstLineChars="200"/>
        <w:rPr>
          <w:rStyle w:val="16"/>
          <w:rFonts w:ascii="宋体" w:hAnsi="宋体"/>
          <w:color w:val="auto"/>
          <w:sz w:val="21"/>
          <w:szCs w:val="21"/>
        </w:rPr>
      </w:pPr>
      <w:r>
        <w:rPr>
          <w:rStyle w:val="16"/>
          <w:rFonts w:ascii="宋体" w:hAnsi="宋体"/>
          <w:color w:val="auto"/>
          <w:sz w:val="21"/>
          <w:szCs w:val="21"/>
        </w:rPr>
        <w:t>1．在合同有效期内，任何一方因不可抗力事件导致不能履行合同，则合同履行期可延长，其延长期与不可抗力影响期相同。</w:t>
      </w:r>
    </w:p>
    <w:p>
      <w:pPr>
        <w:pStyle w:val="15"/>
        <w:spacing w:line="288" w:lineRule="auto"/>
        <w:ind w:firstLine="420" w:firstLineChars="200"/>
        <w:rPr>
          <w:rStyle w:val="16"/>
          <w:rFonts w:ascii="宋体" w:hAnsi="宋体"/>
          <w:color w:val="auto"/>
          <w:sz w:val="21"/>
          <w:szCs w:val="21"/>
        </w:rPr>
      </w:pPr>
      <w:r>
        <w:rPr>
          <w:rStyle w:val="16"/>
          <w:rFonts w:ascii="宋体" w:hAnsi="宋体"/>
          <w:color w:val="auto"/>
          <w:sz w:val="21"/>
          <w:szCs w:val="21"/>
        </w:rPr>
        <w:t>2．不可抗力事件发生后，应立即通知对方，并寄送有关权威机构出具的证明。</w:t>
      </w:r>
    </w:p>
    <w:p>
      <w:pPr>
        <w:pStyle w:val="15"/>
        <w:spacing w:line="288" w:lineRule="auto"/>
        <w:ind w:firstLine="420" w:firstLineChars="200"/>
        <w:rPr>
          <w:rStyle w:val="16"/>
          <w:rFonts w:ascii="宋体" w:hAnsi="宋体"/>
          <w:color w:val="auto"/>
          <w:sz w:val="21"/>
          <w:szCs w:val="21"/>
        </w:rPr>
      </w:pPr>
      <w:r>
        <w:rPr>
          <w:rStyle w:val="16"/>
          <w:rFonts w:ascii="宋体" w:hAnsi="宋体"/>
          <w:color w:val="auto"/>
          <w:sz w:val="21"/>
          <w:szCs w:val="21"/>
        </w:rPr>
        <w:t>3．不可抗力事件延续120天以上，双方应通过友好协商，确定是否继续履行合同。</w:t>
      </w:r>
    </w:p>
    <w:p>
      <w:pPr>
        <w:pStyle w:val="15"/>
        <w:spacing w:line="288" w:lineRule="auto"/>
        <w:rPr>
          <w:rStyle w:val="16"/>
          <w:rFonts w:ascii="宋体" w:hAnsi="宋体"/>
          <w:color w:val="auto"/>
          <w:sz w:val="21"/>
          <w:szCs w:val="21"/>
        </w:rPr>
      </w:pPr>
      <w:r>
        <w:rPr>
          <w:rStyle w:val="16"/>
          <w:rFonts w:ascii="宋体" w:hAnsi="宋体" w:cs="Arial"/>
          <w:b/>
          <w:bCs/>
          <w:color w:val="auto"/>
          <w:sz w:val="21"/>
          <w:szCs w:val="21"/>
        </w:rPr>
        <w:t>第十一条：争议解决</w:t>
      </w:r>
    </w:p>
    <w:p>
      <w:pPr>
        <w:pStyle w:val="15"/>
        <w:spacing w:line="288" w:lineRule="auto"/>
        <w:ind w:firstLine="420" w:firstLineChars="200"/>
        <w:rPr>
          <w:rStyle w:val="16"/>
          <w:rFonts w:ascii="宋体" w:hAnsi="宋体"/>
          <w:color w:val="auto"/>
          <w:sz w:val="21"/>
          <w:szCs w:val="21"/>
        </w:rPr>
      </w:pPr>
      <w:r>
        <w:rPr>
          <w:rStyle w:val="16"/>
          <w:rFonts w:ascii="宋体" w:hAnsi="宋体"/>
          <w:color w:val="auto"/>
          <w:sz w:val="21"/>
          <w:szCs w:val="21"/>
        </w:rPr>
        <w:t>本合同未尽事宜由三方协商解决，如协商不成，三方同意将本合同引起的争议提交杭州仲裁委员会仲裁解决，仲裁为终局。</w:t>
      </w:r>
    </w:p>
    <w:p>
      <w:pPr>
        <w:pStyle w:val="15"/>
        <w:spacing w:line="288" w:lineRule="auto"/>
        <w:rPr>
          <w:rStyle w:val="16"/>
          <w:rFonts w:ascii="宋体" w:hAnsi="宋体"/>
          <w:color w:val="auto"/>
          <w:sz w:val="21"/>
          <w:szCs w:val="21"/>
        </w:rPr>
      </w:pPr>
      <w:r>
        <w:rPr>
          <w:rStyle w:val="16"/>
          <w:rFonts w:ascii="宋体" w:hAnsi="宋体" w:cs="Arial"/>
          <w:b/>
          <w:bCs/>
          <w:color w:val="auto"/>
          <w:sz w:val="21"/>
          <w:szCs w:val="21"/>
        </w:rPr>
        <w:t>第十二条：合同生效</w:t>
      </w:r>
    </w:p>
    <w:p>
      <w:pPr>
        <w:spacing w:line="288" w:lineRule="auto"/>
        <w:ind w:firstLine="396" w:firstLineChars="200"/>
        <w:rPr>
          <w:rFonts w:ascii="宋体" w:hAnsi="宋体"/>
          <w:spacing w:val="-6"/>
          <w:szCs w:val="21"/>
        </w:rPr>
      </w:pPr>
      <w:r>
        <w:rPr>
          <w:rFonts w:hint="eastAsia" w:ascii="宋体" w:hAnsi="宋体"/>
          <w:spacing w:val="-6"/>
          <w:szCs w:val="21"/>
        </w:rPr>
        <w:t>1.合同执行中涉及采购资金和采购内容修改或补充的，须经财政部门审批，并签书面补充协议报政府采购监督管理部门备案，方可作为主合同不可分割的一部分。</w:t>
      </w:r>
    </w:p>
    <w:p>
      <w:pPr>
        <w:spacing w:line="288" w:lineRule="auto"/>
        <w:ind w:firstLine="396" w:firstLineChars="200"/>
        <w:rPr>
          <w:rFonts w:ascii="宋体" w:hAnsi="宋体"/>
          <w:spacing w:val="-6"/>
          <w:szCs w:val="21"/>
        </w:rPr>
      </w:pPr>
      <w:r>
        <w:rPr>
          <w:rFonts w:hint="eastAsia" w:ascii="宋体" w:hAnsi="宋体"/>
          <w:spacing w:val="-6"/>
          <w:szCs w:val="21"/>
        </w:rPr>
        <w:t>2.本合同未尽事宜，遵照《民法典》有关条文执行。</w:t>
      </w:r>
    </w:p>
    <w:p>
      <w:pPr>
        <w:spacing w:line="288" w:lineRule="auto"/>
        <w:ind w:firstLine="396" w:firstLineChars="200"/>
        <w:rPr>
          <w:rFonts w:ascii="宋体" w:hAnsi="宋体"/>
          <w:spacing w:val="-6"/>
          <w:szCs w:val="21"/>
        </w:rPr>
      </w:pPr>
      <w:r>
        <w:rPr>
          <w:rFonts w:hint="eastAsia" w:ascii="宋体" w:hAnsi="宋体"/>
          <w:spacing w:val="-6"/>
          <w:szCs w:val="21"/>
        </w:rPr>
        <w:t>3.</w:t>
      </w:r>
      <w:r>
        <w:rPr>
          <w:rFonts w:hint="eastAsia" w:ascii="宋体" w:hAnsi="宋体" w:cs="宋体"/>
          <w:szCs w:val="21"/>
        </w:rPr>
        <w:t>本项目磋商文件、</w:t>
      </w:r>
      <w:r>
        <w:rPr>
          <w:rFonts w:hint="eastAsia" w:hAnsi="宋体" w:cs="宋体"/>
          <w:szCs w:val="21"/>
        </w:rPr>
        <w:t>响应文件</w:t>
      </w:r>
      <w:r>
        <w:rPr>
          <w:rFonts w:hint="eastAsia" w:ascii="宋体" w:hAnsi="宋体" w:cs="宋体"/>
          <w:szCs w:val="21"/>
        </w:rPr>
        <w:t>、磋商记录</w:t>
      </w:r>
      <w:r>
        <w:rPr>
          <w:rFonts w:hint="eastAsia" w:hAnsi="宋体" w:cs="宋体"/>
          <w:szCs w:val="21"/>
        </w:rPr>
        <w:t>（如有）</w:t>
      </w:r>
      <w:r>
        <w:rPr>
          <w:rFonts w:hint="eastAsia" w:ascii="宋体" w:hAnsi="宋体" w:cs="宋体"/>
          <w:szCs w:val="21"/>
        </w:rPr>
        <w:t>等与本合同具有同等法律效力。</w:t>
      </w:r>
    </w:p>
    <w:p>
      <w:pPr>
        <w:spacing w:line="288" w:lineRule="auto"/>
        <w:ind w:firstLine="396" w:firstLineChars="200"/>
        <w:rPr>
          <w:rFonts w:ascii="宋体" w:hAnsi="宋体"/>
          <w:spacing w:val="-6"/>
          <w:szCs w:val="21"/>
        </w:rPr>
      </w:pPr>
      <w:r>
        <w:rPr>
          <w:rFonts w:hint="eastAsia" w:ascii="宋体" w:hAnsi="宋体"/>
          <w:spacing w:val="-6"/>
          <w:szCs w:val="21"/>
        </w:rPr>
        <w:t>4.本合同一式陆份，采购代理机构执壹份，甲方执叁份，乙方执贰份，经三方签字、盖公章后生效。</w:t>
      </w:r>
    </w:p>
    <w:p>
      <w:pPr>
        <w:pStyle w:val="13"/>
      </w:pPr>
    </w:p>
    <w:tbl>
      <w:tblPr>
        <w:tblStyle w:val="10"/>
        <w:tblpPr w:leftFromText="180" w:rightFromText="180" w:vertAnchor="text" w:horzAnchor="page" w:tblpX="1376" w:tblpY="165"/>
        <w:tblOverlap w:val="never"/>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5"/>
        <w:gridCol w:w="4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625" w:type="dxa"/>
            <w:vAlign w:val="center"/>
          </w:tcPr>
          <w:p>
            <w:pPr>
              <w:adjustRightInd w:val="0"/>
              <w:snapToGrid w:val="0"/>
              <w:rPr>
                <w:rFonts w:ascii="宋体" w:hAnsi="宋体" w:cs="宋体"/>
                <w:szCs w:val="21"/>
              </w:rPr>
            </w:pPr>
            <w:r>
              <w:rPr>
                <w:rFonts w:hint="eastAsia" w:ascii="宋体" w:hAnsi="宋体" w:cs="宋体"/>
                <w:szCs w:val="21"/>
              </w:rPr>
              <w:t>甲方（公章）：</w:t>
            </w:r>
          </w:p>
        </w:tc>
        <w:tc>
          <w:tcPr>
            <w:tcW w:w="4734" w:type="dxa"/>
            <w:vAlign w:val="center"/>
          </w:tcPr>
          <w:p>
            <w:pPr>
              <w:pStyle w:val="6"/>
              <w:adjustRightInd w:val="0"/>
              <w:snapToGrid w:val="0"/>
              <w:spacing w:before="120" w:after="120"/>
              <w:ind w:left="1470" w:hanging="1470" w:hangingChars="700"/>
              <w:rPr>
                <w:rFonts w:hAnsi="宋体" w:cs="宋体"/>
                <w:sz w:val="21"/>
                <w:szCs w:val="21"/>
              </w:rPr>
            </w:pPr>
            <w:r>
              <w:rPr>
                <w:rFonts w:hint="eastAsia" w:hAnsi="宋体" w:cs="宋体"/>
                <w:sz w:val="21"/>
                <w:szCs w:val="21"/>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4625" w:type="dxa"/>
            <w:vAlign w:val="center"/>
          </w:tcPr>
          <w:p>
            <w:pPr>
              <w:adjustRightInd w:val="0"/>
              <w:snapToGrid w:val="0"/>
              <w:rPr>
                <w:rFonts w:ascii="宋体" w:hAnsi="宋体" w:cs="宋体"/>
                <w:szCs w:val="21"/>
              </w:rPr>
            </w:pPr>
            <w:r>
              <w:rPr>
                <w:rFonts w:hint="eastAsia" w:ascii="宋体" w:hAnsi="宋体" w:cs="宋体"/>
                <w:szCs w:val="21"/>
              </w:rPr>
              <w:t>法定代表人或受委托人：</w:t>
            </w:r>
          </w:p>
          <w:p>
            <w:pPr>
              <w:adjustRightInd w:val="0"/>
              <w:snapToGrid w:val="0"/>
              <w:rPr>
                <w:rFonts w:ascii="宋体" w:hAnsi="宋体" w:cs="宋体"/>
                <w:szCs w:val="21"/>
              </w:rPr>
            </w:pPr>
            <w:r>
              <w:rPr>
                <w:rFonts w:hint="eastAsia" w:ascii="宋体" w:hAnsi="宋体" w:cs="宋体"/>
                <w:szCs w:val="21"/>
              </w:rPr>
              <w:t>（签字）</w:t>
            </w:r>
          </w:p>
        </w:tc>
        <w:tc>
          <w:tcPr>
            <w:tcW w:w="4734" w:type="dxa"/>
            <w:vAlign w:val="center"/>
          </w:tcPr>
          <w:p>
            <w:pPr>
              <w:pStyle w:val="6"/>
              <w:adjustRightInd w:val="0"/>
              <w:snapToGrid w:val="0"/>
              <w:spacing w:before="120" w:after="120"/>
              <w:rPr>
                <w:rFonts w:hAnsi="宋体" w:cs="宋体"/>
                <w:sz w:val="21"/>
                <w:szCs w:val="21"/>
              </w:rPr>
            </w:pPr>
            <w:r>
              <w:rPr>
                <w:rFonts w:hint="eastAsia" w:hAnsi="宋体" w:cs="宋体"/>
                <w:sz w:val="21"/>
                <w:szCs w:val="21"/>
              </w:rPr>
              <w:t>法定代表人或受委托人：</w:t>
            </w:r>
          </w:p>
          <w:p>
            <w:pPr>
              <w:pStyle w:val="6"/>
              <w:adjustRightInd w:val="0"/>
              <w:snapToGrid w:val="0"/>
              <w:spacing w:before="120" w:after="120"/>
              <w:rPr>
                <w:rFonts w:hAnsi="宋体" w:cs="宋体"/>
                <w:sz w:val="21"/>
                <w:szCs w:val="21"/>
              </w:rPr>
            </w:pPr>
            <w:r>
              <w:rPr>
                <w:rFonts w:hint="eastAsia" w:hAnsi="宋体" w:cs="宋体"/>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625" w:type="dxa"/>
            <w:vAlign w:val="center"/>
          </w:tcPr>
          <w:p>
            <w:pPr>
              <w:adjustRightInd w:val="0"/>
              <w:snapToGrid w:val="0"/>
              <w:rPr>
                <w:rFonts w:ascii="宋体" w:hAnsi="宋体" w:cs="宋体"/>
                <w:szCs w:val="21"/>
              </w:rPr>
            </w:pPr>
            <w:r>
              <w:rPr>
                <w:rFonts w:hint="eastAsia" w:ascii="宋体" w:hAnsi="宋体" w:cs="宋体"/>
                <w:szCs w:val="21"/>
              </w:rPr>
              <w:t>地址：</w:t>
            </w:r>
          </w:p>
        </w:tc>
        <w:tc>
          <w:tcPr>
            <w:tcW w:w="4734" w:type="dxa"/>
            <w:vAlign w:val="center"/>
          </w:tcPr>
          <w:p>
            <w:pPr>
              <w:pStyle w:val="6"/>
              <w:adjustRightInd w:val="0"/>
              <w:snapToGrid w:val="0"/>
              <w:spacing w:before="120" w:after="120"/>
              <w:rPr>
                <w:rFonts w:hAnsi="宋体" w:cs="宋体"/>
                <w:sz w:val="21"/>
                <w:szCs w:val="21"/>
              </w:rPr>
            </w:pPr>
            <w:r>
              <w:rPr>
                <w:rFonts w:hint="eastAsia" w:hAnsi="宋体" w:cs="宋体"/>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625" w:type="dxa"/>
            <w:vAlign w:val="center"/>
          </w:tcPr>
          <w:p>
            <w:pPr>
              <w:adjustRightInd w:val="0"/>
              <w:snapToGrid w:val="0"/>
              <w:rPr>
                <w:rFonts w:ascii="宋体" w:hAnsi="宋体" w:cs="宋体"/>
                <w:szCs w:val="21"/>
              </w:rPr>
            </w:pPr>
            <w:r>
              <w:rPr>
                <w:rFonts w:hint="eastAsia" w:ascii="宋体" w:hAnsi="宋体" w:cs="宋体"/>
                <w:szCs w:val="21"/>
              </w:rPr>
              <w:t>邮编：</w:t>
            </w:r>
          </w:p>
        </w:tc>
        <w:tc>
          <w:tcPr>
            <w:tcW w:w="4734" w:type="dxa"/>
            <w:vAlign w:val="center"/>
          </w:tcPr>
          <w:p>
            <w:pPr>
              <w:pStyle w:val="6"/>
              <w:adjustRightInd w:val="0"/>
              <w:snapToGrid w:val="0"/>
              <w:spacing w:before="120" w:after="120"/>
              <w:rPr>
                <w:rFonts w:hAnsi="宋体" w:cs="宋体"/>
                <w:sz w:val="21"/>
                <w:szCs w:val="21"/>
              </w:rPr>
            </w:pPr>
            <w:r>
              <w:rPr>
                <w:rFonts w:hint="eastAsia" w:hAnsi="宋体" w:cs="宋体"/>
                <w:sz w:val="21"/>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625" w:type="dxa"/>
            <w:vAlign w:val="center"/>
          </w:tcPr>
          <w:p>
            <w:pPr>
              <w:adjustRightInd w:val="0"/>
              <w:snapToGrid w:val="0"/>
              <w:rPr>
                <w:rFonts w:ascii="宋体" w:hAnsi="宋体" w:cs="宋体"/>
                <w:szCs w:val="21"/>
              </w:rPr>
            </w:pPr>
            <w:r>
              <w:rPr>
                <w:rFonts w:hint="eastAsia" w:ascii="宋体" w:hAnsi="宋体" w:cs="宋体"/>
                <w:szCs w:val="21"/>
              </w:rPr>
              <w:t>电话：</w:t>
            </w:r>
          </w:p>
        </w:tc>
        <w:tc>
          <w:tcPr>
            <w:tcW w:w="4734" w:type="dxa"/>
            <w:vAlign w:val="center"/>
          </w:tcPr>
          <w:p>
            <w:pPr>
              <w:pStyle w:val="6"/>
              <w:adjustRightInd w:val="0"/>
              <w:snapToGrid w:val="0"/>
              <w:spacing w:before="120" w:after="120"/>
              <w:rPr>
                <w:rFonts w:hAnsi="宋体" w:cs="宋体"/>
                <w:sz w:val="21"/>
                <w:szCs w:val="21"/>
              </w:rPr>
            </w:pPr>
            <w:r>
              <w:rPr>
                <w:rFonts w:hint="eastAsia" w:hAnsi="宋体" w:cs="宋体"/>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625" w:type="dxa"/>
            <w:vAlign w:val="center"/>
          </w:tcPr>
          <w:p>
            <w:pPr>
              <w:adjustRightInd w:val="0"/>
              <w:snapToGrid w:val="0"/>
              <w:rPr>
                <w:rFonts w:ascii="宋体" w:hAnsi="宋体" w:cs="宋体"/>
                <w:szCs w:val="21"/>
              </w:rPr>
            </w:pPr>
            <w:r>
              <w:rPr>
                <w:rFonts w:hint="eastAsia" w:ascii="宋体" w:hAnsi="宋体" w:cs="宋体"/>
                <w:szCs w:val="21"/>
              </w:rPr>
              <w:t>传真：</w:t>
            </w:r>
          </w:p>
        </w:tc>
        <w:tc>
          <w:tcPr>
            <w:tcW w:w="4734" w:type="dxa"/>
            <w:vAlign w:val="center"/>
          </w:tcPr>
          <w:p>
            <w:pPr>
              <w:pStyle w:val="6"/>
              <w:adjustRightInd w:val="0"/>
              <w:snapToGrid w:val="0"/>
              <w:spacing w:before="120" w:after="120"/>
              <w:rPr>
                <w:rFonts w:hAnsi="宋体" w:cs="宋体"/>
                <w:sz w:val="21"/>
                <w:szCs w:val="21"/>
              </w:rPr>
            </w:pPr>
            <w:r>
              <w:rPr>
                <w:rFonts w:hint="eastAsia" w:hAnsi="宋体" w:cs="宋体"/>
                <w:sz w:val="21"/>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625" w:type="dxa"/>
            <w:vAlign w:val="center"/>
          </w:tcPr>
          <w:p>
            <w:pPr>
              <w:adjustRightInd w:val="0"/>
              <w:snapToGrid w:val="0"/>
              <w:rPr>
                <w:rFonts w:ascii="宋体" w:hAnsi="宋体" w:cs="宋体"/>
                <w:szCs w:val="21"/>
              </w:rPr>
            </w:pPr>
            <w:r>
              <w:rPr>
                <w:rFonts w:hint="eastAsia" w:ascii="宋体" w:hAnsi="宋体" w:cs="宋体"/>
                <w:szCs w:val="21"/>
              </w:rPr>
              <w:t>开户银行：</w:t>
            </w:r>
          </w:p>
        </w:tc>
        <w:tc>
          <w:tcPr>
            <w:tcW w:w="4734" w:type="dxa"/>
            <w:vAlign w:val="center"/>
          </w:tcPr>
          <w:p>
            <w:pPr>
              <w:pStyle w:val="6"/>
              <w:adjustRightInd w:val="0"/>
              <w:snapToGrid w:val="0"/>
              <w:spacing w:before="120" w:after="120"/>
              <w:rPr>
                <w:rFonts w:hAnsi="宋体" w:cs="宋体"/>
                <w:sz w:val="21"/>
                <w:szCs w:val="21"/>
              </w:rPr>
            </w:pPr>
            <w:r>
              <w:rPr>
                <w:rFonts w:hint="eastAsia" w:hAnsi="宋体" w:cs="宋体"/>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625" w:type="dxa"/>
            <w:vAlign w:val="center"/>
          </w:tcPr>
          <w:p>
            <w:pPr>
              <w:adjustRightInd w:val="0"/>
              <w:snapToGrid w:val="0"/>
              <w:rPr>
                <w:rFonts w:ascii="宋体" w:hAnsi="宋体" w:cs="宋体"/>
                <w:szCs w:val="21"/>
              </w:rPr>
            </w:pPr>
            <w:r>
              <w:rPr>
                <w:rFonts w:hint="eastAsia" w:ascii="宋体" w:hAnsi="宋体" w:cs="宋体"/>
                <w:szCs w:val="21"/>
              </w:rPr>
              <w:t>帐号：</w:t>
            </w:r>
          </w:p>
        </w:tc>
        <w:tc>
          <w:tcPr>
            <w:tcW w:w="4734" w:type="dxa"/>
            <w:vAlign w:val="center"/>
          </w:tcPr>
          <w:p>
            <w:pPr>
              <w:pStyle w:val="6"/>
              <w:adjustRightInd w:val="0"/>
              <w:snapToGrid w:val="0"/>
              <w:spacing w:before="120" w:after="120"/>
              <w:rPr>
                <w:rFonts w:hAnsi="宋体" w:cs="宋体"/>
                <w:sz w:val="21"/>
                <w:szCs w:val="21"/>
              </w:rPr>
            </w:pPr>
            <w:r>
              <w:rPr>
                <w:rFonts w:hint="eastAsia" w:hAnsi="宋体" w:cs="宋体"/>
                <w:sz w:val="21"/>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625" w:type="dxa"/>
            <w:vAlign w:val="center"/>
          </w:tcPr>
          <w:p>
            <w:pPr>
              <w:adjustRightInd w:val="0"/>
              <w:snapToGrid w:val="0"/>
              <w:rPr>
                <w:rFonts w:ascii="宋体" w:hAnsi="宋体" w:cs="宋体"/>
                <w:szCs w:val="21"/>
              </w:rPr>
            </w:pPr>
            <w:r>
              <w:rPr>
                <w:rFonts w:hint="eastAsia" w:ascii="宋体" w:hAnsi="宋体" w:cs="宋体"/>
                <w:szCs w:val="21"/>
              </w:rPr>
              <w:t>签约时间：    年    月     日</w:t>
            </w:r>
          </w:p>
        </w:tc>
        <w:tc>
          <w:tcPr>
            <w:tcW w:w="4734" w:type="dxa"/>
            <w:vAlign w:val="center"/>
          </w:tcPr>
          <w:p>
            <w:pPr>
              <w:adjustRightInd w:val="0"/>
              <w:snapToGrid w:val="0"/>
              <w:rPr>
                <w:rFonts w:ascii="宋体" w:hAnsi="宋体" w:cs="宋体"/>
                <w:szCs w:val="21"/>
              </w:rPr>
            </w:pPr>
            <w:r>
              <w:rPr>
                <w:rFonts w:hint="eastAsia" w:ascii="宋体" w:hAnsi="宋体" w:cs="宋体"/>
                <w:szCs w:val="21"/>
              </w:rPr>
              <w:t>签约时间：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625" w:type="dxa"/>
            <w:vAlign w:val="center"/>
          </w:tcPr>
          <w:p>
            <w:pPr>
              <w:pStyle w:val="17"/>
              <w:ind w:left="0" w:right="77"/>
              <w:jc w:val="both"/>
              <w:rPr>
                <w:rFonts w:ascii="宋体" w:hAnsi="宋体" w:cs="宋体"/>
                <w:sz w:val="21"/>
                <w:szCs w:val="21"/>
              </w:rPr>
            </w:pPr>
          </w:p>
        </w:tc>
        <w:tc>
          <w:tcPr>
            <w:tcW w:w="4734"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625" w:type="dxa"/>
            <w:vAlign w:val="center"/>
          </w:tcPr>
          <w:p>
            <w:pPr>
              <w:pStyle w:val="17"/>
              <w:ind w:left="0" w:right="77"/>
              <w:jc w:val="both"/>
              <w:rPr>
                <w:rFonts w:ascii="宋体" w:hAnsi="宋体" w:cs="宋体"/>
                <w:sz w:val="21"/>
                <w:szCs w:val="21"/>
              </w:rPr>
            </w:pPr>
            <w:r>
              <w:rPr>
                <w:rFonts w:hint="eastAsia" w:ascii="宋体" w:hAnsi="宋体" w:cs="宋体"/>
                <w:sz w:val="21"/>
                <w:szCs w:val="21"/>
              </w:rPr>
              <w:t>采购代理机构：浙江建友工程咨询有限公司（盖章）</w:t>
            </w:r>
          </w:p>
        </w:tc>
        <w:tc>
          <w:tcPr>
            <w:tcW w:w="4734"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625" w:type="dxa"/>
            <w:vAlign w:val="center"/>
          </w:tcPr>
          <w:p>
            <w:pPr>
              <w:pStyle w:val="17"/>
              <w:widowControl/>
              <w:ind w:left="0" w:right="77"/>
              <w:jc w:val="both"/>
              <w:rPr>
                <w:rFonts w:ascii="宋体" w:hAnsi="宋体" w:cs="宋体"/>
                <w:sz w:val="21"/>
                <w:szCs w:val="21"/>
              </w:rPr>
            </w:pPr>
            <w:bookmarkStart w:id="32" w:name="_Toc534620504"/>
            <w:r>
              <w:rPr>
                <w:rFonts w:hint="eastAsia" w:ascii="宋体" w:hAnsi="宋体" w:cs="宋体"/>
                <w:sz w:val="21"/>
                <w:szCs w:val="21"/>
              </w:rPr>
              <w:t>采购代理机构代表：</w:t>
            </w:r>
            <w:r>
              <w:rPr>
                <w:rFonts w:hint="eastAsia" w:ascii="宋体" w:hAnsi="宋体" w:cs="宋体"/>
                <w:sz w:val="21"/>
                <w:szCs w:val="21"/>
                <w:u w:val="single"/>
              </w:rPr>
              <w:t xml:space="preserve">                （签字）</w:t>
            </w:r>
          </w:p>
        </w:tc>
        <w:tc>
          <w:tcPr>
            <w:tcW w:w="4734" w:type="dxa"/>
            <w:vAlign w:val="center"/>
          </w:tcPr>
          <w:p>
            <w:pPr>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625" w:type="dxa"/>
            <w:vAlign w:val="center"/>
          </w:tcPr>
          <w:p>
            <w:pPr>
              <w:pStyle w:val="17"/>
              <w:widowControl/>
              <w:ind w:left="0" w:right="77" w:firstLine="210" w:firstLineChars="100"/>
              <w:jc w:val="both"/>
              <w:rPr>
                <w:rFonts w:ascii="宋体" w:hAnsi="宋体" w:cs="宋体"/>
                <w:sz w:val="21"/>
                <w:szCs w:val="21"/>
              </w:rPr>
            </w:pPr>
            <w:r>
              <w:rPr>
                <w:rFonts w:hint="eastAsia" w:ascii="宋体" w:hAnsi="宋体" w:cs="宋体"/>
                <w:sz w:val="21"/>
                <w:szCs w:val="21"/>
              </w:rPr>
              <w:t xml:space="preserve">    年    月    日</w:t>
            </w:r>
          </w:p>
        </w:tc>
        <w:tc>
          <w:tcPr>
            <w:tcW w:w="4734" w:type="dxa"/>
            <w:vAlign w:val="center"/>
          </w:tcPr>
          <w:p>
            <w:pPr>
              <w:adjustRightInd w:val="0"/>
              <w:snapToGrid w:val="0"/>
              <w:rPr>
                <w:rFonts w:ascii="宋体" w:hAnsi="宋体" w:cs="宋体"/>
                <w:szCs w:val="21"/>
              </w:rPr>
            </w:pPr>
          </w:p>
        </w:tc>
      </w:tr>
      <w:bookmarkEnd w:id="32"/>
    </w:tbl>
    <w:p>
      <w:pPr>
        <w:pStyle w:val="18"/>
        <w:ind w:left="0"/>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第六章  响应文件格式</w:t>
      </w:r>
    </w:p>
    <w:p>
      <w:pPr>
        <w:spacing w:line="360" w:lineRule="auto"/>
        <w:rPr>
          <w:rFonts w:ascii="宋体" w:hAnsi="宋体" w:cs="宋体"/>
          <w:b/>
          <w:bCs/>
          <w:sz w:val="24"/>
        </w:rPr>
      </w:pPr>
    </w:p>
    <w:p>
      <w:pPr>
        <w:pStyle w:val="6"/>
        <w:spacing w:before="0" w:beforeLines="0" w:after="0" w:afterLines="0" w:line="360" w:lineRule="auto"/>
        <w:ind w:firstLine="422" w:firstLineChars="200"/>
        <w:rPr>
          <w:rFonts w:hAnsi="宋体" w:cs="宋体"/>
          <w:b/>
          <w:bCs/>
          <w:sz w:val="21"/>
          <w:szCs w:val="21"/>
        </w:rPr>
      </w:pPr>
      <w:r>
        <w:rPr>
          <w:rFonts w:hint="eastAsia" w:hAnsi="宋体" w:cs="宋体"/>
          <w:b/>
          <w:bCs/>
          <w:sz w:val="21"/>
          <w:szCs w:val="21"/>
        </w:rPr>
        <w:t>响应文件的编制应按照本项目：“第三章  供应商须知”</w:t>
      </w:r>
      <w:r>
        <w:rPr>
          <w:rFonts w:hint="eastAsia" w:hAnsi="宋体" w:cs="宋体"/>
          <w:b/>
          <w:sz w:val="21"/>
          <w:szCs w:val="21"/>
        </w:rPr>
        <w:t>三、响应文件的编制的要求编制。</w:t>
      </w: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sz w:val="24"/>
        </w:rPr>
      </w:pPr>
      <w:r>
        <w:rPr>
          <w:rFonts w:hint="eastAsia" w:ascii="宋体" w:hAnsi="宋体" w:cs="宋体"/>
          <w:sz w:val="24"/>
        </w:rPr>
        <w:br w:type="page"/>
      </w:r>
      <w:r>
        <w:rPr>
          <w:rFonts w:hint="eastAsia" w:ascii="宋体" w:hAnsi="宋体" w:cs="宋体"/>
          <w:sz w:val="24"/>
        </w:rPr>
        <w:t>封面</w:t>
      </w:r>
    </w:p>
    <w:p>
      <w:pPr>
        <w:spacing w:line="360" w:lineRule="auto"/>
        <w:rPr>
          <w:rFonts w:ascii="宋体" w:hAnsi="宋体" w:cs="宋体"/>
          <w:sz w:val="24"/>
        </w:rPr>
      </w:pPr>
    </w:p>
    <w:p>
      <w:pPr>
        <w:spacing w:line="360" w:lineRule="auto"/>
        <w:jc w:val="center"/>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（供应商名称）</w:t>
      </w:r>
    </w:p>
    <w:p>
      <w:pPr>
        <w:spacing w:line="360" w:lineRule="auto"/>
        <w:jc w:val="center"/>
        <w:rPr>
          <w:rFonts w:ascii="宋体" w:hAnsi="宋体" w:cs="宋体"/>
          <w:b/>
          <w:bCs/>
          <w:sz w:val="24"/>
        </w:rPr>
      </w:pPr>
      <w:r>
        <w:rPr>
          <w:rFonts w:hint="eastAsia" w:ascii="宋体" w:hAnsi="宋体" w:cs="宋体"/>
          <w:b/>
          <w:bCs/>
          <w:sz w:val="24"/>
        </w:rPr>
        <w:t>报价文件</w:t>
      </w:r>
    </w:p>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t>采购人：浙江财经大学</w:t>
      </w:r>
    </w:p>
    <w:p>
      <w:pPr>
        <w:spacing w:line="360" w:lineRule="auto"/>
        <w:rPr>
          <w:rFonts w:ascii="宋体" w:hAnsi="宋体" w:cs="宋体"/>
          <w:bCs/>
          <w:sz w:val="24"/>
        </w:rPr>
      </w:pPr>
      <w:r>
        <w:rPr>
          <w:rFonts w:hint="eastAsia" w:ascii="宋体" w:hAnsi="宋体" w:cs="宋体"/>
          <w:bCs/>
          <w:sz w:val="24"/>
        </w:rPr>
        <w:t>项目名称：浙江财经大学图书盘点服务项目</w:t>
      </w:r>
    </w:p>
    <w:p>
      <w:pPr>
        <w:spacing w:line="360" w:lineRule="auto"/>
        <w:rPr>
          <w:rFonts w:ascii="宋体" w:hAnsi="宋体" w:cs="宋体"/>
          <w:bCs/>
          <w:sz w:val="24"/>
        </w:rPr>
      </w:pPr>
      <w:r>
        <w:rPr>
          <w:rFonts w:hint="eastAsia" w:ascii="宋体" w:hAnsi="宋体" w:cs="宋体"/>
          <w:bCs/>
          <w:sz w:val="24"/>
        </w:rPr>
        <w:t>编号：ZJJY-20210713-01</w:t>
      </w:r>
    </w:p>
    <w:p>
      <w:pPr>
        <w:spacing w:line="360" w:lineRule="auto"/>
        <w:rPr>
          <w:rFonts w:ascii="宋体" w:hAnsi="宋体" w:cs="宋体"/>
          <w:bCs/>
          <w:sz w:val="24"/>
        </w:rPr>
      </w:pPr>
      <w:r>
        <w:rPr>
          <w:rFonts w:hint="eastAsia" w:ascii="宋体" w:hAnsi="宋体" w:cs="宋体"/>
          <w:bCs/>
          <w:sz w:val="24"/>
        </w:rPr>
        <w:t>供应商名称（盖章）：</w:t>
      </w:r>
    </w:p>
    <w:p>
      <w:pPr>
        <w:spacing w:line="360" w:lineRule="auto"/>
        <w:rPr>
          <w:rFonts w:ascii="宋体" w:hAnsi="宋体" w:cs="宋体"/>
          <w:bCs/>
          <w:sz w:val="24"/>
        </w:rPr>
      </w:pPr>
      <w:r>
        <w:rPr>
          <w:rFonts w:hint="eastAsia" w:ascii="宋体" w:hAnsi="宋体" w:cs="宋体"/>
          <w:bCs/>
          <w:sz w:val="24"/>
        </w:rPr>
        <w:t>供应商地址：</w:t>
      </w:r>
    </w:p>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t>供应商授权代表签字：</w:t>
      </w:r>
    </w:p>
    <w:p>
      <w:pPr>
        <w:spacing w:line="360" w:lineRule="auto"/>
        <w:rPr>
          <w:rFonts w:ascii="宋体" w:hAnsi="宋体" w:cs="宋体"/>
          <w:bCs/>
          <w:sz w:val="24"/>
        </w:rPr>
      </w:pPr>
      <w:r>
        <w:rPr>
          <w:rFonts w:hint="eastAsia" w:ascii="宋体" w:hAnsi="宋体" w:cs="宋体"/>
          <w:bCs/>
          <w:sz w:val="24"/>
        </w:rPr>
        <w:t>日期：    年  月  日</w:t>
      </w:r>
    </w:p>
    <w:p>
      <w:pPr>
        <w:spacing w:line="360" w:lineRule="auto"/>
        <w:rPr>
          <w:rFonts w:ascii="宋体" w:hAnsi="宋体" w:cs="宋体"/>
          <w:szCs w:val="21"/>
        </w:rPr>
      </w:pPr>
      <w:r>
        <w:rPr>
          <w:rFonts w:hint="eastAsia" w:ascii="宋体" w:hAnsi="宋体" w:cs="宋体"/>
          <w:szCs w:val="21"/>
        </w:rPr>
        <w:t xml:space="preserve"> </w:t>
      </w:r>
    </w:p>
    <w:p>
      <w:pPr>
        <w:spacing w:line="360" w:lineRule="auto"/>
        <w:jc w:val="center"/>
        <w:rPr>
          <w:rFonts w:ascii="宋体" w:hAnsi="宋体" w:cs="宋体"/>
          <w:bCs/>
          <w:sz w:val="24"/>
        </w:rPr>
      </w:pPr>
    </w:p>
    <w:p>
      <w:pPr>
        <w:spacing w:line="360" w:lineRule="auto"/>
        <w:jc w:val="center"/>
        <w:outlineLvl w:val="1"/>
        <w:rPr>
          <w:rFonts w:ascii="宋体" w:hAnsi="宋体" w:cs="宋体"/>
          <w:b/>
          <w:sz w:val="52"/>
          <w:szCs w:val="52"/>
        </w:rPr>
      </w:pPr>
      <w:r>
        <w:rPr>
          <w:rFonts w:hint="eastAsia" w:ascii="宋体" w:hAnsi="宋体" w:cs="宋体"/>
          <w:bCs/>
          <w:sz w:val="24"/>
        </w:rPr>
        <w:br w:type="page"/>
      </w:r>
      <w:r>
        <w:rPr>
          <w:rFonts w:hint="eastAsia" w:ascii="宋体" w:hAnsi="宋体" w:cs="宋体"/>
          <w:b/>
          <w:sz w:val="52"/>
          <w:szCs w:val="52"/>
        </w:rPr>
        <w:t>报价文件</w:t>
      </w:r>
    </w:p>
    <w:p>
      <w:pPr>
        <w:spacing w:line="360" w:lineRule="auto"/>
        <w:jc w:val="center"/>
        <w:outlineLvl w:val="2"/>
        <w:rPr>
          <w:rFonts w:ascii="宋体" w:hAnsi="宋体" w:cs="宋体"/>
          <w:b/>
          <w:color w:val="000000"/>
          <w:sz w:val="24"/>
        </w:rPr>
      </w:pPr>
      <w:r>
        <w:rPr>
          <w:rFonts w:hint="eastAsia" w:ascii="宋体" w:hAnsi="宋体" w:cs="宋体"/>
          <w:b/>
          <w:color w:val="000000"/>
          <w:sz w:val="24"/>
        </w:rPr>
        <w:t>初次报价一览表</w:t>
      </w:r>
    </w:p>
    <w:p>
      <w:pPr>
        <w:spacing w:line="360" w:lineRule="auto"/>
        <w:rPr>
          <w:rFonts w:ascii="宋体" w:hAnsi="宋体" w:cs="宋体"/>
          <w:color w:val="000000"/>
          <w:szCs w:val="21"/>
        </w:rPr>
      </w:pPr>
      <w:r>
        <w:rPr>
          <w:rFonts w:hint="eastAsia" w:ascii="宋体" w:hAnsi="宋体" w:cs="宋体"/>
          <w:color w:val="000000"/>
          <w:szCs w:val="21"/>
        </w:rPr>
        <w:t>采购人：浙江财经大学</w:t>
      </w:r>
    </w:p>
    <w:p>
      <w:pPr>
        <w:spacing w:line="360" w:lineRule="auto"/>
        <w:rPr>
          <w:rFonts w:ascii="宋体" w:hAnsi="宋体" w:cs="宋体"/>
          <w:color w:val="000000"/>
          <w:szCs w:val="21"/>
        </w:rPr>
      </w:pPr>
      <w:r>
        <w:rPr>
          <w:rFonts w:hint="eastAsia" w:ascii="宋体" w:hAnsi="宋体" w:cs="宋体"/>
          <w:color w:val="000000"/>
          <w:szCs w:val="21"/>
        </w:rPr>
        <w:t>项目名称：浙江财经大学图书盘点服务</w:t>
      </w:r>
    </w:p>
    <w:p>
      <w:pPr>
        <w:spacing w:line="360" w:lineRule="auto"/>
        <w:rPr>
          <w:rFonts w:ascii="宋体" w:hAnsi="宋体" w:cs="宋体"/>
          <w:color w:val="000000"/>
          <w:szCs w:val="21"/>
        </w:rPr>
      </w:pPr>
      <w:r>
        <w:rPr>
          <w:rFonts w:hint="eastAsia" w:ascii="宋体" w:hAnsi="宋体" w:cs="宋体"/>
          <w:color w:val="000000"/>
          <w:szCs w:val="21"/>
        </w:rPr>
        <w:t>项目编号：ZJJY-20210713-01</w:t>
      </w:r>
    </w:p>
    <w:p>
      <w:pPr>
        <w:pStyle w:val="13"/>
      </w:pPr>
    </w:p>
    <w:tbl>
      <w:tblPr>
        <w:tblStyle w:val="10"/>
        <w:tblW w:w="494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95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Cs w:val="21"/>
              </w:rPr>
            </w:pPr>
            <w:r>
              <w:rPr>
                <w:rFonts w:hint="eastAsia" w:ascii="宋体" w:hAnsi="宋体" w:cs="宋体"/>
                <w:b/>
                <w:bCs/>
                <w:szCs w:val="21"/>
              </w:rPr>
              <w:t>磋商报价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3" w:hRule="atLeast"/>
          <w:jc w:val="center"/>
        </w:trPr>
        <w:tc>
          <w:tcPr>
            <w:tcW w:w="95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p>
            <w:pPr>
              <w:rPr>
                <w:rFonts w:ascii="宋体" w:hAnsi="宋体" w:cs="宋体"/>
                <w:b/>
                <w:bCs/>
                <w:szCs w:val="21"/>
              </w:rPr>
            </w:pPr>
            <w:r>
              <w:rPr>
                <w:rFonts w:hint="eastAsia" w:ascii="宋体" w:hAnsi="宋体" w:cs="宋体"/>
                <w:b/>
                <w:bCs/>
                <w:szCs w:val="21"/>
              </w:rPr>
              <w:t>金额小写：_________________________大写：________________________</w:t>
            </w:r>
          </w:p>
          <w:p>
            <w:pPr>
              <w:pStyle w:val="13"/>
              <w:rPr>
                <w:color w:val="auto"/>
              </w:rPr>
            </w:pPr>
          </w:p>
          <w:p>
            <w:pPr>
              <w:rPr>
                <w:rFonts w:ascii="宋体" w:hAnsi="宋体" w:cs="宋体"/>
                <w:b/>
                <w:bCs/>
                <w:szCs w:val="21"/>
              </w:rPr>
            </w:pPr>
          </w:p>
          <w:p>
            <w:pPr>
              <w:rPr>
                <w:rFonts w:ascii="宋体" w:hAnsi="宋体" w:cs="宋体"/>
                <w:b/>
                <w:bCs/>
                <w:szCs w:val="21"/>
              </w:rPr>
            </w:pPr>
            <w:r>
              <w:rPr>
                <w:rFonts w:hint="eastAsia" w:ascii="宋体" w:hAnsi="宋体" w:cs="宋体"/>
                <w:b/>
                <w:bCs/>
                <w:szCs w:val="21"/>
              </w:rPr>
              <w:t>单位：人民币元</w:t>
            </w:r>
          </w:p>
          <w:p>
            <w:pPr>
              <w:pStyle w:val="2"/>
              <w:ind w:firstLine="0"/>
              <w:rPr>
                <w:rFonts w:hAnsi="宋体" w:cs="宋体"/>
                <w:color w:val="000000"/>
                <w:spacing w:val="0"/>
                <w:sz w:val="21"/>
                <w:szCs w:val="21"/>
                <w:u w:val="single"/>
              </w:rPr>
            </w:pPr>
          </w:p>
        </w:tc>
      </w:tr>
    </w:tbl>
    <w:p>
      <w:pPr>
        <w:spacing w:before="120" w:beforeLines="50" w:line="360" w:lineRule="auto"/>
        <w:jc w:val="left"/>
        <w:rPr>
          <w:rFonts w:ascii="宋体" w:hAnsi="宋体" w:cs="宋体"/>
          <w:b/>
          <w:szCs w:val="21"/>
        </w:rPr>
      </w:pPr>
      <w:r>
        <w:rPr>
          <w:rFonts w:hint="eastAsia" w:ascii="宋体" w:hAnsi="宋体" w:cs="宋体"/>
          <w:b/>
          <w:szCs w:val="21"/>
        </w:rPr>
        <w:t>说明:</w:t>
      </w:r>
    </w:p>
    <w:p>
      <w:pPr>
        <w:spacing w:before="120" w:beforeLines="50" w:line="480" w:lineRule="auto"/>
        <w:jc w:val="left"/>
        <w:rPr>
          <w:rFonts w:ascii="宋体" w:hAnsi="宋体" w:cs="宋体"/>
          <w:b/>
          <w:szCs w:val="21"/>
        </w:rPr>
      </w:pPr>
      <w:r>
        <w:rPr>
          <w:rFonts w:hint="eastAsia" w:ascii="宋体" w:hAnsi="宋体" w:cs="宋体"/>
          <w:b/>
          <w:szCs w:val="21"/>
        </w:rPr>
        <w:t>1.磋商报价是履行合同的价格，应包括完成所有产品供货及履行所有规定服务所产生的全部税、费。</w:t>
      </w:r>
    </w:p>
    <w:p>
      <w:pPr>
        <w:spacing w:before="120" w:beforeLines="50" w:line="480" w:lineRule="auto"/>
        <w:jc w:val="left"/>
        <w:rPr>
          <w:rFonts w:ascii="宋体" w:hAnsi="宋体" w:cs="宋体"/>
          <w:b/>
          <w:szCs w:val="21"/>
        </w:rPr>
      </w:pPr>
      <w:r>
        <w:rPr>
          <w:rFonts w:hint="eastAsia" w:ascii="宋体" w:hAnsi="宋体" w:cs="宋体"/>
          <w:b/>
          <w:szCs w:val="21"/>
        </w:rPr>
        <w:t>2.以上报价应与“报价明细表”中的“报价合计”相一致；</w:t>
      </w:r>
    </w:p>
    <w:p>
      <w:pPr>
        <w:spacing w:before="120" w:beforeLines="50" w:line="480" w:lineRule="auto"/>
        <w:jc w:val="left"/>
        <w:rPr>
          <w:rFonts w:ascii="宋体" w:hAnsi="宋体" w:cs="宋体"/>
          <w:b/>
          <w:szCs w:val="21"/>
        </w:rPr>
      </w:pPr>
      <w:r>
        <w:rPr>
          <w:rFonts w:hint="eastAsia" w:ascii="宋体" w:hAnsi="宋体" w:cs="宋体"/>
          <w:b/>
          <w:szCs w:val="21"/>
        </w:rPr>
        <w:t>3.此表在不改变格式要求的情况下，可自行制作。</w:t>
      </w:r>
    </w:p>
    <w:p>
      <w:pPr>
        <w:spacing w:line="360" w:lineRule="auto"/>
        <w:rPr>
          <w:rFonts w:ascii="宋体" w:hAnsi="宋体" w:cs="宋体"/>
          <w:szCs w:val="21"/>
        </w:rPr>
      </w:pPr>
    </w:p>
    <w:p>
      <w:pPr>
        <w:pStyle w:val="13"/>
        <w:rPr>
          <w:rFonts w:ascii="宋体" w:hAnsi="宋体" w:cs="宋体"/>
          <w:sz w:val="21"/>
          <w:szCs w:val="21"/>
        </w:rPr>
      </w:pPr>
    </w:p>
    <w:p>
      <w:pPr>
        <w:pStyle w:val="14"/>
        <w:rPr>
          <w:rFonts w:ascii="宋体" w:hAnsi="宋体" w:cs="宋体"/>
          <w:szCs w:val="21"/>
        </w:rPr>
        <w:sectPr>
          <w:footerReference r:id="rId5" w:type="default"/>
          <w:pgSz w:w="11906" w:h="16838"/>
          <w:pgMar w:top="1247" w:right="1247" w:bottom="1247" w:left="1247" w:header="0" w:footer="782" w:gutter="0"/>
          <w:pgNumType w:start="1"/>
          <w:cols w:space="720" w:num="1"/>
          <w:docGrid w:linePitch="381" w:charSpace="0"/>
        </w:sectPr>
      </w:pPr>
    </w:p>
    <w:p>
      <w:pPr>
        <w:pStyle w:val="6"/>
        <w:spacing w:before="0" w:beforeLines="0" w:after="0" w:afterLines="0" w:line="360" w:lineRule="auto"/>
        <w:jc w:val="center"/>
        <w:outlineLvl w:val="2"/>
        <w:rPr>
          <w:rFonts w:hAnsi="宋体"/>
          <w:b/>
          <w:spacing w:val="-6"/>
        </w:rPr>
      </w:pPr>
      <w:r>
        <w:rPr>
          <w:rFonts w:hAnsi="宋体"/>
          <w:b/>
          <w:spacing w:val="-6"/>
        </w:rPr>
        <w:t>报价明细表</w:t>
      </w:r>
    </w:p>
    <w:p>
      <w:pPr>
        <w:pStyle w:val="6"/>
        <w:spacing w:before="0" w:beforeLines="0" w:after="0" w:afterLines="0" w:line="360" w:lineRule="auto"/>
        <w:jc w:val="right"/>
        <w:outlineLvl w:val="2"/>
        <w:rPr>
          <w:rFonts w:hAnsi="宋体"/>
          <w:b/>
          <w:spacing w:val="-6"/>
        </w:rPr>
      </w:pPr>
      <w:r>
        <w:rPr>
          <w:rFonts w:hint="eastAsia" w:hAnsi="宋体"/>
          <w:b/>
          <w:spacing w:val="-6"/>
        </w:rPr>
        <w:t>单位：元</w:t>
      </w:r>
    </w:p>
    <w:tbl>
      <w:tblPr>
        <w:tblStyle w:val="10"/>
        <w:tblW w:w="0" w:type="auto"/>
        <w:tblInd w:w="99" w:type="dxa"/>
        <w:tblLayout w:type="autofit"/>
        <w:tblCellMar>
          <w:top w:w="0" w:type="dxa"/>
          <w:left w:w="108" w:type="dxa"/>
          <w:bottom w:w="0" w:type="dxa"/>
          <w:right w:w="108" w:type="dxa"/>
        </w:tblCellMar>
      </w:tblPr>
      <w:tblGrid>
        <w:gridCol w:w="628"/>
        <w:gridCol w:w="1106"/>
        <w:gridCol w:w="3624"/>
        <w:gridCol w:w="660"/>
        <w:gridCol w:w="864"/>
        <w:gridCol w:w="1476"/>
        <w:gridCol w:w="1171"/>
      </w:tblGrid>
      <w:tr>
        <w:trPr>
          <w:trHeight w:val="461" w:hRule="atLeast"/>
        </w:trPr>
        <w:tc>
          <w:tcPr>
            <w:tcW w:w="0" w:type="auto"/>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序号</w:t>
            </w:r>
          </w:p>
        </w:tc>
        <w:tc>
          <w:tcPr>
            <w:tcW w:w="1106" w:type="dxa"/>
            <w:tcBorders>
              <w:top w:val="single" w:color="auto" w:sz="4" w:space="0"/>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项目</w:t>
            </w:r>
          </w:p>
        </w:tc>
        <w:tc>
          <w:tcPr>
            <w:tcW w:w="3624" w:type="dxa"/>
            <w:tcBorders>
              <w:top w:val="single" w:color="auto" w:sz="4" w:space="0"/>
              <w:left w:val="nil"/>
              <w:bottom w:val="single" w:color="auto" w:sz="4" w:space="0"/>
              <w:right w:val="single" w:color="auto" w:sz="4" w:space="0"/>
            </w:tcBorders>
            <w:shd w:val="clear" w:color="000000" w:fill="FFFFFF"/>
            <w:vAlign w:val="bottom"/>
          </w:tcPr>
          <w:p>
            <w:pPr>
              <w:widowControl/>
              <w:jc w:val="center"/>
              <w:rPr>
                <w:rFonts w:ascii="宋体" w:hAnsi="宋体" w:cs="Tahoma"/>
                <w:b/>
                <w:bCs/>
                <w:color w:val="000000"/>
                <w:kern w:val="0"/>
                <w:szCs w:val="21"/>
              </w:rPr>
            </w:pPr>
            <w:r>
              <w:rPr>
                <w:rFonts w:hint="eastAsia" w:ascii="宋体" w:hAnsi="宋体" w:cs="Tahoma"/>
                <w:b/>
                <w:bCs/>
                <w:color w:val="000000"/>
                <w:kern w:val="0"/>
                <w:szCs w:val="21"/>
              </w:rPr>
              <w:t>内容</w:t>
            </w:r>
          </w:p>
        </w:tc>
        <w:tc>
          <w:tcPr>
            <w:tcW w:w="660" w:type="dxa"/>
            <w:tcBorders>
              <w:top w:val="single" w:color="auto" w:sz="4" w:space="0"/>
              <w:left w:val="nil"/>
              <w:bottom w:val="single" w:color="auto" w:sz="4" w:space="0"/>
              <w:right w:val="single" w:color="auto" w:sz="4" w:space="0"/>
            </w:tcBorders>
            <w:shd w:val="clear" w:color="000000" w:fill="FFFFFF"/>
            <w:vAlign w:val="bottom"/>
          </w:tcPr>
          <w:p>
            <w:pPr>
              <w:widowControl/>
              <w:jc w:val="center"/>
              <w:rPr>
                <w:rFonts w:ascii="宋体" w:hAnsi="宋体" w:cs="Tahoma"/>
                <w:b/>
                <w:bCs/>
                <w:color w:val="000000"/>
                <w:kern w:val="0"/>
                <w:szCs w:val="21"/>
              </w:rPr>
            </w:pPr>
            <w:r>
              <w:rPr>
                <w:rFonts w:hint="eastAsia" w:ascii="宋体" w:hAnsi="宋体" w:cs="Tahoma"/>
                <w:b/>
                <w:bCs/>
                <w:color w:val="000000"/>
                <w:kern w:val="0"/>
                <w:szCs w:val="21"/>
              </w:rPr>
              <w:t>单位</w:t>
            </w:r>
          </w:p>
        </w:tc>
        <w:tc>
          <w:tcPr>
            <w:tcW w:w="864" w:type="dxa"/>
            <w:tcBorders>
              <w:top w:val="single" w:color="auto" w:sz="4" w:space="0"/>
              <w:left w:val="nil"/>
              <w:bottom w:val="single" w:color="auto" w:sz="4" w:space="0"/>
              <w:right w:val="single" w:color="auto" w:sz="4" w:space="0"/>
            </w:tcBorders>
            <w:shd w:val="clear" w:color="000000" w:fill="FFFFFF"/>
            <w:vAlign w:val="bottom"/>
          </w:tcPr>
          <w:p>
            <w:pPr>
              <w:widowControl/>
              <w:jc w:val="center"/>
              <w:rPr>
                <w:rFonts w:ascii="宋体" w:hAnsi="宋体" w:cs="Tahoma"/>
                <w:b/>
                <w:bCs/>
                <w:color w:val="000000"/>
                <w:kern w:val="0"/>
                <w:szCs w:val="21"/>
              </w:rPr>
            </w:pPr>
            <w:r>
              <w:rPr>
                <w:rFonts w:hint="eastAsia" w:ascii="宋体" w:hAnsi="宋体" w:cs="Tahoma"/>
                <w:b/>
                <w:bCs/>
                <w:color w:val="000000"/>
                <w:kern w:val="0"/>
                <w:szCs w:val="21"/>
              </w:rPr>
              <w:t>数量</w:t>
            </w:r>
          </w:p>
        </w:tc>
        <w:tc>
          <w:tcPr>
            <w:tcW w:w="1476" w:type="dxa"/>
            <w:tcBorders>
              <w:top w:val="single" w:color="auto" w:sz="4" w:space="0"/>
              <w:left w:val="nil"/>
              <w:bottom w:val="single" w:color="auto" w:sz="4" w:space="0"/>
              <w:right w:val="single" w:color="auto" w:sz="4" w:space="0"/>
            </w:tcBorders>
            <w:shd w:val="clear" w:color="000000" w:fill="FFFFFF"/>
            <w:vAlign w:val="bottom"/>
          </w:tcPr>
          <w:p>
            <w:pPr>
              <w:widowControl/>
              <w:jc w:val="center"/>
              <w:rPr>
                <w:rFonts w:ascii="宋体" w:hAnsi="宋体" w:cs="Tahoma"/>
                <w:b/>
                <w:bCs/>
                <w:color w:val="000000"/>
                <w:kern w:val="0"/>
                <w:szCs w:val="21"/>
              </w:rPr>
            </w:pPr>
            <w:r>
              <w:rPr>
                <w:rFonts w:hint="eastAsia" w:ascii="宋体" w:hAnsi="宋体" w:cs="Tahoma"/>
                <w:b/>
                <w:bCs/>
                <w:color w:val="000000"/>
                <w:kern w:val="0"/>
                <w:szCs w:val="21"/>
              </w:rPr>
              <w:t>单价</w:t>
            </w:r>
          </w:p>
        </w:tc>
        <w:tc>
          <w:tcPr>
            <w:tcW w:w="1171" w:type="dxa"/>
            <w:tcBorders>
              <w:top w:val="single" w:color="auto" w:sz="4" w:space="0"/>
              <w:left w:val="nil"/>
              <w:bottom w:val="single" w:color="auto" w:sz="4" w:space="0"/>
              <w:right w:val="single" w:color="auto" w:sz="4" w:space="0"/>
            </w:tcBorders>
            <w:shd w:val="clear" w:color="000000" w:fill="FFFFFF"/>
            <w:vAlign w:val="bottom"/>
          </w:tcPr>
          <w:p>
            <w:pPr>
              <w:widowControl/>
              <w:jc w:val="center"/>
              <w:rPr>
                <w:rFonts w:ascii="宋体" w:hAnsi="宋体" w:cs="Tahoma"/>
                <w:b/>
                <w:bCs/>
                <w:color w:val="000000"/>
                <w:kern w:val="0"/>
                <w:szCs w:val="21"/>
              </w:rPr>
            </w:pPr>
            <w:r>
              <w:rPr>
                <w:rFonts w:hint="eastAsia" w:ascii="宋体" w:hAnsi="宋体" w:cs="Tahoma"/>
                <w:b/>
                <w:bCs/>
                <w:color w:val="000000"/>
                <w:kern w:val="0"/>
                <w:szCs w:val="21"/>
              </w:rPr>
              <w:t>总价</w:t>
            </w:r>
          </w:p>
        </w:tc>
      </w:tr>
      <w:tr>
        <w:tblPrEx>
          <w:tblCellMar>
            <w:top w:w="0" w:type="dxa"/>
            <w:left w:w="108" w:type="dxa"/>
            <w:bottom w:w="0" w:type="dxa"/>
            <w:right w:w="108" w:type="dxa"/>
          </w:tblCellMar>
        </w:tblPrEx>
        <w:trPr>
          <w:trHeight w:val="464" w:hRule="atLeast"/>
        </w:trPr>
        <w:tc>
          <w:tcPr>
            <w:tcW w:w="0" w:type="auto"/>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1106"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图书下架</w:t>
            </w:r>
          </w:p>
        </w:tc>
        <w:tc>
          <w:tcPr>
            <w:tcW w:w="3624" w:type="dxa"/>
            <w:tcBorders>
              <w:top w:val="single" w:color="auto" w:sz="4" w:space="0"/>
              <w:left w:val="nil"/>
              <w:bottom w:val="single" w:color="auto" w:sz="4" w:space="0"/>
              <w:right w:val="single" w:color="auto" w:sz="4" w:space="0"/>
            </w:tcBorders>
            <w:shd w:val="clear" w:color="000000" w:fill="FFFFFF"/>
            <w:vAlign w:val="bottom"/>
          </w:tcPr>
          <w:p>
            <w:pPr>
              <w:jc w:val="center"/>
            </w:pPr>
            <w:r>
              <w:rPr>
                <w:rFonts w:hint="eastAsia"/>
              </w:rPr>
              <w:t>图书下架及调拨</w:t>
            </w:r>
          </w:p>
        </w:tc>
        <w:tc>
          <w:tcPr>
            <w:tcW w:w="660"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册</w:t>
            </w:r>
          </w:p>
        </w:tc>
        <w:tc>
          <w:tcPr>
            <w:tcW w:w="864"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112000</w:t>
            </w:r>
          </w:p>
        </w:tc>
        <w:tc>
          <w:tcPr>
            <w:tcW w:w="1476"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p>
        </w:tc>
        <w:tc>
          <w:tcPr>
            <w:tcW w:w="1171"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1106" w:type="dxa"/>
            <w:vMerge w:val="restart"/>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图书打包搬运</w:t>
            </w:r>
          </w:p>
        </w:tc>
        <w:tc>
          <w:tcPr>
            <w:tcW w:w="3624" w:type="dxa"/>
            <w:tcBorders>
              <w:top w:val="single" w:color="auto" w:sz="4" w:space="0"/>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各书库图书打包搬运</w:t>
            </w:r>
          </w:p>
        </w:tc>
        <w:tc>
          <w:tcPr>
            <w:tcW w:w="660" w:type="dxa"/>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册</w:t>
            </w:r>
          </w:p>
        </w:tc>
        <w:tc>
          <w:tcPr>
            <w:tcW w:w="864"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112000</w:t>
            </w:r>
          </w:p>
        </w:tc>
        <w:tc>
          <w:tcPr>
            <w:tcW w:w="1476"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p>
        </w:tc>
        <w:tc>
          <w:tcPr>
            <w:tcW w:w="1171"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11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Cs w:val="21"/>
              </w:rPr>
            </w:pPr>
          </w:p>
        </w:tc>
        <w:tc>
          <w:tcPr>
            <w:tcW w:w="3624" w:type="dxa"/>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四楼东临时存放点图书打包搬运</w:t>
            </w:r>
          </w:p>
        </w:tc>
        <w:tc>
          <w:tcPr>
            <w:tcW w:w="660" w:type="dxa"/>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册</w:t>
            </w:r>
          </w:p>
        </w:tc>
        <w:tc>
          <w:tcPr>
            <w:tcW w:w="864"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17132</w:t>
            </w:r>
          </w:p>
        </w:tc>
        <w:tc>
          <w:tcPr>
            <w:tcW w:w="1476"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p>
        </w:tc>
        <w:tc>
          <w:tcPr>
            <w:tcW w:w="1171"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4</w:t>
            </w:r>
          </w:p>
        </w:tc>
        <w:tc>
          <w:tcPr>
            <w:tcW w:w="11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Cs w:val="21"/>
              </w:rPr>
            </w:pPr>
          </w:p>
        </w:tc>
        <w:tc>
          <w:tcPr>
            <w:tcW w:w="3624" w:type="dxa"/>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一楼临时密库图书打包搬运</w:t>
            </w:r>
          </w:p>
        </w:tc>
        <w:tc>
          <w:tcPr>
            <w:tcW w:w="660" w:type="dxa"/>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册</w:t>
            </w:r>
          </w:p>
        </w:tc>
        <w:tc>
          <w:tcPr>
            <w:tcW w:w="864"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91432</w:t>
            </w:r>
          </w:p>
        </w:tc>
        <w:tc>
          <w:tcPr>
            <w:tcW w:w="1476"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p>
        </w:tc>
        <w:tc>
          <w:tcPr>
            <w:tcW w:w="1171"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5</w:t>
            </w:r>
          </w:p>
        </w:tc>
        <w:tc>
          <w:tcPr>
            <w:tcW w:w="1106" w:type="dxa"/>
            <w:vMerge w:val="restart"/>
            <w:tcBorders>
              <w:top w:val="nil"/>
              <w:left w:val="single" w:color="auto" w:sz="4" w:space="0"/>
              <w:bottom w:val="single" w:color="auto" w:sz="4" w:space="0"/>
              <w:right w:val="single" w:color="auto" w:sz="4" w:space="0"/>
            </w:tcBorders>
            <w:shd w:val="clear" w:color="000000" w:fill="FFFFFF"/>
            <w:vAlign w:val="bottom"/>
          </w:tcPr>
          <w:p>
            <w:pPr>
              <w:widowControl/>
              <w:spacing w:line="600" w:lineRule="auto"/>
              <w:jc w:val="center"/>
              <w:rPr>
                <w:rFonts w:ascii="宋体" w:hAnsi="宋体" w:cs="Tahoma"/>
                <w:color w:val="000000"/>
                <w:kern w:val="0"/>
                <w:szCs w:val="21"/>
              </w:rPr>
            </w:pPr>
            <w:r>
              <w:rPr>
                <w:rFonts w:hint="eastAsia" w:ascii="宋体" w:hAnsi="宋体" w:cs="Tahoma"/>
                <w:color w:val="000000"/>
                <w:kern w:val="0"/>
                <w:szCs w:val="21"/>
              </w:rPr>
              <w:t>耗材</w:t>
            </w:r>
          </w:p>
        </w:tc>
        <w:tc>
          <w:tcPr>
            <w:tcW w:w="3624" w:type="dxa"/>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打包纸</w:t>
            </w:r>
          </w:p>
        </w:tc>
        <w:tc>
          <w:tcPr>
            <w:tcW w:w="660" w:type="dxa"/>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张</w:t>
            </w:r>
          </w:p>
        </w:tc>
        <w:tc>
          <w:tcPr>
            <w:tcW w:w="864"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6666</w:t>
            </w:r>
          </w:p>
        </w:tc>
        <w:tc>
          <w:tcPr>
            <w:tcW w:w="1476"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p>
        </w:tc>
        <w:tc>
          <w:tcPr>
            <w:tcW w:w="1171"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6</w:t>
            </w:r>
          </w:p>
        </w:tc>
        <w:tc>
          <w:tcPr>
            <w:tcW w:w="11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Cs w:val="21"/>
              </w:rPr>
            </w:pPr>
          </w:p>
        </w:tc>
        <w:tc>
          <w:tcPr>
            <w:tcW w:w="3624" w:type="dxa"/>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木托盘</w:t>
            </w:r>
          </w:p>
        </w:tc>
        <w:tc>
          <w:tcPr>
            <w:tcW w:w="660" w:type="dxa"/>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张</w:t>
            </w:r>
          </w:p>
        </w:tc>
        <w:tc>
          <w:tcPr>
            <w:tcW w:w="864"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100</w:t>
            </w:r>
          </w:p>
        </w:tc>
        <w:tc>
          <w:tcPr>
            <w:tcW w:w="1476"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p>
        </w:tc>
        <w:tc>
          <w:tcPr>
            <w:tcW w:w="1171"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7</w:t>
            </w:r>
          </w:p>
        </w:tc>
        <w:tc>
          <w:tcPr>
            <w:tcW w:w="11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Cs w:val="21"/>
              </w:rPr>
            </w:pPr>
          </w:p>
        </w:tc>
        <w:tc>
          <w:tcPr>
            <w:tcW w:w="3624" w:type="dxa"/>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盖布</w:t>
            </w:r>
          </w:p>
        </w:tc>
        <w:tc>
          <w:tcPr>
            <w:tcW w:w="660" w:type="dxa"/>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片</w:t>
            </w:r>
          </w:p>
        </w:tc>
        <w:tc>
          <w:tcPr>
            <w:tcW w:w="864"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1476"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p>
        </w:tc>
        <w:tc>
          <w:tcPr>
            <w:tcW w:w="1171"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p>
        </w:tc>
      </w:tr>
      <w:tr>
        <w:tblPrEx>
          <w:tblCellMar>
            <w:top w:w="0" w:type="dxa"/>
            <w:left w:w="108" w:type="dxa"/>
            <w:bottom w:w="0" w:type="dxa"/>
            <w:right w:w="108" w:type="dxa"/>
          </w:tblCellMar>
        </w:tblPrEx>
        <w:trPr>
          <w:trHeight w:val="577" w:hRule="atLeast"/>
        </w:trPr>
        <w:tc>
          <w:tcPr>
            <w:tcW w:w="0" w:type="auto"/>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8</w:t>
            </w:r>
          </w:p>
        </w:tc>
        <w:tc>
          <w:tcPr>
            <w:tcW w:w="1106" w:type="dxa"/>
            <w:vMerge w:val="restart"/>
            <w:tcBorders>
              <w:top w:val="nil"/>
              <w:left w:val="single" w:color="auto" w:sz="4" w:space="0"/>
              <w:bottom w:val="single" w:color="auto" w:sz="4" w:space="0"/>
              <w:right w:val="single" w:color="auto" w:sz="4" w:space="0"/>
            </w:tcBorders>
            <w:shd w:val="clear" w:color="000000" w:fill="FFFFFF"/>
            <w:vAlign w:val="bottom"/>
          </w:tcPr>
          <w:p>
            <w:pPr>
              <w:widowControl/>
              <w:spacing w:line="720" w:lineRule="auto"/>
              <w:rPr>
                <w:rFonts w:ascii="宋体" w:hAnsi="宋体" w:cs="Tahoma"/>
                <w:color w:val="000000"/>
                <w:kern w:val="0"/>
                <w:szCs w:val="21"/>
              </w:rPr>
            </w:pPr>
            <w:r>
              <w:rPr>
                <w:rFonts w:hint="eastAsia" w:ascii="宋体" w:hAnsi="宋体" w:cs="Tahoma"/>
                <w:color w:val="000000"/>
                <w:kern w:val="0"/>
                <w:szCs w:val="21"/>
              </w:rPr>
              <w:t>书库置换</w:t>
            </w:r>
          </w:p>
        </w:tc>
        <w:tc>
          <w:tcPr>
            <w:tcW w:w="3624" w:type="dxa"/>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图书搬运：从一楼西至二楼东并按索书号上架</w:t>
            </w:r>
          </w:p>
        </w:tc>
        <w:tc>
          <w:tcPr>
            <w:tcW w:w="660" w:type="dxa"/>
            <w:tcBorders>
              <w:top w:val="nil"/>
              <w:left w:val="nil"/>
              <w:bottom w:val="single" w:color="auto" w:sz="4" w:space="0"/>
              <w:right w:val="single" w:color="auto" w:sz="4" w:space="0"/>
            </w:tcBorders>
            <w:shd w:val="clear" w:color="000000" w:fill="FFFFFF"/>
            <w:vAlign w:val="bottom"/>
          </w:tcPr>
          <w:p>
            <w:pPr>
              <w:widowControl/>
              <w:spacing w:line="480" w:lineRule="auto"/>
              <w:jc w:val="center"/>
              <w:rPr>
                <w:rFonts w:ascii="宋体" w:hAnsi="宋体" w:cs="Tahoma"/>
                <w:color w:val="000000"/>
                <w:kern w:val="0"/>
                <w:szCs w:val="21"/>
              </w:rPr>
            </w:pPr>
            <w:r>
              <w:rPr>
                <w:rFonts w:hint="eastAsia" w:ascii="宋体" w:hAnsi="宋体" w:cs="Tahoma"/>
                <w:color w:val="000000"/>
                <w:kern w:val="0"/>
                <w:szCs w:val="21"/>
              </w:rPr>
              <w:t>册</w:t>
            </w:r>
          </w:p>
        </w:tc>
        <w:tc>
          <w:tcPr>
            <w:tcW w:w="864" w:type="dxa"/>
            <w:tcBorders>
              <w:top w:val="nil"/>
              <w:left w:val="nil"/>
              <w:bottom w:val="single" w:color="auto" w:sz="4" w:space="0"/>
              <w:right w:val="single" w:color="auto" w:sz="4" w:space="0"/>
            </w:tcBorders>
            <w:shd w:val="clear" w:color="000000" w:fill="FFFFFF"/>
            <w:vAlign w:val="bottom"/>
          </w:tcPr>
          <w:p>
            <w:pPr>
              <w:widowControl/>
              <w:spacing w:line="480" w:lineRule="auto"/>
              <w:jc w:val="center"/>
              <w:rPr>
                <w:rFonts w:ascii="Times New Roman" w:hAnsi="Times New Roman"/>
                <w:color w:val="000000"/>
                <w:kern w:val="0"/>
                <w:szCs w:val="21"/>
              </w:rPr>
            </w:pPr>
            <w:r>
              <w:rPr>
                <w:rFonts w:ascii="Times New Roman" w:hAnsi="Times New Roman"/>
                <w:color w:val="000000"/>
                <w:kern w:val="0"/>
                <w:szCs w:val="21"/>
              </w:rPr>
              <w:t>87000</w:t>
            </w:r>
          </w:p>
        </w:tc>
        <w:tc>
          <w:tcPr>
            <w:tcW w:w="1476"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p>
        </w:tc>
        <w:tc>
          <w:tcPr>
            <w:tcW w:w="1171"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p>
        </w:tc>
      </w:tr>
      <w:tr>
        <w:tblPrEx>
          <w:tblCellMar>
            <w:top w:w="0" w:type="dxa"/>
            <w:left w:w="108" w:type="dxa"/>
            <w:bottom w:w="0" w:type="dxa"/>
            <w:right w:w="108" w:type="dxa"/>
          </w:tblCellMar>
        </w:tblPrEx>
        <w:trPr>
          <w:trHeight w:val="622" w:hRule="atLeast"/>
        </w:trPr>
        <w:tc>
          <w:tcPr>
            <w:tcW w:w="0" w:type="auto"/>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9</w:t>
            </w:r>
          </w:p>
        </w:tc>
        <w:tc>
          <w:tcPr>
            <w:tcW w:w="11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Cs w:val="21"/>
              </w:rPr>
            </w:pPr>
          </w:p>
        </w:tc>
        <w:tc>
          <w:tcPr>
            <w:tcW w:w="3624" w:type="dxa"/>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书架拆运装：从一楼西到二楼东及其它场地</w:t>
            </w:r>
          </w:p>
        </w:tc>
        <w:tc>
          <w:tcPr>
            <w:tcW w:w="660" w:type="dxa"/>
            <w:tcBorders>
              <w:top w:val="nil"/>
              <w:left w:val="nil"/>
              <w:bottom w:val="single" w:color="auto" w:sz="4" w:space="0"/>
              <w:right w:val="single" w:color="auto" w:sz="4" w:space="0"/>
            </w:tcBorders>
            <w:shd w:val="clear" w:color="000000" w:fill="FFFFFF"/>
            <w:vAlign w:val="bottom"/>
          </w:tcPr>
          <w:p>
            <w:pPr>
              <w:widowControl/>
              <w:spacing w:line="480" w:lineRule="auto"/>
              <w:jc w:val="center"/>
              <w:rPr>
                <w:rFonts w:ascii="宋体" w:hAnsi="宋体" w:cs="Tahoma"/>
                <w:color w:val="000000"/>
                <w:kern w:val="0"/>
                <w:szCs w:val="21"/>
              </w:rPr>
            </w:pPr>
            <w:r>
              <w:rPr>
                <w:rFonts w:hint="eastAsia" w:ascii="宋体" w:hAnsi="宋体" w:cs="Tahoma"/>
                <w:color w:val="000000"/>
                <w:kern w:val="0"/>
                <w:szCs w:val="21"/>
              </w:rPr>
              <w:t>节</w:t>
            </w:r>
          </w:p>
        </w:tc>
        <w:tc>
          <w:tcPr>
            <w:tcW w:w="864" w:type="dxa"/>
            <w:tcBorders>
              <w:top w:val="nil"/>
              <w:left w:val="nil"/>
              <w:bottom w:val="single" w:color="auto" w:sz="4" w:space="0"/>
              <w:right w:val="single" w:color="auto" w:sz="4" w:space="0"/>
            </w:tcBorders>
            <w:shd w:val="clear" w:color="000000" w:fill="FFFFFF"/>
            <w:vAlign w:val="bottom"/>
          </w:tcPr>
          <w:p>
            <w:pPr>
              <w:widowControl/>
              <w:spacing w:line="480" w:lineRule="auto"/>
              <w:jc w:val="center"/>
              <w:rPr>
                <w:rFonts w:ascii="Times New Roman" w:hAnsi="Times New Roman"/>
                <w:color w:val="000000"/>
                <w:kern w:val="0"/>
                <w:szCs w:val="21"/>
              </w:rPr>
            </w:pPr>
            <w:r>
              <w:rPr>
                <w:rFonts w:ascii="Times New Roman" w:hAnsi="Times New Roman"/>
                <w:color w:val="000000"/>
                <w:kern w:val="0"/>
                <w:szCs w:val="21"/>
              </w:rPr>
              <w:t>305</w:t>
            </w:r>
          </w:p>
        </w:tc>
        <w:tc>
          <w:tcPr>
            <w:tcW w:w="1476"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p>
        </w:tc>
        <w:tc>
          <w:tcPr>
            <w:tcW w:w="1171"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p>
        </w:tc>
      </w:tr>
      <w:tr>
        <w:tblPrEx>
          <w:tblCellMar>
            <w:top w:w="0" w:type="dxa"/>
            <w:left w:w="108" w:type="dxa"/>
            <w:bottom w:w="0" w:type="dxa"/>
            <w:right w:w="108" w:type="dxa"/>
          </w:tblCellMar>
        </w:tblPrEx>
        <w:trPr>
          <w:trHeight w:val="253" w:hRule="atLeast"/>
        </w:trPr>
        <w:tc>
          <w:tcPr>
            <w:tcW w:w="0" w:type="auto"/>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10</w:t>
            </w:r>
          </w:p>
        </w:tc>
        <w:tc>
          <w:tcPr>
            <w:tcW w:w="11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Cs w:val="21"/>
              </w:rPr>
            </w:pPr>
          </w:p>
        </w:tc>
        <w:tc>
          <w:tcPr>
            <w:tcW w:w="3624" w:type="dxa"/>
            <w:tcBorders>
              <w:top w:val="nil"/>
              <w:left w:val="nil"/>
              <w:bottom w:val="single" w:color="auto" w:sz="4" w:space="0"/>
              <w:right w:val="single" w:color="auto" w:sz="4" w:space="0"/>
            </w:tcBorders>
            <w:shd w:val="clear" w:color="000000" w:fill="FFFFFF"/>
            <w:vAlign w:val="bottom"/>
          </w:tcPr>
          <w:p>
            <w:pPr>
              <w:widowControl/>
              <w:spacing w:line="480" w:lineRule="auto"/>
              <w:jc w:val="center"/>
              <w:rPr>
                <w:rFonts w:ascii="宋体" w:hAnsi="宋体" w:cs="Tahoma"/>
                <w:color w:val="000000"/>
                <w:kern w:val="0"/>
                <w:szCs w:val="21"/>
              </w:rPr>
            </w:pPr>
            <w:r>
              <w:rPr>
                <w:rFonts w:hint="eastAsia" w:ascii="宋体" w:hAnsi="宋体" w:cs="Tahoma"/>
                <w:color w:val="000000"/>
                <w:kern w:val="0"/>
                <w:szCs w:val="21"/>
              </w:rPr>
              <w:t>木架拆运装：从二楼东到一楼西</w:t>
            </w:r>
          </w:p>
        </w:tc>
        <w:tc>
          <w:tcPr>
            <w:tcW w:w="660" w:type="dxa"/>
            <w:tcBorders>
              <w:top w:val="nil"/>
              <w:left w:val="nil"/>
              <w:bottom w:val="single" w:color="auto" w:sz="4" w:space="0"/>
              <w:right w:val="single" w:color="auto" w:sz="4" w:space="0"/>
            </w:tcBorders>
            <w:shd w:val="clear" w:color="000000" w:fill="FFFFFF"/>
            <w:vAlign w:val="bottom"/>
          </w:tcPr>
          <w:p>
            <w:pPr>
              <w:widowControl/>
              <w:spacing w:line="480" w:lineRule="auto"/>
              <w:jc w:val="center"/>
              <w:rPr>
                <w:rFonts w:ascii="宋体" w:hAnsi="宋体" w:cs="Tahoma"/>
                <w:color w:val="000000"/>
                <w:kern w:val="0"/>
                <w:szCs w:val="21"/>
              </w:rPr>
            </w:pPr>
            <w:r>
              <w:rPr>
                <w:rFonts w:hint="eastAsia" w:ascii="宋体" w:hAnsi="宋体" w:cs="Tahoma"/>
                <w:color w:val="000000"/>
                <w:kern w:val="0"/>
                <w:szCs w:val="21"/>
              </w:rPr>
              <w:t>节</w:t>
            </w:r>
          </w:p>
        </w:tc>
        <w:tc>
          <w:tcPr>
            <w:tcW w:w="864" w:type="dxa"/>
            <w:tcBorders>
              <w:top w:val="nil"/>
              <w:left w:val="nil"/>
              <w:bottom w:val="single" w:color="auto" w:sz="4" w:space="0"/>
              <w:right w:val="single" w:color="auto" w:sz="4" w:space="0"/>
            </w:tcBorders>
            <w:shd w:val="clear" w:color="000000" w:fill="FFFFFF"/>
            <w:vAlign w:val="bottom"/>
          </w:tcPr>
          <w:p>
            <w:pPr>
              <w:widowControl/>
              <w:spacing w:line="480" w:lineRule="auto"/>
              <w:jc w:val="center"/>
              <w:rPr>
                <w:rFonts w:ascii="Times New Roman" w:hAnsi="Times New Roman"/>
                <w:color w:val="000000"/>
                <w:kern w:val="0"/>
                <w:szCs w:val="21"/>
              </w:rPr>
            </w:pPr>
            <w:r>
              <w:rPr>
                <w:rFonts w:ascii="Times New Roman" w:hAnsi="Times New Roman"/>
                <w:color w:val="000000"/>
                <w:kern w:val="0"/>
                <w:szCs w:val="21"/>
              </w:rPr>
              <w:t>39</w:t>
            </w:r>
          </w:p>
        </w:tc>
        <w:tc>
          <w:tcPr>
            <w:tcW w:w="1476"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p>
        </w:tc>
        <w:tc>
          <w:tcPr>
            <w:tcW w:w="1171"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p>
        </w:tc>
      </w:tr>
      <w:tr>
        <w:tblPrEx>
          <w:tblCellMar>
            <w:top w:w="0" w:type="dxa"/>
            <w:left w:w="108" w:type="dxa"/>
            <w:bottom w:w="0" w:type="dxa"/>
            <w:right w:w="108" w:type="dxa"/>
          </w:tblCellMar>
        </w:tblPrEx>
        <w:trPr>
          <w:trHeight w:val="525" w:hRule="atLeast"/>
        </w:trPr>
        <w:tc>
          <w:tcPr>
            <w:tcW w:w="0" w:type="auto"/>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11</w:t>
            </w:r>
          </w:p>
        </w:tc>
        <w:tc>
          <w:tcPr>
            <w:tcW w:w="11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Cs w:val="21"/>
              </w:rPr>
            </w:pPr>
          </w:p>
        </w:tc>
        <w:tc>
          <w:tcPr>
            <w:tcW w:w="3624" w:type="dxa"/>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铁书架拆运装从二楼东到一楼西</w:t>
            </w:r>
          </w:p>
        </w:tc>
        <w:tc>
          <w:tcPr>
            <w:tcW w:w="660" w:type="dxa"/>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节</w:t>
            </w:r>
          </w:p>
        </w:tc>
        <w:tc>
          <w:tcPr>
            <w:tcW w:w="864"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32</w:t>
            </w:r>
          </w:p>
        </w:tc>
        <w:tc>
          <w:tcPr>
            <w:tcW w:w="1476" w:type="dxa"/>
            <w:tcBorders>
              <w:top w:val="nil"/>
              <w:left w:val="nil"/>
              <w:bottom w:val="single" w:color="auto" w:sz="4" w:space="0"/>
              <w:right w:val="single" w:color="auto" w:sz="4" w:space="0"/>
            </w:tcBorders>
            <w:shd w:val="clear" w:color="000000" w:fill="FFFFFF"/>
            <w:vAlign w:val="bottom"/>
          </w:tcPr>
          <w:p>
            <w:pPr>
              <w:widowControl/>
              <w:rPr>
                <w:rFonts w:ascii="Times New Roman" w:hAnsi="Times New Roman"/>
                <w:color w:val="000000"/>
                <w:kern w:val="0"/>
                <w:szCs w:val="21"/>
              </w:rPr>
            </w:pPr>
          </w:p>
        </w:tc>
        <w:tc>
          <w:tcPr>
            <w:tcW w:w="1171"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12</w:t>
            </w:r>
          </w:p>
        </w:tc>
        <w:tc>
          <w:tcPr>
            <w:tcW w:w="1106" w:type="dxa"/>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图书盘点</w:t>
            </w:r>
          </w:p>
        </w:tc>
        <w:tc>
          <w:tcPr>
            <w:tcW w:w="3624" w:type="dxa"/>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除下架外图书</w:t>
            </w:r>
          </w:p>
        </w:tc>
        <w:tc>
          <w:tcPr>
            <w:tcW w:w="660" w:type="dxa"/>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册</w:t>
            </w:r>
          </w:p>
        </w:tc>
        <w:tc>
          <w:tcPr>
            <w:tcW w:w="864"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880000</w:t>
            </w:r>
          </w:p>
        </w:tc>
        <w:tc>
          <w:tcPr>
            <w:tcW w:w="1476"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p>
        </w:tc>
        <w:tc>
          <w:tcPr>
            <w:tcW w:w="1171"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13</w:t>
            </w:r>
          </w:p>
        </w:tc>
        <w:tc>
          <w:tcPr>
            <w:tcW w:w="1106" w:type="dxa"/>
            <w:vMerge w:val="restart"/>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早稻田文库挪架</w:t>
            </w:r>
          </w:p>
        </w:tc>
        <w:tc>
          <w:tcPr>
            <w:tcW w:w="3624" w:type="dxa"/>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移书架</w:t>
            </w:r>
          </w:p>
        </w:tc>
        <w:tc>
          <w:tcPr>
            <w:tcW w:w="660" w:type="dxa"/>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节</w:t>
            </w:r>
          </w:p>
        </w:tc>
        <w:tc>
          <w:tcPr>
            <w:tcW w:w="864"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54</w:t>
            </w:r>
          </w:p>
        </w:tc>
        <w:tc>
          <w:tcPr>
            <w:tcW w:w="1476"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p>
        </w:tc>
        <w:tc>
          <w:tcPr>
            <w:tcW w:w="1171"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p>
        </w:tc>
      </w:tr>
      <w:tr>
        <w:trPr>
          <w:trHeight w:val="285" w:hRule="atLeast"/>
        </w:trPr>
        <w:tc>
          <w:tcPr>
            <w:tcW w:w="0" w:type="auto"/>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14</w:t>
            </w:r>
          </w:p>
        </w:tc>
        <w:tc>
          <w:tcPr>
            <w:tcW w:w="11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Cs w:val="21"/>
              </w:rPr>
            </w:pPr>
          </w:p>
        </w:tc>
        <w:tc>
          <w:tcPr>
            <w:tcW w:w="3624" w:type="dxa"/>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图书下架上架</w:t>
            </w:r>
          </w:p>
        </w:tc>
        <w:tc>
          <w:tcPr>
            <w:tcW w:w="660" w:type="dxa"/>
            <w:tcBorders>
              <w:top w:val="nil"/>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册</w:t>
            </w:r>
          </w:p>
        </w:tc>
        <w:tc>
          <w:tcPr>
            <w:tcW w:w="864"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16000</w:t>
            </w:r>
          </w:p>
        </w:tc>
        <w:tc>
          <w:tcPr>
            <w:tcW w:w="1476"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p>
        </w:tc>
        <w:tc>
          <w:tcPr>
            <w:tcW w:w="1171" w:type="dxa"/>
            <w:tcBorders>
              <w:top w:val="nil"/>
              <w:left w:val="nil"/>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p>
        </w:tc>
      </w:tr>
      <w:tr>
        <w:tblPrEx>
          <w:tblCellMar>
            <w:top w:w="0" w:type="dxa"/>
            <w:left w:w="108" w:type="dxa"/>
            <w:bottom w:w="0" w:type="dxa"/>
            <w:right w:w="108" w:type="dxa"/>
          </w:tblCellMar>
        </w:tblPrEx>
        <w:trPr>
          <w:trHeight w:val="538" w:hRule="atLeast"/>
        </w:trPr>
        <w:tc>
          <w:tcPr>
            <w:tcW w:w="0" w:type="auto"/>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15</w:t>
            </w:r>
          </w:p>
        </w:tc>
        <w:tc>
          <w:tcPr>
            <w:tcW w:w="1106" w:type="dxa"/>
            <w:tcBorders>
              <w:top w:val="single" w:color="auto" w:sz="4" w:space="0"/>
              <w:left w:val="nil"/>
              <w:bottom w:val="single" w:color="auto" w:sz="4" w:space="0"/>
              <w:right w:val="single" w:color="auto" w:sz="4" w:space="0"/>
            </w:tcBorders>
            <w:shd w:val="clear" w:color="000000" w:fill="FFFFFF"/>
            <w:vAlign w:val="bottom"/>
          </w:tcPr>
          <w:p>
            <w:pPr>
              <w:widowControl/>
              <w:jc w:val="center"/>
              <w:rPr>
                <w:rFonts w:ascii="宋体" w:hAnsi="宋体" w:cs="Tahoma"/>
                <w:color w:val="000000"/>
                <w:kern w:val="0"/>
                <w:szCs w:val="21"/>
              </w:rPr>
            </w:pPr>
            <w:r>
              <w:rPr>
                <w:rFonts w:hint="eastAsia" w:ascii="宋体" w:hAnsi="宋体" w:cs="Tahoma"/>
                <w:color w:val="000000"/>
                <w:kern w:val="0"/>
                <w:szCs w:val="21"/>
              </w:rPr>
              <w:t>捐赠图书专库</w:t>
            </w:r>
          </w:p>
        </w:tc>
        <w:tc>
          <w:tcPr>
            <w:tcW w:w="3624" w:type="dxa"/>
            <w:tcBorders>
              <w:top w:val="nil"/>
              <w:left w:val="single" w:color="auto" w:sz="4" w:space="0"/>
              <w:bottom w:val="single" w:color="auto" w:sz="4" w:space="0"/>
              <w:right w:val="single" w:color="auto" w:sz="4" w:space="0"/>
            </w:tcBorders>
            <w:shd w:val="clear" w:color="000000" w:fill="FFFFFF"/>
            <w:vAlign w:val="bottom"/>
          </w:tcPr>
          <w:p>
            <w:pPr>
              <w:widowControl/>
              <w:spacing w:line="360" w:lineRule="auto"/>
              <w:jc w:val="center"/>
              <w:rPr>
                <w:rFonts w:ascii="宋体" w:hAnsi="宋体" w:cs="Tahoma"/>
                <w:color w:val="000000"/>
                <w:kern w:val="0"/>
                <w:szCs w:val="21"/>
              </w:rPr>
            </w:pPr>
            <w:r>
              <w:rPr>
                <w:rFonts w:hint="eastAsia" w:ascii="宋体" w:hAnsi="宋体" w:cs="Tahoma"/>
                <w:color w:val="000000"/>
                <w:kern w:val="0"/>
                <w:szCs w:val="21"/>
              </w:rPr>
              <w:t>图书下架上架</w:t>
            </w:r>
          </w:p>
        </w:tc>
        <w:tc>
          <w:tcPr>
            <w:tcW w:w="660" w:type="dxa"/>
            <w:tcBorders>
              <w:top w:val="nil"/>
              <w:left w:val="single" w:color="auto" w:sz="4" w:space="0"/>
              <w:bottom w:val="single" w:color="auto" w:sz="4" w:space="0"/>
              <w:right w:val="single" w:color="auto" w:sz="4" w:space="0"/>
            </w:tcBorders>
            <w:shd w:val="clear" w:color="000000" w:fill="FFFFFF"/>
            <w:vAlign w:val="bottom"/>
          </w:tcPr>
          <w:p>
            <w:pPr>
              <w:widowControl/>
              <w:spacing w:line="360" w:lineRule="auto"/>
              <w:jc w:val="center"/>
              <w:rPr>
                <w:rFonts w:ascii="宋体" w:hAnsi="宋体" w:cs="Tahoma"/>
                <w:color w:val="000000"/>
                <w:kern w:val="0"/>
                <w:szCs w:val="21"/>
              </w:rPr>
            </w:pPr>
            <w:r>
              <w:rPr>
                <w:rFonts w:hint="eastAsia" w:ascii="宋体" w:hAnsi="宋体" w:cs="Tahoma"/>
                <w:color w:val="000000"/>
                <w:kern w:val="0"/>
                <w:szCs w:val="21"/>
              </w:rPr>
              <w:t>册</w:t>
            </w:r>
          </w:p>
        </w:tc>
        <w:tc>
          <w:tcPr>
            <w:tcW w:w="864" w:type="dxa"/>
            <w:tcBorders>
              <w:top w:val="nil"/>
              <w:left w:val="single" w:color="auto" w:sz="4" w:space="0"/>
              <w:bottom w:val="single" w:color="auto" w:sz="4" w:space="0"/>
              <w:right w:val="single" w:color="auto" w:sz="4" w:space="0"/>
            </w:tcBorders>
            <w:shd w:val="clear" w:color="000000" w:fill="FFFFFF"/>
            <w:vAlign w:val="bottom"/>
          </w:tcPr>
          <w:p>
            <w:pPr>
              <w:widowControl/>
              <w:spacing w:line="360" w:lineRule="auto"/>
              <w:jc w:val="center"/>
              <w:rPr>
                <w:rFonts w:ascii="Times New Roman" w:hAnsi="Times New Roman"/>
                <w:color w:val="000000"/>
                <w:kern w:val="0"/>
                <w:szCs w:val="21"/>
              </w:rPr>
            </w:pPr>
            <w:r>
              <w:rPr>
                <w:rFonts w:ascii="Times New Roman" w:hAnsi="Times New Roman"/>
                <w:color w:val="000000"/>
                <w:kern w:val="0"/>
                <w:szCs w:val="21"/>
              </w:rPr>
              <w:t>10000</w:t>
            </w:r>
          </w:p>
        </w:tc>
        <w:tc>
          <w:tcPr>
            <w:tcW w:w="1476"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p>
        </w:tc>
        <w:tc>
          <w:tcPr>
            <w:tcW w:w="1171"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p>
        </w:tc>
      </w:tr>
      <w:tr>
        <w:tblPrEx>
          <w:tblCellMar>
            <w:top w:w="0" w:type="dxa"/>
            <w:left w:w="108" w:type="dxa"/>
            <w:bottom w:w="0" w:type="dxa"/>
            <w:right w:w="108" w:type="dxa"/>
          </w:tblCellMar>
        </w:tblPrEx>
        <w:trPr>
          <w:trHeight w:val="539" w:hRule="atLeast"/>
        </w:trPr>
        <w:tc>
          <w:tcPr>
            <w:tcW w:w="0" w:type="auto"/>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r>
              <w:rPr>
                <w:rFonts w:ascii="Times New Roman" w:hAnsi="Times New Roman"/>
                <w:color w:val="000000"/>
                <w:kern w:val="0"/>
                <w:szCs w:val="21"/>
              </w:rPr>
              <w:t>16</w:t>
            </w:r>
          </w:p>
        </w:tc>
        <w:tc>
          <w:tcPr>
            <w:tcW w:w="1106" w:type="dxa"/>
            <w:tcBorders>
              <w:top w:val="single" w:color="auto" w:sz="4" w:space="0"/>
              <w:left w:val="nil"/>
              <w:bottom w:val="single" w:color="auto" w:sz="4" w:space="0"/>
              <w:right w:val="single" w:color="auto" w:sz="4" w:space="0"/>
            </w:tcBorders>
            <w:shd w:val="clear" w:color="000000" w:fill="FFFFFF"/>
            <w:vAlign w:val="bottom"/>
          </w:tcPr>
          <w:p>
            <w:pPr>
              <w:widowControl/>
              <w:jc w:val="left"/>
              <w:rPr>
                <w:rFonts w:ascii="宋体" w:hAnsi="宋体" w:cs="Tahoma"/>
                <w:color w:val="000000"/>
                <w:kern w:val="0"/>
                <w:szCs w:val="21"/>
              </w:rPr>
            </w:pPr>
            <w:r>
              <w:rPr>
                <w:rFonts w:hint="eastAsia" w:ascii="宋体" w:hAnsi="宋体" w:cs="Tahoma"/>
                <w:color w:val="000000"/>
                <w:kern w:val="0"/>
                <w:szCs w:val="21"/>
              </w:rPr>
              <w:t>过刊装订</w:t>
            </w:r>
          </w:p>
        </w:tc>
        <w:tc>
          <w:tcPr>
            <w:tcW w:w="3624" w:type="dxa"/>
            <w:tcBorders>
              <w:top w:val="nil"/>
              <w:left w:val="single" w:color="auto" w:sz="4" w:space="0"/>
              <w:bottom w:val="single" w:color="auto" w:sz="4" w:space="0"/>
              <w:right w:val="single" w:color="auto" w:sz="4" w:space="0"/>
            </w:tcBorders>
            <w:shd w:val="clear" w:color="000000" w:fill="FFFFFF"/>
            <w:vAlign w:val="bottom"/>
          </w:tcPr>
          <w:p>
            <w:pPr>
              <w:widowControl/>
              <w:spacing w:line="360" w:lineRule="auto"/>
              <w:jc w:val="center"/>
              <w:rPr>
                <w:rFonts w:ascii="宋体" w:hAnsi="宋体" w:cs="Tahoma"/>
                <w:color w:val="000000"/>
                <w:kern w:val="0"/>
                <w:szCs w:val="21"/>
              </w:rPr>
            </w:pPr>
            <w:r>
              <w:rPr>
                <w:rFonts w:hint="eastAsia" w:ascii="宋体" w:hAnsi="宋体" w:cs="Tahoma"/>
                <w:color w:val="000000"/>
                <w:kern w:val="0"/>
                <w:szCs w:val="21"/>
              </w:rPr>
              <w:t>过刊挑选、装订、编目、上架</w:t>
            </w:r>
          </w:p>
        </w:tc>
        <w:tc>
          <w:tcPr>
            <w:tcW w:w="660" w:type="dxa"/>
            <w:tcBorders>
              <w:top w:val="nil"/>
              <w:left w:val="single" w:color="auto" w:sz="4" w:space="0"/>
              <w:bottom w:val="single" w:color="auto" w:sz="4" w:space="0"/>
              <w:right w:val="single" w:color="auto" w:sz="4" w:space="0"/>
            </w:tcBorders>
            <w:shd w:val="clear" w:color="000000" w:fill="FFFFFF"/>
            <w:vAlign w:val="bottom"/>
          </w:tcPr>
          <w:p>
            <w:pPr>
              <w:widowControl/>
              <w:spacing w:line="360" w:lineRule="auto"/>
              <w:jc w:val="center"/>
              <w:rPr>
                <w:rFonts w:ascii="宋体" w:hAnsi="宋体" w:cs="Tahoma"/>
                <w:color w:val="000000"/>
                <w:kern w:val="0"/>
                <w:szCs w:val="21"/>
              </w:rPr>
            </w:pPr>
            <w:r>
              <w:rPr>
                <w:rFonts w:hint="eastAsia" w:ascii="宋体" w:hAnsi="宋体" w:cs="Tahoma"/>
                <w:color w:val="000000"/>
                <w:kern w:val="0"/>
                <w:szCs w:val="21"/>
              </w:rPr>
              <w:t>册</w:t>
            </w:r>
          </w:p>
        </w:tc>
        <w:tc>
          <w:tcPr>
            <w:tcW w:w="864" w:type="dxa"/>
            <w:tcBorders>
              <w:top w:val="nil"/>
              <w:left w:val="single" w:color="auto" w:sz="4" w:space="0"/>
              <w:bottom w:val="single" w:color="auto" w:sz="4" w:space="0"/>
              <w:right w:val="single" w:color="auto" w:sz="4" w:space="0"/>
            </w:tcBorders>
            <w:shd w:val="clear" w:color="000000" w:fill="FFFFFF"/>
            <w:vAlign w:val="bottom"/>
          </w:tcPr>
          <w:p>
            <w:pPr>
              <w:widowControl/>
              <w:spacing w:line="360" w:lineRule="auto"/>
              <w:jc w:val="center"/>
              <w:rPr>
                <w:rFonts w:ascii="Times New Roman" w:hAnsi="Times New Roman"/>
                <w:color w:val="000000"/>
                <w:kern w:val="0"/>
                <w:szCs w:val="21"/>
              </w:rPr>
            </w:pPr>
            <w:r>
              <w:rPr>
                <w:rFonts w:ascii="Times New Roman" w:hAnsi="Times New Roman"/>
                <w:color w:val="000000"/>
                <w:kern w:val="0"/>
                <w:szCs w:val="21"/>
              </w:rPr>
              <w:t>3000</w:t>
            </w:r>
          </w:p>
        </w:tc>
        <w:tc>
          <w:tcPr>
            <w:tcW w:w="1476"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p>
        </w:tc>
        <w:tc>
          <w:tcPr>
            <w:tcW w:w="1171" w:type="dxa"/>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p>
        </w:tc>
      </w:tr>
      <w:tr>
        <w:tblPrEx>
          <w:tblCellMar>
            <w:top w:w="0" w:type="dxa"/>
            <w:left w:w="108" w:type="dxa"/>
            <w:bottom w:w="0" w:type="dxa"/>
            <w:right w:w="108" w:type="dxa"/>
          </w:tblCellMar>
        </w:tblPrEx>
        <w:trPr>
          <w:trHeight w:val="403" w:hRule="atLeast"/>
        </w:trPr>
        <w:tc>
          <w:tcPr>
            <w:tcW w:w="5358" w:type="dxa"/>
            <w:gridSpan w:val="3"/>
            <w:tcBorders>
              <w:top w:val="nil"/>
              <w:left w:val="single" w:color="auto" w:sz="4" w:space="0"/>
              <w:bottom w:val="single" w:color="auto" w:sz="4" w:space="0"/>
              <w:right w:val="single" w:color="auto" w:sz="4" w:space="0"/>
            </w:tcBorders>
            <w:shd w:val="clear" w:color="000000" w:fill="FFFFFF"/>
            <w:vAlign w:val="bottom"/>
          </w:tcPr>
          <w:p>
            <w:pPr>
              <w:widowControl/>
              <w:rPr>
                <w:rFonts w:ascii="宋体" w:hAnsi="宋体" w:cs="Tahoma"/>
                <w:color w:val="000000"/>
                <w:kern w:val="0"/>
                <w:szCs w:val="21"/>
              </w:rPr>
            </w:pPr>
            <w:r>
              <w:rPr>
                <w:rFonts w:hint="eastAsia" w:ascii="宋体" w:hAnsi="宋体" w:cs="Tahoma"/>
                <w:color w:val="000000"/>
                <w:kern w:val="0"/>
                <w:szCs w:val="21"/>
              </w:rPr>
              <w:t>合计</w:t>
            </w:r>
          </w:p>
        </w:tc>
        <w:tc>
          <w:tcPr>
            <w:tcW w:w="4171" w:type="dxa"/>
            <w:gridSpan w:val="4"/>
            <w:tcBorders>
              <w:top w:val="nil"/>
              <w:left w:val="single" w:color="auto" w:sz="4" w:space="0"/>
              <w:bottom w:val="single" w:color="auto" w:sz="4" w:space="0"/>
              <w:right w:val="single" w:color="auto" w:sz="4" w:space="0"/>
            </w:tcBorders>
            <w:shd w:val="clear" w:color="000000" w:fill="FFFFFF"/>
            <w:vAlign w:val="bottom"/>
          </w:tcPr>
          <w:p>
            <w:pPr>
              <w:widowControl/>
              <w:jc w:val="center"/>
              <w:rPr>
                <w:rFonts w:ascii="Times New Roman" w:hAnsi="Times New Roman"/>
                <w:color w:val="000000"/>
                <w:kern w:val="0"/>
                <w:szCs w:val="21"/>
              </w:rPr>
            </w:pPr>
          </w:p>
        </w:tc>
      </w:tr>
    </w:tbl>
    <w:p>
      <w:pPr>
        <w:pStyle w:val="13"/>
      </w:pPr>
      <w:r>
        <w:rPr>
          <w:rFonts w:ascii="Times New Roman" w:hAnsi="Times New Roman" w:cs="Times New Roman" w:eastAsiaTheme="majorEastAsia"/>
          <w:sz w:val="21"/>
          <w:szCs w:val="21"/>
        </w:rPr>
        <w:t>数量为预估量，最终按照实际发生的数量结算</w:t>
      </w:r>
      <w:r>
        <w:rPr>
          <w:rFonts w:hint="eastAsia" w:ascii="Times New Roman" w:hAnsi="Times New Roman" w:cs="Times New Roman" w:eastAsiaTheme="majorEastAsia"/>
          <w:sz w:val="21"/>
          <w:szCs w:val="21"/>
        </w:rPr>
        <w:t>。</w:t>
      </w:r>
    </w:p>
    <w:p>
      <w:pPr>
        <w:pStyle w:val="6"/>
        <w:spacing w:before="0" w:beforeLines="0" w:after="0" w:afterLines="0" w:line="360" w:lineRule="auto"/>
        <w:rPr>
          <w:rFonts w:hAnsi="宋体"/>
          <w:spacing w:val="-6"/>
          <w:u w:val="single"/>
        </w:rPr>
      </w:pPr>
    </w:p>
    <w:p>
      <w:pPr>
        <w:pStyle w:val="6"/>
        <w:spacing w:before="0" w:beforeLines="0" w:after="0" w:afterLines="0" w:line="360" w:lineRule="auto"/>
        <w:rPr>
          <w:rFonts w:hAnsi="宋体"/>
          <w:spacing w:val="-6"/>
          <w:u w:val="single"/>
        </w:rPr>
      </w:pPr>
    </w:p>
    <w:p>
      <w:pPr>
        <w:spacing w:line="360" w:lineRule="auto"/>
        <w:ind w:right="-817" w:rightChars="-389"/>
        <w:rPr>
          <w:rFonts w:ascii="宋体" w:hAnsi="宋体" w:cs="宋体"/>
          <w:szCs w:val="21"/>
        </w:rPr>
      </w:pPr>
      <w:r>
        <w:rPr>
          <w:rFonts w:hint="eastAsia" w:ascii="宋体" w:hAnsi="宋体" w:cs="宋体"/>
          <w:szCs w:val="21"/>
        </w:rPr>
        <w:t>供应商名称（盖章）：</w:t>
      </w:r>
    </w:p>
    <w:p>
      <w:pPr>
        <w:spacing w:line="360" w:lineRule="auto"/>
        <w:ind w:right="-817" w:rightChars="-389"/>
        <w:rPr>
          <w:rFonts w:ascii="宋体" w:hAnsi="宋体" w:cs="宋体"/>
          <w:szCs w:val="21"/>
        </w:rPr>
      </w:pPr>
      <w:r>
        <w:rPr>
          <w:rFonts w:hint="eastAsia" w:ascii="宋体" w:hAnsi="宋体" w:cs="宋体"/>
          <w:szCs w:val="21"/>
        </w:rPr>
        <w:t>供应商授权代表签字：</w:t>
      </w:r>
    </w:p>
    <w:p>
      <w:pPr>
        <w:spacing w:line="360" w:lineRule="auto"/>
        <w:ind w:right="-817" w:rightChars="-389"/>
        <w:rPr>
          <w:rFonts w:ascii="宋体" w:hAnsi="宋体" w:cs="宋体"/>
          <w:szCs w:val="21"/>
        </w:rPr>
      </w:pPr>
      <w:r>
        <w:rPr>
          <w:rFonts w:hint="eastAsia" w:ascii="宋体" w:hAnsi="宋体" w:cs="宋体"/>
          <w:bCs/>
          <w:szCs w:val="21"/>
        </w:rPr>
        <w:t>日期：    年  月  日</w:t>
      </w:r>
    </w:p>
    <w:p>
      <w:pPr>
        <w:pStyle w:val="6"/>
        <w:spacing w:before="0" w:beforeLines="0" w:after="0" w:afterLines="0" w:line="360" w:lineRule="auto"/>
        <w:outlineLvl w:val="2"/>
        <w:rPr>
          <w:rFonts w:hAnsi="宋体"/>
          <w:b/>
          <w:spacing w:val="-6"/>
        </w:rPr>
      </w:pPr>
      <w:r>
        <w:rPr>
          <w:rFonts w:hAnsi="宋体"/>
          <w:b/>
          <w:spacing w:val="-6"/>
        </w:rPr>
        <w:br w:type="page"/>
      </w:r>
    </w:p>
    <w:p>
      <w:pPr>
        <w:spacing w:line="360" w:lineRule="auto"/>
        <w:jc w:val="center"/>
        <w:outlineLvl w:val="2"/>
        <w:rPr>
          <w:rFonts w:ascii="宋体" w:hAnsi="宋体" w:cs="宋体"/>
          <w:b/>
          <w:sz w:val="24"/>
        </w:rPr>
      </w:pPr>
      <w:r>
        <w:rPr>
          <w:rFonts w:hint="eastAsia" w:ascii="宋体" w:hAnsi="宋体" w:cs="宋体"/>
          <w:b/>
          <w:bCs/>
          <w:sz w:val="24"/>
        </w:rPr>
        <w:t>中小企业声明函（服务）</w:t>
      </w:r>
    </w:p>
    <w:p>
      <w:pPr>
        <w:spacing w:line="360" w:lineRule="auto"/>
        <w:ind w:firstLine="420" w:firstLineChars="200"/>
        <w:rPr>
          <w:rFonts w:ascii="宋体" w:hAnsi="宋体" w:cs="宋体"/>
          <w:szCs w:val="21"/>
        </w:rPr>
      </w:pPr>
      <w:r>
        <w:rPr>
          <w:rFonts w:hint="eastAsia" w:ascii="宋体" w:hAnsi="宋体" w:cs="宋体"/>
          <w:szCs w:val="21"/>
        </w:rPr>
        <w:t>本公司郑重声明，根据《政府采购促进中小企业发展管理办法》（财库（2020）46号）的规定，本公司参加</w:t>
      </w:r>
      <w:r>
        <w:rPr>
          <w:rFonts w:hint="eastAsia" w:ascii="宋体" w:hAnsi="宋体" w:cs="宋体"/>
          <w:szCs w:val="21"/>
          <w:u w:val="single"/>
        </w:rPr>
        <w:t xml:space="preserve">           </w:t>
      </w:r>
      <w:r>
        <w:rPr>
          <w:rFonts w:hint="eastAsia" w:ascii="宋体" w:hAnsi="宋体" w:cs="宋体"/>
          <w:szCs w:val="21"/>
        </w:rPr>
        <w:t>（单位名称）的</w:t>
      </w:r>
      <w:r>
        <w:rPr>
          <w:rFonts w:hint="eastAsia" w:ascii="宋体" w:hAnsi="宋体" w:cs="宋体"/>
          <w:szCs w:val="21"/>
          <w:u w:val="single"/>
        </w:rPr>
        <w:t xml:space="preserve">           </w:t>
      </w:r>
      <w:r>
        <w:rPr>
          <w:rFonts w:hint="eastAsia" w:ascii="宋体" w:hAnsi="宋体" w:cs="宋体"/>
          <w:szCs w:val="21"/>
        </w:rPr>
        <w:t>（项目名称）采购活动，服务全部由符合政策要求的中小企业承接。相关企业（含联合体中的中小企业、签订分包意向协议的中小企业）的具体情况如下：</w:t>
      </w:r>
    </w:p>
    <w:p>
      <w:pPr>
        <w:spacing w:line="360" w:lineRule="auto"/>
        <w:ind w:firstLine="420" w:firstLineChars="2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（标的名称），属于</w:t>
      </w:r>
      <w:r>
        <w:rPr>
          <w:rFonts w:hint="eastAsia" w:ascii="宋体" w:hAnsi="宋体" w:cs="宋体"/>
          <w:szCs w:val="21"/>
          <w:u w:val="single"/>
        </w:rPr>
        <w:t xml:space="preserve"> 其他未列明行业 </w:t>
      </w:r>
      <w:r>
        <w:rPr>
          <w:rFonts w:hint="eastAsia" w:ascii="宋体" w:hAnsi="宋体" w:cs="宋体"/>
          <w:szCs w:val="21"/>
        </w:rPr>
        <w:t>（采购文件中明确的所属行业）；承接企业为</w:t>
      </w:r>
      <w:r>
        <w:rPr>
          <w:rFonts w:hint="eastAsia" w:ascii="宋体" w:hAnsi="宋体" w:cs="宋体"/>
          <w:szCs w:val="21"/>
          <w:u w:val="single"/>
        </w:rPr>
        <w:t xml:space="preserve">          </w:t>
      </w:r>
      <w:r>
        <w:rPr>
          <w:rFonts w:hint="eastAsia" w:ascii="宋体" w:hAnsi="宋体" w:cs="宋体"/>
          <w:szCs w:val="21"/>
        </w:rPr>
        <w:t>（企业名称），从业人员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          （中型企业、小型企业、微型企业）。</w:t>
      </w:r>
    </w:p>
    <w:p>
      <w:pPr>
        <w:spacing w:line="360" w:lineRule="auto"/>
        <w:ind w:firstLine="420" w:firstLineChars="200"/>
        <w:rPr>
          <w:rFonts w:ascii="宋体" w:hAnsi="宋体" w:cs="宋体"/>
          <w:szCs w:val="21"/>
        </w:rPr>
      </w:pPr>
      <w:r>
        <w:rPr>
          <w:rFonts w:hint="eastAsia" w:ascii="宋体" w:hAnsi="宋体" w:cs="宋体"/>
          <w:szCs w:val="21"/>
        </w:rPr>
        <w:t>......</w:t>
      </w:r>
    </w:p>
    <w:p>
      <w:pPr>
        <w:pStyle w:val="13"/>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以上企业，不属于大企业的分支机构，不存在控股股东为大型企业的情形，也不存在与大企业的负责人为同一人的情形。</w:t>
      </w:r>
    </w:p>
    <w:p>
      <w:pPr>
        <w:pStyle w:val="13"/>
        <w:spacing w:line="360" w:lineRule="auto"/>
        <w:ind w:firstLine="420" w:firstLineChars="200"/>
        <w:rPr>
          <w:rFonts w:ascii="宋体" w:hAnsi="宋体" w:cs="宋体"/>
          <w:color w:val="auto"/>
          <w:kern w:val="2"/>
          <w:sz w:val="21"/>
          <w:szCs w:val="21"/>
        </w:rPr>
      </w:pPr>
      <w:r>
        <w:rPr>
          <w:rFonts w:hint="eastAsia" w:ascii="宋体" w:hAnsi="宋体" w:cs="宋体"/>
          <w:color w:val="auto"/>
          <w:kern w:val="2"/>
          <w:sz w:val="21"/>
          <w:szCs w:val="21"/>
        </w:rPr>
        <w:t>本企业对上述声明内容的真实性负责。如有虚假，将依法承担相应责任。</w:t>
      </w:r>
    </w:p>
    <w:p>
      <w:pPr>
        <w:spacing w:line="360" w:lineRule="auto"/>
        <w:outlineLvl w:val="2"/>
        <w:rPr>
          <w:rFonts w:ascii="宋体" w:hAnsi="宋体" w:cs="宋体"/>
          <w:szCs w:val="21"/>
        </w:rPr>
      </w:pPr>
    </w:p>
    <w:p>
      <w:pPr>
        <w:spacing w:line="360" w:lineRule="auto"/>
        <w:ind w:firstLine="420" w:firstLineChars="200"/>
        <w:outlineLvl w:val="2"/>
        <w:rPr>
          <w:rFonts w:ascii="宋体" w:hAnsi="宋体" w:cs="宋体"/>
          <w:szCs w:val="21"/>
        </w:rPr>
      </w:pPr>
      <w:r>
        <w:rPr>
          <w:rFonts w:hint="eastAsia" w:ascii="宋体" w:hAnsi="宋体" w:cs="宋体"/>
          <w:szCs w:val="21"/>
        </w:rPr>
        <w:t>注：</w:t>
      </w:r>
    </w:p>
    <w:p>
      <w:pPr>
        <w:pStyle w:val="13"/>
        <w:ind w:left="420" w:leftChars="200"/>
        <w:rPr>
          <w:rFonts w:ascii="宋体" w:hAnsi="宋体" w:cs="宋体"/>
          <w:color w:val="auto"/>
          <w:kern w:val="2"/>
          <w:sz w:val="21"/>
          <w:szCs w:val="21"/>
        </w:rPr>
      </w:pPr>
      <w:r>
        <w:rPr>
          <w:rFonts w:hint="eastAsia" w:ascii="宋体" w:hAnsi="宋体" w:cs="宋体"/>
          <w:color w:val="auto"/>
          <w:kern w:val="2"/>
          <w:sz w:val="21"/>
          <w:szCs w:val="21"/>
        </w:rPr>
        <w:t>1.从业人员、营业收入、资产总额填报上一年度数据，无上一年度数据的新成立企业可不填报。</w:t>
      </w:r>
    </w:p>
    <w:p>
      <w:pPr>
        <w:pStyle w:val="13"/>
        <w:rPr>
          <w:rFonts w:ascii="宋体" w:hAnsi="宋体" w:cs="宋体"/>
          <w:color w:val="auto"/>
          <w:kern w:val="2"/>
          <w:sz w:val="21"/>
          <w:szCs w:val="21"/>
        </w:rPr>
      </w:pPr>
    </w:p>
    <w:p>
      <w:pPr>
        <w:spacing w:line="360" w:lineRule="auto"/>
        <w:ind w:firstLine="420" w:firstLineChars="200"/>
        <w:outlineLvl w:val="2"/>
        <w:rPr>
          <w:rFonts w:ascii="宋体" w:hAnsi="宋体" w:cs="宋体"/>
          <w:szCs w:val="21"/>
        </w:rPr>
      </w:pPr>
      <w:r>
        <w:rPr>
          <w:rFonts w:hint="eastAsia" w:ascii="宋体" w:hAnsi="宋体" w:cs="宋体"/>
          <w:szCs w:val="21"/>
        </w:rPr>
        <w:t>2.根据国务院四部门联合制定《中小企业划型标准规定》，所属行业为其他未列明行业：</w:t>
      </w:r>
      <w:r>
        <w:rPr>
          <w:rFonts w:hint="eastAsia"/>
          <w:b/>
          <w:bCs/>
        </w:rPr>
        <w:t>从业人员300人以下的为中小微型企业。其中，从业人员100人及以上的为中型企业；从业人员10人及以上的为小型企业；从业人员10人以下的为微型企业。</w:t>
      </w:r>
    </w:p>
    <w:p>
      <w:pPr>
        <w:spacing w:line="360" w:lineRule="auto"/>
        <w:jc w:val="left"/>
        <w:outlineLvl w:val="2"/>
        <w:rPr>
          <w:rFonts w:ascii="宋体" w:hAnsi="宋体" w:cs="宋体"/>
          <w:szCs w:val="21"/>
        </w:rPr>
      </w:pPr>
    </w:p>
    <w:p>
      <w:pPr>
        <w:spacing w:line="360" w:lineRule="auto"/>
        <w:jc w:val="left"/>
        <w:outlineLvl w:val="2"/>
        <w:rPr>
          <w:rFonts w:ascii="宋体" w:hAnsi="宋体" w:cs="宋体"/>
          <w:szCs w:val="21"/>
        </w:rPr>
      </w:pPr>
      <w:r>
        <w:rPr>
          <w:rFonts w:hint="eastAsia" w:ascii="宋体" w:hAnsi="宋体" w:cs="宋体"/>
          <w:szCs w:val="21"/>
        </w:rPr>
        <w:t>供应商名称（盖章）：</w:t>
      </w:r>
    </w:p>
    <w:p>
      <w:pPr>
        <w:spacing w:line="360" w:lineRule="auto"/>
        <w:jc w:val="left"/>
        <w:outlineLvl w:val="2"/>
        <w:rPr>
          <w:rFonts w:ascii="宋体" w:hAnsi="宋体" w:cs="宋体"/>
          <w:szCs w:val="21"/>
        </w:rPr>
      </w:pPr>
      <w:r>
        <w:rPr>
          <w:rFonts w:hint="eastAsia" w:ascii="宋体" w:hAnsi="宋体" w:cs="宋体"/>
          <w:szCs w:val="21"/>
        </w:rPr>
        <w:t>日期：   年  月   日</w:t>
      </w:r>
    </w:p>
    <w:p>
      <w:pPr>
        <w:spacing w:line="360" w:lineRule="auto"/>
        <w:jc w:val="left"/>
        <w:rPr>
          <w:rFonts w:ascii="宋体" w:hAnsi="宋体" w:cs="宋体"/>
          <w:b/>
          <w:bCs/>
          <w:szCs w:val="21"/>
        </w:rPr>
      </w:pPr>
    </w:p>
    <w:p>
      <w:pPr>
        <w:spacing w:line="360" w:lineRule="auto"/>
        <w:rPr>
          <w:rFonts w:ascii="宋体" w:hAnsi="宋体" w:cs="宋体"/>
          <w:b/>
          <w:bCs/>
          <w:szCs w:val="21"/>
        </w:rPr>
      </w:pPr>
    </w:p>
    <w:p>
      <w:pPr>
        <w:spacing w:line="360" w:lineRule="auto"/>
        <w:jc w:val="center"/>
        <w:outlineLvl w:val="2"/>
        <w:rPr>
          <w:rFonts w:ascii="宋体" w:hAnsi="宋体" w:cs="宋体"/>
          <w:b/>
          <w:szCs w:val="21"/>
        </w:rPr>
      </w:pPr>
      <w:r>
        <w:rPr>
          <w:rFonts w:hint="eastAsia" w:ascii="宋体" w:hAnsi="宋体" w:cs="宋体"/>
          <w:b/>
          <w:bCs/>
          <w:sz w:val="24"/>
        </w:rPr>
        <w:br w:type="page"/>
      </w:r>
      <w:r>
        <w:rPr>
          <w:rFonts w:hint="eastAsia" w:ascii="宋体" w:hAnsi="宋体" w:cs="宋体"/>
          <w:b/>
          <w:sz w:val="24"/>
        </w:rPr>
        <w:t>监狱企业资格证明材料</w:t>
      </w:r>
    </w:p>
    <w:p>
      <w:pPr>
        <w:spacing w:line="360" w:lineRule="auto"/>
        <w:jc w:val="center"/>
        <w:rPr>
          <w:rFonts w:ascii="宋体" w:hAnsi="宋体" w:cs="宋体"/>
          <w:b/>
          <w:bCs/>
          <w:szCs w:val="21"/>
        </w:rPr>
      </w:pPr>
      <w:r>
        <w:rPr>
          <w:rFonts w:hint="eastAsia" w:ascii="宋体" w:hAnsi="宋体" w:cs="宋体"/>
          <w:b/>
          <w:bCs/>
          <w:szCs w:val="21"/>
        </w:rPr>
        <w:t>（省级以上监狱管理局、戒毒管理局（含新疆生产建设兵团）出具的属于监狱企业的证明文件）</w:t>
      </w:r>
    </w:p>
    <w:p>
      <w:pPr>
        <w:spacing w:line="360" w:lineRule="auto"/>
        <w:jc w:val="center"/>
        <w:rPr>
          <w:rFonts w:ascii="宋体" w:hAnsi="宋体" w:cs="宋体"/>
          <w:b/>
          <w:sz w:val="52"/>
          <w:szCs w:val="52"/>
        </w:rPr>
      </w:pPr>
    </w:p>
    <w:p>
      <w:pPr>
        <w:spacing w:line="360" w:lineRule="auto"/>
        <w:jc w:val="center"/>
        <w:outlineLvl w:val="2"/>
        <w:rPr>
          <w:rFonts w:ascii="宋体" w:hAnsi="宋体" w:cs="宋体"/>
          <w:b/>
          <w:sz w:val="24"/>
        </w:rPr>
      </w:pPr>
      <w:r>
        <w:rPr>
          <w:rFonts w:hint="eastAsia" w:ascii="宋体" w:hAnsi="宋体" w:cs="宋体"/>
          <w:b/>
          <w:sz w:val="52"/>
          <w:szCs w:val="52"/>
        </w:rPr>
        <w:br w:type="page"/>
      </w:r>
      <w:r>
        <w:rPr>
          <w:rFonts w:hint="eastAsia" w:ascii="宋体" w:hAnsi="宋体" w:cs="宋体"/>
          <w:b/>
          <w:sz w:val="24"/>
        </w:rPr>
        <w:t>残疾人福利性单位声明函</w:t>
      </w:r>
    </w:p>
    <w:p>
      <w:pPr>
        <w:spacing w:line="360" w:lineRule="auto"/>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bCs/>
          <w:szCs w:val="21"/>
        </w:rPr>
        <w:t>浙江财经大学图书盘点服务</w:t>
      </w:r>
      <w:r>
        <w:rPr>
          <w:rFonts w:hint="eastAsia" w:ascii="宋体" w:hAnsi="宋体" w:cs="宋体"/>
          <w:szCs w:val="21"/>
        </w:rPr>
        <w:t>项目采购活动提供本单位制造的货物，或者提供其他残疾人福利性单位制造的货物（不包括使用非残疾人福利性单位注册商标的货物）。</w:t>
      </w:r>
    </w:p>
    <w:p>
      <w:pPr>
        <w:spacing w:line="360" w:lineRule="auto"/>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pPr>
        <w:spacing w:line="360" w:lineRule="auto"/>
        <w:rPr>
          <w:rFonts w:ascii="宋体" w:hAnsi="宋体" w:cs="宋体"/>
          <w:szCs w:val="21"/>
        </w:rPr>
      </w:pPr>
    </w:p>
    <w:p>
      <w:pPr>
        <w:spacing w:line="360" w:lineRule="auto"/>
        <w:ind w:right="-817" w:rightChars="-389"/>
        <w:rPr>
          <w:rFonts w:ascii="宋体" w:hAnsi="宋体" w:cs="宋体"/>
          <w:szCs w:val="21"/>
        </w:rPr>
      </w:pPr>
      <w:r>
        <w:rPr>
          <w:rFonts w:hint="eastAsia" w:ascii="宋体" w:hAnsi="宋体" w:cs="宋体"/>
          <w:szCs w:val="21"/>
        </w:rPr>
        <w:t>供应商名称（盖章）：</w:t>
      </w:r>
    </w:p>
    <w:p>
      <w:pPr>
        <w:spacing w:line="360" w:lineRule="auto"/>
        <w:ind w:right="-817" w:rightChars="-389"/>
        <w:rPr>
          <w:rFonts w:ascii="宋体" w:hAnsi="宋体" w:cs="宋体"/>
          <w:szCs w:val="21"/>
        </w:rPr>
      </w:pPr>
      <w:r>
        <w:rPr>
          <w:rFonts w:hint="eastAsia" w:ascii="宋体" w:hAnsi="宋体" w:cs="宋体"/>
          <w:szCs w:val="21"/>
        </w:rPr>
        <w:t>供应商授权代表签字：</w:t>
      </w:r>
    </w:p>
    <w:p>
      <w:pPr>
        <w:spacing w:line="360" w:lineRule="auto"/>
        <w:ind w:right="-817" w:rightChars="-389"/>
        <w:rPr>
          <w:rFonts w:ascii="宋体" w:hAnsi="宋体" w:cs="宋体"/>
          <w:bCs/>
          <w:szCs w:val="21"/>
        </w:rPr>
      </w:pPr>
      <w:r>
        <w:rPr>
          <w:rFonts w:hint="eastAsia" w:ascii="宋体" w:hAnsi="宋体" w:cs="宋体"/>
          <w:bCs/>
          <w:szCs w:val="21"/>
        </w:rPr>
        <w:t>日期：    年  月  日</w:t>
      </w:r>
    </w:p>
    <w:p>
      <w:pPr>
        <w:spacing w:line="360" w:lineRule="auto"/>
        <w:ind w:firstLine="422" w:firstLineChars="200"/>
        <w:jc w:val="left"/>
        <w:rPr>
          <w:rFonts w:ascii="宋体" w:hAnsi="宋体" w:cs="宋体"/>
          <w:b/>
          <w:bCs/>
          <w:szCs w:val="21"/>
        </w:rPr>
      </w:pPr>
      <w:r>
        <w:rPr>
          <w:rFonts w:hint="eastAsia" w:ascii="宋体" w:hAnsi="宋体" w:cs="宋体"/>
          <w:b/>
          <w:szCs w:val="21"/>
        </w:rPr>
        <w:t>供应商不属于残疾人福利性单位的，无需提供此声明函，如提供所引起的后果由供应商承担。</w:t>
      </w:r>
    </w:p>
    <w:p>
      <w:pPr>
        <w:spacing w:line="360" w:lineRule="auto"/>
        <w:rPr>
          <w:rFonts w:ascii="宋体" w:hAnsi="宋体" w:cs="宋体"/>
          <w:szCs w:val="21"/>
        </w:rPr>
      </w:pPr>
    </w:p>
    <w:p>
      <w:pPr>
        <w:spacing w:line="360" w:lineRule="auto"/>
        <w:rPr>
          <w:rFonts w:ascii="宋体" w:hAnsi="宋体" w:cs="宋体"/>
          <w:b/>
          <w:bCs/>
          <w:szCs w:val="21"/>
        </w:rPr>
      </w:pPr>
      <w:r>
        <w:rPr>
          <w:rFonts w:hint="eastAsia" w:ascii="宋体" w:hAnsi="宋体" w:cs="宋体"/>
          <w:b/>
          <w:bCs/>
          <w:szCs w:val="21"/>
        </w:rPr>
        <w:t>说明：</w:t>
      </w:r>
    </w:p>
    <w:p>
      <w:pPr>
        <w:spacing w:line="360" w:lineRule="auto"/>
        <w:ind w:firstLine="420" w:firstLineChars="200"/>
        <w:jc w:val="left"/>
        <w:rPr>
          <w:rFonts w:ascii="宋体" w:hAnsi="宋体" w:cs="宋体"/>
          <w:szCs w:val="21"/>
        </w:rPr>
      </w:pPr>
      <w:r>
        <w:rPr>
          <w:rFonts w:hint="eastAsia" w:ascii="宋体" w:hAnsi="宋体" w:cs="宋体"/>
          <w:bCs/>
          <w:szCs w:val="21"/>
        </w:rPr>
        <w:t>1、</w:t>
      </w:r>
      <w:r>
        <w:rPr>
          <w:rFonts w:hint="eastAsia" w:ascii="宋体" w:hAnsi="宋体" w:cs="宋体"/>
          <w:szCs w:val="21"/>
        </w:rPr>
        <w:t>若供应商同时满足以下条件，则属于依法享受政府采购支持政策的残疾人福利性单位，可提供《残疾人福利性单位声明函》，并对声明的真实性负责：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20" w:firstLineChars="200"/>
        <w:jc w:val="left"/>
        <w:rPr>
          <w:rFonts w:ascii="宋体" w:hAnsi="宋体" w:cs="宋体"/>
          <w:szCs w:val="21"/>
        </w:rPr>
      </w:pPr>
      <w:r>
        <w:rPr>
          <w:rFonts w:hint="eastAsia" w:ascii="宋体" w:hAnsi="宋体" w:cs="宋体"/>
          <w:szCs w:val="21"/>
        </w:rPr>
        <w:t>（一）安置的残疾人占本单位在职职工人数的比例不低于25%（含25%），并且安置的残疾人人数不少于10人（含10人）；</w:t>
      </w:r>
    </w:p>
    <w:p>
      <w:pPr>
        <w:widowControl/>
        <w:shd w:val="clear" w:color="auto" w:fill="FFFFFF"/>
        <w:spacing w:line="360" w:lineRule="auto"/>
        <w:ind w:firstLine="420" w:firstLineChars="200"/>
        <w:jc w:val="left"/>
        <w:rPr>
          <w:rFonts w:ascii="宋体" w:hAnsi="宋体" w:cs="宋体"/>
          <w:szCs w:val="21"/>
        </w:rPr>
      </w:pPr>
      <w:r>
        <w:rPr>
          <w:rFonts w:hint="eastAsia" w:ascii="宋体" w:hAnsi="宋体" w:cs="宋体"/>
          <w:szCs w:val="21"/>
        </w:rPr>
        <w:t>（二）依法与安置的每位残疾人签订了一年以上（含一年）的劳动合同或服务协议；</w:t>
      </w:r>
    </w:p>
    <w:p>
      <w:pPr>
        <w:widowControl/>
        <w:shd w:val="clear" w:color="auto" w:fill="FFFFFF"/>
        <w:spacing w:line="360" w:lineRule="auto"/>
        <w:ind w:firstLine="420" w:firstLineChars="200"/>
        <w:jc w:val="left"/>
        <w:rPr>
          <w:rFonts w:ascii="宋体" w:hAnsi="宋体" w:cs="宋体"/>
          <w:szCs w:val="21"/>
        </w:rPr>
      </w:pPr>
      <w:r>
        <w:rPr>
          <w:rFonts w:hint="eastAsia" w:ascii="宋体" w:hAnsi="宋体" w:cs="宋体"/>
          <w:szCs w:val="21"/>
        </w:rPr>
        <w:t>（三）为安置的每位残疾人按月足额缴纳了基本养老保险、基本医疗保险、失业保险、工伤保险和生育保险等社会保险费；</w:t>
      </w:r>
    </w:p>
    <w:p>
      <w:pPr>
        <w:widowControl/>
        <w:shd w:val="clear" w:color="auto" w:fill="FFFFFF"/>
        <w:spacing w:line="360" w:lineRule="auto"/>
        <w:ind w:firstLine="420" w:firstLineChars="200"/>
        <w:jc w:val="left"/>
        <w:rPr>
          <w:rFonts w:ascii="宋体" w:hAnsi="宋体" w:cs="宋体"/>
          <w:szCs w:val="21"/>
        </w:rPr>
      </w:pPr>
      <w:r>
        <w:rPr>
          <w:rFonts w:hint="eastAsia" w:ascii="宋体" w:hAnsi="宋体" w:cs="宋体"/>
          <w:szCs w:val="21"/>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20" w:firstLineChars="200"/>
        <w:jc w:val="left"/>
        <w:rPr>
          <w:rFonts w:ascii="宋体" w:hAnsi="宋体" w:cs="宋体"/>
          <w:szCs w:val="21"/>
        </w:rPr>
      </w:pPr>
      <w:r>
        <w:rPr>
          <w:rFonts w:hint="eastAsia" w:ascii="宋体" w:hAnsi="宋体" w:cs="宋体"/>
          <w:szCs w:val="21"/>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20" w:firstLineChars="200"/>
        <w:jc w:val="left"/>
        <w:rPr>
          <w:rFonts w:ascii="宋体" w:hAnsi="宋体" w:cs="宋体"/>
          <w:szCs w:val="21"/>
        </w:rPr>
      </w:pPr>
      <w:r>
        <w:rPr>
          <w:rFonts w:hint="eastAsia" w:ascii="宋体" w:hAnsi="宋体" w:cs="宋体"/>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rPr>
          <w:rFonts w:ascii="宋体" w:hAnsi="宋体" w:cs="宋体"/>
          <w:bCs/>
          <w:szCs w:val="21"/>
        </w:rPr>
      </w:pPr>
      <w:r>
        <w:rPr>
          <w:rFonts w:hint="eastAsia" w:ascii="宋体" w:hAnsi="宋体" w:cs="宋体"/>
          <w:bCs/>
          <w:szCs w:val="21"/>
        </w:rPr>
        <w:t>2、成交供应商为残疾人福利性单位的，《残疾人福利性单位声明函》随成交结果同时公告，接受社会监督。</w:t>
      </w:r>
    </w:p>
    <w:p>
      <w:pPr>
        <w:spacing w:line="360" w:lineRule="auto"/>
        <w:rPr>
          <w:rFonts w:ascii="宋体" w:hAnsi="宋体" w:cs="宋体"/>
          <w:bCs/>
          <w:sz w:val="24"/>
        </w:rPr>
      </w:pPr>
      <w:r>
        <w:rPr>
          <w:rFonts w:hint="eastAsia" w:ascii="宋体" w:hAnsi="宋体" w:cs="宋体"/>
          <w:bCs/>
          <w:sz w:val="24"/>
        </w:rPr>
        <w:br w:type="page"/>
      </w:r>
      <w:r>
        <w:rPr>
          <w:rFonts w:hint="eastAsia" w:ascii="宋体" w:hAnsi="宋体" w:cs="宋体"/>
          <w:bCs/>
          <w:sz w:val="24"/>
        </w:rPr>
        <w:t>资格文件封面</w:t>
      </w:r>
    </w:p>
    <w:p>
      <w:pPr>
        <w:spacing w:line="360" w:lineRule="auto"/>
        <w:jc w:val="right"/>
        <w:rPr>
          <w:rFonts w:ascii="宋体" w:hAnsi="宋体" w:cs="宋体"/>
          <w:sz w:val="24"/>
        </w:rPr>
      </w:pPr>
    </w:p>
    <w:p>
      <w:pPr>
        <w:spacing w:line="360" w:lineRule="auto"/>
        <w:rPr>
          <w:rFonts w:ascii="宋体" w:hAnsi="宋体" w:cs="宋体"/>
          <w:sz w:val="24"/>
        </w:rPr>
      </w:pPr>
    </w:p>
    <w:p>
      <w:pPr>
        <w:spacing w:line="360" w:lineRule="auto"/>
        <w:jc w:val="center"/>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（供应商名称）</w:t>
      </w:r>
    </w:p>
    <w:p>
      <w:pPr>
        <w:spacing w:line="360" w:lineRule="auto"/>
        <w:jc w:val="center"/>
        <w:rPr>
          <w:rFonts w:ascii="宋体" w:hAnsi="宋体" w:cs="宋体"/>
          <w:b/>
          <w:bCs/>
          <w:sz w:val="24"/>
        </w:rPr>
      </w:pPr>
      <w:r>
        <w:rPr>
          <w:rFonts w:hint="eastAsia" w:ascii="宋体" w:hAnsi="宋体" w:cs="宋体"/>
          <w:b/>
          <w:bCs/>
          <w:sz w:val="24"/>
        </w:rPr>
        <w:t>资格文件</w:t>
      </w:r>
    </w:p>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t>采购人：浙江财经大学</w:t>
      </w:r>
    </w:p>
    <w:p>
      <w:pPr>
        <w:spacing w:line="360" w:lineRule="auto"/>
        <w:rPr>
          <w:rFonts w:ascii="宋体" w:hAnsi="宋体" w:cs="宋体"/>
          <w:bCs/>
          <w:sz w:val="24"/>
        </w:rPr>
      </w:pPr>
      <w:r>
        <w:rPr>
          <w:rFonts w:hint="eastAsia" w:ascii="宋体" w:hAnsi="宋体" w:cs="宋体"/>
          <w:bCs/>
          <w:sz w:val="24"/>
        </w:rPr>
        <w:t>项目名称：浙江财经大学图书盘点服务</w:t>
      </w:r>
    </w:p>
    <w:p>
      <w:pPr>
        <w:spacing w:line="360" w:lineRule="auto"/>
        <w:rPr>
          <w:rFonts w:ascii="宋体" w:hAnsi="宋体" w:cs="宋体"/>
          <w:bCs/>
          <w:sz w:val="24"/>
        </w:rPr>
      </w:pPr>
      <w:r>
        <w:rPr>
          <w:rFonts w:hint="eastAsia" w:ascii="宋体" w:hAnsi="宋体" w:cs="宋体"/>
          <w:bCs/>
          <w:sz w:val="24"/>
        </w:rPr>
        <w:t>项目编号：ZJJY-20210713-01</w:t>
      </w:r>
    </w:p>
    <w:p>
      <w:pPr>
        <w:spacing w:line="360" w:lineRule="auto"/>
        <w:rPr>
          <w:rFonts w:ascii="宋体" w:hAnsi="宋体" w:cs="宋体"/>
          <w:bCs/>
          <w:sz w:val="24"/>
        </w:rPr>
      </w:pPr>
      <w:r>
        <w:rPr>
          <w:rFonts w:hint="eastAsia" w:ascii="宋体" w:hAnsi="宋体" w:cs="宋体"/>
          <w:bCs/>
          <w:sz w:val="24"/>
        </w:rPr>
        <w:t>供应商名称（盖章）：</w:t>
      </w:r>
    </w:p>
    <w:p>
      <w:pPr>
        <w:spacing w:line="360" w:lineRule="auto"/>
        <w:rPr>
          <w:rFonts w:ascii="宋体" w:hAnsi="宋体" w:cs="宋体"/>
          <w:bCs/>
          <w:sz w:val="24"/>
        </w:rPr>
      </w:pPr>
      <w:r>
        <w:rPr>
          <w:rFonts w:hint="eastAsia" w:ascii="宋体" w:hAnsi="宋体" w:cs="宋体"/>
          <w:bCs/>
          <w:sz w:val="24"/>
        </w:rPr>
        <w:t>供应商地址：</w:t>
      </w:r>
    </w:p>
    <w:p>
      <w:pPr>
        <w:pStyle w:val="13"/>
      </w:pPr>
    </w:p>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t>供应商授权代表签字：</w:t>
      </w:r>
    </w:p>
    <w:p>
      <w:pPr>
        <w:spacing w:line="360" w:lineRule="auto"/>
        <w:rPr>
          <w:rFonts w:ascii="宋体" w:hAnsi="宋体" w:cs="宋体"/>
          <w:bCs/>
          <w:szCs w:val="21"/>
        </w:rPr>
      </w:pPr>
      <w:r>
        <w:rPr>
          <w:rFonts w:hint="eastAsia" w:ascii="宋体" w:hAnsi="宋体" w:cs="宋体"/>
          <w:bCs/>
          <w:sz w:val="24"/>
        </w:rPr>
        <w:t>日期：    年  月  日</w:t>
      </w:r>
    </w:p>
    <w:p>
      <w:pPr>
        <w:spacing w:line="360" w:lineRule="auto"/>
        <w:jc w:val="center"/>
        <w:outlineLvl w:val="1"/>
        <w:rPr>
          <w:rFonts w:ascii="宋体" w:hAnsi="宋体" w:cs="宋体"/>
          <w:b/>
          <w:sz w:val="52"/>
          <w:szCs w:val="52"/>
        </w:rPr>
      </w:pPr>
      <w:r>
        <w:rPr>
          <w:rFonts w:hint="eastAsia" w:ascii="宋体" w:hAnsi="宋体" w:cs="宋体"/>
          <w:b/>
          <w:sz w:val="24"/>
        </w:rPr>
        <w:br w:type="page"/>
      </w:r>
      <w:r>
        <w:rPr>
          <w:rFonts w:hint="eastAsia" w:ascii="宋体" w:hAnsi="宋体" w:cs="宋体"/>
          <w:b/>
          <w:sz w:val="52"/>
          <w:szCs w:val="52"/>
        </w:rPr>
        <w:t>资格文件</w:t>
      </w:r>
    </w:p>
    <w:p>
      <w:pPr>
        <w:spacing w:line="360" w:lineRule="auto"/>
        <w:jc w:val="center"/>
        <w:outlineLvl w:val="2"/>
        <w:rPr>
          <w:rFonts w:ascii="宋体" w:hAnsi="宋体" w:cs="宋体"/>
          <w:b/>
          <w:sz w:val="24"/>
        </w:rPr>
      </w:pPr>
      <w:r>
        <w:rPr>
          <w:rFonts w:hint="eastAsia" w:ascii="宋体" w:hAnsi="宋体" w:cs="宋体"/>
          <w:b/>
          <w:sz w:val="24"/>
        </w:rPr>
        <w:t>有效的法人或者其他组织的营业执照等证明文件（加盖公章），自然人的身份证明</w:t>
      </w: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r>
        <w:rPr>
          <w:rFonts w:hint="eastAsia" w:ascii="宋体" w:hAnsi="宋体" w:cs="宋体"/>
          <w:b/>
          <w:szCs w:val="21"/>
        </w:rPr>
        <w:t>说明：</w:t>
      </w:r>
    </w:p>
    <w:p>
      <w:pPr>
        <w:spacing w:line="360" w:lineRule="auto"/>
        <w:rPr>
          <w:rFonts w:ascii="宋体" w:hAnsi="宋体" w:cs="宋体"/>
          <w:b/>
          <w:szCs w:val="21"/>
        </w:rPr>
      </w:pPr>
      <w:r>
        <w:rPr>
          <w:rFonts w:hint="eastAsia" w:ascii="宋体" w:hAnsi="宋体" w:cs="宋体"/>
          <w:b/>
          <w:szCs w:val="21"/>
        </w:rPr>
        <w:t>1.如供应商是企业（包括合伙企业），提供在工商部门注册的有效“企业法人营业执照”或“营业执照”；</w:t>
      </w:r>
    </w:p>
    <w:p>
      <w:pPr>
        <w:spacing w:line="360" w:lineRule="auto"/>
        <w:rPr>
          <w:rFonts w:ascii="宋体" w:hAnsi="宋体" w:cs="宋体"/>
          <w:b/>
          <w:szCs w:val="21"/>
        </w:rPr>
      </w:pPr>
      <w:r>
        <w:rPr>
          <w:rFonts w:hint="eastAsia" w:ascii="宋体" w:hAnsi="宋体" w:cs="宋体"/>
          <w:b/>
          <w:szCs w:val="21"/>
        </w:rPr>
        <w:t>2.如供应商是事业单位，提供有效的“事业单位法人证书”；</w:t>
      </w:r>
    </w:p>
    <w:p>
      <w:pPr>
        <w:spacing w:line="360" w:lineRule="auto"/>
        <w:rPr>
          <w:rFonts w:ascii="宋体" w:hAnsi="宋体" w:cs="宋体"/>
          <w:b/>
          <w:szCs w:val="21"/>
        </w:rPr>
      </w:pPr>
      <w:r>
        <w:rPr>
          <w:rFonts w:hint="eastAsia" w:ascii="宋体" w:hAnsi="宋体" w:cs="宋体"/>
          <w:b/>
          <w:szCs w:val="21"/>
        </w:rPr>
        <w:t>3.如供应商是非企业专业服务机构的，提供执业许可证等证明文件；</w:t>
      </w:r>
    </w:p>
    <w:p>
      <w:pPr>
        <w:spacing w:line="360" w:lineRule="auto"/>
        <w:rPr>
          <w:rFonts w:ascii="宋体" w:hAnsi="宋体" w:cs="宋体"/>
          <w:b/>
          <w:szCs w:val="21"/>
        </w:rPr>
      </w:pPr>
      <w:r>
        <w:rPr>
          <w:rFonts w:hint="eastAsia" w:ascii="宋体" w:hAnsi="宋体" w:cs="宋体"/>
          <w:b/>
          <w:szCs w:val="21"/>
        </w:rPr>
        <w:t>4.如供应商是个体工商户，提供有效的“个体工商户营业执照”；</w:t>
      </w:r>
    </w:p>
    <w:p>
      <w:pPr>
        <w:spacing w:line="360" w:lineRule="auto"/>
        <w:rPr>
          <w:rFonts w:ascii="宋体" w:hAnsi="宋体" w:cs="宋体"/>
          <w:b/>
          <w:szCs w:val="21"/>
        </w:rPr>
      </w:pPr>
      <w:r>
        <w:rPr>
          <w:rFonts w:hint="eastAsia" w:ascii="宋体" w:hAnsi="宋体" w:cs="宋体"/>
          <w:b/>
          <w:szCs w:val="21"/>
        </w:rPr>
        <w:t>5.如供应商是自然人，提供有效的自然人身份证明。</w:t>
      </w:r>
    </w:p>
    <w:p>
      <w:pPr>
        <w:spacing w:line="360" w:lineRule="auto"/>
        <w:jc w:val="center"/>
        <w:outlineLvl w:val="2"/>
        <w:rPr>
          <w:rFonts w:ascii="宋体" w:hAnsi="宋体" w:cs="宋体"/>
          <w:b/>
          <w:sz w:val="24"/>
        </w:rPr>
      </w:pPr>
      <w:r>
        <w:rPr>
          <w:rFonts w:hint="eastAsia" w:ascii="宋体" w:hAnsi="宋体" w:cs="宋体"/>
          <w:b/>
          <w:sz w:val="24"/>
        </w:rPr>
        <w:br w:type="page"/>
      </w:r>
      <w:r>
        <w:rPr>
          <w:rFonts w:hint="eastAsia" w:ascii="宋体" w:hAnsi="宋体" w:cs="宋体"/>
          <w:b/>
          <w:sz w:val="24"/>
        </w:rPr>
        <w:t>2020年12月至今任意一月的财务状况报告或开标前三个月内出具的银行资信证明</w:t>
      </w:r>
    </w:p>
    <w:p>
      <w:pPr>
        <w:pStyle w:val="9"/>
        <w:spacing w:line="360" w:lineRule="auto"/>
        <w:ind w:left="0" w:firstLine="0" w:firstLineChars="0"/>
        <w:rPr>
          <w:rFonts w:ascii="宋体" w:hAnsi="宋体" w:cs="宋体"/>
          <w:bCs/>
          <w:sz w:val="24"/>
        </w:rPr>
      </w:pPr>
    </w:p>
    <w:p>
      <w:pPr>
        <w:pStyle w:val="9"/>
        <w:spacing w:line="360" w:lineRule="auto"/>
        <w:ind w:left="0" w:firstLine="0" w:firstLineChars="0"/>
        <w:rPr>
          <w:rFonts w:ascii="宋体" w:hAnsi="宋体" w:cs="宋体"/>
          <w:bCs/>
          <w:sz w:val="24"/>
        </w:rPr>
      </w:pPr>
    </w:p>
    <w:p>
      <w:pPr>
        <w:pStyle w:val="9"/>
        <w:spacing w:line="360" w:lineRule="auto"/>
        <w:ind w:left="0" w:firstLine="0" w:firstLineChars="0"/>
        <w:rPr>
          <w:rFonts w:ascii="宋体" w:hAnsi="宋体" w:cs="宋体"/>
          <w:bCs/>
          <w:sz w:val="24"/>
        </w:rPr>
      </w:pPr>
    </w:p>
    <w:p>
      <w:pPr>
        <w:spacing w:line="360" w:lineRule="auto"/>
        <w:rPr>
          <w:rFonts w:ascii="宋体" w:hAnsi="宋体" w:cs="宋体"/>
          <w:b/>
          <w:bCs/>
          <w:szCs w:val="21"/>
        </w:rPr>
      </w:pPr>
      <w:r>
        <w:rPr>
          <w:rFonts w:hint="eastAsia" w:ascii="宋体" w:hAnsi="宋体" w:cs="宋体"/>
          <w:b/>
          <w:bCs/>
          <w:szCs w:val="21"/>
        </w:rPr>
        <w:t>说明：</w:t>
      </w:r>
    </w:p>
    <w:p>
      <w:pPr>
        <w:spacing w:line="360" w:lineRule="auto"/>
        <w:rPr>
          <w:rFonts w:ascii="宋体" w:hAnsi="宋体" w:cs="宋体"/>
          <w:b/>
          <w:bCs/>
          <w:szCs w:val="21"/>
        </w:rPr>
      </w:pPr>
      <w:r>
        <w:rPr>
          <w:rFonts w:hint="eastAsia" w:ascii="宋体" w:hAnsi="宋体" w:cs="宋体"/>
          <w:b/>
          <w:bCs/>
          <w:szCs w:val="21"/>
        </w:rPr>
        <w:t>1.供应商是法人的，应提供财务状况报告，包括资产负债表、利润表或其基本开户银行出具的资信证明，并加盖公章；</w:t>
      </w:r>
    </w:p>
    <w:p>
      <w:pPr>
        <w:spacing w:line="360" w:lineRule="auto"/>
        <w:rPr>
          <w:rFonts w:ascii="宋体" w:hAnsi="宋体" w:cs="宋体"/>
          <w:b/>
          <w:bCs/>
          <w:szCs w:val="21"/>
        </w:rPr>
      </w:pPr>
      <w:r>
        <w:rPr>
          <w:rFonts w:hint="eastAsia" w:ascii="宋体" w:hAnsi="宋体" w:cs="宋体"/>
          <w:b/>
          <w:bCs/>
          <w:szCs w:val="21"/>
        </w:rPr>
        <w:t>2.部分其他组织和自然人没有财务状况报告的，可以提供银行出具的资信证明,并加盖公章；</w:t>
      </w:r>
    </w:p>
    <w:p>
      <w:pPr>
        <w:spacing w:line="360" w:lineRule="auto"/>
        <w:rPr>
          <w:rFonts w:ascii="宋体" w:hAnsi="宋体" w:cs="宋体"/>
          <w:b/>
          <w:bCs/>
          <w:szCs w:val="21"/>
        </w:rPr>
      </w:pPr>
      <w:r>
        <w:rPr>
          <w:rFonts w:hint="eastAsia" w:ascii="宋体" w:hAnsi="宋体" w:cs="宋体"/>
          <w:b/>
          <w:bCs/>
          <w:szCs w:val="21"/>
        </w:rPr>
        <w:t>3.银行资信证明应能说明供应商与银行之间业务往来正常，企业信誉良好等，</w:t>
      </w:r>
      <w:r>
        <w:rPr>
          <w:rFonts w:hint="eastAsia" w:ascii="宋体" w:hAnsi="宋体" w:cs="宋体"/>
          <w:b/>
          <w:szCs w:val="21"/>
        </w:rPr>
        <w:t>银行出具的存款证明不能替代银行资信证明</w:t>
      </w:r>
      <w:r>
        <w:rPr>
          <w:rFonts w:hint="eastAsia" w:ascii="宋体" w:hAnsi="宋体" w:cs="宋体"/>
          <w:b/>
          <w:bCs/>
          <w:szCs w:val="21"/>
        </w:rPr>
        <w:t>。</w:t>
      </w:r>
    </w:p>
    <w:p>
      <w:pPr>
        <w:spacing w:line="360" w:lineRule="auto"/>
        <w:jc w:val="center"/>
        <w:outlineLvl w:val="2"/>
        <w:rPr>
          <w:rFonts w:ascii="宋体" w:hAnsi="宋体" w:cs="宋体"/>
          <w:b/>
          <w:sz w:val="24"/>
        </w:rPr>
      </w:pPr>
      <w:r>
        <w:rPr>
          <w:rFonts w:hint="eastAsia" w:ascii="宋体" w:hAnsi="宋体" w:cs="宋体"/>
          <w:b/>
          <w:sz w:val="24"/>
        </w:rPr>
        <w:br w:type="page"/>
      </w:r>
      <w:r>
        <w:rPr>
          <w:rFonts w:hint="eastAsia" w:ascii="宋体" w:hAnsi="宋体" w:cs="宋体"/>
          <w:b/>
          <w:sz w:val="24"/>
        </w:rPr>
        <w:t>2021年1月至今任意一月依法缴纳税收的证明材料</w:t>
      </w:r>
    </w:p>
    <w:p>
      <w:pPr>
        <w:pStyle w:val="2"/>
        <w:spacing w:line="360" w:lineRule="auto"/>
        <w:ind w:firstLine="0"/>
        <w:jc w:val="center"/>
        <w:rPr>
          <w:rFonts w:hAnsi="宋体" w:cs="宋体"/>
          <w:spacing w:val="0"/>
          <w:sz w:val="24"/>
          <w:szCs w:val="24"/>
        </w:rPr>
      </w:pPr>
      <w:r>
        <w:rPr>
          <w:rFonts w:hint="eastAsia" w:hAnsi="宋体" w:cs="宋体"/>
          <w:spacing w:val="0"/>
          <w:sz w:val="24"/>
          <w:szCs w:val="24"/>
        </w:rPr>
        <w:t>（依法免税的供应商，应提供相应文件证明其依法免税）</w:t>
      </w:r>
    </w:p>
    <w:p>
      <w:pPr>
        <w:pStyle w:val="2"/>
        <w:spacing w:line="360" w:lineRule="auto"/>
        <w:ind w:firstLine="0"/>
        <w:rPr>
          <w:rFonts w:hAnsi="宋体" w:cs="宋体"/>
          <w:spacing w:val="0"/>
          <w:sz w:val="24"/>
          <w:szCs w:val="24"/>
        </w:rPr>
      </w:pPr>
    </w:p>
    <w:p>
      <w:pPr>
        <w:pStyle w:val="2"/>
        <w:spacing w:line="360" w:lineRule="auto"/>
        <w:ind w:firstLine="0"/>
        <w:rPr>
          <w:rFonts w:hAnsi="宋体" w:cs="宋体"/>
          <w:spacing w:val="0"/>
          <w:sz w:val="24"/>
          <w:szCs w:val="24"/>
        </w:rPr>
      </w:pPr>
    </w:p>
    <w:p>
      <w:pPr>
        <w:spacing w:line="360" w:lineRule="auto"/>
        <w:rPr>
          <w:rFonts w:ascii="宋体" w:hAnsi="宋体" w:cs="宋体"/>
          <w:b/>
          <w:szCs w:val="21"/>
        </w:rPr>
      </w:pPr>
    </w:p>
    <w:p>
      <w:pPr>
        <w:pStyle w:val="9"/>
        <w:spacing w:line="360" w:lineRule="auto"/>
        <w:ind w:left="422" w:hanging="422"/>
        <w:rPr>
          <w:rFonts w:ascii="宋体" w:hAnsi="宋体" w:cs="宋体"/>
          <w:b/>
          <w:szCs w:val="21"/>
        </w:rPr>
      </w:pPr>
      <w:r>
        <w:rPr>
          <w:rFonts w:hint="eastAsia" w:ascii="宋体" w:hAnsi="宋体" w:cs="宋体"/>
          <w:b/>
          <w:szCs w:val="21"/>
        </w:rPr>
        <w:t>说明：</w:t>
      </w:r>
    </w:p>
    <w:p>
      <w:pPr>
        <w:spacing w:line="360" w:lineRule="auto"/>
        <w:rPr>
          <w:rFonts w:ascii="宋体" w:hAnsi="宋体" w:cs="宋体"/>
          <w:b/>
          <w:szCs w:val="21"/>
        </w:rPr>
      </w:pPr>
      <w:r>
        <w:rPr>
          <w:rFonts w:hint="eastAsia" w:ascii="宋体" w:hAnsi="宋体" w:cs="宋体"/>
          <w:b/>
          <w:szCs w:val="21"/>
        </w:rPr>
        <w:t>1.依法缴纳税收的证明材料指依法缴纳税收的凭据（完税证明或纳税证明或银行电子缴税付款凭证等）；</w:t>
      </w:r>
    </w:p>
    <w:p>
      <w:pPr>
        <w:spacing w:line="360" w:lineRule="auto"/>
        <w:rPr>
          <w:rFonts w:ascii="宋体" w:hAnsi="宋体" w:cs="宋体"/>
          <w:b/>
          <w:szCs w:val="21"/>
        </w:rPr>
      </w:pPr>
      <w:r>
        <w:rPr>
          <w:rFonts w:hint="eastAsia" w:ascii="宋体" w:hAnsi="宋体" w:cs="宋体"/>
          <w:b/>
          <w:szCs w:val="21"/>
        </w:rPr>
        <w:t>2.依法免税的供应商，应提供相应文件证明其依法免税；</w:t>
      </w:r>
    </w:p>
    <w:p>
      <w:pPr>
        <w:spacing w:line="360" w:lineRule="auto"/>
        <w:rPr>
          <w:rFonts w:ascii="宋体" w:hAnsi="宋体" w:cs="宋体"/>
          <w:b/>
          <w:szCs w:val="21"/>
        </w:rPr>
      </w:pPr>
      <w:r>
        <w:rPr>
          <w:rFonts w:hint="eastAsia" w:ascii="宋体" w:hAnsi="宋体" w:cs="宋体"/>
          <w:b/>
          <w:szCs w:val="21"/>
        </w:rPr>
        <w:t>3.供应商因新注册成立等原因无法提供相关材料的，应在响应文件中提交如实的情况说明。</w:t>
      </w:r>
    </w:p>
    <w:p>
      <w:pPr>
        <w:spacing w:line="360" w:lineRule="auto"/>
        <w:jc w:val="center"/>
        <w:outlineLvl w:val="2"/>
        <w:rPr>
          <w:rFonts w:ascii="宋体" w:hAnsi="宋体" w:cs="宋体"/>
          <w:b/>
          <w:sz w:val="24"/>
        </w:rPr>
      </w:pPr>
      <w:r>
        <w:rPr>
          <w:rFonts w:hint="eastAsia" w:ascii="宋体" w:hAnsi="宋体" w:cs="宋体"/>
          <w:b/>
          <w:sz w:val="24"/>
        </w:rPr>
        <w:br w:type="page"/>
      </w:r>
      <w:r>
        <w:rPr>
          <w:rFonts w:hint="eastAsia" w:ascii="宋体" w:hAnsi="宋体" w:cs="宋体"/>
          <w:b/>
          <w:sz w:val="24"/>
        </w:rPr>
        <w:t>2021年1月至今任意一月依法缴纳社会保障资金的证明材料</w:t>
      </w:r>
    </w:p>
    <w:p>
      <w:pPr>
        <w:pStyle w:val="2"/>
        <w:spacing w:line="360" w:lineRule="auto"/>
        <w:ind w:firstLine="0"/>
        <w:jc w:val="center"/>
        <w:rPr>
          <w:rFonts w:hAnsi="宋体" w:cs="宋体"/>
          <w:spacing w:val="0"/>
          <w:sz w:val="21"/>
          <w:szCs w:val="21"/>
        </w:rPr>
      </w:pPr>
      <w:r>
        <w:rPr>
          <w:rFonts w:hint="eastAsia" w:hAnsi="宋体" w:cs="宋体"/>
          <w:spacing w:val="0"/>
          <w:sz w:val="21"/>
          <w:szCs w:val="21"/>
        </w:rPr>
        <w:t>（依法不需要缴纳社会保障资金的供应商，应提供相应文件证明其依法不需要缴纳社会保障资金）</w:t>
      </w:r>
    </w:p>
    <w:p>
      <w:pPr>
        <w:pStyle w:val="2"/>
        <w:spacing w:line="360" w:lineRule="auto"/>
        <w:ind w:firstLine="0"/>
        <w:rPr>
          <w:rFonts w:hAnsi="宋体" w:cs="宋体"/>
          <w:spacing w:val="0"/>
          <w:sz w:val="24"/>
          <w:szCs w:val="24"/>
        </w:rPr>
      </w:pPr>
    </w:p>
    <w:p>
      <w:pPr>
        <w:pStyle w:val="2"/>
        <w:spacing w:line="360" w:lineRule="auto"/>
        <w:ind w:firstLine="0"/>
        <w:rPr>
          <w:rFonts w:hAnsi="宋体" w:cs="宋体"/>
          <w:spacing w:val="0"/>
          <w:sz w:val="24"/>
          <w:szCs w:val="24"/>
        </w:rPr>
      </w:pPr>
    </w:p>
    <w:p>
      <w:pPr>
        <w:pStyle w:val="2"/>
        <w:spacing w:line="360" w:lineRule="auto"/>
        <w:ind w:firstLine="0"/>
        <w:rPr>
          <w:rFonts w:hAnsi="宋体" w:cs="宋体"/>
          <w:spacing w:val="0"/>
          <w:sz w:val="24"/>
          <w:szCs w:val="24"/>
        </w:rPr>
      </w:pPr>
    </w:p>
    <w:p>
      <w:pPr>
        <w:pStyle w:val="9"/>
        <w:spacing w:line="360" w:lineRule="auto"/>
        <w:ind w:left="422" w:hanging="422"/>
        <w:rPr>
          <w:rFonts w:ascii="宋体" w:hAnsi="宋体" w:cs="宋体"/>
          <w:b/>
          <w:szCs w:val="21"/>
        </w:rPr>
      </w:pPr>
      <w:r>
        <w:rPr>
          <w:rFonts w:hint="eastAsia" w:ascii="宋体" w:hAnsi="宋体" w:cs="宋体"/>
          <w:b/>
          <w:szCs w:val="21"/>
        </w:rPr>
        <w:t>说明：</w:t>
      </w:r>
    </w:p>
    <w:p>
      <w:pPr>
        <w:spacing w:line="360" w:lineRule="auto"/>
        <w:rPr>
          <w:rFonts w:ascii="宋体" w:hAnsi="宋体" w:cs="宋体"/>
          <w:b/>
          <w:szCs w:val="21"/>
        </w:rPr>
      </w:pPr>
      <w:r>
        <w:rPr>
          <w:rFonts w:hint="eastAsia" w:ascii="宋体" w:hAnsi="宋体" w:cs="宋体"/>
          <w:b/>
          <w:szCs w:val="21"/>
        </w:rPr>
        <w:t>1.依法缴纳社会保障资金的证明材料指依法缴纳社会保险的凭据（社保缴费专用收据或银行电子缴税付款凭证或社会保险缴纳清单等）；</w:t>
      </w:r>
    </w:p>
    <w:p>
      <w:pPr>
        <w:spacing w:line="360" w:lineRule="auto"/>
        <w:rPr>
          <w:rFonts w:ascii="宋体" w:hAnsi="宋体" w:cs="宋体"/>
          <w:b/>
          <w:szCs w:val="21"/>
        </w:rPr>
      </w:pPr>
      <w:r>
        <w:rPr>
          <w:rFonts w:hint="eastAsia" w:ascii="宋体" w:hAnsi="宋体" w:cs="宋体"/>
          <w:b/>
          <w:szCs w:val="21"/>
        </w:rPr>
        <w:t>2.依法不需要缴纳社会保障资金的供应商，应提供相应文件证明其依法不需要缴纳社会保障资金；</w:t>
      </w:r>
    </w:p>
    <w:p>
      <w:pPr>
        <w:spacing w:line="360" w:lineRule="auto"/>
        <w:rPr>
          <w:rFonts w:ascii="宋体" w:hAnsi="宋体" w:cs="宋体"/>
          <w:b/>
          <w:szCs w:val="21"/>
        </w:rPr>
      </w:pPr>
      <w:r>
        <w:rPr>
          <w:rFonts w:hint="eastAsia" w:ascii="宋体" w:hAnsi="宋体" w:cs="宋体"/>
          <w:b/>
          <w:szCs w:val="21"/>
        </w:rPr>
        <w:t>3.供应商因新注册成立等原因无法提供相关材料的，应在响应文件中提交如实的情况说明。</w:t>
      </w:r>
    </w:p>
    <w:p>
      <w:pPr>
        <w:spacing w:line="360" w:lineRule="auto"/>
        <w:jc w:val="center"/>
        <w:outlineLvl w:val="2"/>
        <w:rPr>
          <w:rFonts w:ascii="宋体" w:hAnsi="宋体" w:cs="宋体"/>
          <w:b/>
          <w:sz w:val="24"/>
        </w:rPr>
      </w:pPr>
      <w:r>
        <w:rPr>
          <w:rFonts w:hint="eastAsia" w:ascii="宋体" w:hAnsi="宋体" w:cs="宋体"/>
          <w:b/>
          <w:sz w:val="24"/>
        </w:rPr>
        <w:br w:type="page"/>
      </w:r>
      <w:r>
        <w:rPr>
          <w:rFonts w:hint="eastAsia" w:ascii="宋体" w:hAnsi="宋体" w:cs="宋体"/>
          <w:b/>
          <w:sz w:val="24"/>
        </w:rPr>
        <w:t>具有履行合同所必需的设备和专业技术能力的承诺函（格式自拟）</w:t>
      </w:r>
    </w:p>
    <w:p>
      <w:pPr>
        <w:widowControl/>
        <w:spacing w:line="360" w:lineRule="auto"/>
        <w:jc w:val="center"/>
        <w:rPr>
          <w:rFonts w:ascii="宋体" w:hAnsi="宋体" w:cs="宋体"/>
          <w:b/>
          <w:sz w:val="24"/>
        </w:rPr>
      </w:pPr>
    </w:p>
    <w:p>
      <w:pPr>
        <w:widowControl/>
        <w:spacing w:line="360" w:lineRule="auto"/>
        <w:jc w:val="center"/>
        <w:rPr>
          <w:rFonts w:ascii="宋体" w:hAnsi="宋体" w:cs="宋体"/>
          <w:b/>
          <w:sz w:val="24"/>
        </w:rPr>
      </w:pPr>
    </w:p>
    <w:p>
      <w:pPr>
        <w:widowControl/>
        <w:spacing w:line="360" w:lineRule="auto"/>
        <w:jc w:val="center"/>
        <w:rPr>
          <w:rFonts w:ascii="宋体" w:hAnsi="宋体" w:cs="宋体"/>
          <w:b/>
          <w:sz w:val="24"/>
        </w:rPr>
      </w:pPr>
    </w:p>
    <w:p>
      <w:pPr>
        <w:widowControl/>
        <w:spacing w:line="360" w:lineRule="auto"/>
        <w:jc w:val="center"/>
        <w:rPr>
          <w:rFonts w:ascii="宋体" w:hAnsi="宋体" w:cs="宋体"/>
          <w:b/>
          <w:sz w:val="24"/>
        </w:rPr>
      </w:pPr>
    </w:p>
    <w:p>
      <w:pPr>
        <w:widowControl/>
        <w:spacing w:line="360" w:lineRule="auto"/>
        <w:jc w:val="center"/>
        <w:rPr>
          <w:rFonts w:ascii="宋体" w:hAnsi="宋体" w:cs="宋体"/>
          <w:b/>
          <w:sz w:val="24"/>
        </w:rPr>
      </w:pPr>
    </w:p>
    <w:p>
      <w:pPr>
        <w:spacing w:line="360" w:lineRule="auto"/>
        <w:rPr>
          <w:rFonts w:ascii="宋体" w:hAnsi="宋体" w:cs="宋体"/>
          <w:szCs w:val="21"/>
        </w:rPr>
      </w:pPr>
      <w:r>
        <w:rPr>
          <w:rFonts w:hint="eastAsia" w:ascii="宋体" w:hAnsi="宋体" w:cs="宋体"/>
          <w:szCs w:val="21"/>
        </w:rPr>
        <w:t>供应商名称（盖章）：</w:t>
      </w:r>
    </w:p>
    <w:p>
      <w:pPr>
        <w:spacing w:line="360" w:lineRule="auto"/>
        <w:rPr>
          <w:rFonts w:ascii="宋体" w:hAnsi="宋体" w:cs="宋体"/>
          <w:szCs w:val="21"/>
        </w:rPr>
      </w:pPr>
      <w:r>
        <w:rPr>
          <w:rFonts w:hint="eastAsia" w:ascii="宋体" w:hAnsi="宋体" w:cs="宋体"/>
          <w:szCs w:val="21"/>
        </w:rPr>
        <w:t>供应商授权代表签字：</w:t>
      </w:r>
    </w:p>
    <w:p>
      <w:pPr>
        <w:spacing w:line="360" w:lineRule="auto"/>
        <w:rPr>
          <w:rFonts w:ascii="宋体" w:hAnsi="宋体" w:cs="宋体"/>
          <w:szCs w:val="21"/>
        </w:rPr>
      </w:pPr>
      <w:r>
        <w:rPr>
          <w:rFonts w:hint="eastAsia" w:ascii="宋体" w:hAnsi="宋体" w:cs="宋体"/>
          <w:szCs w:val="21"/>
        </w:rPr>
        <w:t>日期：    年  月  日</w:t>
      </w:r>
    </w:p>
    <w:p>
      <w:pPr>
        <w:spacing w:line="360" w:lineRule="auto"/>
        <w:jc w:val="center"/>
        <w:outlineLvl w:val="2"/>
        <w:rPr>
          <w:rFonts w:ascii="宋体" w:hAnsi="宋体" w:cs="宋体"/>
          <w:b/>
          <w:sz w:val="24"/>
        </w:rPr>
      </w:pPr>
      <w:r>
        <w:rPr>
          <w:rFonts w:hint="eastAsia" w:ascii="宋体" w:hAnsi="宋体" w:cs="宋体"/>
          <w:b/>
          <w:sz w:val="24"/>
        </w:rPr>
        <w:br w:type="page"/>
      </w:r>
      <w:r>
        <w:rPr>
          <w:rFonts w:hint="eastAsia" w:ascii="宋体" w:hAnsi="宋体" w:cs="宋体"/>
          <w:b/>
          <w:sz w:val="24"/>
        </w:rPr>
        <w:t>参加政府采购活动前3年内在经营活动中没有重大违法记录的书面声明</w:t>
      </w:r>
    </w:p>
    <w:p>
      <w:pPr>
        <w:pStyle w:val="9"/>
        <w:spacing w:line="360" w:lineRule="auto"/>
        <w:ind w:left="178" w:hanging="178" w:hangingChars="74"/>
        <w:jc w:val="center"/>
        <w:rPr>
          <w:rFonts w:ascii="宋体" w:hAnsi="宋体" w:cs="宋体"/>
          <w:b/>
          <w:sz w:val="24"/>
        </w:rPr>
      </w:pPr>
      <w:r>
        <w:rPr>
          <w:rFonts w:hint="eastAsia" w:ascii="宋体" w:hAnsi="宋体" w:cs="宋体"/>
          <w:b/>
          <w:sz w:val="24"/>
        </w:rPr>
        <w:t>声明函</w:t>
      </w:r>
    </w:p>
    <w:p>
      <w:pPr>
        <w:spacing w:line="360" w:lineRule="auto"/>
        <w:rPr>
          <w:rFonts w:ascii="宋体" w:hAnsi="宋体" w:cs="宋体"/>
          <w:szCs w:val="21"/>
        </w:rPr>
      </w:pPr>
      <w:r>
        <w:rPr>
          <w:rFonts w:hint="eastAsia" w:ascii="宋体" w:hAnsi="宋体" w:cs="宋体"/>
          <w:szCs w:val="21"/>
        </w:rPr>
        <w:t>致：浙江财经大学、浙江建友工程咨询有限公司：</w:t>
      </w:r>
    </w:p>
    <w:p>
      <w:pPr>
        <w:spacing w:line="360" w:lineRule="auto"/>
        <w:ind w:firstLine="420" w:firstLineChars="200"/>
        <w:rPr>
          <w:rFonts w:ascii="宋体" w:hAnsi="宋体" w:cs="宋体"/>
          <w:szCs w:val="21"/>
        </w:rPr>
      </w:pPr>
      <w:r>
        <w:rPr>
          <w:rFonts w:hint="eastAsia" w:ascii="宋体" w:hAnsi="宋体" w:cs="宋体"/>
          <w:szCs w:val="21"/>
        </w:rPr>
        <w:t>我公司郑重承诺在参加本项目政府采购活动前三年内，在经营活动中</w:t>
      </w:r>
      <w:r>
        <w:rPr>
          <w:rFonts w:hint="eastAsia" w:ascii="宋体" w:hAnsi="宋体" w:cs="宋体"/>
          <w:b/>
          <w:szCs w:val="21"/>
          <w:u w:val="single"/>
        </w:rPr>
        <w:t xml:space="preserve">    </w:t>
      </w:r>
      <w:r>
        <w:rPr>
          <w:rFonts w:hint="eastAsia" w:ascii="宋体" w:hAnsi="宋体" w:cs="宋体"/>
          <w:b/>
          <w:szCs w:val="21"/>
        </w:rPr>
        <w:t>（填写“有”或“没有”，如实填写，如不填写视同未提供本声明函）</w:t>
      </w:r>
      <w:r>
        <w:rPr>
          <w:rFonts w:hint="eastAsia" w:ascii="宋体" w:hAnsi="宋体" w:cs="宋体"/>
          <w:szCs w:val="21"/>
        </w:rPr>
        <w:t>重大违法记录，重大违法记录是指供应商因违法经营受到刑事处罚或者责令停产停业、吊销许可证或者执照、较大数额罚款等行政处罚。</w:t>
      </w:r>
    </w:p>
    <w:p>
      <w:pPr>
        <w:spacing w:line="360" w:lineRule="auto"/>
        <w:ind w:firstLine="420" w:firstLineChars="200"/>
        <w:rPr>
          <w:rFonts w:ascii="宋体" w:hAnsi="宋体" w:cs="宋体"/>
          <w:szCs w:val="21"/>
        </w:rPr>
      </w:pPr>
      <w:r>
        <w:rPr>
          <w:rFonts w:hint="eastAsia" w:ascii="宋体" w:hAnsi="宋体" w:cs="宋体"/>
          <w:szCs w:val="21"/>
        </w:rPr>
        <w:t>以上事项如有虚假或隐瞒，我方愿意承担一切后果和责任。</w:t>
      </w:r>
    </w:p>
    <w:p>
      <w:pPr>
        <w:spacing w:line="360" w:lineRule="auto"/>
        <w:ind w:firstLine="420" w:firstLineChars="200"/>
        <w:rPr>
          <w:rFonts w:ascii="宋体" w:hAnsi="宋体" w:cs="宋体"/>
          <w:szCs w:val="21"/>
        </w:rPr>
      </w:pPr>
      <w:r>
        <w:rPr>
          <w:rFonts w:hint="eastAsia" w:ascii="宋体" w:hAnsi="宋体" w:cs="宋体"/>
          <w:szCs w:val="21"/>
        </w:rPr>
        <w:t>特此声明。</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供应商名称（盖章）：</w:t>
      </w:r>
    </w:p>
    <w:p>
      <w:pPr>
        <w:spacing w:line="360" w:lineRule="auto"/>
        <w:rPr>
          <w:rFonts w:ascii="宋体" w:hAnsi="宋体" w:cs="宋体"/>
          <w:szCs w:val="21"/>
        </w:rPr>
      </w:pPr>
      <w:r>
        <w:rPr>
          <w:rFonts w:hint="eastAsia" w:ascii="宋体" w:hAnsi="宋体" w:cs="宋体"/>
          <w:szCs w:val="21"/>
        </w:rPr>
        <w:t>供应商授权代表签字：</w:t>
      </w:r>
    </w:p>
    <w:p>
      <w:pPr>
        <w:spacing w:line="360" w:lineRule="auto"/>
        <w:rPr>
          <w:rFonts w:ascii="宋体" w:hAnsi="宋体" w:cs="宋体"/>
          <w:bCs/>
          <w:szCs w:val="21"/>
        </w:rPr>
      </w:pPr>
      <w:r>
        <w:rPr>
          <w:rFonts w:hint="eastAsia" w:ascii="宋体" w:hAnsi="宋体" w:cs="宋体"/>
          <w:szCs w:val="21"/>
        </w:rPr>
        <w:t>日期：    年  月  日</w:t>
      </w:r>
    </w:p>
    <w:p>
      <w:pPr>
        <w:spacing w:line="360" w:lineRule="auto"/>
        <w:ind w:firstLine="420" w:firstLineChars="200"/>
        <w:rPr>
          <w:rFonts w:ascii="宋体" w:hAnsi="宋体" w:cs="宋体"/>
          <w:bCs/>
          <w:szCs w:val="21"/>
        </w:rPr>
      </w:pPr>
    </w:p>
    <w:p>
      <w:pPr>
        <w:pStyle w:val="2"/>
        <w:ind w:firstLine="0"/>
        <w:rPr>
          <w:rFonts w:hAnsi="宋体" w:cs="宋体"/>
          <w:bCs/>
          <w:spacing w:val="0"/>
          <w:sz w:val="24"/>
        </w:rPr>
      </w:pPr>
      <w:r>
        <w:rPr>
          <w:rFonts w:hint="eastAsia" w:hAnsi="宋体" w:cs="宋体"/>
          <w:bCs/>
          <w:spacing w:val="0"/>
          <w:sz w:val="24"/>
        </w:rPr>
        <w:br w:type="page"/>
      </w:r>
      <w:r>
        <w:rPr>
          <w:rFonts w:hint="eastAsia" w:hAnsi="宋体" w:cs="宋体"/>
          <w:bCs/>
          <w:spacing w:val="0"/>
          <w:sz w:val="24"/>
        </w:rPr>
        <w:t>商务技术文件封面</w:t>
      </w:r>
    </w:p>
    <w:p>
      <w:pPr>
        <w:spacing w:line="360" w:lineRule="auto"/>
        <w:jc w:val="right"/>
        <w:rPr>
          <w:rFonts w:ascii="宋体" w:hAnsi="宋体" w:cs="宋体"/>
          <w:sz w:val="24"/>
        </w:rPr>
      </w:pPr>
    </w:p>
    <w:p>
      <w:pPr>
        <w:spacing w:line="360" w:lineRule="auto"/>
        <w:rPr>
          <w:rFonts w:ascii="宋体" w:hAnsi="宋体" w:cs="宋体"/>
          <w:sz w:val="24"/>
        </w:rPr>
      </w:pPr>
    </w:p>
    <w:p>
      <w:pPr>
        <w:spacing w:line="360" w:lineRule="auto"/>
        <w:jc w:val="center"/>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（供应商名称）</w:t>
      </w:r>
    </w:p>
    <w:p>
      <w:pPr>
        <w:spacing w:line="360" w:lineRule="auto"/>
        <w:jc w:val="center"/>
        <w:rPr>
          <w:rFonts w:ascii="宋体" w:hAnsi="宋体" w:cs="宋体"/>
          <w:b/>
          <w:bCs/>
          <w:sz w:val="24"/>
        </w:rPr>
      </w:pPr>
      <w:r>
        <w:rPr>
          <w:rFonts w:hint="eastAsia" w:ascii="宋体" w:hAnsi="宋体" w:cs="宋体"/>
          <w:b/>
          <w:bCs/>
          <w:sz w:val="24"/>
        </w:rPr>
        <w:t>商务技术文件</w:t>
      </w:r>
    </w:p>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t>采购人：浙江财经大学</w:t>
      </w:r>
    </w:p>
    <w:p>
      <w:pPr>
        <w:spacing w:line="360" w:lineRule="auto"/>
        <w:rPr>
          <w:rFonts w:ascii="宋体" w:hAnsi="宋体" w:cs="宋体"/>
          <w:bCs/>
          <w:sz w:val="24"/>
        </w:rPr>
      </w:pPr>
      <w:r>
        <w:rPr>
          <w:rFonts w:hint="eastAsia" w:ascii="宋体" w:hAnsi="宋体" w:cs="宋体"/>
          <w:bCs/>
          <w:sz w:val="24"/>
        </w:rPr>
        <w:t>项目名称：浙江财经大学图书盘点服务</w:t>
      </w:r>
    </w:p>
    <w:p>
      <w:pPr>
        <w:spacing w:line="360" w:lineRule="auto"/>
        <w:rPr>
          <w:rFonts w:ascii="宋体" w:hAnsi="宋体" w:cs="宋体"/>
          <w:bCs/>
          <w:sz w:val="24"/>
        </w:rPr>
      </w:pPr>
      <w:r>
        <w:rPr>
          <w:rFonts w:hint="eastAsia" w:ascii="宋体" w:hAnsi="宋体" w:cs="宋体"/>
          <w:bCs/>
          <w:sz w:val="24"/>
        </w:rPr>
        <w:t>项目编号：ZJJY-20210713-01</w:t>
      </w:r>
    </w:p>
    <w:p>
      <w:pPr>
        <w:spacing w:line="360" w:lineRule="auto"/>
        <w:rPr>
          <w:rFonts w:ascii="宋体" w:hAnsi="宋体" w:cs="宋体"/>
          <w:bCs/>
          <w:sz w:val="24"/>
        </w:rPr>
      </w:pPr>
      <w:r>
        <w:rPr>
          <w:rFonts w:hint="eastAsia" w:ascii="宋体" w:hAnsi="宋体" w:cs="宋体"/>
          <w:bCs/>
          <w:sz w:val="24"/>
        </w:rPr>
        <w:t>供应商名称（盖章）：</w:t>
      </w:r>
    </w:p>
    <w:p>
      <w:pPr>
        <w:spacing w:line="360" w:lineRule="auto"/>
        <w:rPr>
          <w:rFonts w:ascii="宋体" w:hAnsi="宋体" w:cs="宋体"/>
          <w:bCs/>
          <w:sz w:val="24"/>
        </w:rPr>
      </w:pPr>
      <w:r>
        <w:rPr>
          <w:rFonts w:hint="eastAsia" w:ascii="宋体" w:hAnsi="宋体" w:cs="宋体"/>
          <w:bCs/>
          <w:sz w:val="24"/>
        </w:rPr>
        <w:t>供应商地址：</w:t>
      </w:r>
    </w:p>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t>供应商授权代表签字：</w:t>
      </w:r>
    </w:p>
    <w:p>
      <w:pPr>
        <w:spacing w:line="360" w:lineRule="auto"/>
        <w:rPr>
          <w:rFonts w:ascii="宋体" w:hAnsi="宋体" w:cs="宋体"/>
          <w:bCs/>
          <w:sz w:val="24"/>
        </w:rPr>
      </w:pPr>
      <w:r>
        <w:rPr>
          <w:rFonts w:hint="eastAsia" w:ascii="宋体" w:hAnsi="宋体" w:cs="宋体"/>
          <w:bCs/>
          <w:sz w:val="24"/>
        </w:rPr>
        <w:t>日期：    年  月  日</w:t>
      </w:r>
    </w:p>
    <w:p>
      <w:pPr>
        <w:spacing w:line="360" w:lineRule="auto"/>
        <w:jc w:val="center"/>
        <w:outlineLvl w:val="1"/>
        <w:rPr>
          <w:rFonts w:ascii="宋体" w:hAnsi="宋体" w:cs="宋体"/>
          <w:b/>
          <w:sz w:val="52"/>
          <w:szCs w:val="52"/>
        </w:rPr>
      </w:pPr>
      <w:r>
        <w:rPr>
          <w:rFonts w:hint="eastAsia" w:ascii="宋体" w:hAnsi="宋体" w:cs="宋体"/>
          <w:b/>
          <w:sz w:val="52"/>
          <w:szCs w:val="52"/>
        </w:rPr>
        <w:br w:type="page"/>
      </w:r>
      <w:r>
        <w:rPr>
          <w:rFonts w:hint="eastAsia" w:ascii="宋体" w:hAnsi="宋体" w:cs="宋体"/>
          <w:b/>
          <w:sz w:val="52"/>
          <w:szCs w:val="52"/>
        </w:rPr>
        <w:t>商务文件</w:t>
      </w:r>
    </w:p>
    <w:p>
      <w:pPr>
        <w:spacing w:line="360" w:lineRule="auto"/>
        <w:jc w:val="center"/>
        <w:outlineLvl w:val="2"/>
        <w:rPr>
          <w:rFonts w:ascii="宋体" w:hAnsi="宋体" w:cs="宋体"/>
          <w:b/>
          <w:sz w:val="24"/>
        </w:rPr>
      </w:pPr>
      <w:r>
        <w:rPr>
          <w:rFonts w:hint="eastAsia" w:ascii="宋体" w:hAnsi="宋体" w:cs="宋体"/>
          <w:b/>
          <w:sz w:val="24"/>
        </w:rPr>
        <w:t>响 应 函</w:t>
      </w:r>
    </w:p>
    <w:p>
      <w:pPr>
        <w:spacing w:line="360" w:lineRule="auto"/>
        <w:rPr>
          <w:rFonts w:ascii="宋体" w:hAnsi="宋体" w:cs="宋体"/>
          <w:szCs w:val="21"/>
        </w:rPr>
      </w:pPr>
      <w:r>
        <w:rPr>
          <w:rFonts w:hint="eastAsia" w:ascii="宋体" w:hAnsi="宋体" w:cs="宋体"/>
          <w:szCs w:val="21"/>
        </w:rPr>
        <w:t>致：浙江建友工程咨询有限公司：</w:t>
      </w:r>
    </w:p>
    <w:p>
      <w:pPr>
        <w:spacing w:line="360" w:lineRule="auto"/>
        <w:ind w:firstLine="420" w:firstLineChars="200"/>
        <w:rPr>
          <w:rFonts w:ascii="宋体" w:hAnsi="宋体" w:cs="宋体"/>
          <w:szCs w:val="21"/>
        </w:rPr>
      </w:pPr>
      <w:r>
        <w:rPr>
          <w:rFonts w:hint="eastAsia" w:ascii="宋体" w:hAnsi="宋体" w:cs="宋体"/>
          <w:szCs w:val="21"/>
        </w:rPr>
        <w:t>根据贵方为</w:t>
      </w:r>
      <w:r>
        <w:rPr>
          <w:rFonts w:hint="eastAsia" w:ascii="宋体" w:hAnsi="宋体" w:cs="宋体"/>
          <w:bCs/>
          <w:szCs w:val="21"/>
        </w:rPr>
        <w:t>浙江财经大学图书盘点服务</w:t>
      </w:r>
      <w:r>
        <w:rPr>
          <w:rFonts w:hint="eastAsia" w:ascii="宋体" w:hAnsi="宋体" w:cs="宋体"/>
          <w:szCs w:val="21"/>
        </w:rPr>
        <w:t>的采购邀请（项目编号</w:t>
      </w:r>
      <w:r>
        <w:rPr>
          <w:rFonts w:hint="eastAsia" w:ascii="宋体" w:hAnsi="宋体" w:cs="宋体"/>
          <w:bCs/>
          <w:szCs w:val="21"/>
        </w:rPr>
        <w:t>：ZJJY-20210713-01）</w:t>
      </w:r>
      <w:r>
        <w:rPr>
          <w:rFonts w:hint="eastAsia" w:ascii="宋体" w:hAnsi="宋体" w:cs="宋体"/>
          <w:szCs w:val="21"/>
        </w:rPr>
        <w:t>，签字代表</w:t>
      </w:r>
      <w:r>
        <w:rPr>
          <w:rFonts w:hint="eastAsia" w:ascii="宋体" w:hAnsi="宋体" w:cs="宋体"/>
          <w:bCs/>
          <w:szCs w:val="21"/>
        </w:rPr>
        <w:t>__________</w:t>
      </w:r>
      <w:r>
        <w:rPr>
          <w:rFonts w:hint="eastAsia" w:ascii="宋体" w:hAnsi="宋体" w:cs="宋体"/>
          <w:szCs w:val="21"/>
        </w:rPr>
        <w:t>（全名）经正式授权并代表______________________________（供应商名称）提交电子加密响应文件一份、以介质（U盘）存储的数据电文形式的备份响应文件___份、纸质文件</w:t>
      </w:r>
      <w:r>
        <w:rPr>
          <w:rFonts w:hint="eastAsia" w:ascii="宋体" w:hAnsi="宋体" w:cs="宋体"/>
          <w:szCs w:val="21"/>
          <w:u w:val="single"/>
        </w:rPr>
        <w:t xml:space="preserve"> 一 份</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据此函，签字代表宣布同意如下：</w:t>
      </w:r>
    </w:p>
    <w:p>
      <w:pPr>
        <w:spacing w:line="360" w:lineRule="auto"/>
        <w:ind w:firstLine="420" w:firstLineChars="200"/>
        <w:rPr>
          <w:rFonts w:ascii="宋体" w:hAnsi="宋体" w:cs="宋体"/>
          <w:szCs w:val="21"/>
        </w:rPr>
      </w:pPr>
      <w:r>
        <w:rPr>
          <w:rFonts w:hint="eastAsia" w:ascii="宋体" w:hAnsi="宋体" w:cs="宋体"/>
          <w:szCs w:val="21"/>
        </w:rPr>
        <w:t>1、我方已详细审查全部“磋商文件”，包括修改文件（如有的话）以及全部参考资料和有关附件，已经了解我方对于磋商文件、采购过程、采购结果有依法进行询问、质疑、投诉的权利及相关渠道和要求。</w:t>
      </w:r>
    </w:p>
    <w:p>
      <w:pPr>
        <w:spacing w:line="360" w:lineRule="auto"/>
        <w:ind w:firstLine="420" w:firstLineChars="200"/>
        <w:rPr>
          <w:rFonts w:ascii="宋体" w:hAnsi="宋体" w:cs="宋体"/>
          <w:szCs w:val="21"/>
        </w:rPr>
      </w:pPr>
      <w:r>
        <w:rPr>
          <w:rFonts w:hint="eastAsia" w:ascii="宋体" w:hAnsi="宋体" w:cs="宋体"/>
          <w:szCs w:val="21"/>
        </w:rPr>
        <w:t>2、我方在磋商响应之前已经与贵方进行了充分的沟通，完全理解并接受磋商文件的各项规定和要求，对磋商文件的合理性、合法性不再有异议。</w:t>
      </w:r>
    </w:p>
    <w:p>
      <w:pPr>
        <w:spacing w:line="360" w:lineRule="auto"/>
        <w:ind w:firstLine="420" w:firstLineChars="200"/>
        <w:rPr>
          <w:rFonts w:ascii="宋体" w:hAnsi="宋体" w:cs="宋体"/>
          <w:szCs w:val="21"/>
        </w:rPr>
      </w:pPr>
      <w:r>
        <w:rPr>
          <w:rFonts w:hint="eastAsia" w:ascii="宋体" w:hAnsi="宋体" w:cs="宋体"/>
          <w:szCs w:val="21"/>
        </w:rPr>
        <w:t>3、本磋商响应有效期自响应文件开启日起</w:t>
      </w:r>
      <w:r>
        <w:rPr>
          <w:rFonts w:hint="eastAsia" w:ascii="宋体" w:hAnsi="宋体" w:cs="宋体"/>
          <w:szCs w:val="21"/>
          <w:u w:val="single"/>
        </w:rPr>
        <w:t xml:space="preserve"> </w:t>
      </w:r>
      <w:r>
        <w:rPr>
          <w:rFonts w:hint="eastAsia" w:ascii="宋体" w:hAnsi="宋体" w:cs="宋体"/>
          <w:bCs/>
          <w:szCs w:val="21"/>
          <w:u w:val="single"/>
        </w:rPr>
        <w:t xml:space="preserve">90 </w:t>
      </w:r>
      <w:r>
        <w:rPr>
          <w:rFonts w:hint="eastAsia" w:ascii="宋体" w:hAnsi="宋体" w:cs="宋体"/>
          <w:szCs w:val="21"/>
        </w:rPr>
        <w:t>个日历日。</w:t>
      </w:r>
    </w:p>
    <w:p>
      <w:pPr>
        <w:spacing w:line="360" w:lineRule="auto"/>
        <w:ind w:firstLine="420" w:firstLineChars="200"/>
        <w:rPr>
          <w:rFonts w:ascii="宋体" w:hAnsi="宋体" w:cs="宋体"/>
          <w:szCs w:val="21"/>
        </w:rPr>
      </w:pPr>
      <w:r>
        <w:rPr>
          <w:rFonts w:hint="eastAsia" w:ascii="宋体" w:hAnsi="宋体" w:cs="宋体"/>
          <w:szCs w:val="21"/>
        </w:rPr>
        <w:t>4、如成交，本响应文件至本项目合同履行完毕止均保持有效，我方将按“磋商文件”及政府采购法律、法规的规定履行合同责任和义务。关于代理服务费，本供应商承诺按照本“磋商文件”的规定履行并承担相应的责任</w:t>
      </w:r>
      <w:r>
        <w:rPr>
          <w:rFonts w:hint="eastAsia" w:ascii="宋体" w:hAnsi="宋体" w:cs="宋体"/>
          <w:color w:val="0070C0"/>
          <w:szCs w:val="21"/>
        </w:rPr>
        <w:t>。</w:t>
      </w:r>
    </w:p>
    <w:p>
      <w:pPr>
        <w:spacing w:line="360" w:lineRule="auto"/>
        <w:ind w:firstLine="420" w:firstLineChars="200"/>
        <w:rPr>
          <w:rFonts w:ascii="宋体" w:hAnsi="宋体" w:cs="宋体"/>
          <w:szCs w:val="21"/>
        </w:rPr>
      </w:pPr>
      <w:r>
        <w:rPr>
          <w:rFonts w:hint="eastAsia" w:ascii="宋体" w:hAnsi="宋体" w:cs="宋体"/>
          <w:szCs w:val="21"/>
        </w:rPr>
        <w:t>5、我方同意按照贵方要求提供与磋商有关的一切数据或资料。</w:t>
      </w:r>
    </w:p>
    <w:p>
      <w:pPr>
        <w:spacing w:line="360" w:lineRule="auto"/>
        <w:ind w:firstLine="420" w:firstLineChars="200"/>
        <w:rPr>
          <w:rFonts w:ascii="宋体" w:hAnsi="宋体" w:cs="宋体"/>
          <w:szCs w:val="21"/>
        </w:rPr>
      </w:pPr>
      <w:r>
        <w:rPr>
          <w:rFonts w:hint="eastAsia" w:ascii="宋体" w:hAnsi="宋体" w:cs="宋体"/>
          <w:szCs w:val="21"/>
        </w:rPr>
        <w:t>6、与本磋商有关的一切正式往来信函请寄：</w:t>
      </w:r>
    </w:p>
    <w:p>
      <w:pPr>
        <w:spacing w:line="360" w:lineRule="auto"/>
        <w:rPr>
          <w:rFonts w:ascii="宋体" w:hAnsi="宋体" w:cs="宋体"/>
          <w:szCs w:val="21"/>
        </w:rPr>
      </w:pPr>
      <w:r>
        <w:rPr>
          <w:rFonts w:hint="eastAsia" w:ascii="宋体" w:hAnsi="宋体" w:cs="宋体"/>
          <w:szCs w:val="21"/>
        </w:rPr>
        <w:t>地址：_____________________________ 邮编：_________________________</w:t>
      </w:r>
    </w:p>
    <w:p>
      <w:pPr>
        <w:spacing w:line="360" w:lineRule="auto"/>
        <w:rPr>
          <w:rFonts w:ascii="宋体" w:hAnsi="宋体" w:cs="宋体"/>
          <w:szCs w:val="21"/>
        </w:rPr>
      </w:pPr>
      <w:r>
        <w:rPr>
          <w:rFonts w:hint="eastAsia" w:ascii="宋体" w:hAnsi="宋体" w:cs="宋体"/>
          <w:szCs w:val="21"/>
        </w:rPr>
        <w:t>电话：_____________________________ 传真：_________________________</w:t>
      </w:r>
    </w:p>
    <w:p>
      <w:pPr>
        <w:spacing w:line="360" w:lineRule="auto"/>
        <w:rPr>
          <w:rFonts w:ascii="宋体" w:hAnsi="宋体" w:cs="宋体"/>
          <w:szCs w:val="21"/>
        </w:rPr>
      </w:pPr>
      <w:r>
        <w:rPr>
          <w:rFonts w:hint="eastAsia" w:ascii="宋体" w:hAnsi="宋体" w:cs="宋体"/>
          <w:szCs w:val="21"/>
        </w:rPr>
        <w:t>供应商代表姓名：___________________ 职务：_________________________</w:t>
      </w:r>
    </w:p>
    <w:p>
      <w:pPr>
        <w:spacing w:line="360" w:lineRule="auto"/>
        <w:rPr>
          <w:rFonts w:ascii="宋体" w:hAnsi="宋体" w:cs="宋体"/>
          <w:szCs w:val="21"/>
        </w:rPr>
      </w:pPr>
      <w:r>
        <w:rPr>
          <w:rFonts w:hint="eastAsia" w:ascii="宋体" w:hAnsi="宋体" w:cs="宋体"/>
          <w:szCs w:val="21"/>
        </w:rPr>
        <w:t>开户银行：_________________________</w:t>
      </w:r>
    </w:p>
    <w:p>
      <w:pPr>
        <w:spacing w:line="360" w:lineRule="auto"/>
        <w:rPr>
          <w:rFonts w:ascii="宋体" w:hAnsi="宋体" w:cs="宋体"/>
          <w:szCs w:val="21"/>
        </w:rPr>
      </w:pPr>
      <w:r>
        <w:rPr>
          <w:rFonts w:hint="eastAsia" w:ascii="宋体" w:hAnsi="宋体" w:cs="宋体"/>
          <w:szCs w:val="21"/>
        </w:rPr>
        <w:t>银行帐号：_________________________</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供应商名称（</w:t>
      </w:r>
      <w:r>
        <w:rPr>
          <w:rFonts w:hint="eastAsia" w:ascii="宋体" w:hAnsi="宋体" w:cs="宋体"/>
          <w:bCs/>
          <w:szCs w:val="21"/>
        </w:rPr>
        <w:t>盖章）</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供应商授权代表签字：</w:t>
      </w:r>
    </w:p>
    <w:p>
      <w:pPr>
        <w:spacing w:line="360" w:lineRule="auto"/>
        <w:rPr>
          <w:rFonts w:ascii="宋体" w:hAnsi="宋体" w:cs="宋体"/>
          <w:szCs w:val="21"/>
        </w:rPr>
      </w:pPr>
      <w:r>
        <w:rPr>
          <w:rFonts w:hint="eastAsia" w:ascii="宋体" w:hAnsi="宋体" w:cs="宋体"/>
          <w:bCs/>
          <w:szCs w:val="21"/>
        </w:rPr>
        <w:t>日期：    年  月  日</w:t>
      </w:r>
    </w:p>
    <w:p>
      <w:pPr>
        <w:spacing w:line="360" w:lineRule="auto"/>
        <w:jc w:val="center"/>
        <w:outlineLvl w:val="2"/>
        <w:rPr>
          <w:rFonts w:ascii="宋体" w:hAnsi="宋体" w:cs="宋体"/>
          <w:b/>
          <w:sz w:val="24"/>
        </w:rPr>
      </w:pPr>
      <w:r>
        <w:rPr>
          <w:rFonts w:hint="eastAsia" w:ascii="宋体" w:hAnsi="宋体" w:cs="宋体"/>
          <w:b/>
          <w:sz w:val="24"/>
        </w:rPr>
        <w:br w:type="page"/>
      </w:r>
      <w:r>
        <w:rPr>
          <w:rFonts w:hint="eastAsia" w:ascii="宋体" w:hAnsi="宋体" w:cs="宋体"/>
          <w:b/>
          <w:sz w:val="24"/>
        </w:rPr>
        <w:t>法定代表人资格证明书</w:t>
      </w:r>
    </w:p>
    <w:p>
      <w:pPr>
        <w:spacing w:line="360" w:lineRule="auto"/>
        <w:rPr>
          <w:rFonts w:ascii="宋体" w:hAnsi="宋体" w:cs="宋体"/>
          <w:bCs/>
          <w:szCs w:val="21"/>
        </w:rPr>
      </w:pPr>
      <w:r>
        <w:rPr>
          <w:rFonts w:hint="eastAsia" w:ascii="宋体" w:hAnsi="宋体" w:cs="宋体"/>
          <w:bCs/>
          <w:szCs w:val="21"/>
        </w:rPr>
        <w:t>致:浙江财经大学、浙江建友工程咨询有限公司：</w:t>
      </w:r>
    </w:p>
    <w:p>
      <w:pPr>
        <w:spacing w:line="360" w:lineRule="auto"/>
        <w:ind w:firstLine="420" w:firstLineChars="200"/>
        <w:rPr>
          <w:rFonts w:ascii="宋体" w:hAnsi="宋体" w:cs="宋体"/>
          <w:bCs/>
          <w:szCs w:val="21"/>
        </w:rPr>
      </w:pPr>
      <w:r>
        <w:rPr>
          <w:rFonts w:hint="eastAsia" w:ascii="宋体" w:hAnsi="宋体" w:cs="宋体"/>
          <w:bCs/>
          <w:szCs w:val="21"/>
        </w:rPr>
        <w:t>我</w:t>
      </w:r>
      <w:r>
        <w:rPr>
          <w:rFonts w:hint="eastAsia" w:ascii="宋体" w:hAnsi="宋体" w:cs="宋体"/>
          <w:szCs w:val="21"/>
        </w:rPr>
        <w:t>________</w:t>
      </w:r>
      <w:r>
        <w:rPr>
          <w:rFonts w:hint="eastAsia" w:ascii="宋体" w:hAnsi="宋体" w:cs="宋体"/>
          <w:bCs/>
          <w:szCs w:val="21"/>
        </w:rPr>
        <w:t>（姓名）系________________________________(供应商名称）的法定代表人，身份证号码：</w:t>
      </w:r>
      <w:r>
        <w:rPr>
          <w:rFonts w:hint="eastAsia" w:ascii="宋体" w:hAnsi="宋体" w:cs="宋体"/>
          <w:szCs w:val="21"/>
        </w:rPr>
        <w:t>_________________________________</w:t>
      </w:r>
      <w:r>
        <w:rPr>
          <w:rFonts w:hint="eastAsia" w:ascii="宋体" w:hAnsi="宋体" w:cs="宋体"/>
          <w:bCs/>
          <w:szCs w:val="21"/>
        </w:rPr>
        <w:t>。</w:t>
      </w:r>
    </w:p>
    <w:p>
      <w:pPr>
        <w:spacing w:line="360" w:lineRule="auto"/>
        <w:ind w:firstLine="420" w:firstLineChars="200"/>
        <w:rPr>
          <w:rFonts w:ascii="宋体" w:hAnsi="宋体" w:cs="宋体"/>
          <w:bCs/>
          <w:szCs w:val="21"/>
        </w:rPr>
      </w:pPr>
      <w:r>
        <w:rPr>
          <w:rFonts w:hint="eastAsia" w:ascii="宋体" w:hAnsi="宋体" w:cs="宋体"/>
          <w:bCs/>
          <w:szCs w:val="21"/>
        </w:rPr>
        <w:t>特此证明。</w:t>
      </w:r>
    </w:p>
    <w:p>
      <w:pPr>
        <w:spacing w:line="360" w:lineRule="auto"/>
        <w:rPr>
          <w:rFonts w:ascii="宋体" w:hAnsi="宋体" w:cs="宋体"/>
          <w:bCs/>
          <w:szCs w:val="21"/>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tcPr>
          <w:p>
            <w:pPr>
              <w:rPr>
                <w:rFonts w:ascii="宋体" w:hAnsi="宋体" w:cs="宋体"/>
                <w:szCs w:val="21"/>
              </w:rPr>
            </w:pPr>
            <w:r>
              <w:rPr>
                <w:rFonts w:hint="eastAsia" w:ascii="宋体" w:hAnsi="宋体" w:cs="宋体"/>
                <w:szCs w:val="21"/>
              </w:rPr>
              <w:t>法定代表人身份证：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复印件粘贴处</w:t>
            </w:r>
          </w:p>
          <w:p>
            <w:pPr>
              <w:spacing w:line="360" w:lineRule="auto"/>
              <w:rPr>
                <w:rFonts w:ascii="宋体" w:hAnsi="宋体" w:cs="宋体"/>
                <w:bCs/>
                <w:szCs w:val="21"/>
              </w:rPr>
            </w:pPr>
          </w:p>
        </w:tc>
      </w:tr>
    </w:tbl>
    <w:p>
      <w:pPr>
        <w:spacing w:line="360" w:lineRule="auto"/>
        <w:rPr>
          <w:rFonts w:ascii="宋体" w:hAnsi="宋体" w:cs="宋体"/>
          <w:bCs/>
          <w:sz w:val="24"/>
        </w:rPr>
      </w:pPr>
    </w:p>
    <w:p>
      <w:pPr>
        <w:spacing w:line="360" w:lineRule="auto"/>
        <w:rPr>
          <w:rFonts w:ascii="宋体" w:hAnsi="宋体" w:cs="宋体"/>
          <w:b/>
          <w:bCs/>
          <w:sz w:val="24"/>
        </w:rPr>
      </w:pPr>
    </w:p>
    <w:p>
      <w:pPr>
        <w:spacing w:line="360" w:lineRule="auto"/>
        <w:ind w:right="456"/>
        <w:rPr>
          <w:rFonts w:ascii="宋体" w:hAnsi="宋体" w:cs="宋体"/>
          <w:szCs w:val="21"/>
        </w:rPr>
      </w:pPr>
      <w:r>
        <w:rPr>
          <w:rFonts w:hint="eastAsia" w:ascii="宋体" w:hAnsi="宋体" w:cs="宋体"/>
          <w:szCs w:val="21"/>
        </w:rPr>
        <w:t>供应商名称（盖章）：</w:t>
      </w:r>
    </w:p>
    <w:p>
      <w:pPr>
        <w:spacing w:line="360" w:lineRule="auto"/>
        <w:rPr>
          <w:rFonts w:ascii="宋体" w:hAnsi="宋体" w:cs="宋体"/>
          <w:szCs w:val="21"/>
        </w:rPr>
      </w:pPr>
      <w:r>
        <w:rPr>
          <w:rFonts w:hint="eastAsia" w:ascii="宋体" w:hAnsi="宋体" w:cs="宋体"/>
          <w:bCs/>
          <w:szCs w:val="21"/>
        </w:rPr>
        <w:t>日期：    年  月  日</w:t>
      </w:r>
    </w:p>
    <w:p>
      <w:pPr>
        <w:spacing w:line="360" w:lineRule="auto"/>
        <w:jc w:val="center"/>
        <w:outlineLvl w:val="2"/>
        <w:rPr>
          <w:rFonts w:ascii="宋体" w:hAnsi="宋体" w:cs="宋体"/>
          <w:b/>
          <w:sz w:val="24"/>
        </w:rPr>
      </w:pPr>
      <w:r>
        <w:rPr>
          <w:rFonts w:hint="eastAsia" w:ascii="宋体" w:hAnsi="宋体" w:cs="宋体"/>
          <w:b/>
          <w:sz w:val="24"/>
        </w:rPr>
        <w:br w:type="page"/>
      </w:r>
      <w:r>
        <w:rPr>
          <w:rFonts w:hint="eastAsia" w:ascii="宋体" w:hAnsi="宋体" w:cs="宋体"/>
          <w:b/>
          <w:sz w:val="24"/>
        </w:rPr>
        <w:t>法定代表人授权委托书</w:t>
      </w:r>
    </w:p>
    <w:p>
      <w:pPr>
        <w:spacing w:line="360" w:lineRule="auto"/>
        <w:rPr>
          <w:rFonts w:ascii="宋体" w:hAnsi="宋体" w:cs="宋体"/>
          <w:b/>
          <w:bCs/>
          <w:szCs w:val="21"/>
        </w:rPr>
      </w:pPr>
      <w:r>
        <w:rPr>
          <w:rFonts w:hint="eastAsia" w:ascii="宋体" w:hAnsi="宋体" w:cs="宋体"/>
          <w:bCs/>
          <w:szCs w:val="21"/>
        </w:rPr>
        <w:t>致：浙江财经大学、浙江建友工程咨询有限公司</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我____________（姓名）系__________________________（供应商名称）的法定代表人，现授权委托本单位在职职工：__________（姓名），身份证号码：____________________________以我方的名义参加</w:t>
      </w:r>
      <w:r>
        <w:rPr>
          <w:rFonts w:hint="eastAsia" w:ascii="宋体" w:hAnsi="宋体" w:cs="宋体"/>
          <w:bCs/>
          <w:szCs w:val="21"/>
          <w:u w:val="single"/>
        </w:rPr>
        <w:t>浙江财经大学图书盘点服务</w:t>
      </w:r>
      <w:r>
        <w:rPr>
          <w:rFonts w:hint="eastAsia" w:ascii="宋体" w:hAnsi="宋体" w:cs="宋体"/>
          <w:bCs/>
          <w:szCs w:val="21"/>
        </w:rPr>
        <w:t>项目</w:t>
      </w:r>
      <w:r>
        <w:rPr>
          <w:rFonts w:hint="eastAsia" w:ascii="宋体" w:hAnsi="宋体" w:cs="宋体"/>
          <w:szCs w:val="21"/>
        </w:rPr>
        <w:t>的磋商响应活动，并代表我方全权办理针对上述项目的磋商响应、响应文件开启、评审、签约等具体事务和签署相关文件。</w:t>
      </w:r>
    </w:p>
    <w:p>
      <w:pPr>
        <w:spacing w:line="360" w:lineRule="auto"/>
        <w:ind w:firstLine="420" w:firstLineChars="200"/>
        <w:rPr>
          <w:rFonts w:ascii="宋体" w:hAnsi="宋体" w:cs="宋体"/>
          <w:szCs w:val="21"/>
        </w:rPr>
      </w:pPr>
      <w:r>
        <w:rPr>
          <w:rFonts w:hint="eastAsia" w:ascii="宋体" w:hAnsi="宋体" w:cs="宋体"/>
          <w:szCs w:val="21"/>
        </w:rPr>
        <w:t>我方对被授权人的签名负全部责任。</w:t>
      </w:r>
    </w:p>
    <w:p>
      <w:pPr>
        <w:spacing w:line="360" w:lineRule="auto"/>
        <w:ind w:firstLine="420" w:firstLineChars="200"/>
        <w:rPr>
          <w:rFonts w:ascii="宋体" w:hAnsi="宋体" w:cs="宋体"/>
          <w:szCs w:val="21"/>
        </w:rPr>
      </w:pPr>
      <w:r>
        <w:rPr>
          <w:rFonts w:hint="eastAsia" w:ascii="宋体" w:hAnsi="宋体" w:cs="宋体"/>
          <w:szCs w:val="21"/>
        </w:rPr>
        <w:t>在撤销授权的书面通知以前，本授权书一直有效。被授权人在授权书有效期内签署的所有文件不因授权的撤销而失效。</w:t>
      </w:r>
    </w:p>
    <w:p>
      <w:pPr>
        <w:spacing w:line="360" w:lineRule="auto"/>
        <w:ind w:firstLine="420" w:firstLineChars="200"/>
        <w:rPr>
          <w:rFonts w:ascii="宋体" w:hAnsi="宋体" w:cs="宋体"/>
          <w:szCs w:val="21"/>
        </w:rPr>
      </w:pPr>
      <w:r>
        <w:rPr>
          <w:rFonts w:hint="eastAsia" w:ascii="宋体" w:hAnsi="宋体" w:cs="宋体"/>
          <w:szCs w:val="21"/>
        </w:rPr>
        <w:t>被授权人无转委托权，特此委托。</w:t>
      </w:r>
    </w:p>
    <w:p>
      <w:pPr>
        <w:spacing w:line="360" w:lineRule="auto"/>
        <w:ind w:firstLine="420" w:firstLineChars="200"/>
        <w:rPr>
          <w:rFonts w:ascii="宋体" w:hAnsi="宋体" w:cs="宋体"/>
          <w:szCs w:val="21"/>
        </w:rPr>
      </w:pPr>
      <w:r>
        <w:rPr>
          <w:rFonts w:hint="eastAsia" w:ascii="宋体" w:hAnsi="宋体" w:cs="宋体"/>
          <w:szCs w:val="21"/>
          <w:u w:val="single"/>
        </w:rPr>
        <w:t>▲授权代表必须为供应商本单位在职职工，并提供2021年1月至今任意一月的社保缴纳证明。</w:t>
      </w:r>
    </w:p>
    <w:p>
      <w:pPr>
        <w:spacing w:line="360" w:lineRule="auto"/>
        <w:rPr>
          <w:rFonts w:ascii="宋体" w:hAnsi="宋体" w:cs="宋体"/>
          <w:szCs w:val="21"/>
        </w:rPr>
      </w:pPr>
    </w:p>
    <w:p>
      <w:pPr>
        <w:spacing w:line="360" w:lineRule="auto"/>
        <w:rPr>
          <w:rFonts w:ascii="宋体" w:hAnsi="宋体" w:cs="宋体"/>
          <w:szCs w:val="21"/>
          <w:u w:val="single"/>
        </w:rPr>
      </w:pPr>
      <w:r>
        <w:rPr>
          <w:rFonts w:hint="eastAsia" w:ascii="宋体" w:hAnsi="宋体" w:cs="宋体"/>
          <w:szCs w:val="21"/>
        </w:rPr>
        <w:t>法定代表人（签字或盖章）：_____________________</w:t>
      </w:r>
    </w:p>
    <w:p>
      <w:pPr>
        <w:spacing w:line="360" w:lineRule="auto"/>
        <w:rPr>
          <w:rFonts w:ascii="宋体" w:hAnsi="宋体" w:cs="宋体"/>
          <w:szCs w:val="21"/>
        </w:rPr>
      </w:pPr>
      <w:r>
        <w:rPr>
          <w:rFonts w:hint="eastAsia" w:ascii="宋体" w:hAnsi="宋体" w:cs="宋体"/>
          <w:szCs w:val="21"/>
        </w:rPr>
        <w:t>供应商名称（盖章）：</w:t>
      </w:r>
    </w:p>
    <w:p>
      <w:pPr>
        <w:spacing w:line="360" w:lineRule="auto"/>
        <w:rPr>
          <w:rFonts w:ascii="宋体" w:hAnsi="宋体" w:cs="宋体"/>
          <w:bCs/>
          <w:szCs w:val="21"/>
        </w:rPr>
      </w:pPr>
      <w:r>
        <w:rPr>
          <w:rFonts w:hint="eastAsia" w:ascii="宋体" w:hAnsi="宋体" w:cs="宋体"/>
          <w:bCs/>
          <w:szCs w:val="21"/>
        </w:rPr>
        <w:t>日期：    年  月  日</w:t>
      </w:r>
    </w:p>
    <w:p>
      <w:pPr>
        <w:spacing w:line="360" w:lineRule="auto"/>
        <w:rPr>
          <w:rFonts w:ascii="宋体" w:hAnsi="宋体" w:cs="宋体"/>
          <w:szCs w:val="21"/>
        </w:rPr>
      </w:pPr>
    </w:p>
    <w:tbl>
      <w:tblPr>
        <w:tblStyle w:val="10"/>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trPr>
        <w:tc>
          <w:tcPr>
            <w:tcW w:w="9640" w:type="dxa"/>
          </w:tcPr>
          <w:p>
            <w:pPr>
              <w:rPr>
                <w:rFonts w:ascii="宋体" w:hAnsi="宋体" w:cs="宋体"/>
                <w:szCs w:val="21"/>
              </w:rPr>
            </w:pPr>
            <w:r>
              <w:rPr>
                <w:rFonts w:hint="eastAsia" w:ascii="宋体" w:hAnsi="宋体" w:cs="宋体"/>
                <w:szCs w:val="21"/>
              </w:rPr>
              <w:t>授权代表身份证：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复印件粘贴处</w:t>
            </w:r>
          </w:p>
          <w:p>
            <w:pPr>
              <w:spacing w:line="360" w:lineRule="auto"/>
              <w:rPr>
                <w:rFonts w:ascii="宋体" w:hAnsi="宋体" w:cs="宋体"/>
                <w:szCs w:val="21"/>
              </w:rPr>
            </w:pPr>
          </w:p>
        </w:tc>
      </w:tr>
    </w:tbl>
    <w:p>
      <w:pPr>
        <w:spacing w:line="360" w:lineRule="auto"/>
        <w:rPr>
          <w:rFonts w:ascii="宋体" w:hAnsi="宋体" w:cs="宋体"/>
          <w:b/>
          <w:bCs/>
          <w:sz w:val="24"/>
        </w:rPr>
      </w:pPr>
    </w:p>
    <w:p>
      <w:pPr>
        <w:spacing w:line="360" w:lineRule="auto"/>
        <w:rPr>
          <w:rFonts w:ascii="宋体" w:hAnsi="宋体" w:cs="宋体"/>
          <w:b/>
          <w:bCs/>
          <w:szCs w:val="21"/>
        </w:rPr>
      </w:pPr>
      <w:r>
        <w:rPr>
          <w:rFonts w:hint="eastAsia" w:ascii="宋体" w:hAnsi="宋体" w:cs="宋体"/>
          <w:b/>
          <w:bCs/>
          <w:szCs w:val="21"/>
        </w:rPr>
        <w:t>说明：</w:t>
      </w:r>
    </w:p>
    <w:p>
      <w:pPr>
        <w:spacing w:line="360" w:lineRule="auto"/>
        <w:rPr>
          <w:rFonts w:ascii="宋体" w:hAnsi="宋体" w:cs="宋体"/>
          <w:b/>
          <w:bCs/>
          <w:szCs w:val="21"/>
        </w:rPr>
      </w:pPr>
      <w:r>
        <w:rPr>
          <w:rFonts w:hint="eastAsia" w:ascii="宋体" w:hAnsi="宋体" w:cs="宋体"/>
          <w:b/>
          <w:bCs/>
          <w:szCs w:val="21"/>
        </w:rPr>
        <w:t>1.供应商的法定代表人参加磋商响应，须在响应文件中提供法定代表人资格证明书；</w:t>
      </w:r>
    </w:p>
    <w:p>
      <w:pPr>
        <w:spacing w:line="360" w:lineRule="auto"/>
        <w:rPr>
          <w:rFonts w:ascii="宋体" w:hAnsi="宋体" w:cs="宋体"/>
          <w:b/>
          <w:bCs/>
          <w:szCs w:val="21"/>
        </w:rPr>
      </w:pPr>
      <w:r>
        <w:rPr>
          <w:rFonts w:hint="eastAsia" w:ascii="宋体" w:hAnsi="宋体" w:cs="宋体"/>
          <w:b/>
          <w:bCs/>
          <w:szCs w:val="21"/>
        </w:rPr>
        <w:t>2.供应商的法定代表人委托授权代表参加磋商响应，须在响应文件中提供附有法定代表人资格证明书的法定代表人授权委托书。</w:t>
      </w:r>
    </w:p>
    <w:p>
      <w:pPr>
        <w:spacing w:line="360" w:lineRule="auto"/>
        <w:jc w:val="center"/>
        <w:outlineLvl w:val="2"/>
        <w:rPr>
          <w:rFonts w:ascii="宋体" w:hAnsi="宋体" w:cs="宋体"/>
          <w:b/>
          <w:sz w:val="24"/>
        </w:rPr>
      </w:pPr>
      <w:r>
        <w:rPr>
          <w:rFonts w:hint="eastAsia" w:ascii="宋体" w:hAnsi="宋体" w:cs="宋体"/>
          <w:b/>
          <w:sz w:val="24"/>
        </w:rPr>
        <w:br w:type="page"/>
      </w:r>
      <w:r>
        <w:rPr>
          <w:rFonts w:hint="eastAsia" w:ascii="宋体" w:hAnsi="宋体" w:cs="宋体"/>
          <w:b/>
          <w:sz w:val="24"/>
        </w:rPr>
        <w:t>2021年1月至今任意一月供应商授权代表社保缴纳证明</w:t>
      </w:r>
    </w:p>
    <w:p>
      <w:pPr>
        <w:spacing w:line="360" w:lineRule="auto"/>
        <w:jc w:val="center"/>
        <w:rPr>
          <w:rFonts w:ascii="宋体" w:hAnsi="宋体" w:cs="宋体"/>
          <w:b/>
          <w:sz w:val="24"/>
        </w:rPr>
      </w:pPr>
      <w:r>
        <w:rPr>
          <w:rFonts w:hint="eastAsia" w:ascii="宋体" w:hAnsi="宋体" w:cs="宋体"/>
          <w:b/>
          <w:sz w:val="24"/>
        </w:rPr>
        <w:t>（授权代表是法定代表人的可不提供）</w:t>
      </w:r>
    </w:p>
    <w:p>
      <w:pPr>
        <w:spacing w:line="360" w:lineRule="auto"/>
        <w:jc w:val="center"/>
        <w:outlineLvl w:val="2"/>
        <w:rPr>
          <w:rFonts w:ascii="宋体" w:hAnsi="宋体" w:cs="宋体"/>
          <w:b/>
          <w:sz w:val="24"/>
        </w:rPr>
      </w:pPr>
      <w:r>
        <w:rPr>
          <w:rFonts w:hint="eastAsia" w:ascii="宋体" w:hAnsi="宋体" w:cs="宋体"/>
          <w:b/>
          <w:sz w:val="24"/>
        </w:rPr>
        <w:br w:type="page"/>
      </w:r>
      <w:r>
        <w:rPr>
          <w:rFonts w:hint="eastAsia" w:ascii="宋体" w:hAnsi="宋体" w:cs="宋体"/>
          <w:b/>
          <w:sz w:val="24"/>
        </w:rPr>
        <w:t>响应声明书</w:t>
      </w:r>
    </w:p>
    <w:p>
      <w:pPr>
        <w:spacing w:line="360" w:lineRule="auto"/>
        <w:rPr>
          <w:rFonts w:ascii="宋体" w:hAnsi="宋体" w:cs="宋体"/>
          <w:szCs w:val="21"/>
        </w:rPr>
      </w:pPr>
      <w:r>
        <w:rPr>
          <w:rFonts w:hint="eastAsia" w:ascii="宋体" w:hAnsi="宋体" w:cs="宋体"/>
          <w:szCs w:val="21"/>
        </w:rPr>
        <w:t>致：浙江建友工程咨询有限公司：</w:t>
      </w:r>
    </w:p>
    <w:p>
      <w:pPr>
        <w:spacing w:line="360" w:lineRule="auto"/>
        <w:ind w:firstLine="420" w:firstLineChars="200"/>
        <w:rPr>
          <w:rFonts w:ascii="宋体" w:hAnsi="宋体" w:cs="宋体"/>
          <w:szCs w:val="21"/>
        </w:rPr>
      </w:pPr>
      <w:r>
        <w:rPr>
          <w:rFonts w:hint="eastAsia" w:ascii="宋体" w:hAnsi="宋体" w:cs="宋体"/>
          <w:szCs w:val="21"/>
        </w:rPr>
        <w:t>______________________________________（供应商名称）系中华人民共和国合法企业，经营地址__________________________________。</w:t>
      </w:r>
    </w:p>
    <w:p>
      <w:pPr>
        <w:spacing w:line="360" w:lineRule="auto"/>
        <w:ind w:firstLine="420" w:firstLineChars="200"/>
        <w:rPr>
          <w:rFonts w:ascii="宋体" w:hAnsi="宋体" w:cs="宋体"/>
          <w:szCs w:val="21"/>
        </w:rPr>
      </w:pPr>
      <w:r>
        <w:rPr>
          <w:rFonts w:hint="eastAsia" w:ascii="宋体" w:hAnsi="宋体" w:cs="宋体"/>
          <w:szCs w:val="21"/>
        </w:rPr>
        <w:t>我方愿意参加贵方组织的</w:t>
      </w:r>
      <w:r>
        <w:rPr>
          <w:rFonts w:hint="eastAsia" w:ascii="宋体" w:hAnsi="宋体" w:cs="宋体"/>
          <w:bCs/>
          <w:szCs w:val="21"/>
          <w:u w:val="single"/>
        </w:rPr>
        <w:t>浙江财经大学图书盘点服务</w:t>
      </w:r>
      <w:r>
        <w:rPr>
          <w:rFonts w:hint="eastAsia" w:ascii="宋体" w:hAnsi="宋体" w:cs="宋体"/>
          <w:bCs/>
          <w:szCs w:val="21"/>
        </w:rPr>
        <w:t>项目</w:t>
      </w:r>
      <w:r>
        <w:rPr>
          <w:rFonts w:hint="eastAsia" w:ascii="宋体" w:hAnsi="宋体" w:cs="宋体"/>
          <w:szCs w:val="21"/>
        </w:rPr>
        <w:t>的磋商响应，为便于贵方公正、择优地确定成交供应商及其磋商响应产品和服务，我方就本次磋商有关事项郑重声明如下：</w:t>
      </w:r>
    </w:p>
    <w:p>
      <w:pPr>
        <w:spacing w:line="360" w:lineRule="auto"/>
        <w:ind w:firstLine="420" w:firstLineChars="200"/>
        <w:rPr>
          <w:rFonts w:ascii="宋体" w:hAnsi="宋体" w:cs="宋体"/>
          <w:szCs w:val="21"/>
        </w:rPr>
      </w:pPr>
      <w:r>
        <w:rPr>
          <w:rFonts w:hint="eastAsia" w:ascii="宋体" w:hAnsi="宋体" w:cs="宋体"/>
          <w:szCs w:val="21"/>
        </w:rPr>
        <w:t>1、我方向贵方提交的所有响应文件、资料都是准确的和真实的；</w:t>
      </w:r>
    </w:p>
    <w:p>
      <w:pPr>
        <w:spacing w:line="360" w:lineRule="auto"/>
        <w:ind w:firstLine="420" w:firstLineChars="200"/>
        <w:rPr>
          <w:rFonts w:ascii="宋体" w:hAnsi="宋体" w:cs="宋体"/>
          <w:szCs w:val="21"/>
        </w:rPr>
      </w:pPr>
      <w:r>
        <w:rPr>
          <w:rFonts w:hint="eastAsia" w:ascii="宋体" w:hAnsi="宋体" w:cs="宋体"/>
          <w:szCs w:val="21"/>
        </w:rPr>
        <w:t>2、我方不是采购人的附属机构；在获知本项目采购信息后，与采购人聘请的为此项目提供咨询服务的公司及其附属机构没有任何联系。</w:t>
      </w:r>
    </w:p>
    <w:p>
      <w:pPr>
        <w:pStyle w:val="2"/>
        <w:spacing w:line="360" w:lineRule="auto"/>
        <w:ind w:firstLine="420" w:firstLineChars="200"/>
        <w:rPr>
          <w:rFonts w:hAnsi="宋体" w:cs="宋体"/>
          <w:spacing w:val="0"/>
          <w:sz w:val="21"/>
          <w:szCs w:val="21"/>
        </w:rPr>
      </w:pPr>
      <w:r>
        <w:rPr>
          <w:rFonts w:hint="eastAsia" w:hAnsi="宋体" w:cs="宋体"/>
          <w:spacing w:val="0"/>
          <w:sz w:val="21"/>
          <w:szCs w:val="21"/>
        </w:rPr>
        <w:t>3.我方在参加政府采购活动前3年内：</w:t>
      </w:r>
      <w:r>
        <w:rPr>
          <w:rFonts w:hint="eastAsia" w:hAnsi="宋体" w:cs="宋体"/>
          <w:b/>
          <w:spacing w:val="0"/>
          <w:sz w:val="21"/>
          <w:szCs w:val="21"/>
          <w:u w:val="single"/>
        </w:rPr>
        <w:t xml:space="preserve">      </w:t>
      </w:r>
      <w:r>
        <w:rPr>
          <w:rFonts w:hint="eastAsia" w:hAnsi="宋体" w:cs="宋体"/>
          <w:b/>
          <w:spacing w:val="0"/>
          <w:sz w:val="21"/>
          <w:szCs w:val="21"/>
        </w:rPr>
        <w:t>（填写“有”或“没有”，如实填写，如不填写视同未按要求填写）</w:t>
      </w:r>
      <w:r>
        <w:rPr>
          <w:rFonts w:hint="eastAsia" w:hAnsi="宋体" w:cs="宋体"/>
          <w:spacing w:val="0"/>
          <w:sz w:val="21"/>
          <w:szCs w:val="21"/>
        </w:rPr>
        <w:t>因违法经营被禁止在一定期限内参加政府采购活动,且期限未满的情形；</w:t>
      </w:r>
    </w:p>
    <w:p>
      <w:pPr>
        <w:pStyle w:val="2"/>
        <w:spacing w:line="360" w:lineRule="auto"/>
        <w:ind w:firstLine="420" w:firstLineChars="200"/>
        <w:rPr>
          <w:rFonts w:hAnsi="宋体" w:cs="宋体"/>
          <w:spacing w:val="0"/>
          <w:sz w:val="21"/>
          <w:szCs w:val="21"/>
        </w:rPr>
      </w:pPr>
      <w:r>
        <w:rPr>
          <w:rFonts w:hint="eastAsia" w:hAnsi="宋体" w:cs="宋体"/>
          <w:spacing w:val="0"/>
          <w:sz w:val="21"/>
          <w:szCs w:val="21"/>
        </w:rPr>
        <w:t>4、以上事项如有虚假或隐瞒，我方愿意承担一切后果和责任。</w:t>
      </w:r>
    </w:p>
    <w:p>
      <w:pPr>
        <w:pStyle w:val="19"/>
        <w:spacing w:line="360" w:lineRule="auto"/>
        <w:rPr>
          <w:rFonts w:ascii="宋体" w:hAnsi="宋体" w:cs="宋体"/>
          <w:sz w:val="21"/>
          <w:szCs w:val="21"/>
        </w:rPr>
      </w:pPr>
    </w:p>
    <w:p>
      <w:pPr>
        <w:pStyle w:val="19"/>
        <w:spacing w:line="360" w:lineRule="auto"/>
        <w:rPr>
          <w:rFonts w:ascii="宋体" w:hAnsi="宋体" w:cs="宋体"/>
          <w:sz w:val="21"/>
          <w:szCs w:val="21"/>
        </w:rPr>
      </w:pPr>
    </w:p>
    <w:p>
      <w:pPr>
        <w:spacing w:line="360" w:lineRule="auto"/>
        <w:rPr>
          <w:rFonts w:ascii="宋体" w:hAnsi="宋体" w:cs="宋体"/>
          <w:szCs w:val="21"/>
        </w:rPr>
      </w:pPr>
      <w:r>
        <w:rPr>
          <w:rFonts w:hint="eastAsia" w:ascii="宋体" w:hAnsi="宋体" w:cs="宋体"/>
          <w:szCs w:val="21"/>
        </w:rPr>
        <w:t>供应商名称（盖章）：</w:t>
      </w:r>
    </w:p>
    <w:p>
      <w:pPr>
        <w:spacing w:line="360" w:lineRule="auto"/>
        <w:rPr>
          <w:rFonts w:ascii="宋体" w:hAnsi="宋体" w:cs="宋体"/>
          <w:szCs w:val="21"/>
        </w:rPr>
      </w:pPr>
      <w:r>
        <w:rPr>
          <w:rFonts w:hint="eastAsia" w:ascii="宋体" w:hAnsi="宋体" w:cs="宋体"/>
          <w:szCs w:val="21"/>
        </w:rPr>
        <w:t>供应商授权代表签字：</w:t>
      </w:r>
    </w:p>
    <w:p>
      <w:pPr>
        <w:spacing w:line="360" w:lineRule="auto"/>
        <w:rPr>
          <w:rFonts w:ascii="宋体" w:hAnsi="宋体" w:cs="宋体"/>
          <w:szCs w:val="21"/>
        </w:rPr>
      </w:pPr>
      <w:r>
        <w:rPr>
          <w:rFonts w:hint="eastAsia" w:ascii="宋体" w:hAnsi="宋体" w:cs="宋体"/>
          <w:bCs/>
          <w:szCs w:val="21"/>
        </w:rPr>
        <w:t>日期：    年  月  日</w:t>
      </w:r>
    </w:p>
    <w:p>
      <w:pPr>
        <w:spacing w:line="360" w:lineRule="auto"/>
        <w:jc w:val="center"/>
        <w:outlineLvl w:val="2"/>
        <w:rPr>
          <w:rFonts w:ascii="宋体" w:hAnsi="宋体" w:cs="宋体"/>
          <w:b/>
          <w:sz w:val="24"/>
        </w:rPr>
      </w:pPr>
      <w:r>
        <w:rPr>
          <w:rFonts w:hint="eastAsia" w:ascii="宋体" w:hAnsi="宋体" w:cs="宋体"/>
          <w:b/>
          <w:sz w:val="24"/>
        </w:rPr>
        <w:br w:type="page"/>
      </w:r>
      <w:r>
        <w:rPr>
          <w:rFonts w:hint="eastAsia" w:ascii="宋体" w:hAnsi="宋体" w:cs="宋体"/>
          <w:b/>
          <w:sz w:val="24"/>
        </w:rPr>
        <w:t>供应商一般情况</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cs="宋体"/>
                <w:szCs w:val="21"/>
              </w:rPr>
            </w:pPr>
            <w:r>
              <w:rPr>
                <w:rFonts w:hint="eastAsia" w:ascii="宋体" w:hAnsi="宋体" w:cs="宋体"/>
                <w:szCs w:val="21"/>
              </w:rPr>
              <w:t>1</w:t>
            </w:r>
          </w:p>
        </w:tc>
        <w:tc>
          <w:tcPr>
            <w:tcW w:w="8763" w:type="dxa"/>
            <w:gridSpan w:val="3"/>
            <w:vAlign w:val="center"/>
          </w:tcPr>
          <w:p>
            <w:pPr>
              <w:spacing w:line="360" w:lineRule="auto"/>
              <w:rPr>
                <w:rFonts w:ascii="宋体" w:hAnsi="宋体" w:cs="宋体"/>
                <w:szCs w:val="21"/>
              </w:rPr>
            </w:pPr>
            <w:r>
              <w:rPr>
                <w:rFonts w:hint="eastAsia" w:ascii="宋体" w:hAnsi="宋体" w:cs="宋体"/>
                <w:szCs w:val="21"/>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cs="宋体"/>
                <w:szCs w:val="21"/>
              </w:rPr>
            </w:pPr>
            <w:r>
              <w:rPr>
                <w:rFonts w:hint="eastAsia" w:ascii="宋体" w:hAnsi="宋体" w:cs="宋体"/>
                <w:szCs w:val="21"/>
              </w:rPr>
              <w:t>2</w:t>
            </w:r>
          </w:p>
        </w:tc>
        <w:tc>
          <w:tcPr>
            <w:tcW w:w="8763" w:type="dxa"/>
            <w:gridSpan w:val="3"/>
            <w:vAlign w:val="center"/>
          </w:tcPr>
          <w:p>
            <w:pPr>
              <w:spacing w:line="360" w:lineRule="auto"/>
              <w:rPr>
                <w:rFonts w:ascii="宋体" w:hAnsi="宋体" w:cs="宋体"/>
                <w:szCs w:val="21"/>
              </w:rPr>
            </w:pPr>
            <w:r>
              <w:rPr>
                <w:rFonts w:hint="eastAsia" w:ascii="宋体" w:hAnsi="宋体" w:cs="宋体"/>
                <w:szCs w:val="21"/>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cs="宋体"/>
                <w:szCs w:val="21"/>
              </w:rPr>
            </w:pPr>
            <w:r>
              <w:rPr>
                <w:rFonts w:hint="eastAsia" w:ascii="宋体" w:hAnsi="宋体" w:cs="宋体"/>
                <w:szCs w:val="21"/>
              </w:rPr>
              <w:t>3</w:t>
            </w:r>
          </w:p>
        </w:tc>
        <w:tc>
          <w:tcPr>
            <w:tcW w:w="8763" w:type="dxa"/>
            <w:gridSpan w:val="3"/>
            <w:vAlign w:val="center"/>
          </w:tcPr>
          <w:p>
            <w:pPr>
              <w:spacing w:line="360" w:lineRule="auto"/>
              <w:rPr>
                <w:rFonts w:ascii="宋体" w:hAnsi="宋体" w:cs="宋体"/>
                <w:szCs w:val="21"/>
              </w:rPr>
            </w:pPr>
            <w:r>
              <w:rPr>
                <w:rFonts w:hint="eastAsia" w:ascii="宋体" w:hAnsi="宋体" w:cs="宋体"/>
                <w:szCs w:val="21"/>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cs="宋体"/>
                <w:szCs w:val="21"/>
              </w:rPr>
            </w:pPr>
            <w:r>
              <w:rPr>
                <w:rFonts w:hint="eastAsia" w:ascii="宋体" w:hAnsi="宋体" w:cs="宋体"/>
                <w:szCs w:val="21"/>
              </w:rPr>
              <w:t>4</w:t>
            </w:r>
          </w:p>
        </w:tc>
        <w:tc>
          <w:tcPr>
            <w:tcW w:w="4305" w:type="dxa"/>
            <w:gridSpan w:val="2"/>
            <w:vAlign w:val="center"/>
          </w:tcPr>
          <w:p>
            <w:pPr>
              <w:spacing w:line="360" w:lineRule="auto"/>
              <w:rPr>
                <w:rFonts w:ascii="宋体" w:hAnsi="宋体" w:cs="宋体"/>
                <w:szCs w:val="21"/>
              </w:rPr>
            </w:pPr>
            <w:r>
              <w:rPr>
                <w:rFonts w:hint="eastAsia" w:ascii="宋体" w:hAnsi="宋体" w:cs="宋体"/>
                <w:szCs w:val="21"/>
              </w:rPr>
              <w:t>电话：</w:t>
            </w:r>
          </w:p>
        </w:tc>
        <w:tc>
          <w:tcPr>
            <w:tcW w:w="4458" w:type="dxa"/>
            <w:vAlign w:val="center"/>
          </w:tcPr>
          <w:p>
            <w:pPr>
              <w:spacing w:line="360" w:lineRule="auto"/>
              <w:rPr>
                <w:rFonts w:ascii="宋体" w:hAnsi="宋体" w:cs="宋体"/>
                <w:szCs w:val="21"/>
              </w:rPr>
            </w:pPr>
            <w:r>
              <w:rPr>
                <w:rFonts w:hint="eastAsia" w:ascii="宋体" w:hAnsi="宋体" w:cs="宋体"/>
                <w:szCs w:val="21"/>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cs="宋体"/>
                <w:szCs w:val="21"/>
              </w:rPr>
            </w:pPr>
            <w:r>
              <w:rPr>
                <w:rFonts w:hint="eastAsia" w:ascii="宋体" w:hAnsi="宋体" w:cs="宋体"/>
                <w:szCs w:val="21"/>
              </w:rPr>
              <w:t>5</w:t>
            </w:r>
          </w:p>
        </w:tc>
        <w:tc>
          <w:tcPr>
            <w:tcW w:w="4305" w:type="dxa"/>
            <w:gridSpan w:val="2"/>
            <w:vAlign w:val="center"/>
          </w:tcPr>
          <w:p>
            <w:pPr>
              <w:spacing w:line="360" w:lineRule="auto"/>
              <w:rPr>
                <w:rFonts w:ascii="宋体" w:hAnsi="宋体" w:cs="宋体"/>
                <w:szCs w:val="21"/>
              </w:rPr>
            </w:pPr>
            <w:r>
              <w:rPr>
                <w:rFonts w:hint="eastAsia" w:ascii="宋体" w:hAnsi="宋体" w:cs="宋体"/>
                <w:szCs w:val="21"/>
              </w:rPr>
              <w:t>传真：</w:t>
            </w:r>
          </w:p>
        </w:tc>
        <w:tc>
          <w:tcPr>
            <w:tcW w:w="4458" w:type="dxa"/>
            <w:vAlign w:val="center"/>
          </w:tcPr>
          <w:p>
            <w:pPr>
              <w:spacing w:line="360" w:lineRule="auto"/>
              <w:rPr>
                <w:rFonts w:ascii="宋体" w:hAnsi="宋体" w:cs="宋体"/>
                <w:szCs w:val="21"/>
              </w:rPr>
            </w:pPr>
            <w:r>
              <w:rPr>
                <w:rFonts w:hint="eastAsia" w:ascii="宋体" w:hAnsi="宋体" w:cs="宋体"/>
                <w:szCs w:val="21"/>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cs="宋体"/>
                <w:szCs w:val="21"/>
              </w:rPr>
            </w:pPr>
            <w:r>
              <w:rPr>
                <w:rFonts w:hint="eastAsia" w:ascii="宋体" w:hAnsi="宋体" w:cs="宋体"/>
                <w:szCs w:val="21"/>
              </w:rPr>
              <w:t>6</w:t>
            </w:r>
          </w:p>
        </w:tc>
        <w:tc>
          <w:tcPr>
            <w:tcW w:w="4305" w:type="dxa"/>
            <w:gridSpan w:val="2"/>
            <w:vAlign w:val="center"/>
          </w:tcPr>
          <w:p>
            <w:pPr>
              <w:spacing w:line="360" w:lineRule="auto"/>
              <w:rPr>
                <w:rFonts w:ascii="宋体" w:hAnsi="宋体" w:cs="宋体"/>
                <w:szCs w:val="21"/>
              </w:rPr>
            </w:pPr>
            <w:r>
              <w:rPr>
                <w:rFonts w:hint="eastAsia" w:ascii="宋体" w:hAnsi="宋体" w:cs="宋体"/>
                <w:szCs w:val="21"/>
              </w:rPr>
              <w:t>注册地：</w:t>
            </w:r>
          </w:p>
        </w:tc>
        <w:tc>
          <w:tcPr>
            <w:tcW w:w="4458" w:type="dxa"/>
            <w:vAlign w:val="center"/>
          </w:tcPr>
          <w:p>
            <w:pPr>
              <w:spacing w:line="360" w:lineRule="auto"/>
              <w:rPr>
                <w:rFonts w:ascii="宋体" w:hAnsi="宋体" w:cs="宋体"/>
                <w:szCs w:val="21"/>
              </w:rPr>
            </w:pPr>
            <w:r>
              <w:rPr>
                <w:rFonts w:hint="eastAsia" w:ascii="宋体" w:hAnsi="宋体" w:cs="宋体"/>
                <w:szCs w:val="21"/>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735" w:type="dxa"/>
            <w:vAlign w:val="center"/>
          </w:tcPr>
          <w:p>
            <w:pPr>
              <w:spacing w:line="360" w:lineRule="auto"/>
              <w:jc w:val="center"/>
              <w:rPr>
                <w:rFonts w:ascii="宋体" w:hAnsi="宋体" w:cs="宋体"/>
                <w:szCs w:val="21"/>
              </w:rPr>
            </w:pPr>
            <w:r>
              <w:rPr>
                <w:rFonts w:hint="eastAsia" w:ascii="宋体" w:hAnsi="宋体" w:cs="宋体"/>
                <w:szCs w:val="21"/>
              </w:rPr>
              <w:t>7</w:t>
            </w:r>
          </w:p>
        </w:tc>
        <w:tc>
          <w:tcPr>
            <w:tcW w:w="2520" w:type="dxa"/>
            <w:vAlign w:val="center"/>
          </w:tcPr>
          <w:p>
            <w:pPr>
              <w:spacing w:line="360" w:lineRule="auto"/>
              <w:rPr>
                <w:rFonts w:ascii="宋体" w:hAnsi="宋体" w:cs="宋体"/>
                <w:szCs w:val="21"/>
              </w:rPr>
            </w:pPr>
            <w:r>
              <w:rPr>
                <w:rFonts w:hint="eastAsia" w:ascii="宋体" w:hAnsi="宋体" w:cs="宋体"/>
                <w:szCs w:val="21"/>
              </w:rPr>
              <w:t>其他需要说明的情况</w:t>
            </w:r>
          </w:p>
        </w:tc>
        <w:tc>
          <w:tcPr>
            <w:tcW w:w="6243" w:type="dxa"/>
            <w:gridSpan w:val="2"/>
            <w:vAlign w:val="center"/>
          </w:tcPr>
          <w:p>
            <w:pPr>
              <w:spacing w:line="360" w:lineRule="auto"/>
              <w:rPr>
                <w:rFonts w:ascii="宋体" w:hAnsi="宋体" w:cs="宋体"/>
                <w:szCs w:val="21"/>
              </w:rPr>
            </w:pPr>
          </w:p>
        </w:tc>
      </w:tr>
    </w:tbl>
    <w:p>
      <w:pPr>
        <w:spacing w:line="360" w:lineRule="auto"/>
        <w:rPr>
          <w:rFonts w:ascii="宋体" w:hAnsi="宋体" w:cs="宋体"/>
          <w:sz w:val="24"/>
        </w:rPr>
      </w:pPr>
    </w:p>
    <w:p>
      <w:pPr>
        <w:spacing w:line="360" w:lineRule="auto"/>
        <w:rPr>
          <w:rFonts w:ascii="宋体" w:hAnsi="宋体" w:cs="宋体"/>
          <w:b/>
          <w:szCs w:val="21"/>
        </w:rPr>
      </w:pPr>
      <w:r>
        <w:rPr>
          <w:rFonts w:hint="eastAsia" w:ascii="宋体" w:hAnsi="宋体" w:cs="宋体"/>
          <w:b/>
          <w:szCs w:val="21"/>
        </w:rPr>
        <w:t>说明：所有供应商都须填写此表。</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供应商名称（盖章）： </w:t>
      </w:r>
    </w:p>
    <w:p>
      <w:pPr>
        <w:spacing w:line="360" w:lineRule="auto"/>
        <w:rPr>
          <w:rFonts w:ascii="宋体" w:hAnsi="宋体" w:cs="宋体"/>
          <w:szCs w:val="21"/>
        </w:rPr>
      </w:pPr>
      <w:r>
        <w:rPr>
          <w:rFonts w:hint="eastAsia" w:ascii="宋体" w:hAnsi="宋体" w:cs="宋体"/>
          <w:szCs w:val="21"/>
        </w:rPr>
        <w:t>供应商授权代表签字：</w:t>
      </w:r>
    </w:p>
    <w:p>
      <w:pPr>
        <w:spacing w:line="360" w:lineRule="auto"/>
        <w:rPr>
          <w:rFonts w:ascii="宋体" w:hAnsi="宋体" w:cs="宋体"/>
          <w:szCs w:val="21"/>
        </w:rPr>
      </w:pPr>
      <w:r>
        <w:rPr>
          <w:rFonts w:hint="eastAsia" w:ascii="宋体" w:hAnsi="宋体" w:cs="宋体"/>
          <w:szCs w:val="21"/>
        </w:rPr>
        <w:t>日期：    年  月  日</w:t>
      </w:r>
    </w:p>
    <w:p>
      <w:pPr>
        <w:spacing w:line="360" w:lineRule="auto"/>
        <w:rPr>
          <w:rFonts w:ascii="宋体" w:hAnsi="宋体" w:cs="宋体"/>
          <w:sz w:val="24"/>
        </w:rPr>
      </w:pPr>
    </w:p>
    <w:p>
      <w:pPr>
        <w:spacing w:line="360" w:lineRule="auto"/>
        <w:jc w:val="center"/>
        <w:outlineLvl w:val="2"/>
        <w:rPr>
          <w:rFonts w:ascii="宋体" w:hAnsi="宋体" w:cs="宋体"/>
          <w:b/>
          <w:sz w:val="24"/>
        </w:rPr>
      </w:pPr>
      <w:r>
        <w:rPr>
          <w:rFonts w:hint="eastAsia" w:ascii="宋体" w:hAnsi="宋体" w:cs="宋体"/>
          <w:b/>
          <w:bCs/>
          <w:iCs/>
          <w:sz w:val="24"/>
        </w:rPr>
        <w:br w:type="page"/>
      </w:r>
      <w:r>
        <w:rPr>
          <w:rFonts w:hint="eastAsia" w:ascii="宋体" w:hAnsi="宋体" w:cs="宋体"/>
          <w:b/>
          <w:sz w:val="24"/>
        </w:rPr>
        <w:t>商务偏离表</w:t>
      </w:r>
    </w:p>
    <w:p>
      <w:pPr>
        <w:spacing w:line="360" w:lineRule="auto"/>
        <w:rPr>
          <w:rFonts w:ascii="宋体" w:hAnsi="宋体" w:cs="宋体"/>
          <w:bCs/>
          <w:szCs w:val="21"/>
        </w:rPr>
      </w:pPr>
      <w:r>
        <w:rPr>
          <w:rFonts w:hint="eastAsia" w:ascii="宋体" w:hAnsi="宋体" w:cs="宋体"/>
          <w:bCs/>
          <w:szCs w:val="21"/>
        </w:rPr>
        <w:t>采购人：浙江财经大学</w:t>
      </w:r>
    </w:p>
    <w:p>
      <w:pPr>
        <w:spacing w:line="360" w:lineRule="auto"/>
        <w:rPr>
          <w:rFonts w:ascii="宋体" w:hAnsi="宋体" w:cs="宋体"/>
          <w:bCs/>
          <w:szCs w:val="21"/>
        </w:rPr>
      </w:pPr>
      <w:r>
        <w:rPr>
          <w:rFonts w:hint="eastAsia" w:ascii="宋体" w:hAnsi="宋体" w:cs="宋体"/>
          <w:bCs/>
          <w:szCs w:val="21"/>
        </w:rPr>
        <w:t>项目名称：浙江财经大学图书盘点服务</w:t>
      </w:r>
    </w:p>
    <w:p>
      <w:pPr>
        <w:spacing w:line="360" w:lineRule="auto"/>
        <w:rPr>
          <w:rFonts w:ascii="宋体" w:hAnsi="宋体" w:cs="宋体"/>
          <w:bCs/>
          <w:szCs w:val="21"/>
        </w:rPr>
      </w:pPr>
      <w:r>
        <w:rPr>
          <w:rFonts w:hint="eastAsia" w:ascii="宋体" w:hAnsi="宋体" w:cs="宋体"/>
          <w:bCs/>
          <w:szCs w:val="21"/>
        </w:rPr>
        <w:t>项目编号：ZJJY-20210713-01</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snapToGrid w:val="0"/>
              <w:jc w:val="center"/>
              <w:rPr>
                <w:rFonts w:ascii="宋体" w:hAnsi="宋体" w:cs="宋体"/>
                <w:b/>
                <w:szCs w:val="21"/>
              </w:rPr>
            </w:pPr>
            <w:r>
              <w:rPr>
                <w:rFonts w:hint="eastAsia" w:ascii="宋体" w:hAnsi="宋体" w:cs="宋体"/>
                <w:b/>
                <w:szCs w:val="21"/>
              </w:rPr>
              <w:t>序号</w:t>
            </w:r>
          </w:p>
        </w:tc>
        <w:tc>
          <w:tcPr>
            <w:tcW w:w="3260" w:type="dxa"/>
            <w:vAlign w:val="center"/>
          </w:tcPr>
          <w:p>
            <w:pPr>
              <w:snapToGrid w:val="0"/>
              <w:jc w:val="center"/>
              <w:rPr>
                <w:rFonts w:ascii="宋体" w:hAnsi="宋体" w:cs="宋体"/>
                <w:b/>
                <w:szCs w:val="21"/>
              </w:rPr>
            </w:pPr>
            <w:r>
              <w:rPr>
                <w:rFonts w:hint="eastAsia" w:ascii="宋体" w:hAnsi="宋体" w:cs="宋体"/>
                <w:b/>
                <w:szCs w:val="21"/>
              </w:rPr>
              <w:t>磋商文件要求</w:t>
            </w:r>
          </w:p>
        </w:tc>
        <w:tc>
          <w:tcPr>
            <w:tcW w:w="3402" w:type="dxa"/>
            <w:vAlign w:val="center"/>
          </w:tcPr>
          <w:p>
            <w:pPr>
              <w:snapToGrid w:val="0"/>
              <w:jc w:val="center"/>
              <w:rPr>
                <w:rFonts w:ascii="宋体" w:hAnsi="宋体" w:cs="宋体"/>
                <w:b/>
                <w:szCs w:val="21"/>
              </w:rPr>
            </w:pPr>
            <w:r>
              <w:rPr>
                <w:rFonts w:hint="eastAsia" w:ascii="宋体" w:hAnsi="宋体" w:cs="宋体"/>
                <w:b/>
                <w:szCs w:val="21"/>
              </w:rPr>
              <w:t>响应内容</w:t>
            </w:r>
          </w:p>
        </w:tc>
        <w:tc>
          <w:tcPr>
            <w:tcW w:w="1985" w:type="dxa"/>
            <w:vAlign w:val="center"/>
          </w:tcPr>
          <w:p>
            <w:pPr>
              <w:snapToGrid w:val="0"/>
              <w:jc w:val="center"/>
              <w:rPr>
                <w:rFonts w:ascii="宋体" w:hAnsi="宋体" w:cs="宋体"/>
                <w:b/>
                <w:szCs w:val="21"/>
              </w:rPr>
            </w:pPr>
            <w:r>
              <w:rPr>
                <w:rFonts w:hint="eastAsia" w:ascii="宋体" w:hAnsi="宋体" w:cs="宋体"/>
                <w:b/>
                <w:szCs w:val="21"/>
              </w:rPr>
              <w:t>是否偏离</w:t>
            </w:r>
          </w:p>
          <w:p>
            <w:pPr>
              <w:snapToGrid w:val="0"/>
              <w:jc w:val="center"/>
              <w:rPr>
                <w:rFonts w:ascii="宋体" w:hAnsi="宋体" w:cs="宋体"/>
                <w:b/>
                <w:szCs w:val="21"/>
              </w:rPr>
            </w:pPr>
            <w:r>
              <w:rPr>
                <w:rFonts w:hint="eastAsia" w:ascii="宋体" w:hAnsi="宋体" w:cs="宋体"/>
                <w:b/>
                <w:szCs w:val="21"/>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pPr>
              <w:snapToGrid w:val="0"/>
              <w:rPr>
                <w:rFonts w:ascii="宋体" w:hAnsi="宋体" w:cs="宋体"/>
                <w:szCs w:val="21"/>
              </w:rPr>
            </w:pPr>
            <w:r>
              <w:rPr>
                <w:rFonts w:hint="eastAsia" w:ascii="宋体" w:hAnsi="宋体" w:cs="宋体"/>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snapToGrid w:val="0"/>
              <w:jc w:val="center"/>
              <w:rPr>
                <w:rFonts w:ascii="宋体" w:hAnsi="宋体" w:cs="宋体"/>
                <w:szCs w:val="21"/>
              </w:rPr>
            </w:pPr>
            <w:r>
              <w:rPr>
                <w:rFonts w:hint="eastAsia" w:ascii="宋体" w:hAnsi="宋体" w:cs="宋体"/>
                <w:szCs w:val="21"/>
              </w:rPr>
              <w:t>1</w:t>
            </w:r>
          </w:p>
        </w:tc>
        <w:tc>
          <w:tcPr>
            <w:tcW w:w="3260" w:type="dxa"/>
            <w:vAlign w:val="center"/>
          </w:tcPr>
          <w:p>
            <w:pPr>
              <w:snapToGrid w:val="0"/>
              <w:jc w:val="center"/>
              <w:rPr>
                <w:rFonts w:ascii="宋体" w:hAnsi="宋体" w:cs="宋体"/>
                <w:szCs w:val="21"/>
              </w:rPr>
            </w:pPr>
          </w:p>
        </w:tc>
        <w:tc>
          <w:tcPr>
            <w:tcW w:w="3402" w:type="dxa"/>
            <w:vAlign w:val="center"/>
          </w:tcPr>
          <w:p>
            <w:pPr>
              <w:snapToGrid w:val="0"/>
              <w:jc w:val="center"/>
              <w:rPr>
                <w:rFonts w:ascii="宋体" w:hAnsi="宋体" w:cs="宋体"/>
                <w:szCs w:val="21"/>
              </w:rPr>
            </w:pPr>
          </w:p>
        </w:tc>
        <w:tc>
          <w:tcPr>
            <w:tcW w:w="1985" w:type="dxa"/>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snapToGrid w:val="0"/>
              <w:jc w:val="center"/>
              <w:rPr>
                <w:rFonts w:ascii="宋体" w:hAnsi="宋体" w:cs="宋体"/>
                <w:szCs w:val="21"/>
              </w:rPr>
            </w:pPr>
            <w:r>
              <w:rPr>
                <w:rFonts w:hint="eastAsia" w:ascii="宋体" w:hAnsi="宋体" w:cs="宋体"/>
                <w:szCs w:val="21"/>
              </w:rPr>
              <w:t>2</w:t>
            </w:r>
          </w:p>
        </w:tc>
        <w:tc>
          <w:tcPr>
            <w:tcW w:w="3260" w:type="dxa"/>
            <w:vAlign w:val="center"/>
          </w:tcPr>
          <w:p>
            <w:pPr>
              <w:snapToGrid w:val="0"/>
              <w:jc w:val="center"/>
              <w:rPr>
                <w:rFonts w:ascii="宋体" w:hAnsi="宋体" w:cs="宋体"/>
                <w:szCs w:val="21"/>
              </w:rPr>
            </w:pPr>
          </w:p>
        </w:tc>
        <w:tc>
          <w:tcPr>
            <w:tcW w:w="3402" w:type="dxa"/>
            <w:vAlign w:val="center"/>
          </w:tcPr>
          <w:p>
            <w:pPr>
              <w:snapToGrid w:val="0"/>
              <w:jc w:val="center"/>
              <w:rPr>
                <w:rFonts w:ascii="宋体" w:hAnsi="宋体" w:cs="宋体"/>
                <w:szCs w:val="21"/>
              </w:rPr>
            </w:pPr>
          </w:p>
        </w:tc>
        <w:tc>
          <w:tcPr>
            <w:tcW w:w="1985" w:type="dxa"/>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snapToGrid w:val="0"/>
              <w:jc w:val="center"/>
              <w:rPr>
                <w:rFonts w:ascii="宋体" w:hAnsi="宋体" w:cs="宋体"/>
                <w:szCs w:val="21"/>
              </w:rPr>
            </w:pPr>
            <w:r>
              <w:rPr>
                <w:rFonts w:hint="eastAsia" w:ascii="宋体" w:hAnsi="宋体" w:cs="宋体"/>
                <w:b/>
                <w:bCs/>
                <w:szCs w:val="21"/>
              </w:rPr>
              <w:t>...</w:t>
            </w:r>
          </w:p>
        </w:tc>
        <w:tc>
          <w:tcPr>
            <w:tcW w:w="3260" w:type="dxa"/>
            <w:vAlign w:val="center"/>
          </w:tcPr>
          <w:p>
            <w:pPr>
              <w:snapToGrid w:val="0"/>
              <w:jc w:val="center"/>
              <w:rPr>
                <w:rFonts w:ascii="宋体" w:hAnsi="宋体" w:cs="宋体"/>
                <w:szCs w:val="21"/>
              </w:rPr>
            </w:pPr>
          </w:p>
        </w:tc>
        <w:tc>
          <w:tcPr>
            <w:tcW w:w="3402" w:type="dxa"/>
            <w:vAlign w:val="center"/>
          </w:tcPr>
          <w:p>
            <w:pPr>
              <w:snapToGrid w:val="0"/>
              <w:jc w:val="center"/>
              <w:rPr>
                <w:rFonts w:ascii="宋体" w:hAnsi="宋体" w:cs="宋体"/>
                <w:szCs w:val="21"/>
              </w:rPr>
            </w:pPr>
          </w:p>
        </w:tc>
        <w:tc>
          <w:tcPr>
            <w:tcW w:w="1985" w:type="dxa"/>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snapToGrid w:val="0"/>
              <w:jc w:val="center"/>
              <w:rPr>
                <w:rFonts w:ascii="宋体" w:hAnsi="宋体" w:cs="宋体"/>
                <w:szCs w:val="21"/>
              </w:rPr>
            </w:pPr>
            <w:r>
              <w:rPr>
                <w:rFonts w:hint="eastAsia" w:ascii="宋体" w:hAnsi="宋体" w:cs="宋体"/>
                <w:szCs w:val="21"/>
              </w:rPr>
              <w:t>...</w:t>
            </w:r>
          </w:p>
        </w:tc>
        <w:tc>
          <w:tcPr>
            <w:tcW w:w="3260" w:type="dxa"/>
            <w:vAlign w:val="center"/>
          </w:tcPr>
          <w:p>
            <w:pPr>
              <w:snapToGrid w:val="0"/>
              <w:jc w:val="center"/>
              <w:rPr>
                <w:rFonts w:ascii="宋体" w:hAnsi="宋体" w:cs="宋体"/>
                <w:szCs w:val="21"/>
              </w:rPr>
            </w:pPr>
          </w:p>
        </w:tc>
        <w:tc>
          <w:tcPr>
            <w:tcW w:w="3402" w:type="dxa"/>
            <w:vAlign w:val="center"/>
          </w:tcPr>
          <w:p>
            <w:pPr>
              <w:snapToGrid w:val="0"/>
              <w:jc w:val="center"/>
              <w:rPr>
                <w:rFonts w:ascii="宋体" w:hAnsi="宋体" w:cs="宋体"/>
                <w:szCs w:val="21"/>
              </w:rPr>
            </w:pPr>
          </w:p>
        </w:tc>
        <w:tc>
          <w:tcPr>
            <w:tcW w:w="1985" w:type="dxa"/>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snapToGrid w:val="0"/>
              <w:jc w:val="center"/>
              <w:rPr>
                <w:rFonts w:ascii="宋体" w:hAnsi="宋体" w:cs="宋体"/>
                <w:szCs w:val="21"/>
              </w:rPr>
            </w:pPr>
            <w:r>
              <w:rPr>
                <w:rFonts w:hint="eastAsia" w:ascii="宋体" w:hAnsi="宋体" w:cs="宋体"/>
                <w:szCs w:val="21"/>
              </w:rPr>
              <w:t>...</w:t>
            </w:r>
          </w:p>
        </w:tc>
        <w:tc>
          <w:tcPr>
            <w:tcW w:w="3260" w:type="dxa"/>
            <w:vAlign w:val="center"/>
          </w:tcPr>
          <w:p>
            <w:pPr>
              <w:snapToGrid w:val="0"/>
              <w:jc w:val="center"/>
              <w:rPr>
                <w:rFonts w:ascii="宋体" w:hAnsi="宋体" w:cs="宋体"/>
                <w:szCs w:val="21"/>
              </w:rPr>
            </w:pPr>
          </w:p>
        </w:tc>
        <w:tc>
          <w:tcPr>
            <w:tcW w:w="3402" w:type="dxa"/>
            <w:vAlign w:val="center"/>
          </w:tcPr>
          <w:p>
            <w:pPr>
              <w:snapToGrid w:val="0"/>
              <w:jc w:val="center"/>
              <w:rPr>
                <w:rFonts w:ascii="宋体" w:hAnsi="宋体" w:cs="宋体"/>
                <w:szCs w:val="21"/>
              </w:rPr>
            </w:pPr>
          </w:p>
        </w:tc>
        <w:tc>
          <w:tcPr>
            <w:tcW w:w="1985" w:type="dxa"/>
            <w:vAlign w:val="center"/>
          </w:tcPr>
          <w:p>
            <w:pPr>
              <w:snapToGrid w:val="0"/>
              <w:jc w:val="center"/>
              <w:rPr>
                <w:rFonts w:ascii="宋体" w:hAnsi="宋体" w:cs="宋体"/>
                <w:szCs w:val="21"/>
              </w:rPr>
            </w:pPr>
          </w:p>
        </w:tc>
      </w:tr>
    </w:tbl>
    <w:p>
      <w:pPr>
        <w:spacing w:line="360" w:lineRule="auto"/>
        <w:rPr>
          <w:rFonts w:ascii="宋体" w:hAnsi="宋体" w:cs="宋体"/>
          <w:b/>
          <w:bCs/>
          <w:szCs w:val="21"/>
        </w:rPr>
      </w:pPr>
    </w:p>
    <w:p>
      <w:pPr>
        <w:spacing w:line="360" w:lineRule="auto"/>
        <w:rPr>
          <w:rFonts w:ascii="宋体" w:hAnsi="宋体" w:cs="宋体"/>
          <w:b/>
          <w:bCs/>
          <w:szCs w:val="21"/>
        </w:rPr>
      </w:pPr>
      <w:r>
        <w:rPr>
          <w:rFonts w:hint="eastAsia" w:ascii="宋体" w:hAnsi="宋体" w:cs="宋体"/>
          <w:b/>
          <w:bCs/>
          <w:szCs w:val="21"/>
        </w:rPr>
        <w:t>说明：</w:t>
      </w:r>
    </w:p>
    <w:p>
      <w:pPr>
        <w:spacing w:line="360" w:lineRule="auto"/>
        <w:rPr>
          <w:rFonts w:ascii="宋体" w:hAnsi="宋体" w:cs="宋体"/>
          <w:b/>
          <w:bCs/>
          <w:szCs w:val="21"/>
        </w:rPr>
      </w:pPr>
      <w:r>
        <w:rPr>
          <w:rFonts w:hint="eastAsia" w:ascii="宋体" w:hAnsi="宋体" w:cs="宋体"/>
          <w:b/>
          <w:bCs/>
          <w:szCs w:val="21"/>
        </w:rPr>
        <w:t>1.逐项按照磋商文件要求填写响应规格；</w:t>
      </w:r>
    </w:p>
    <w:p>
      <w:pPr>
        <w:spacing w:line="360" w:lineRule="auto"/>
        <w:rPr>
          <w:rFonts w:ascii="宋体" w:hAnsi="宋体" w:cs="宋体"/>
          <w:b/>
          <w:bCs/>
          <w:szCs w:val="21"/>
        </w:rPr>
      </w:pPr>
      <w:r>
        <w:rPr>
          <w:rFonts w:hint="eastAsia" w:ascii="宋体" w:hAnsi="宋体" w:cs="宋体"/>
          <w:b/>
          <w:bCs/>
          <w:szCs w:val="21"/>
        </w:rPr>
        <w:t>2.偏离说明是指对磋商文件要求存在不同之处的解释说明。偏离系指：正偏离（高于采购需求）、负偏离（低于采购需求）、无偏离（满足采购需求）；</w:t>
      </w:r>
    </w:p>
    <w:p>
      <w:pPr>
        <w:spacing w:line="360" w:lineRule="auto"/>
        <w:rPr>
          <w:rFonts w:ascii="宋体" w:hAnsi="宋体" w:cs="宋体"/>
          <w:b/>
          <w:szCs w:val="21"/>
        </w:rPr>
      </w:pPr>
      <w:r>
        <w:rPr>
          <w:rFonts w:hint="eastAsia" w:ascii="宋体" w:hAnsi="宋体" w:cs="宋体"/>
          <w:b/>
          <w:bCs/>
          <w:szCs w:val="21"/>
        </w:rPr>
        <w:t>3.如不填写或未如实填写</w:t>
      </w:r>
      <w:r>
        <w:rPr>
          <w:rFonts w:hint="eastAsia" w:ascii="宋体" w:hAnsi="宋体" w:cs="宋体"/>
          <w:b/>
          <w:szCs w:val="21"/>
        </w:rPr>
        <w:t>，自行承担磋商响应风险。</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供应商名称（盖章）：</w:t>
      </w:r>
    </w:p>
    <w:p>
      <w:pPr>
        <w:spacing w:line="360" w:lineRule="auto"/>
        <w:rPr>
          <w:rFonts w:ascii="宋体" w:hAnsi="宋体" w:cs="宋体"/>
          <w:szCs w:val="21"/>
        </w:rPr>
      </w:pPr>
      <w:r>
        <w:rPr>
          <w:rFonts w:hint="eastAsia" w:ascii="宋体" w:hAnsi="宋体" w:cs="宋体"/>
          <w:szCs w:val="21"/>
        </w:rPr>
        <w:t>供应商授权代表签字：</w:t>
      </w:r>
    </w:p>
    <w:p>
      <w:pPr>
        <w:spacing w:line="360" w:lineRule="auto"/>
        <w:rPr>
          <w:rFonts w:ascii="宋体" w:hAnsi="宋体" w:cs="宋体"/>
          <w:szCs w:val="21"/>
        </w:rPr>
      </w:pPr>
      <w:r>
        <w:rPr>
          <w:rFonts w:hint="eastAsia" w:ascii="宋体" w:hAnsi="宋体" w:cs="宋体"/>
          <w:szCs w:val="21"/>
        </w:rPr>
        <w:t>日期：    年  月  日</w:t>
      </w:r>
    </w:p>
    <w:p>
      <w:pPr>
        <w:spacing w:line="360" w:lineRule="auto"/>
        <w:jc w:val="center"/>
        <w:outlineLvl w:val="2"/>
        <w:rPr>
          <w:rFonts w:ascii="宋体" w:hAnsi="宋体" w:cs="宋体"/>
          <w:b/>
          <w:sz w:val="24"/>
        </w:rPr>
      </w:pPr>
      <w:r>
        <w:rPr>
          <w:rFonts w:hint="eastAsia" w:ascii="宋体" w:hAnsi="宋体" w:cs="宋体"/>
          <w:sz w:val="24"/>
        </w:rPr>
        <w:br w:type="page"/>
      </w:r>
      <w:r>
        <w:rPr>
          <w:rFonts w:hint="eastAsia" w:ascii="宋体" w:hAnsi="宋体" w:cs="宋体"/>
          <w:b/>
          <w:sz w:val="24"/>
        </w:rPr>
        <w:t>供应商同类项目实施情况一览表</w:t>
      </w:r>
    </w:p>
    <w:p>
      <w:pPr>
        <w:pStyle w:val="9"/>
        <w:spacing w:line="360" w:lineRule="auto"/>
        <w:ind w:left="480" w:hanging="480"/>
        <w:rPr>
          <w:rFonts w:ascii="宋体" w:hAnsi="宋体" w:cs="宋体"/>
          <w:sz w:val="24"/>
        </w:rPr>
      </w:pPr>
    </w:p>
    <w:tbl>
      <w:tblPr>
        <w:tblStyle w:val="10"/>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60"/>
        <w:gridCol w:w="1267"/>
        <w:gridCol w:w="1267"/>
        <w:gridCol w:w="1267"/>
        <w:gridCol w:w="1267"/>
        <w:gridCol w:w="1771"/>
        <w:gridCol w:w="2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9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6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采购单位</w:t>
            </w:r>
          </w:p>
        </w:tc>
        <w:tc>
          <w:tcPr>
            <w:tcW w:w="6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项目名称</w:t>
            </w:r>
          </w:p>
        </w:tc>
        <w:tc>
          <w:tcPr>
            <w:tcW w:w="6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合同金额</w:t>
            </w:r>
          </w:p>
          <w:p>
            <w:pPr>
              <w:jc w:val="center"/>
              <w:rPr>
                <w:rFonts w:ascii="宋体" w:hAnsi="宋体" w:cs="宋体"/>
                <w:b/>
                <w:szCs w:val="21"/>
              </w:rPr>
            </w:pPr>
            <w:r>
              <w:rPr>
                <w:rFonts w:hint="eastAsia" w:ascii="宋体" w:hAnsi="宋体" w:cs="宋体"/>
                <w:b/>
                <w:szCs w:val="21"/>
              </w:rPr>
              <w:t>（万元）</w:t>
            </w:r>
          </w:p>
        </w:tc>
        <w:tc>
          <w:tcPr>
            <w:tcW w:w="6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附件页码</w:t>
            </w: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合同签订时间</w:t>
            </w:r>
          </w:p>
        </w:tc>
        <w:tc>
          <w:tcPr>
            <w:tcW w:w="105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采购单位联系人</w:t>
            </w:r>
          </w:p>
          <w:p>
            <w:pPr>
              <w:jc w:val="center"/>
              <w:rPr>
                <w:rFonts w:ascii="宋体" w:hAnsi="宋体" w:cs="宋体"/>
                <w:b/>
                <w:szCs w:val="21"/>
              </w:rPr>
            </w:pPr>
            <w:r>
              <w:rPr>
                <w:rFonts w:hint="eastAsia" w:ascii="宋体" w:hAnsi="宋体" w:cs="宋体"/>
                <w:b/>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9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6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6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6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6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05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9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6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6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6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6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05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9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6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6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6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6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05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9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6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6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6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6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05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9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6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6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6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6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051" w:type="pct"/>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p>
        </w:tc>
      </w:tr>
    </w:tbl>
    <w:p>
      <w:pPr>
        <w:pStyle w:val="9"/>
        <w:spacing w:line="360" w:lineRule="auto"/>
        <w:ind w:left="480" w:hanging="480"/>
        <w:rPr>
          <w:rFonts w:ascii="宋体" w:hAnsi="宋体" w:cs="宋体"/>
          <w:sz w:val="24"/>
        </w:rPr>
      </w:pPr>
    </w:p>
    <w:p>
      <w:pPr>
        <w:spacing w:line="360" w:lineRule="auto"/>
        <w:rPr>
          <w:rFonts w:ascii="宋体" w:hAnsi="宋体" w:cs="宋体"/>
          <w:b/>
          <w:szCs w:val="21"/>
        </w:rPr>
      </w:pPr>
      <w:r>
        <w:rPr>
          <w:rFonts w:hint="eastAsia" w:ascii="宋体" w:hAnsi="宋体" w:cs="宋体"/>
          <w:b/>
          <w:szCs w:val="21"/>
        </w:rPr>
        <w:t>说明：</w:t>
      </w:r>
    </w:p>
    <w:p>
      <w:pPr>
        <w:spacing w:line="360" w:lineRule="auto"/>
        <w:rPr>
          <w:rFonts w:ascii="宋体" w:hAnsi="宋体" w:cs="宋体"/>
          <w:b/>
          <w:szCs w:val="21"/>
        </w:rPr>
      </w:pPr>
      <w:r>
        <w:rPr>
          <w:rFonts w:hint="eastAsia" w:ascii="宋体" w:hAnsi="宋体" w:cs="宋体"/>
          <w:b/>
          <w:szCs w:val="21"/>
        </w:rPr>
        <w:t>1.供应商须提供上述业绩合同；</w:t>
      </w:r>
    </w:p>
    <w:p>
      <w:pPr>
        <w:spacing w:line="360" w:lineRule="auto"/>
        <w:rPr>
          <w:rFonts w:ascii="宋体" w:hAnsi="宋体" w:cs="宋体"/>
          <w:b/>
          <w:szCs w:val="21"/>
        </w:rPr>
      </w:pPr>
      <w:r>
        <w:rPr>
          <w:rFonts w:hint="eastAsia" w:ascii="宋体" w:hAnsi="宋体" w:cs="宋体"/>
          <w:b/>
          <w:szCs w:val="21"/>
        </w:rPr>
        <w:t>2.所有合同应清晰，应能体现合同签订时间、双方签字盖章等内容；</w:t>
      </w:r>
    </w:p>
    <w:p>
      <w:pPr>
        <w:spacing w:line="360" w:lineRule="auto"/>
        <w:rPr>
          <w:rFonts w:ascii="宋体" w:hAnsi="宋体" w:cs="宋体"/>
          <w:b/>
          <w:szCs w:val="21"/>
        </w:rPr>
      </w:pPr>
      <w:r>
        <w:rPr>
          <w:rFonts w:hint="eastAsia" w:ascii="宋体" w:hAnsi="宋体" w:cs="宋体"/>
          <w:b/>
          <w:szCs w:val="21"/>
        </w:rPr>
        <w:t>3.供应商应在不涉及商业秘密的前提下尽可能提供详细的合同内容。</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供应商名称（盖章）：</w:t>
      </w:r>
    </w:p>
    <w:p>
      <w:pPr>
        <w:spacing w:line="360" w:lineRule="auto"/>
        <w:rPr>
          <w:rFonts w:ascii="宋体" w:hAnsi="宋体" w:cs="宋体"/>
          <w:szCs w:val="21"/>
        </w:rPr>
      </w:pPr>
      <w:r>
        <w:rPr>
          <w:rFonts w:hint="eastAsia" w:ascii="宋体" w:hAnsi="宋体" w:cs="宋体"/>
          <w:szCs w:val="21"/>
        </w:rPr>
        <w:t>供应商授权代表签字：</w:t>
      </w:r>
    </w:p>
    <w:p>
      <w:pPr>
        <w:spacing w:line="360" w:lineRule="auto"/>
        <w:rPr>
          <w:rFonts w:ascii="宋体" w:hAnsi="宋体" w:cs="宋体"/>
          <w:szCs w:val="21"/>
        </w:rPr>
      </w:pPr>
      <w:r>
        <w:rPr>
          <w:rFonts w:hint="eastAsia" w:ascii="宋体" w:hAnsi="宋体" w:cs="宋体"/>
          <w:szCs w:val="21"/>
        </w:rPr>
        <w:t>日期：    年  月  日</w:t>
      </w:r>
    </w:p>
    <w:p>
      <w:pPr>
        <w:spacing w:line="360" w:lineRule="auto"/>
        <w:rPr>
          <w:b/>
          <w:szCs w:val="21"/>
        </w:rPr>
      </w:pPr>
      <w:r>
        <w:br w:type="page"/>
      </w:r>
    </w:p>
    <w:p>
      <w:pPr>
        <w:spacing w:line="360" w:lineRule="auto"/>
        <w:jc w:val="center"/>
        <w:outlineLvl w:val="2"/>
        <w:rPr>
          <w:rFonts w:ascii="宋体" w:hAnsi="宋体"/>
          <w:b/>
          <w:spacing w:val="-6"/>
          <w:sz w:val="24"/>
        </w:rPr>
      </w:pPr>
      <w:r>
        <w:rPr>
          <w:rFonts w:hint="eastAsia" w:ascii="宋体" w:hAnsi="宋体"/>
          <w:b/>
          <w:spacing w:val="-6"/>
          <w:sz w:val="24"/>
        </w:rPr>
        <w:t>供应商需要说明的其他文件和材料</w:t>
      </w:r>
    </w:p>
    <w:p>
      <w:pPr>
        <w:pStyle w:val="9"/>
        <w:spacing w:line="360" w:lineRule="auto"/>
        <w:ind w:left="0" w:firstLine="0" w:firstLineChars="0"/>
        <w:jc w:val="center"/>
        <w:rPr>
          <w:rFonts w:ascii="宋体" w:hAnsi="宋体"/>
          <w:b/>
          <w:sz w:val="24"/>
        </w:rPr>
      </w:pPr>
    </w:p>
    <w:p>
      <w:pPr>
        <w:spacing w:line="360" w:lineRule="auto"/>
        <w:rPr>
          <w:rFonts w:ascii="宋体" w:hAnsi="宋体"/>
          <w:b/>
          <w:szCs w:val="21"/>
        </w:rPr>
      </w:pPr>
      <w:r>
        <w:rPr>
          <w:rFonts w:hint="eastAsia" w:ascii="宋体" w:hAnsi="宋体"/>
          <w:b/>
          <w:szCs w:val="21"/>
        </w:rPr>
        <w:t>说明：包括</w:t>
      </w:r>
      <w:r>
        <w:rPr>
          <w:rFonts w:ascii="宋体" w:hAnsi="宋体"/>
          <w:b/>
          <w:szCs w:val="21"/>
        </w:rPr>
        <w:t>但不</w:t>
      </w:r>
      <w:r>
        <w:rPr>
          <w:rFonts w:hint="eastAsia" w:ascii="宋体" w:hAnsi="宋体"/>
          <w:b/>
          <w:szCs w:val="21"/>
        </w:rPr>
        <w:t>仅限于有效期内的质量管理体系认证证书、综合</w:t>
      </w:r>
      <w:r>
        <w:rPr>
          <w:rFonts w:ascii="宋体" w:hAnsi="宋体"/>
          <w:b/>
          <w:szCs w:val="21"/>
        </w:rPr>
        <w:t>实力</w:t>
      </w:r>
      <w:r>
        <w:rPr>
          <w:rFonts w:hint="eastAsia" w:ascii="宋体" w:hAnsi="宋体"/>
          <w:b/>
          <w:szCs w:val="21"/>
        </w:rPr>
        <w:t>证明</w:t>
      </w:r>
      <w:r>
        <w:rPr>
          <w:rFonts w:ascii="宋体" w:hAnsi="宋体"/>
          <w:b/>
          <w:szCs w:val="21"/>
        </w:rPr>
        <w:t>材料、</w:t>
      </w:r>
      <w:r>
        <w:rPr>
          <w:rFonts w:hint="eastAsia" w:ascii="宋体" w:hAnsi="宋体"/>
          <w:b/>
          <w:szCs w:val="21"/>
        </w:rPr>
        <w:t>软件</w:t>
      </w:r>
      <w:r>
        <w:rPr>
          <w:rFonts w:ascii="宋体" w:hAnsi="宋体"/>
          <w:b/>
          <w:szCs w:val="21"/>
        </w:rPr>
        <w:t>著作权</w:t>
      </w:r>
      <w:r>
        <w:rPr>
          <w:rFonts w:hint="eastAsia" w:ascii="宋体" w:hAnsi="宋体"/>
          <w:b/>
          <w:szCs w:val="21"/>
        </w:rPr>
        <w:t>登记证书。</w:t>
      </w:r>
    </w:p>
    <w:p>
      <w:pPr>
        <w:pStyle w:val="13"/>
      </w:pPr>
    </w:p>
    <w:p>
      <w:pPr>
        <w:spacing w:line="360" w:lineRule="auto"/>
        <w:rPr>
          <w:rFonts w:ascii="宋体" w:hAnsi="宋体" w:cs="宋体"/>
          <w:b/>
          <w:szCs w:val="21"/>
        </w:rPr>
      </w:pPr>
    </w:p>
    <w:p>
      <w:pPr>
        <w:pStyle w:val="9"/>
        <w:spacing w:line="360" w:lineRule="auto"/>
        <w:ind w:left="0" w:firstLine="0" w:firstLineChars="0"/>
        <w:rPr>
          <w:rFonts w:ascii="宋体" w:hAnsi="宋体" w:cs="宋体"/>
          <w:sz w:val="24"/>
        </w:rPr>
      </w:pPr>
    </w:p>
    <w:p>
      <w:pPr>
        <w:spacing w:line="360" w:lineRule="auto"/>
        <w:jc w:val="center"/>
        <w:outlineLvl w:val="1"/>
        <w:rPr>
          <w:rFonts w:ascii="宋体" w:hAnsi="宋体" w:cs="宋体"/>
          <w:b/>
          <w:sz w:val="52"/>
          <w:szCs w:val="52"/>
        </w:rPr>
      </w:pPr>
      <w:r>
        <w:rPr>
          <w:rFonts w:hint="eastAsia" w:ascii="宋体" w:hAnsi="宋体" w:cs="宋体"/>
          <w:sz w:val="24"/>
        </w:rPr>
        <w:br w:type="page"/>
      </w:r>
      <w:r>
        <w:rPr>
          <w:rFonts w:hint="eastAsia" w:ascii="宋体" w:hAnsi="宋体" w:cs="宋体"/>
          <w:b/>
          <w:sz w:val="52"/>
          <w:szCs w:val="52"/>
        </w:rPr>
        <w:t>技术文件</w:t>
      </w:r>
    </w:p>
    <w:p>
      <w:pPr>
        <w:spacing w:line="360" w:lineRule="auto"/>
        <w:jc w:val="center"/>
        <w:outlineLvl w:val="2"/>
        <w:rPr>
          <w:rFonts w:ascii="宋体" w:hAnsi="宋体" w:cs="宋体"/>
          <w:b/>
          <w:sz w:val="24"/>
        </w:rPr>
      </w:pPr>
      <w:r>
        <w:rPr>
          <w:rFonts w:hint="eastAsia" w:ascii="宋体" w:hAnsi="宋体" w:cs="宋体"/>
          <w:b/>
          <w:sz w:val="24"/>
        </w:rPr>
        <w:t>技术偏离表</w:t>
      </w:r>
    </w:p>
    <w:p>
      <w:pPr>
        <w:spacing w:line="360" w:lineRule="auto"/>
        <w:rPr>
          <w:rFonts w:ascii="宋体" w:hAnsi="宋体" w:cs="宋体"/>
          <w:bCs/>
          <w:szCs w:val="21"/>
        </w:rPr>
      </w:pPr>
      <w:r>
        <w:rPr>
          <w:rFonts w:hint="eastAsia" w:ascii="宋体" w:hAnsi="宋体" w:cs="宋体"/>
          <w:bCs/>
          <w:szCs w:val="21"/>
        </w:rPr>
        <w:t>采购人：浙江财经大学</w:t>
      </w:r>
    </w:p>
    <w:p>
      <w:pPr>
        <w:spacing w:line="360" w:lineRule="auto"/>
        <w:rPr>
          <w:rFonts w:ascii="宋体" w:hAnsi="宋体" w:cs="宋体"/>
          <w:bCs/>
          <w:szCs w:val="21"/>
        </w:rPr>
      </w:pPr>
      <w:r>
        <w:rPr>
          <w:rFonts w:hint="eastAsia" w:ascii="宋体" w:hAnsi="宋体" w:cs="宋体"/>
          <w:bCs/>
          <w:szCs w:val="21"/>
        </w:rPr>
        <w:t>项目名称：浙江财经大学图书盘点服务</w:t>
      </w:r>
    </w:p>
    <w:p>
      <w:pPr>
        <w:spacing w:line="360" w:lineRule="auto"/>
        <w:rPr>
          <w:rFonts w:ascii="宋体" w:hAnsi="宋体" w:cs="宋体"/>
          <w:bCs/>
          <w:szCs w:val="21"/>
        </w:rPr>
      </w:pPr>
      <w:r>
        <w:rPr>
          <w:rFonts w:hint="eastAsia" w:ascii="宋体" w:hAnsi="宋体" w:cs="宋体"/>
          <w:bCs/>
          <w:szCs w:val="21"/>
        </w:rPr>
        <w:t>项目编号：ZJJY-20210713-01</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b/>
                <w:bCs/>
                <w:szCs w:val="21"/>
              </w:rPr>
            </w:pPr>
            <w:r>
              <w:rPr>
                <w:rFonts w:hint="eastAsia" w:ascii="宋体" w:hAnsi="宋体" w:cs="宋体"/>
                <w:b/>
                <w:bCs/>
                <w:szCs w:val="21"/>
              </w:rPr>
              <w:t>序号</w:t>
            </w:r>
          </w:p>
        </w:tc>
        <w:tc>
          <w:tcPr>
            <w:tcW w:w="4254" w:type="dxa"/>
            <w:vAlign w:val="center"/>
          </w:tcPr>
          <w:p>
            <w:pPr>
              <w:jc w:val="center"/>
              <w:rPr>
                <w:rFonts w:ascii="宋体" w:hAnsi="宋体" w:cs="宋体"/>
                <w:b/>
                <w:bCs/>
                <w:szCs w:val="21"/>
              </w:rPr>
            </w:pPr>
            <w:r>
              <w:rPr>
                <w:rFonts w:hint="eastAsia" w:ascii="宋体" w:hAnsi="宋体" w:cs="宋体"/>
                <w:b/>
                <w:bCs/>
                <w:szCs w:val="21"/>
              </w:rPr>
              <w:t>磋商文件要求</w:t>
            </w:r>
          </w:p>
        </w:tc>
        <w:tc>
          <w:tcPr>
            <w:tcW w:w="2574" w:type="dxa"/>
            <w:vAlign w:val="center"/>
          </w:tcPr>
          <w:p>
            <w:pPr>
              <w:jc w:val="center"/>
              <w:rPr>
                <w:rFonts w:ascii="宋体" w:hAnsi="宋体" w:cs="宋体"/>
                <w:b/>
                <w:bCs/>
                <w:szCs w:val="21"/>
              </w:rPr>
            </w:pPr>
            <w:r>
              <w:rPr>
                <w:rFonts w:hint="eastAsia" w:ascii="宋体" w:hAnsi="宋体" w:cs="宋体"/>
                <w:b/>
                <w:bCs/>
                <w:szCs w:val="21"/>
              </w:rPr>
              <w:t>响应规格</w:t>
            </w:r>
          </w:p>
        </w:tc>
        <w:tc>
          <w:tcPr>
            <w:tcW w:w="2124" w:type="dxa"/>
            <w:vAlign w:val="center"/>
          </w:tcPr>
          <w:p>
            <w:pPr>
              <w:jc w:val="center"/>
              <w:rPr>
                <w:rFonts w:ascii="宋体" w:hAnsi="宋体" w:cs="宋体"/>
                <w:b/>
                <w:bCs/>
                <w:szCs w:val="21"/>
              </w:rPr>
            </w:pPr>
            <w:r>
              <w:rPr>
                <w:rFonts w:hint="eastAsia" w:ascii="宋体" w:hAnsi="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cs="宋体"/>
                <w:szCs w:val="21"/>
              </w:rPr>
            </w:pPr>
            <w:r>
              <w:rPr>
                <w:rFonts w:hint="eastAsia" w:ascii="宋体" w:hAnsi="宋体"/>
                <w:b/>
                <w:bCs/>
                <w:szCs w:val="21"/>
              </w:rPr>
              <w:t>需实现的功能或者目标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1</w:t>
            </w:r>
          </w:p>
        </w:tc>
        <w:tc>
          <w:tcPr>
            <w:tcW w:w="4254" w:type="dxa"/>
            <w:vAlign w:val="center"/>
          </w:tcPr>
          <w:p>
            <w:pPr>
              <w:rPr>
                <w:rFonts w:ascii="宋体" w:hAnsi="宋体" w:cs="宋体"/>
                <w:szCs w:val="21"/>
              </w:rPr>
            </w:pPr>
          </w:p>
        </w:tc>
        <w:tc>
          <w:tcPr>
            <w:tcW w:w="2574" w:type="dxa"/>
            <w:vAlign w:val="center"/>
          </w:tcPr>
          <w:p>
            <w:pPr>
              <w:rPr>
                <w:rFonts w:ascii="宋体" w:hAnsi="宋体" w:cs="宋体"/>
                <w:szCs w:val="21"/>
              </w:rPr>
            </w:pPr>
          </w:p>
        </w:tc>
        <w:tc>
          <w:tcPr>
            <w:tcW w:w="2124"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2</w:t>
            </w:r>
          </w:p>
        </w:tc>
        <w:tc>
          <w:tcPr>
            <w:tcW w:w="4254" w:type="dxa"/>
            <w:vAlign w:val="center"/>
          </w:tcPr>
          <w:p>
            <w:pPr>
              <w:rPr>
                <w:rFonts w:ascii="宋体" w:hAnsi="宋体" w:cs="宋体"/>
                <w:szCs w:val="21"/>
              </w:rPr>
            </w:pPr>
          </w:p>
        </w:tc>
        <w:tc>
          <w:tcPr>
            <w:tcW w:w="2574" w:type="dxa"/>
            <w:vAlign w:val="center"/>
          </w:tcPr>
          <w:p>
            <w:pPr>
              <w:rPr>
                <w:rFonts w:ascii="宋体" w:hAnsi="宋体" w:cs="宋体"/>
                <w:szCs w:val="21"/>
              </w:rPr>
            </w:pPr>
          </w:p>
        </w:tc>
        <w:tc>
          <w:tcPr>
            <w:tcW w:w="2124"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w:t>
            </w:r>
          </w:p>
        </w:tc>
        <w:tc>
          <w:tcPr>
            <w:tcW w:w="4254" w:type="dxa"/>
            <w:vAlign w:val="center"/>
          </w:tcPr>
          <w:p>
            <w:pPr>
              <w:rPr>
                <w:rFonts w:ascii="宋体" w:hAnsi="宋体" w:cs="宋体"/>
                <w:szCs w:val="21"/>
              </w:rPr>
            </w:pPr>
          </w:p>
        </w:tc>
        <w:tc>
          <w:tcPr>
            <w:tcW w:w="2574" w:type="dxa"/>
            <w:vAlign w:val="center"/>
          </w:tcPr>
          <w:p>
            <w:pPr>
              <w:rPr>
                <w:rFonts w:ascii="宋体" w:hAnsi="宋体" w:cs="宋体"/>
                <w:szCs w:val="21"/>
              </w:rPr>
            </w:pPr>
          </w:p>
        </w:tc>
        <w:tc>
          <w:tcPr>
            <w:tcW w:w="2124"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cs="宋体"/>
                <w:szCs w:val="21"/>
              </w:rPr>
            </w:pPr>
            <w:r>
              <w:rPr>
                <w:rFonts w:hint="eastAsia" w:ascii="宋体" w:hAnsi="宋体"/>
                <w:b/>
                <w:bCs/>
                <w:szCs w:val="21"/>
              </w:rPr>
              <w:t>需执行的国家相关标准、行业标准、地方标准或者其他标准、规范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1</w:t>
            </w:r>
          </w:p>
        </w:tc>
        <w:tc>
          <w:tcPr>
            <w:tcW w:w="4254" w:type="dxa"/>
            <w:vAlign w:val="center"/>
          </w:tcPr>
          <w:p>
            <w:pPr>
              <w:jc w:val="center"/>
              <w:rPr>
                <w:rFonts w:ascii="宋体" w:hAnsi="宋体" w:cs="宋体"/>
                <w:b/>
                <w:bCs/>
                <w:szCs w:val="21"/>
              </w:rPr>
            </w:pPr>
          </w:p>
        </w:tc>
        <w:tc>
          <w:tcPr>
            <w:tcW w:w="2574" w:type="dxa"/>
            <w:vAlign w:val="center"/>
          </w:tcPr>
          <w:p>
            <w:pPr>
              <w:jc w:val="center"/>
              <w:rPr>
                <w:rFonts w:ascii="宋体" w:hAnsi="宋体" w:cs="宋体"/>
                <w:szCs w:val="21"/>
              </w:rPr>
            </w:pPr>
          </w:p>
        </w:tc>
        <w:tc>
          <w:tcPr>
            <w:tcW w:w="212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2</w:t>
            </w:r>
          </w:p>
        </w:tc>
        <w:tc>
          <w:tcPr>
            <w:tcW w:w="4254" w:type="dxa"/>
            <w:vAlign w:val="center"/>
          </w:tcPr>
          <w:p>
            <w:pPr>
              <w:jc w:val="center"/>
              <w:rPr>
                <w:rFonts w:ascii="宋体" w:hAnsi="宋体" w:cs="宋体"/>
                <w:b/>
                <w:bCs/>
                <w:szCs w:val="21"/>
              </w:rPr>
            </w:pPr>
          </w:p>
        </w:tc>
        <w:tc>
          <w:tcPr>
            <w:tcW w:w="2574" w:type="dxa"/>
            <w:vAlign w:val="center"/>
          </w:tcPr>
          <w:p>
            <w:pPr>
              <w:jc w:val="center"/>
              <w:rPr>
                <w:rFonts w:ascii="宋体" w:hAnsi="宋体" w:cs="宋体"/>
                <w:szCs w:val="21"/>
              </w:rPr>
            </w:pPr>
          </w:p>
        </w:tc>
        <w:tc>
          <w:tcPr>
            <w:tcW w:w="212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w:t>
            </w:r>
          </w:p>
        </w:tc>
        <w:tc>
          <w:tcPr>
            <w:tcW w:w="4254" w:type="dxa"/>
            <w:vAlign w:val="center"/>
          </w:tcPr>
          <w:p>
            <w:pPr>
              <w:jc w:val="center"/>
              <w:rPr>
                <w:rFonts w:ascii="宋体" w:hAnsi="宋体" w:cs="宋体"/>
                <w:b/>
                <w:bCs/>
                <w:szCs w:val="21"/>
              </w:rPr>
            </w:pPr>
          </w:p>
        </w:tc>
        <w:tc>
          <w:tcPr>
            <w:tcW w:w="2574" w:type="dxa"/>
            <w:vAlign w:val="center"/>
          </w:tcPr>
          <w:p>
            <w:pPr>
              <w:jc w:val="center"/>
              <w:rPr>
                <w:rFonts w:ascii="宋体" w:hAnsi="宋体" w:cs="宋体"/>
                <w:szCs w:val="21"/>
              </w:rPr>
            </w:pPr>
          </w:p>
        </w:tc>
        <w:tc>
          <w:tcPr>
            <w:tcW w:w="212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cs="宋体"/>
                <w:szCs w:val="21"/>
              </w:rPr>
            </w:pPr>
            <w:r>
              <w:rPr>
                <w:rFonts w:hint="eastAsia" w:ascii="宋体" w:hAnsi="宋体"/>
                <w:b/>
                <w:bCs/>
                <w:szCs w:val="21"/>
              </w:rPr>
              <w:t>需满足服务要求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1</w:t>
            </w:r>
          </w:p>
        </w:tc>
        <w:tc>
          <w:tcPr>
            <w:tcW w:w="4254" w:type="dxa"/>
            <w:vAlign w:val="center"/>
          </w:tcPr>
          <w:p>
            <w:pPr>
              <w:jc w:val="center"/>
              <w:rPr>
                <w:rFonts w:ascii="宋体" w:hAnsi="宋体" w:cs="宋体"/>
                <w:b/>
                <w:bCs/>
                <w:szCs w:val="21"/>
              </w:rPr>
            </w:pPr>
          </w:p>
        </w:tc>
        <w:tc>
          <w:tcPr>
            <w:tcW w:w="2574" w:type="dxa"/>
            <w:vAlign w:val="center"/>
          </w:tcPr>
          <w:p>
            <w:pPr>
              <w:jc w:val="center"/>
              <w:rPr>
                <w:rFonts w:ascii="宋体" w:hAnsi="宋体" w:cs="宋体"/>
                <w:szCs w:val="21"/>
              </w:rPr>
            </w:pPr>
          </w:p>
        </w:tc>
        <w:tc>
          <w:tcPr>
            <w:tcW w:w="212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2</w:t>
            </w:r>
          </w:p>
        </w:tc>
        <w:tc>
          <w:tcPr>
            <w:tcW w:w="4254" w:type="dxa"/>
            <w:vAlign w:val="center"/>
          </w:tcPr>
          <w:p>
            <w:pPr>
              <w:jc w:val="center"/>
              <w:rPr>
                <w:rFonts w:ascii="宋体" w:hAnsi="宋体" w:cs="宋体"/>
                <w:b/>
                <w:bCs/>
                <w:szCs w:val="21"/>
              </w:rPr>
            </w:pPr>
          </w:p>
        </w:tc>
        <w:tc>
          <w:tcPr>
            <w:tcW w:w="2574" w:type="dxa"/>
            <w:vAlign w:val="center"/>
          </w:tcPr>
          <w:p>
            <w:pPr>
              <w:jc w:val="center"/>
              <w:rPr>
                <w:rFonts w:ascii="宋体" w:hAnsi="宋体" w:cs="宋体"/>
                <w:szCs w:val="21"/>
              </w:rPr>
            </w:pPr>
          </w:p>
        </w:tc>
        <w:tc>
          <w:tcPr>
            <w:tcW w:w="212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w:t>
            </w:r>
          </w:p>
        </w:tc>
        <w:tc>
          <w:tcPr>
            <w:tcW w:w="4254" w:type="dxa"/>
            <w:vAlign w:val="center"/>
          </w:tcPr>
          <w:p>
            <w:pPr>
              <w:jc w:val="center"/>
              <w:rPr>
                <w:rFonts w:ascii="宋体" w:hAnsi="宋体" w:cs="宋体"/>
                <w:b/>
                <w:bCs/>
                <w:szCs w:val="21"/>
              </w:rPr>
            </w:pPr>
          </w:p>
        </w:tc>
        <w:tc>
          <w:tcPr>
            <w:tcW w:w="2574" w:type="dxa"/>
            <w:vAlign w:val="center"/>
          </w:tcPr>
          <w:p>
            <w:pPr>
              <w:jc w:val="center"/>
              <w:rPr>
                <w:rFonts w:ascii="宋体" w:hAnsi="宋体" w:cs="宋体"/>
                <w:szCs w:val="21"/>
              </w:rPr>
            </w:pPr>
          </w:p>
        </w:tc>
        <w:tc>
          <w:tcPr>
            <w:tcW w:w="212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jc w:val="left"/>
              <w:rPr>
                <w:rFonts w:ascii="宋体" w:hAnsi="宋体" w:cs="宋体"/>
                <w:szCs w:val="21"/>
              </w:rPr>
            </w:pPr>
            <w:r>
              <w:rPr>
                <w:rFonts w:hint="eastAsia" w:ascii="宋体" w:hAnsi="宋体" w:cs="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b/>
                <w:bCs/>
                <w:szCs w:val="21"/>
              </w:rPr>
            </w:pPr>
            <w:r>
              <w:rPr>
                <w:rFonts w:hint="eastAsia" w:ascii="宋体" w:hAnsi="宋体" w:cs="宋体"/>
                <w:szCs w:val="21"/>
              </w:rPr>
              <w:t>1</w:t>
            </w:r>
          </w:p>
        </w:tc>
        <w:tc>
          <w:tcPr>
            <w:tcW w:w="4254" w:type="dxa"/>
            <w:vAlign w:val="center"/>
          </w:tcPr>
          <w:p>
            <w:pPr>
              <w:jc w:val="left"/>
              <w:rPr>
                <w:rFonts w:ascii="宋体" w:hAnsi="宋体" w:cs="宋体"/>
                <w:b/>
                <w:bCs/>
                <w:szCs w:val="21"/>
              </w:rPr>
            </w:pPr>
          </w:p>
        </w:tc>
        <w:tc>
          <w:tcPr>
            <w:tcW w:w="2574" w:type="dxa"/>
            <w:vAlign w:val="center"/>
          </w:tcPr>
          <w:p>
            <w:pPr>
              <w:jc w:val="left"/>
              <w:rPr>
                <w:rFonts w:ascii="宋体" w:hAnsi="宋体" w:cs="宋体"/>
                <w:b/>
                <w:bCs/>
                <w:szCs w:val="21"/>
              </w:rPr>
            </w:pPr>
          </w:p>
        </w:tc>
        <w:tc>
          <w:tcPr>
            <w:tcW w:w="2124" w:type="dxa"/>
            <w:vAlign w:val="center"/>
          </w:tcPr>
          <w:p>
            <w:pPr>
              <w:jc w:val="lef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b/>
                <w:bCs/>
                <w:szCs w:val="21"/>
              </w:rPr>
            </w:pPr>
            <w:r>
              <w:rPr>
                <w:rFonts w:hint="eastAsia" w:ascii="宋体" w:hAnsi="宋体" w:cs="宋体"/>
                <w:szCs w:val="21"/>
              </w:rPr>
              <w:t>2</w:t>
            </w:r>
          </w:p>
        </w:tc>
        <w:tc>
          <w:tcPr>
            <w:tcW w:w="4254" w:type="dxa"/>
            <w:vAlign w:val="center"/>
          </w:tcPr>
          <w:p>
            <w:pPr>
              <w:jc w:val="left"/>
              <w:rPr>
                <w:rFonts w:ascii="宋体" w:hAnsi="宋体" w:cs="宋体"/>
                <w:b/>
                <w:bCs/>
                <w:szCs w:val="21"/>
              </w:rPr>
            </w:pPr>
          </w:p>
        </w:tc>
        <w:tc>
          <w:tcPr>
            <w:tcW w:w="2574" w:type="dxa"/>
            <w:vAlign w:val="center"/>
          </w:tcPr>
          <w:p>
            <w:pPr>
              <w:jc w:val="left"/>
              <w:rPr>
                <w:rFonts w:ascii="宋体" w:hAnsi="宋体" w:cs="宋体"/>
                <w:b/>
                <w:bCs/>
                <w:szCs w:val="21"/>
              </w:rPr>
            </w:pPr>
          </w:p>
        </w:tc>
        <w:tc>
          <w:tcPr>
            <w:tcW w:w="2124" w:type="dxa"/>
            <w:vAlign w:val="center"/>
          </w:tcPr>
          <w:p>
            <w:pPr>
              <w:jc w:val="lef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b/>
                <w:bCs/>
                <w:szCs w:val="21"/>
              </w:rPr>
            </w:pPr>
            <w:r>
              <w:rPr>
                <w:rFonts w:hint="eastAsia" w:ascii="宋体" w:hAnsi="宋体" w:cs="宋体"/>
                <w:szCs w:val="21"/>
              </w:rPr>
              <w:t>……</w:t>
            </w:r>
          </w:p>
        </w:tc>
        <w:tc>
          <w:tcPr>
            <w:tcW w:w="4254" w:type="dxa"/>
            <w:vAlign w:val="center"/>
          </w:tcPr>
          <w:p>
            <w:pPr>
              <w:jc w:val="left"/>
              <w:rPr>
                <w:rFonts w:ascii="宋体" w:hAnsi="宋体" w:cs="宋体"/>
                <w:b/>
                <w:bCs/>
                <w:szCs w:val="21"/>
              </w:rPr>
            </w:pPr>
          </w:p>
        </w:tc>
        <w:tc>
          <w:tcPr>
            <w:tcW w:w="2574" w:type="dxa"/>
            <w:vAlign w:val="center"/>
          </w:tcPr>
          <w:p>
            <w:pPr>
              <w:jc w:val="left"/>
              <w:rPr>
                <w:rFonts w:ascii="宋体" w:hAnsi="宋体" w:cs="宋体"/>
                <w:b/>
                <w:bCs/>
                <w:szCs w:val="21"/>
              </w:rPr>
            </w:pPr>
          </w:p>
        </w:tc>
        <w:tc>
          <w:tcPr>
            <w:tcW w:w="2124" w:type="dxa"/>
            <w:vAlign w:val="center"/>
          </w:tcPr>
          <w:p>
            <w:pPr>
              <w:jc w:val="left"/>
              <w:rPr>
                <w:rFonts w:ascii="宋体" w:hAnsi="宋体" w:cs="宋体"/>
                <w:b/>
                <w:bCs/>
                <w:szCs w:val="21"/>
              </w:rPr>
            </w:pPr>
          </w:p>
        </w:tc>
      </w:tr>
    </w:tbl>
    <w:p>
      <w:pPr>
        <w:spacing w:line="360" w:lineRule="auto"/>
        <w:rPr>
          <w:rFonts w:ascii="宋体" w:hAnsi="宋体" w:cs="宋体"/>
          <w:b/>
          <w:bCs/>
          <w:sz w:val="24"/>
        </w:rPr>
      </w:pPr>
    </w:p>
    <w:p>
      <w:pPr>
        <w:spacing w:line="360" w:lineRule="auto"/>
        <w:rPr>
          <w:rFonts w:ascii="宋体" w:hAnsi="宋体" w:cs="宋体"/>
          <w:b/>
          <w:bCs/>
          <w:szCs w:val="21"/>
        </w:rPr>
      </w:pPr>
      <w:r>
        <w:rPr>
          <w:rFonts w:hint="eastAsia" w:ascii="宋体" w:hAnsi="宋体" w:cs="宋体"/>
          <w:b/>
          <w:bCs/>
          <w:szCs w:val="21"/>
        </w:rPr>
        <w:t>说明：</w:t>
      </w:r>
    </w:p>
    <w:p>
      <w:pPr>
        <w:spacing w:line="360" w:lineRule="auto"/>
        <w:rPr>
          <w:rFonts w:ascii="宋体" w:hAnsi="宋体" w:cs="宋体"/>
          <w:b/>
          <w:bCs/>
          <w:szCs w:val="21"/>
        </w:rPr>
      </w:pPr>
      <w:r>
        <w:rPr>
          <w:rFonts w:hint="eastAsia" w:ascii="宋体" w:hAnsi="宋体" w:cs="宋体"/>
          <w:b/>
          <w:bCs/>
          <w:szCs w:val="21"/>
        </w:rPr>
        <w:t>1.逐项按照磋商文件要求填写响应规格；</w:t>
      </w:r>
    </w:p>
    <w:p>
      <w:pPr>
        <w:spacing w:line="360" w:lineRule="auto"/>
        <w:rPr>
          <w:rFonts w:ascii="宋体" w:hAnsi="宋体" w:cs="宋体"/>
          <w:b/>
          <w:bCs/>
          <w:szCs w:val="21"/>
        </w:rPr>
      </w:pPr>
      <w:r>
        <w:rPr>
          <w:rFonts w:hint="eastAsia" w:ascii="宋体" w:hAnsi="宋体" w:cs="宋体"/>
          <w:b/>
          <w:bCs/>
          <w:szCs w:val="21"/>
        </w:rPr>
        <w:t>2.偏离说明是指对磋商文件要求存在不同之处的解释说明。偏离系指：正偏离（高于采购需求）、负偏离（低于采购需求）、无偏离（满足采购需求）；</w:t>
      </w:r>
    </w:p>
    <w:p>
      <w:pPr>
        <w:spacing w:line="360" w:lineRule="auto"/>
        <w:rPr>
          <w:rFonts w:ascii="宋体" w:hAnsi="宋体" w:cs="宋体"/>
          <w:b/>
          <w:szCs w:val="21"/>
        </w:rPr>
      </w:pPr>
      <w:r>
        <w:rPr>
          <w:rFonts w:hint="eastAsia" w:ascii="宋体" w:hAnsi="宋体" w:cs="宋体"/>
          <w:b/>
          <w:bCs/>
          <w:szCs w:val="21"/>
        </w:rPr>
        <w:t>3.如不填写或未如实填写</w:t>
      </w:r>
      <w:r>
        <w:rPr>
          <w:rFonts w:hint="eastAsia" w:ascii="宋体" w:hAnsi="宋体" w:cs="宋体"/>
          <w:b/>
          <w:szCs w:val="21"/>
        </w:rPr>
        <w:t>，自行承担磋商响应风险。</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供应商名称（盖章）：</w:t>
      </w:r>
    </w:p>
    <w:p>
      <w:pPr>
        <w:spacing w:line="360" w:lineRule="auto"/>
        <w:rPr>
          <w:rFonts w:ascii="宋体" w:hAnsi="宋体" w:cs="宋体"/>
          <w:szCs w:val="21"/>
        </w:rPr>
      </w:pPr>
      <w:r>
        <w:rPr>
          <w:rFonts w:hint="eastAsia" w:ascii="宋体" w:hAnsi="宋体" w:cs="宋体"/>
          <w:szCs w:val="21"/>
        </w:rPr>
        <w:t>供应商授权代表签字：</w:t>
      </w:r>
    </w:p>
    <w:p>
      <w:pPr>
        <w:spacing w:line="360" w:lineRule="auto"/>
        <w:rPr>
          <w:rFonts w:ascii="宋体" w:hAnsi="宋体" w:cs="宋体"/>
          <w:szCs w:val="21"/>
        </w:rPr>
      </w:pPr>
      <w:r>
        <w:rPr>
          <w:rFonts w:hint="eastAsia" w:ascii="宋体" w:hAnsi="宋体" w:cs="宋体"/>
          <w:szCs w:val="21"/>
        </w:rPr>
        <w:t>日期：    年  月  日</w:t>
      </w:r>
    </w:p>
    <w:p>
      <w:pPr>
        <w:spacing w:line="288" w:lineRule="auto"/>
        <w:jc w:val="center"/>
        <w:rPr>
          <w:rFonts w:ascii="宋体" w:hAnsi="宋体" w:cs="宋体"/>
          <w:b/>
          <w:sz w:val="24"/>
        </w:rPr>
      </w:pPr>
      <w:r>
        <w:rPr>
          <w:rFonts w:ascii="宋体" w:hAnsi="宋体" w:cs="宋体"/>
          <w:sz w:val="24"/>
        </w:rPr>
        <w:br w:type="page"/>
      </w:r>
      <w:r>
        <w:rPr>
          <w:rFonts w:hint="eastAsia" w:ascii="宋体" w:hAnsi="宋体" w:cs="宋体"/>
          <w:b/>
          <w:sz w:val="24"/>
        </w:rPr>
        <w:t>以下内容根据评分细则自拟格式</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（2）服务方案</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（3）</w:t>
      </w:r>
      <w:r>
        <w:rPr>
          <w:rFonts w:hint="eastAsia" w:hAnsi="宋体" w:cs="宋体"/>
          <w:spacing w:val="-6"/>
          <w:sz w:val="21"/>
          <w:szCs w:val="21"/>
        </w:rPr>
        <w:t>进度安排</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w:t>
      </w:r>
      <w:r>
        <w:rPr>
          <w:rFonts w:hAnsi="宋体" w:cs="宋体"/>
          <w:spacing w:val="0"/>
          <w:sz w:val="21"/>
          <w:szCs w:val="21"/>
        </w:rPr>
        <w:t>4</w:t>
      </w:r>
      <w:r>
        <w:rPr>
          <w:rFonts w:hint="eastAsia" w:hAnsi="宋体" w:cs="宋体"/>
          <w:spacing w:val="0"/>
          <w:sz w:val="21"/>
          <w:szCs w:val="21"/>
        </w:rPr>
        <w:t>）重难点分析及解决措施</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w:t>
      </w:r>
      <w:r>
        <w:rPr>
          <w:rFonts w:hAnsi="宋体" w:cs="宋体"/>
          <w:spacing w:val="0"/>
          <w:sz w:val="21"/>
          <w:szCs w:val="21"/>
        </w:rPr>
        <w:t>5</w:t>
      </w:r>
      <w:r>
        <w:rPr>
          <w:rFonts w:hint="eastAsia" w:hAnsi="宋体" w:cs="宋体"/>
          <w:spacing w:val="0"/>
          <w:sz w:val="21"/>
          <w:szCs w:val="21"/>
        </w:rPr>
        <w:t>）</w:t>
      </w:r>
      <w:r>
        <w:rPr>
          <w:rFonts w:hint="eastAsia" w:hAnsi="宋体" w:cs="宋体"/>
          <w:sz w:val="21"/>
          <w:szCs w:val="21"/>
        </w:rPr>
        <w:t>制度保障</w:t>
      </w:r>
    </w:p>
    <w:p>
      <w:pPr>
        <w:pStyle w:val="2"/>
        <w:spacing w:line="288" w:lineRule="auto"/>
        <w:ind w:firstLine="420" w:firstLineChars="200"/>
        <w:jc w:val="left"/>
        <w:rPr>
          <w:rFonts w:hAnsi="宋体" w:cs="宋体"/>
          <w:spacing w:val="0"/>
          <w:sz w:val="21"/>
          <w:szCs w:val="21"/>
        </w:rPr>
      </w:pPr>
      <w:r>
        <w:rPr>
          <w:rFonts w:hint="eastAsia" w:hAnsi="宋体" w:cs="宋体"/>
          <w:spacing w:val="0"/>
          <w:sz w:val="21"/>
          <w:szCs w:val="21"/>
        </w:rPr>
        <w:t>（</w:t>
      </w:r>
      <w:r>
        <w:rPr>
          <w:rFonts w:hAnsi="宋体" w:cs="宋体"/>
          <w:spacing w:val="0"/>
          <w:sz w:val="21"/>
          <w:szCs w:val="21"/>
        </w:rPr>
        <w:t>6</w:t>
      </w:r>
      <w:r>
        <w:rPr>
          <w:rFonts w:hint="eastAsia" w:hAnsi="宋体" w:cs="宋体"/>
          <w:spacing w:val="0"/>
          <w:sz w:val="21"/>
          <w:szCs w:val="21"/>
        </w:rPr>
        <w:t>）</w:t>
      </w:r>
      <w:r>
        <w:rPr>
          <w:rFonts w:hint="eastAsia" w:hAnsi="宋体" w:cs="宋体"/>
          <w:sz w:val="21"/>
          <w:szCs w:val="21"/>
        </w:rPr>
        <w:t>拟投入设备</w:t>
      </w:r>
    </w:p>
    <w:p>
      <w:pPr>
        <w:pStyle w:val="2"/>
        <w:spacing w:line="288" w:lineRule="auto"/>
        <w:ind w:firstLine="420" w:firstLineChars="200"/>
        <w:jc w:val="left"/>
        <w:rPr>
          <w:rFonts w:hAnsi="宋体" w:cs="宋体"/>
          <w:spacing w:val="-6"/>
          <w:sz w:val="21"/>
          <w:szCs w:val="21"/>
        </w:rPr>
      </w:pPr>
      <w:r>
        <w:rPr>
          <w:rFonts w:hint="eastAsia" w:hAnsi="宋体" w:cs="宋体"/>
          <w:spacing w:val="0"/>
          <w:sz w:val="21"/>
          <w:szCs w:val="21"/>
        </w:rPr>
        <w:t>（</w:t>
      </w:r>
      <w:r>
        <w:rPr>
          <w:rFonts w:hAnsi="宋体" w:cs="宋体"/>
          <w:spacing w:val="0"/>
          <w:sz w:val="21"/>
          <w:szCs w:val="21"/>
        </w:rPr>
        <w:t>7</w:t>
      </w:r>
      <w:r>
        <w:rPr>
          <w:rFonts w:hint="eastAsia" w:hAnsi="宋体" w:cs="宋体"/>
          <w:spacing w:val="0"/>
          <w:sz w:val="21"/>
          <w:szCs w:val="21"/>
        </w:rPr>
        <w:t>）</w:t>
      </w:r>
      <w:r>
        <w:rPr>
          <w:rFonts w:hint="eastAsia" w:hAnsi="宋体" w:cs="宋体"/>
          <w:spacing w:val="-6"/>
          <w:sz w:val="21"/>
          <w:szCs w:val="21"/>
        </w:rPr>
        <w:t>服务团队</w:t>
      </w:r>
    </w:p>
    <w:p>
      <w:pPr>
        <w:pStyle w:val="2"/>
        <w:spacing w:line="288" w:lineRule="auto"/>
        <w:ind w:firstLine="396" w:firstLineChars="200"/>
        <w:jc w:val="left"/>
      </w:pPr>
      <w:r>
        <w:rPr>
          <w:rFonts w:hint="eastAsia" w:hAnsi="宋体" w:cs="宋体"/>
          <w:spacing w:val="-6"/>
          <w:sz w:val="21"/>
          <w:szCs w:val="21"/>
        </w:rPr>
        <w:t>（8）</w:t>
      </w:r>
      <w:r>
        <w:rPr>
          <w:rFonts w:hint="eastAsia" w:hAnsi="宋体" w:cs="宋体"/>
          <w:sz w:val="21"/>
          <w:szCs w:val="21"/>
          <w:lang w:bidi="ar"/>
        </w:rPr>
        <w:t>应急预案</w:t>
      </w:r>
    </w:p>
    <w:p/>
    <w:p>
      <w:pPr>
        <w:rPr>
          <w:b/>
          <w:bCs/>
        </w:rPr>
      </w:pPr>
    </w:p>
    <w:sectPr>
      <w:pgSz w:w="11906" w:h="16838"/>
      <w:pgMar w:top="1247" w:right="1247" w:bottom="1247" w:left="1247" w:header="0" w:footer="78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3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Cs w:val="21"/>
        <w:lang w:val="zh-CN"/>
      </w:rPr>
      <w:t xml:space="preserve"> </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szCs w:val="21"/>
        <w:lang w:val="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8B2AA2"/>
    <w:multiLevelType w:val="singleLevel"/>
    <w:tmpl w:val="DC8B2AA2"/>
    <w:lvl w:ilvl="0" w:tentative="0">
      <w:start w:val="1"/>
      <w:numFmt w:val="decimal"/>
      <w:pStyle w:val="4"/>
      <w:lvlText w:val="%1."/>
      <w:lvlJc w:val="left"/>
      <w:pPr>
        <w:tabs>
          <w:tab w:val="left" w:pos="360"/>
        </w:tabs>
        <w:ind w:left="360" w:hanging="360"/>
      </w:pPr>
    </w:lvl>
  </w:abstractNum>
  <w:abstractNum w:abstractNumId="1">
    <w:nsid w:val="E2322A31"/>
    <w:multiLevelType w:val="singleLevel"/>
    <w:tmpl w:val="E2322A31"/>
    <w:lvl w:ilvl="0" w:tentative="0">
      <w:start w:val="1"/>
      <w:numFmt w:val="decimal"/>
      <w:lvlText w:val="%1."/>
      <w:lvlJc w:val="left"/>
      <w:pPr>
        <w:tabs>
          <w:tab w:val="left" w:pos="312"/>
        </w:tabs>
      </w:pPr>
    </w:lvl>
  </w:abstractNum>
  <w:abstractNum w:abstractNumId="2">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5FADC4C"/>
    <w:multiLevelType w:val="singleLevel"/>
    <w:tmpl w:val="05FADC4C"/>
    <w:lvl w:ilvl="0" w:tentative="0">
      <w:start w:val="1"/>
      <w:numFmt w:val="decimal"/>
      <w:suff w:val="nothing"/>
      <w:lvlText w:val="（%1）"/>
      <w:lvlJc w:val="left"/>
    </w:lvl>
  </w:abstractNum>
  <w:abstractNum w:abstractNumId="4">
    <w:nsid w:val="187CBFAD"/>
    <w:multiLevelType w:val="singleLevel"/>
    <w:tmpl w:val="187CBFAD"/>
    <w:lvl w:ilvl="0" w:tentative="0">
      <w:start w:val="1"/>
      <w:numFmt w:val="decimal"/>
      <w:suff w:val="nothing"/>
      <w:lvlText w:val="（%1）"/>
      <w:lvlJc w:val="left"/>
    </w:lvl>
  </w:abstractNum>
  <w:abstractNum w:abstractNumId="5">
    <w:nsid w:val="25B3C354"/>
    <w:multiLevelType w:val="singleLevel"/>
    <w:tmpl w:val="25B3C354"/>
    <w:lvl w:ilvl="0" w:tentative="0">
      <w:start w:val="1"/>
      <w:numFmt w:val="ideographTraditional"/>
      <w:suff w:val="nothing"/>
      <w:lvlText w:val="%1、"/>
      <w:lvlJc w:val="left"/>
      <w:rPr>
        <w:rFonts w:hint="eastAsia"/>
      </w:rPr>
    </w:lvl>
  </w:abstractNum>
  <w:abstractNum w:abstractNumId="6">
    <w:nsid w:val="4088F9D4"/>
    <w:multiLevelType w:val="singleLevel"/>
    <w:tmpl w:val="4088F9D4"/>
    <w:lvl w:ilvl="0" w:tentative="0">
      <w:start w:val="2"/>
      <w:numFmt w:val="chineseCounting"/>
      <w:suff w:val="nothing"/>
      <w:lvlText w:val="%1、"/>
      <w:lvlJc w:val="left"/>
      <w:rPr>
        <w:rFonts w:hint="eastAsia"/>
      </w:rPr>
    </w:lvl>
  </w:abstractNum>
  <w:abstractNum w:abstractNumId="7">
    <w:nsid w:val="74D3A1F8"/>
    <w:multiLevelType w:val="singleLevel"/>
    <w:tmpl w:val="74D3A1F8"/>
    <w:lvl w:ilvl="0" w:tentative="0">
      <w:start w:val="1"/>
      <w:numFmt w:val="decimal"/>
      <w:suff w:val="nothing"/>
      <w:lvlText w:val="（%1）"/>
      <w:lvlJc w:val="left"/>
    </w:lvl>
  </w:abstractNum>
  <w:num w:numId="1">
    <w:abstractNumId w:val="0"/>
  </w:num>
  <w:num w:numId="2">
    <w:abstractNumId w:val="2"/>
    <w:lvlOverride w:ilvl="0">
      <w:startOverride w:val="1"/>
    </w:lvlOverride>
  </w:num>
  <w:num w:numId="3">
    <w:abstractNumId w:val="6"/>
  </w:num>
  <w:num w:numId="4">
    <w:abstractNumId w:val="1"/>
  </w:num>
  <w:num w:numId="5">
    <w:abstractNumId w:val="7"/>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656B3B"/>
    <w:rsid w:val="000C238D"/>
    <w:rsid w:val="002F138D"/>
    <w:rsid w:val="0053175F"/>
    <w:rsid w:val="006C1144"/>
    <w:rsid w:val="24F27298"/>
    <w:rsid w:val="2E1D74BC"/>
    <w:rsid w:val="49933688"/>
    <w:rsid w:val="52656B3B"/>
    <w:rsid w:val="5BFD2E7D"/>
    <w:rsid w:val="5F0A3E49"/>
    <w:rsid w:val="5F7E744B"/>
    <w:rsid w:val="64227641"/>
    <w:rsid w:val="6A4A7195"/>
    <w:rsid w:val="6C492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line="200" w:lineRule="atLeast"/>
      <w:ind w:firstLine="301"/>
    </w:pPr>
    <w:rPr>
      <w:rFonts w:ascii="宋体" w:hAnsi="Courier New"/>
      <w:spacing w:val="-4"/>
      <w:sz w:val="18"/>
      <w:szCs w:val="20"/>
    </w:rPr>
  </w:style>
  <w:style w:type="paragraph" w:styleId="4">
    <w:name w:val="List Number"/>
    <w:basedOn w:val="1"/>
    <w:qFormat/>
    <w:uiPriority w:val="0"/>
    <w:pPr>
      <w:numPr>
        <w:ilvl w:val="0"/>
        <w:numId w:val="1"/>
      </w:numPr>
    </w:pPr>
  </w:style>
  <w:style w:type="paragraph" w:styleId="5">
    <w:name w:val="annotation text"/>
    <w:basedOn w:val="1"/>
    <w:qFormat/>
    <w:uiPriority w:val="0"/>
    <w:pPr>
      <w:jc w:val="left"/>
    </w:pPr>
  </w:style>
  <w:style w:type="paragraph" w:styleId="6">
    <w:name w:val="Plain Text"/>
    <w:basedOn w:val="1"/>
    <w:qFormat/>
    <w:uiPriority w:val="99"/>
    <w:pPr>
      <w:spacing w:before="156" w:beforeLines="50" w:after="156" w:afterLines="50" w:line="400" w:lineRule="atLeast"/>
    </w:pPr>
    <w:rPr>
      <w:rFonts w:ascii="宋体" w:hAnsi="Courier New"/>
      <w:sz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envelope return"/>
    <w:basedOn w:val="1"/>
    <w:qFormat/>
    <w:uiPriority w:val="0"/>
    <w:pPr>
      <w:snapToGrid w:val="0"/>
    </w:pPr>
    <w:rPr>
      <w:rFonts w:ascii="Arial" w:hAnsi="Arial"/>
    </w:rPr>
  </w:style>
  <w:style w:type="paragraph" w:styleId="9">
    <w:name w:val="List"/>
    <w:basedOn w:val="1"/>
    <w:qFormat/>
    <w:uiPriority w:val="0"/>
    <w:pPr>
      <w:ind w:left="200" w:hanging="200" w:hangingChars="200"/>
    </w:pPr>
  </w:style>
  <w:style w:type="character" w:styleId="12">
    <w:name w:val="Hyperlink"/>
    <w:qFormat/>
    <w:uiPriority w:val="99"/>
    <w:rPr>
      <w:color w:val="0000FF"/>
      <w:u w:val="single"/>
    </w:rPr>
  </w:style>
  <w:style w:type="paragraph" w:customStyle="1" w:styleId="13">
    <w:name w:val="Default"/>
    <w:next w:val="14"/>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4">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15">
    <w:name w:val="UserStyle_31"/>
    <w:qFormat/>
    <w:uiPriority w:val="0"/>
    <w:rPr>
      <w:rFonts w:ascii="Arial" w:hAnsi="Arial" w:eastAsia="宋体" w:cs="Times New Roman"/>
      <w:color w:val="000000"/>
      <w:sz w:val="24"/>
      <w:szCs w:val="24"/>
      <w:lang w:val="en-US" w:eastAsia="zh-CN" w:bidi="ar-SA"/>
    </w:rPr>
  </w:style>
  <w:style w:type="character" w:customStyle="1" w:styleId="16">
    <w:name w:val="NormalCharacter"/>
    <w:qFormat/>
    <w:uiPriority w:val="0"/>
  </w:style>
  <w:style w:type="paragraph" w:customStyle="1" w:styleId="17">
    <w:name w:val="Blockquote"/>
    <w:qFormat/>
    <w:uiPriority w:val="0"/>
    <w:pPr>
      <w:widowControl w:val="0"/>
      <w:autoSpaceDE w:val="0"/>
      <w:autoSpaceDN w:val="0"/>
      <w:adjustRightInd w:val="0"/>
      <w:spacing w:before="100" w:after="100"/>
      <w:ind w:left="360" w:right="360"/>
    </w:pPr>
    <w:rPr>
      <w:rFonts w:ascii="Calibri" w:hAnsi="Calibri" w:eastAsia="宋体" w:cs="Times New Roman"/>
      <w:sz w:val="24"/>
      <w:szCs w:val="24"/>
      <w:lang w:val="en-US" w:eastAsia="zh-CN" w:bidi="ar-SA"/>
    </w:rPr>
  </w:style>
  <w:style w:type="paragraph" w:customStyle="1" w:styleId="18">
    <w:name w:val="目录 711"/>
    <w:next w:val="1"/>
    <w:qFormat/>
    <w:uiPriority w:val="0"/>
    <w:pPr>
      <w:wordWrap w:val="0"/>
      <w:ind w:left="2550"/>
      <w:jc w:val="both"/>
    </w:pPr>
    <w:rPr>
      <w:rFonts w:ascii="Calibri" w:hAnsi="Calibri" w:eastAsia="宋体" w:cs="Times New Roman"/>
      <w:sz w:val="21"/>
      <w:lang w:val="en-US" w:eastAsia="zh-CN" w:bidi="ar-SA"/>
    </w:rPr>
  </w:style>
  <w:style w:type="paragraph" w:customStyle="1" w:styleId="19">
    <w:name w:val="默认段落字体 Para Char Char Char Char Char Char Char Char Char1 Char Char Char Char"/>
    <w:basedOn w:val="1"/>
    <w:qFormat/>
    <w:uiPriority w:val="0"/>
    <w:rPr>
      <w:rFonts w:ascii="Tahoma" w:hAnsi="Tahoma"/>
      <w:sz w:val="24"/>
      <w:szCs w:val="20"/>
    </w:rPr>
  </w:style>
  <w:style w:type="paragraph" w:styleId="20">
    <w:name w:val="List Paragraph"/>
    <w:basedOn w:val="1"/>
    <w:unhideWhenUsed/>
    <w:qFormat/>
    <w:uiPriority w:val="99"/>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4398</Words>
  <Characters>25071</Characters>
  <Lines>208</Lines>
  <Paragraphs>58</Paragraphs>
  <TotalTime>57</TotalTime>
  <ScaleCrop>false</ScaleCrop>
  <LinksUpToDate>false</LinksUpToDate>
  <CharactersWithSpaces>29411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2021-07-19T05:49:00Z</dcterms:created>
  <dc:creator>穿裤子的发糕</dc:creator>
  <cp:lastModifiedBy>Administrator</cp:lastModifiedBy>
  <dcterms:modified xsi:type="dcterms:W3CDTF">2021-07-23T07:46:33Z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A2D4A7DA107540BABA9AB33F5B9B6339</vt:lpwstr>
  </property>
</Properties>
</file>