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outlineLvl w:val="0"/>
        <w:rPr>
          <w:rFonts w:cs="宋体"/>
          <w:snapToGrid w:val="0"/>
          <w:kern w:val="0"/>
          <w:sz w:val="36"/>
        </w:rPr>
      </w:pPr>
      <w:bookmarkStart w:id="0" w:name="_Toc83616202"/>
      <w:bookmarkStart w:id="1" w:name="_Toc10649_WPSOffice_Level1"/>
      <w:bookmarkStart w:id="2" w:name="_Toc18454"/>
      <w:bookmarkStart w:id="3" w:name="_Toc242012796"/>
      <w:bookmarkStart w:id="4" w:name="_Toc20767"/>
      <w:r>
        <w:rPr>
          <w:rFonts w:hint="eastAsia" w:cs="宋体"/>
          <w:b/>
          <w:snapToGrid w:val="0"/>
          <w:kern w:val="0"/>
          <w:sz w:val="30"/>
          <w:szCs w:val="30"/>
        </w:rPr>
        <w:t>第三部分</w:t>
      </w:r>
      <w:bookmarkEnd w:id="0"/>
      <w:r>
        <w:rPr>
          <w:rFonts w:hint="eastAsia" w:cs="宋体"/>
          <w:b/>
          <w:snapToGrid w:val="0"/>
          <w:kern w:val="0"/>
          <w:sz w:val="30"/>
          <w:szCs w:val="30"/>
        </w:rPr>
        <w:t xml:space="preserve"> 用户需求书</w:t>
      </w:r>
      <w:bookmarkEnd w:id="1"/>
      <w:bookmarkEnd w:id="2"/>
      <w:bookmarkEnd w:id="3"/>
      <w:bookmarkEnd w:id="4"/>
    </w:p>
    <w:p>
      <w:pPr>
        <w:pStyle w:val="3"/>
        <w:snapToGrid w:val="0"/>
        <w:spacing w:before="0" w:after="0" w:line="360" w:lineRule="auto"/>
        <w:rPr>
          <w:rFonts w:ascii="Times New Roman" w:hAnsi="Times New Roman" w:eastAsia="宋体" w:cs="宋体"/>
          <w:snapToGrid w:val="0"/>
          <w:kern w:val="0"/>
          <w:sz w:val="24"/>
          <w:szCs w:val="24"/>
        </w:rPr>
      </w:pPr>
      <w:bookmarkStart w:id="5" w:name="_Toc204483585"/>
      <w:bookmarkStart w:id="6" w:name="_Toc236047431"/>
      <w:bookmarkStart w:id="7" w:name="_Toc294777238"/>
      <w:bookmarkStart w:id="8" w:name="_Toc23542"/>
      <w:bookmarkStart w:id="9" w:name="_Toc30869_WPSOffice_Level2"/>
      <w:bookmarkStart w:id="10" w:name="_Toc11896"/>
      <w:bookmarkStart w:id="11" w:name="_Toc24451"/>
      <w:bookmarkStart w:id="12" w:name="_Toc1954"/>
      <w:r>
        <w:rPr>
          <w:rFonts w:hint="eastAsia" w:ascii="Times New Roman" w:hAnsi="Times New Roman" w:eastAsia="宋体" w:cs="宋体"/>
          <w:snapToGrid w:val="0"/>
          <w:kern w:val="0"/>
          <w:sz w:val="24"/>
          <w:szCs w:val="24"/>
        </w:rPr>
        <w:t>一、项目概况</w:t>
      </w:r>
      <w:bookmarkEnd w:id="5"/>
      <w:bookmarkEnd w:id="6"/>
      <w:bookmarkEnd w:id="7"/>
      <w:bookmarkEnd w:id="8"/>
      <w:bookmarkEnd w:id="9"/>
      <w:bookmarkEnd w:id="10"/>
      <w:bookmarkEnd w:id="11"/>
      <w:bookmarkEnd w:id="12"/>
    </w:p>
    <w:p>
      <w:pPr>
        <w:adjustRightInd w:val="0"/>
        <w:snapToGrid w:val="0"/>
        <w:spacing w:line="360" w:lineRule="auto"/>
        <w:ind w:firstLine="420" w:firstLineChars="200"/>
        <w:rPr>
          <w:rFonts w:ascii="宋体" w:hAnsi="宋体" w:cs="宋体"/>
          <w:snapToGrid w:val="0"/>
          <w:kern w:val="0"/>
          <w:szCs w:val="21"/>
        </w:rPr>
      </w:pPr>
      <w:bookmarkStart w:id="13" w:name="_Toc24559"/>
      <w:bookmarkStart w:id="14" w:name="_Toc27063_WPSOffice_Level2"/>
      <w:bookmarkStart w:id="15" w:name="_Toc11593"/>
      <w:bookmarkStart w:id="16" w:name="_Toc17320"/>
      <w:r>
        <w:rPr>
          <w:rFonts w:hint="eastAsia" w:ascii="宋体" w:hAnsi="宋体" w:cs="宋体"/>
          <w:snapToGrid w:val="0"/>
          <w:kern w:val="0"/>
          <w:szCs w:val="21"/>
        </w:rPr>
        <w:t>1.项目名称：</w:t>
      </w:r>
      <w:r>
        <w:rPr>
          <w:rFonts w:hint="eastAsia" w:ascii="宋体" w:hAnsi="宋体" w:cs="宋体"/>
          <w:snapToGrid w:val="0"/>
          <w:kern w:val="0"/>
          <w:szCs w:val="21"/>
          <w:lang w:eastAsia="zh-CN"/>
        </w:rPr>
        <w:t>之江实验室热阻金属沉积系统（重新采购）</w:t>
      </w:r>
      <w:r>
        <w:rPr>
          <w:rFonts w:hint="eastAsia" w:ascii="宋体" w:hAnsi="宋体" w:cs="宋体"/>
          <w:snapToGrid w:val="0"/>
          <w:kern w:val="0"/>
          <w:szCs w:val="21"/>
        </w:rPr>
        <w:t>。</w:t>
      </w:r>
    </w:p>
    <w:p>
      <w:pPr>
        <w:adjustRightInd w:val="0"/>
        <w:snapToGrid w:val="0"/>
        <w:spacing w:line="360" w:lineRule="auto"/>
        <w:ind w:firstLine="420" w:firstLineChars="200"/>
        <w:rPr>
          <w:rStyle w:val="6"/>
          <w:rFonts w:ascii="宋体" w:hAnsi="宋体" w:cs="宋体"/>
        </w:rPr>
      </w:pPr>
      <w:r>
        <w:rPr>
          <w:rFonts w:hint="eastAsia" w:ascii="宋体" w:hAnsi="宋体" w:cs="宋体"/>
          <w:snapToGrid w:val="0"/>
          <w:kern w:val="0"/>
          <w:szCs w:val="21"/>
        </w:rPr>
        <w:t>2.安装地点：采购人指定地点</w:t>
      </w:r>
      <w:r>
        <w:rPr>
          <w:rStyle w:val="6"/>
          <w:rFonts w:hint="eastAsia" w:ascii="宋体" w:hAnsi="宋体" w:cs="宋体"/>
        </w:rPr>
        <w:t>。</w:t>
      </w:r>
    </w:p>
    <w:p>
      <w:pPr>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3.本招标文件中打▲的条款为关键性指标，不允许负偏离，出现负偏离的将导致响应无效。打★的条款为重要指标，允许偏离，但在技术评分时会重点扣分。</w:t>
      </w:r>
    </w:p>
    <w:p>
      <w:pPr>
        <w:adjustRightInd w:val="0"/>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4.本项目的核心产品为</w:t>
      </w:r>
      <w:r>
        <w:rPr>
          <w:rFonts w:hint="eastAsia" w:ascii="宋体" w:hAnsi="宋体" w:cs="宋体"/>
          <w:b/>
          <w:bCs/>
          <w:snapToGrid w:val="0"/>
          <w:kern w:val="0"/>
          <w:szCs w:val="21"/>
          <w:u w:val="single"/>
        </w:rPr>
        <w:t>热阻金属沉积系统</w:t>
      </w:r>
      <w:r>
        <w:rPr>
          <w:rFonts w:hint="eastAsia" w:ascii="宋体" w:hAnsi="宋体" w:cs="宋体"/>
          <w:snapToGrid w:val="0"/>
          <w:kern w:val="0"/>
          <w:szCs w:val="21"/>
        </w:rPr>
        <w:t>。不同投标人的核心产品出现同品牌时，按如下方式处理：</w:t>
      </w:r>
    </w:p>
    <w:p>
      <w:pPr>
        <w:adjustRightInd w:val="0"/>
        <w:snapToGrid w:val="0"/>
        <w:spacing w:line="360" w:lineRule="auto"/>
        <w:ind w:firstLine="422" w:firstLineChars="200"/>
        <w:rPr>
          <w:rFonts w:ascii="宋体" w:hAnsi="宋体" w:cs="宋体"/>
          <w:b/>
          <w:bCs/>
          <w:snapToGrid w:val="0"/>
          <w:kern w:val="0"/>
          <w:szCs w:val="21"/>
        </w:rPr>
      </w:pPr>
      <w:r>
        <w:rPr>
          <w:rFonts w:hint="eastAsia" w:ascii="宋体" w:hAnsi="宋体" w:cs="宋体"/>
          <w:b/>
          <w:bCs/>
          <w:snapToGrid w:val="0"/>
          <w:kern w:val="0"/>
          <w:szCs w:val="21"/>
        </w:rPr>
        <w:t>提供相同品牌产品且通过资格审查、符合性审查的不同投标人参加同一合同项下投标的，按一家投标人计算，评审后得分最高的同品牌（含核心产品）投标人获得中标人推荐资格；评审得分相同的，随机抽取方式确定，其他同品牌投标人不作为中标候选人。</w:t>
      </w:r>
    </w:p>
    <w:p>
      <w:pPr>
        <w:tabs>
          <w:tab w:val="left" w:pos="8460"/>
        </w:tabs>
        <w:snapToGrid w:val="0"/>
        <w:spacing w:line="360" w:lineRule="auto"/>
        <w:ind w:firstLine="420" w:firstLineChars="200"/>
        <w:rPr>
          <w:rFonts w:ascii="宋体" w:hAnsi="宋体" w:cs="宋体"/>
          <w:szCs w:val="21"/>
        </w:rPr>
      </w:pPr>
      <w:r>
        <w:rPr>
          <w:rFonts w:hint="eastAsia" w:ascii="宋体" w:hAnsi="宋体" w:cs="宋体"/>
          <w:color w:val="000000"/>
          <w:szCs w:val="21"/>
        </w:rPr>
        <w:t>5.</w:t>
      </w:r>
      <w:r>
        <w:rPr>
          <w:rFonts w:hint="eastAsia" w:ascii="宋体" w:hAnsi="宋体" w:cs="宋体"/>
          <w:szCs w:val="21"/>
        </w:rPr>
        <w:t>投标文件中需要提供应标产品样本资料（指批量印刷的彩页）（扫描件或复印件均可）或者官网公开的技术参数截图，不提供的在技术评分时予以扣分。</w:t>
      </w:r>
    </w:p>
    <w:p>
      <w:pPr>
        <w:pStyle w:val="2"/>
        <w:snapToGrid w:val="0"/>
        <w:ind w:firstLine="420" w:firstLineChars="200"/>
        <w:rPr>
          <w:rFonts w:ascii="宋体" w:hAnsi="宋体" w:eastAsia="宋体" w:cs="宋体"/>
          <w:snapToGrid w:val="0"/>
          <w:kern w:val="0"/>
          <w:sz w:val="21"/>
          <w:szCs w:val="21"/>
        </w:rPr>
      </w:pPr>
      <w:r>
        <w:rPr>
          <w:rFonts w:hint="eastAsia" w:ascii="宋体" w:hAnsi="宋体" w:eastAsia="宋体" w:cs="宋体"/>
          <w:snapToGrid w:val="0"/>
          <w:kern w:val="0"/>
          <w:sz w:val="21"/>
          <w:szCs w:val="21"/>
        </w:rPr>
        <w:t>6.供应商应在投标文件中说明本次投标产品的技术参数是否与产品样本资料或官网上公开的技术参数一致。如不一致，须明确哪些参数不一致，不一致的原因以及使用何种技术可以达到应标产品参数。不作说明的、或经专家核实不一致的、或不一致的原因不明确的、或专家认为达到应标产品参数所采用的技术不可行的，均视作投标产品未响应采购文件技术要求，在技术评分时予以扣分。</w:t>
      </w:r>
    </w:p>
    <w:bookmarkEnd w:id="13"/>
    <w:bookmarkEnd w:id="14"/>
    <w:p>
      <w:pPr>
        <w:pStyle w:val="3"/>
        <w:snapToGrid w:val="0"/>
        <w:spacing w:before="0" w:after="0"/>
        <w:rPr>
          <w:rFonts w:ascii="Times New Roman" w:hAnsi="Times New Roman" w:eastAsia="宋体" w:cs="宋体"/>
          <w:snapToGrid w:val="0"/>
          <w:color w:val="000000"/>
          <w:sz w:val="24"/>
          <w:szCs w:val="24"/>
        </w:rPr>
      </w:pPr>
      <w:bookmarkStart w:id="17" w:name="_Toc27257"/>
      <w:bookmarkStart w:id="18" w:name="_Toc21505_WPSOffice_Level2"/>
      <w:bookmarkStart w:id="19" w:name="_Toc3264"/>
      <w:r>
        <w:rPr>
          <w:rFonts w:hint="eastAsia" w:ascii="Times New Roman" w:hAnsi="Times New Roman" w:eastAsia="宋体" w:cs="宋体"/>
          <w:snapToGrid w:val="0"/>
          <w:color w:val="000000"/>
          <w:sz w:val="24"/>
          <w:szCs w:val="24"/>
        </w:rPr>
        <w:t>▲二、配置清单</w:t>
      </w:r>
      <w:bookmarkEnd w:id="15"/>
      <w:bookmarkEnd w:id="17"/>
      <w:bookmarkEnd w:id="18"/>
      <w:bookmarkEnd w:id="19"/>
    </w:p>
    <w:tbl>
      <w:tblPr>
        <w:tblStyle w:val="4"/>
        <w:tblW w:w="96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3329"/>
        <w:gridCol w:w="946"/>
        <w:gridCol w:w="900"/>
        <w:gridCol w:w="2146"/>
        <w:gridCol w:w="1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722" w:type="dxa"/>
            <w:vAlign w:val="center"/>
          </w:tcPr>
          <w:p>
            <w:pPr>
              <w:widowControl/>
              <w:snapToGrid w:val="0"/>
              <w:spacing w:before="120" w:beforeLines="50"/>
              <w:jc w:val="center"/>
              <w:rPr>
                <w:rFonts w:ascii="宋体" w:hAnsi="宋体" w:cs="宋体"/>
                <w:szCs w:val="21"/>
              </w:rPr>
            </w:pPr>
            <w:r>
              <w:rPr>
                <w:rFonts w:hint="eastAsia" w:ascii="宋体" w:hAnsi="宋体" w:cs="宋体"/>
                <w:szCs w:val="21"/>
              </w:rPr>
              <w:t>序号</w:t>
            </w:r>
          </w:p>
        </w:tc>
        <w:tc>
          <w:tcPr>
            <w:tcW w:w="3329" w:type="dxa"/>
            <w:vAlign w:val="center"/>
          </w:tcPr>
          <w:p>
            <w:pPr>
              <w:widowControl/>
              <w:snapToGrid w:val="0"/>
              <w:spacing w:before="120" w:beforeLines="50"/>
              <w:jc w:val="center"/>
              <w:rPr>
                <w:rFonts w:ascii="宋体" w:hAnsi="宋体" w:cs="宋体"/>
                <w:bCs/>
                <w:szCs w:val="21"/>
              </w:rPr>
            </w:pPr>
            <w:r>
              <w:rPr>
                <w:rFonts w:hint="eastAsia" w:ascii="宋体" w:hAnsi="宋体" w:cs="宋体"/>
                <w:bCs/>
                <w:szCs w:val="21"/>
              </w:rPr>
              <w:t>名称</w:t>
            </w:r>
          </w:p>
        </w:tc>
        <w:tc>
          <w:tcPr>
            <w:tcW w:w="946" w:type="dxa"/>
            <w:vAlign w:val="center"/>
          </w:tcPr>
          <w:p>
            <w:pPr>
              <w:widowControl/>
              <w:snapToGrid w:val="0"/>
              <w:spacing w:before="120" w:beforeLines="50"/>
              <w:jc w:val="center"/>
              <w:rPr>
                <w:rFonts w:ascii="宋体" w:hAnsi="宋体" w:cs="宋体"/>
                <w:bCs/>
                <w:szCs w:val="21"/>
              </w:rPr>
            </w:pPr>
            <w:r>
              <w:rPr>
                <w:rFonts w:hint="eastAsia" w:ascii="宋体" w:hAnsi="宋体" w:cs="宋体"/>
                <w:bCs/>
                <w:szCs w:val="21"/>
              </w:rPr>
              <w:t>单位</w:t>
            </w:r>
          </w:p>
        </w:tc>
        <w:tc>
          <w:tcPr>
            <w:tcW w:w="900" w:type="dxa"/>
            <w:vAlign w:val="center"/>
          </w:tcPr>
          <w:p>
            <w:pPr>
              <w:widowControl/>
              <w:snapToGrid w:val="0"/>
              <w:spacing w:before="120" w:beforeLines="50"/>
              <w:jc w:val="center"/>
              <w:rPr>
                <w:rFonts w:ascii="宋体" w:hAnsi="宋体" w:cs="宋体"/>
                <w:bCs/>
                <w:szCs w:val="21"/>
              </w:rPr>
            </w:pPr>
            <w:r>
              <w:rPr>
                <w:rFonts w:hint="eastAsia" w:ascii="宋体" w:hAnsi="宋体" w:cs="宋体"/>
                <w:bCs/>
                <w:szCs w:val="21"/>
              </w:rPr>
              <w:t>数量</w:t>
            </w:r>
          </w:p>
        </w:tc>
        <w:tc>
          <w:tcPr>
            <w:tcW w:w="2146" w:type="dxa"/>
            <w:vAlign w:val="center"/>
          </w:tcPr>
          <w:p>
            <w:pPr>
              <w:widowControl/>
              <w:snapToGrid w:val="0"/>
              <w:spacing w:before="120" w:beforeLines="50"/>
              <w:jc w:val="center"/>
              <w:rPr>
                <w:rFonts w:hint="eastAsia" w:ascii="宋体" w:hAnsi="宋体" w:eastAsia="宋体" w:cs="宋体"/>
                <w:bCs/>
                <w:szCs w:val="21"/>
                <w:lang w:val="en-US" w:eastAsia="zh-CN"/>
              </w:rPr>
            </w:pPr>
            <w:r>
              <w:rPr>
                <w:rFonts w:hint="eastAsia" w:ascii="宋体" w:hAnsi="宋体" w:cs="宋体"/>
                <w:bCs/>
                <w:szCs w:val="21"/>
                <w:lang w:val="en-US" w:eastAsia="zh-CN"/>
              </w:rPr>
              <w:t>备注</w:t>
            </w:r>
          </w:p>
        </w:tc>
        <w:tc>
          <w:tcPr>
            <w:tcW w:w="1593" w:type="dxa"/>
            <w:vAlign w:val="center"/>
          </w:tcPr>
          <w:p>
            <w:pPr>
              <w:widowControl/>
              <w:snapToGrid w:val="0"/>
              <w:spacing w:before="120" w:beforeLines="50"/>
              <w:jc w:val="center"/>
              <w:rPr>
                <w:rFonts w:ascii="宋体" w:hAnsi="宋体" w:cs="宋体"/>
                <w:bCs/>
                <w:szCs w:val="21"/>
              </w:rPr>
            </w:pPr>
            <w:r>
              <w:rPr>
                <w:rFonts w:hint="eastAsia" w:ascii="宋体" w:hAnsi="宋体" w:cs="宋体"/>
                <w:bCs/>
                <w:szCs w:val="21"/>
              </w:rPr>
              <w:t>是否允许进口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722" w:type="dxa"/>
            <w:vAlign w:val="center"/>
          </w:tcPr>
          <w:p>
            <w:pPr>
              <w:widowControl/>
              <w:snapToGrid w:val="0"/>
              <w:spacing w:before="120" w:beforeLines="50"/>
              <w:jc w:val="center"/>
              <w:rPr>
                <w:rFonts w:ascii="宋体" w:hAnsi="宋体" w:cs="宋体"/>
                <w:bCs/>
                <w:szCs w:val="21"/>
              </w:rPr>
            </w:pPr>
            <w:r>
              <w:rPr>
                <w:rFonts w:hint="eastAsia" w:ascii="宋体" w:hAnsi="宋体" w:cs="宋体"/>
                <w:bCs/>
                <w:szCs w:val="21"/>
              </w:rPr>
              <w:t>1</w:t>
            </w:r>
          </w:p>
        </w:tc>
        <w:tc>
          <w:tcPr>
            <w:tcW w:w="3329" w:type="dxa"/>
            <w:vAlign w:val="center"/>
          </w:tcPr>
          <w:p>
            <w:pPr>
              <w:widowControl/>
              <w:snapToGrid w:val="0"/>
              <w:spacing w:before="120" w:beforeLines="50"/>
              <w:jc w:val="center"/>
              <w:rPr>
                <w:rFonts w:hint="eastAsia" w:ascii="宋体" w:hAnsi="宋体" w:eastAsia="宋体" w:cs="宋体"/>
                <w:szCs w:val="21"/>
              </w:rPr>
            </w:pPr>
            <w:r>
              <w:rPr>
                <w:rFonts w:hint="eastAsia" w:ascii="宋体" w:hAnsi="宋体" w:eastAsia="宋体" w:cs="宋体"/>
                <w:szCs w:val="21"/>
              </w:rPr>
              <w:t>热阻金属沉积系统</w:t>
            </w:r>
          </w:p>
        </w:tc>
        <w:tc>
          <w:tcPr>
            <w:tcW w:w="946" w:type="dxa"/>
            <w:vAlign w:val="center"/>
          </w:tcPr>
          <w:p>
            <w:pPr>
              <w:widowControl/>
              <w:snapToGrid w:val="0"/>
              <w:spacing w:before="120" w:beforeLines="50"/>
              <w:jc w:val="center"/>
              <w:rPr>
                <w:rFonts w:ascii="宋体" w:hAnsi="宋体" w:cs="宋体"/>
                <w:bCs/>
                <w:szCs w:val="21"/>
              </w:rPr>
            </w:pPr>
            <w:r>
              <w:rPr>
                <w:rFonts w:hint="eastAsia" w:ascii="宋体" w:hAnsi="宋体" w:cs="宋体"/>
                <w:szCs w:val="21"/>
              </w:rPr>
              <w:t>套</w:t>
            </w:r>
          </w:p>
        </w:tc>
        <w:tc>
          <w:tcPr>
            <w:tcW w:w="900" w:type="dxa"/>
            <w:vAlign w:val="center"/>
          </w:tcPr>
          <w:p>
            <w:pPr>
              <w:widowControl/>
              <w:snapToGrid w:val="0"/>
              <w:spacing w:before="120" w:beforeLines="50"/>
              <w:jc w:val="center"/>
              <w:rPr>
                <w:rFonts w:ascii="宋体" w:hAnsi="宋体" w:cs="宋体"/>
                <w:bCs/>
                <w:szCs w:val="21"/>
              </w:rPr>
            </w:pPr>
            <w:r>
              <w:rPr>
                <w:rFonts w:hint="eastAsia" w:ascii="宋体" w:hAnsi="宋体" w:cs="宋体"/>
                <w:szCs w:val="21"/>
              </w:rPr>
              <w:t>1</w:t>
            </w:r>
          </w:p>
        </w:tc>
        <w:tc>
          <w:tcPr>
            <w:tcW w:w="2146" w:type="dxa"/>
            <w:vAlign w:val="center"/>
          </w:tcPr>
          <w:p>
            <w:pPr>
              <w:widowControl/>
              <w:snapToGrid w:val="0"/>
              <w:spacing w:before="120" w:beforeLines="50"/>
              <w:jc w:val="center"/>
              <w:rPr>
                <w:rFonts w:hint="eastAsia" w:ascii="宋体" w:hAnsi="宋体" w:cs="宋体"/>
                <w:szCs w:val="21"/>
              </w:rPr>
            </w:pPr>
          </w:p>
        </w:tc>
        <w:tc>
          <w:tcPr>
            <w:tcW w:w="1593" w:type="dxa"/>
            <w:vMerge w:val="restart"/>
            <w:vAlign w:val="center"/>
          </w:tcPr>
          <w:p>
            <w:pPr>
              <w:widowControl/>
              <w:snapToGrid w:val="0"/>
              <w:spacing w:before="120" w:beforeLines="50"/>
              <w:jc w:val="center"/>
              <w:rPr>
                <w:rFonts w:ascii="宋体" w:hAnsi="宋体" w:cs="宋体"/>
                <w:szCs w:val="21"/>
              </w:rPr>
            </w:pPr>
            <w:r>
              <w:rPr>
                <w:rFonts w:hint="eastAsia" w:ascii="宋体" w:hAnsi="宋体" w:cs="宋体"/>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722" w:type="dxa"/>
            <w:vAlign w:val="center"/>
          </w:tcPr>
          <w:p>
            <w:pPr>
              <w:widowControl/>
              <w:snapToGrid w:val="0"/>
              <w:spacing w:before="120" w:beforeLines="50"/>
              <w:jc w:val="center"/>
              <w:rPr>
                <w:rFonts w:hint="eastAsia" w:ascii="宋体" w:hAnsi="宋体" w:eastAsia="宋体" w:cs="宋体"/>
                <w:bCs/>
                <w:szCs w:val="21"/>
                <w:lang w:val="en-US" w:eastAsia="zh-CN"/>
              </w:rPr>
            </w:pPr>
            <w:r>
              <w:rPr>
                <w:rFonts w:hint="eastAsia" w:ascii="宋体" w:hAnsi="宋体" w:cs="宋体"/>
                <w:bCs/>
                <w:szCs w:val="21"/>
                <w:lang w:val="en-US" w:eastAsia="zh-CN"/>
              </w:rPr>
              <w:t>2</w:t>
            </w:r>
          </w:p>
        </w:tc>
        <w:tc>
          <w:tcPr>
            <w:tcW w:w="3329" w:type="dxa"/>
            <w:vAlign w:val="center"/>
          </w:tcPr>
          <w:p>
            <w:pPr>
              <w:widowControl/>
              <w:snapToGrid w:val="0"/>
              <w:spacing w:before="120" w:beforeLines="50"/>
              <w:jc w:val="center"/>
              <w:rPr>
                <w:rFonts w:hint="eastAsia" w:ascii="宋体" w:hAnsi="宋体" w:eastAsia="宋体" w:cs="宋体"/>
                <w:szCs w:val="21"/>
              </w:rPr>
            </w:pPr>
            <w:r>
              <w:rPr>
                <w:rFonts w:hint="eastAsia" w:ascii="宋体" w:hAnsi="宋体" w:eastAsia="宋体" w:cs="宋体"/>
                <w:szCs w:val="21"/>
              </w:rPr>
              <w:t>晶圆夹具</w:t>
            </w:r>
          </w:p>
        </w:tc>
        <w:tc>
          <w:tcPr>
            <w:tcW w:w="946" w:type="dxa"/>
            <w:vAlign w:val="center"/>
          </w:tcPr>
          <w:p>
            <w:pPr>
              <w:jc w:val="center"/>
              <w:rPr>
                <w:rFonts w:hint="eastAsia" w:ascii="宋体" w:hAnsi="宋体" w:cs="宋体"/>
                <w:szCs w:val="21"/>
              </w:rPr>
            </w:pPr>
            <w:r>
              <w:rPr>
                <w:rFonts w:hint="eastAsia"/>
              </w:rPr>
              <w:t>套</w:t>
            </w:r>
          </w:p>
        </w:tc>
        <w:tc>
          <w:tcPr>
            <w:tcW w:w="900" w:type="dxa"/>
            <w:vAlign w:val="center"/>
          </w:tcPr>
          <w:p>
            <w:pPr>
              <w:jc w:val="center"/>
              <w:rPr>
                <w:rFonts w:hint="eastAsia" w:ascii="宋体" w:hAnsi="宋体" w:cs="宋体"/>
                <w:szCs w:val="21"/>
              </w:rPr>
            </w:pPr>
            <w:r>
              <w:t>3</w:t>
            </w:r>
          </w:p>
        </w:tc>
        <w:tc>
          <w:tcPr>
            <w:tcW w:w="2146" w:type="dxa"/>
            <w:vAlign w:val="center"/>
          </w:tcPr>
          <w:p>
            <w:pPr>
              <w:jc w:val="center"/>
            </w:pPr>
          </w:p>
        </w:tc>
        <w:tc>
          <w:tcPr>
            <w:tcW w:w="1593" w:type="dxa"/>
            <w:vMerge w:val="continue"/>
            <w:vAlign w:val="center"/>
          </w:tcPr>
          <w:p>
            <w:pPr>
              <w:widowControl/>
              <w:snapToGrid w:val="0"/>
              <w:spacing w:before="120" w:beforeLines="5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722" w:type="dxa"/>
            <w:vAlign w:val="center"/>
          </w:tcPr>
          <w:p>
            <w:pPr>
              <w:widowControl/>
              <w:snapToGrid w:val="0"/>
              <w:spacing w:before="120" w:beforeLines="50"/>
              <w:jc w:val="center"/>
              <w:rPr>
                <w:rFonts w:hint="eastAsia" w:ascii="宋体" w:hAnsi="宋体" w:eastAsia="宋体" w:cs="宋体"/>
                <w:bCs/>
                <w:szCs w:val="21"/>
                <w:lang w:val="en-US" w:eastAsia="zh-CN"/>
              </w:rPr>
            </w:pPr>
            <w:r>
              <w:rPr>
                <w:rFonts w:hint="eastAsia" w:ascii="宋体" w:hAnsi="宋体" w:cs="宋体"/>
                <w:bCs/>
                <w:szCs w:val="21"/>
                <w:lang w:val="en-US" w:eastAsia="zh-CN"/>
              </w:rPr>
              <w:t>3</w:t>
            </w:r>
          </w:p>
        </w:tc>
        <w:tc>
          <w:tcPr>
            <w:tcW w:w="3329" w:type="dxa"/>
            <w:vAlign w:val="center"/>
          </w:tcPr>
          <w:p>
            <w:pPr>
              <w:widowControl/>
              <w:snapToGrid w:val="0"/>
              <w:spacing w:before="120" w:beforeLines="50"/>
              <w:jc w:val="center"/>
              <w:rPr>
                <w:rFonts w:hint="eastAsia" w:ascii="宋体" w:hAnsi="宋体" w:eastAsia="宋体" w:cs="宋体"/>
                <w:szCs w:val="21"/>
              </w:rPr>
            </w:pPr>
            <w:r>
              <w:rPr>
                <w:rFonts w:hint="eastAsia" w:ascii="宋体" w:hAnsi="宋体" w:eastAsia="宋体" w:cs="宋体"/>
                <w:szCs w:val="21"/>
              </w:rPr>
              <w:t>蒸发舟</w:t>
            </w:r>
          </w:p>
        </w:tc>
        <w:tc>
          <w:tcPr>
            <w:tcW w:w="946" w:type="dxa"/>
            <w:vAlign w:val="center"/>
          </w:tcPr>
          <w:p>
            <w:pPr>
              <w:jc w:val="center"/>
              <w:rPr>
                <w:rFonts w:hint="eastAsia" w:ascii="宋体" w:hAnsi="宋体" w:cs="宋体"/>
                <w:szCs w:val="21"/>
              </w:rPr>
            </w:pPr>
            <w:r>
              <w:rPr>
                <w:rFonts w:hint="eastAsia"/>
              </w:rPr>
              <w:t>个</w:t>
            </w:r>
          </w:p>
        </w:tc>
        <w:tc>
          <w:tcPr>
            <w:tcW w:w="900" w:type="dxa"/>
            <w:vAlign w:val="center"/>
          </w:tcPr>
          <w:p>
            <w:pPr>
              <w:jc w:val="center"/>
              <w:rPr>
                <w:rFonts w:hint="eastAsia" w:ascii="宋体" w:hAnsi="宋体" w:cs="宋体"/>
                <w:szCs w:val="21"/>
              </w:rPr>
            </w:pPr>
            <w:r>
              <w:rPr>
                <w:rFonts w:hint="eastAsia"/>
              </w:rPr>
              <w:t>1</w:t>
            </w:r>
            <w:r>
              <w:t>0</w:t>
            </w:r>
          </w:p>
        </w:tc>
        <w:tc>
          <w:tcPr>
            <w:tcW w:w="2146" w:type="dxa"/>
            <w:vAlign w:val="center"/>
          </w:tcPr>
          <w:p>
            <w:pPr>
              <w:widowControl/>
              <w:snapToGrid w:val="0"/>
              <w:spacing w:before="120" w:beforeLines="50"/>
              <w:jc w:val="center"/>
              <w:rPr>
                <w:rFonts w:hint="eastAsia" w:ascii="宋体" w:hAnsi="宋体" w:eastAsia="宋体" w:cs="宋体"/>
                <w:szCs w:val="21"/>
              </w:rPr>
            </w:pPr>
            <w:r>
              <w:rPr>
                <w:rFonts w:hint="eastAsia" w:ascii="宋体" w:hAnsi="宋体" w:eastAsia="宋体" w:cs="宋体"/>
                <w:szCs w:val="21"/>
              </w:rPr>
              <w:t>满足不同蒸发料需求</w:t>
            </w:r>
          </w:p>
        </w:tc>
        <w:tc>
          <w:tcPr>
            <w:tcW w:w="1593" w:type="dxa"/>
            <w:vMerge w:val="continue"/>
            <w:vAlign w:val="center"/>
          </w:tcPr>
          <w:p>
            <w:pPr>
              <w:widowControl/>
              <w:snapToGrid w:val="0"/>
              <w:spacing w:before="120" w:beforeLines="5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722" w:type="dxa"/>
            <w:vAlign w:val="center"/>
          </w:tcPr>
          <w:p>
            <w:pPr>
              <w:widowControl/>
              <w:snapToGrid w:val="0"/>
              <w:spacing w:before="120" w:beforeLines="50"/>
              <w:jc w:val="center"/>
              <w:rPr>
                <w:rFonts w:hint="eastAsia" w:ascii="宋体" w:hAnsi="宋体" w:eastAsia="宋体" w:cs="宋体"/>
                <w:bCs/>
                <w:szCs w:val="21"/>
                <w:lang w:val="en-US" w:eastAsia="zh-CN"/>
              </w:rPr>
            </w:pPr>
            <w:r>
              <w:rPr>
                <w:rFonts w:hint="eastAsia" w:ascii="宋体" w:hAnsi="宋体" w:cs="宋体"/>
                <w:bCs/>
                <w:szCs w:val="21"/>
                <w:lang w:val="en-US" w:eastAsia="zh-CN"/>
              </w:rPr>
              <w:t>4</w:t>
            </w:r>
          </w:p>
        </w:tc>
        <w:tc>
          <w:tcPr>
            <w:tcW w:w="3329" w:type="dxa"/>
            <w:vAlign w:val="center"/>
          </w:tcPr>
          <w:p>
            <w:pPr>
              <w:widowControl/>
              <w:snapToGrid w:val="0"/>
              <w:spacing w:before="120" w:beforeLines="50"/>
              <w:jc w:val="center"/>
              <w:rPr>
                <w:rFonts w:hint="eastAsia" w:ascii="宋体" w:hAnsi="宋体" w:eastAsia="宋体" w:cs="宋体"/>
                <w:szCs w:val="21"/>
              </w:rPr>
            </w:pPr>
            <w:r>
              <w:rPr>
                <w:rFonts w:hint="eastAsia" w:ascii="宋体" w:hAnsi="宋体" w:eastAsia="宋体" w:cs="宋体"/>
                <w:szCs w:val="21"/>
              </w:rPr>
              <w:t>备品备件（含晶振片）</w:t>
            </w:r>
          </w:p>
        </w:tc>
        <w:tc>
          <w:tcPr>
            <w:tcW w:w="946" w:type="dxa"/>
            <w:vAlign w:val="center"/>
          </w:tcPr>
          <w:p>
            <w:pPr>
              <w:jc w:val="center"/>
              <w:rPr>
                <w:rFonts w:hint="eastAsia" w:ascii="宋体" w:hAnsi="宋体" w:cs="宋体"/>
                <w:szCs w:val="21"/>
              </w:rPr>
            </w:pPr>
            <w:r>
              <w:rPr>
                <w:rFonts w:hint="eastAsia"/>
              </w:rPr>
              <w:t>套</w:t>
            </w:r>
          </w:p>
        </w:tc>
        <w:tc>
          <w:tcPr>
            <w:tcW w:w="900" w:type="dxa"/>
            <w:vAlign w:val="center"/>
          </w:tcPr>
          <w:p>
            <w:pPr>
              <w:jc w:val="center"/>
              <w:rPr>
                <w:rFonts w:hint="eastAsia" w:ascii="宋体" w:hAnsi="宋体" w:cs="宋体"/>
                <w:szCs w:val="21"/>
              </w:rPr>
            </w:pPr>
            <w:r>
              <w:rPr>
                <w:rFonts w:hint="eastAsia"/>
              </w:rPr>
              <w:t>1</w:t>
            </w:r>
          </w:p>
        </w:tc>
        <w:tc>
          <w:tcPr>
            <w:tcW w:w="2146" w:type="dxa"/>
            <w:vAlign w:val="center"/>
          </w:tcPr>
          <w:p>
            <w:pPr>
              <w:widowControl/>
              <w:snapToGrid w:val="0"/>
              <w:spacing w:before="120" w:beforeLines="50"/>
              <w:jc w:val="center"/>
              <w:rPr>
                <w:rFonts w:hint="eastAsia" w:ascii="宋体" w:hAnsi="宋体" w:eastAsia="宋体" w:cs="宋体"/>
                <w:szCs w:val="21"/>
              </w:rPr>
            </w:pPr>
          </w:p>
        </w:tc>
        <w:tc>
          <w:tcPr>
            <w:tcW w:w="1593" w:type="dxa"/>
            <w:vMerge w:val="continue"/>
            <w:vAlign w:val="center"/>
          </w:tcPr>
          <w:p>
            <w:pPr>
              <w:widowControl/>
              <w:snapToGrid w:val="0"/>
              <w:spacing w:before="120" w:beforeLines="5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722" w:type="dxa"/>
            <w:vAlign w:val="center"/>
          </w:tcPr>
          <w:p>
            <w:pPr>
              <w:widowControl/>
              <w:snapToGrid w:val="0"/>
              <w:spacing w:before="120" w:beforeLines="50"/>
              <w:jc w:val="center"/>
              <w:rPr>
                <w:rFonts w:hint="eastAsia" w:ascii="宋体" w:hAnsi="宋体" w:eastAsia="宋体" w:cs="宋体"/>
                <w:bCs/>
                <w:szCs w:val="21"/>
                <w:lang w:val="en-US" w:eastAsia="zh-CN"/>
              </w:rPr>
            </w:pPr>
            <w:r>
              <w:rPr>
                <w:rFonts w:hint="eastAsia" w:ascii="宋体" w:hAnsi="宋体" w:cs="宋体"/>
                <w:bCs/>
                <w:szCs w:val="21"/>
                <w:lang w:val="en-US" w:eastAsia="zh-CN"/>
              </w:rPr>
              <w:t>5</w:t>
            </w:r>
          </w:p>
        </w:tc>
        <w:tc>
          <w:tcPr>
            <w:tcW w:w="3329" w:type="dxa"/>
            <w:vAlign w:val="center"/>
          </w:tcPr>
          <w:p>
            <w:pPr>
              <w:widowControl/>
              <w:snapToGrid w:val="0"/>
              <w:spacing w:before="120" w:beforeLines="50"/>
              <w:jc w:val="center"/>
              <w:rPr>
                <w:rFonts w:hint="eastAsia" w:ascii="宋体" w:hAnsi="宋体" w:eastAsia="宋体" w:cs="宋体"/>
                <w:szCs w:val="21"/>
              </w:rPr>
            </w:pPr>
            <w:r>
              <w:rPr>
                <w:rFonts w:hint="eastAsia" w:ascii="宋体" w:hAnsi="宋体" w:eastAsia="宋体" w:cs="宋体"/>
                <w:szCs w:val="21"/>
              </w:rPr>
              <w:t>设备维护工具、保养备件等</w:t>
            </w:r>
          </w:p>
        </w:tc>
        <w:tc>
          <w:tcPr>
            <w:tcW w:w="946" w:type="dxa"/>
            <w:vAlign w:val="center"/>
          </w:tcPr>
          <w:p>
            <w:pPr>
              <w:jc w:val="center"/>
              <w:rPr>
                <w:rFonts w:hint="eastAsia" w:ascii="宋体" w:hAnsi="宋体" w:cs="宋体"/>
                <w:szCs w:val="21"/>
              </w:rPr>
            </w:pPr>
            <w:r>
              <w:rPr>
                <w:rFonts w:hint="eastAsia"/>
              </w:rPr>
              <w:t>套</w:t>
            </w:r>
          </w:p>
        </w:tc>
        <w:tc>
          <w:tcPr>
            <w:tcW w:w="900" w:type="dxa"/>
            <w:vAlign w:val="center"/>
          </w:tcPr>
          <w:p>
            <w:pPr>
              <w:jc w:val="center"/>
              <w:rPr>
                <w:rFonts w:hint="eastAsia" w:ascii="宋体" w:hAnsi="宋体" w:cs="宋体"/>
                <w:szCs w:val="21"/>
              </w:rPr>
            </w:pPr>
            <w:r>
              <w:rPr>
                <w:rFonts w:hint="eastAsia"/>
              </w:rPr>
              <w:t>1</w:t>
            </w:r>
          </w:p>
        </w:tc>
        <w:tc>
          <w:tcPr>
            <w:tcW w:w="2146" w:type="dxa"/>
            <w:vAlign w:val="center"/>
          </w:tcPr>
          <w:p>
            <w:pPr>
              <w:widowControl/>
              <w:snapToGrid w:val="0"/>
              <w:spacing w:before="120" w:beforeLines="50"/>
              <w:jc w:val="center"/>
              <w:rPr>
                <w:rFonts w:hint="eastAsia" w:ascii="宋体" w:hAnsi="宋体" w:eastAsia="宋体" w:cs="宋体"/>
                <w:szCs w:val="21"/>
              </w:rPr>
            </w:pPr>
          </w:p>
        </w:tc>
        <w:tc>
          <w:tcPr>
            <w:tcW w:w="1593" w:type="dxa"/>
            <w:vMerge w:val="continue"/>
            <w:vAlign w:val="center"/>
          </w:tcPr>
          <w:p>
            <w:pPr>
              <w:widowControl/>
              <w:snapToGrid w:val="0"/>
              <w:spacing w:before="120" w:beforeLines="5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722" w:type="dxa"/>
            <w:vAlign w:val="center"/>
          </w:tcPr>
          <w:p>
            <w:pPr>
              <w:widowControl/>
              <w:snapToGrid w:val="0"/>
              <w:spacing w:before="120" w:beforeLines="50"/>
              <w:jc w:val="center"/>
              <w:rPr>
                <w:rFonts w:hint="eastAsia" w:ascii="宋体" w:hAnsi="宋体" w:eastAsia="宋体" w:cs="宋体"/>
                <w:bCs/>
                <w:szCs w:val="21"/>
                <w:lang w:val="en-US" w:eastAsia="zh-CN"/>
              </w:rPr>
            </w:pPr>
            <w:r>
              <w:rPr>
                <w:rFonts w:hint="eastAsia" w:ascii="宋体" w:hAnsi="宋体" w:cs="宋体"/>
                <w:bCs/>
                <w:szCs w:val="21"/>
                <w:lang w:val="en-US" w:eastAsia="zh-CN"/>
              </w:rPr>
              <w:t>6</w:t>
            </w:r>
          </w:p>
        </w:tc>
        <w:tc>
          <w:tcPr>
            <w:tcW w:w="3329" w:type="dxa"/>
            <w:vAlign w:val="center"/>
          </w:tcPr>
          <w:p>
            <w:pPr>
              <w:widowControl/>
              <w:snapToGrid w:val="0"/>
              <w:spacing w:before="120" w:beforeLines="50"/>
              <w:jc w:val="center"/>
              <w:rPr>
                <w:rFonts w:hint="eastAsia" w:ascii="宋体" w:hAnsi="宋体" w:eastAsia="宋体" w:cs="宋体"/>
                <w:szCs w:val="21"/>
              </w:rPr>
            </w:pPr>
            <w:r>
              <w:rPr>
                <w:rFonts w:hint="eastAsia" w:ascii="宋体" w:hAnsi="宋体" w:eastAsia="宋体" w:cs="宋体"/>
                <w:szCs w:val="21"/>
              </w:rPr>
              <w:t>技术资料：包含设备操作手册、维护（服务）手册、软件使用书、设备布置与安装图等相关资料</w:t>
            </w:r>
          </w:p>
        </w:tc>
        <w:tc>
          <w:tcPr>
            <w:tcW w:w="946" w:type="dxa"/>
            <w:vAlign w:val="center"/>
          </w:tcPr>
          <w:p>
            <w:pPr>
              <w:jc w:val="center"/>
              <w:rPr>
                <w:rFonts w:hint="eastAsia"/>
              </w:rPr>
            </w:pPr>
            <w:r>
              <w:rPr>
                <w:rFonts w:hint="eastAsia"/>
              </w:rPr>
              <w:t>套</w:t>
            </w:r>
          </w:p>
        </w:tc>
        <w:tc>
          <w:tcPr>
            <w:tcW w:w="900" w:type="dxa"/>
            <w:vAlign w:val="center"/>
          </w:tcPr>
          <w:p>
            <w:pPr>
              <w:jc w:val="center"/>
              <w:rPr>
                <w:rFonts w:hint="eastAsia"/>
              </w:rPr>
            </w:pPr>
            <w:r>
              <w:rPr>
                <w:rFonts w:hint="eastAsia"/>
              </w:rPr>
              <w:t>2</w:t>
            </w:r>
          </w:p>
        </w:tc>
        <w:tc>
          <w:tcPr>
            <w:tcW w:w="2146" w:type="dxa"/>
            <w:vAlign w:val="center"/>
          </w:tcPr>
          <w:p>
            <w:pPr>
              <w:widowControl/>
              <w:snapToGrid w:val="0"/>
              <w:spacing w:before="120" w:beforeLines="50"/>
              <w:jc w:val="center"/>
              <w:rPr>
                <w:rFonts w:hint="eastAsia" w:ascii="宋体" w:hAnsi="宋体" w:eastAsia="宋体" w:cs="宋体"/>
                <w:szCs w:val="21"/>
              </w:rPr>
            </w:pPr>
            <w:r>
              <w:rPr>
                <w:rFonts w:hint="eastAsia" w:ascii="宋体" w:hAnsi="宋体" w:eastAsia="宋体" w:cs="宋体"/>
                <w:szCs w:val="21"/>
              </w:rPr>
              <w:t>其中一套为无尘纸</w:t>
            </w:r>
          </w:p>
        </w:tc>
        <w:tc>
          <w:tcPr>
            <w:tcW w:w="1593" w:type="dxa"/>
            <w:vMerge w:val="continue"/>
            <w:vAlign w:val="center"/>
          </w:tcPr>
          <w:p>
            <w:pPr>
              <w:widowControl/>
              <w:snapToGrid w:val="0"/>
              <w:spacing w:before="120" w:beforeLines="50"/>
              <w:jc w:val="center"/>
              <w:rPr>
                <w:rFonts w:hint="eastAsia" w:ascii="宋体" w:hAnsi="宋体" w:cs="宋体"/>
                <w:szCs w:val="21"/>
              </w:rPr>
            </w:pPr>
          </w:p>
        </w:tc>
      </w:tr>
    </w:tbl>
    <w:p>
      <w:pPr>
        <w:adjustRightInd w:val="0"/>
        <w:snapToGrid w:val="0"/>
        <w:spacing w:line="360" w:lineRule="auto"/>
        <w:rPr>
          <w:rFonts w:ascii="宋体" w:hAnsi="宋体" w:cs="宋体"/>
          <w:szCs w:val="21"/>
        </w:rPr>
      </w:pPr>
    </w:p>
    <w:p>
      <w:pPr>
        <w:pStyle w:val="3"/>
        <w:snapToGrid w:val="0"/>
        <w:spacing w:before="0" w:after="0"/>
        <w:rPr>
          <w:rFonts w:ascii="Times New Roman" w:hAnsi="Times New Roman" w:eastAsia="宋体" w:cs="宋体"/>
          <w:snapToGrid w:val="0"/>
          <w:color w:val="000000"/>
          <w:sz w:val="24"/>
          <w:szCs w:val="24"/>
        </w:rPr>
      </w:pPr>
      <w:bookmarkStart w:id="20" w:name="_Toc9810"/>
      <w:r>
        <w:rPr>
          <w:rFonts w:hint="eastAsia" w:ascii="Times New Roman" w:hAnsi="Times New Roman" w:eastAsia="宋体" w:cs="宋体"/>
          <w:snapToGrid w:val="0"/>
          <w:color w:val="000000"/>
          <w:sz w:val="24"/>
          <w:szCs w:val="24"/>
        </w:rPr>
        <w:t>三、技术要求</w:t>
      </w:r>
      <w:bookmarkEnd w:id="20"/>
    </w:p>
    <w:bookmarkEnd w:id="16"/>
    <w:p>
      <w:pPr>
        <w:adjustRightInd w:val="0"/>
        <w:snapToGrid w:val="0"/>
        <w:spacing w:line="360" w:lineRule="auto"/>
        <w:ind w:firstLine="420" w:firstLineChars="200"/>
        <w:jc w:val="left"/>
        <w:rPr>
          <w:rFonts w:ascii="宋体" w:hAnsi="宋体" w:cs="宋体"/>
          <w:szCs w:val="21"/>
        </w:rPr>
      </w:pPr>
      <w:bookmarkStart w:id="21" w:name="_Toc15612"/>
      <w:r>
        <w:rPr>
          <w:rFonts w:hint="eastAsia" w:ascii="宋体" w:hAnsi="宋体" w:cs="宋体"/>
          <w:szCs w:val="21"/>
        </w:rPr>
        <w:t>1.▲设备兼容8/6/4英寸及以下尺寸晶圆样品；</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2.真空工艺腔室采用304不锈钢材质，前开门设计；</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3.★蒸发源到样品的距离不大于520 mm；</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4.腔室带有工艺观察窗；</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5.腔室配有2套易装卸的不锈钢防污内衬；</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6.▲高真空泵配置低温泵，抽速不低于1500 L/s；</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7.低真空泵配置干泵；</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8.★工艺腔极限真空优于8×10</w:t>
      </w:r>
      <w:r>
        <w:rPr>
          <w:rFonts w:hint="eastAsia" w:ascii="宋体" w:hAnsi="宋体" w:cs="宋体"/>
          <w:szCs w:val="21"/>
          <w:vertAlign w:val="superscript"/>
        </w:rPr>
        <w:t>-8</w:t>
      </w:r>
      <w:r>
        <w:rPr>
          <w:rFonts w:hint="eastAsia" w:ascii="宋体" w:hAnsi="宋体" w:cs="宋体"/>
          <w:szCs w:val="21"/>
        </w:rPr>
        <w:t xml:space="preserve"> Torr；</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9.整个真空腔室暴露空气后，从大气抽到1×10</w:t>
      </w:r>
      <w:r>
        <w:rPr>
          <w:rFonts w:hint="eastAsia" w:ascii="宋体" w:hAnsi="宋体" w:cs="宋体"/>
          <w:szCs w:val="21"/>
          <w:vertAlign w:val="superscript"/>
        </w:rPr>
        <w:t>-6</w:t>
      </w:r>
      <w:r>
        <w:rPr>
          <w:rFonts w:hint="eastAsia" w:ascii="宋体" w:hAnsi="宋体" w:cs="宋体"/>
          <w:szCs w:val="21"/>
        </w:rPr>
        <w:t xml:space="preserve"> Torr的时间不超过30分钟；</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10.真空工艺腔室配置全量程高真空规；</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11.初级真空泵前级管路上配备皮拉尼低真空规；</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12.系统配备独立的真空互锁传感器，确保在腔室处于非真空状态时不会意外启动各工艺组件的电源；</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13.可旋转样品台，转数可调节；</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14.样品台加热温度不低于300℃；</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15.至少配置2套蒸发舟位；</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16.蒸发源之间有防污染衬板；</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17.★配置2套蒸发电源，可以实现共蒸发，蒸发电源额定功率可调，最大输出功率不低于2 kW；</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18.★配置2套采用石英晶振（双晶振，一用一备）膜厚控制系统，可自动稳定地控制蒸发速率和最终膜厚；</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19.★工艺要求1：在8英寸的基片上，沉积厚度2000埃的Cu，采用5点法测量，采用台阶仪距离片子边缘5毫米处测量，片内均匀性优于±5%；</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20.工艺要求2：方法同</w:t>
      </w:r>
      <w:r>
        <w:rPr>
          <w:rFonts w:ascii="宋体" w:hAnsi="宋体" w:cs="宋体"/>
          <w:szCs w:val="21"/>
        </w:rPr>
        <w:t>19</w:t>
      </w:r>
      <w:r>
        <w:rPr>
          <w:rFonts w:hint="eastAsia" w:ascii="宋体" w:hAnsi="宋体" w:cs="宋体"/>
          <w:szCs w:val="21"/>
        </w:rPr>
        <w:t>，片间均匀性优于±3%；</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21.▲设备占地尺寸：长度不大于2米，宽度不大于1米。</w:t>
      </w:r>
    </w:p>
    <w:p>
      <w:pPr>
        <w:pStyle w:val="3"/>
        <w:snapToGrid w:val="0"/>
        <w:spacing w:before="0" w:after="0"/>
        <w:rPr>
          <w:rFonts w:ascii="宋体" w:hAnsi="宋体" w:eastAsia="宋体" w:cs="宋体"/>
          <w:snapToGrid w:val="0"/>
          <w:color w:val="000000"/>
          <w:sz w:val="24"/>
          <w:szCs w:val="24"/>
        </w:rPr>
      </w:pPr>
      <w:bookmarkStart w:id="22" w:name="_Toc16955"/>
      <w:r>
        <w:rPr>
          <w:rFonts w:hint="eastAsia" w:ascii="Times New Roman" w:hAnsi="Times New Roman" w:eastAsia="宋体" w:cs="宋体"/>
          <w:snapToGrid w:val="0"/>
          <w:color w:val="000000"/>
          <w:sz w:val="24"/>
          <w:szCs w:val="24"/>
        </w:rPr>
        <w:t>四、</w:t>
      </w:r>
      <w:r>
        <w:rPr>
          <w:rFonts w:hint="eastAsia" w:ascii="宋体" w:hAnsi="宋体" w:eastAsia="宋体" w:cs="宋体"/>
          <w:snapToGrid w:val="0"/>
          <w:color w:val="000000"/>
          <w:sz w:val="24"/>
          <w:szCs w:val="24"/>
        </w:rPr>
        <w:t>技术服务及质量保证</w:t>
      </w:r>
      <w:bookmarkEnd w:id="21"/>
      <w:bookmarkEnd w:id="22"/>
    </w:p>
    <w:p>
      <w:pPr>
        <w:adjustRightInd w:val="0"/>
        <w:snapToGrid w:val="0"/>
        <w:spacing w:line="360" w:lineRule="auto"/>
        <w:ind w:firstLine="420" w:firstLineChars="200"/>
        <w:jc w:val="left"/>
        <w:rPr>
          <w:rFonts w:ascii="宋体" w:hAnsi="宋体" w:cs="宋体"/>
          <w:szCs w:val="21"/>
        </w:rPr>
      </w:pPr>
      <w:bookmarkStart w:id="23" w:name="_Toc3363_WPSOffice_Level2"/>
      <w:bookmarkStart w:id="24" w:name="_Toc21631"/>
      <w:bookmarkStart w:id="25" w:name="_Toc3245"/>
      <w:bookmarkStart w:id="26" w:name="_Toc17792"/>
      <w:bookmarkStart w:id="27" w:name="_Toc3868"/>
      <w:bookmarkStart w:id="28" w:name="_Toc13265"/>
      <w:bookmarkStart w:id="29" w:name="_Toc28047_WPSOffice_Level2"/>
      <w:bookmarkStart w:id="30" w:name="_Toc32544_WPSOffice_Level2"/>
      <w:bookmarkStart w:id="31" w:name="_Toc9065"/>
      <w:bookmarkStart w:id="32" w:name="_Toc1715"/>
      <w:r>
        <w:rPr>
          <w:rFonts w:hint="eastAsia" w:ascii="宋体" w:hAnsi="宋体" w:cs="宋体"/>
          <w:szCs w:val="21"/>
        </w:rPr>
        <w:t>1.负责将仪器运送安装至采购人指定位置，在接到采购人通知后一周内由供应商执行免费调试，并在一月内完成。</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2.按相应技术指标完成验收，验收合格后，出具验收报告。</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3.质保期：质保期自验收合格签字之日起计算</w:t>
      </w:r>
      <w:r>
        <w:t>1</w:t>
      </w:r>
      <w:r>
        <w:rPr>
          <w:rFonts w:hint="eastAsia" w:ascii="宋体" w:hAnsi="宋体" w:cs="宋体"/>
          <w:szCs w:val="21"/>
        </w:rPr>
        <w:t>年，终身维护。质保期内，投标人负责为采购人的设备提供免费维护、保养和免费更换损坏的和有缺陷的零部件，设备质保期后投标人对设备提供终身优惠的技术支持。质保期内因故障而影响工作的情况每发生一次，其质保期相应延长60天。质保期满前1个月内投标人应负责一次免费全面检查，并写出正式报告，如发现潜在问题，应负责排除。质保期满后，投标人仍提供整机维修和系统维护服务，对于由此产生的所有费用，仅收取成本费。</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4.维修响应时间：厂家有维修中心、专职的维修工程师、备品备件库。</w:t>
      </w:r>
      <w:r>
        <w:rPr>
          <w:rFonts w:hint="eastAsia" w:ascii="宋体" w:hAnsi="宋体" w:cs="宋体"/>
          <w:bCs/>
          <w:szCs w:val="21"/>
        </w:rPr>
        <w:t>若在使用过程中发生</w:t>
      </w:r>
      <w:r>
        <w:rPr>
          <w:rFonts w:hint="eastAsia" w:ascii="宋体" w:hAnsi="宋体" w:cs="宋体"/>
          <w:szCs w:val="21"/>
        </w:rPr>
        <w:t>故障，中标人应在4小时内对用户的服务要求做出响应，48小时内给与解决方案并到达用户现场解决问题，重大问题或其它无法立刻解决的问题应在用户要求时间内解决或提出明确的解决方案直至用户满意。设备返厂维修期间提供满足使用要求的备用机。</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5.在不涉及仪器硬件升级或维修的条件下，供应商对软件提供终身免费升级服务。</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6.为了保证产品和技术服务的质量和延续性，供应商如果非制造商的，需要提供制造商出具的针对此项目的授权文件。</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7.供货期：合同签订后</w:t>
      </w:r>
      <w:r>
        <w:t>210</w:t>
      </w:r>
      <w:r>
        <w:rPr>
          <w:rFonts w:hint="eastAsia" w:ascii="宋体" w:hAnsi="宋体" w:cs="宋体"/>
          <w:snapToGrid w:val="0"/>
          <w:kern w:val="0"/>
          <w:szCs w:val="21"/>
        </w:rPr>
        <w:t>天</w:t>
      </w:r>
      <w:r>
        <w:rPr>
          <w:rFonts w:hint="eastAsia" w:ascii="宋体" w:hAnsi="宋体" w:cs="宋体"/>
          <w:szCs w:val="21"/>
        </w:rPr>
        <w:t>内交货，具体时间以用户通知为准。</w:t>
      </w:r>
      <w:bookmarkEnd w:id="23"/>
      <w:bookmarkEnd w:id="24"/>
      <w:bookmarkEnd w:id="25"/>
    </w:p>
    <w:p>
      <w:pPr>
        <w:pStyle w:val="3"/>
        <w:snapToGrid w:val="0"/>
        <w:spacing w:before="0" w:after="0" w:line="360" w:lineRule="auto"/>
        <w:rPr>
          <w:rFonts w:ascii="宋体" w:hAnsi="宋体" w:eastAsia="宋体" w:cs="宋体"/>
          <w:snapToGrid w:val="0"/>
          <w:color w:val="000000"/>
          <w:sz w:val="24"/>
          <w:szCs w:val="24"/>
        </w:rPr>
      </w:pPr>
      <w:bookmarkStart w:id="33" w:name="_Toc12115"/>
      <w:r>
        <w:rPr>
          <w:rFonts w:hint="eastAsia" w:ascii="Times New Roman" w:hAnsi="Times New Roman" w:eastAsia="宋体" w:cs="宋体"/>
          <w:snapToGrid w:val="0"/>
          <w:color w:val="000000"/>
          <w:sz w:val="24"/>
          <w:szCs w:val="24"/>
        </w:rPr>
        <w:t>五、</w:t>
      </w:r>
      <w:r>
        <w:rPr>
          <w:rFonts w:hint="eastAsia" w:ascii="宋体" w:hAnsi="宋体" w:eastAsia="宋体" w:cs="宋体"/>
          <w:snapToGrid w:val="0"/>
          <w:color w:val="000000"/>
          <w:sz w:val="24"/>
          <w:szCs w:val="24"/>
        </w:rPr>
        <w:t>培训</w:t>
      </w:r>
      <w:bookmarkEnd w:id="26"/>
      <w:bookmarkEnd w:id="27"/>
      <w:bookmarkEnd w:id="28"/>
      <w:bookmarkEnd w:id="29"/>
      <w:bookmarkEnd w:id="33"/>
    </w:p>
    <w:p>
      <w:pPr>
        <w:adjustRightInd w:val="0"/>
        <w:snapToGrid w:val="0"/>
        <w:spacing w:line="360" w:lineRule="auto"/>
        <w:ind w:firstLine="420" w:firstLineChars="200"/>
        <w:rPr>
          <w:rFonts w:ascii="宋体" w:hAnsi="宋体" w:cs="宋体"/>
        </w:rPr>
      </w:pPr>
      <w:r>
        <w:rPr>
          <w:rFonts w:hint="eastAsia" w:ascii="宋体" w:hAnsi="宋体" w:cs="宋体"/>
        </w:rPr>
        <w:t xml:space="preserve">1.技术培训：仪器安装调试合格后，由供应商工程师在采购人现场进行免费技术培训； </w:t>
      </w:r>
    </w:p>
    <w:p>
      <w:pPr>
        <w:adjustRightInd w:val="0"/>
        <w:snapToGrid w:val="0"/>
        <w:spacing w:line="360" w:lineRule="auto"/>
        <w:ind w:firstLine="420" w:firstLineChars="200"/>
        <w:rPr>
          <w:rFonts w:ascii="宋体" w:hAnsi="宋体" w:cs="宋体"/>
        </w:rPr>
      </w:pPr>
      <w:r>
        <w:rPr>
          <w:rFonts w:hint="eastAsia" w:ascii="宋体" w:hAnsi="宋体" w:cs="宋体"/>
        </w:rPr>
        <w:t>2.培训内容及要求：</w:t>
      </w:r>
    </w:p>
    <w:p>
      <w:pPr>
        <w:adjustRightInd w:val="0"/>
        <w:snapToGrid w:val="0"/>
        <w:spacing w:line="360" w:lineRule="auto"/>
        <w:ind w:firstLine="420" w:firstLineChars="200"/>
        <w:rPr>
          <w:rFonts w:ascii="宋体" w:hAnsi="宋体" w:cs="宋体"/>
        </w:rPr>
      </w:pPr>
      <w:r>
        <w:rPr>
          <w:rFonts w:hint="eastAsia" w:ascii="宋体" w:hAnsi="宋体" w:cs="宋体"/>
        </w:rPr>
        <w:t>①了解设备的工作原理、组成及各部组件、控制系统的工作原理和使用方法；</w:t>
      </w:r>
    </w:p>
    <w:p>
      <w:pPr>
        <w:adjustRightInd w:val="0"/>
        <w:snapToGrid w:val="0"/>
        <w:spacing w:line="360" w:lineRule="auto"/>
        <w:ind w:firstLine="420" w:firstLineChars="200"/>
        <w:rPr>
          <w:rFonts w:ascii="宋体" w:hAnsi="宋体" w:cs="宋体"/>
        </w:rPr>
      </w:pPr>
      <w:r>
        <w:rPr>
          <w:rFonts w:hint="eastAsia" w:ascii="宋体" w:hAnsi="宋体" w:cs="宋体"/>
        </w:rPr>
        <w:t>②熟练掌握整套系统的操作规程</w:t>
      </w:r>
    </w:p>
    <w:p>
      <w:pPr>
        <w:adjustRightInd w:val="0"/>
        <w:snapToGrid w:val="0"/>
        <w:spacing w:line="360" w:lineRule="auto"/>
        <w:ind w:firstLine="420" w:firstLineChars="200"/>
        <w:rPr>
          <w:rFonts w:ascii="宋体" w:hAnsi="宋体" w:cs="宋体"/>
        </w:rPr>
      </w:pPr>
      <w:r>
        <w:rPr>
          <w:rFonts w:hint="eastAsia" w:ascii="宋体" w:hAnsi="宋体" w:cs="宋体"/>
        </w:rPr>
        <w:t>③能够对设备的一般故障进行诊断和简单维修，进行易损件的更换；</w:t>
      </w:r>
    </w:p>
    <w:p>
      <w:pPr>
        <w:adjustRightInd w:val="0"/>
        <w:snapToGrid w:val="0"/>
        <w:spacing w:line="360" w:lineRule="auto"/>
        <w:ind w:firstLine="420" w:firstLineChars="200"/>
        <w:rPr>
          <w:rFonts w:ascii="宋体" w:hAnsi="宋体" w:cs="宋体"/>
        </w:rPr>
      </w:pPr>
      <w:r>
        <w:rPr>
          <w:rFonts w:hint="eastAsia" w:ascii="宋体" w:hAnsi="宋体" w:cs="宋体"/>
        </w:rPr>
        <w:t>④对设备能够进行日常的维护和保养。</w:t>
      </w:r>
    </w:p>
    <w:p>
      <w:pPr>
        <w:pStyle w:val="3"/>
        <w:snapToGrid w:val="0"/>
        <w:spacing w:before="0" w:after="0" w:line="360" w:lineRule="auto"/>
        <w:rPr>
          <w:rFonts w:ascii="宋体" w:hAnsi="宋体" w:eastAsia="宋体" w:cs="宋体"/>
          <w:snapToGrid w:val="0"/>
          <w:color w:val="000000"/>
          <w:sz w:val="24"/>
          <w:szCs w:val="24"/>
        </w:rPr>
      </w:pPr>
      <w:bookmarkStart w:id="34" w:name="_Toc21037"/>
      <w:bookmarkStart w:id="35" w:name="_Toc30083"/>
      <w:r>
        <w:rPr>
          <w:rFonts w:hint="eastAsia" w:ascii="Times New Roman" w:hAnsi="Times New Roman" w:eastAsia="宋体" w:cs="宋体"/>
          <w:snapToGrid w:val="0"/>
          <w:color w:val="000000"/>
          <w:sz w:val="24"/>
          <w:szCs w:val="24"/>
        </w:rPr>
        <w:t>六、</w:t>
      </w:r>
      <w:r>
        <w:rPr>
          <w:rFonts w:hint="eastAsia" w:ascii="宋体" w:hAnsi="宋体" w:eastAsia="宋体" w:cs="宋体"/>
          <w:snapToGrid w:val="0"/>
          <w:color w:val="000000"/>
          <w:sz w:val="24"/>
          <w:szCs w:val="24"/>
        </w:rPr>
        <w:t>相关的技术资料</w:t>
      </w:r>
      <w:bookmarkEnd w:id="34"/>
      <w:bookmarkEnd w:id="35"/>
    </w:p>
    <w:p>
      <w:pPr>
        <w:adjustRightInd w:val="0"/>
        <w:snapToGrid w:val="0"/>
        <w:spacing w:line="360" w:lineRule="auto"/>
        <w:ind w:firstLine="420" w:firstLineChars="200"/>
        <w:rPr>
          <w:rFonts w:ascii="宋体" w:hAnsi="宋体" w:cs="宋体"/>
        </w:rPr>
      </w:pPr>
      <w:r>
        <w:rPr>
          <w:rFonts w:hint="eastAsia" w:ascii="宋体" w:hAnsi="宋体" w:cs="宋体"/>
        </w:rPr>
        <w:t>1.设备操作、维护使用说明书（</w:t>
      </w:r>
      <w:r>
        <w:rPr>
          <w:rFonts w:ascii="宋体" w:hAnsi="宋体" w:cs="宋体"/>
        </w:rPr>
        <w:t>2</w:t>
      </w:r>
      <w:r>
        <w:rPr>
          <w:rFonts w:hint="eastAsia" w:ascii="宋体" w:hAnsi="宋体" w:cs="宋体"/>
        </w:rPr>
        <w:t>套，其中一套为无尘纸）</w:t>
      </w:r>
    </w:p>
    <w:p>
      <w:pPr>
        <w:adjustRightInd w:val="0"/>
        <w:snapToGrid w:val="0"/>
        <w:spacing w:line="360" w:lineRule="auto"/>
        <w:ind w:firstLine="420" w:firstLineChars="200"/>
        <w:rPr>
          <w:rFonts w:ascii="宋体" w:hAnsi="宋体" w:cs="宋体"/>
        </w:rPr>
      </w:pPr>
      <w:r>
        <w:rPr>
          <w:rFonts w:hint="eastAsia" w:ascii="宋体" w:hAnsi="宋体" w:cs="宋体"/>
        </w:rPr>
        <w:t>2.各类外购件使用说明书</w:t>
      </w:r>
    </w:p>
    <w:p>
      <w:pPr>
        <w:adjustRightInd w:val="0"/>
        <w:snapToGrid w:val="0"/>
        <w:spacing w:line="360" w:lineRule="auto"/>
        <w:ind w:firstLine="420" w:firstLineChars="200"/>
        <w:rPr>
          <w:rFonts w:ascii="宋体" w:hAnsi="宋体" w:cs="宋体"/>
        </w:rPr>
      </w:pPr>
      <w:r>
        <w:rPr>
          <w:rFonts w:hint="eastAsia" w:ascii="宋体" w:hAnsi="宋体" w:cs="宋体"/>
        </w:rPr>
        <w:t>3.设备出厂合格检验证明（1套）</w:t>
      </w:r>
    </w:p>
    <w:p>
      <w:pPr>
        <w:adjustRightInd w:val="0"/>
        <w:snapToGrid w:val="0"/>
        <w:spacing w:line="360" w:lineRule="auto"/>
        <w:ind w:firstLine="420" w:firstLineChars="200"/>
        <w:rPr>
          <w:rFonts w:ascii="宋体" w:hAnsi="宋体" w:cs="宋体"/>
        </w:rPr>
      </w:pPr>
      <w:r>
        <w:rPr>
          <w:rFonts w:hint="eastAsia" w:ascii="宋体" w:hAnsi="宋体" w:cs="宋体"/>
        </w:rPr>
        <w:t>4.装箱单（1套）</w:t>
      </w:r>
    </w:p>
    <w:p>
      <w:pPr>
        <w:pStyle w:val="3"/>
        <w:snapToGrid w:val="0"/>
        <w:spacing w:before="0" w:after="0" w:line="360" w:lineRule="auto"/>
        <w:rPr>
          <w:rFonts w:ascii="宋体" w:hAnsi="宋体" w:eastAsia="宋体" w:cs="宋体"/>
          <w:snapToGrid w:val="0"/>
          <w:color w:val="000000"/>
          <w:sz w:val="24"/>
          <w:szCs w:val="24"/>
        </w:rPr>
      </w:pPr>
      <w:bookmarkStart w:id="36" w:name="_Toc10156"/>
      <w:bookmarkStart w:id="37" w:name="_Toc32496_WPSOffice_Level2"/>
      <w:bookmarkStart w:id="38" w:name="_Toc15383"/>
      <w:bookmarkStart w:id="39" w:name="_Toc28831"/>
      <w:bookmarkStart w:id="40" w:name="_Toc19136"/>
      <w:r>
        <w:rPr>
          <w:rFonts w:hint="eastAsia" w:ascii="Times New Roman" w:hAnsi="Times New Roman" w:eastAsia="宋体" w:cs="宋体"/>
          <w:snapToGrid w:val="0"/>
          <w:color w:val="000000"/>
          <w:sz w:val="24"/>
          <w:szCs w:val="24"/>
        </w:rPr>
        <w:t>七、</w:t>
      </w:r>
      <w:r>
        <w:rPr>
          <w:rFonts w:hint="eastAsia" w:ascii="宋体" w:hAnsi="宋体" w:eastAsia="宋体" w:cs="宋体"/>
          <w:snapToGrid w:val="0"/>
          <w:color w:val="000000"/>
          <w:sz w:val="24"/>
          <w:szCs w:val="24"/>
        </w:rPr>
        <w:t>设备验收标准</w:t>
      </w:r>
      <w:bookmarkEnd w:id="36"/>
      <w:bookmarkEnd w:id="37"/>
      <w:bookmarkEnd w:id="38"/>
      <w:bookmarkEnd w:id="39"/>
      <w:bookmarkEnd w:id="40"/>
    </w:p>
    <w:p>
      <w:pPr>
        <w:adjustRightInd w:val="0"/>
        <w:snapToGrid w:val="0"/>
        <w:spacing w:line="360" w:lineRule="auto"/>
        <w:ind w:firstLine="480"/>
        <w:rPr>
          <w:rFonts w:ascii="宋体" w:hAnsi="宋体" w:cs="宋体"/>
        </w:rPr>
      </w:pPr>
      <w:r>
        <w:rPr>
          <w:rFonts w:hint="eastAsia" w:ascii="宋体" w:hAnsi="宋体" w:cs="宋体"/>
        </w:rPr>
        <w:t>除非在技术规格中另有说明，所有仪器、设备和系统按下列要求进行验收：</w:t>
      </w:r>
    </w:p>
    <w:p>
      <w:pPr>
        <w:adjustRightInd w:val="0"/>
        <w:snapToGrid w:val="0"/>
        <w:spacing w:line="360" w:lineRule="auto"/>
        <w:ind w:firstLine="480"/>
        <w:rPr>
          <w:rFonts w:ascii="宋体" w:hAnsi="宋体" w:cs="宋体"/>
          <w:szCs w:val="21"/>
        </w:rPr>
      </w:pPr>
      <w:r>
        <w:rPr>
          <w:rFonts w:hint="eastAsia" w:ascii="宋体" w:hAnsi="宋体" w:cs="宋体"/>
          <w:szCs w:val="21"/>
        </w:rPr>
        <w:t>1. 验收标准与方法需按照采购人拟定的方法严格执行；</w:t>
      </w:r>
    </w:p>
    <w:p>
      <w:pPr>
        <w:adjustRightInd w:val="0"/>
        <w:snapToGrid w:val="0"/>
        <w:spacing w:line="360" w:lineRule="auto"/>
        <w:ind w:firstLine="480"/>
        <w:rPr>
          <w:rFonts w:ascii="宋体" w:hAnsi="宋体" w:cs="宋体"/>
          <w:szCs w:val="21"/>
        </w:rPr>
      </w:pPr>
      <w:r>
        <w:rPr>
          <w:rFonts w:hint="eastAsia" w:ascii="宋体" w:hAnsi="宋体" w:cs="宋体"/>
          <w:szCs w:val="21"/>
        </w:rPr>
        <w:t>2. 仪器设备运抵安装现场后，采购人将与供应商共同开箱验收, 如供应商届时不派人来, 则验收结果应以采购人的验收报告为最终验收结果。验收时发现短缺、破损,采购人有权要求供应商负责更换；</w:t>
      </w:r>
    </w:p>
    <w:p>
      <w:pPr>
        <w:adjustRightInd w:val="0"/>
        <w:snapToGrid w:val="0"/>
        <w:spacing w:line="360" w:lineRule="auto"/>
        <w:ind w:firstLine="480"/>
        <w:rPr>
          <w:rFonts w:ascii="宋体" w:hAnsi="宋体" w:cs="宋体"/>
          <w:szCs w:val="21"/>
        </w:rPr>
      </w:pPr>
      <w:r>
        <w:rPr>
          <w:rFonts w:hint="eastAsia" w:ascii="宋体" w:hAnsi="宋体" w:cs="宋体"/>
          <w:szCs w:val="21"/>
        </w:rPr>
        <w:t>3. 如出现响应文件中的指标优于采购文件中的指标，验收标准以成交供应商提供的响应文件中所列的实际指标为准（该指标应不低于采购文件所要求的指标）。任何虚假指标响应一经发现即作废标，供应商必须承担由此给采购人带来的一切经济损失和其它相关责任；</w:t>
      </w:r>
    </w:p>
    <w:p>
      <w:pPr>
        <w:adjustRightInd w:val="0"/>
        <w:snapToGrid w:val="0"/>
        <w:spacing w:line="360" w:lineRule="auto"/>
        <w:ind w:firstLine="480"/>
        <w:rPr>
          <w:rFonts w:ascii="宋体" w:hAnsi="宋体" w:cs="宋体"/>
          <w:szCs w:val="21"/>
        </w:rPr>
      </w:pPr>
      <w:r>
        <w:rPr>
          <w:rFonts w:hint="eastAsia" w:ascii="宋体" w:hAnsi="宋体" w:cs="宋体"/>
          <w:szCs w:val="21"/>
        </w:rPr>
        <w:t>4. 验收由采购人、供应商及相关人员依国家有关标准、合同及有关附件要求进行，验收完毕由采购人及供应商在验收报告上签名；</w:t>
      </w:r>
    </w:p>
    <w:p>
      <w:pPr>
        <w:adjustRightInd w:val="0"/>
        <w:snapToGrid w:val="0"/>
        <w:spacing w:line="360" w:lineRule="auto"/>
        <w:ind w:firstLine="480"/>
        <w:rPr>
          <w:szCs w:val="21"/>
        </w:rPr>
      </w:pPr>
      <w:r>
        <w:rPr>
          <w:rFonts w:hint="eastAsia" w:ascii="宋体" w:hAnsi="宋体" w:cs="宋体"/>
          <w:szCs w:val="21"/>
        </w:rPr>
        <w:t>5. 如有文件中未提及的，供应商必须与采购人商讨，达成一致后通过会议纪要的形式进行补充，如果因供应商单方面决定而达不到采购人相关要求则视为验收不合格。</w:t>
      </w:r>
    </w:p>
    <w:bookmarkEnd w:id="30"/>
    <w:bookmarkEnd w:id="31"/>
    <w:bookmarkEnd w:id="32"/>
    <w:p>
      <w:pPr>
        <w:pStyle w:val="3"/>
        <w:snapToGrid w:val="0"/>
        <w:spacing w:before="0" w:after="0" w:line="360" w:lineRule="auto"/>
        <w:rPr>
          <w:rFonts w:ascii="宋体" w:hAnsi="宋体" w:eastAsia="宋体" w:cs="宋体"/>
          <w:color w:val="000000"/>
          <w:sz w:val="24"/>
          <w:szCs w:val="24"/>
        </w:rPr>
      </w:pPr>
      <w:bookmarkStart w:id="41" w:name="_Toc13033"/>
      <w:bookmarkStart w:id="42" w:name="_Toc24162"/>
      <w:bookmarkStart w:id="43" w:name="_Toc8977"/>
      <w:r>
        <w:rPr>
          <w:rFonts w:hint="eastAsia" w:ascii="Times New Roman" w:hAnsi="Times New Roman" w:eastAsia="宋体" w:cs="宋体"/>
          <w:snapToGrid w:val="0"/>
          <w:kern w:val="0"/>
          <w:sz w:val="24"/>
          <w:szCs w:val="24"/>
        </w:rPr>
        <w:t>▲八、</w:t>
      </w:r>
      <w:r>
        <w:rPr>
          <w:rFonts w:hint="eastAsia" w:ascii="宋体" w:hAnsi="宋体" w:eastAsia="宋体" w:cs="宋体"/>
          <w:color w:val="000000"/>
          <w:sz w:val="24"/>
          <w:szCs w:val="24"/>
        </w:rPr>
        <w:t>付款方式</w:t>
      </w:r>
      <w:bookmarkEnd w:id="41"/>
      <w:bookmarkEnd w:id="42"/>
      <w:bookmarkEnd w:id="43"/>
    </w:p>
    <w:p>
      <w:pPr>
        <w:adjustRightInd w:val="0"/>
        <w:snapToGrid w:val="0"/>
        <w:spacing w:line="360" w:lineRule="auto"/>
        <w:ind w:firstLine="480"/>
        <w:rPr>
          <w:rFonts w:ascii="宋体" w:hAnsi="宋体" w:cs="宋体"/>
          <w:b/>
          <w:bCs/>
        </w:rPr>
      </w:pPr>
      <w:r>
        <w:rPr>
          <w:rFonts w:hint="eastAsia" w:ascii="宋体" w:hAnsi="宋体" w:cs="宋体"/>
          <w:b/>
          <w:bCs/>
        </w:rPr>
        <w:t>1.国产货物履约保证金/质量保证金、付款方式</w:t>
      </w:r>
    </w:p>
    <w:p>
      <w:pPr>
        <w:adjustRightInd w:val="0"/>
        <w:snapToGrid w:val="0"/>
        <w:spacing w:line="360" w:lineRule="auto"/>
        <w:ind w:firstLine="480"/>
        <w:rPr>
          <w:rFonts w:ascii="宋体" w:hAnsi="宋体" w:cs="宋体"/>
        </w:rPr>
      </w:pPr>
      <w:r>
        <w:rPr>
          <w:rFonts w:hint="eastAsia" w:ascii="宋体" w:hAnsi="宋体" w:cs="宋体"/>
        </w:rPr>
        <w:t>1.1 合同签订后10天内，中标人应向采购人缴纳合同总金额的2.5%作为履约保证金，履约保证金自全部货物验收合格后，由采购人确认中标人合同主要义务履行完毕后无息退还。</w:t>
      </w:r>
    </w:p>
    <w:p>
      <w:pPr>
        <w:adjustRightInd w:val="0"/>
        <w:snapToGrid w:val="0"/>
        <w:spacing w:line="360" w:lineRule="auto"/>
        <w:ind w:firstLine="480"/>
        <w:rPr>
          <w:rFonts w:ascii="宋体" w:hAnsi="宋体" w:cs="宋体"/>
        </w:rPr>
      </w:pPr>
      <w:r>
        <w:rPr>
          <w:rFonts w:hint="eastAsia" w:ascii="宋体" w:hAnsi="宋体" w:cs="宋体"/>
        </w:rPr>
        <w:t>1.2 全部货物提交验收时，中标人未申请退回履约保证金的，履约保证金在全部货物验收合格后自动转为质量保证金；中标人申请退回履约保证金的，中标人应在全部货物提交验收时向采购人缴纳合同金额的2.5%作为质量保证金。若货款支付中已预留质量保证金的，本款约定的质量保证金金额与货款预留的质量保证金金额叠加，均作为质量保证金。质量保证金在验收合格之日起满一年后无任何质量和服务问题后无息退回给中标人。</w:t>
      </w:r>
    </w:p>
    <w:p>
      <w:pPr>
        <w:adjustRightInd w:val="0"/>
        <w:snapToGrid w:val="0"/>
        <w:spacing w:line="360" w:lineRule="auto"/>
        <w:ind w:firstLine="480"/>
        <w:rPr>
          <w:rFonts w:ascii="宋体" w:hAnsi="宋体" w:cs="宋体"/>
        </w:rPr>
      </w:pPr>
      <w:r>
        <w:rPr>
          <w:rFonts w:hint="eastAsia" w:ascii="宋体" w:hAnsi="宋体" w:cs="宋体"/>
        </w:rPr>
        <w:t>1.</w:t>
      </w:r>
      <w:r>
        <w:rPr>
          <w:rFonts w:hint="eastAsia" w:ascii="宋体" w:hAnsi="宋体" w:cs="宋体"/>
          <w:lang w:val="en-US" w:eastAsia="zh-CN"/>
        </w:rPr>
        <w:t>3</w:t>
      </w:r>
      <w:r>
        <w:rPr>
          <w:rFonts w:hint="eastAsia" w:ascii="宋体" w:hAnsi="宋体" w:cs="宋体"/>
        </w:rPr>
        <w:t xml:space="preserve"> 采购人于合同签订后7个工作日内向采购人支付40%的预付款；货物验收合格后7个工作日内将剩余货款全部支付给成交供应商，成交供应商在采购人支付款项前7个工作日开具并向采购人提供当次支付金额的符合规定的增值税专用发票。</w:t>
      </w:r>
    </w:p>
    <w:p>
      <w:pPr>
        <w:adjustRightInd w:val="0"/>
        <w:snapToGrid w:val="0"/>
        <w:spacing w:line="360" w:lineRule="auto"/>
        <w:ind w:firstLine="480"/>
        <w:rPr>
          <w:rFonts w:ascii="宋体" w:hAnsi="宋体" w:cs="宋体"/>
          <w:b/>
          <w:bCs/>
        </w:rPr>
      </w:pPr>
      <w:r>
        <w:rPr>
          <w:rFonts w:hint="eastAsia" w:ascii="宋体" w:hAnsi="宋体" w:cs="宋体"/>
          <w:b/>
          <w:bCs/>
        </w:rPr>
        <w:t>2.进口货物履约保证金、付款方式</w:t>
      </w:r>
    </w:p>
    <w:p>
      <w:pPr>
        <w:adjustRightInd w:val="0"/>
        <w:snapToGrid w:val="0"/>
        <w:spacing w:line="360" w:lineRule="auto"/>
        <w:ind w:firstLine="480"/>
        <w:rPr>
          <w:rFonts w:ascii="宋体" w:hAnsi="宋体" w:cs="宋体"/>
        </w:rPr>
      </w:pPr>
      <w:r>
        <w:rPr>
          <w:rFonts w:hint="eastAsia" w:ascii="宋体" w:hAnsi="宋体" w:cs="宋体"/>
        </w:rPr>
        <w:t>2.1 （免税总价在50万元人民币以上需要缴纳）履约保证金为合同总价的2.5%，最迟在技术协议签订之日起的第5个工作日成交供应商向采购人缴纳履约保证金。</w:t>
      </w:r>
    </w:p>
    <w:p>
      <w:pPr>
        <w:adjustRightInd w:val="0"/>
        <w:snapToGrid w:val="0"/>
        <w:spacing w:line="360" w:lineRule="auto"/>
        <w:ind w:firstLine="480"/>
        <w:rPr>
          <w:rFonts w:ascii="宋体" w:hAnsi="宋体" w:cs="宋体"/>
        </w:rPr>
      </w:pPr>
      <w:r>
        <w:rPr>
          <w:rFonts w:hint="eastAsia" w:ascii="宋体" w:hAnsi="宋体" w:cs="宋体"/>
        </w:rPr>
        <w:t>2.2 履约保证金在货物验收合格之日起自动转为质量保证金，正常运行满1年后无质量和服务问题，成交供应商凭借采购人出具的履约保证金缴纳凭证到采购人处办理履约保证金（不计息）退款事宜。</w:t>
      </w:r>
    </w:p>
    <w:p>
      <w:pPr>
        <w:adjustRightInd w:val="0"/>
        <w:snapToGrid w:val="0"/>
        <w:spacing w:line="360" w:lineRule="auto"/>
        <w:ind w:firstLine="480"/>
        <w:rPr>
          <w:rFonts w:ascii="宋体" w:hAnsi="宋体" w:cs="宋体"/>
          <w:b/>
          <w:bCs/>
        </w:rPr>
      </w:pPr>
      <w:r>
        <w:rPr>
          <w:rFonts w:hint="eastAsia" w:ascii="宋体" w:hAnsi="宋体" w:cs="宋体"/>
        </w:rPr>
        <w:t xml:space="preserve">2.3 </w:t>
      </w:r>
      <w:r>
        <w:rPr>
          <w:rFonts w:hint="eastAsia" w:ascii="宋体" w:hAnsi="宋体" w:cs="宋体"/>
          <w:color w:val="000000"/>
          <w:szCs w:val="21"/>
        </w:rPr>
        <w:t>采购人委托外贸代理公司：</w:t>
      </w:r>
      <w:r>
        <w:rPr>
          <w:rFonts w:ascii="Wingdings" w:hAnsi="Wingdings" w:cs="Wingdings"/>
          <w:color w:val="000000"/>
          <w:szCs w:val="21"/>
        </w:rPr>
        <w:t></w:t>
      </w:r>
      <w:r>
        <w:rPr>
          <w:rFonts w:hint="eastAsia" w:ascii="宋体" w:hAnsi="宋体" w:cs="宋体"/>
          <w:color w:val="000000"/>
          <w:szCs w:val="21"/>
        </w:rPr>
        <w:t>开具100%不可撤消即期信用证，90%货款凭装运单据议付，10%货款凭之江实验室固定资产验收结果报告议付；</w:t>
      </w:r>
      <w:r>
        <w:rPr>
          <w:rFonts w:ascii="Wingdings" w:hAnsi="Wingdings" w:cs="Wingdings"/>
          <w:color w:val="000000"/>
          <w:szCs w:val="21"/>
        </w:rPr>
        <w:t></w:t>
      </w:r>
      <w:r>
        <w:rPr>
          <w:rFonts w:hint="eastAsia" w:ascii="宋体" w:hAnsi="宋体" w:cs="宋体"/>
          <w:color w:val="000000"/>
          <w:szCs w:val="21"/>
        </w:rPr>
        <w:t>90%不可撤销信用证凭卖方装运单据议付，10%货款凭之江实验室固定资产验收结果报告电汇；</w:t>
      </w:r>
      <w:r>
        <w:rPr>
          <w:rFonts w:ascii="Wingdings" w:hAnsi="Wingdings" w:cs="Wingdings"/>
          <w:color w:val="000000"/>
          <w:szCs w:val="21"/>
        </w:rPr>
        <w:sym w:font="Wingdings" w:char="00A8"/>
      </w:r>
      <w:r>
        <w:rPr>
          <w:rFonts w:hint="eastAsia" w:ascii="宋体" w:hAnsi="宋体" w:cs="宋体"/>
          <w:color w:val="000000"/>
          <w:szCs w:val="21"/>
        </w:rPr>
        <w:t>100%货款凭之江实验室固定资产验收结果报告电汇。</w:t>
      </w:r>
      <w:r>
        <w:rPr>
          <w:rFonts w:hint="eastAsia" w:ascii="宋体" w:hAnsi="宋体" w:cs="宋体"/>
          <w:b/>
          <w:bCs/>
        </w:rPr>
        <w:t>（付款方式三选一，投标文件中请注明）</w:t>
      </w:r>
    </w:p>
    <w:p>
      <w:r>
        <w:rPr>
          <w:rFonts w:hint="eastAsia" w:ascii="宋体" w:hAnsi="宋体" w:cs="宋体"/>
          <w:b/>
          <w:bCs/>
        </w:rPr>
        <w:t>注：履约保证金和质保金不接受保函，在递交质保金时请备注项目名称及项目编号。</w:t>
      </w:r>
    </w:p>
    <w:p>
      <w:bookmarkStart w:id="44" w:name="_GoBack"/>
      <w:bookmarkEnd w:id="44"/>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Century Gothic">
    <w:altName w:val="Yu Gothic UI"/>
    <w:panose1 w:val="020B0502020202020204"/>
    <w:charset w:val="00"/>
    <w:family w:val="swiss"/>
    <w:pitch w:val="default"/>
    <w:sig w:usb0="00000000"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E30D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259" w:lineRule="auto"/>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adjustRightInd w:val="0"/>
      <w:spacing w:before="260" w:after="260" w:line="415" w:lineRule="auto"/>
      <w:jc w:val="left"/>
      <w:outlineLvl w:val="1"/>
    </w:pPr>
    <w:rPr>
      <w:rFonts w:ascii="黑体" w:hAnsi="黑体" w:eastAsia="楷体"/>
      <w:b/>
      <w:bCs/>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w:basedOn w:val="1"/>
    <w:next w:val="1"/>
    <w:qFormat/>
    <w:uiPriority w:val="0"/>
    <w:pPr>
      <w:adjustRightInd w:val="0"/>
      <w:spacing w:line="360" w:lineRule="auto"/>
      <w:ind w:firstLine="490"/>
      <w:jc w:val="left"/>
    </w:pPr>
    <w:rPr>
      <w:rFonts w:ascii="Century Gothic" w:hAnsi="Century Gothic" w:eastAsia="Century Gothic"/>
      <w:sz w:val="24"/>
      <w:szCs w:val="20"/>
    </w:rPr>
  </w:style>
  <w:style w:type="character" w:styleId="6">
    <w:name w:val="annotation reference"/>
    <w:semiHidden/>
    <w:qFormat/>
    <w:uiPriority w:val="0"/>
    <w:rPr>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2022-05-19T15:45:24Z</dcterms:created>
  <dc:creator>ZTB-WYT</dc:creator>
  <cp:lastModifiedBy>abc</cp:lastModifiedBy>
  <dcterms:modified xsi:type="dcterms:W3CDTF">2022-05-19T15:45:46Z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728158FEF1264B8A8EFF06645AD1330F</vt:lpwstr>
  </property>
</Properties>
</file>