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新魏" w:hAnsi="宋体" w:eastAsia="华文新魏"/>
          <w:b/>
          <w:sz w:val="52"/>
          <w:szCs w:val="52"/>
        </w:rPr>
      </w:pPr>
      <w:bookmarkStart w:id="0" w:name="OLE_LINK1"/>
    </w:p>
    <w:p>
      <w:pPr>
        <w:jc w:val="center"/>
        <w:rPr>
          <w:rFonts w:ascii="华文新魏" w:hAnsi="宋体" w:eastAsia="华文新魏"/>
          <w:b/>
          <w:spacing w:val="-14"/>
          <w:sz w:val="52"/>
          <w:szCs w:val="52"/>
        </w:rPr>
      </w:pPr>
    </w:p>
    <w:p>
      <w:pPr>
        <w:jc w:val="center"/>
        <w:rPr>
          <w:rFonts w:ascii="华文新魏" w:hAnsi="华文新魏" w:eastAsia="华文新魏"/>
          <w:b/>
          <w:sz w:val="52"/>
        </w:rPr>
      </w:pPr>
      <w:r>
        <w:rPr>
          <w:rFonts w:hint="eastAsia" w:ascii="华文新魏" w:hAnsi="华文新魏" w:eastAsia="华文新魏"/>
          <w:b/>
          <w:sz w:val="52"/>
        </w:rPr>
        <w:t>浙江省岱山县第一人民医院医疗设备</w:t>
      </w:r>
    </w:p>
    <w:p>
      <w:pPr>
        <w:jc w:val="center"/>
        <w:rPr>
          <w:rFonts w:ascii="华文新魏" w:hAnsi="华文新魏" w:eastAsia="华文新魏"/>
          <w:b/>
          <w:sz w:val="52"/>
        </w:rPr>
      </w:pPr>
      <w:r>
        <w:rPr>
          <w:rFonts w:hint="eastAsia" w:ascii="华文新魏" w:hAnsi="华文新魏" w:eastAsia="华文新魏"/>
          <w:b/>
          <w:sz w:val="52"/>
        </w:rPr>
        <w:t>维修和保养服务项目</w:t>
      </w:r>
    </w:p>
    <w:p>
      <w:pPr>
        <w:snapToGrid w:val="0"/>
        <w:spacing w:line="312" w:lineRule="auto"/>
        <w:rPr>
          <w:rFonts w:ascii="华文新魏" w:hAnsi="华文新魏" w:eastAsia="华文新魏"/>
          <w:b/>
          <w:sz w:val="52"/>
        </w:rPr>
      </w:pPr>
    </w:p>
    <w:p>
      <w:pPr>
        <w:snapToGrid w:val="0"/>
        <w:spacing w:line="312" w:lineRule="auto"/>
        <w:jc w:val="center"/>
        <w:rPr>
          <w:rFonts w:ascii="华文新魏" w:hAnsi="华文新魏" w:eastAsia="华文新魏"/>
          <w:b/>
          <w:sz w:val="52"/>
        </w:rPr>
      </w:pPr>
      <w:r>
        <w:rPr>
          <w:rFonts w:hint="eastAsia" w:ascii="华文新魏" w:hAnsi="华文新魏" w:eastAsia="华文新魏"/>
          <w:b/>
          <w:sz w:val="52"/>
        </w:rPr>
        <w:t>招标文件</w:t>
      </w:r>
    </w:p>
    <w:p>
      <w:pPr>
        <w:snapToGrid w:val="0"/>
        <w:spacing w:before="120" w:line="312" w:lineRule="auto"/>
        <w:rPr>
          <w:rFonts w:ascii="华文新魏" w:hAnsi="华文新魏" w:eastAsia="华文新魏"/>
          <w:b/>
          <w:sz w:val="32"/>
        </w:rPr>
      </w:pPr>
    </w:p>
    <w:p>
      <w:pPr>
        <w:snapToGrid w:val="0"/>
        <w:spacing w:before="120" w:line="312" w:lineRule="auto"/>
        <w:rPr>
          <w:rFonts w:ascii="华文新魏" w:hAnsi="宋体" w:eastAsia="华文新魏"/>
          <w:b/>
          <w:sz w:val="32"/>
        </w:rPr>
      </w:pPr>
      <w:r>
        <w:rPr>
          <w:rFonts w:hint="eastAsia" w:ascii="华文新魏" w:hAnsi="华文新魏" w:eastAsia="华文新魏"/>
          <w:b/>
          <w:sz w:val="32"/>
        </w:rPr>
        <w:t>项目编号：</w:t>
      </w:r>
      <w:r>
        <w:rPr>
          <w:rFonts w:hint="eastAsia" w:ascii="华文新魏" w:hAnsi="宋体" w:eastAsia="华文新魏"/>
          <w:b/>
          <w:sz w:val="32"/>
        </w:rPr>
        <w:t>SZGXZS2021098</w:t>
      </w:r>
    </w:p>
    <w:p>
      <w:pPr>
        <w:snapToGrid w:val="0"/>
        <w:spacing w:before="120" w:line="312" w:lineRule="auto"/>
        <w:ind w:left="1602" w:hanging="1602" w:hangingChars="500"/>
        <w:rPr>
          <w:rFonts w:ascii="华文新魏" w:hAnsi="华文新魏" w:eastAsia="华文新魏"/>
          <w:b/>
          <w:sz w:val="32"/>
        </w:rPr>
      </w:pPr>
    </w:p>
    <w:p>
      <w:pPr>
        <w:snapToGrid w:val="0"/>
        <w:spacing w:before="120" w:line="312" w:lineRule="auto"/>
        <w:ind w:left="1602" w:hanging="1602" w:hangingChars="500"/>
        <w:rPr>
          <w:rFonts w:ascii="华文新魏" w:hAnsi="华文新魏" w:eastAsia="华文新魏"/>
          <w:sz w:val="32"/>
        </w:rPr>
      </w:pPr>
      <w:r>
        <w:rPr>
          <w:rFonts w:hint="eastAsia" w:ascii="华文新魏" w:hAnsi="华文新魏" w:eastAsia="华文新魏"/>
          <w:b/>
          <w:sz w:val="32"/>
        </w:rPr>
        <w:t>项目名称</w:t>
      </w:r>
      <w:r>
        <w:rPr>
          <w:rFonts w:hint="eastAsia" w:ascii="华文新魏" w:hAnsi="华文新魏" w:eastAsia="华文新魏"/>
          <w:sz w:val="32"/>
        </w:rPr>
        <w:t>：</w:t>
      </w:r>
      <w:r>
        <w:rPr>
          <w:rFonts w:hint="eastAsia" w:ascii="华文新魏" w:hAnsi="华文新魏" w:eastAsia="华文新魏"/>
          <w:b/>
          <w:sz w:val="32"/>
        </w:rPr>
        <w:t>浙江省岱山县第一人民医院医疗设备维修和保养服务项目</w:t>
      </w:r>
    </w:p>
    <w:p>
      <w:pPr>
        <w:snapToGrid w:val="0"/>
        <w:spacing w:before="120" w:line="312" w:lineRule="auto"/>
        <w:rPr>
          <w:rFonts w:ascii="华文新魏" w:hAnsi="华文新魏" w:eastAsia="华文新魏"/>
          <w:b/>
          <w:w w:val="95"/>
          <w:sz w:val="32"/>
        </w:rPr>
      </w:pPr>
    </w:p>
    <w:p>
      <w:pPr>
        <w:snapToGrid w:val="0"/>
        <w:spacing w:before="120" w:line="312" w:lineRule="auto"/>
        <w:ind w:left="1523" w:hanging="1522" w:hangingChars="500"/>
        <w:rPr>
          <w:rFonts w:ascii="华文新魏" w:hAnsi="华文新魏" w:eastAsia="华文新魏"/>
          <w:sz w:val="32"/>
        </w:rPr>
      </w:pPr>
      <w:r>
        <w:rPr>
          <w:rFonts w:hint="eastAsia" w:ascii="华文新魏" w:hAnsi="华文新魏" w:eastAsia="华文新魏"/>
          <w:b/>
          <w:w w:val="95"/>
          <w:sz w:val="32"/>
        </w:rPr>
        <w:t>采购单位：</w:t>
      </w:r>
      <w:r>
        <w:rPr>
          <w:rFonts w:hint="eastAsia" w:ascii="华文新魏" w:hAnsi="华文新魏" w:eastAsia="华文新魏"/>
          <w:b/>
          <w:sz w:val="32"/>
        </w:rPr>
        <w:t>浙江省岱山县第一人民医院</w:t>
      </w:r>
    </w:p>
    <w:p>
      <w:pPr>
        <w:snapToGrid w:val="0"/>
        <w:spacing w:before="120" w:line="312" w:lineRule="auto"/>
        <w:rPr>
          <w:rFonts w:ascii="华文新魏" w:hAnsi="华文新魏" w:eastAsia="华文新魏"/>
          <w:b/>
          <w:w w:val="95"/>
          <w:sz w:val="32"/>
        </w:rPr>
      </w:pPr>
    </w:p>
    <w:p>
      <w:pPr>
        <w:snapToGrid w:val="0"/>
        <w:spacing w:before="120" w:line="312" w:lineRule="auto"/>
        <w:rPr>
          <w:rFonts w:ascii="华文新魏" w:hAnsi="华文新魏" w:eastAsia="华文新魏"/>
          <w:b/>
          <w:w w:val="95"/>
          <w:sz w:val="32"/>
        </w:rPr>
      </w:pPr>
      <w:r>
        <w:rPr>
          <w:rFonts w:hint="eastAsia" w:ascii="华文新魏" w:hAnsi="华文新魏" w:eastAsia="华文新魏"/>
          <w:b/>
          <w:w w:val="95"/>
          <w:sz w:val="32"/>
        </w:rPr>
        <w:t>代理机构： 深圳市国信招标有限公司</w:t>
      </w:r>
    </w:p>
    <w:p>
      <w:pPr>
        <w:snapToGrid w:val="0"/>
        <w:spacing w:before="120" w:line="312" w:lineRule="auto"/>
        <w:ind w:left="5974" w:hanging="5968" w:hangingChars="1961"/>
        <w:rPr>
          <w:rFonts w:ascii="华文新魏" w:hAnsi="华文新魏" w:eastAsia="华文新魏"/>
          <w:b/>
          <w:w w:val="95"/>
          <w:sz w:val="32"/>
        </w:rPr>
      </w:pPr>
    </w:p>
    <w:p>
      <w:pPr>
        <w:snapToGrid w:val="0"/>
        <w:spacing w:before="120" w:line="312" w:lineRule="auto"/>
        <w:rPr>
          <w:rFonts w:ascii="华文新魏" w:hAnsi="华文新魏" w:eastAsia="华文新魏"/>
          <w:b/>
          <w:w w:val="95"/>
          <w:sz w:val="32"/>
        </w:rPr>
      </w:pPr>
    </w:p>
    <w:p>
      <w:pPr>
        <w:snapToGrid w:val="0"/>
        <w:spacing w:before="120" w:line="312" w:lineRule="auto"/>
        <w:ind w:left="6046" w:leftChars="2625" w:hanging="533" w:hangingChars="175"/>
        <w:rPr>
          <w:rFonts w:ascii="华文新魏" w:hAnsi="华文新魏" w:eastAsia="华文新魏"/>
          <w:b/>
          <w:w w:val="95"/>
          <w:sz w:val="32"/>
        </w:rPr>
      </w:pPr>
      <w:r>
        <w:rPr>
          <w:rFonts w:hint="eastAsia" w:ascii="华文新魏" w:hAnsi="华文新魏" w:eastAsia="华文新魏"/>
          <w:b/>
          <w:w w:val="95"/>
          <w:sz w:val="32"/>
        </w:rPr>
        <w:t>2021年</w:t>
      </w:r>
      <w:r>
        <w:rPr>
          <w:rFonts w:hint="eastAsia" w:ascii="华文新魏" w:hAnsi="华文新魏" w:eastAsia="华文新魏"/>
          <w:b/>
          <w:w w:val="95"/>
          <w:sz w:val="32"/>
          <w:lang w:val="en-US" w:eastAsia="zh-CN"/>
        </w:rPr>
        <w:t>08</w:t>
      </w:r>
      <w:r>
        <w:rPr>
          <w:rFonts w:hint="eastAsia" w:ascii="华文新魏" w:hAnsi="华文新魏" w:eastAsia="华文新魏"/>
          <w:b/>
          <w:w w:val="95"/>
          <w:sz w:val="32"/>
        </w:rPr>
        <w:t>月</w:t>
      </w:r>
      <w:r>
        <w:rPr>
          <w:rFonts w:hint="eastAsia" w:ascii="华文新魏" w:hAnsi="华文新魏" w:eastAsia="华文新魏"/>
          <w:b/>
          <w:w w:val="95"/>
          <w:sz w:val="32"/>
          <w:lang w:val="en-US" w:eastAsia="zh-CN"/>
        </w:rPr>
        <w:t>05</w:t>
      </w:r>
      <w:r>
        <w:rPr>
          <w:rFonts w:hint="eastAsia" w:ascii="华文新魏" w:hAnsi="华文新魏" w:eastAsia="华文新魏"/>
          <w:b/>
          <w:w w:val="95"/>
          <w:sz w:val="32"/>
        </w:rPr>
        <w:t>日</w:t>
      </w:r>
    </w:p>
    <w:p>
      <w:pPr>
        <w:snapToGrid w:val="0"/>
        <w:spacing w:before="120" w:line="312" w:lineRule="auto"/>
        <w:ind w:left="6057" w:leftChars="2409" w:hanging="998" w:hangingChars="328"/>
        <w:rPr>
          <w:rFonts w:ascii="华文新魏" w:hAnsi="华文新魏" w:eastAsia="华文新魏"/>
          <w:b/>
          <w:w w:val="95"/>
          <w:sz w:val="32"/>
        </w:rPr>
      </w:pPr>
    </w:p>
    <w:p>
      <w:pPr>
        <w:snapToGrid w:val="0"/>
        <w:spacing w:before="120" w:line="312" w:lineRule="auto"/>
        <w:rPr>
          <w:rFonts w:ascii="创艺简标宋" w:hAnsi="宋体" w:eastAsia="创艺简标宋"/>
          <w:sz w:val="44"/>
        </w:rPr>
        <w:sectPr>
          <w:footerReference r:id="rId3" w:type="default"/>
          <w:footerReference r:id="rId4" w:type="even"/>
          <w:pgSz w:w="11906" w:h="16838"/>
          <w:pgMar w:top="1304" w:right="1106" w:bottom="1304" w:left="1531" w:header="1304" w:footer="1304" w:gutter="0"/>
          <w:cols w:space="720" w:num="1"/>
        </w:sectPr>
      </w:pPr>
    </w:p>
    <w:p>
      <w:pPr>
        <w:snapToGrid w:val="0"/>
        <w:spacing w:before="120" w:line="312" w:lineRule="auto"/>
        <w:rPr>
          <w:rFonts w:ascii="创艺简标宋" w:hAnsi="宋体" w:eastAsia="创艺简标宋"/>
          <w:sz w:val="44"/>
        </w:rPr>
      </w:pPr>
    </w:p>
    <w:p>
      <w:pPr>
        <w:snapToGrid w:val="0"/>
        <w:spacing w:before="120" w:line="312" w:lineRule="auto"/>
        <w:jc w:val="center"/>
        <w:rPr>
          <w:rFonts w:asciiTheme="minorEastAsia" w:hAnsiTheme="minorEastAsia" w:eastAsiaTheme="minorEastAsia"/>
          <w:b/>
          <w:sz w:val="44"/>
        </w:rPr>
      </w:pPr>
      <w:r>
        <w:rPr>
          <w:rFonts w:hint="eastAsia" w:asciiTheme="minorEastAsia" w:hAnsiTheme="minorEastAsia" w:eastAsiaTheme="minorEastAsia"/>
          <w:b/>
          <w:sz w:val="44"/>
        </w:rPr>
        <w:t>目    录</w:t>
      </w:r>
    </w:p>
    <w:p>
      <w:pPr>
        <w:widowControl/>
        <w:numPr>
          <w:ilvl w:val="0"/>
          <w:numId w:val="4"/>
        </w:numPr>
        <w:overflowPunct w:val="0"/>
        <w:autoSpaceDE w:val="0"/>
        <w:autoSpaceDN w:val="0"/>
        <w:adjustRightInd w:val="0"/>
        <w:snapToGrid w:val="0"/>
        <w:spacing w:line="360" w:lineRule="auto"/>
        <w:textAlignment w:val="baseline"/>
        <w:rPr>
          <w:rFonts w:ascii="宋体" w:hAnsi="宋体"/>
          <w:sz w:val="24"/>
        </w:rPr>
      </w:pPr>
      <w:r>
        <w:rPr>
          <w:rFonts w:hint="eastAsia" w:ascii="宋体" w:hAnsi="宋体"/>
          <w:sz w:val="24"/>
        </w:rPr>
        <w:t>采购公告</w:t>
      </w:r>
    </w:p>
    <w:p>
      <w:pPr>
        <w:widowControl/>
        <w:numPr>
          <w:ilvl w:val="0"/>
          <w:numId w:val="4"/>
        </w:numPr>
        <w:overflowPunct w:val="0"/>
        <w:autoSpaceDE w:val="0"/>
        <w:autoSpaceDN w:val="0"/>
        <w:adjustRightInd w:val="0"/>
        <w:snapToGrid w:val="0"/>
        <w:spacing w:line="360" w:lineRule="auto"/>
        <w:textAlignment w:val="baseline"/>
        <w:rPr>
          <w:rFonts w:ascii="宋体" w:hAnsi="宋体"/>
          <w:sz w:val="24"/>
        </w:rPr>
      </w:pPr>
      <w:r>
        <w:rPr>
          <w:rFonts w:hint="eastAsia" w:ascii="宋体" w:hAnsi="宋体"/>
          <w:sz w:val="24"/>
        </w:rPr>
        <w:t>招标需求</w:t>
      </w:r>
    </w:p>
    <w:p>
      <w:pPr>
        <w:widowControl/>
        <w:numPr>
          <w:ilvl w:val="0"/>
          <w:numId w:val="4"/>
        </w:numPr>
        <w:overflowPunct w:val="0"/>
        <w:autoSpaceDE w:val="0"/>
        <w:autoSpaceDN w:val="0"/>
        <w:adjustRightInd w:val="0"/>
        <w:snapToGrid w:val="0"/>
        <w:spacing w:line="360" w:lineRule="auto"/>
        <w:textAlignment w:val="baseline"/>
        <w:rPr>
          <w:rFonts w:ascii="宋体" w:hAnsi="宋体"/>
          <w:sz w:val="24"/>
        </w:rPr>
      </w:pPr>
      <w:r>
        <w:rPr>
          <w:rFonts w:hint="eastAsia" w:ascii="宋体" w:hAnsi="宋体"/>
          <w:sz w:val="24"/>
        </w:rPr>
        <w:t>投标人须知</w:t>
      </w:r>
    </w:p>
    <w:p>
      <w:pPr>
        <w:snapToGrid w:val="0"/>
        <w:spacing w:line="360" w:lineRule="auto"/>
        <w:ind w:left="1440"/>
        <w:rPr>
          <w:rFonts w:ascii="宋体" w:hAnsi="宋体"/>
          <w:sz w:val="24"/>
        </w:rPr>
      </w:pPr>
      <w:r>
        <w:rPr>
          <w:rFonts w:hint="eastAsia" w:ascii="宋体" w:hAnsi="宋体"/>
          <w:sz w:val="24"/>
        </w:rPr>
        <w:t>前附表</w:t>
      </w:r>
    </w:p>
    <w:p>
      <w:pPr>
        <w:widowControl/>
        <w:numPr>
          <w:ilvl w:val="1"/>
          <w:numId w:val="5"/>
        </w:numPr>
        <w:tabs>
          <w:tab w:val="left" w:pos="1305"/>
        </w:tabs>
        <w:overflowPunct w:val="0"/>
        <w:autoSpaceDE w:val="0"/>
        <w:autoSpaceDN w:val="0"/>
        <w:adjustRightInd w:val="0"/>
        <w:snapToGrid w:val="0"/>
        <w:spacing w:line="360" w:lineRule="auto"/>
        <w:textAlignment w:val="baseline"/>
        <w:rPr>
          <w:rFonts w:ascii="宋体" w:hAnsi="宋体"/>
          <w:sz w:val="24"/>
        </w:rPr>
      </w:pPr>
      <w:r>
        <w:rPr>
          <w:rFonts w:hint="eastAsia" w:ascii="宋体" w:hAnsi="宋体"/>
          <w:sz w:val="24"/>
        </w:rPr>
        <w:t>总则</w:t>
      </w:r>
    </w:p>
    <w:p>
      <w:pPr>
        <w:widowControl/>
        <w:numPr>
          <w:ilvl w:val="1"/>
          <w:numId w:val="5"/>
        </w:numPr>
        <w:tabs>
          <w:tab w:val="left" w:pos="1305"/>
        </w:tabs>
        <w:overflowPunct w:val="0"/>
        <w:autoSpaceDE w:val="0"/>
        <w:autoSpaceDN w:val="0"/>
        <w:adjustRightInd w:val="0"/>
        <w:snapToGrid w:val="0"/>
        <w:spacing w:line="360" w:lineRule="auto"/>
        <w:textAlignment w:val="baseline"/>
        <w:rPr>
          <w:rFonts w:ascii="宋体" w:hAnsi="宋体"/>
          <w:sz w:val="24"/>
        </w:rPr>
      </w:pPr>
      <w:r>
        <w:rPr>
          <w:rFonts w:hint="eastAsia" w:ascii="宋体" w:hAnsi="宋体"/>
          <w:sz w:val="24"/>
        </w:rPr>
        <w:t>招标文件</w:t>
      </w:r>
    </w:p>
    <w:p>
      <w:pPr>
        <w:widowControl/>
        <w:numPr>
          <w:ilvl w:val="1"/>
          <w:numId w:val="5"/>
        </w:numPr>
        <w:tabs>
          <w:tab w:val="left" w:pos="1305"/>
        </w:tabs>
        <w:overflowPunct w:val="0"/>
        <w:autoSpaceDE w:val="0"/>
        <w:autoSpaceDN w:val="0"/>
        <w:adjustRightInd w:val="0"/>
        <w:snapToGrid w:val="0"/>
        <w:spacing w:line="360" w:lineRule="auto"/>
        <w:textAlignment w:val="baseline"/>
        <w:rPr>
          <w:rFonts w:ascii="宋体" w:hAnsi="宋体"/>
          <w:sz w:val="24"/>
        </w:rPr>
      </w:pPr>
      <w:r>
        <w:rPr>
          <w:rFonts w:hint="eastAsia" w:ascii="宋体" w:hAnsi="宋体"/>
          <w:sz w:val="24"/>
        </w:rPr>
        <w:t>投标文件编制</w:t>
      </w:r>
    </w:p>
    <w:p>
      <w:pPr>
        <w:widowControl/>
        <w:numPr>
          <w:ilvl w:val="1"/>
          <w:numId w:val="5"/>
        </w:numPr>
        <w:tabs>
          <w:tab w:val="left" w:pos="1305"/>
        </w:tabs>
        <w:overflowPunct w:val="0"/>
        <w:autoSpaceDE w:val="0"/>
        <w:autoSpaceDN w:val="0"/>
        <w:adjustRightInd w:val="0"/>
        <w:snapToGrid w:val="0"/>
        <w:spacing w:line="360" w:lineRule="auto"/>
        <w:textAlignment w:val="baseline"/>
        <w:rPr>
          <w:rFonts w:ascii="宋体" w:hAnsi="宋体"/>
          <w:sz w:val="24"/>
        </w:rPr>
      </w:pPr>
      <w:r>
        <w:rPr>
          <w:rFonts w:hint="eastAsia" w:ascii="宋体" w:hAnsi="宋体"/>
          <w:sz w:val="24"/>
        </w:rPr>
        <w:t>开标</w:t>
      </w:r>
    </w:p>
    <w:p>
      <w:pPr>
        <w:widowControl/>
        <w:numPr>
          <w:ilvl w:val="1"/>
          <w:numId w:val="5"/>
        </w:numPr>
        <w:tabs>
          <w:tab w:val="left" w:pos="1305"/>
        </w:tabs>
        <w:overflowPunct w:val="0"/>
        <w:autoSpaceDE w:val="0"/>
        <w:autoSpaceDN w:val="0"/>
        <w:adjustRightInd w:val="0"/>
        <w:snapToGrid w:val="0"/>
        <w:spacing w:line="360" w:lineRule="auto"/>
        <w:textAlignment w:val="baseline"/>
        <w:rPr>
          <w:rFonts w:ascii="宋体" w:hAnsi="宋体"/>
          <w:sz w:val="24"/>
        </w:rPr>
      </w:pPr>
      <w:r>
        <w:rPr>
          <w:rFonts w:hint="eastAsia" w:ascii="宋体" w:hAnsi="宋体"/>
          <w:sz w:val="24"/>
        </w:rPr>
        <w:t>评标</w:t>
      </w:r>
    </w:p>
    <w:p>
      <w:pPr>
        <w:widowControl/>
        <w:numPr>
          <w:ilvl w:val="1"/>
          <w:numId w:val="5"/>
        </w:numPr>
        <w:tabs>
          <w:tab w:val="left" w:pos="1305"/>
        </w:tabs>
        <w:overflowPunct w:val="0"/>
        <w:autoSpaceDE w:val="0"/>
        <w:autoSpaceDN w:val="0"/>
        <w:adjustRightInd w:val="0"/>
        <w:snapToGrid w:val="0"/>
        <w:spacing w:line="360" w:lineRule="auto"/>
        <w:textAlignment w:val="baseline"/>
        <w:rPr>
          <w:rFonts w:ascii="宋体" w:hAnsi="宋体"/>
          <w:sz w:val="24"/>
        </w:rPr>
      </w:pPr>
      <w:r>
        <w:rPr>
          <w:rFonts w:hint="eastAsia" w:ascii="宋体" w:hAnsi="宋体"/>
          <w:sz w:val="24"/>
        </w:rPr>
        <w:t>定标</w:t>
      </w:r>
    </w:p>
    <w:p>
      <w:pPr>
        <w:widowControl/>
        <w:numPr>
          <w:ilvl w:val="1"/>
          <w:numId w:val="5"/>
        </w:numPr>
        <w:tabs>
          <w:tab w:val="left" w:pos="1305"/>
        </w:tabs>
        <w:overflowPunct w:val="0"/>
        <w:autoSpaceDE w:val="0"/>
        <w:autoSpaceDN w:val="0"/>
        <w:adjustRightInd w:val="0"/>
        <w:snapToGrid w:val="0"/>
        <w:spacing w:line="360" w:lineRule="auto"/>
        <w:textAlignment w:val="baseline"/>
        <w:rPr>
          <w:rFonts w:ascii="宋体" w:hAnsi="宋体"/>
          <w:sz w:val="24"/>
        </w:rPr>
      </w:pPr>
      <w:r>
        <w:rPr>
          <w:rFonts w:hint="eastAsia" w:ascii="宋体" w:hAnsi="宋体"/>
          <w:sz w:val="24"/>
        </w:rPr>
        <w:t>合同授予</w:t>
      </w:r>
    </w:p>
    <w:p>
      <w:pPr>
        <w:widowControl/>
        <w:overflowPunct w:val="0"/>
        <w:autoSpaceDE w:val="0"/>
        <w:autoSpaceDN w:val="0"/>
        <w:adjustRightInd w:val="0"/>
        <w:snapToGrid w:val="0"/>
        <w:spacing w:line="360" w:lineRule="auto"/>
        <w:ind w:left="165"/>
        <w:textAlignment w:val="baseline"/>
        <w:rPr>
          <w:rFonts w:ascii="宋体" w:hAnsi="宋体"/>
          <w:sz w:val="24"/>
        </w:rPr>
      </w:pPr>
      <w:r>
        <w:rPr>
          <w:rFonts w:hint="eastAsia" w:ascii="宋体" w:hAnsi="宋体"/>
          <w:sz w:val="24"/>
        </w:rPr>
        <w:t>第四章     评标办法及评分标准</w:t>
      </w:r>
    </w:p>
    <w:p>
      <w:pPr>
        <w:widowControl/>
        <w:overflowPunct w:val="0"/>
        <w:autoSpaceDE w:val="0"/>
        <w:autoSpaceDN w:val="0"/>
        <w:adjustRightInd w:val="0"/>
        <w:snapToGrid w:val="0"/>
        <w:spacing w:line="360" w:lineRule="auto"/>
        <w:ind w:left="165"/>
        <w:textAlignment w:val="baseline"/>
        <w:rPr>
          <w:rFonts w:ascii="宋体" w:hAnsi="宋体"/>
          <w:sz w:val="24"/>
        </w:rPr>
      </w:pPr>
      <w:r>
        <w:rPr>
          <w:rFonts w:hint="eastAsia" w:ascii="宋体" w:hAnsi="宋体"/>
          <w:sz w:val="24"/>
        </w:rPr>
        <w:t>第五章     政府采购合同主要条款</w:t>
      </w:r>
    </w:p>
    <w:p>
      <w:pPr>
        <w:widowControl/>
        <w:overflowPunct w:val="0"/>
        <w:autoSpaceDE w:val="0"/>
        <w:autoSpaceDN w:val="0"/>
        <w:adjustRightInd w:val="0"/>
        <w:snapToGrid w:val="0"/>
        <w:spacing w:line="360" w:lineRule="auto"/>
        <w:ind w:left="165"/>
        <w:textAlignment w:val="baseline"/>
        <w:rPr>
          <w:rFonts w:ascii="宋体" w:hAnsi="宋体"/>
          <w:sz w:val="24"/>
        </w:rPr>
      </w:pPr>
      <w:r>
        <w:rPr>
          <w:rFonts w:hint="eastAsia" w:ascii="宋体" w:hAnsi="宋体"/>
          <w:sz w:val="24"/>
        </w:rPr>
        <w:t>第六章     投标文件相关格式</w:t>
      </w:r>
    </w:p>
    <w:p>
      <w:pPr>
        <w:snapToGrid w:val="0"/>
        <w:spacing w:before="120" w:line="312" w:lineRule="auto"/>
        <w:outlineLvl w:val="0"/>
        <w:rPr>
          <w:rFonts w:hAnsi="宋体"/>
        </w:rPr>
      </w:pPr>
    </w:p>
    <w:p>
      <w:pPr>
        <w:snapToGrid w:val="0"/>
        <w:spacing w:before="120" w:line="312" w:lineRule="auto"/>
        <w:outlineLvl w:val="0"/>
        <w:rPr>
          <w:rFonts w:hAnsi="宋体"/>
        </w:rPr>
      </w:pPr>
    </w:p>
    <w:p>
      <w:pPr>
        <w:snapToGrid w:val="0"/>
        <w:spacing w:before="120" w:line="312" w:lineRule="auto"/>
        <w:outlineLvl w:val="0"/>
        <w:rPr>
          <w:rFonts w:hAnsi="宋体"/>
        </w:rPr>
      </w:pPr>
    </w:p>
    <w:p>
      <w:pPr>
        <w:snapToGrid w:val="0"/>
        <w:spacing w:before="120" w:line="312" w:lineRule="auto"/>
        <w:outlineLvl w:val="0"/>
        <w:rPr>
          <w:rFonts w:hAnsi="宋体"/>
        </w:rPr>
      </w:pPr>
    </w:p>
    <w:p>
      <w:pPr>
        <w:snapToGrid w:val="0"/>
        <w:spacing w:before="120" w:line="312" w:lineRule="auto"/>
        <w:outlineLvl w:val="0"/>
        <w:rPr>
          <w:rFonts w:hAnsi="宋体"/>
        </w:rPr>
      </w:pPr>
    </w:p>
    <w:p>
      <w:pPr>
        <w:snapToGrid w:val="0"/>
        <w:spacing w:before="120" w:line="312" w:lineRule="auto"/>
        <w:outlineLvl w:val="0"/>
        <w:rPr>
          <w:rFonts w:hAnsi="宋体"/>
        </w:rPr>
      </w:pPr>
    </w:p>
    <w:p>
      <w:pPr>
        <w:snapToGrid w:val="0"/>
        <w:spacing w:before="120" w:line="312" w:lineRule="auto"/>
        <w:outlineLvl w:val="0"/>
        <w:rPr>
          <w:rFonts w:hAnsi="宋体"/>
        </w:rPr>
      </w:pPr>
    </w:p>
    <w:p>
      <w:pPr>
        <w:snapToGrid w:val="0"/>
        <w:spacing w:before="120" w:line="312" w:lineRule="auto"/>
        <w:outlineLvl w:val="0"/>
        <w:rPr>
          <w:rFonts w:hAnsi="宋体"/>
        </w:rPr>
        <w:sectPr>
          <w:pgSz w:w="11906" w:h="16838"/>
          <w:pgMar w:top="1304" w:right="1106" w:bottom="1304" w:left="1531" w:header="1304" w:footer="1304" w:gutter="0"/>
          <w:cols w:space="720" w:num="1"/>
        </w:sectPr>
      </w:pPr>
    </w:p>
    <w:p>
      <w:pPr>
        <w:snapToGrid w:val="0"/>
        <w:spacing w:before="120" w:line="312" w:lineRule="auto"/>
        <w:jc w:val="center"/>
        <w:outlineLvl w:val="0"/>
        <w:rPr>
          <w:rFonts w:ascii="黑体" w:hAnsi="宋体" w:eastAsia="黑体"/>
          <w:sz w:val="30"/>
        </w:rPr>
      </w:pPr>
      <w:r>
        <w:rPr>
          <w:rFonts w:hint="eastAsia" w:ascii="黑体" w:hAnsi="宋体" w:eastAsia="黑体"/>
          <w:sz w:val="30"/>
        </w:rPr>
        <w:t>第一章  公开招标采购公告</w:t>
      </w:r>
    </w:p>
    <w:p>
      <w:pPr>
        <w:spacing w:line="312" w:lineRule="auto"/>
        <w:rPr>
          <w:rFonts w:hAnsi="宋体"/>
        </w:rPr>
      </w:pPr>
    </w:p>
    <w:p>
      <w:pPr>
        <w:spacing w:line="360" w:lineRule="auto"/>
        <w:ind w:firstLine="420" w:firstLineChars="200"/>
        <w:rPr>
          <w:szCs w:val="21"/>
        </w:rPr>
      </w:pPr>
      <w:r>
        <w:rPr>
          <w:rFonts w:hint="eastAsia"/>
        </w:rPr>
        <w:t>根据《中华人民</w:t>
      </w:r>
      <w:r>
        <w:rPr>
          <w:rFonts w:hint="eastAsia"/>
          <w:szCs w:val="21"/>
        </w:rPr>
        <w:t>共和国政府采购法》等规定，受浙江省岱山县第一人民医院委托，现就浙江省岱山县第一人民医院医疗设备维修和保养服务项目进行公开招标，欢迎符合资质要求并能提供相关服务的供应商参加投标。</w:t>
      </w:r>
    </w:p>
    <w:p>
      <w:pPr>
        <w:widowControl/>
        <w:spacing w:line="360" w:lineRule="auto"/>
        <w:jc w:val="left"/>
        <w:rPr>
          <w:rStyle w:val="39"/>
          <w:rFonts w:hAnsi="宋体"/>
          <w:szCs w:val="21"/>
        </w:rPr>
      </w:pPr>
      <w:r>
        <w:rPr>
          <w:rStyle w:val="39"/>
          <w:rFonts w:hint="eastAsia" w:hAnsi="宋体"/>
          <w:szCs w:val="21"/>
        </w:rPr>
        <w:t>一、项目名称：</w:t>
      </w:r>
      <w:r>
        <w:rPr>
          <w:rFonts w:hint="eastAsia" w:ascii="宋体"/>
          <w:szCs w:val="21"/>
        </w:rPr>
        <w:t>浙江省岱山县第一人民医院医疗设备维修和保养服务项目</w:t>
      </w:r>
    </w:p>
    <w:p>
      <w:pPr>
        <w:widowControl/>
        <w:spacing w:line="360" w:lineRule="auto"/>
        <w:jc w:val="left"/>
        <w:rPr>
          <w:rFonts w:ascii="宋体" w:hAnsi="宋体"/>
          <w:b/>
          <w:bCs/>
          <w:sz w:val="28"/>
          <w:szCs w:val="28"/>
        </w:rPr>
      </w:pPr>
      <w:r>
        <w:rPr>
          <w:rStyle w:val="39"/>
          <w:rFonts w:hint="eastAsia" w:hAnsi="宋体"/>
          <w:szCs w:val="21"/>
        </w:rPr>
        <w:t>二、</w:t>
      </w:r>
      <w:r>
        <w:rPr>
          <w:rStyle w:val="39"/>
          <w:rFonts w:hAnsi="宋体"/>
          <w:szCs w:val="21"/>
        </w:rPr>
        <w:t>招标项目编号：</w:t>
      </w:r>
      <w:r>
        <w:rPr>
          <w:rFonts w:hint="eastAsia" w:ascii="宋体" w:hAnsi="宋体"/>
          <w:kern w:val="0"/>
          <w:szCs w:val="21"/>
          <w:shd w:val="clear" w:color="auto" w:fill="FFFFFF"/>
        </w:rPr>
        <w:t>SZGXZS2021098</w:t>
      </w:r>
    </w:p>
    <w:p>
      <w:pPr>
        <w:pStyle w:val="72"/>
        <w:spacing w:beforeAutospacing="0" w:afterAutospacing="0" w:line="360" w:lineRule="auto"/>
        <w:jc w:val="both"/>
        <w:rPr>
          <w:sz w:val="21"/>
          <w:szCs w:val="21"/>
          <w:shd w:val="clear" w:color="auto" w:fill="FFFFFF"/>
        </w:rPr>
      </w:pPr>
      <w:r>
        <w:rPr>
          <w:rStyle w:val="39"/>
          <w:rFonts w:hint="eastAsia"/>
          <w:sz w:val="21"/>
          <w:szCs w:val="21"/>
        </w:rPr>
        <w:t>三、</w:t>
      </w:r>
      <w:r>
        <w:rPr>
          <w:rStyle w:val="39"/>
          <w:sz w:val="21"/>
          <w:szCs w:val="21"/>
        </w:rPr>
        <w:t>采购组织类型：</w:t>
      </w:r>
      <w:r>
        <w:rPr>
          <w:sz w:val="21"/>
          <w:szCs w:val="21"/>
          <w:shd w:val="clear" w:color="auto" w:fill="FFFFFF"/>
        </w:rPr>
        <w:t>分散采购委托代理</w:t>
      </w:r>
    </w:p>
    <w:p>
      <w:pPr>
        <w:pStyle w:val="72"/>
        <w:spacing w:beforeAutospacing="0" w:afterAutospacing="0" w:line="360" w:lineRule="auto"/>
        <w:jc w:val="both"/>
        <w:rPr>
          <w:rStyle w:val="39"/>
          <w:sz w:val="21"/>
          <w:szCs w:val="21"/>
        </w:rPr>
      </w:pPr>
      <w:r>
        <w:rPr>
          <w:rStyle w:val="39"/>
          <w:rFonts w:hint="eastAsia"/>
          <w:sz w:val="21"/>
          <w:szCs w:val="21"/>
        </w:rPr>
        <w:t>四、</w:t>
      </w:r>
      <w:r>
        <w:rPr>
          <w:rStyle w:val="39"/>
          <w:sz w:val="21"/>
          <w:szCs w:val="21"/>
        </w:rPr>
        <w:t>招标项目概况（内容、用途、数量、简要技术要求等）:</w:t>
      </w:r>
    </w:p>
    <w:tbl>
      <w:tblPr>
        <w:tblStyle w:val="3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4820"/>
        <w:gridCol w:w="850"/>
        <w:gridCol w:w="851"/>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pStyle w:val="72"/>
              <w:spacing w:beforeAutospacing="0" w:afterAutospacing="0" w:line="312" w:lineRule="auto"/>
              <w:jc w:val="center"/>
              <w:rPr>
                <w:rStyle w:val="39"/>
                <w:rFonts w:asciiTheme="minorEastAsia" w:hAnsiTheme="minorEastAsia"/>
                <w:b w:val="0"/>
                <w:sz w:val="21"/>
                <w:szCs w:val="21"/>
              </w:rPr>
            </w:pPr>
            <w:r>
              <w:rPr>
                <w:rStyle w:val="39"/>
                <w:rFonts w:hint="eastAsia" w:asciiTheme="minorEastAsia" w:hAnsiTheme="minorEastAsia" w:eastAsiaTheme="minorEastAsia"/>
                <w:sz w:val="21"/>
                <w:szCs w:val="21"/>
              </w:rPr>
              <w:t>序号</w:t>
            </w:r>
          </w:p>
        </w:tc>
        <w:tc>
          <w:tcPr>
            <w:tcW w:w="4820" w:type="dxa"/>
            <w:tcBorders>
              <w:right w:val="single" w:color="auto" w:sz="4" w:space="0"/>
            </w:tcBorders>
            <w:vAlign w:val="center"/>
          </w:tcPr>
          <w:p>
            <w:pPr>
              <w:pStyle w:val="72"/>
              <w:spacing w:beforeAutospacing="0" w:afterAutospacing="0" w:line="312" w:lineRule="auto"/>
              <w:jc w:val="center"/>
              <w:rPr>
                <w:rStyle w:val="39"/>
                <w:rFonts w:asciiTheme="minorEastAsia" w:hAnsiTheme="minorEastAsia"/>
                <w:b w:val="0"/>
                <w:sz w:val="21"/>
                <w:szCs w:val="21"/>
              </w:rPr>
            </w:pPr>
            <w:r>
              <w:rPr>
                <w:rStyle w:val="39"/>
                <w:rFonts w:hint="eastAsia" w:asciiTheme="minorEastAsia" w:hAnsiTheme="minorEastAsia" w:eastAsiaTheme="minorEastAsia"/>
                <w:sz w:val="21"/>
                <w:szCs w:val="21"/>
              </w:rPr>
              <w:t>建设内容</w:t>
            </w:r>
          </w:p>
        </w:tc>
        <w:tc>
          <w:tcPr>
            <w:tcW w:w="850" w:type="dxa"/>
            <w:tcBorders>
              <w:left w:val="single" w:color="auto" w:sz="4" w:space="0"/>
              <w:right w:val="single" w:color="auto" w:sz="4" w:space="0"/>
            </w:tcBorders>
            <w:vAlign w:val="center"/>
          </w:tcPr>
          <w:p>
            <w:pPr>
              <w:pStyle w:val="72"/>
              <w:spacing w:beforeAutospacing="0" w:afterAutospacing="0" w:line="312" w:lineRule="auto"/>
              <w:jc w:val="center"/>
              <w:rPr>
                <w:rStyle w:val="39"/>
                <w:rFonts w:asciiTheme="minorEastAsia" w:hAnsiTheme="minorEastAsia"/>
                <w:b w:val="0"/>
                <w:sz w:val="21"/>
                <w:szCs w:val="21"/>
              </w:rPr>
            </w:pPr>
            <w:r>
              <w:rPr>
                <w:rStyle w:val="39"/>
                <w:rFonts w:hint="eastAsia" w:asciiTheme="minorEastAsia" w:hAnsiTheme="minorEastAsia" w:eastAsiaTheme="minorEastAsia"/>
                <w:sz w:val="21"/>
                <w:szCs w:val="21"/>
              </w:rPr>
              <w:t>数量</w:t>
            </w:r>
          </w:p>
        </w:tc>
        <w:tc>
          <w:tcPr>
            <w:tcW w:w="851" w:type="dxa"/>
            <w:tcBorders>
              <w:left w:val="single" w:color="auto" w:sz="4" w:space="0"/>
            </w:tcBorders>
            <w:vAlign w:val="center"/>
          </w:tcPr>
          <w:p>
            <w:pPr>
              <w:pStyle w:val="72"/>
              <w:spacing w:beforeAutospacing="0" w:afterAutospacing="0" w:line="312" w:lineRule="auto"/>
              <w:jc w:val="center"/>
              <w:rPr>
                <w:rStyle w:val="39"/>
                <w:rFonts w:asciiTheme="minorEastAsia" w:hAnsiTheme="minorEastAsia"/>
                <w:b w:val="0"/>
                <w:sz w:val="21"/>
                <w:szCs w:val="21"/>
              </w:rPr>
            </w:pPr>
            <w:r>
              <w:rPr>
                <w:rStyle w:val="39"/>
                <w:rFonts w:hint="eastAsia" w:asciiTheme="minorEastAsia" w:hAnsiTheme="minorEastAsia" w:eastAsiaTheme="minorEastAsia"/>
                <w:sz w:val="21"/>
                <w:szCs w:val="21"/>
              </w:rPr>
              <w:t>单位</w:t>
            </w:r>
          </w:p>
        </w:tc>
        <w:tc>
          <w:tcPr>
            <w:tcW w:w="1559" w:type="dxa"/>
            <w:tcBorders>
              <w:right w:val="single" w:color="auto" w:sz="4" w:space="0"/>
            </w:tcBorders>
            <w:vAlign w:val="center"/>
          </w:tcPr>
          <w:p>
            <w:pPr>
              <w:pStyle w:val="72"/>
              <w:spacing w:beforeAutospacing="0" w:afterAutospacing="0" w:line="312" w:lineRule="auto"/>
              <w:jc w:val="center"/>
              <w:rPr>
                <w:rStyle w:val="39"/>
                <w:rFonts w:asciiTheme="minorEastAsia" w:hAnsiTheme="minorEastAsia"/>
                <w:b w:val="0"/>
                <w:sz w:val="21"/>
                <w:szCs w:val="21"/>
              </w:rPr>
            </w:pPr>
            <w:r>
              <w:rPr>
                <w:rStyle w:val="39"/>
                <w:rFonts w:hint="eastAsia" w:asciiTheme="minorEastAsia" w:hAnsiTheme="minorEastAsia" w:eastAsiaTheme="minorEastAsia"/>
                <w:sz w:val="21"/>
                <w:szCs w:val="21"/>
              </w:rPr>
              <w:t>预算金额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jc w:val="center"/>
              <w:rPr>
                <w:kern w:val="0"/>
                <w:sz w:val="20"/>
                <w:szCs w:val="24"/>
              </w:rPr>
            </w:pPr>
            <w:r>
              <w:rPr>
                <w:kern w:val="0"/>
                <w:sz w:val="20"/>
                <w:szCs w:val="24"/>
              </w:rPr>
              <w:t>1</w:t>
            </w:r>
          </w:p>
        </w:tc>
        <w:tc>
          <w:tcPr>
            <w:tcW w:w="4820" w:type="dxa"/>
            <w:tcBorders>
              <w:right w:val="single" w:color="auto" w:sz="4" w:space="0"/>
            </w:tcBorders>
            <w:vAlign w:val="center"/>
          </w:tcPr>
          <w:p>
            <w:pPr>
              <w:widowControl/>
              <w:jc w:val="center"/>
              <w:rPr>
                <w:kern w:val="0"/>
                <w:sz w:val="20"/>
                <w:szCs w:val="24"/>
              </w:rPr>
            </w:pPr>
            <w:r>
              <w:rPr>
                <w:rFonts w:hint="eastAsia" w:ascii="宋体"/>
                <w:kern w:val="0"/>
                <w:sz w:val="20"/>
                <w:szCs w:val="21"/>
              </w:rPr>
              <w:t>浙江省岱山县第一人民医院医疗设备维修和保养服务项目</w:t>
            </w:r>
          </w:p>
        </w:tc>
        <w:tc>
          <w:tcPr>
            <w:tcW w:w="850" w:type="dxa"/>
            <w:tcBorders>
              <w:left w:val="single" w:color="auto" w:sz="4" w:space="0"/>
              <w:right w:val="single" w:color="auto" w:sz="4" w:space="0"/>
            </w:tcBorders>
            <w:vAlign w:val="center"/>
          </w:tcPr>
          <w:p>
            <w:pPr>
              <w:widowControl/>
              <w:jc w:val="center"/>
              <w:rPr>
                <w:rFonts w:asciiTheme="minorEastAsia" w:hAnsiTheme="minorEastAsia" w:eastAsiaTheme="minorEastAsia"/>
                <w:kern w:val="0"/>
                <w:sz w:val="20"/>
                <w:szCs w:val="24"/>
              </w:rPr>
            </w:pPr>
            <w:r>
              <w:rPr>
                <w:rFonts w:hint="eastAsia" w:asciiTheme="minorEastAsia" w:hAnsiTheme="minorEastAsia" w:eastAsiaTheme="minorEastAsia"/>
                <w:kern w:val="0"/>
                <w:sz w:val="20"/>
                <w:szCs w:val="24"/>
              </w:rPr>
              <w:t>1</w:t>
            </w:r>
          </w:p>
        </w:tc>
        <w:tc>
          <w:tcPr>
            <w:tcW w:w="851" w:type="dxa"/>
            <w:tcBorders>
              <w:left w:val="single" w:color="auto" w:sz="4" w:space="0"/>
            </w:tcBorders>
            <w:vAlign w:val="center"/>
          </w:tcPr>
          <w:p>
            <w:pPr>
              <w:widowControl/>
              <w:jc w:val="center"/>
              <w:rPr>
                <w:rFonts w:asciiTheme="minorEastAsia" w:hAnsiTheme="minorEastAsia" w:eastAsiaTheme="minorEastAsia"/>
                <w:kern w:val="0"/>
                <w:sz w:val="20"/>
                <w:szCs w:val="24"/>
              </w:rPr>
            </w:pPr>
            <w:r>
              <w:rPr>
                <w:rFonts w:hint="eastAsia" w:asciiTheme="minorEastAsia" w:hAnsiTheme="minorEastAsia" w:eastAsiaTheme="minorEastAsia"/>
                <w:kern w:val="0"/>
                <w:sz w:val="20"/>
                <w:szCs w:val="24"/>
              </w:rPr>
              <w:t>项</w:t>
            </w:r>
          </w:p>
        </w:tc>
        <w:tc>
          <w:tcPr>
            <w:tcW w:w="1559" w:type="dxa"/>
            <w:tcBorders>
              <w:right w:val="single" w:color="auto" w:sz="4" w:space="0"/>
            </w:tcBorders>
            <w:vAlign w:val="center"/>
          </w:tcPr>
          <w:p>
            <w:pPr>
              <w:pStyle w:val="72"/>
              <w:spacing w:beforeAutospacing="0" w:afterAutospacing="0" w:line="312" w:lineRule="auto"/>
              <w:jc w:val="center"/>
              <w:rPr>
                <w:rStyle w:val="39"/>
                <w:rFonts w:asciiTheme="minorEastAsia" w:hAnsiTheme="minorEastAsia" w:eastAsiaTheme="minorEastAsia"/>
                <w:b w:val="0"/>
                <w:sz w:val="21"/>
                <w:szCs w:val="21"/>
              </w:rPr>
            </w:pPr>
            <w:r>
              <w:rPr>
                <w:rStyle w:val="39"/>
                <w:rFonts w:hint="eastAsia" w:asciiTheme="minorEastAsia" w:hAnsiTheme="minorEastAsia" w:eastAsiaTheme="minorEastAsia"/>
                <w:sz w:val="21"/>
                <w:szCs w:val="21"/>
              </w:rPr>
              <w:t>300万元</w:t>
            </w:r>
          </w:p>
        </w:tc>
      </w:tr>
    </w:tbl>
    <w:p>
      <w:pPr>
        <w:pStyle w:val="72"/>
        <w:spacing w:beforeAutospacing="0" w:afterAutospacing="0" w:line="360" w:lineRule="auto"/>
        <w:jc w:val="both"/>
        <w:rPr>
          <w:rStyle w:val="39"/>
          <w:sz w:val="21"/>
          <w:szCs w:val="21"/>
        </w:rPr>
      </w:pPr>
    </w:p>
    <w:p>
      <w:pPr>
        <w:pStyle w:val="72"/>
        <w:spacing w:beforeAutospacing="0" w:afterAutospacing="0" w:line="360" w:lineRule="auto"/>
        <w:jc w:val="both"/>
        <w:rPr>
          <w:rStyle w:val="39"/>
          <w:b w:val="0"/>
          <w:bCs w:val="0"/>
          <w:sz w:val="21"/>
          <w:szCs w:val="21"/>
        </w:rPr>
      </w:pPr>
      <w:r>
        <w:rPr>
          <w:rStyle w:val="39"/>
          <w:rFonts w:hint="eastAsia"/>
          <w:sz w:val="21"/>
          <w:szCs w:val="21"/>
        </w:rPr>
        <w:t>五、</w:t>
      </w:r>
      <w:r>
        <w:rPr>
          <w:rStyle w:val="39"/>
          <w:sz w:val="21"/>
          <w:szCs w:val="21"/>
        </w:rPr>
        <w:t>投标供应商资格要求:</w:t>
      </w:r>
    </w:p>
    <w:p>
      <w:pPr>
        <w:pStyle w:val="72"/>
        <w:shd w:val="clear" w:color="auto" w:fill="FFFFFF"/>
        <w:spacing w:beforeAutospacing="0" w:afterAutospacing="0" w:line="360" w:lineRule="auto"/>
        <w:ind w:firstLine="420" w:firstLineChars="200"/>
        <w:rPr>
          <w:sz w:val="21"/>
          <w:szCs w:val="21"/>
        </w:rPr>
      </w:pPr>
      <w:r>
        <w:rPr>
          <w:rFonts w:hint="eastAsia"/>
          <w:sz w:val="21"/>
          <w:szCs w:val="21"/>
        </w:rPr>
        <w:t>1、①具有独立承担民事责任的能力；②具有良好的商业信誉和健全的财务会计制度；③具有履行合同所必需的设备和专业技术能力；④参加政府采购活动前三年内，无依法缴纳税收和社会保障资金的不良记录；⑤参加政府采购活动前三年内，在经营活动中没有重大违法记录；⑥法律、行政法规规定的其他条件。</w:t>
      </w:r>
    </w:p>
    <w:p>
      <w:pPr>
        <w:pStyle w:val="72"/>
        <w:shd w:val="clear" w:color="auto" w:fill="FFFFFF"/>
        <w:spacing w:beforeAutospacing="0" w:afterAutospacing="0" w:line="360" w:lineRule="auto"/>
        <w:ind w:firstLine="420" w:firstLineChars="200"/>
        <w:rPr>
          <w:sz w:val="21"/>
          <w:szCs w:val="21"/>
        </w:rPr>
      </w:pPr>
      <w:r>
        <w:rPr>
          <w:rFonts w:hint="eastAsia"/>
          <w:sz w:val="21"/>
          <w:szCs w:val="21"/>
        </w:rPr>
        <w:t>2、未被“信用中国”（www.creditchina.gov.cn）、中国政府采购网（www.ccgp.gov.cn）列入失信被执行人、重大税收违法案件当事人名单、政府采购严重违法失信行为记录名单。</w:t>
      </w:r>
    </w:p>
    <w:p>
      <w:pPr>
        <w:pStyle w:val="72"/>
        <w:shd w:val="clear" w:color="auto" w:fill="FFFFFF"/>
        <w:spacing w:beforeAutospacing="0" w:afterAutospacing="0" w:line="360" w:lineRule="auto"/>
        <w:ind w:firstLine="420" w:firstLineChars="200"/>
        <w:rPr>
          <w:sz w:val="21"/>
          <w:szCs w:val="21"/>
        </w:rPr>
      </w:pPr>
      <w:r>
        <w:rPr>
          <w:rFonts w:hint="eastAsia"/>
          <w:sz w:val="21"/>
          <w:szCs w:val="21"/>
        </w:rPr>
        <w:t>3、本项目不接受联合体投标。</w:t>
      </w:r>
    </w:p>
    <w:p>
      <w:pPr>
        <w:pStyle w:val="72"/>
        <w:shd w:val="clear" w:color="auto" w:fill="FFFFFF"/>
        <w:spacing w:beforeAutospacing="0" w:afterAutospacing="0" w:line="360" w:lineRule="auto"/>
        <w:rPr>
          <w:rFonts w:ascii="Times New Roman" w:hAnsi="Times New Roman"/>
          <w:sz w:val="21"/>
          <w:szCs w:val="21"/>
        </w:rPr>
      </w:pPr>
      <w:r>
        <w:rPr>
          <w:rStyle w:val="39"/>
          <w:rFonts w:hint="eastAsia"/>
          <w:sz w:val="21"/>
          <w:szCs w:val="21"/>
        </w:rPr>
        <w:t>六、</w:t>
      </w:r>
      <w:r>
        <w:rPr>
          <w:rFonts w:hint="eastAsia" w:cs="宋体"/>
          <w:b/>
          <w:sz w:val="21"/>
          <w:szCs w:val="21"/>
        </w:rPr>
        <w:t>公告期限：</w:t>
      </w:r>
      <w:r>
        <w:rPr>
          <w:rFonts w:hint="eastAsia" w:cs="宋体"/>
          <w:b/>
          <w:sz w:val="21"/>
          <w:szCs w:val="21"/>
          <w:u w:val="single"/>
        </w:rPr>
        <w:t xml:space="preserve"> 自公告发布之日起5个工作日 </w:t>
      </w:r>
    </w:p>
    <w:p>
      <w:pPr>
        <w:snapToGrid w:val="0"/>
        <w:spacing w:line="360" w:lineRule="auto"/>
        <w:rPr>
          <w:rFonts w:ascii="宋体" w:hAnsi="宋体" w:cs="宋体"/>
          <w:szCs w:val="21"/>
        </w:rPr>
      </w:pPr>
      <w:r>
        <w:rPr>
          <w:rFonts w:hint="eastAsia" w:ascii="宋体" w:hAnsi="宋体" w:cs="宋体"/>
          <w:b/>
          <w:bCs/>
          <w:szCs w:val="21"/>
        </w:rPr>
        <w:t>七.注册及采购文件的获取</w:t>
      </w:r>
      <w:r>
        <w:rPr>
          <w:rFonts w:hint="eastAsia" w:ascii="宋体" w:hAnsi="宋体" w:cs="宋体"/>
          <w:szCs w:val="21"/>
        </w:rPr>
        <w:t>：</w:t>
      </w:r>
    </w:p>
    <w:p>
      <w:pPr>
        <w:pStyle w:val="72"/>
        <w:shd w:val="clear" w:color="auto" w:fill="FFFFFF"/>
        <w:spacing w:beforeAutospacing="0" w:afterAutospacing="0" w:line="360" w:lineRule="auto"/>
        <w:ind w:firstLine="417" w:firstLineChars="198"/>
        <w:rPr>
          <w:rFonts w:cs="宋体"/>
          <w:b/>
          <w:bCs/>
          <w:sz w:val="21"/>
          <w:szCs w:val="21"/>
          <w:shd w:val="clear" w:color="auto" w:fill="FFFFFF"/>
        </w:rPr>
      </w:pPr>
      <w:r>
        <w:rPr>
          <w:rFonts w:hint="eastAsia" w:cs="宋体"/>
          <w:b/>
          <w:bCs/>
          <w:sz w:val="21"/>
          <w:szCs w:val="21"/>
          <w:shd w:val="clear" w:color="auto" w:fill="FFFFFF"/>
        </w:rPr>
        <w:t>1、本项目只实行网上获取采购文件。</w:t>
      </w:r>
    </w:p>
    <w:p>
      <w:pPr>
        <w:pStyle w:val="72"/>
        <w:shd w:val="clear" w:color="auto" w:fill="FFFFFF"/>
        <w:spacing w:beforeAutospacing="0" w:afterAutospacing="0" w:line="360" w:lineRule="auto"/>
        <w:ind w:firstLine="417" w:firstLineChars="198"/>
        <w:rPr>
          <w:rFonts w:cs="宋体"/>
          <w:b/>
          <w:bCs/>
          <w:sz w:val="21"/>
          <w:szCs w:val="21"/>
          <w:shd w:val="clear" w:color="auto" w:fill="FFFFFF"/>
        </w:rPr>
      </w:pPr>
      <w:r>
        <w:rPr>
          <w:rFonts w:hint="eastAsia" w:cs="宋体"/>
          <w:b/>
          <w:bCs/>
          <w:sz w:val="21"/>
          <w:szCs w:val="21"/>
          <w:shd w:val="clear" w:color="auto" w:fill="FFFFFF"/>
        </w:rPr>
        <w:t>2、获取采购文件网址</w:t>
      </w:r>
      <w:r>
        <w:rPr>
          <w:rFonts w:hint="eastAsia" w:cs="宋体"/>
          <w:sz w:val="21"/>
          <w:szCs w:val="21"/>
          <w:shd w:val="clear" w:color="auto" w:fill="FFFFFF"/>
        </w:rPr>
        <w:t>：浙江省政府采购网</w:t>
      </w:r>
      <w:r>
        <w:fldChar w:fldCharType="begin"/>
      </w:r>
      <w:r>
        <w:instrText xml:space="preserve"> HYPERLINK "http://www.zjzfcg.gov.cn" </w:instrText>
      </w:r>
      <w:r>
        <w:fldChar w:fldCharType="separate"/>
      </w:r>
      <w:r>
        <w:rPr>
          <w:rFonts w:hint="eastAsia" w:cs="宋体"/>
          <w:sz w:val="21"/>
          <w:szCs w:val="21"/>
          <w:u w:val="single"/>
          <w:shd w:val="clear" w:color="auto" w:fill="FFFFFF"/>
        </w:rPr>
        <w:t>www.zjzfcg.gov.cn</w:t>
      </w:r>
      <w:r>
        <w:rPr>
          <w:rFonts w:hint="eastAsia" w:cs="宋体"/>
          <w:sz w:val="21"/>
          <w:szCs w:val="21"/>
          <w:u w:val="single"/>
          <w:shd w:val="clear" w:color="auto" w:fill="FFFFFF"/>
        </w:rPr>
        <w:fldChar w:fldCharType="end"/>
      </w:r>
      <w:r>
        <w:rPr>
          <w:rFonts w:hint="eastAsia" w:cs="宋体"/>
          <w:sz w:val="21"/>
          <w:szCs w:val="21"/>
          <w:shd w:val="clear" w:color="auto" w:fill="FFFFFF"/>
        </w:rPr>
        <w:t>（用“政采云”注册账号、密码登录系统后获取采购文件）</w:t>
      </w:r>
    </w:p>
    <w:p>
      <w:pPr>
        <w:pStyle w:val="72"/>
        <w:shd w:val="clear" w:color="auto" w:fill="FFFFFF"/>
        <w:spacing w:beforeAutospacing="0" w:afterAutospacing="0" w:line="360" w:lineRule="auto"/>
        <w:ind w:left="416" w:leftChars="198"/>
        <w:rPr>
          <w:rFonts w:cs="宋体"/>
          <w:sz w:val="21"/>
          <w:szCs w:val="21"/>
          <w:shd w:val="clear" w:color="auto" w:fill="FFFFFF"/>
        </w:rPr>
      </w:pPr>
      <w:r>
        <w:rPr>
          <w:rFonts w:hint="eastAsia" w:cs="宋体"/>
          <w:b/>
          <w:bCs/>
          <w:sz w:val="21"/>
          <w:szCs w:val="21"/>
          <w:shd w:val="clear" w:color="auto" w:fill="FFFFFF"/>
        </w:rPr>
        <w:t>3、免费注册网址：浙江政府采购网（供应商注册页面）：</w:t>
      </w:r>
      <w:r>
        <w:rPr>
          <w:rFonts w:hint="eastAsia" w:cs="宋体"/>
          <w:sz w:val="21"/>
          <w:szCs w:val="21"/>
          <w:u w:val="single"/>
          <w:shd w:val="clear" w:color="auto" w:fill="FFFFFF"/>
        </w:rPr>
        <w:t>https://middle.zcygov.cn/settle-front/#/registry</w:t>
      </w:r>
      <w:r>
        <w:rPr>
          <w:rFonts w:hint="eastAsia" w:cs="宋体"/>
          <w:sz w:val="21"/>
          <w:szCs w:val="21"/>
          <w:shd w:val="clear" w:color="auto" w:fill="FFFFFF"/>
        </w:rPr>
        <w:t>“政采云”，咨询电话：400-881-7190。</w:t>
      </w:r>
    </w:p>
    <w:p>
      <w:pPr>
        <w:pStyle w:val="72"/>
        <w:shd w:val="clear" w:color="auto" w:fill="FFFFFF"/>
        <w:spacing w:beforeAutospacing="0" w:afterAutospacing="0" w:line="360" w:lineRule="auto"/>
        <w:rPr>
          <w:rFonts w:cs="宋体"/>
          <w:sz w:val="21"/>
          <w:szCs w:val="21"/>
          <w:shd w:val="clear" w:color="auto" w:fill="FFFFFF"/>
        </w:rPr>
      </w:pPr>
      <w:r>
        <w:rPr>
          <w:rFonts w:hint="eastAsia" w:cs="宋体"/>
          <w:sz w:val="21"/>
          <w:szCs w:val="21"/>
          <w:shd w:val="clear" w:color="auto" w:fill="FFFFFF"/>
        </w:rPr>
        <w:t>已经注册成功的供应商无需重复注册。</w:t>
      </w:r>
    </w:p>
    <w:p>
      <w:pPr>
        <w:pStyle w:val="72"/>
        <w:shd w:val="clear" w:color="auto" w:fill="FFFFFF"/>
        <w:spacing w:beforeAutospacing="0" w:afterAutospacing="0" w:line="360" w:lineRule="auto"/>
        <w:ind w:firstLine="417" w:firstLineChars="198"/>
        <w:rPr>
          <w:rFonts w:cs="宋体"/>
          <w:sz w:val="21"/>
          <w:szCs w:val="21"/>
          <w:shd w:val="clear" w:color="auto" w:fill="FFFFFF"/>
        </w:rPr>
      </w:pPr>
      <w:r>
        <w:rPr>
          <w:rFonts w:hint="eastAsia" w:cs="宋体"/>
          <w:b/>
          <w:bCs/>
          <w:sz w:val="21"/>
          <w:szCs w:val="21"/>
          <w:shd w:val="clear" w:color="auto" w:fill="FFFFFF"/>
        </w:rPr>
        <w:t>4、获取采购文件时间：</w:t>
      </w:r>
      <w:r>
        <w:rPr>
          <w:rFonts w:hint="eastAsia" w:cs="宋体"/>
          <w:sz w:val="21"/>
          <w:szCs w:val="21"/>
          <w:shd w:val="clear" w:color="auto" w:fill="FFFFFF"/>
        </w:rPr>
        <w:t>公告发布之日至投标截止时间（北京时间，法定节假日除外）。</w:t>
      </w:r>
    </w:p>
    <w:p>
      <w:pPr>
        <w:pStyle w:val="72"/>
        <w:shd w:val="clear" w:color="auto" w:fill="FFFFFF"/>
        <w:spacing w:beforeAutospacing="0" w:afterAutospacing="0" w:line="360" w:lineRule="auto"/>
        <w:ind w:firstLine="417" w:firstLineChars="198"/>
        <w:rPr>
          <w:rFonts w:cs="宋体"/>
          <w:b/>
          <w:bCs/>
          <w:kern w:val="2"/>
          <w:sz w:val="21"/>
          <w:szCs w:val="21"/>
        </w:rPr>
      </w:pPr>
      <w:r>
        <w:rPr>
          <w:rFonts w:hint="eastAsia" w:cs="宋体"/>
          <w:b/>
          <w:bCs/>
          <w:kern w:val="2"/>
          <w:sz w:val="21"/>
          <w:szCs w:val="21"/>
        </w:rPr>
        <w:t>八、投标文件的制作及递交;</w:t>
      </w:r>
    </w:p>
    <w:p>
      <w:pPr>
        <w:pStyle w:val="72"/>
        <w:shd w:val="clear" w:color="auto" w:fill="FFFFFF"/>
        <w:spacing w:beforeAutospacing="0" w:afterAutospacing="0" w:line="360" w:lineRule="auto"/>
        <w:ind w:firstLine="420" w:firstLineChars="200"/>
        <w:rPr>
          <w:rFonts w:cs="宋体"/>
          <w:sz w:val="21"/>
          <w:szCs w:val="21"/>
          <w:shd w:val="clear" w:color="auto" w:fill="FFFFFF"/>
        </w:rPr>
      </w:pPr>
      <w:r>
        <w:rPr>
          <w:rFonts w:hint="eastAsia" w:cs="宋体"/>
          <w:sz w:val="21"/>
          <w:szCs w:val="21"/>
          <w:shd w:val="clear" w:color="auto" w:fill="FFFFFF"/>
        </w:rPr>
        <w:t>1、供应商须</w:t>
      </w:r>
      <w:r>
        <w:rPr>
          <w:rFonts w:hint="eastAsia" w:cs="宋体"/>
          <w:b/>
          <w:bCs/>
          <w:sz w:val="21"/>
          <w:szCs w:val="21"/>
          <w:shd w:val="clear" w:color="auto" w:fill="FFFFFF"/>
        </w:rPr>
        <w:t>在线获取CA数字证书</w:t>
      </w:r>
      <w:r>
        <w:rPr>
          <w:rFonts w:hint="eastAsia" w:cs="宋体"/>
          <w:sz w:val="21"/>
          <w:szCs w:val="21"/>
          <w:shd w:val="clear" w:color="auto" w:fill="FFFFFF"/>
        </w:rPr>
        <w:t>（完成CA数字证书办理预计一周左右，建议各投标人自行把握时间）</w:t>
      </w:r>
      <w:r>
        <w:rPr>
          <w:rFonts w:hint="eastAsia" w:cs="宋体"/>
          <w:b/>
          <w:bCs/>
          <w:sz w:val="21"/>
          <w:szCs w:val="21"/>
          <w:shd w:val="clear" w:color="auto" w:fill="FFFFFF"/>
        </w:rPr>
        <w:t>，</w:t>
      </w:r>
      <w:r>
        <w:rPr>
          <w:rFonts w:hint="eastAsia" w:cs="宋体"/>
          <w:sz w:val="21"/>
          <w:szCs w:val="21"/>
          <w:shd w:val="clear" w:color="auto" w:fill="FFFFFF"/>
        </w:rPr>
        <w:t>并登陆“浙江省政府采购网”（</w:t>
      </w:r>
      <w:r>
        <w:fldChar w:fldCharType="begin"/>
      </w:r>
      <w:r>
        <w:instrText xml:space="preserve"> HYPERLINK "http://www.zjzfcg.gov.cn" </w:instrText>
      </w:r>
      <w:r>
        <w:fldChar w:fldCharType="separate"/>
      </w:r>
      <w:r>
        <w:rPr>
          <w:rFonts w:hint="eastAsia" w:cs="宋体"/>
          <w:sz w:val="21"/>
          <w:szCs w:val="21"/>
          <w:shd w:val="clear" w:color="auto" w:fill="FFFFFF"/>
        </w:rPr>
        <w:t>www.zjzfcg.gov.cn</w:t>
      </w:r>
      <w:r>
        <w:rPr>
          <w:rFonts w:hint="eastAsia" w:cs="宋体"/>
          <w:sz w:val="21"/>
          <w:szCs w:val="21"/>
          <w:shd w:val="clear" w:color="auto" w:fill="FFFFFF"/>
        </w:rPr>
        <w:fldChar w:fldCharType="end"/>
      </w:r>
      <w:r>
        <w:rPr>
          <w:rFonts w:hint="eastAsia" w:cs="宋体"/>
          <w:sz w:val="21"/>
          <w:szCs w:val="21"/>
          <w:shd w:val="clear" w:color="auto" w:fill="FFFFFF"/>
        </w:rPr>
        <w:t xml:space="preserve"> ），进入“下载专区”下载“电子交易客户端”，制作投标文件。</w:t>
      </w:r>
    </w:p>
    <w:p>
      <w:pPr>
        <w:pStyle w:val="72"/>
        <w:spacing w:beforeAutospacing="0" w:afterAutospacing="0" w:line="360" w:lineRule="auto"/>
        <w:ind w:firstLine="420" w:firstLineChars="200"/>
        <w:jc w:val="both"/>
        <w:rPr>
          <w:rFonts w:cs="宋体"/>
          <w:sz w:val="21"/>
          <w:szCs w:val="21"/>
          <w:shd w:val="clear" w:color="auto" w:fill="FFFFFF"/>
        </w:rPr>
      </w:pPr>
      <w:r>
        <w:rPr>
          <w:rFonts w:hint="eastAsia" w:cs="宋体"/>
          <w:sz w:val="21"/>
          <w:szCs w:val="21"/>
          <w:shd w:val="clear" w:color="auto" w:fill="FFFFFF"/>
        </w:rPr>
        <w:t>2、投标人将加密的电子版投标文件于投标截止时间前上传到政采云系统中。</w:t>
      </w:r>
    </w:p>
    <w:p>
      <w:pPr>
        <w:pStyle w:val="72"/>
        <w:shd w:val="clear" w:color="auto" w:fill="FFFFFF"/>
        <w:spacing w:beforeAutospacing="0" w:afterAutospacing="0" w:line="360" w:lineRule="auto"/>
        <w:ind w:left="420" w:leftChars="200"/>
        <w:rPr>
          <w:rFonts w:cs="宋体"/>
          <w:sz w:val="21"/>
          <w:szCs w:val="21"/>
          <w:u w:val="single"/>
          <w:shd w:val="clear" w:color="auto" w:fill="FFFFFF"/>
        </w:rPr>
      </w:pPr>
      <w:r>
        <w:rPr>
          <w:rFonts w:hint="eastAsia" w:cs="宋体"/>
          <w:sz w:val="21"/>
          <w:szCs w:val="21"/>
          <w:shd w:val="clear" w:color="auto" w:fill="FFFFFF"/>
        </w:rPr>
        <w:t>3、具体的投标文件加密上传等操作详见政采云平台操作指南。</w:t>
      </w:r>
      <w:r>
        <w:fldChar w:fldCharType="begin"/>
      </w:r>
      <w:r>
        <w:instrText xml:space="preserve"> HYPERLINK "https://edu.zcygov.cn/luban/e-biding?utm=a0004.2ef5001f.0001.0109.da8b35e0da8611e98d8937b7ef8a3544" </w:instrText>
      </w:r>
      <w:r>
        <w:fldChar w:fldCharType="separate"/>
      </w:r>
      <w:r>
        <w:rPr>
          <w:rFonts w:hint="eastAsia" w:cs="宋体"/>
          <w:sz w:val="21"/>
          <w:szCs w:val="21"/>
          <w:u w:val="single"/>
          <w:shd w:val="clear" w:color="auto" w:fill="FFFFFF"/>
        </w:rPr>
        <w:t>https://edu.zcygov.cn/luban/e-biding?utm=a0004.2ef5001f.0001.0109.da8b35e0da8611e98d8937b7ef8a3544</w:t>
      </w:r>
      <w:r>
        <w:rPr>
          <w:rFonts w:hint="eastAsia" w:cs="宋体"/>
          <w:sz w:val="21"/>
          <w:szCs w:val="21"/>
          <w:u w:val="single"/>
          <w:shd w:val="clear" w:color="auto" w:fill="FFFFFF"/>
        </w:rPr>
        <w:fldChar w:fldCharType="end"/>
      </w:r>
    </w:p>
    <w:p>
      <w:pPr>
        <w:pStyle w:val="72"/>
        <w:spacing w:beforeAutospacing="0" w:afterAutospacing="0" w:line="360" w:lineRule="auto"/>
        <w:jc w:val="both"/>
        <w:rPr>
          <w:rStyle w:val="39"/>
          <w:b w:val="0"/>
          <w:bCs w:val="0"/>
          <w:sz w:val="21"/>
          <w:szCs w:val="21"/>
        </w:rPr>
      </w:pPr>
      <w:r>
        <w:rPr>
          <w:rStyle w:val="39"/>
          <w:rFonts w:hint="eastAsia"/>
          <w:sz w:val="21"/>
          <w:szCs w:val="21"/>
        </w:rPr>
        <w:t>九、投标保证金：无。</w:t>
      </w:r>
    </w:p>
    <w:p>
      <w:pPr>
        <w:pStyle w:val="72"/>
        <w:spacing w:beforeAutospacing="0" w:afterAutospacing="0" w:line="360" w:lineRule="auto"/>
        <w:jc w:val="both"/>
        <w:rPr>
          <w:rStyle w:val="39"/>
          <w:sz w:val="21"/>
          <w:szCs w:val="21"/>
        </w:rPr>
      </w:pPr>
      <w:r>
        <w:rPr>
          <w:rStyle w:val="39"/>
          <w:rFonts w:hint="eastAsia"/>
          <w:sz w:val="21"/>
          <w:szCs w:val="21"/>
        </w:rPr>
        <w:t>十、</w:t>
      </w:r>
      <w:r>
        <w:rPr>
          <w:rStyle w:val="39"/>
          <w:sz w:val="21"/>
          <w:szCs w:val="21"/>
        </w:rPr>
        <w:t>投标截止时间</w:t>
      </w:r>
      <w:r>
        <w:rPr>
          <w:rStyle w:val="39"/>
          <w:rFonts w:hint="eastAsia"/>
          <w:sz w:val="21"/>
          <w:szCs w:val="21"/>
        </w:rPr>
        <w:t>和地址</w:t>
      </w:r>
      <w:r>
        <w:rPr>
          <w:rStyle w:val="39"/>
          <w:sz w:val="21"/>
          <w:szCs w:val="21"/>
        </w:rPr>
        <w:t>：</w:t>
      </w:r>
    </w:p>
    <w:p>
      <w:pPr>
        <w:spacing w:line="360" w:lineRule="auto"/>
        <w:rPr>
          <w:rFonts w:ascii="宋体" w:hAnsi="宋体"/>
          <w:szCs w:val="21"/>
        </w:rPr>
      </w:pPr>
      <w:r>
        <w:rPr>
          <w:rFonts w:hint="eastAsia" w:ascii="宋体" w:hAnsi="宋体"/>
          <w:szCs w:val="21"/>
        </w:rPr>
        <w:t xml:space="preserve">     1、本项目实行电子投标。</w:t>
      </w:r>
    </w:p>
    <w:p>
      <w:pPr>
        <w:spacing w:line="360" w:lineRule="auto"/>
        <w:rPr>
          <w:rFonts w:ascii="宋体" w:hAnsi="宋体"/>
          <w:szCs w:val="21"/>
        </w:rPr>
      </w:pPr>
      <w:r>
        <w:rPr>
          <w:rFonts w:hint="eastAsia" w:ascii="宋体" w:hAnsi="宋体"/>
          <w:szCs w:val="21"/>
        </w:rPr>
        <w:t xml:space="preserve">     投标人应准备电子投标文件、以介质存储的数据电文形式的备份投标文件、纸质备份投标文件三类：</w:t>
      </w:r>
    </w:p>
    <w:p>
      <w:pPr>
        <w:spacing w:line="360" w:lineRule="auto"/>
        <w:rPr>
          <w:rFonts w:ascii="宋体" w:hAnsi="宋体"/>
          <w:szCs w:val="21"/>
        </w:rPr>
      </w:pPr>
      <w:r>
        <w:rPr>
          <w:rFonts w:hint="eastAsia" w:ascii="宋体" w:hAnsi="宋体"/>
          <w:szCs w:val="21"/>
        </w:rPr>
        <w:t xml:space="preserve">    （1）电子投标文件，按政采云平台项目采购-电子交易操作指南及本招标文件要求递交。</w:t>
      </w:r>
      <w:r>
        <w:rPr>
          <w:rFonts w:hint="eastAsia" w:ascii="宋体" w:hAnsi="宋体" w:cs="宋体"/>
          <w:szCs w:val="21"/>
          <w:shd w:val="clear" w:color="auto" w:fill="FFFFFF"/>
        </w:rPr>
        <w:t>投标人应于2021年月日14：15（北京时间）前将加密的电子版投标文件上传到政采云系统中（不准时上传视为无效标）。</w:t>
      </w:r>
      <w:r>
        <w:rPr>
          <w:rFonts w:hint="eastAsia" w:ascii="宋体" w:hAnsi="宋体" w:cs="宋体"/>
          <w:b/>
          <w:szCs w:val="21"/>
          <w:shd w:val="clear" w:color="auto" w:fill="FFFFFF"/>
        </w:rPr>
        <w:t>CA数字证书随身携带或准时解码。</w:t>
      </w:r>
    </w:p>
    <w:p>
      <w:pPr>
        <w:spacing w:line="360" w:lineRule="auto"/>
        <w:rPr>
          <w:rFonts w:ascii="宋体" w:hAnsi="宋体"/>
          <w:szCs w:val="21"/>
        </w:rPr>
      </w:pPr>
      <w:r>
        <w:rPr>
          <w:rFonts w:hint="eastAsia" w:ascii="宋体" w:hAnsi="宋体"/>
          <w:szCs w:val="21"/>
        </w:rPr>
        <w:t xml:space="preserve">    （2）以介质存储的数据电文形式的备份投标文件，按政采云平台项目采购-电子交易操作指南中上传的电子投标文件格式，以U盘形式存储提供。数量为1份。</w:t>
      </w:r>
    </w:p>
    <w:p>
      <w:pPr>
        <w:spacing w:line="360" w:lineRule="auto"/>
        <w:ind w:firstLine="420"/>
        <w:rPr>
          <w:rFonts w:ascii="宋体" w:hAnsi="宋体"/>
          <w:szCs w:val="21"/>
        </w:rPr>
      </w:pPr>
      <w:r>
        <w:rPr>
          <w:rFonts w:hint="eastAsia" w:ascii="宋体" w:hAnsi="宋体"/>
          <w:szCs w:val="21"/>
        </w:rPr>
        <w:t>（3）纸质备份投标文件将以纸质文件的形式递交。数量为：正本、副本各1份。</w:t>
      </w:r>
    </w:p>
    <w:p>
      <w:pPr>
        <w:pStyle w:val="72"/>
        <w:shd w:val="clear" w:color="auto" w:fill="FFFFFF"/>
        <w:spacing w:beforeAutospacing="0" w:afterAutospacing="0" w:line="360" w:lineRule="auto"/>
        <w:ind w:firstLine="516" w:firstLineChars="246"/>
        <w:rPr>
          <w:rFonts w:cs="(使用中文字体)"/>
          <w:sz w:val="21"/>
          <w:szCs w:val="21"/>
        </w:rPr>
      </w:pPr>
      <w:r>
        <w:rPr>
          <w:rFonts w:hint="eastAsia" w:cs="(使用中文字体)"/>
          <w:sz w:val="21"/>
          <w:szCs w:val="21"/>
        </w:rPr>
        <w:t>投标人应于2021年月日11：30（北京时间）前将备份的投标文件寄于采购代理公司，地址：舟山市定海区昌国路232号中楼202  深圳市国信招标有限公司舟山分公司，未按时寄到的自行承担风险。也可开标会现场递交。</w:t>
      </w:r>
    </w:p>
    <w:p>
      <w:pPr>
        <w:pStyle w:val="72"/>
        <w:shd w:val="clear" w:color="auto" w:fill="FFFFFF"/>
        <w:spacing w:beforeAutospacing="0" w:afterAutospacing="0" w:line="360" w:lineRule="auto"/>
        <w:ind w:firstLine="519" w:firstLineChars="246"/>
        <w:rPr>
          <w:rFonts w:cs="(使用中文字体)"/>
          <w:b/>
          <w:sz w:val="21"/>
          <w:szCs w:val="21"/>
        </w:rPr>
      </w:pPr>
      <w:r>
        <w:rPr>
          <w:rFonts w:hint="eastAsia" w:cs="(使用中文字体)"/>
          <w:b/>
          <w:sz w:val="21"/>
          <w:szCs w:val="21"/>
        </w:rPr>
        <w:t>投标人可以不提供备份投标文件，造成项目开评标活动无法进行下去的，投标无效，相关风险由投标人自行承担。</w:t>
      </w:r>
    </w:p>
    <w:p>
      <w:pPr>
        <w:pStyle w:val="72"/>
        <w:shd w:val="clear" w:color="auto" w:fill="FFFFFF"/>
        <w:spacing w:beforeAutospacing="0" w:afterAutospacing="0" w:line="360" w:lineRule="auto"/>
        <w:ind w:firstLine="413" w:firstLineChars="196"/>
        <w:rPr>
          <w:rFonts w:cs="宋体"/>
          <w:bCs/>
          <w:kern w:val="2"/>
          <w:sz w:val="21"/>
          <w:szCs w:val="21"/>
        </w:rPr>
      </w:pPr>
      <w:r>
        <w:rPr>
          <w:rFonts w:hint="eastAsia" w:cs="宋体"/>
          <w:b/>
          <w:bCs/>
          <w:kern w:val="2"/>
          <w:sz w:val="21"/>
          <w:szCs w:val="21"/>
        </w:rPr>
        <w:t>2、开标时间：</w:t>
      </w:r>
      <w:r>
        <w:rPr>
          <w:rFonts w:hint="eastAsia" w:cs="宋体"/>
          <w:bCs/>
          <w:kern w:val="2"/>
          <w:sz w:val="21"/>
          <w:szCs w:val="21"/>
        </w:rPr>
        <w:t>2021年月日下午14:15（北京时间）</w:t>
      </w:r>
    </w:p>
    <w:p>
      <w:pPr>
        <w:pStyle w:val="72"/>
        <w:shd w:val="clear" w:color="auto" w:fill="FFFFFF"/>
        <w:spacing w:beforeAutospacing="0" w:afterAutospacing="0" w:line="360" w:lineRule="auto"/>
        <w:ind w:firstLine="430"/>
        <w:rPr>
          <w:rFonts w:cs="宋体"/>
          <w:bCs/>
          <w:kern w:val="2"/>
          <w:sz w:val="21"/>
          <w:szCs w:val="21"/>
        </w:rPr>
      </w:pPr>
      <w:r>
        <w:rPr>
          <w:rFonts w:hint="eastAsia" w:cs="宋体"/>
          <w:b/>
          <w:bCs/>
          <w:kern w:val="2"/>
          <w:sz w:val="21"/>
          <w:szCs w:val="21"/>
        </w:rPr>
        <w:t>3、开标地点：</w:t>
      </w:r>
      <w:r>
        <w:rPr>
          <w:rFonts w:hint="eastAsia" w:cs="宋体"/>
          <w:bCs/>
          <w:kern w:val="2"/>
          <w:sz w:val="21"/>
          <w:szCs w:val="21"/>
        </w:rPr>
        <w:t>岱山县高亭镇星河路250号3楼（交通大楼裙楼3楼）</w:t>
      </w:r>
    </w:p>
    <w:p>
      <w:pPr>
        <w:pStyle w:val="72"/>
        <w:shd w:val="clear" w:color="auto" w:fill="FFFFFF"/>
        <w:spacing w:beforeAutospacing="0" w:afterAutospacing="0" w:line="360" w:lineRule="auto"/>
        <w:rPr>
          <w:rStyle w:val="39"/>
          <w:b w:val="0"/>
          <w:bCs w:val="0"/>
          <w:sz w:val="21"/>
          <w:szCs w:val="21"/>
        </w:rPr>
      </w:pPr>
      <w:r>
        <w:rPr>
          <w:rStyle w:val="39"/>
          <w:rFonts w:hint="eastAsia"/>
          <w:sz w:val="21"/>
          <w:szCs w:val="21"/>
        </w:rPr>
        <w:t>十一</w:t>
      </w:r>
      <w:r>
        <w:rPr>
          <w:rStyle w:val="39"/>
          <w:sz w:val="21"/>
          <w:szCs w:val="21"/>
        </w:rPr>
        <w:t>．其他事项：</w:t>
      </w:r>
    </w:p>
    <w:p>
      <w:pPr>
        <w:spacing w:line="360" w:lineRule="auto"/>
        <w:ind w:firstLine="420" w:firstLineChars="200"/>
      </w:pPr>
      <w:r>
        <w:rPr>
          <w:rFonts w:ascii="宋体" w:hAnsi="宋体" w:cs="宋体"/>
          <w:szCs w:val="21"/>
        </w:rPr>
        <w:t>1</w:t>
      </w:r>
      <w:r>
        <w:rPr>
          <w:rFonts w:hint="eastAsia" w:ascii="宋体" w:hAnsi="宋体" w:cs="宋体"/>
          <w:szCs w:val="21"/>
        </w:rPr>
        <w:t>、</w:t>
      </w:r>
      <w:r>
        <w:t> 本项目公告期限为5个工作日，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20" w:firstLineChars="200"/>
        <w:rPr>
          <w:rFonts w:ascii="宋体" w:hAnsi="宋体" w:cs="宋体"/>
          <w:szCs w:val="21"/>
        </w:rPr>
      </w:pPr>
      <w:r>
        <w:rPr>
          <w:rFonts w:hint="eastAsia" w:ascii="宋体" w:hAnsi="宋体" w:cs="宋体"/>
          <w:szCs w:val="21"/>
        </w:rPr>
        <w:t>2、投标人应在合同签订前成为浙江政府采购网正式注册供应商。</w:t>
      </w:r>
    </w:p>
    <w:p>
      <w:pPr>
        <w:pStyle w:val="72"/>
        <w:spacing w:beforeAutospacing="0" w:afterAutospacing="0" w:line="360" w:lineRule="auto"/>
        <w:jc w:val="both"/>
        <w:rPr>
          <w:rStyle w:val="39"/>
          <w:b w:val="0"/>
          <w:bCs w:val="0"/>
          <w:sz w:val="21"/>
          <w:szCs w:val="21"/>
        </w:rPr>
      </w:pPr>
      <w:r>
        <w:rPr>
          <w:rStyle w:val="39"/>
          <w:sz w:val="21"/>
          <w:szCs w:val="21"/>
        </w:rPr>
        <w:t>十</w:t>
      </w:r>
      <w:r>
        <w:rPr>
          <w:rStyle w:val="39"/>
          <w:rFonts w:hint="eastAsia"/>
          <w:sz w:val="21"/>
          <w:szCs w:val="21"/>
        </w:rPr>
        <w:t>二</w:t>
      </w:r>
      <w:r>
        <w:rPr>
          <w:rStyle w:val="39"/>
          <w:sz w:val="21"/>
          <w:szCs w:val="21"/>
        </w:rPr>
        <w:t>．联系方式：</w:t>
      </w:r>
    </w:p>
    <w:p>
      <w:pPr>
        <w:pStyle w:val="31"/>
        <w:spacing w:before="0" w:beforeAutospacing="0" w:after="0" w:afterAutospacing="0" w:line="360" w:lineRule="auto"/>
        <w:ind w:firstLine="420"/>
        <w:jc w:val="both"/>
        <w:rPr>
          <w:rFonts w:ascii="宋体" w:hAnsi="宋体"/>
          <w:sz w:val="21"/>
          <w:szCs w:val="21"/>
          <w:shd w:val="clear" w:color="auto" w:fill="FFFFFF"/>
        </w:rPr>
      </w:pPr>
      <w:r>
        <w:rPr>
          <w:rFonts w:ascii="宋体" w:hAnsi="宋体"/>
          <w:sz w:val="21"/>
          <w:szCs w:val="21"/>
          <w:shd w:val="clear" w:color="auto" w:fill="FFFFFF"/>
        </w:rPr>
        <w:t>1、采购代理机构名称：</w:t>
      </w:r>
      <w:r>
        <w:rPr>
          <w:rFonts w:hint="eastAsia" w:ascii="宋体" w:hAnsi="宋体"/>
          <w:sz w:val="21"/>
          <w:szCs w:val="21"/>
          <w:shd w:val="clear" w:color="auto" w:fill="FFFFFF"/>
        </w:rPr>
        <w:t>深圳市国信招标有限公司舟山分公司</w:t>
      </w:r>
    </w:p>
    <w:p>
      <w:pPr>
        <w:pStyle w:val="31"/>
        <w:spacing w:before="0" w:beforeAutospacing="0" w:after="0" w:afterAutospacing="0" w:line="360" w:lineRule="auto"/>
        <w:ind w:firstLine="420"/>
        <w:jc w:val="both"/>
        <w:rPr>
          <w:rFonts w:ascii="宋体" w:hAnsi="宋体"/>
          <w:sz w:val="21"/>
          <w:szCs w:val="21"/>
          <w:shd w:val="clear" w:color="auto" w:fill="FFFFFF"/>
        </w:rPr>
      </w:pPr>
      <w:r>
        <w:rPr>
          <w:rFonts w:ascii="宋体" w:hAnsi="宋体"/>
          <w:sz w:val="21"/>
          <w:szCs w:val="21"/>
          <w:shd w:val="clear" w:color="auto" w:fill="FFFFFF"/>
        </w:rPr>
        <w:t>联系人：</w:t>
      </w:r>
      <w:r>
        <w:rPr>
          <w:rFonts w:hint="eastAsia" w:ascii="宋体" w:hAnsi="宋体"/>
          <w:sz w:val="21"/>
          <w:szCs w:val="21"/>
          <w:shd w:val="clear" w:color="auto" w:fill="FFFFFF"/>
        </w:rPr>
        <w:t>朱女士、任女士</w:t>
      </w:r>
    </w:p>
    <w:p>
      <w:pPr>
        <w:pStyle w:val="31"/>
        <w:spacing w:before="0" w:beforeAutospacing="0" w:after="0" w:afterAutospacing="0" w:line="360" w:lineRule="auto"/>
        <w:ind w:firstLine="420"/>
        <w:jc w:val="both"/>
        <w:rPr>
          <w:rFonts w:ascii="宋体" w:hAnsi="宋体"/>
          <w:sz w:val="21"/>
          <w:szCs w:val="21"/>
          <w:shd w:val="clear" w:color="auto" w:fill="FFFFFF"/>
        </w:rPr>
      </w:pPr>
      <w:r>
        <w:rPr>
          <w:rFonts w:ascii="宋体" w:hAnsi="宋体"/>
          <w:sz w:val="21"/>
          <w:szCs w:val="21"/>
          <w:shd w:val="clear" w:color="auto" w:fill="FFFFFF"/>
        </w:rPr>
        <w:t>联系电话</w:t>
      </w:r>
      <w:r>
        <w:rPr>
          <w:rFonts w:hint="eastAsia" w:ascii="宋体" w:hAnsi="宋体"/>
          <w:sz w:val="21"/>
          <w:szCs w:val="21"/>
          <w:shd w:val="clear" w:color="auto" w:fill="FFFFFF"/>
        </w:rPr>
        <w:t>：0580-2054476，13857236444，13567673203</w:t>
      </w:r>
    </w:p>
    <w:p>
      <w:pPr>
        <w:pStyle w:val="31"/>
        <w:spacing w:before="0" w:beforeAutospacing="0" w:after="0" w:afterAutospacing="0" w:line="360" w:lineRule="auto"/>
        <w:ind w:firstLine="420"/>
        <w:jc w:val="both"/>
        <w:rPr>
          <w:rFonts w:ascii="宋体" w:hAnsi="宋体"/>
          <w:sz w:val="21"/>
          <w:szCs w:val="21"/>
          <w:shd w:val="clear" w:color="auto" w:fill="FFFFFF"/>
        </w:rPr>
      </w:pPr>
      <w:r>
        <w:rPr>
          <w:rFonts w:hint="eastAsia" w:ascii="宋体" w:hAnsi="宋体"/>
          <w:sz w:val="21"/>
          <w:szCs w:val="21"/>
          <w:shd w:val="clear" w:color="auto" w:fill="FFFFFF"/>
        </w:rPr>
        <w:t>质疑答复联系人：王女士</w:t>
      </w:r>
    </w:p>
    <w:p>
      <w:pPr>
        <w:pStyle w:val="31"/>
        <w:spacing w:before="0" w:beforeAutospacing="0" w:after="0" w:afterAutospacing="0" w:line="360" w:lineRule="auto"/>
        <w:ind w:firstLine="420"/>
        <w:jc w:val="both"/>
        <w:rPr>
          <w:rFonts w:ascii="宋体" w:hAnsi="宋体"/>
          <w:sz w:val="21"/>
          <w:szCs w:val="21"/>
          <w:shd w:val="clear" w:color="auto" w:fill="FFFFFF"/>
        </w:rPr>
      </w:pPr>
      <w:r>
        <w:rPr>
          <w:rFonts w:hint="eastAsia" w:ascii="宋体" w:hAnsi="宋体"/>
          <w:sz w:val="21"/>
          <w:szCs w:val="21"/>
          <w:shd w:val="clear" w:color="auto" w:fill="FFFFFF"/>
        </w:rPr>
        <w:t>联系电话：0580-2054476，13587045176</w:t>
      </w:r>
    </w:p>
    <w:p>
      <w:pPr>
        <w:pStyle w:val="31"/>
        <w:spacing w:before="0" w:beforeAutospacing="0" w:after="0" w:afterAutospacing="0" w:line="360" w:lineRule="auto"/>
        <w:ind w:firstLine="420"/>
        <w:jc w:val="both"/>
        <w:rPr>
          <w:rFonts w:ascii="宋体" w:hAnsi="宋体"/>
          <w:sz w:val="21"/>
          <w:szCs w:val="21"/>
          <w:shd w:val="clear" w:color="auto" w:fill="FFFFFF"/>
        </w:rPr>
      </w:pPr>
      <w:r>
        <w:rPr>
          <w:rFonts w:hint="eastAsia" w:ascii="宋体" w:hAnsi="宋体"/>
          <w:sz w:val="21"/>
          <w:szCs w:val="21"/>
          <w:shd w:val="clear" w:color="auto" w:fill="FFFFFF"/>
        </w:rPr>
        <w:t>传真</w:t>
      </w:r>
      <w:r>
        <w:rPr>
          <w:rFonts w:ascii="宋体" w:hAnsi="宋体"/>
          <w:sz w:val="21"/>
          <w:szCs w:val="21"/>
          <w:shd w:val="clear" w:color="auto" w:fill="FFFFFF"/>
        </w:rPr>
        <w:t>：</w:t>
      </w:r>
      <w:r>
        <w:rPr>
          <w:rFonts w:hint="eastAsia" w:ascii="宋体" w:hAnsi="宋体"/>
          <w:sz w:val="21"/>
          <w:szCs w:val="21"/>
          <w:shd w:val="clear" w:color="auto" w:fill="FFFFFF"/>
        </w:rPr>
        <w:t xml:space="preserve"> 0580-2054476</w:t>
      </w:r>
    </w:p>
    <w:p>
      <w:pPr>
        <w:pStyle w:val="31"/>
        <w:spacing w:before="0" w:beforeAutospacing="0" w:after="0" w:afterAutospacing="0" w:line="360" w:lineRule="auto"/>
        <w:ind w:firstLine="420"/>
        <w:jc w:val="both"/>
        <w:rPr>
          <w:rFonts w:ascii="宋体" w:hAnsi="宋体"/>
          <w:sz w:val="21"/>
          <w:szCs w:val="21"/>
          <w:shd w:val="clear" w:color="auto" w:fill="FFFFFF"/>
        </w:rPr>
      </w:pPr>
      <w:r>
        <w:rPr>
          <w:rFonts w:ascii="宋体" w:hAnsi="宋体"/>
          <w:sz w:val="21"/>
          <w:szCs w:val="21"/>
          <w:shd w:val="clear" w:color="auto" w:fill="FFFFFF"/>
        </w:rPr>
        <w:t>地点：舟山市定海区</w:t>
      </w:r>
      <w:r>
        <w:rPr>
          <w:rFonts w:hint="eastAsia" w:ascii="宋体" w:hAnsi="宋体"/>
          <w:sz w:val="21"/>
          <w:szCs w:val="21"/>
          <w:shd w:val="clear" w:color="auto" w:fill="FFFFFF"/>
        </w:rPr>
        <w:t>昌国路232号中楼202</w:t>
      </w:r>
    </w:p>
    <w:p>
      <w:pPr>
        <w:spacing w:line="360" w:lineRule="auto"/>
        <w:ind w:firstLine="472" w:firstLineChars="225"/>
        <w:rPr>
          <w:rFonts w:ascii="宋体" w:hAnsi="宋体"/>
          <w:szCs w:val="21"/>
        </w:rPr>
      </w:pPr>
      <w:r>
        <w:rPr>
          <w:rFonts w:ascii="宋体" w:hAnsi="宋体"/>
          <w:szCs w:val="21"/>
          <w:shd w:val="clear" w:color="auto" w:fill="FFFFFF"/>
        </w:rPr>
        <w:t>2、</w:t>
      </w:r>
      <w:r>
        <w:rPr>
          <w:rFonts w:hint="eastAsia" w:ascii="宋体" w:hAnsi="宋体"/>
          <w:szCs w:val="21"/>
          <w:shd w:val="clear" w:color="auto" w:fill="FFFFFF"/>
        </w:rPr>
        <w:t>采购人：</w:t>
      </w:r>
      <w:r>
        <w:rPr>
          <w:rFonts w:hint="eastAsia" w:ascii="宋体" w:hAnsi="宋体"/>
          <w:szCs w:val="21"/>
        </w:rPr>
        <w:t>浙江省岱山县第一人民医院</w:t>
      </w:r>
    </w:p>
    <w:p>
      <w:pPr>
        <w:spacing w:line="360" w:lineRule="auto"/>
        <w:ind w:firstLine="472" w:firstLineChars="225"/>
        <w:rPr>
          <w:rFonts w:ascii="宋体" w:hAnsi="宋体" w:cs="(使用中文字体)"/>
          <w:kern w:val="0"/>
          <w:szCs w:val="21"/>
          <w:shd w:val="clear" w:color="auto" w:fill="FFFFFF"/>
        </w:rPr>
      </w:pPr>
      <w:r>
        <w:rPr>
          <w:rFonts w:hint="eastAsia" w:ascii="宋体" w:hAnsi="宋体" w:cs="(使用中文字体)"/>
          <w:kern w:val="0"/>
          <w:szCs w:val="21"/>
          <w:shd w:val="clear" w:color="auto" w:fill="FFFFFF"/>
        </w:rPr>
        <w:t>联系人：</w:t>
      </w:r>
      <w:r>
        <w:rPr>
          <w:rFonts w:hint="eastAsia" w:ascii="宋体" w:hAnsi="宋体" w:cs="(使用中文字体)"/>
          <w:kern w:val="0"/>
          <w:szCs w:val="21"/>
          <w:shd w:val="clear" w:color="auto" w:fill="FFFFFF"/>
          <w:lang w:val="en-US" w:eastAsia="zh-CN"/>
        </w:rPr>
        <w:t>高先生</w:t>
      </w:r>
      <w:r>
        <w:rPr>
          <w:rFonts w:hint="eastAsia" w:ascii="宋体" w:hAnsi="宋体" w:cs="(使用中文字体)"/>
          <w:kern w:val="0"/>
          <w:szCs w:val="21"/>
          <w:shd w:val="clear" w:color="auto" w:fill="FFFFFF"/>
        </w:rPr>
        <w:t xml:space="preserve"> </w:t>
      </w:r>
    </w:p>
    <w:p>
      <w:pPr>
        <w:spacing w:line="360" w:lineRule="auto"/>
        <w:ind w:firstLine="472" w:firstLineChars="225"/>
        <w:rPr>
          <w:rFonts w:ascii="宋体" w:hAnsi="宋体" w:cs="(使用中文字体)"/>
          <w:kern w:val="0"/>
          <w:szCs w:val="21"/>
          <w:shd w:val="clear" w:color="auto" w:fill="FFFFFF"/>
        </w:rPr>
      </w:pPr>
      <w:r>
        <w:rPr>
          <w:rFonts w:hint="eastAsia" w:ascii="宋体" w:hAnsi="宋体" w:cs="(使用中文字体)"/>
          <w:kern w:val="0"/>
          <w:szCs w:val="21"/>
          <w:shd w:val="clear" w:color="auto" w:fill="FFFFFF"/>
        </w:rPr>
        <w:t>联系电话：</w:t>
      </w:r>
      <w:r>
        <w:rPr>
          <w:rFonts w:hint="eastAsia" w:ascii="宋体" w:hAnsi="宋体" w:cs="(使用中文字体)"/>
          <w:kern w:val="0"/>
          <w:szCs w:val="21"/>
          <w:shd w:val="clear" w:color="auto" w:fill="FFFFFF"/>
          <w:lang w:val="en-US" w:eastAsia="zh-CN"/>
        </w:rPr>
        <w:t>0580-7337659</w:t>
      </w:r>
      <w:r>
        <w:rPr>
          <w:rFonts w:hint="eastAsia" w:ascii="宋体" w:hAnsi="宋体" w:cs="(使用中文字体)"/>
          <w:kern w:val="0"/>
          <w:szCs w:val="21"/>
          <w:shd w:val="clear" w:color="auto" w:fill="FFFFFF"/>
        </w:rPr>
        <w:t xml:space="preserve"> </w:t>
      </w:r>
      <w:bookmarkStart w:id="2" w:name="_GoBack"/>
      <w:bookmarkEnd w:id="2"/>
    </w:p>
    <w:p>
      <w:pPr>
        <w:spacing w:line="360" w:lineRule="auto"/>
        <w:ind w:firstLine="472" w:firstLineChars="225"/>
        <w:rPr>
          <w:rFonts w:hint="eastAsia" w:ascii="宋体" w:hAnsi="宋体" w:eastAsia="宋体" w:cs="(使用中文字体)"/>
          <w:kern w:val="0"/>
          <w:szCs w:val="21"/>
          <w:shd w:val="clear" w:color="auto" w:fill="FFFFFF"/>
          <w:lang w:val="en-US" w:eastAsia="zh-CN"/>
        </w:rPr>
      </w:pPr>
      <w:r>
        <w:rPr>
          <w:rFonts w:hint="eastAsia" w:ascii="宋体" w:hAnsi="宋体" w:cs="(使用中文字体)"/>
          <w:kern w:val="0"/>
          <w:szCs w:val="21"/>
          <w:shd w:val="clear" w:color="auto" w:fill="FFFFFF"/>
        </w:rPr>
        <w:t>质疑答复联系人：</w:t>
      </w:r>
      <w:r>
        <w:rPr>
          <w:rFonts w:hint="eastAsia" w:ascii="宋体" w:hAnsi="宋体" w:cs="(使用中文字体)"/>
          <w:kern w:val="0"/>
          <w:szCs w:val="21"/>
          <w:shd w:val="clear" w:color="auto" w:fill="FFFFFF"/>
          <w:lang w:val="en-US" w:eastAsia="zh-CN"/>
        </w:rPr>
        <w:t>严先生</w:t>
      </w:r>
    </w:p>
    <w:p>
      <w:pPr>
        <w:spacing w:line="360" w:lineRule="auto"/>
        <w:ind w:firstLine="472" w:firstLineChars="225"/>
        <w:rPr>
          <w:rFonts w:hint="default" w:ascii="宋体" w:hAnsi="宋体" w:eastAsia="宋体" w:cs="(使用中文字体)"/>
          <w:kern w:val="0"/>
          <w:szCs w:val="21"/>
          <w:shd w:val="clear" w:color="auto" w:fill="FFFFFF"/>
          <w:lang w:val="en-US" w:eastAsia="zh-CN"/>
        </w:rPr>
      </w:pPr>
      <w:r>
        <w:rPr>
          <w:rFonts w:hint="eastAsia" w:ascii="宋体" w:hAnsi="宋体" w:cs="(使用中文字体)"/>
          <w:kern w:val="0"/>
          <w:szCs w:val="21"/>
          <w:shd w:val="clear" w:color="auto" w:fill="FFFFFF"/>
        </w:rPr>
        <w:t>联系电话：</w:t>
      </w:r>
      <w:r>
        <w:rPr>
          <w:rFonts w:hint="eastAsia" w:ascii="宋体" w:hAnsi="宋体" w:cs="(使用中文字体)"/>
          <w:kern w:val="0"/>
          <w:szCs w:val="21"/>
          <w:shd w:val="clear" w:color="auto" w:fill="FFFFFF"/>
          <w:lang w:val="en-US" w:eastAsia="zh-CN"/>
        </w:rPr>
        <w:t>0580-7339680</w:t>
      </w:r>
    </w:p>
    <w:p>
      <w:pPr>
        <w:spacing w:line="360" w:lineRule="auto"/>
        <w:ind w:firstLine="472" w:firstLineChars="225"/>
        <w:rPr>
          <w:rFonts w:ascii="宋体" w:hAnsi="宋体"/>
          <w:szCs w:val="21"/>
        </w:rPr>
      </w:pPr>
      <w:r>
        <w:rPr>
          <w:rFonts w:hint="eastAsia" w:ascii="宋体" w:hAnsi="宋体"/>
          <w:szCs w:val="21"/>
        </w:rPr>
        <w:t>3、</w:t>
      </w:r>
      <w:r>
        <w:rPr>
          <w:rFonts w:hint="eastAsia" w:ascii="宋体" w:hAnsi="宋体" w:cs="宋体"/>
          <w:szCs w:val="21"/>
          <w:shd w:val="clear" w:color="auto" w:fill="FFFFFF"/>
        </w:rPr>
        <w:t>同级政府采购监督管理部门名称</w:t>
      </w:r>
      <w:r>
        <w:rPr>
          <w:rFonts w:hint="eastAsia" w:ascii="宋体" w:hAnsi="宋体"/>
          <w:szCs w:val="21"/>
        </w:rPr>
        <w:t>：岱山县财政局政府采购管理科</w:t>
      </w:r>
    </w:p>
    <w:p>
      <w:pPr>
        <w:spacing w:line="360" w:lineRule="auto"/>
        <w:ind w:firstLine="472" w:firstLineChars="225"/>
        <w:rPr>
          <w:b/>
          <w:sz w:val="30"/>
        </w:rPr>
      </w:pPr>
      <w:r>
        <w:rPr>
          <w:rFonts w:hint="eastAsia" w:ascii="宋体" w:hAnsi="宋体"/>
          <w:szCs w:val="21"/>
        </w:rPr>
        <w:t>监督投诉电话：</w:t>
      </w:r>
      <w:r>
        <w:rPr>
          <w:rFonts w:ascii="宋体" w:hAnsi="宋体"/>
          <w:szCs w:val="21"/>
        </w:rPr>
        <w:t>0580-4481480</w:t>
      </w:r>
    </w:p>
    <w:p>
      <w:pPr>
        <w:spacing w:line="360" w:lineRule="auto"/>
        <w:ind w:firstLine="678" w:firstLineChars="225"/>
        <w:rPr>
          <w:b/>
          <w:sz w:val="30"/>
        </w:rPr>
      </w:pPr>
    </w:p>
    <w:p>
      <w:pPr>
        <w:snapToGrid w:val="0"/>
        <w:spacing w:line="312" w:lineRule="auto"/>
        <w:jc w:val="center"/>
        <w:rPr>
          <w:b/>
          <w:sz w:val="30"/>
        </w:rPr>
      </w:pPr>
    </w:p>
    <w:p>
      <w:pPr>
        <w:snapToGrid w:val="0"/>
        <w:spacing w:line="312" w:lineRule="auto"/>
        <w:jc w:val="center"/>
        <w:rPr>
          <w:b/>
          <w:sz w:val="30"/>
        </w:rPr>
      </w:pPr>
    </w:p>
    <w:p>
      <w:pPr>
        <w:snapToGrid w:val="0"/>
        <w:spacing w:line="312" w:lineRule="auto"/>
        <w:jc w:val="center"/>
        <w:rPr>
          <w:b/>
          <w:sz w:val="30"/>
        </w:rPr>
      </w:pPr>
    </w:p>
    <w:p>
      <w:pPr>
        <w:snapToGrid w:val="0"/>
        <w:spacing w:line="312" w:lineRule="auto"/>
        <w:jc w:val="center"/>
        <w:rPr>
          <w:b/>
          <w:sz w:val="30"/>
        </w:rPr>
      </w:pPr>
    </w:p>
    <w:p>
      <w:pPr>
        <w:snapToGrid w:val="0"/>
        <w:spacing w:line="312" w:lineRule="auto"/>
        <w:jc w:val="center"/>
        <w:rPr>
          <w:b/>
          <w:sz w:val="30"/>
        </w:rPr>
      </w:pPr>
    </w:p>
    <w:p>
      <w:pPr>
        <w:snapToGrid w:val="0"/>
        <w:spacing w:line="312" w:lineRule="auto"/>
        <w:jc w:val="center"/>
        <w:rPr>
          <w:b/>
          <w:sz w:val="30"/>
        </w:rPr>
      </w:pPr>
    </w:p>
    <w:p>
      <w:pPr>
        <w:snapToGrid w:val="0"/>
        <w:spacing w:line="312" w:lineRule="auto"/>
        <w:jc w:val="center"/>
        <w:rPr>
          <w:b/>
          <w:sz w:val="30"/>
        </w:rPr>
      </w:pPr>
    </w:p>
    <w:p>
      <w:pPr>
        <w:snapToGrid w:val="0"/>
        <w:spacing w:line="312" w:lineRule="auto"/>
        <w:jc w:val="center"/>
        <w:rPr>
          <w:b/>
          <w:sz w:val="30"/>
        </w:rPr>
      </w:pPr>
    </w:p>
    <w:p>
      <w:pPr>
        <w:snapToGrid w:val="0"/>
        <w:spacing w:line="312" w:lineRule="auto"/>
        <w:jc w:val="center"/>
        <w:rPr>
          <w:b/>
          <w:sz w:val="30"/>
        </w:rPr>
      </w:pPr>
    </w:p>
    <w:p>
      <w:pPr>
        <w:snapToGrid w:val="0"/>
        <w:spacing w:line="312" w:lineRule="auto"/>
        <w:jc w:val="center"/>
        <w:rPr>
          <w:b/>
          <w:sz w:val="30"/>
        </w:rPr>
      </w:pPr>
    </w:p>
    <w:p>
      <w:pPr>
        <w:snapToGrid w:val="0"/>
        <w:spacing w:line="312" w:lineRule="auto"/>
        <w:rPr>
          <w:b/>
          <w:sz w:val="30"/>
        </w:rPr>
      </w:pPr>
    </w:p>
    <w:p>
      <w:pPr>
        <w:snapToGrid w:val="0"/>
        <w:spacing w:line="312" w:lineRule="auto"/>
        <w:rPr>
          <w:b/>
          <w:sz w:val="30"/>
        </w:rPr>
      </w:pPr>
    </w:p>
    <w:p>
      <w:pPr>
        <w:pStyle w:val="2"/>
      </w:pPr>
    </w:p>
    <w:p>
      <w:pPr>
        <w:pStyle w:val="3"/>
      </w:pPr>
    </w:p>
    <w:p>
      <w:pPr>
        <w:pStyle w:val="3"/>
      </w:pPr>
    </w:p>
    <w:p>
      <w:pPr>
        <w:pStyle w:val="3"/>
      </w:pPr>
    </w:p>
    <w:p>
      <w:pPr>
        <w:pStyle w:val="3"/>
      </w:pPr>
    </w:p>
    <w:p>
      <w:pPr>
        <w:pStyle w:val="3"/>
      </w:pPr>
    </w:p>
    <w:p>
      <w:pPr>
        <w:pStyle w:val="3"/>
      </w:pPr>
    </w:p>
    <w:p>
      <w:pPr>
        <w:pStyle w:val="3"/>
      </w:pPr>
    </w:p>
    <w:p>
      <w:pPr>
        <w:snapToGrid w:val="0"/>
        <w:spacing w:line="312" w:lineRule="auto"/>
        <w:jc w:val="center"/>
        <w:rPr>
          <w:b/>
          <w:sz w:val="30"/>
        </w:rPr>
      </w:pPr>
    </w:p>
    <w:p>
      <w:pPr>
        <w:snapToGrid w:val="0"/>
        <w:spacing w:line="312" w:lineRule="auto"/>
        <w:jc w:val="center"/>
        <w:rPr>
          <w:rFonts w:ascii="黑体" w:hAnsi="宋体" w:eastAsia="黑体"/>
          <w:sz w:val="30"/>
        </w:rPr>
      </w:pPr>
      <w:r>
        <w:rPr>
          <w:rFonts w:hint="eastAsia"/>
          <w:b/>
          <w:sz w:val="30"/>
        </w:rPr>
        <w:t>第二章  招标需求</w:t>
      </w:r>
    </w:p>
    <w:p>
      <w:pPr>
        <w:spacing w:line="360" w:lineRule="auto"/>
        <w:rPr>
          <w:b/>
        </w:rPr>
      </w:pPr>
    </w:p>
    <w:p>
      <w:pPr>
        <w:spacing w:line="360" w:lineRule="auto"/>
        <w:rPr>
          <w:rFonts w:ascii="宋体" w:hAnsi="宋体" w:cs="宋体"/>
          <w:b/>
          <w:sz w:val="32"/>
          <w:szCs w:val="32"/>
        </w:rPr>
      </w:pPr>
      <w:r>
        <w:rPr>
          <w:rFonts w:hint="eastAsia" w:ascii="宋体" w:hAnsi="宋体" w:cs="宋体"/>
          <w:b/>
          <w:sz w:val="24"/>
          <w:szCs w:val="24"/>
        </w:rPr>
        <w:t>一、项目说明：</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岱山县第一人民医院创建于</w:t>
      </w:r>
      <w:r>
        <w:rPr>
          <w:rFonts w:asciiTheme="minorEastAsia" w:hAnsiTheme="minorEastAsia" w:eastAsiaTheme="minorEastAsia"/>
          <w:szCs w:val="21"/>
        </w:rPr>
        <w:t>1952</w:t>
      </w:r>
      <w:r>
        <w:rPr>
          <w:rFonts w:hint="eastAsia" w:asciiTheme="minorEastAsia" w:hAnsiTheme="minorEastAsia" w:eastAsiaTheme="minorEastAsia"/>
          <w:szCs w:val="21"/>
        </w:rPr>
        <w:t>年，经过</w:t>
      </w:r>
      <w:r>
        <w:rPr>
          <w:rFonts w:asciiTheme="minorEastAsia" w:hAnsiTheme="minorEastAsia" w:eastAsiaTheme="minorEastAsia"/>
          <w:szCs w:val="21"/>
        </w:rPr>
        <w:t>60</w:t>
      </w:r>
      <w:r>
        <w:rPr>
          <w:rFonts w:hint="eastAsia" w:asciiTheme="minorEastAsia" w:hAnsiTheme="minorEastAsia" w:eastAsiaTheme="minorEastAsia"/>
          <w:szCs w:val="21"/>
        </w:rPr>
        <w:t>余年的发展，目前已成为岱山县内最大的综合性公立医院，浙江省二级甲等综合性医院。目前院内拥有比较先进和齐全的医疗设备，东芝</w:t>
      </w:r>
      <w:r>
        <w:rPr>
          <w:rFonts w:asciiTheme="minorEastAsia" w:hAnsiTheme="minorEastAsia" w:eastAsiaTheme="minorEastAsia"/>
          <w:szCs w:val="21"/>
        </w:rPr>
        <w:t>16</w:t>
      </w:r>
      <w:r>
        <w:rPr>
          <w:rFonts w:hint="eastAsia" w:asciiTheme="minorEastAsia" w:hAnsiTheme="minorEastAsia" w:eastAsiaTheme="minorEastAsia"/>
          <w:szCs w:val="21"/>
        </w:rPr>
        <w:t>排螺旋</w:t>
      </w:r>
      <w:r>
        <w:rPr>
          <w:rFonts w:asciiTheme="minorEastAsia" w:hAnsiTheme="minorEastAsia" w:eastAsiaTheme="minorEastAsia"/>
          <w:szCs w:val="21"/>
        </w:rPr>
        <w:t>CT</w:t>
      </w:r>
      <w:r>
        <w:rPr>
          <w:rFonts w:hint="eastAsia" w:asciiTheme="minorEastAsia" w:hAnsiTheme="minorEastAsia" w:eastAsiaTheme="minorEastAsia"/>
          <w:szCs w:val="21"/>
        </w:rPr>
        <w:t>、</w:t>
      </w:r>
      <w:r>
        <w:rPr>
          <w:rFonts w:asciiTheme="minorEastAsia" w:hAnsiTheme="minorEastAsia" w:eastAsiaTheme="minorEastAsia"/>
          <w:szCs w:val="21"/>
        </w:rPr>
        <w:t>DR</w:t>
      </w:r>
      <w:r>
        <w:rPr>
          <w:rFonts w:hint="eastAsia" w:asciiTheme="minorEastAsia" w:hAnsiTheme="minorEastAsia" w:eastAsiaTheme="minorEastAsia"/>
          <w:szCs w:val="21"/>
        </w:rPr>
        <w:t>、进口超声诊断仪、骨科</w:t>
      </w:r>
      <w:r>
        <w:rPr>
          <w:rFonts w:asciiTheme="minorEastAsia" w:hAnsiTheme="minorEastAsia" w:eastAsiaTheme="minorEastAsia"/>
          <w:szCs w:val="21"/>
        </w:rPr>
        <w:t>C</w:t>
      </w:r>
      <w:r>
        <w:rPr>
          <w:rFonts w:hint="eastAsia" w:asciiTheme="minorEastAsia" w:hAnsiTheme="minorEastAsia" w:eastAsiaTheme="minorEastAsia"/>
          <w:szCs w:val="21"/>
        </w:rPr>
        <w:t>臂机、全自动生化分析仪、超声胃镜、</w:t>
      </w:r>
      <w:r>
        <w:rPr>
          <w:rFonts w:asciiTheme="minorEastAsia" w:hAnsiTheme="minorEastAsia" w:eastAsiaTheme="minorEastAsia"/>
          <w:szCs w:val="21"/>
        </w:rPr>
        <w:t>CRRT</w:t>
      </w:r>
      <w:r>
        <w:rPr>
          <w:rFonts w:hint="eastAsia" w:asciiTheme="minorEastAsia" w:hAnsiTheme="minorEastAsia" w:eastAsiaTheme="minorEastAsia"/>
          <w:szCs w:val="21"/>
        </w:rPr>
        <w:t>、超声手术刀、高清腔镜、大型肺功能测试系统、流动医疗体检车等各类医疗设备1300余台。为提高设备维保质量，加快医疗设备故障修复速率、提高医疗设备正常开机率、延长医疗设备使用寿命，并且通过引入医疗设备管理系统提升我院医疗设备管理水平，现通过公开招标确定一家医疗设备整体维保服务机构，为院内出保设备提供医疗设备整体维修保养服务。</w:t>
      </w:r>
    </w:p>
    <w:p>
      <w:pPr>
        <w:pStyle w:val="2"/>
      </w:pPr>
    </w:p>
    <w:p>
      <w:pPr>
        <w:spacing w:line="360" w:lineRule="auto"/>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二、维保设备范围：</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本项目针对院内1283台医疗设备（不含检验科设备），具体设备详见设备清单。</w:t>
      </w:r>
    </w:p>
    <w:p>
      <w:pPr>
        <w:spacing w:line="360" w:lineRule="auto"/>
        <w:rPr>
          <w:rFonts w:cs="宋体" w:asciiTheme="minorEastAsia" w:hAnsiTheme="minorEastAsia" w:eastAsiaTheme="minorEastAsia"/>
          <w:b/>
          <w:szCs w:val="21"/>
        </w:rPr>
      </w:pPr>
      <w:bookmarkStart w:id="1" w:name="_Toc528221798"/>
      <w:bookmarkEnd w:id="1"/>
    </w:p>
    <w:p>
      <w:pPr>
        <w:spacing w:line="360" w:lineRule="auto"/>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三、项目需求具体内容</w:t>
      </w:r>
    </w:p>
    <w:p>
      <w:pPr>
        <w:tabs>
          <w:tab w:val="left" w:pos="9639"/>
        </w:tabs>
        <w:spacing w:line="360" w:lineRule="auto"/>
        <w:rPr>
          <w:rFonts w:cs="宋体" w:asciiTheme="minorEastAsia" w:hAnsiTheme="minorEastAsia" w:eastAsiaTheme="minorEastAsia"/>
          <w:b/>
          <w:bCs/>
          <w:szCs w:val="21"/>
        </w:rPr>
      </w:pPr>
      <w:r>
        <w:rPr>
          <w:rFonts w:hint="eastAsia" w:cs="宋体" w:asciiTheme="minorEastAsia" w:hAnsiTheme="minorEastAsia" w:eastAsiaTheme="minorEastAsia"/>
          <w:b/>
          <w:bCs/>
          <w:szCs w:val="21"/>
        </w:rPr>
        <w:t>1、总体要求</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1.1维保工程师应树立为采购人，病人服务的思想，每次上门服务必须与使用部门负责人或采购人设备科维修人员充分沟通，在尽量不影响科室诊断、检查并征得同意才可以进行。</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1.2 每次维修保养，驻场工程师必须填写维修保养工作单，工作单需详细列明本次维护、保养、维修的内容、更换的耗材及零备件，并需使用部门现场工作人员及采购人设备科区域维修负责人验证签名确认交采购人保存。</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1.3 维保工程师要遵守需方规章制度，听从采购人指派人员的指导。维保工程师需爱护采购人的一切财物，在维护保养过程中损坏财物，等价赔偿。</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1.4 维修备件：包括用于保养及维修中需更换的备件符合原厂参数要求。</w:t>
      </w:r>
    </w:p>
    <w:p>
      <w:pPr>
        <w:tabs>
          <w:tab w:val="left" w:pos="9639"/>
        </w:tabs>
        <w:spacing w:line="360" w:lineRule="auto"/>
        <w:rPr>
          <w:rFonts w:cs="宋体" w:asciiTheme="minorEastAsia" w:hAnsiTheme="minorEastAsia" w:eastAsiaTheme="minorEastAsia"/>
          <w:b/>
          <w:bCs/>
          <w:szCs w:val="21"/>
        </w:rPr>
      </w:pPr>
      <w:r>
        <w:rPr>
          <w:rFonts w:hint="eastAsia" w:cs="宋体" w:asciiTheme="minorEastAsia" w:hAnsiTheme="minorEastAsia" w:eastAsiaTheme="minorEastAsia"/>
          <w:b/>
          <w:bCs/>
          <w:szCs w:val="21"/>
        </w:rPr>
        <w:t>2、投标人资质及服务保障要求</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2．1 在实施本项目经营管理时，需符合国家相关的政策法规；应无条件执行国家、地方政府、行业协会最新颁布的标准和条例；必须符合采购人有关部门和科室的工作时间和工作要求。</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2.2所有服务由投标方独立完成，不允许转包给第三方，特殊设备转包需经过院方同意方可实施，相关费用及风险由投标人承担。</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2.3驻场维护人员需提交社保参保资料及能证明其医疗设备维修保养能力的证明文件（在本单位参保证明复印件、技术人员学历证明、生物医学工程或医疗设备应用管理专业证明，派驻人员书面承诺文件）供采购人备案。</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2.4 投标方国内需有独立的备件仓库（须提供仓库地址、房屋产权或有效期内的房屋租赁合同），具有多种备件品类（含国内外原厂备件）。</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2.5 医疗设备整体开机率不低于95%（以每年365天计算）。</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2.6 提供线上维修服务系统，并支持移动端客户叫修。</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2.7 投标人中标后提供维保服务押金或向保险公司购买维修责任保单，作为由于维修过程中发生意外事故，造成第三者人身伤亡或财产损失的保障。(请提供承诺函及以往其他采购人保险公司的维修保单）。</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2.8为医院急救设备和急用设备提供备用机，确保任何时候有设备可用，为患者的生命安全提供强力保障。</w:t>
      </w:r>
    </w:p>
    <w:p>
      <w:pPr>
        <w:tabs>
          <w:tab w:val="left" w:pos="9639"/>
        </w:tabs>
        <w:spacing w:line="360" w:lineRule="auto"/>
        <w:rPr>
          <w:rFonts w:cs="宋体" w:asciiTheme="minorEastAsia" w:hAnsiTheme="minorEastAsia" w:eastAsiaTheme="minorEastAsia"/>
          <w:b/>
          <w:bCs/>
          <w:szCs w:val="21"/>
        </w:rPr>
      </w:pPr>
      <w:r>
        <w:rPr>
          <w:rFonts w:hint="eastAsia" w:cs="宋体" w:asciiTheme="minorEastAsia" w:hAnsiTheme="minorEastAsia" w:eastAsiaTheme="minorEastAsia"/>
          <w:b/>
          <w:bCs/>
          <w:szCs w:val="21"/>
        </w:rPr>
        <w:t>3、工作模式及人员要求</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3.1投标人围绕采购人设备维护服务所聘用的工作人员必须身体健康、遵纪守法、无不良行为倾向，在上岗前须进行安全教育和与岗位相关的业务技能培训。</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3.2投标人在采购人单位设立驻场服务点，签订合同后配备驻场的维修工程师不少于3名，并指派1名驻院负责人对接工作。其后根据实际维修的工作量以及医院实际需求情况，根据采购人要求，投标人对现场维修工程师进行调整，人员调整前需报备医院设备科同意。</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3.3驻场维护人员需提交社保参保资料及能证明其医疗设备维修保养能力的证明文件（在本单位参保证明复印件、技术人员学历证明、生物医学工程或医疗设备应用管理专业证明）供采购人备案。</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3.4投标人具备疫情防控人员相关资质证书，能协助配合院方在紧急情况下进行疫情防控工作。</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3.5压力容器专项维护人员应符合特种设备操作维护人员的资质要求（提供资质证明文件）。</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3.6投标人需根据采购人的管理模式及管理要求，制定各种管理制度、操作规程及其他有关规定，须报采购人审定备案后方可实施。</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3.7投标人应按照国家相关规定建立规范化的医疗设备管理档案。</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3.8所有维修、维护、保养、检测、培训等内容均应有详实的记录。</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3.9投标人每月向采购人设备管理部门递交设备维护维修状况分析报表。</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3.10配合采购人现有作息制度，建立维修工程师夜间、双休日、节假日值班制。</w:t>
      </w:r>
    </w:p>
    <w:p>
      <w:pPr>
        <w:tabs>
          <w:tab w:val="left" w:pos="9639"/>
        </w:tabs>
        <w:spacing w:line="360" w:lineRule="auto"/>
        <w:rPr>
          <w:rFonts w:cs="宋体" w:asciiTheme="minorEastAsia" w:hAnsiTheme="minorEastAsia" w:eastAsiaTheme="minorEastAsia"/>
          <w:b/>
          <w:bCs/>
          <w:szCs w:val="21"/>
        </w:rPr>
      </w:pPr>
      <w:r>
        <w:rPr>
          <w:rFonts w:hint="eastAsia" w:cs="宋体" w:asciiTheme="minorEastAsia" w:hAnsiTheme="minorEastAsia" w:eastAsiaTheme="minorEastAsia"/>
          <w:b/>
          <w:bCs/>
          <w:szCs w:val="21"/>
        </w:rPr>
        <w:t>4、预防性维护</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★4.1投标人合同期内应根据项目情况提供免费的维护、耗件更换等服务，保证设备达到、符合原厂合格标准及相应的国家质量标准的要求。</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4.2采购人Ⅰ类、Ⅱ类、Ⅲ类设备每年不少于两次的全面预防性维修保养工作，提供维护保养报告。预防性维修保养应包含但不限于以下内容：</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4.2.1 外观检查: 检查仪器各按钮、开关、接头插座有无松动及错位，插头插座的接触有无氧化、生锈或接触不良，电源线是否老化，散热排风是否正常，各种接地的连接和管道的连接是否良好。</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4.2.2 清洁保养: 对仪器表面与内部电气部分、机械部分进行清洁，包括清洗过滤网、有关管道、机身、电路板、键盘等，对仪器有关插头插座进行清洁, 防止接触不良, 对必要的机械部分进行加油润滑。</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4.2.3 更换易损件: 对已达到使用寿命及性能下降，不合要求的元器件或使用说明书中规定的要求定期更换的备件要进行及时地更换，预防可能发生的故障扩大或造成整机故障。</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4.2.4 更换耗材件：按照设备使用说明定期更换设备耗材件，如电池、过滤器等。</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对于一次性耗材、消耗性耗材、手术器械耗材及高值易耗品不在项目范围内，相关费用由医院承担。一次性耗材、消耗性耗材及手术器械耗材包含范围主要内容如下：</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次性耗材：设备正常使用过程中，按照使用次数或者使用周期需定期更换的材料，主要为用于诊疗过程中与病人接触且只用一次的耗材。如口罩、呼吸面罩、鼻塞、手套、输液管路、注射器、电极片、一次性血气氧探头、样品杯等。</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消耗性耗材：主要指用于设备附件设备或辅助诊疗的材料，如：胶片、打印纸、色带、耦合剂、导电膏、腿套、绑带、气体、液氦、清洗液、反应杯、指示卡、清洗剂、再生剂(活性炭、树脂、石英砂)、钠石灰、钙石灰、过滤器、负极板、高低温包装材料、电刀笔、单极电凝线、盐、真空油、密封条、毛刷、水汽按钮、防水帽、光纤等。</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手术器械类耗材：主要指手术耗材及检验类附件，如：活检钳、细胞刷、清洗刷、异物钳以及刀剪钳镊针等手术器械。</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高值易损件：高值易耗品主要指有明确使用次数，需定期更换，且价格较高直接用于诊疗设备的材料或配件。以下高值易耗品不包含在项目范围内，如: 细菌过滤器、超声刀换能器、刀头、超声刀手柄、超声探头（只修不换）、电极、电极线、导联线、血氧探头、呼吸管路、二氧化碳探头、RO膜、反渗透膜、流量传感器、电池（氧电池）、宫缩压探头、安全阀及仪表。</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各类设备对应耗材、易损件及高值易耗品具体明细如下：</w:t>
      </w:r>
    </w:p>
    <w:tbl>
      <w:tblPr>
        <w:tblStyle w:val="36"/>
        <w:tblW w:w="9085"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65"/>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565" w:type="dxa"/>
            <w:shd w:val="clear" w:color="auto" w:fill="auto"/>
            <w:noWrap/>
            <w:vAlign w:val="bottom"/>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设备名称</w:t>
            </w:r>
          </w:p>
        </w:tc>
        <w:tc>
          <w:tcPr>
            <w:tcW w:w="6520" w:type="dxa"/>
            <w:shd w:val="clear" w:color="auto" w:fill="auto"/>
            <w:vAlign w:val="bottom"/>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消耗品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565"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医用泵类</w:t>
            </w:r>
          </w:p>
        </w:tc>
        <w:tc>
          <w:tcPr>
            <w:tcW w:w="6520" w:type="dxa"/>
            <w:shd w:val="clear" w:color="auto" w:fill="auto"/>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565"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监护仪类</w:t>
            </w:r>
          </w:p>
        </w:tc>
        <w:tc>
          <w:tcPr>
            <w:tcW w:w="6520" w:type="dxa"/>
            <w:shd w:val="clear" w:color="auto" w:fill="auto"/>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空气过滤网、袖带及延长管、一次性血氧探头及缆线、血氧探头及缆线、心电导联线及缆线、温度传感器及缆线、有创压力传感器及缆线、特殊检测模块外部附件、电极片、电池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565"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心电图机类</w:t>
            </w:r>
          </w:p>
        </w:tc>
        <w:tc>
          <w:tcPr>
            <w:tcW w:w="6520" w:type="dxa"/>
            <w:shd w:val="clear" w:color="auto" w:fill="auto"/>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心电导联线及缆线、心电吸球、夹板、电池、心电记录纸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565"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母婴类</w:t>
            </w:r>
          </w:p>
        </w:tc>
        <w:tc>
          <w:tcPr>
            <w:tcW w:w="6520" w:type="dxa"/>
            <w:shd w:val="clear" w:color="auto" w:fill="auto"/>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胎心探头、宫缩探头及缆线、血氧探头及缆线、心电导联线及缆线、空气过滤网、加热灯管、暖箱衬套、暖箱温度探头、电池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565"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负压吸引类</w:t>
            </w:r>
          </w:p>
        </w:tc>
        <w:tc>
          <w:tcPr>
            <w:tcW w:w="6520" w:type="dxa"/>
            <w:shd w:val="clear" w:color="auto" w:fill="auto"/>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负压吸引管路及瓶子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565"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定量分析仪</w:t>
            </w:r>
          </w:p>
        </w:tc>
        <w:tc>
          <w:tcPr>
            <w:tcW w:w="6520" w:type="dxa"/>
            <w:shd w:val="clear" w:color="auto" w:fill="auto"/>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灯光及校准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565"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气垫床类</w:t>
            </w:r>
          </w:p>
        </w:tc>
        <w:tc>
          <w:tcPr>
            <w:tcW w:w="6520" w:type="dxa"/>
            <w:shd w:val="clear" w:color="auto" w:fill="auto"/>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床垫、膜、膜片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565"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电针仪</w:t>
            </w:r>
          </w:p>
        </w:tc>
        <w:tc>
          <w:tcPr>
            <w:tcW w:w="6520" w:type="dxa"/>
            <w:shd w:val="clear" w:color="auto" w:fill="auto"/>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电极线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565"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亚低温治疗仪</w:t>
            </w:r>
          </w:p>
        </w:tc>
        <w:tc>
          <w:tcPr>
            <w:tcW w:w="6520" w:type="dxa"/>
            <w:shd w:val="clear" w:color="auto" w:fill="auto"/>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冰毯、温度传感器、冰帽、制冷剂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565"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皮肤治疗仪</w:t>
            </w:r>
          </w:p>
        </w:tc>
        <w:tc>
          <w:tcPr>
            <w:tcW w:w="6520" w:type="dxa"/>
            <w:shd w:val="clear" w:color="auto" w:fill="auto"/>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电极及导线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565"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微波治疗仪</w:t>
            </w:r>
          </w:p>
        </w:tc>
        <w:tc>
          <w:tcPr>
            <w:tcW w:w="6520" w:type="dxa"/>
            <w:shd w:val="clear" w:color="auto" w:fill="auto"/>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灯泡、导联线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565"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温热式低周波治疗仪</w:t>
            </w:r>
          </w:p>
        </w:tc>
        <w:tc>
          <w:tcPr>
            <w:tcW w:w="6520" w:type="dxa"/>
            <w:shd w:val="clear" w:color="auto" w:fill="auto"/>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导联线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565"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中频治疗仪</w:t>
            </w:r>
          </w:p>
        </w:tc>
        <w:tc>
          <w:tcPr>
            <w:tcW w:w="6520" w:type="dxa"/>
            <w:shd w:val="clear" w:color="auto" w:fill="auto"/>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电极线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565"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红外线治疗仪</w:t>
            </w:r>
          </w:p>
        </w:tc>
        <w:tc>
          <w:tcPr>
            <w:tcW w:w="6520" w:type="dxa"/>
            <w:shd w:val="clear" w:color="auto" w:fill="auto"/>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灯泡、治疗探头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565"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神灯</w:t>
            </w:r>
          </w:p>
        </w:tc>
        <w:tc>
          <w:tcPr>
            <w:tcW w:w="6520" w:type="dxa"/>
            <w:shd w:val="clear" w:color="auto" w:fill="auto"/>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炉盘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565"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稳压、变压类</w:t>
            </w:r>
          </w:p>
        </w:tc>
        <w:tc>
          <w:tcPr>
            <w:tcW w:w="6520" w:type="dxa"/>
            <w:shd w:val="clear" w:color="auto" w:fill="auto"/>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蓄电池、稳压源、变压器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565"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呼叫系统</w:t>
            </w:r>
          </w:p>
        </w:tc>
        <w:tc>
          <w:tcPr>
            <w:tcW w:w="6520" w:type="dxa"/>
            <w:shd w:val="clear" w:color="auto" w:fill="auto"/>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分机、开关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565"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设备带</w:t>
            </w:r>
          </w:p>
        </w:tc>
        <w:tc>
          <w:tcPr>
            <w:tcW w:w="6520" w:type="dxa"/>
            <w:shd w:val="clear" w:color="auto" w:fill="auto"/>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各类接头、开关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565"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床单位消毒仪</w:t>
            </w:r>
          </w:p>
        </w:tc>
        <w:tc>
          <w:tcPr>
            <w:tcW w:w="6520" w:type="dxa"/>
            <w:shd w:val="clear" w:color="auto" w:fill="auto"/>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臭氧发生器、管路、床罩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565"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空气消毒机</w:t>
            </w:r>
          </w:p>
        </w:tc>
        <w:tc>
          <w:tcPr>
            <w:tcW w:w="6520" w:type="dxa"/>
            <w:shd w:val="clear" w:color="auto" w:fill="auto"/>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过滤网、灯管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565"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医用光栅</w:t>
            </w:r>
          </w:p>
        </w:tc>
        <w:tc>
          <w:tcPr>
            <w:tcW w:w="6520" w:type="dxa"/>
            <w:shd w:val="clear" w:color="auto" w:fill="auto"/>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电机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565"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麻醉机及麻醉监护</w:t>
            </w:r>
          </w:p>
        </w:tc>
        <w:tc>
          <w:tcPr>
            <w:tcW w:w="6520" w:type="dxa"/>
            <w:shd w:val="clear" w:color="auto" w:fill="auto"/>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氧传感器及缆线、流量传感器、电池、湿化罐温度探头、心电导联线及缆线、袖带及延长管、排废气管、空气过滤网、积水杯、呼吸管路、钠石灰罐</w:t>
            </w:r>
          </w:p>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挥发罐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2565"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呼吸机</w:t>
            </w:r>
          </w:p>
        </w:tc>
        <w:tc>
          <w:tcPr>
            <w:tcW w:w="6520" w:type="dxa"/>
            <w:shd w:val="clear" w:color="auto" w:fill="auto"/>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氧传感器、空气过滤网、气体滤芯、流量传感器、进出口细菌过滤器、呼吸膜肺、呼吸管路、呼吸面罩、氧电池、湿化器温度计、蓄电池、雾化管路、湿化器加热导丝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565"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心肺复苏机</w:t>
            </w:r>
          </w:p>
        </w:tc>
        <w:tc>
          <w:tcPr>
            <w:tcW w:w="6520" w:type="dxa"/>
            <w:shd w:val="clear" w:color="auto" w:fill="auto"/>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绑带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565"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高频电刀类</w:t>
            </w:r>
          </w:p>
        </w:tc>
        <w:tc>
          <w:tcPr>
            <w:tcW w:w="6520" w:type="dxa"/>
            <w:shd w:val="clear" w:color="auto" w:fill="auto"/>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单极电凝连接线、电刀笔、负极板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565"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除颤仪类</w:t>
            </w:r>
          </w:p>
        </w:tc>
        <w:tc>
          <w:tcPr>
            <w:tcW w:w="6520" w:type="dxa"/>
            <w:shd w:val="clear" w:color="auto" w:fill="auto"/>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心电导联线及缆线、打印记录纸、导电膏、电池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2565"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清洗槽</w:t>
            </w:r>
          </w:p>
        </w:tc>
        <w:tc>
          <w:tcPr>
            <w:tcW w:w="6520" w:type="dxa"/>
            <w:shd w:val="clear" w:color="auto" w:fill="auto"/>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塞子、滤芯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2565"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清洗机</w:t>
            </w:r>
          </w:p>
        </w:tc>
        <w:tc>
          <w:tcPr>
            <w:tcW w:w="6520" w:type="dxa"/>
            <w:shd w:val="clear" w:color="auto" w:fill="auto"/>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清洗酶、器械润滑油、记录打印纸、门胶条、滤芯、过滤器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2565"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超声刀</w:t>
            </w:r>
          </w:p>
        </w:tc>
        <w:tc>
          <w:tcPr>
            <w:tcW w:w="6520" w:type="dxa"/>
            <w:shd w:val="clear" w:color="auto" w:fill="auto"/>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刀把、刀头、换能器、手柄线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565"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无影灯</w:t>
            </w:r>
          </w:p>
        </w:tc>
        <w:tc>
          <w:tcPr>
            <w:tcW w:w="6520" w:type="dxa"/>
            <w:shd w:val="clear" w:color="auto" w:fill="auto"/>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灯泡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565"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手术显微镜</w:t>
            </w:r>
          </w:p>
        </w:tc>
        <w:tc>
          <w:tcPr>
            <w:tcW w:w="6520" w:type="dxa"/>
            <w:shd w:val="clear" w:color="auto" w:fill="auto"/>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光源灯泡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2565"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激光治疗仪类</w:t>
            </w:r>
          </w:p>
        </w:tc>
        <w:tc>
          <w:tcPr>
            <w:tcW w:w="6520" w:type="dxa"/>
            <w:shd w:val="clear" w:color="auto" w:fill="auto"/>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激光发生器、激光头及光纤、纯水滤芯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565"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全自动生化分析仪</w:t>
            </w:r>
          </w:p>
        </w:tc>
        <w:tc>
          <w:tcPr>
            <w:tcW w:w="6520" w:type="dxa"/>
            <w:shd w:val="clear" w:color="auto" w:fill="auto"/>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灯泡、密封垫、电极、各种清洗剂、比色杯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565"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水处理</w:t>
            </w:r>
          </w:p>
        </w:tc>
        <w:tc>
          <w:tcPr>
            <w:tcW w:w="6520" w:type="dxa"/>
            <w:shd w:val="clear" w:color="auto" w:fill="auto"/>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滤芯、石英砂、树脂、活性炭、RO膜、PPE棉、消毒检测试剂、消毒液、水质测试卡、细菌过滤器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565"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血球仪</w:t>
            </w:r>
          </w:p>
        </w:tc>
        <w:tc>
          <w:tcPr>
            <w:tcW w:w="6520" w:type="dxa"/>
            <w:shd w:val="clear" w:color="auto" w:fill="auto"/>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各种清洗剂、校准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565"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血凝仪</w:t>
            </w:r>
          </w:p>
        </w:tc>
        <w:tc>
          <w:tcPr>
            <w:tcW w:w="6520" w:type="dxa"/>
            <w:shd w:val="clear" w:color="auto" w:fill="auto"/>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灯泡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565"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电解质分析仪</w:t>
            </w:r>
          </w:p>
        </w:tc>
        <w:tc>
          <w:tcPr>
            <w:tcW w:w="6520" w:type="dxa"/>
            <w:shd w:val="clear" w:color="auto" w:fill="auto"/>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各种清洗液、泵管、电极（钠、钾、氯等电极）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565"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高压氧舱</w:t>
            </w:r>
          </w:p>
        </w:tc>
        <w:tc>
          <w:tcPr>
            <w:tcW w:w="6520" w:type="dxa"/>
            <w:shd w:val="clear" w:color="auto" w:fill="auto"/>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活性炭、空气滤芯、油滤、定期校准、氧电极、记录打印纸、舱门密封条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565"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高压消毒锅</w:t>
            </w:r>
          </w:p>
        </w:tc>
        <w:tc>
          <w:tcPr>
            <w:tcW w:w="6520" w:type="dxa"/>
            <w:shd w:val="clear" w:color="auto" w:fill="auto"/>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测试卡、打印机、打印记录纸、密封圈、消毒盒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565"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消毒类</w:t>
            </w:r>
          </w:p>
        </w:tc>
        <w:tc>
          <w:tcPr>
            <w:tcW w:w="6520" w:type="dxa"/>
            <w:shd w:val="clear" w:color="auto" w:fill="auto"/>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油滤器、空气过滤器、真空泵油、测试卡、消毒盒、密封圈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2565"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血透机</w:t>
            </w:r>
          </w:p>
        </w:tc>
        <w:tc>
          <w:tcPr>
            <w:tcW w:w="6520" w:type="dxa"/>
            <w:shd w:val="clear" w:color="auto" w:fill="auto"/>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主机细菌过滤器、风扇过滤器、消毒液、泵管、压片、密封圈、A/B液吸杆、清洗液吸管、硅胶管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2565"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内窥镜</w:t>
            </w:r>
          </w:p>
        </w:tc>
        <w:tc>
          <w:tcPr>
            <w:tcW w:w="6520" w:type="dxa"/>
            <w:shd w:val="clear" w:color="auto" w:fill="auto"/>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清洗刷、二氧化碳气体连接管及连接器、摄像手柄缆线、导光束、防水盖、吸引按钮、水气按钮、钳子管道、开口阀、消毒液、测漏器、清洗酶、过滤器、冷光源灯泡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2565"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钬激光</w:t>
            </w:r>
          </w:p>
        </w:tc>
        <w:tc>
          <w:tcPr>
            <w:tcW w:w="6520" w:type="dxa"/>
            <w:shd w:val="clear" w:color="auto" w:fill="auto"/>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保护镜、滤芯、钬激光光纤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565"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消毒灭菌器</w:t>
            </w:r>
          </w:p>
        </w:tc>
        <w:tc>
          <w:tcPr>
            <w:tcW w:w="6520" w:type="dxa"/>
            <w:shd w:val="clear" w:color="auto" w:fill="auto"/>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门密封条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565"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空气消毒器</w:t>
            </w:r>
          </w:p>
        </w:tc>
        <w:tc>
          <w:tcPr>
            <w:tcW w:w="6520" w:type="dxa"/>
            <w:shd w:val="clear" w:color="auto" w:fill="auto"/>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紫外线消毒灯管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2565"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牙科综合治疗仪</w:t>
            </w:r>
          </w:p>
        </w:tc>
        <w:tc>
          <w:tcPr>
            <w:tcW w:w="6520" w:type="dxa"/>
            <w:shd w:val="clear" w:color="auto" w:fill="auto"/>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灯泡、管路、三用枪、手机头、光固化、管路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565"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手术器械</w:t>
            </w:r>
          </w:p>
        </w:tc>
        <w:tc>
          <w:tcPr>
            <w:tcW w:w="6520" w:type="dxa"/>
            <w:shd w:val="clear" w:color="auto" w:fill="auto"/>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刨削刀头、动力装置手柄及连接线、活检钳、细胞刷、清洗刷、异物钳以及刀剪钳镊针等。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565"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门诊病房器械</w:t>
            </w:r>
          </w:p>
        </w:tc>
        <w:tc>
          <w:tcPr>
            <w:tcW w:w="6520" w:type="dxa"/>
            <w:shd w:val="clear" w:color="auto" w:fill="auto"/>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负压表、压力表、氧流量表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565"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供应室</w:t>
            </w:r>
          </w:p>
        </w:tc>
        <w:tc>
          <w:tcPr>
            <w:tcW w:w="6520" w:type="dxa"/>
            <w:shd w:val="clear" w:color="auto" w:fill="auto"/>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潮化瓶、湿化杯、湿化管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565"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眼科手术器械</w:t>
            </w:r>
          </w:p>
        </w:tc>
        <w:tc>
          <w:tcPr>
            <w:tcW w:w="6520" w:type="dxa"/>
            <w:shd w:val="clear" w:color="auto" w:fill="auto"/>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裂隙灯灯泡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2565" w:type="dxa"/>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一次性消耗品</w:t>
            </w:r>
          </w:p>
        </w:tc>
        <w:tc>
          <w:tcPr>
            <w:tcW w:w="6520" w:type="dxa"/>
            <w:shd w:val="clear" w:color="auto" w:fill="auto"/>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手套、口罩、鞋套、鼻塞、插管及管路、输液管路</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注射器、吹嘴、耳塞、各类蓄电池、耦合剂、色带、</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气体、胶片、呼吸面罩</w:t>
            </w:r>
          </w:p>
        </w:tc>
      </w:tr>
    </w:tbl>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不在以上范围内的设备耗材，双方协商确定。</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4.2.5 功能检查：开机检查各指示灯、指示器是否正常，通过调节、设置各个开关和按钮，进入各功能设置，以检查设备的各功能模块是否正常。通过模拟测试，检查设备各项报警功能是否正常。校对和调整设备的各种合格标准参数，保证完好使用率。</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4.2.6 性能测试校准：测试各直流电源的稳压值、电路中要测试点电压值或波形并根据说明书的要求进行必要的校准和调整，以保证仪器各项技术指标达到标准，确保仪器在医疗诊断与治疗中的质量。</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4.2.7 安全检查：</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4.2.7.1 电气安全检查: 检查各种引线、插头、连接器等有无破损，接地线是否牢靠，接地电阻和漏电电流是否在允许限度内。</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4.2.7.2 机械检查：检查机架是否牢固，机械运转是否正常，各连接备件有无松动、脱落或破裂现象。</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4.3 医疗设备巡检要求</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投标人需开展设备巡检工作，巡检周期每月不少于1次，投标人应编制各科室医疗设备巡检计划，经采购人设备主管部门审核后，按计划对采购人的医疗设备进行巡检保养。对不符合设备正常运行或有可能造成医疗安全隐患的设备，出具书面的解决改进方案并按时执行，保证设备性能、备件的完好性。每次服务需详细记录，并提交原始资料给采购人设备管理部门备案，所有数据需采集至设备管理系统。</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4.3.1 检查医疗设备及其配套设备使用环境是否符合要求，是否存在危及医疗设备安全的潜在因素。</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4.3.2 检查医疗设备功能参数是否正常，备件是否齐全，备件状态是否符合安全要求。</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4.3.3 检查使用科室设备的使用记录，并在使用记录上签名。</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4.3.4 检查设备各类标签，确保标签有效齐全并有效。</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4.3.5 巡检时，对设备的使用做出评估，听取使用科室的建议与要求，并做好记录。</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4.3.6 巡检结束后巡检记录需要使用科室签字认可。</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4.3.7特种设备巡检，如灭菌器、锅炉、压力管道等按特种设备管理要求，并做好记录。</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4.4.重要设备、重要科室专人管理。医疗设备日常保养管理。安排专职人员对医院的医疗设备进行预防性维护及清理工作，提升医疗设备使用年限。</w:t>
      </w:r>
    </w:p>
    <w:p>
      <w:pPr>
        <w:tabs>
          <w:tab w:val="left" w:pos="9639"/>
        </w:tabs>
        <w:spacing w:line="360" w:lineRule="auto"/>
        <w:rPr>
          <w:rFonts w:cs="宋体" w:asciiTheme="minorEastAsia" w:hAnsiTheme="minorEastAsia" w:eastAsiaTheme="minorEastAsia"/>
          <w:b/>
          <w:bCs/>
          <w:szCs w:val="21"/>
        </w:rPr>
      </w:pPr>
      <w:r>
        <w:rPr>
          <w:rFonts w:hint="eastAsia" w:cs="宋体" w:asciiTheme="minorEastAsia" w:hAnsiTheme="minorEastAsia" w:eastAsiaTheme="minorEastAsia"/>
          <w:b/>
          <w:bCs/>
          <w:szCs w:val="21"/>
        </w:rPr>
        <w:t>5、应急维修</w:t>
      </w:r>
    </w:p>
    <w:p>
      <w:pPr>
        <w:tabs>
          <w:tab w:val="left" w:pos="9639"/>
        </w:tabs>
        <w:spacing w:line="360" w:lineRule="auto"/>
        <w:ind w:firstLine="210" w:firstLineChars="100"/>
        <w:rPr>
          <w:rFonts w:cs="宋体" w:asciiTheme="minorEastAsia" w:hAnsiTheme="minorEastAsia" w:eastAsiaTheme="minorEastAsia"/>
          <w:szCs w:val="21"/>
        </w:rPr>
      </w:pPr>
      <w:r>
        <w:rPr>
          <w:rFonts w:hint="eastAsia" w:cs="宋体" w:asciiTheme="minorEastAsia" w:hAnsiTheme="minorEastAsia" w:eastAsiaTheme="minorEastAsia"/>
          <w:szCs w:val="21"/>
        </w:rPr>
        <w:t>总体开机率：全年设备整体开机率须达到95%以上（以365天计算，下同），如有不足，按3倍日期延长该设备的维保服务期限。</w:t>
      </w:r>
    </w:p>
    <w:p>
      <w:pPr>
        <w:tabs>
          <w:tab w:val="left" w:pos="9639"/>
        </w:tabs>
        <w:spacing w:line="360" w:lineRule="auto"/>
        <w:rPr>
          <w:rFonts w:cs="宋体" w:asciiTheme="minorEastAsia" w:hAnsiTheme="minorEastAsia" w:eastAsiaTheme="minorEastAsia"/>
          <w:b/>
          <w:szCs w:val="21"/>
        </w:rPr>
      </w:pPr>
      <w:r>
        <w:rPr>
          <w:rFonts w:hint="eastAsia" w:cs="宋体" w:asciiTheme="minorEastAsia" w:hAnsiTheme="minorEastAsia" w:eastAsiaTheme="minorEastAsia"/>
          <w:b/>
          <w:szCs w:val="21"/>
        </w:rPr>
        <w:t>6、 维修响应</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6.1 全天候365天*24小时提供服务。</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6.2 急救设备紧急故障报修，驻场工程师必须10分钟以内到达现场处理；一般设备故障报修到场时间20分钟以内。</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6.3 维修质量及时效</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6.3.1 需保证设备维修的质量及时效性。同一设备、同一故障短期内连续进行两次维修，该设备则按采购人要求送至采购人指定厂家或第三方维修，所需维修费由投标人承担。</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6.3.2 所有医疗设备及其配套设备更换的备件必须是原厂合格全新备件，原厂已停产、供应的除外。</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6.3.3 备件到场时间24小时，特殊情况不超过72小时。</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6.3.4 评估及报废处理原则。对使用多年或已经停产、厂家或第三方均无法提供备件、投标人无法修复的设备，投标人需提交纸质申请，由采购人设备管理部门查正同意后，方可办理报废，其维保费用从总保费中扣减。</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6.4 备用设备要求</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6.4.1 为保障采购人设备正常运行，投标人合同期内应提供以下生命支持类备用设备：</w:t>
      </w:r>
    </w:p>
    <w:tbl>
      <w:tblPr>
        <w:tblStyle w:val="36"/>
        <w:tblW w:w="7655"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36"/>
        <w:gridCol w:w="4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3636" w:type="dxa"/>
          </w:tcPr>
          <w:p>
            <w:pPr>
              <w:tabs>
                <w:tab w:val="left" w:pos="9639"/>
              </w:tabs>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备用设备名称</w:t>
            </w:r>
          </w:p>
        </w:tc>
        <w:tc>
          <w:tcPr>
            <w:tcW w:w="4019" w:type="dxa"/>
          </w:tcPr>
          <w:p>
            <w:pPr>
              <w:tabs>
                <w:tab w:val="left" w:pos="9639"/>
              </w:tabs>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3636" w:type="dxa"/>
          </w:tcPr>
          <w:p>
            <w:pPr>
              <w:tabs>
                <w:tab w:val="left" w:pos="9639"/>
              </w:tabs>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多参数心电监护仪</w:t>
            </w:r>
          </w:p>
        </w:tc>
        <w:tc>
          <w:tcPr>
            <w:tcW w:w="4019" w:type="dxa"/>
          </w:tcPr>
          <w:p>
            <w:pPr>
              <w:tabs>
                <w:tab w:val="left" w:pos="9639"/>
              </w:tabs>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3636" w:type="dxa"/>
          </w:tcPr>
          <w:p>
            <w:pPr>
              <w:tabs>
                <w:tab w:val="left" w:pos="9639"/>
              </w:tabs>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除颤仪</w:t>
            </w:r>
          </w:p>
        </w:tc>
        <w:tc>
          <w:tcPr>
            <w:tcW w:w="4019" w:type="dxa"/>
          </w:tcPr>
          <w:p>
            <w:pPr>
              <w:tabs>
                <w:tab w:val="left" w:pos="9639"/>
              </w:tabs>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3636" w:type="dxa"/>
          </w:tcPr>
          <w:p>
            <w:pPr>
              <w:tabs>
                <w:tab w:val="left" w:pos="9639"/>
              </w:tabs>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心电图机</w:t>
            </w:r>
          </w:p>
        </w:tc>
        <w:tc>
          <w:tcPr>
            <w:tcW w:w="4019" w:type="dxa"/>
          </w:tcPr>
          <w:p>
            <w:pPr>
              <w:tabs>
                <w:tab w:val="left" w:pos="9639"/>
              </w:tabs>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3636" w:type="dxa"/>
          </w:tcPr>
          <w:p>
            <w:pPr>
              <w:tabs>
                <w:tab w:val="left" w:pos="9639"/>
              </w:tabs>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微量注射泵</w:t>
            </w:r>
          </w:p>
        </w:tc>
        <w:tc>
          <w:tcPr>
            <w:tcW w:w="4019" w:type="dxa"/>
          </w:tcPr>
          <w:p>
            <w:pPr>
              <w:tabs>
                <w:tab w:val="left" w:pos="9639"/>
              </w:tabs>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3636" w:type="dxa"/>
          </w:tcPr>
          <w:p>
            <w:pPr>
              <w:tabs>
                <w:tab w:val="left" w:pos="9639"/>
              </w:tabs>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微量输液泵</w:t>
            </w:r>
          </w:p>
        </w:tc>
        <w:tc>
          <w:tcPr>
            <w:tcW w:w="4019" w:type="dxa"/>
          </w:tcPr>
          <w:p>
            <w:pPr>
              <w:tabs>
                <w:tab w:val="left" w:pos="9639"/>
              </w:tabs>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p>
        </w:tc>
      </w:tr>
    </w:tbl>
    <w:p>
      <w:pPr>
        <w:tabs>
          <w:tab w:val="left" w:pos="9639"/>
        </w:tabs>
        <w:spacing w:line="360" w:lineRule="auto"/>
        <w:rPr>
          <w:rFonts w:cs="宋体" w:asciiTheme="minorEastAsia" w:hAnsiTheme="minorEastAsia" w:eastAsiaTheme="minorEastAsia"/>
          <w:b/>
          <w:bCs/>
          <w:szCs w:val="21"/>
        </w:rPr>
      </w:pPr>
      <w:r>
        <w:rPr>
          <w:rFonts w:hint="eastAsia" w:cs="宋体" w:asciiTheme="minorEastAsia" w:hAnsiTheme="minorEastAsia" w:eastAsiaTheme="minorEastAsia"/>
          <w:b/>
          <w:bCs/>
          <w:szCs w:val="21"/>
        </w:rPr>
        <w:t>7、备件要求</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7.1投标人应具备取得设备厂家零配件的合法渠道；且其提供的备件必须是符合国家相关规范要求的合格全新产品。</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7.2按设备存量情况，须库存一定数量的备件在采购人单位内，备件的管理人为投标人。</w:t>
      </w:r>
    </w:p>
    <w:p>
      <w:pPr>
        <w:tabs>
          <w:tab w:val="left" w:pos="9639"/>
        </w:tabs>
        <w:spacing w:line="360" w:lineRule="auto"/>
        <w:rPr>
          <w:rFonts w:cs="宋体" w:asciiTheme="minorEastAsia" w:hAnsiTheme="minorEastAsia" w:eastAsiaTheme="minorEastAsia"/>
          <w:b/>
          <w:bCs/>
          <w:szCs w:val="21"/>
        </w:rPr>
      </w:pPr>
      <w:r>
        <w:rPr>
          <w:rFonts w:hint="eastAsia" w:cs="宋体" w:asciiTheme="minorEastAsia" w:hAnsiTheme="minorEastAsia" w:eastAsiaTheme="minorEastAsia"/>
          <w:b/>
          <w:bCs/>
          <w:szCs w:val="21"/>
        </w:rPr>
        <w:t>8、医疗设备质控</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8.1安装验收质控</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8.1.1须按采购人要求配合做好医疗设备安装、验收工作。</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8.1.2验收工作包含但不限于含设备配置清点、安装调试、计量验收、功能验收。医疗设备投入使用前，保证设备技术参数与国家规定及行业规定的标准一致，符合技术规范与规程要求等。</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8.2使用与维修质控</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8.2.1投标人需定期为操作人员和维修人员提供专业的设备应用及维护培训，实施操作人员上岗考核制度，经过考核且达标的人员才能操作。</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8.2.2投标人需要为采购人编制并为科室提供纸质版医疗设备标准操作流程、维修保养流程、标准操作流程卡和使用状态卡。</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8.2.3投标人需在设备修复后，对维修中必须拆机的急救类、生命支持类设备进行电气安全、性能等全面检测，以记录数据，符合技术指标要求才能投入使用。</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8.2.4国家统一要求的计量、校准、质控、强检，供应商应安排工程师协助医院配合相关机构完成，费用由医院承担。</w:t>
      </w:r>
    </w:p>
    <w:p>
      <w:pPr>
        <w:tabs>
          <w:tab w:val="left" w:pos="9639"/>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8.2.5每次检测完成后，需在设备上标上质量合格标签，并写上日期与检测人员姓名。</w:t>
      </w:r>
    </w:p>
    <w:p>
      <w:pPr>
        <w:spacing w:line="360" w:lineRule="auto"/>
        <w:rPr>
          <w:rFonts w:cs="宋体" w:asciiTheme="minorEastAsia" w:hAnsiTheme="minorEastAsia" w:eastAsiaTheme="minorEastAsia"/>
          <w:b/>
          <w:szCs w:val="21"/>
        </w:rPr>
      </w:pPr>
      <w:r>
        <w:rPr>
          <w:rFonts w:hint="eastAsia" w:cs="宋体" w:asciiTheme="minorEastAsia" w:hAnsiTheme="minorEastAsia" w:eastAsiaTheme="minorEastAsia"/>
          <w:b/>
          <w:szCs w:val="21"/>
        </w:rPr>
        <w:t>9、设备管理软件要求</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投标人需为采购方提供一套标准的医疗设备生命周期管理软件，为医院医疗设备管理的实现智能化。该系统可实现通过电脑端/手机端管理全院医疗设备，实现移动端设备勘察、扫一扫报修、维修、巡检、保养、质控和设备报废等全生命周期管理，线上化签字验收，实现设备维修、保养等工单线上化，设备扫一扫登记使用等设备助手可以帮助临床科有效管理设备使用环节。通过数字大屏，实现设备资产监控、设备使用监控、大型设备健康度监控、设备服务任务进度实时监控等。设备全生命周期管理过程中各种维度的统计报表可供下载，如设备资产明细报表、科室维修量统计报表、设备服务量统计报告、设备开机率统计报告、设备故障率跨品牌对比分析报告等，并能根据医院实际需求对设备管理软件进行二次开发（有偿）。标准设备管理软件至少满足以下功能要求：</w:t>
      </w:r>
    </w:p>
    <w:tbl>
      <w:tblPr>
        <w:tblStyle w:val="36"/>
        <w:tblW w:w="7578" w:type="dxa"/>
        <w:jc w:val="center"/>
        <w:tblLayout w:type="autofit"/>
        <w:tblCellMar>
          <w:top w:w="15" w:type="dxa"/>
          <w:left w:w="15" w:type="dxa"/>
          <w:bottom w:w="15" w:type="dxa"/>
          <w:right w:w="15" w:type="dxa"/>
        </w:tblCellMar>
      </w:tblPr>
      <w:tblGrid>
        <w:gridCol w:w="3464"/>
        <w:gridCol w:w="4114"/>
      </w:tblGrid>
      <w:tr>
        <w:tblPrEx>
          <w:tblCellMar>
            <w:top w:w="15" w:type="dxa"/>
            <w:left w:w="15" w:type="dxa"/>
            <w:bottom w:w="15" w:type="dxa"/>
            <w:right w:w="15" w:type="dxa"/>
          </w:tblCellMar>
        </w:tblPrEx>
        <w:trPr>
          <w:trHeight w:val="251" w:hRule="atLeast"/>
          <w:jc w:val="center"/>
        </w:trPr>
        <w:tc>
          <w:tcPr>
            <w:tcW w:w="3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szCs w:val="21"/>
              </w:rPr>
            </w:pPr>
            <w:r>
              <w:rPr>
                <w:rFonts w:hint="eastAsia" w:asciiTheme="minorEastAsia" w:hAnsiTheme="minorEastAsia" w:eastAsiaTheme="minorEastAsia"/>
                <w:b/>
                <w:szCs w:val="21"/>
              </w:rPr>
              <w:t>管理软件</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szCs w:val="21"/>
              </w:rPr>
            </w:pPr>
            <w:r>
              <w:rPr>
                <w:rFonts w:hint="eastAsia" w:asciiTheme="minorEastAsia" w:hAnsiTheme="minorEastAsia" w:eastAsiaTheme="minorEastAsia"/>
                <w:b/>
                <w:szCs w:val="21"/>
              </w:rPr>
              <w:t>功能清单</w:t>
            </w:r>
          </w:p>
        </w:tc>
      </w:tr>
      <w:tr>
        <w:tblPrEx>
          <w:tblCellMar>
            <w:top w:w="15" w:type="dxa"/>
            <w:left w:w="15" w:type="dxa"/>
            <w:bottom w:w="15" w:type="dxa"/>
            <w:right w:w="15" w:type="dxa"/>
          </w:tblCellMar>
        </w:tblPrEx>
        <w:trPr>
          <w:trHeight w:val="251" w:hRule="atLeast"/>
          <w:jc w:val="center"/>
        </w:trPr>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医疗设备全生命周期管理系统</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机构管理</w:t>
            </w:r>
          </w:p>
        </w:tc>
      </w:tr>
      <w:tr>
        <w:tblPrEx>
          <w:tblCellMar>
            <w:top w:w="15" w:type="dxa"/>
            <w:left w:w="15" w:type="dxa"/>
            <w:bottom w:w="15" w:type="dxa"/>
            <w:right w:w="15" w:type="dxa"/>
          </w:tblCellMar>
        </w:tblPrEx>
        <w:trPr>
          <w:trHeight w:val="251" w:hRule="atLeast"/>
          <w:jc w:val="center"/>
        </w:trPr>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eastAsiaTheme="minorEastAsia"/>
                <w:szCs w:val="21"/>
              </w:rPr>
            </w:pP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用户管理</w:t>
            </w:r>
          </w:p>
        </w:tc>
      </w:tr>
      <w:tr>
        <w:tblPrEx>
          <w:tblCellMar>
            <w:top w:w="15" w:type="dxa"/>
            <w:left w:w="15" w:type="dxa"/>
            <w:bottom w:w="15" w:type="dxa"/>
            <w:right w:w="15" w:type="dxa"/>
          </w:tblCellMar>
        </w:tblPrEx>
        <w:trPr>
          <w:trHeight w:val="251" w:hRule="atLeast"/>
          <w:jc w:val="center"/>
        </w:trPr>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eastAsiaTheme="minorEastAsia"/>
                <w:szCs w:val="21"/>
              </w:rPr>
            </w:pP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资产管理</w:t>
            </w:r>
          </w:p>
        </w:tc>
      </w:tr>
      <w:tr>
        <w:tblPrEx>
          <w:tblCellMar>
            <w:top w:w="15" w:type="dxa"/>
            <w:left w:w="15" w:type="dxa"/>
            <w:bottom w:w="15" w:type="dxa"/>
            <w:right w:w="15" w:type="dxa"/>
          </w:tblCellMar>
        </w:tblPrEx>
        <w:trPr>
          <w:trHeight w:val="251" w:hRule="atLeast"/>
          <w:jc w:val="center"/>
        </w:trPr>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eastAsiaTheme="minorEastAsia"/>
                <w:szCs w:val="21"/>
              </w:rPr>
            </w:pP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采购管理</w:t>
            </w:r>
          </w:p>
        </w:tc>
      </w:tr>
      <w:tr>
        <w:tblPrEx>
          <w:tblCellMar>
            <w:top w:w="15" w:type="dxa"/>
            <w:left w:w="15" w:type="dxa"/>
            <w:bottom w:w="15" w:type="dxa"/>
            <w:right w:w="15" w:type="dxa"/>
          </w:tblCellMar>
        </w:tblPrEx>
        <w:trPr>
          <w:trHeight w:val="251" w:hRule="atLeast"/>
          <w:jc w:val="center"/>
        </w:trPr>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eastAsiaTheme="minorEastAsia"/>
                <w:szCs w:val="21"/>
              </w:rPr>
            </w:pP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设备勘察</w:t>
            </w:r>
          </w:p>
        </w:tc>
      </w:tr>
      <w:tr>
        <w:tblPrEx>
          <w:tblCellMar>
            <w:top w:w="15" w:type="dxa"/>
            <w:left w:w="15" w:type="dxa"/>
            <w:bottom w:w="15" w:type="dxa"/>
            <w:right w:w="15" w:type="dxa"/>
          </w:tblCellMar>
        </w:tblPrEx>
        <w:trPr>
          <w:trHeight w:val="251" w:hRule="atLeast"/>
          <w:jc w:val="center"/>
        </w:trPr>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eastAsiaTheme="minorEastAsia"/>
                <w:szCs w:val="21"/>
              </w:rPr>
            </w:pP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设备档案管理</w:t>
            </w:r>
          </w:p>
        </w:tc>
      </w:tr>
      <w:tr>
        <w:tblPrEx>
          <w:tblCellMar>
            <w:top w:w="15" w:type="dxa"/>
            <w:left w:w="15" w:type="dxa"/>
            <w:bottom w:w="15" w:type="dxa"/>
            <w:right w:w="15" w:type="dxa"/>
          </w:tblCellMar>
        </w:tblPrEx>
        <w:trPr>
          <w:trHeight w:val="251" w:hRule="atLeast"/>
          <w:jc w:val="center"/>
        </w:trPr>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eastAsiaTheme="minorEastAsia"/>
                <w:szCs w:val="21"/>
              </w:rPr>
            </w:pP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备件管理</w:t>
            </w:r>
          </w:p>
        </w:tc>
      </w:tr>
      <w:tr>
        <w:tblPrEx>
          <w:tblCellMar>
            <w:top w:w="15" w:type="dxa"/>
            <w:left w:w="15" w:type="dxa"/>
            <w:bottom w:w="15" w:type="dxa"/>
            <w:right w:w="15" w:type="dxa"/>
          </w:tblCellMar>
        </w:tblPrEx>
        <w:trPr>
          <w:trHeight w:val="251" w:hRule="atLeast"/>
          <w:jc w:val="center"/>
        </w:trPr>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eastAsiaTheme="minorEastAsia"/>
                <w:szCs w:val="21"/>
              </w:rPr>
            </w:pP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扫码报修</w:t>
            </w:r>
          </w:p>
        </w:tc>
      </w:tr>
      <w:tr>
        <w:tblPrEx>
          <w:tblCellMar>
            <w:top w:w="15" w:type="dxa"/>
            <w:left w:w="15" w:type="dxa"/>
            <w:bottom w:w="15" w:type="dxa"/>
            <w:right w:w="15" w:type="dxa"/>
          </w:tblCellMar>
        </w:tblPrEx>
        <w:trPr>
          <w:trHeight w:val="251" w:hRule="atLeast"/>
          <w:jc w:val="center"/>
        </w:trPr>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eastAsiaTheme="minorEastAsia"/>
                <w:szCs w:val="21"/>
              </w:rPr>
            </w:pP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维修管理</w:t>
            </w:r>
          </w:p>
        </w:tc>
      </w:tr>
      <w:tr>
        <w:tblPrEx>
          <w:tblCellMar>
            <w:top w:w="15" w:type="dxa"/>
            <w:left w:w="15" w:type="dxa"/>
            <w:bottom w:w="15" w:type="dxa"/>
            <w:right w:w="15" w:type="dxa"/>
          </w:tblCellMar>
        </w:tblPrEx>
        <w:trPr>
          <w:trHeight w:val="251" w:hRule="atLeast"/>
          <w:jc w:val="center"/>
        </w:trPr>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eastAsiaTheme="minorEastAsia"/>
                <w:szCs w:val="21"/>
              </w:rPr>
            </w:pP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点检管理</w:t>
            </w:r>
          </w:p>
        </w:tc>
      </w:tr>
      <w:tr>
        <w:tblPrEx>
          <w:tblCellMar>
            <w:top w:w="15" w:type="dxa"/>
            <w:left w:w="15" w:type="dxa"/>
            <w:bottom w:w="15" w:type="dxa"/>
            <w:right w:w="15" w:type="dxa"/>
          </w:tblCellMar>
        </w:tblPrEx>
        <w:trPr>
          <w:trHeight w:val="251" w:hRule="atLeast"/>
          <w:jc w:val="center"/>
        </w:trPr>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eastAsiaTheme="minorEastAsia"/>
                <w:szCs w:val="21"/>
              </w:rPr>
            </w:pP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巡检管理</w:t>
            </w:r>
          </w:p>
        </w:tc>
      </w:tr>
      <w:tr>
        <w:tblPrEx>
          <w:tblCellMar>
            <w:top w:w="15" w:type="dxa"/>
            <w:left w:w="15" w:type="dxa"/>
            <w:bottom w:w="15" w:type="dxa"/>
            <w:right w:w="15" w:type="dxa"/>
          </w:tblCellMar>
        </w:tblPrEx>
        <w:trPr>
          <w:trHeight w:val="251" w:hRule="atLeast"/>
          <w:jc w:val="center"/>
        </w:trPr>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eastAsiaTheme="minorEastAsia"/>
                <w:szCs w:val="21"/>
              </w:rPr>
            </w:pP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保养管理</w:t>
            </w:r>
          </w:p>
        </w:tc>
      </w:tr>
      <w:tr>
        <w:tblPrEx>
          <w:tblCellMar>
            <w:top w:w="15" w:type="dxa"/>
            <w:left w:w="15" w:type="dxa"/>
            <w:bottom w:w="15" w:type="dxa"/>
            <w:right w:w="15" w:type="dxa"/>
          </w:tblCellMar>
        </w:tblPrEx>
        <w:trPr>
          <w:trHeight w:val="251" w:hRule="atLeast"/>
          <w:jc w:val="center"/>
        </w:trPr>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eastAsiaTheme="minorEastAsia"/>
                <w:szCs w:val="21"/>
              </w:rPr>
            </w:pP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质控管理</w:t>
            </w:r>
          </w:p>
        </w:tc>
      </w:tr>
      <w:tr>
        <w:tblPrEx>
          <w:tblCellMar>
            <w:top w:w="15" w:type="dxa"/>
            <w:left w:w="15" w:type="dxa"/>
            <w:bottom w:w="15" w:type="dxa"/>
            <w:right w:w="15" w:type="dxa"/>
          </w:tblCellMar>
        </w:tblPrEx>
        <w:trPr>
          <w:trHeight w:val="251" w:hRule="atLeast"/>
          <w:jc w:val="center"/>
        </w:trPr>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eastAsiaTheme="minorEastAsia"/>
                <w:szCs w:val="21"/>
              </w:rPr>
            </w:pP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计量管理</w:t>
            </w:r>
          </w:p>
        </w:tc>
      </w:tr>
      <w:tr>
        <w:tblPrEx>
          <w:tblCellMar>
            <w:top w:w="15" w:type="dxa"/>
            <w:left w:w="15" w:type="dxa"/>
            <w:bottom w:w="15" w:type="dxa"/>
            <w:right w:w="15" w:type="dxa"/>
          </w:tblCellMar>
        </w:tblPrEx>
        <w:trPr>
          <w:trHeight w:val="251" w:hRule="atLeast"/>
          <w:jc w:val="center"/>
        </w:trPr>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eastAsiaTheme="minorEastAsia"/>
                <w:szCs w:val="21"/>
              </w:rPr>
            </w:pP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报废管理</w:t>
            </w:r>
          </w:p>
        </w:tc>
      </w:tr>
      <w:tr>
        <w:tblPrEx>
          <w:tblCellMar>
            <w:top w:w="15" w:type="dxa"/>
            <w:left w:w="15" w:type="dxa"/>
            <w:bottom w:w="15" w:type="dxa"/>
            <w:right w:w="15" w:type="dxa"/>
          </w:tblCellMar>
        </w:tblPrEx>
        <w:trPr>
          <w:trHeight w:val="251" w:hRule="atLeast"/>
          <w:jc w:val="center"/>
        </w:trPr>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eastAsiaTheme="minorEastAsia"/>
                <w:szCs w:val="21"/>
              </w:rPr>
            </w:pP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不良事件管理</w:t>
            </w:r>
          </w:p>
        </w:tc>
      </w:tr>
      <w:tr>
        <w:tblPrEx>
          <w:tblCellMar>
            <w:top w:w="15" w:type="dxa"/>
            <w:left w:w="15" w:type="dxa"/>
            <w:bottom w:w="15" w:type="dxa"/>
            <w:right w:w="15" w:type="dxa"/>
          </w:tblCellMar>
        </w:tblPrEx>
        <w:trPr>
          <w:trHeight w:val="251" w:hRule="atLeast"/>
          <w:jc w:val="center"/>
        </w:trPr>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eastAsiaTheme="minorEastAsia"/>
                <w:szCs w:val="21"/>
              </w:rPr>
            </w:pP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业务参数配置</w:t>
            </w:r>
          </w:p>
        </w:tc>
      </w:tr>
      <w:tr>
        <w:tblPrEx>
          <w:tblCellMar>
            <w:top w:w="15" w:type="dxa"/>
            <w:left w:w="15" w:type="dxa"/>
            <w:bottom w:w="15" w:type="dxa"/>
            <w:right w:w="15" w:type="dxa"/>
          </w:tblCellMar>
        </w:tblPrEx>
        <w:trPr>
          <w:trHeight w:val="251" w:hRule="atLeast"/>
          <w:jc w:val="center"/>
        </w:trPr>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eastAsiaTheme="minorEastAsia"/>
                <w:szCs w:val="21"/>
              </w:rPr>
            </w:pP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维保服务绩效分析</w:t>
            </w:r>
          </w:p>
        </w:tc>
      </w:tr>
      <w:tr>
        <w:tblPrEx>
          <w:tblCellMar>
            <w:top w:w="15" w:type="dxa"/>
            <w:left w:w="15" w:type="dxa"/>
            <w:bottom w:w="15" w:type="dxa"/>
            <w:right w:w="15" w:type="dxa"/>
          </w:tblCellMar>
        </w:tblPrEx>
        <w:trPr>
          <w:trHeight w:val="251" w:hRule="atLeast"/>
          <w:jc w:val="center"/>
        </w:trPr>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eastAsiaTheme="minorEastAsia"/>
                <w:szCs w:val="21"/>
              </w:rPr>
            </w:pP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维修案例知识库</w:t>
            </w:r>
          </w:p>
        </w:tc>
      </w:tr>
      <w:tr>
        <w:tblPrEx>
          <w:tblCellMar>
            <w:top w:w="15" w:type="dxa"/>
            <w:left w:w="15" w:type="dxa"/>
            <w:bottom w:w="15" w:type="dxa"/>
            <w:right w:w="15" w:type="dxa"/>
          </w:tblCellMar>
        </w:tblPrEx>
        <w:trPr>
          <w:trHeight w:val="237" w:hRule="atLeast"/>
          <w:jc w:val="center"/>
        </w:trPr>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eastAsiaTheme="minorEastAsia"/>
                <w:szCs w:val="21"/>
              </w:rPr>
            </w:pP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Theme="minorEastAsia" w:hAnsiTheme="minorEastAsia" w:eastAsiaTheme="minorEastAsia"/>
                <w:szCs w:val="21"/>
              </w:rPr>
            </w:pPr>
            <w:r>
              <w:rPr>
                <w:rFonts w:asciiTheme="minorEastAsia" w:hAnsiTheme="minorEastAsia" w:eastAsiaTheme="minorEastAsia"/>
                <w:szCs w:val="21"/>
              </w:rPr>
              <w:t>数据</w:t>
            </w:r>
            <w:r>
              <w:rPr>
                <w:rFonts w:hint="eastAsia" w:asciiTheme="minorEastAsia" w:hAnsiTheme="minorEastAsia" w:eastAsiaTheme="minorEastAsia"/>
                <w:szCs w:val="21"/>
              </w:rPr>
              <w:t>监控大屏</w:t>
            </w:r>
          </w:p>
        </w:tc>
      </w:tr>
      <w:tr>
        <w:tblPrEx>
          <w:tblCellMar>
            <w:top w:w="15" w:type="dxa"/>
            <w:left w:w="15" w:type="dxa"/>
            <w:bottom w:w="15" w:type="dxa"/>
            <w:right w:w="15" w:type="dxa"/>
          </w:tblCellMar>
        </w:tblPrEx>
        <w:trPr>
          <w:trHeight w:val="237" w:hRule="atLeast"/>
          <w:jc w:val="center"/>
        </w:trPr>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eastAsiaTheme="minorEastAsia"/>
                <w:szCs w:val="21"/>
              </w:rPr>
            </w:pP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Theme="minorEastAsia" w:hAnsiTheme="minorEastAsia" w:eastAsiaTheme="minorEastAsia"/>
                <w:szCs w:val="21"/>
              </w:rPr>
            </w:pPr>
            <w:r>
              <w:rPr>
                <w:rFonts w:asciiTheme="minorEastAsia" w:hAnsiTheme="minorEastAsia" w:eastAsiaTheme="minorEastAsia"/>
                <w:szCs w:val="21"/>
              </w:rPr>
              <w:t>统计报表</w:t>
            </w:r>
          </w:p>
        </w:tc>
      </w:tr>
      <w:tr>
        <w:tblPrEx>
          <w:tblCellMar>
            <w:top w:w="15" w:type="dxa"/>
            <w:left w:w="15" w:type="dxa"/>
            <w:bottom w:w="15" w:type="dxa"/>
            <w:right w:w="15" w:type="dxa"/>
          </w:tblCellMar>
        </w:tblPrEx>
        <w:trPr>
          <w:trHeight w:val="237" w:hRule="atLeast"/>
          <w:jc w:val="center"/>
        </w:trPr>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eastAsiaTheme="minorEastAsia"/>
                <w:szCs w:val="21"/>
              </w:rPr>
            </w:pP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Theme="minorEastAsia" w:hAnsiTheme="minorEastAsia" w:eastAsiaTheme="minorEastAsia"/>
                <w:szCs w:val="21"/>
              </w:rPr>
            </w:pPr>
            <w:r>
              <w:rPr>
                <w:rFonts w:hint="eastAsia" w:asciiTheme="minorEastAsia" w:hAnsiTheme="minorEastAsia" w:eastAsiaTheme="minorEastAsia"/>
                <w:szCs w:val="21"/>
              </w:rPr>
              <w:t>服务报告下载</w:t>
            </w:r>
          </w:p>
        </w:tc>
      </w:tr>
      <w:tr>
        <w:tblPrEx>
          <w:tblCellMar>
            <w:top w:w="15" w:type="dxa"/>
            <w:left w:w="15" w:type="dxa"/>
            <w:bottom w:w="15" w:type="dxa"/>
            <w:right w:w="15" w:type="dxa"/>
          </w:tblCellMar>
        </w:tblPrEx>
        <w:trPr>
          <w:trHeight w:val="237" w:hRule="atLeast"/>
          <w:jc w:val="center"/>
        </w:trPr>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eastAsiaTheme="minorEastAsia"/>
                <w:szCs w:val="21"/>
              </w:rPr>
            </w:pP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Theme="minorEastAsia" w:hAnsiTheme="minorEastAsia" w:eastAsiaTheme="minorEastAsia"/>
                <w:szCs w:val="21"/>
              </w:rPr>
            </w:pPr>
            <w:r>
              <w:rPr>
                <w:rFonts w:hint="eastAsia" w:asciiTheme="minorEastAsia" w:hAnsiTheme="minorEastAsia" w:eastAsiaTheme="minorEastAsia"/>
                <w:szCs w:val="21"/>
              </w:rPr>
              <w:t>行业文献管理</w:t>
            </w:r>
          </w:p>
        </w:tc>
      </w:tr>
    </w:tbl>
    <w:p>
      <w:pPr>
        <w:spacing w:line="360" w:lineRule="auto"/>
        <w:rPr>
          <w:rFonts w:cs="宋体" w:asciiTheme="minorEastAsia" w:hAnsiTheme="minorEastAsia" w:eastAsiaTheme="minorEastAsia"/>
          <w:b/>
          <w:szCs w:val="21"/>
        </w:rPr>
      </w:pPr>
      <w:r>
        <w:rPr>
          <w:rFonts w:hint="eastAsia" w:cs="宋体" w:asciiTheme="minorEastAsia" w:hAnsiTheme="minorEastAsia" w:eastAsiaTheme="minorEastAsia"/>
          <w:b/>
          <w:szCs w:val="21"/>
        </w:rPr>
        <w:t>10、其他要求</w:t>
      </w:r>
    </w:p>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     投标人在服务开始后一个月内，为院方维保设备购买500万公众责任险，作为由于维修过程中发生意外事故，造成第三者人身伤亡或财产损失。</w:t>
      </w:r>
    </w:p>
    <w:p>
      <w:pPr>
        <w:pStyle w:val="3"/>
      </w:pPr>
    </w:p>
    <w:p>
      <w:pPr>
        <w:spacing w:line="360" w:lineRule="auto"/>
        <w:rPr>
          <w:rFonts w:ascii="宋体" w:hAnsi="宋体" w:cs="宋体"/>
          <w:sz w:val="24"/>
          <w:szCs w:val="24"/>
        </w:rPr>
      </w:pPr>
      <w:r>
        <w:rPr>
          <w:rFonts w:hint="eastAsia"/>
          <w:b/>
          <w:sz w:val="24"/>
          <w:szCs w:val="24"/>
        </w:rPr>
        <w:t>四、</w:t>
      </w:r>
      <w:r>
        <w:rPr>
          <w:rFonts w:hint="eastAsia" w:ascii="宋体" w:hAnsi="宋体" w:cs="宋体"/>
          <w:b/>
          <w:sz w:val="24"/>
          <w:szCs w:val="24"/>
        </w:rPr>
        <w:t>服务期限：</w:t>
      </w:r>
      <w:r>
        <w:rPr>
          <w:rFonts w:hint="eastAsia" w:ascii="宋体" w:hAnsi="宋体" w:cs="宋体"/>
          <w:sz w:val="24"/>
          <w:szCs w:val="24"/>
        </w:rPr>
        <w:t>1年</w:t>
      </w:r>
    </w:p>
    <w:p>
      <w:pPr>
        <w:pStyle w:val="2"/>
        <w:spacing w:line="360" w:lineRule="auto"/>
        <w:rPr>
          <w:rFonts w:asciiTheme="minorEastAsia" w:hAnsiTheme="minorEastAsia" w:eastAsiaTheme="minorEastAsia"/>
          <w:sz w:val="21"/>
          <w:szCs w:val="21"/>
        </w:rPr>
      </w:pPr>
      <w:r>
        <w:rPr>
          <w:rFonts w:hint="eastAsia"/>
        </w:rPr>
        <w:t xml:space="preserve"> </w:t>
      </w:r>
      <w:r>
        <w:rPr>
          <w:rFonts w:hint="eastAsia"/>
          <w:sz w:val="21"/>
          <w:szCs w:val="21"/>
        </w:rPr>
        <w:t xml:space="preserve">   </w:t>
      </w:r>
      <w:r>
        <w:rPr>
          <w:rFonts w:hint="eastAsi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维保服务期满后，经采购单位考核小组考核，满意度达80%以上的，在服务价格、财政政策不变的前提下，双方可协议续签合同，但最多续签二次，每次一年（采购人也有权重新组织采购）。</w:t>
      </w:r>
    </w:p>
    <w:p>
      <w:pPr>
        <w:spacing w:line="360" w:lineRule="auto"/>
        <w:rPr>
          <w:rFonts w:ascii="宋体" w:hAnsi="宋体" w:cs="宋体"/>
          <w:b/>
          <w:kern w:val="0"/>
          <w:sz w:val="24"/>
          <w:szCs w:val="24"/>
        </w:rPr>
      </w:pPr>
    </w:p>
    <w:p>
      <w:pPr>
        <w:spacing w:line="360" w:lineRule="auto"/>
        <w:rPr>
          <w:rFonts w:ascii="宋体" w:hAnsi="宋体" w:cs="宋体"/>
          <w:kern w:val="0"/>
          <w:sz w:val="24"/>
          <w:szCs w:val="24"/>
        </w:rPr>
      </w:pPr>
      <w:r>
        <w:rPr>
          <w:rFonts w:hint="eastAsia" w:ascii="宋体" w:hAnsi="宋体" w:cs="宋体"/>
          <w:b/>
          <w:kern w:val="0"/>
          <w:sz w:val="24"/>
          <w:szCs w:val="24"/>
        </w:rPr>
        <w:t>五、服务地点：</w:t>
      </w:r>
      <w:r>
        <w:rPr>
          <w:rFonts w:hint="eastAsia" w:ascii="宋体" w:hAnsi="宋体" w:cs="宋体"/>
          <w:kern w:val="0"/>
          <w:sz w:val="24"/>
          <w:szCs w:val="24"/>
        </w:rPr>
        <w:t>岱山县第一人民医院</w:t>
      </w:r>
    </w:p>
    <w:p>
      <w:pPr>
        <w:spacing w:line="360" w:lineRule="auto"/>
        <w:rPr>
          <w:rFonts w:ascii="宋体" w:hAnsi="宋体" w:cs="宋体"/>
          <w:b/>
          <w:sz w:val="24"/>
          <w:szCs w:val="24"/>
        </w:rPr>
      </w:pPr>
    </w:p>
    <w:p>
      <w:pPr>
        <w:spacing w:line="360" w:lineRule="auto"/>
        <w:rPr>
          <w:rFonts w:ascii="宋体" w:hAnsi="宋体" w:cs="宋体"/>
          <w:sz w:val="24"/>
          <w:szCs w:val="24"/>
        </w:rPr>
      </w:pPr>
      <w:r>
        <w:rPr>
          <w:rFonts w:hint="eastAsia" w:ascii="宋体" w:hAnsi="宋体" w:cs="宋体"/>
          <w:b/>
          <w:sz w:val="24"/>
          <w:szCs w:val="24"/>
        </w:rPr>
        <w:t>六、项目预算：</w:t>
      </w:r>
      <w:r>
        <w:rPr>
          <w:rFonts w:hint="eastAsia" w:ascii="宋体" w:hAnsi="宋体" w:cs="宋体"/>
          <w:sz w:val="24"/>
          <w:szCs w:val="24"/>
        </w:rPr>
        <w:t>300万/年。</w:t>
      </w:r>
    </w:p>
    <w:p>
      <w:pPr>
        <w:spacing w:line="360" w:lineRule="auto"/>
        <w:rPr>
          <w:rFonts w:ascii="宋体" w:hAnsi="宋体" w:cs="宋体"/>
          <w:szCs w:val="21"/>
        </w:rPr>
      </w:pPr>
      <w:r>
        <w:rPr>
          <w:rFonts w:hint="eastAsia" w:ascii="宋体" w:hAnsi="宋体" w:cs="宋体"/>
          <w:sz w:val="24"/>
          <w:szCs w:val="24"/>
        </w:rPr>
        <w:t xml:space="preserve">  </w:t>
      </w:r>
      <w:r>
        <w:rPr>
          <w:rFonts w:hint="eastAsia" w:ascii="宋体" w:hAnsi="宋体" w:cs="宋体"/>
          <w:szCs w:val="21"/>
        </w:rPr>
        <w:t xml:space="preserve">  新增/报废设备按设备采购原值*中标费率（中标金额/中标时设备总值）新增或减少合同金额，新增大型影像设备、超声设备及内窥镜维保费用双方协商确定。设备清单每季度双方核实，维保费用根据实际清单进行核算。</w:t>
      </w:r>
    </w:p>
    <w:p>
      <w:pPr>
        <w:pStyle w:val="3"/>
      </w:pPr>
      <w:r>
        <w:rPr>
          <w:rFonts w:hint="eastAsia"/>
        </w:rPr>
        <w:t xml:space="preserve"> </w:t>
      </w:r>
    </w:p>
    <w:p>
      <w:pPr>
        <w:pStyle w:val="3"/>
        <w:rPr>
          <w:rFonts w:asciiTheme="minorEastAsia" w:hAnsiTheme="minorEastAsia" w:eastAsiaTheme="minorEastAsia"/>
          <w:b/>
          <w:sz w:val="24"/>
          <w:szCs w:val="24"/>
        </w:rPr>
      </w:pPr>
      <w:r>
        <w:rPr>
          <w:rFonts w:hint="eastAsia" w:asciiTheme="minorEastAsia" w:hAnsiTheme="minorEastAsia" w:eastAsiaTheme="minorEastAsia"/>
          <w:b/>
          <w:sz w:val="24"/>
          <w:szCs w:val="24"/>
        </w:rPr>
        <w:t>七、付款方式：</w:t>
      </w:r>
    </w:p>
    <w:p>
      <w:pPr>
        <w:widowControl/>
        <w:autoSpaceDE w:val="0"/>
        <w:autoSpaceDN w:val="0"/>
        <w:spacing w:line="312" w:lineRule="auto"/>
        <w:ind w:right="-53" w:rightChars="-25" w:firstLine="525" w:firstLineChars="250"/>
        <w:textAlignment w:val="bottom"/>
        <w:rPr>
          <w:rFonts w:ascii="宋体" w:hAnsi="宋体"/>
          <w:color w:val="FF0000"/>
          <w:szCs w:val="21"/>
        </w:rPr>
      </w:pPr>
      <w:r>
        <w:rPr>
          <w:rFonts w:hint="eastAsia" w:ascii="宋体" w:hAnsi="宋体"/>
          <w:color w:val="FF0000"/>
          <w:szCs w:val="21"/>
        </w:rPr>
        <w:t>按季度支付，采购人在每满一季度后根据满意度测评结果、中标人服务报告中的服务需求吻合度进行考核，</w:t>
      </w:r>
      <w:r>
        <w:rPr>
          <w:rFonts w:hint="eastAsia" w:cs="宋体" w:asciiTheme="minorEastAsia" w:hAnsiTheme="minorEastAsia" w:eastAsiaTheme="minorEastAsia"/>
          <w:color w:val="FF0000"/>
          <w:szCs w:val="21"/>
        </w:rPr>
        <w:t>经采购单位考核小组考核，满意度达80%以上的为考核合格，</w:t>
      </w:r>
      <w:r>
        <w:rPr>
          <w:rFonts w:hint="eastAsia" w:ascii="宋体" w:hAnsi="宋体"/>
          <w:color w:val="FF0000"/>
          <w:szCs w:val="21"/>
        </w:rPr>
        <w:t>考核合格后一个月内根据中标人开具的发票金额并核对无误后足额支付该季度的保修费用。</w:t>
      </w:r>
    </w:p>
    <w:p>
      <w:pPr>
        <w:widowControl/>
        <w:autoSpaceDE w:val="0"/>
        <w:autoSpaceDN w:val="0"/>
        <w:spacing w:line="312" w:lineRule="auto"/>
        <w:ind w:right="-53" w:rightChars="-25"/>
        <w:textAlignment w:val="bottom"/>
        <w:rPr>
          <w:rFonts w:ascii="宋体" w:hAnsi="宋体"/>
          <w:b/>
          <w:sz w:val="24"/>
        </w:rPr>
      </w:pPr>
    </w:p>
    <w:p>
      <w:pPr>
        <w:widowControl/>
        <w:autoSpaceDE w:val="0"/>
        <w:autoSpaceDN w:val="0"/>
        <w:spacing w:line="312" w:lineRule="auto"/>
        <w:ind w:right="-53" w:rightChars="-25"/>
        <w:textAlignment w:val="bottom"/>
        <w:rPr>
          <w:rFonts w:ascii="宋体" w:hAnsi="宋体"/>
          <w:b/>
          <w:sz w:val="24"/>
        </w:rPr>
      </w:pPr>
      <w:r>
        <w:rPr>
          <w:rFonts w:hint="eastAsia" w:ascii="宋体" w:hAnsi="宋体"/>
          <w:b/>
          <w:sz w:val="24"/>
        </w:rPr>
        <w:t>八、报价要求</w:t>
      </w:r>
    </w:p>
    <w:p>
      <w:pPr>
        <w:tabs>
          <w:tab w:val="left" w:pos="0"/>
        </w:tabs>
        <w:autoSpaceDE w:val="0"/>
        <w:autoSpaceDN w:val="0"/>
        <w:adjustRightInd w:val="0"/>
        <w:snapToGrid w:val="0"/>
        <w:spacing w:line="360" w:lineRule="auto"/>
        <w:ind w:firstLine="420" w:firstLineChars="200"/>
        <w:jc w:val="left"/>
        <w:rPr>
          <w:rFonts w:ascii="宋体" w:hAnsi="宋体"/>
        </w:rPr>
      </w:pPr>
      <w:r>
        <w:rPr>
          <w:rFonts w:hint="eastAsia" w:ascii="宋体" w:hAnsi="宋体"/>
        </w:rPr>
        <w:t>1、投标人应根据招标文件报出合同总价。报价一旦核实确认，不得再做更改。对投标人漏报致使系统未能达到需求的功能和效果，其费用和后果由投标人自行负责。</w:t>
      </w:r>
    </w:p>
    <w:p>
      <w:pPr>
        <w:tabs>
          <w:tab w:val="left" w:pos="0"/>
        </w:tabs>
        <w:autoSpaceDE w:val="0"/>
        <w:autoSpaceDN w:val="0"/>
        <w:adjustRightInd w:val="0"/>
        <w:snapToGrid w:val="0"/>
        <w:spacing w:line="360" w:lineRule="auto"/>
        <w:ind w:firstLine="420" w:firstLineChars="200"/>
        <w:jc w:val="left"/>
        <w:rPr>
          <w:rFonts w:ascii="宋体" w:hAnsi="宋体"/>
        </w:rPr>
      </w:pPr>
      <w:r>
        <w:rPr>
          <w:rFonts w:hint="eastAsia" w:ascii="宋体" w:hAnsi="宋体"/>
        </w:rPr>
        <w:t>2、所有报价均应已包含国家规定的所有税费。</w:t>
      </w:r>
    </w:p>
    <w:p>
      <w:pPr>
        <w:tabs>
          <w:tab w:val="left" w:pos="0"/>
        </w:tabs>
        <w:autoSpaceDE w:val="0"/>
        <w:autoSpaceDN w:val="0"/>
        <w:adjustRightInd w:val="0"/>
        <w:snapToGrid w:val="0"/>
        <w:spacing w:line="360" w:lineRule="auto"/>
        <w:ind w:firstLine="420" w:firstLineChars="200"/>
        <w:jc w:val="left"/>
        <w:rPr>
          <w:rFonts w:ascii="宋体" w:hAnsi="宋体"/>
        </w:rPr>
      </w:pPr>
      <w:r>
        <w:rPr>
          <w:rFonts w:hint="eastAsia" w:ascii="宋体" w:hAnsi="宋体"/>
        </w:rPr>
        <w:t>3、</w:t>
      </w:r>
      <w:r>
        <w:rPr>
          <w:rFonts w:hint="eastAsia" w:ascii="宋体" w:hAnsi="宋体"/>
          <w:szCs w:val="21"/>
        </w:rPr>
        <w:t>报价包括一切费用，不能在投标报价之外还有其他费用出现</w:t>
      </w:r>
      <w:r>
        <w:rPr>
          <w:rFonts w:hint="eastAsia" w:ascii="宋体" w:hAnsi="宋体"/>
        </w:rPr>
        <w:t>。</w:t>
      </w:r>
    </w:p>
    <w:p>
      <w:pPr>
        <w:tabs>
          <w:tab w:val="left" w:pos="0"/>
        </w:tabs>
        <w:adjustRightInd w:val="0"/>
        <w:snapToGrid w:val="0"/>
        <w:spacing w:line="360" w:lineRule="auto"/>
        <w:ind w:firstLine="420" w:firstLineChars="200"/>
        <w:jc w:val="left"/>
        <w:rPr>
          <w:rFonts w:cs="宋体" w:asciiTheme="minorEastAsia" w:hAnsiTheme="minorEastAsia" w:eastAsiaTheme="minorEastAsia"/>
          <w:bCs/>
          <w:szCs w:val="21"/>
        </w:rPr>
      </w:pPr>
      <w:r>
        <w:rPr>
          <w:rFonts w:hint="eastAsia" w:ascii="宋体" w:hAnsi="宋体"/>
        </w:rPr>
        <w:t>4、</w:t>
      </w:r>
      <w:r>
        <w:rPr>
          <w:rFonts w:hint="eastAsia" w:cs="宋体" w:asciiTheme="minorEastAsia" w:hAnsiTheme="minorEastAsia" w:eastAsiaTheme="minorEastAsia"/>
          <w:bCs/>
          <w:szCs w:val="21"/>
        </w:rPr>
        <w:t>扶持政策说明：</w:t>
      </w:r>
    </w:p>
    <w:p>
      <w:pPr>
        <w:spacing w:line="360" w:lineRule="auto"/>
        <w:ind w:firstLine="420" w:firstLineChars="200"/>
        <w:rPr>
          <w:rFonts w:asciiTheme="minorEastAsia" w:hAnsiTheme="minorEastAsia"/>
        </w:rPr>
      </w:pPr>
      <w:r>
        <w:rPr>
          <w:rFonts w:hint="eastAsia" w:asciiTheme="minorEastAsia" w:hAnsiTheme="minorEastAsia"/>
        </w:rPr>
        <w:t>（1）根据财政部发布的关于印发《政府采购促进中小企业发展管理办法》的通知（财库﹝2020﹞46 号）规定，本项目对小型和微型企业的价格给予6%的扣除。属于小型和微型企业的，投标文件中投标人必须提供《中小企业声明函》。</w:t>
      </w:r>
    </w:p>
    <w:p>
      <w:pPr>
        <w:spacing w:line="360" w:lineRule="auto"/>
        <w:ind w:firstLine="420" w:firstLineChars="200"/>
        <w:rPr>
          <w:rFonts w:asciiTheme="minorEastAsia" w:hAnsiTheme="minorEastAsia"/>
        </w:rPr>
      </w:pPr>
      <w:r>
        <w:rPr>
          <w:rFonts w:hint="eastAsia" w:asciiTheme="minorEastAsia" w:hAnsiTheme="minorEastAsia"/>
        </w:rPr>
        <w:t>未提供完整证明材料的，投标报价不予扣减。</w:t>
      </w:r>
    </w:p>
    <w:p>
      <w:pPr>
        <w:spacing w:line="360" w:lineRule="auto"/>
        <w:ind w:firstLine="420" w:firstLineChars="200"/>
        <w:rPr>
          <w:rFonts w:asciiTheme="minorEastAsia" w:hAnsiTheme="minorEastAsia"/>
        </w:rPr>
      </w:pPr>
      <w:r>
        <w:rPr>
          <w:rFonts w:hint="eastAsia" w:asciiTheme="minorEastAsia" w:hAnsiTheme="minorEastAsia"/>
        </w:rPr>
        <w:t>（2）根据《关于政府采购支持监狱企业发展有关问题的通知》（财库[2014]68号）的规定，供应商如为监狱企业且所投产品为小型或微型企业生产的，其投标报价扣除6%后参与评审。</w:t>
      </w:r>
    </w:p>
    <w:p>
      <w:pPr>
        <w:spacing w:line="360" w:lineRule="auto"/>
        <w:ind w:firstLine="420" w:firstLineChars="200"/>
        <w:rPr>
          <w:rFonts w:asciiTheme="minorEastAsia" w:hAnsiTheme="minorEastAsia"/>
        </w:rPr>
      </w:pPr>
      <w:r>
        <w:rPr>
          <w:rFonts w:hint="eastAsia" w:asciiTheme="minorEastAsia" w:hAnsiTheme="minorEastAsia"/>
        </w:rPr>
        <w:t>投标文件中须同时提供：供应商的省级以上监狱管理局、戒毒管理局（含新疆生产建设兵团）出具的属于监狱企业的证明文件，投标产品制造商的小微企业证明，未提供完整证明材料的，投标报价不予扣减。</w:t>
      </w:r>
    </w:p>
    <w:p>
      <w:pPr>
        <w:spacing w:line="360" w:lineRule="auto"/>
        <w:ind w:firstLine="420" w:firstLineChars="200"/>
        <w:rPr>
          <w:rFonts w:asciiTheme="minorEastAsia" w:hAnsiTheme="minorEastAsia"/>
        </w:rPr>
      </w:pPr>
      <w:r>
        <w:rPr>
          <w:rFonts w:hint="eastAsia" w:asciiTheme="minorEastAsia" w:hAnsiTheme="minorEastAsia"/>
        </w:rPr>
        <w:t>（3）根据《财政部、民政部、中国残疾人联合会关于促进残疾人就业政府采购政策的通知》（财库〔2017〕141号）的规定，残疾人福利性单位视同小型、微型企业，享受预留份额、评审中价格扣除等促进中小企业发展的政府采购政策。</w:t>
      </w:r>
    </w:p>
    <w:p>
      <w:pPr>
        <w:spacing w:line="360" w:lineRule="auto"/>
        <w:ind w:firstLine="420" w:firstLineChars="200"/>
        <w:rPr>
          <w:rFonts w:asciiTheme="minorEastAsia" w:hAnsiTheme="minorEastAsia"/>
        </w:rPr>
      </w:pPr>
      <w:r>
        <w:rPr>
          <w:rFonts w:hint="eastAsia" w:asciiTheme="minorEastAsia" w:hAnsiTheme="minorEastAsia"/>
        </w:rPr>
        <w:t>投标文件中须提供：《残疾人福利性单位声明函》，未提供完整证明材料的，投标报价不予扣减。</w:t>
      </w:r>
    </w:p>
    <w:p>
      <w:pPr>
        <w:spacing w:line="360" w:lineRule="auto"/>
        <w:ind w:firstLine="420" w:firstLineChars="200"/>
        <w:rPr>
          <w:rFonts w:asciiTheme="minorEastAsia" w:hAnsiTheme="minorEastAsia"/>
        </w:rPr>
      </w:pPr>
      <w:r>
        <w:rPr>
          <w:rFonts w:hint="eastAsia" w:asciiTheme="minorEastAsia" w:hAnsiTheme="minorEastAsia"/>
        </w:rPr>
        <w:t>上述（1），（2），（3）政策不重复计算。</w:t>
      </w:r>
    </w:p>
    <w:p>
      <w:pPr>
        <w:spacing w:line="360" w:lineRule="auto"/>
        <w:ind w:firstLine="420" w:firstLineChars="200"/>
        <w:rPr>
          <w:rFonts w:asciiTheme="minorEastAsia" w:hAnsiTheme="minorEastAsia"/>
        </w:rPr>
      </w:pPr>
      <w:r>
        <w:rPr>
          <w:rFonts w:hint="eastAsia" w:asciiTheme="minorEastAsia" w:hAnsiTheme="minorEastAsia"/>
        </w:rPr>
        <w:t>此项由评标委员会集体核实后统一打分。</w:t>
      </w:r>
    </w:p>
    <w:p>
      <w:pPr>
        <w:spacing w:line="360" w:lineRule="auto"/>
        <w:ind w:firstLine="420" w:firstLineChars="200"/>
        <w:rPr>
          <w:rFonts w:ascii="宋体" w:hAnsi="宋体"/>
          <w:b/>
          <w:szCs w:val="21"/>
        </w:rPr>
      </w:pPr>
      <w:r>
        <w:rPr>
          <w:rFonts w:hint="eastAsia" w:ascii="宋体" w:hAnsi="宋体"/>
          <w:szCs w:val="21"/>
        </w:rPr>
        <w:t>5、</w:t>
      </w:r>
      <w:r>
        <w:rPr>
          <w:rFonts w:hint="eastAsia" w:ascii="宋体" w:hAnsi="宋体"/>
          <w:b/>
          <w:szCs w:val="21"/>
        </w:rPr>
        <w:t>本次项目的预算金额为：人民币叁佰万元整（3，0</w:t>
      </w:r>
      <w:r>
        <w:rPr>
          <w:rFonts w:ascii="宋体" w:hAnsi="宋体"/>
          <w:b/>
          <w:szCs w:val="21"/>
        </w:rPr>
        <w:t>00</w:t>
      </w:r>
      <w:r>
        <w:rPr>
          <w:rFonts w:hint="eastAsia" w:ascii="宋体" w:hAnsi="宋体"/>
          <w:b/>
          <w:szCs w:val="21"/>
        </w:rPr>
        <w:t>，</w:t>
      </w:r>
      <w:r>
        <w:rPr>
          <w:rFonts w:ascii="宋体" w:hAnsi="宋体"/>
          <w:b/>
          <w:szCs w:val="21"/>
        </w:rPr>
        <w:t>0</w:t>
      </w:r>
      <w:r>
        <w:rPr>
          <w:rFonts w:hint="eastAsia" w:ascii="宋体" w:hAnsi="宋体"/>
          <w:b/>
          <w:szCs w:val="21"/>
        </w:rPr>
        <w:t>00.00元）。</w:t>
      </w:r>
    </w:p>
    <w:p>
      <w:pPr>
        <w:tabs>
          <w:tab w:val="left" w:pos="0"/>
        </w:tabs>
        <w:autoSpaceDE w:val="0"/>
        <w:autoSpaceDN w:val="0"/>
        <w:adjustRightInd w:val="0"/>
        <w:snapToGrid w:val="0"/>
        <w:spacing w:line="336" w:lineRule="auto"/>
        <w:ind w:left="315" w:leftChars="150" w:firstLine="105" w:firstLineChars="50"/>
        <w:rPr>
          <w:rFonts w:ascii="宋体" w:hAnsi="宋体"/>
          <w:szCs w:val="21"/>
        </w:rPr>
      </w:pPr>
    </w:p>
    <w:p>
      <w:pPr>
        <w:snapToGrid w:val="0"/>
        <w:spacing w:line="336" w:lineRule="auto"/>
        <w:rPr>
          <w:rFonts w:asciiTheme="minorEastAsia" w:hAnsiTheme="minorEastAsia" w:eastAsiaTheme="minorEastAsia"/>
          <w:b/>
          <w:sz w:val="24"/>
        </w:rPr>
      </w:pPr>
      <w:r>
        <w:rPr>
          <w:rFonts w:hint="eastAsia" w:asciiTheme="minorEastAsia" w:hAnsiTheme="minorEastAsia" w:eastAsiaTheme="minorEastAsia"/>
          <w:b/>
          <w:sz w:val="24"/>
        </w:rPr>
        <w:t>九、其他</w:t>
      </w:r>
    </w:p>
    <w:p>
      <w:pPr>
        <w:pStyle w:val="20"/>
        <w:snapToGrid w:val="0"/>
        <w:spacing w:before="120" w:line="336" w:lineRule="auto"/>
        <w:ind w:right="-252" w:firstLine="415" w:firstLineChars="198"/>
        <w:rPr>
          <w:rFonts w:asciiTheme="minorEastAsia" w:hAnsiTheme="minorEastAsia" w:eastAsiaTheme="minorEastAsia"/>
          <w:b/>
          <w:sz w:val="21"/>
          <w:szCs w:val="21"/>
        </w:rPr>
      </w:pPr>
      <w:r>
        <w:rPr>
          <w:rFonts w:hint="eastAsia" w:asciiTheme="minorEastAsia" w:hAnsiTheme="minorEastAsia" w:eastAsiaTheme="minorEastAsia"/>
          <w:sz w:val="21"/>
          <w:szCs w:val="21"/>
        </w:rPr>
        <w:t>1、投标人或中标人应对招标、实施、运行、维护等过程中数据和信息安全负保密责任，并在信息系统中采取保密措施，因此造成的不良影响和损失，应承担相应责任。</w:t>
      </w:r>
    </w:p>
    <w:p>
      <w:pPr>
        <w:pageBreakBefore/>
        <w:snapToGrid w:val="0"/>
        <w:jc w:val="center"/>
        <w:rPr>
          <w:sz w:val="28"/>
        </w:rPr>
      </w:pPr>
      <w:r>
        <w:rPr>
          <w:rFonts w:hint="eastAsia" w:ascii="宋体"/>
          <w:b/>
          <w:sz w:val="32"/>
        </w:rPr>
        <w:t xml:space="preserve">第三章   </w:t>
      </w:r>
      <w:r>
        <w:rPr>
          <w:rFonts w:hint="eastAsia"/>
          <w:b/>
          <w:sz w:val="32"/>
        </w:rPr>
        <w:t>投标人须知</w:t>
      </w:r>
    </w:p>
    <w:p>
      <w:pPr>
        <w:snapToGrid w:val="0"/>
        <w:ind w:firstLine="4340" w:firstLineChars="1550"/>
        <w:rPr>
          <w:sz w:val="28"/>
        </w:rPr>
      </w:pPr>
      <w:r>
        <w:rPr>
          <w:rFonts w:hint="eastAsia"/>
          <w:sz w:val="28"/>
        </w:rPr>
        <w:t>前附表</w:t>
      </w:r>
    </w:p>
    <w:tbl>
      <w:tblPr>
        <w:tblStyle w:val="36"/>
        <w:tblW w:w="9652" w:type="dxa"/>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526"/>
        <w:gridCol w:w="4856"/>
        <w:gridCol w:w="1098"/>
        <w:gridCol w:w="1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3"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napToGrid w:val="0"/>
              <w:spacing w:line="240" w:lineRule="exact"/>
              <w:jc w:val="center"/>
              <w:rPr>
                <w:rFonts w:ascii="宋体" w:hAnsi="宋体"/>
                <w:b/>
              </w:rPr>
            </w:pPr>
            <w:r>
              <w:rPr>
                <w:rFonts w:hint="eastAsia" w:ascii="宋体" w:hAnsi="宋体"/>
                <w:b/>
              </w:rPr>
              <w:t>序号</w:t>
            </w:r>
          </w:p>
        </w:tc>
        <w:tc>
          <w:tcPr>
            <w:tcW w:w="9122" w:type="dxa"/>
            <w:gridSpan w:val="4"/>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napToGrid w:val="0"/>
              <w:spacing w:line="240" w:lineRule="exact"/>
              <w:jc w:val="center"/>
              <w:rPr>
                <w:rFonts w:ascii="宋体" w:hAnsi="宋体"/>
                <w:b/>
              </w:rPr>
            </w:pPr>
            <w:r>
              <w:rPr>
                <w:rFonts w:hint="eastAsia" w:ascii="宋体" w:hAnsi="宋体"/>
                <w:b/>
              </w:rPr>
              <w:t>内容说明及要求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napToGrid w:val="0"/>
              <w:spacing w:line="240" w:lineRule="exact"/>
              <w:jc w:val="center"/>
              <w:rPr>
                <w:rFonts w:ascii="宋体" w:hAnsi="宋体"/>
                <w:b/>
              </w:rPr>
            </w:pPr>
            <w:r>
              <w:rPr>
                <w:rFonts w:hint="eastAsia" w:ascii="宋体" w:hAnsi="宋体"/>
                <w:b/>
              </w:rPr>
              <w:t>1</w:t>
            </w:r>
          </w:p>
        </w:tc>
        <w:tc>
          <w:tcPr>
            <w:tcW w:w="151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40" w:lineRule="exact"/>
              <w:jc w:val="center"/>
              <w:rPr>
                <w:rFonts w:ascii="宋体" w:hAnsi="宋体"/>
                <w:b/>
              </w:rPr>
            </w:pPr>
            <w:r>
              <w:rPr>
                <w:rFonts w:hint="eastAsia" w:ascii="宋体" w:hAnsi="宋体"/>
                <w:b/>
              </w:rPr>
              <w:t>项目名称</w:t>
            </w:r>
          </w:p>
        </w:tc>
        <w:tc>
          <w:tcPr>
            <w:tcW w:w="484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40" w:lineRule="exact"/>
              <w:rPr>
                <w:rFonts w:ascii="宋体" w:hAnsi="宋体"/>
                <w:bCs/>
                <w:lang w:val="zh-CN"/>
              </w:rPr>
            </w:pPr>
            <w:r>
              <w:rPr>
                <w:rFonts w:hint="eastAsia"/>
                <w:szCs w:val="21"/>
              </w:rPr>
              <w:t>浙江省岱山县第一人民医院医疗设备维修和保养服务项目</w:t>
            </w:r>
          </w:p>
        </w:tc>
        <w:tc>
          <w:tcPr>
            <w:tcW w:w="1084"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40" w:lineRule="exact"/>
              <w:jc w:val="center"/>
              <w:rPr>
                <w:rFonts w:ascii="宋体" w:hAnsi="宋体"/>
                <w:bCs/>
              </w:rPr>
            </w:pPr>
            <w:r>
              <w:rPr>
                <w:rFonts w:hint="eastAsia" w:ascii="宋体" w:hAnsi="宋体"/>
                <w:b/>
              </w:rPr>
              <w:t>招标编号</w:t>
            </w:r>
          </w:p>
        </w:tc>
        <w:tc>
          <w:tcPr>
            <w:tcW w:w="164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40" w:lineRule="exact"/>
              <w:rPr>
                <w:rFonts w:ascii="宋体" w:hAnsi="宋体"/>
                <w:bCs/>
              </w:rPr>
            </w:pPr>
            <w:r>
              <w:rPr>
                <w:rFonts w:hint="eastAsia" w:ascii="宋体" w:hAnsi="宋体"/>
              </w:rPr>
              <w:t>SZGXZS2021098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napToGrid w:val="0"/>
              <w:spacing w:line="240" w:lineRule="exact"/>
              <w:jc w:val="center"/>
              <w:rPr>
                <w:rFonts w:ascii="宋体" w:hAnsi="宋体"/>
                <w:b/>
              </w:rPr>
            </w:pPr>
            <w:r>
              <w:rPr>
                <w:rFonts w:hint="eastAsia" w:ascii="宋体" w:hAnsi="宋体"/>
                <w:b/>
              </w:rPr>
              <w:t>2</w:t>
            </w:r>
          </w:p>
        </w:tc>
        <w:tc>
          <w:tcPr>
            <w:tcW w:w="151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40" w:lineRule="exact"/>
              <w:jc w:val="center"/>
              <w:rPr>
                <w:rFonts w:ascii="宋体" w:hAnsi="宋体"/>
                <w:b/>
              </w:rPr>
            </w:pPr>
            <w:r>
              <w:rPr>
                <w:rFonts w:hint="eastAsia" w:ascii="宋体" w:hAnsi="宋体"/>
                <w:b/>
              </w:rPr>
              <w:t>采购单位名称</w:t>
            </w:r>
          </w:p>
        </w:tc>
        <w:tc>
          <w:tcPr>
            <w:tcW w:w="7596" w:type="dxa"/>
            <w:gridSpan w:val="3"/>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40" w:lineRule="exact"/>
              <w:rPr>
                <w:bCs/>
              </w:rPr>
            </w:pPr>
            <w:r>
              <w:rPr>
                <w:rFonts w:hint="eastAsia"/>
              </w:rPr>
              <w:t>浙江省岱山县第一人民医院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napToGrid w:val="0"/>
              <w:spacing w:line="240" w:lineRule="exact"/>
              <w:jc w:val="center"/>
              <w:rPr>
                <w:rFonts w:ascii="宋体" w:hAnsi="宋体"/>
                <w:b/>
              </w:rPr>
            </w:pPr>
            <w:r>
              <w:rPr>
                <w:rFonts w:hint="eastAsia" w:ascii="宋体" w:hAnsi="宋体"/>
                <w:b/>
              </w:rPr>
              <w:t>3</w:t>
            </w:r>
          </w:p>
        </w:tc>
        <w:tc>
          <w:tcPr>
            <w:tcW w:w="151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40" w:lineRule="exact"/>
              <w:jc w:val="center"/>
              <w:rPr>
                <w:rFonts w:ascii="宋体" w:hAnsi="宋体"/>
                <w:b/>
              </w:rPr>
            </w:pPr>
            <w:r>
              <w:rPr>
                <w:rFonts w:hint="eastAsia" w:ascii="宋体" w:hAnsi="宋体"/>
                <w:b/>
              </w:rPr>
              <w:t>采购内容</w:t>
            </w:r>
          </w:p>
        </w:tc>
        <w:tc>
          <w:tcPr>
            <w:tcW w:w="7596" w:type="dxa"/>
            <w:gridSpan w:val="3"/>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tbl>
            <w:tblPr>
              <w:tblStyle w:val="3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4820"/>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pStyle w:val="72"/>
                    <w:spacing w:beforeAutospacing="0" w:afterAutospacing="0" w:line="312" w:lineRule="auto"/>
                    <w:jc w:val="center"/>
                    <w:rPr>
                      <w:rStyle w:val="39"/>
                      <w:rFonts w:asciiTheme="minorEastAsia" w:hAnsiTheme="minorEastAsia"/>
                      <w:b w:val="0"/>
                      <w:sz w:val="21"/>
                      <w:szCs w:val="21"/>
                    </w:rPr>
                  </w:pPr>
                  <w:r>
                    <w:rPr>
                      <w:rStyle w:val="39"/>
                      <w:rFonts w:hint="eastAsia" w:asciiTheme="minorEastAsia" w:hAnsiTheme="minorEastAsia" w:eastAsiaTheme="minorEastAsia"/>
                      <w:sz w:val="21"/>
                      <w:szCs w:val="21"/>
                    </w:rPr>
                    <w:t>序号</w:t>
                  </w:r>
                </w:p>
              </w:tc>
              <w:tc>
                <w:tcPr>
                  <w:tcW w:w="4820" w:type="dxa"/>
                  <w:tcBorders>
                    <w:right w:val="single" w:color="auto" w:sz="4" w:space="0"/>
                  </w:tcBorders>
                  <w:vAlign w:val="center"/>
                </w:tcPr>
                <w:p>
                  <w:pPr>
                    <w:pStyle w:val="72"/>
                    <w:spacing w:beforeAutospacing="0" w:afterAutospacing="0" w:line="312" w:lineRule="auto"/>
                    <w:jc w:val="center"/>
                    <w:rPr>
                      <w:rStyle w:val="39"/>
                      <w:rFonts w:asciiTheme="minorEastAsia" w:hAnsiTheme="minorEastAsia"/>
                      <w:b w:val="0"/>
                      <w:sz w:val="21"/>
                      <w:szCs w:val="21"/>
                    </w:rPr>
                  </w:pPr>
                  <w:r>
                    <w:rPr>
                      <w:rStyle w:val="39"/>
                      <w:rFonts w:hint="eastAsia" w:asciiTheme="minorEastAsia" w:hAnsiTheme="minorEastAsia" w:eastAsiaTheme="minorEastAsia"/>
                      <w:sz w:val="21"/>
                      <w:szCs w:val="21"/>
                    </w:rPr>
                    <w:t>建设内容</w:t>
                  </w:r>
                </w:p>
              </w:tc>
              <w:tc>
                <w:tcPr>
                  <w:tcW w:w="850" w:type="dxa"/>
                  <w:tcBorders>
                    <w:left w:val="single" w:color="auto" w:sz="4" w:space="0"/>
                    <w:right w:val="single" w:color="auto" w:sz="4" w:space="0"/>
                  </w:tcBorders>
                  <w:vAlign w:val="center"/>
                </w:tcPr>
                <w:p>
                  <w:pPr>
                    <w:pStyle w:val="72"/>
                    <w:spacing w:beforeAutospacing="0" w:afterAutospacing="0" w:line="312" w:lineRule="auto"/>
                    <w:jc w:val="center"/>
                    <w:rPr>
                      <w:rStyle w:val="39"/>
                      <w:rFonts w:asciiTheme="minorEastAsia" w:hAnsiTheme="minorEastAsia"/>
                      <w:b w:val="0"/>
                      <w:sz w:val="21"/>
                      <w:szCs w:val="21"/>
                    </w:rPr>
                  </w:pPr>
                  <w:r>
                    <w:rPr>
                      <w:rStyle w:val="39"/>
                      <w:rFonts w:hint="eastAsia" w:asciiTheme="minorEastAsia" w:hAnsiTheme="minorEastAsia" w:eastAsiaTheme="minorEastAsia"/>
                      <w:sz w:val="21"/>
                      <w:szCs w:val="21"/>
                    </w:rPr>
                    <w:t>数量</w:t>
                  </w:r>
                </w:p>
              </w:tc>
              <w:tc>
                <w:tcPr>
                  <w:tcW w:w="851" w:type="dxa"/>
                  <w:tcBorders>
                    <w:left w:val="single" w:color="auto" w:sz="4" w:space="0"/>
                  </w:tcBorders>
                  <w:vAlign w:val="center"/>
                </w:tcPr>
                <w:p>
                  <w:pPr>
                    <w:pStyle w:val="72"/>
                    <w:spacing w:beforeAutospacing="0" w:afterAutospacing="0" w:line="312" w:lineRule="auto"/>
                    <w:jc w:val="center"/>
                    <w:rPr>
                      <w:rStyle w:val="39"/>
                      <w:rFonts w:asciiTheme="minorEastAsia" w:hAnsiTheme="minorEastAsia"/>
                      <w:b w:val="0"/>
                      <w:sz w:val="21"/>
                      <w:szCs w:val="21"/>
                    </w:rPr>
                  </w:pPr>
                  <w:r>
                    <w:rPr>
                      <w:rStyle w:val="39"/>
                      <w:rFonts w:hint="eastAsia" w:asciiTheme="minorEastAsia" w:hAnsiTheme="minorEastAsia" w:eastAsiaTheme="minorEastAsia"/>
                      <w:sz w:val="21"/>
                      <w:szCs w:val="21"/>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jc w:val="center"/>
                    <w:rPr>
                      <w:kern w:val="0"/>
                      <w:sz w:val="20"/>
                      <w:szCs w:val="24"/>
                    </w:rPr>
                  </w:pPr>
                  <w:r>
                    <w:rPr>
                      <w:kern w:val="0"/>
                      <w:sz w:val="20"/>
                      <w:szCs w:val="24"/>
                    </w:rPr>
                    <w:t>1</w:t>
                  </w:r>
                </w:p>
              </w:tc>
              <w:tc>
                <w:tcPr>
                  <w:tcW w:w="4820" w:type="dxa"/>
                  <w:tcBorders>
                    <w:right w:val="single" w:color="auto" w:sz="4" w:space="0"/>
                  </w:tcBorders>
                  <w:vAlign w:val="center"/>
                </w:tcPr>
                <w:p>
                  <w:pPr>
                    <w:widowControl/>
                    <w:jc w:val="center"/>
                    <w:rPr>
                      <w:kern w:val="0"/>
                      <w:sz w:val="20"/>
                      <w:szCs w:val="24"/>
                    </w:rPr>
                  </w:pPr>
                  <w:r>
                    <w:rPr>
                      <w:rFonts w:hint="eastAsia" w:ascii="宋体"/>
                      <w:kern w:val="0"/>
                      <w:sz w:val="20"/>
                      <w:szCs w:val="21"/>
                    </w:rPr>
                    <w:t>浙江省岱山县第一人民医院医疗设备维修和保养服务项目</w:t>
                  </w:r>
                </w:p>
              </w:tc>
              <w:tc>
                <w:tcPr>
                  <w:tcW w:w="850" w:type="dxa"/>
                  <w:tcBorders>
                    <w:left w:val="single" w:color="auto" w:sz="4" w:space="0"/>
                    <w:right w:val="single" w:color="auto" w:sz="4" w:space="0"/>
                  </w:tcBorders>
                  <w:vAlign w:val="center"/>
                </w:tcPr>
                <w:p>
                  <w:pPr>
                    <w:widowControl/>
                    <w:jc w:val="center"/>
                    <w:rPr>
                      <w:rFonts w:asciiTheme="minorEastAsia" w:hAnsiTheme="minorEastAsia" w:eastAsiaTheme="minorEastAsia"/>
                      <w:kern w:val="0"/>
                      <w:sz w:val="20"/>
                      <w:szCs w:val="24"/>
                    </w:rPr>
                  </w:pPr>
                  <w:r>
                    <w:rPr>
                      <w:rFonts w:hint="eastAsia" w:asciiTheme="minorEastAsia" w:hAnsiTheme="minorEastAsia" w:eastAsiaTheme="minorEastAsia"/>
                      <w:kern w:val="0"/>
                      <w:sz w:val="20"/>
                      <w:szCs w:val="24"/>
                    </w:rPr>
                    <w:t>1</w:t>
                  </w:r>
                </w:p>
              </w:tc>
              <w:tc>
                <w:tcPr>
                  <w:tcW w:w="851" w:type="dxa"/>
                  <w:tcBorders>
                    <w:left w:val="single" w:color="auto" w:sz="4" w:space="0"/>
                  </w:tcBorders>
                  <w:vAlign w:val="center"/>
                </w:tcPr>
                <w:p>
                  <w:pPr>
                    <w:widowControl/>
                    <w:jc w:val="center"/>
                    <w:rPr>
                      <w:rFonts w:asciiTheme="minorEastAsia" w:hAnsiTheme="minorEastAsia" w:eastAsiaTheme="minorEastAsia"/>
                      <w:kern w:val="0"/>
                      <w:sz w:val="20"/>
                      <w:szCs w:val="24"/>
                    </w:rPr>
                  </w:pPr>
                  <w:r>
                    <w:rPr>
                      <w:rFonts w:hint="eastAsia" w:asciiTheme="minorEastAsia" w:hAnsiTheme="minorEastAsia" w:eastAsiaTheme="minorEastAsia"/>
                      <w:kern w:val="0"/>
                      <w:sz w:val="20"/>
                      <w:szCs w:val="24"/>
                    </w:rPr>
                    <w:t>项</w:t>
                  </w:r>
                </w:p>
              </w:tc>
            </w:tr>
          </w:tbl>
          <w:p>
            <w:pPr>
              <w:spacing w:line="2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napToGrid w:val="0"/>
              <w:spacing w:line="240" w:lineRule="exact"/>
              <w:jc w:val="center"/>
              <w:rPr>
                <w:rFonts w:ascii="宋体" w:hAnsi="宋体"/>
                <w:b/>
              </w:rPr>
            </w:pPr>
            <w:r>
              <w:rPr>
                <w:rFonts w:hint="eastAsia" w:ascii="宋体" w:hAnsi="宋体"/>
                <w:b/>
              </w:rPr>
              <w:t>4</w:t>
            </w:r>
          </w:p>
        </w:tc>
        <w:tc>
          <w:tcPr>
            <w:tcW w:w="151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40" w:lineRule="exact"/>
              <w:jc w:val="center"/>
              <w:rPr>
                <w:rFonts w:ascii="宋体" w:hAnsi="宋体"/>
                <w:b/>
              </w:rPr>
            </w:pPr>
            <w:r>
              <w:rPr>
                <w:rFonts w:hint="eastAsia" w:ascii="宋体" w:hAnsi="宋体"/>
                <w:b/>
              </w:rPr>
              <w:t>本项目预算</w:t>
            </w:r>
          </w:p>
        </w:tc>
        <w:tc>
          <w:tcPr>
            <w:tcW w:w="7596" w:type="dxa"/>
            <w:gridSpan w:val="3"/>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40" w:lineRule="exact"/>
              <w:jc w:val="left"/>
              <w:rPr>
                <w:rFonts w:ascii="宋体"/>
                <w:szCs w:val="21"/>
              </w:rPr>
            </w:pPr>
            <w:r>
              <w:rPr>
                <w:rFonts w:hint="eastAsia" w:ascii="宋体" w:hAnsi="宋体"/>
                <w:b/>
                <w:szCs w:val="21"/>
              </w:rPr>
              <w:t>人民币叁佰万元整（3，0</w:t>
            </w:r>
            <w:r>
              <w:rPr>
                <w:rFonts w:ascii="宋体" w:hAnsi="宋体"/>
                <w:b/>
                <w:szCs w:val="21"/>
              </w:rPr>
              <w:t>00</w:t>
            </w:r>
            <w:r>
              <w:rPr>
                <w:rFonts w:hint="eastAsia" w:ascii="宋体" w:hAnsi="宋体"/>
                <w:b/>
                <w:szCs w:val="21"/>
              </w:rPr>
              <w:t>，</w:t>
            </w:r>
            <w:r>
              <w:rPr>
                <w:rFonts w:ascii="宋体" w:hAnsi="宋体"/>
                <w:b/>
                <w:szCs w:val="21"/>
              </w:rPr>
              <w:t>0</w:t>
            </w:r>
            <w:r>
              <w:rPr>
                <w:rFonts w:hint="eastAsia" w:ascii="宋体" w:hAnsi="宋体"/>
                <w:b/>
                <w:szCs w:val="21"/>
              </w:rPr>
              <w:t>00.00元）/年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napToGrid w:val="0"/>
              <w:spacing w:line="240" w:lineRule="exact"/>
              <w:jc w:val="center"/>
              <w:rPr>
                <w:rFonts w:ascii="宋体" w:hAnsi="宋体"/>
                <w:b/>
              </w:rPr>
            </w:pPr>
            <w:r>
              <w:rPr>
                <w:rFonts w:hint="eastAsia" w:ascii="宋体" w:hAnsi="宋体"/>
                <w:b/>
              </w:rPr>
              <w:t>5</w:t>
            </w:r>
          </w:p>
        </w:tc>
        <w:tc>
          <w:tcPr>
            <w:tcW w:w="151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jc w:val="center"/>
              <w:rPr>
                <w:rFonts w:ascii="宋体" w:hAnsi="宋体"/>
                <w:b/>
                <w:szCs w:val="21"/>
              </w:rPr>
            </w:pPr>
            <w:r>
              <w:rPr>
                <w:rFonts w:hint="eastAsia" w:ascii="宋体" w:hAnsi="宋体"/>
                <w:b/>
                <w:szCs w:val="21"/>
              </w:rPr>
              <w:t xml:space="preserve"> 服务期限</w:t>
            </w:r>
          </w:p>
        </w:tc>
        <w:tc>
          <w:tcPr>
            <w:tcW w:w="7596" w:type="dxa"/>
            <w:gridSpan w:val="3"/>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r>
              <w:rPr>
                <w:rFonts w:hint="eastAsia"/>
              </w:rPr>
              <w:t>1年。</w:t>
            </w:r>
          </w:p>
          <w:p>
            <w:pPr>
              <w:rPr>
                <w:szCs w:val="21"/>
              </w:rPr>
            </w:pPr>
            <w:r>
              <w:rPr>
                <w:rFonts w:hint="eastAsia"/>
              </w:rPr>
              <w:t>维保服务期满后，经采购单位考核小组考核，满意度达80%以上的，在服务价格、财政政策不变的前提下，双方可协议续签合同，但最多续签二次，每次一年（采购人也有权重新组织采购）。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napToGrid w:val="0"/>
              <w:spacing w:line="240" w:lineRule="exact"/>
              <w:jc w:val="center"/>
              <w:rPr>
                <w:rFonts w:ascii="宋体" w:hAnsi="宋体"/>
                <w:b/>
              </w:rPr>
            </w:pPr>
            <w:r>
              <w:rPr>
                <w:rFonts w:hint="eastAsia" w:ascii="宋体" w:hAnsi="宋体"/>
                <w:b/>
              </w:rPr>
              <w:t>6</w:t>
            </w:r>
          </w:p>
        </w:tc>
        <w:tc>
          <w:tcPr>
            <w:tcW w:w="151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40" w:lineRule="exact"/>
              <w:jc w:val="center"/>
              <w:rPr>
                <w:rFonts w:ascii="宋体" w:hAnsi="宋体"/>
                <w:b/>
                <w:szCs w:val="21"/>
              </w:rPr>
            </w:pPr>
            <w:r>
              <w:rPr>
                <w:rFonts w:hint="eastAsia" w:ascii="宋体" w:hAnsi="宋体"/>
                <w:b/>
                <w:szCs w:val="21"/>
              </w:rPr>
              <w:t>投标有效期</w:t>
            </w:r>
          </w:p>
        </w:tc>
        <w:tc>
          <w:tcPr>
            <w:tcW w:w="7596" w:type="dxa"/>
            <w:gridSpan w:val="3"/>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40" w:lineRule="exact"/>
              <w:rPr>
                <w:rFonts w:ascii="宋体" w:hAnsi="宋体"/>
                <w:szCs w:val="21"/>
              </w:rPr>
            </w:pPr>
            <w:r>
              <w:rPr>
                <w:rFonts w:hint="eastAsia" w:ascii="宋体" w:hAnsi="宋体"/>
                <w:szCs w:val="21"/>
                <w:u w:val="single"/>
              </w:rPr>
              <w:t xml:space="preserve"> 90 日</w:t>
            </w:r>
            <w:r>
              <w:rPr>
                <w:rFonts w:hint="eastAsia" w:ascii="宋体" w:hAnsi="宋体"/>
                <w:szCs w:val="21"/>
              </w:rPr>
              <w:t>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napToGrid w:val="0"/>
              <w:spacing w:line="240" w:lineRule="exact"/>
              <w:jc w:val="center"/>
              <w:rPr>
                <w:rFonts w:ascii="宋体" w:hAnsi="宋体"/>
                <w:b/>
              </w:rPr>
            </w:pPr>
            <w:r>
              <w:rPr>
                <w:rFonts w:hint="eastAsia" w:ascii="宋体" w:hAnsi="宋体"/>
                <w:b/>
              </w:rPr>
              <w:t>7</w:t>
            </w:r>
          </w:p>
        </w:tc>
        <w:tc>
          <w:tcPr>
            <w:tcW w:w="151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40" w:lineRule="exact"/>
              <w:jc w:val="center"/>
              <w:rPr>
                <w:rFonts w:ascii="宋体" w:hAnsi="宋体"/>
                <w:b/>
                <w:szCs w:val="21"/>
              </w:rPr>
            </w:pPr>
            <w:r>
              <w:rPr>
                <w:rFonts w:hint="eastAsia" w:ascii="宋体" w:hAnsi="宋体"/>
                <w:b/>
                <w:szCs w:val="21"/>
              </w:rPr>
              <w:t>评标办法</w:t>
            </w:r>
          </w:p>
        </w:tc>
        <w:tc>
          <w:tcPr>
            <w:tcW w:w="7596" w:type="dxa"/>
            <w:gridSpan w:val="3"/>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40" w:lineRule="exact"/>
              <w:ind w:firstLine="105" w:firstLineChars="50"/>
              <w:rPr>
                <w:rFonts w:ascii="宋体" w:hAnsi="宋体"/>
                <w:szCs w:val="21"/>
              </w:rPr>
            </w:pPr>
            <w:r>
              <w:rPr>
                <w:rFonts w:hint="eastAsia" w:ascii="宋体" w:hAnsi="宋体"/>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napToGrid w:val="0"/>
              <w:spacing w:line="240" w:lineRule="exact"/>
              <w:jc w:val="center"/>
              <w:rPr>
                <w:rFonts w:ascii="宋体" w:hAnsi="宋体"/>
                <w:b/>
              </w:rPr>
            </w:pPr>
            <w:r>
              <w:rPr>
                <w:rFonts w:hint="eastAsia" w:ascii="宋体" w:hAnsi="宋体"/>
                <w:b/>
              </w:rPr>
              <w:t>8</w:t>
            </w:r>
          </w:p>
        </w:tc>
        <w:tc>
          <w:tcPr>
            <w:tcW w:w="151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40" w:lineRule="exact"/>
              <w:jc w:val="center"/>
              <w:rPr>
                <w:rFonts w:ascii="宋体" w:hAnsi="宋体"/>
                <w:b/>
                <w:szCs w:val="21"/>
              </w:rPr>
            </w:pPr>
            <w:r>
              <w:rPr>
                <w:rFonts w:hint="eastAsia" w:ascii="宋体" w:hAnsi="宋体"/>
                <w:b/>
                <w:szCs w:val="21"/>
              </w:rPr>
              <w:t>签订合同</w:t>
            </w:r>
          </w:p>
        </w:tc>
        <w:tc>
          <w:tcPr>
            <w:tcW w:w="7596" w:type="dxa"/>
            <w:gridSpan w:val="3"/>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40" w:lineRule="exact"/>
              <w:rPr>
                <w:rFonts w:ascii="宋体" w:hAnsi="宋体"/>
                <w:szCs w:val="21"/>
              </w:rPr>
            </w:pPr>
            <w:r>
              <w:rPr>
                <w:rFonts w:hint="eastAsia" w:ascii="宋体" w:hAnsi="宋体"/>
                <w:szCs w:val="21"/>
              </w:rPr>
              <w:t>中标通知书发出后</w:t>
            </w:r>
            <w:r>
              <w:rPr>
                <w:rFonts w:hint="eastAsia" w:ascii="宋体" w:hAnsi="宋体"/>
                <w:szCs w:val="21"/>
                <w:u w:val="single"/>
              </w:rPr>
              <w:t xml:space="preserve">30 </w:t>
            </w:r>
            <w:r>
              <w:rPr>
                <w:rFonts w:hint="eastAsia" w:ascii="宋体" w:hAnsi="宋体"/>
                <w:szCs w:val="21"/>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napToGrid w:val="0"/>
              <w:spacing w:line="240" w:lineRule="exact"/>
              <w:jc w:val="center"/>
              <w:rPr>
                <w:rFonts w:ascii="宋体" w:hAnsi="宋体"/>
                <w:b/>
              </w:rPr>
            </w:pPr>
            <w:r>
              <w:rPr>
                <w:rFonts w:hint="eastAsia" w:ascii="宋体" w:hAnsi="宋体"/>
                <w:b/>
              </w:rPr>
              <w:t>9</w:t>
            </w:r>
          </w:p>
        </w:tc>
        <w:tc>
          <w:tcPr>
            <w:tcW w:w="151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40" w:lineRule="exact"/>
              <w:jc w:val="center"/>
              <w:rPr>
                <w:rFonts w:ascii="宋体" w:hAnsi="宋体"/>
                <w:b/>
                <w:szCs w:val="21"/>
              </w:rPr>
            </w:pPr>
            <w:r>
              <w:rPr>
                <w:rFonts w:hint="eastAsia" w:ascii="宋体" w:hAnsi="宋体"/>
                <w:b/>
                <w:szCs w:val="21"/>
              </w:rPr>
              <w:t>资金结算</w:t>
            </w:r>
          </w:p>
        </w:tc>
        <w:tc>
          <w:tcPr>
            <w:tcW w:w="7596" w:type="dxa"/>
            <w:gridSpan w:val="3"/>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40" w:lineRule="exact"/>
              <w:rPr>
                <w:color w:val="FF0000"/>
              </w:rPr>
            </w:pPr>
            <w:r>
              <w:rPr>
                <w:rFonts w:hint="eastAsia"/>
                <w:color w:val="FF0000"/>
              </w:rPr>
              <w:t>按季度支付，采购人在每满一季度后根据满意度测评结果、中标人服务报告中的服务需求吻合度进行考核，经采购单位考核小组考核，满意度达80%以上的为考核合格，考核合格后一个月内根据中标人开具的发票金额并核对无误后足额支付该季度的保修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napToGrid w:val="0"/>
              <w:spacing w:line="240" w:lineRule="exact"/>
              <w:jc w:val="center"/>
              <w:rPr>
                <w:rFonts w:ascii="宋体" w:hAnsi="宋体"/>
                <w:b/>
              </w:rPr>
            </w:pPr>
            <w:r>
              <w:rPr>
                <w:rFonts w:hint="eastAsia" w:ascii="宋体" w:hAnsi="宋体"/>
                <w:b/>
              </w:rPr>
              <w:t>10</w:t>
            </w:r>
          </w:p>
        </w:tc>
        <w:tc>
          <w:tcPr>
            <w:tcW w:w="151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40" w:lineRule="exact"/>
              <w:jc w:val="center"/>
              <w:rPr>
                <w:rFonts w:ascii="宋体" w:hAnsi="宋体"/>
                <w:b/>
                <w:szCs w:val="21"/>
              </w:rPr>
            </w:pPr>
            <w:r>
              <w:rPr>
                <w:rFonts w:hint="eastAsia" w:ascii="宋体" w:hAnsi="宋体"/>
                <w:b/>
                <w:szCs w:val="21"/>
              </w:rPr>
              <w:t>投标报价</w:t>
            </w:r>
          </w:p>
          <w:p>
            <w:pPr>
              <w:spacing w:line="240" w:lineRule="exact"/>
              <w:jc w:val="center"/>
              <w:rPr>
                <w:rFonts w:ascii="宋体" w:hAnsi="宋体"/>
                <w:b/>
                <w:szCs w:val="21"/>
              </w:rPr>
            </w:pPr>
            <w:r>
              <w:rPr>
                <w:rFonts w:hint="eastAsia" w:ascii="宋体" w:hAnsi="宋体"/>
                <w:b/>
                <w:szCs w:val="21"/>
              </w:rPr>
              <w:t>与费用</w:t>
            </w:r>
          </w:p>
        </w:tc>
        <w:tc>
          <w:tcPr>
            <w:tcW w:w="7596" w:type="dxa"/>
            <w:gridSpan w:val="3"/>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40" w:lineRule="exact"/>
              <w:rPr>
                <w:rFonts w:ascii="宋体" w:hAnsi="宋体"/>
                <w:szCs w:val="21"/>
              </w:rPr>
            </w:pPr>
            <w:r>
              <w:rPr>
                <w:rFonts w:hint="eastAsia" w:ascii="宋体" w:hAnsi="宋体"/>
                <w:szCs w:val="21"/>
              </w:rPr>
              <w:t>1、本项目的投标应以人民币报价，投标报价应包括所有费用。</w:t>
            </w:r>
          </w:p>
          <w:p>
            <w:pPr>
              <w:spacing w:line="240" w:lineRule="exact"/>
              <w:rPr>
                <w:rFonts w:asciiTheme="minorEastAsia" w:hAnsiTheme="minorEastAsia" w:eastAsiaTheme="minorEastAsia"/>
                <w:bCs/>
                <w:szCs w:val="21"/>
              </w:rPr>
            </w:pPr>
            <w:r>
              <w:rPr>
                <w:rFonts w:hint="eastAsia" w:ascii="宋体" w:hAnsi="宋体"/>
                <w:szCs w:val="21"/>
              </w:rPr>
              <w:t>2、投</w:t>
            </w:r>
            <w:r>
              <w:rPr>
                <w:rFonts w:hint="eastAsia" w:asciiTheme="minorEastAsia" w:hAnsiTheme="minorEastAsia" w:eastAsiaTheme="minorEastAsia"/>
                <w:bCs/>
                <w:szCs w:val="21"/>
              </w:rPr>
              <w:t>标人应承担其参加本招标活动自身所发生的费用。</w:t>
            </w:r>
          </w:p>
          <w:p>
            <w:pPr>
              <w:spacing w:line="240" w:lineRule="exact"/>
              <w:rPr>
                <w:rFonts w:asciiTheme="minorEastAsia" w:hAnsiTheme="minorEastAsia" w:eastAsiaTheme="minorEastAsia"/>
                <w:bCs/>
                <w:szCs w:val="21"/>
              </w:rPr>
            </w:pPr>
            <w:r>
              <w:rPr>
                <w:rFonts w:hint="eastAsia" w:asciiTheme="minorEastAsia" w:hAnsiTheme="minorEastAsia" w:eastAsiaTheme="minorEastAsia"/>
                <w:bCs/>
                <w:szCs w:val="21"/>
              </w:rPr>
              <w:t>3、中标供应商须缴纳招标代理费，收费标准为：人民币叁万壹仟元整（31000.00元）。</w:t>
            </w:r>
          </w:p>
          <w:p>
            <w:pPr>
              <w:spacing w:line="240" w:lineRule="exact"/>
              <w:rPr>
                <w:rFonts w:ascii="宋体" w:hAnsi="宋体"/>
                <w:szCs w:val="21"/>
              </w:rPr>
            </w:pPr>
            <w:r>
              <w:rPr>
                <w:rFonts w:hint="eastAsia" w:ascii="宋体" w:hAnsi="宋体"/>
              </w:rPr>
              <w:t>4、中标通知书发出的同时，中标供应商应及时支付招标代理费，收到服务费后提供全额发票。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napToGrid w:val="0"/>
              <w:spacing w:line="240" w:lineRule="exact"/>
              <w:jc w:val="center"/>
              <w:rPr>
                <w:rFonts w:ascii="宋体" w:hAnsi="宋体"/>
                <w:b/>
              </w:rPr>
            </w:pPr>
            <w:r>
              <w:rPr>
                <w:rFonts w:hint="eastAsia" w:ascii="宋体" w:hAnsi="宋体"/>
                <w:b/>
              </w:rPr>
              <w:t>11</w:t>
            </w:r>
          </w:p>
        </w:tc>
        <w:tc>
          <w:tcPr>
            <w:tcW w:w="151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40" w:lineRule="exact"/>
              <w:jc w:val="center"/>
              <w:rPr>
                <w:rFonts w:ascii="宋体" w:hAnsi="宋体"/>
                <w:b/>
                <w:szCs w:val="21"/>
              </w:rPr>
            </w:pPr>
            <w:r>
              <w:rPr>
                <w:rFonts w:hint="eastAsia" w:ascii="宋体" w:hAnsi="宋体"/>
                <w:b/>
                <w:szCs w:val="21"/>
              </w:rPr>
              <w:t>银行账号</w:t>
            </w:r>
          </w:p>
        </w:tc>
        <w:tc>
          <w:tcPr>
            <w:tcW w:w="7596" w:type="dxa"/>
            <w:gridSpan w:val="3"/>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40" w:lineRule="exact"/>
              <w:rPr>
                <w:rFonts w:ascii="宋体" w:hAnsi="宋体"/>
                <w:szCs w:val="21"/>
              </w:rPr>
            </w:pPr>
            <w:r>
              <w:rPr>
                <w:rFonts w:hint="eastAsia" w:ascii="宋体" w:hAnsi="宋体"/>
                <w:szCs w:val="21"/>
              </w:rPr>
              <w:t>收款单位：深圳市国信招标有限公司舟山分公司</w:t>
            </w:r>
          </w:p>
          <w:p>
            <w:pPr>
              <w:spacing w:line="240" w:lineRule="exact"/>
              <w:rPr>
                <w:rFonts w:ascii="宋体" w:hAnsi="宋体"/>
                <w:szCs w:val="21"/>
              </w:rPr>
            </w:pPr>
            <w:r>
              <w:rPr>
                <w:rFonts w:hint="eastAsia" w:ascii="宋体" w:hAnsi="宋体"/>
                <w:szCs w:val="21"/>
              </w:rPr>
              <w:t>开户银行：中国工商银行舟山市定海区支行，</w:t>
            </w:r>
          </w:p>
          <w:p>
            <w:pPr>
              <w:spacing w:line="240" w:lineRule="exact"/>
              <w:rPr>
                <w:rFonts w:ascii="宋体" w:hAnsi="宋体"/>
                <w:szCs w:val="21"/>
              </w:rPr>
            </w:pPr>
            <w:r>
              <w:rPr>
                <w:rFonts w:hint="eastAsia" w:ascii="宋体" w:hAnsi="宋体"/>
                <w:szCs w:val="21"/>
              </w:rPr>
              <w:t>银行账号：1206020209200081758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napToGrid w:val="0"/>
              <w:spacing w:line="240" w:lineRule="exact"/>
              <w:jc w:val="center"/>
              <w:rPr>
                <w:rFonts w:ascii="宋体" w:hAnsi="宋体"/>
                <w:b/>
              </w:rPr>
            </w:pPr>
            <w:r>
              <w:rPr>
                <w:rFonts w:hint="eastAsia" w:ascii="宋体" w:hAnsi="宋体"/>
                <w:b/>
              </w:rPr>
              <w:t>12</w:t>
            </w:r>
          </w:p>
        </w:tc>
        <w:tc>
          <w:tcPr>
            <w:tcW w:w="151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napToGrid w:val="0"/>
              <w:spacing w:line="240" w:lineRule="exact"/>
              <w:jc w:val="center"/>
              <w:rPr>
                <w:rFonts w:ascii="宋体" w:hAnsi="宋体"/>
                <w:b/>
              </w:rPr>
            </w:pPr>
            <w:r>
              <w:rPr>
                <w:rFonts w:hint="eastAsia" w:ascii="宋体" w:hAnsi="宋体"/>
                <w:b/>
              </w:rPr>
              <w:t xml:space="preserve"> 投标文件的</w:t>
            </w:r>
          </w:p>
          <w:p>
            <w:pPr>
              <w:snapToGrid w:val="0"/>
              <w:spacing w:line="240" w:lineRule="exact"/>
              <w:jc w:val="center"/>
              <w:rPr>
                <w:rFonts w:ascii="宋体" w:hAnsi="宋体"/>
                <w:b/>
              </w:rPr>
            </w:pPr>
            <w:r>
              <w:rPr>
                <w:rFonts w:hint="eastAsia" w:ascii="宋体" w:hAnsi="宋体"/>
                <w:b/>
              </w:rPr>
              <w:t>组成</w:t>
            </w:r>
          </w:p>
        </w:tc>
        <w:tc>
          <w:tcPr>
            <w:tcW w:w="7596" w:type="dxa"/>
            <w:gridSpan w:val="3"/>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napToGrid w:val="0"/>
              <w:spacing w:line="240" w:lineRule="exact"/>
              <w:rPr>
                <w:rFonts w:ascii="宋体" w:hAnsi="宋体"/>
                <w:szCs w:val="21"/>
              </w:rPr>
            </w:pPr>
            <w:r>
              <w:rPr>
                <w:rFonts w:hint="eastAsia" w:ascii="宋体" w:hAnsi="宋体"/>
                <w:szCs w:val="21"/>
              </w:rPr>
              <w:t>投标文件由资格响应文件、商务及技术响应文件、报价文件组成。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15" w:type="dxa"/>
              <w:right w:w="15" w:type="dxa"/>
            </w:tcMar>
            <w:vAlign w:val="center"/>
          </w:tcPr>
          <w:p>
            <w:pPr>
              <w:snapToGrid w:val="0"/>
              <w:spacing w:line="240" w:lineRule="exact"/>
              <w:jc w:val="center"/>
              <w:rPr>
                <w:rFonts w:ascii="宋体" w:hAnsi="宋体"/>
                <w:b/>
              </w:rPr>
            </w:pPr>
            <w:r>
              <w:rPr>
                <w:rFonts w:hint="eastAsia" w:ascii="宋体" w:hAnsi="宋体"/>
                <w:b/>
              </w:rPr>
              <w:t>13</w:t>
            </w:r>
          </w:p>
        </w:tc>
        <w:tc>
          <w:tcPr>
            <w:tcW w:w="1512"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bottom w:w="15" w:type="dxa"/>
              <w:right w:w="15" w:type="dxa"/>
            </w:tcMar>
            <w:vAlign w:val="center"/>
          </w:tcPr>
          <w:p>
            <w:pPr>
              <w:snapToGrid w:val="0"/>
              <w:spacing w:line="240" w:lineRule="exact"/>
              <w:jc w:val="center"/>
              <w:rPr>
                <w:rFonts w:ascii="宋体" w:hAnsi="宋体"/>
                <w:b/>
              </w:rPr>
            </w:pPr>
            <w:r>
              <w:rPr>
                <w:rFonts w:hint="eastAsia" w:ascii="宋体" w:hAnsi="宋体"/>
                <w:b/>
              </w:rPr>
              <w:t>投标文件的</w:t>
            </w:r>
          </w:p>
          <w:p>
            <w:pPr>
              <w:spacing w:line="360" w:lineRule="auto"/>
              <w:ind w:firstLine="517" w:firstLineChars="245"/>
              <w:rPr>
                <w:b/>
                <w:szCs w:val="21"/>
                <w:shd w:val="pct10" w:color="auto" w:fill="FFFFFF"/>
              </w:rPr>
            </w:pPr>
            <w:r>
              <w:rPr>
                <w:rFonts w:hint="eastAsia" w:ascii="宋体" w:hAnsi="宋体"/>
                <w:b/>
              </w:rPr>
              <w:t>制作</w:t>
            </w:r>
          </w:p>
        </w:tc>
        <w:tc>
          <w:tcPr>
            <w:tcW w:w="7596" w:type="dxa"/>
            <w:gridSpan w:val="3"/>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rPr>
                <w:szCs w:val="21"/>
              </w:rPr>
            </w:pPr>
            <w:r>
              <w:rPr>
                <w:rFonts w:hint="eastAsia"/>
                <w:szCs w:val="21"/>
              </w:rPr>
              <w:t>本项目实行电子投标。</w:t>
            </w:r>
          </w:p>
          <w:p>
            <w:pPr>
              <w:rPr>
                <w:szCs w:val="21"/>
              </w:rPr>
            </w:pPr>
            <w:r>
              <w:rPr>
                <w:rFonts w:hint="eastAsia"/>
                <w:szCs w:val="21"/>
              </w:rPr>
              <w:t>投标人应准备电子投标文件、以介质存储的数据电文形式的备份投标文件、纸质备份投标文件三类：</w:t>
            </w:r>
          </w:p>
          <w:p>
            <w:pPr>
              <w:rPr>
                <w:szCs w:val="21"/>
              </w:rPr>
            </w:pPr>
            <w:r>
              <w:rPr>
                <w:rFonts w:hint="eastAsia"/>
                <w:szCs w:val="21"/>
              </w:rPr>
              <w:t>（1）电子投标文件，按政采云平台项目采购-电子交易操作指南及本招标文件要求递交。</w:t>
            </w:r>
          </w:p>
          <w:p>
            <w:pPr>
              <w:rPr>
                <w:szCs w:val="21"/>
              </w:rPr>
            </w:pPr>
            <w:r>
              <w:rPr>
                <w:rFonts w:hint="eastAsia"/>
                <w:szCs w:val="21"/>
              </w:rPr>
              <w:t>（2）以介质存储的数据电文形式的备份投标文件，按政采云平台项目采购-电子交易操作指南中上传的电子投标文件格式，以U盘形式存储提供。数量为1份。</w:t>
            </w:r>
          </w:p>
          <w:p>
            <w:pPr>
              <w:rPr>
                <w:szCs w:val="21"/>
              </w:rPr>
            </w:pPr>
            <w:r>
              <w:rPr>
                <w:rFonts w:hint="eastAsia"/>
                <w:szCs w:val="21"/>
              </w:rPr>
              <w:t>（3）纸质备份投标文件将以纸质文件的形式递交。数量为：正本、副本各1份。（报价文件正本一份，副本一份，单独密封）</w:t>
            </w:r>
          </w:p>
          <w:p>
            <w:pPr>
              <w:spacing w:line="300" w:lineRule="auto"/>
              <w:rPr>
                <w:rFonts w:ascii="宋体" w:hAnsi="宋体"/>
                <w:szCs w:val="21"/>
              </w:rPr>
            </w:pPr>
            <w:r>
              <w:rPr>
                <w:rFonts w:hint="eastAsia"/>
                <w:szCs w:val="21"/>
              </w:rPr>
              <w:t>投标文件均由</w:t>
            </w:r>
            <w:r>
              <w:rPr>
                <w:rFonts w:hint="eastAsia" w:ascii="宋体" w:hAnsi="宋体"/>
                <w:szCs w:val="21"/>
              </w:rPr>
              <w:t>资格响应文件、商务及技术响应文件、报价文件组成。</w:t>
            </w:r>
          </w:p>
          <w:p>
            <w:pPr>
              <w:spacing w:line="300" w:lineRule="auto"/>
              <w:rPr>
                <w:rFonts w:ascii="宋体" w:hAnsi="宋体" w:cs="宋体"/>
                <w:sz w:val="22"/>
              </w:rPr>
            </w:pPr>
            <w:r>
              <w:rPr>
                <w:rFonts w:hint="eastAsia" w:cs="(使用中文字体)"/>
                <w:b/>
                <w:szCs w:val="21"/>
              </w:rPr>
              <w:t>投标人可以不提供备份投标文件，造成项目开评标活动无法进行下去的，投标无效，相关风险由投标人自行承担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napToGrid w:val="0"/>
              <w:spacing w:line="240" w:lineRule="exact"/>
              <w:jc w:val="center"/>
              <w:rPr>
                <w:rFonts w:ascii="宋体" w:hAnsi="宋体"/>
                <w:b/>
              </w:rPr>
            </w:pPr>
            <w:r>
              <w:rPr>
                <w:rFonts w:hint="eastAsia" w:ascii="宋体" w:hAnsi="宋体"/>
                <w:b/>
              </w:rPr>
              <w:t>14</w:t>
            </w:r>
          </w:p>
        </w:tc>
        <w:tc>
          <w:tcPr>
            <w:tcW w:w="151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napToGrid w:val="0"/>
              <w:spacing w:line="240" w:lineRule="exact"/>
              <w:jc w:val="center"/>
              <w:rPr>
                <w:rFonts w:ascii="宋体" w:hAnsi="宋体"/>
                <w:b/>
              </w:rPr>
            </w:pPr>
            <w:r>
              <w:rPr>
                <w:rFonts w:hint="eastAsia" w:ascii="宋体" w:hAnsi="宋体"/>
                <w:b/>
              </w:rPr>
              <w:t>投标文件的</w:t>
            </w:r>
          </w:p>
          <w:p>
            <w:pPr>
              <w:spacing w:line="300" w:lineRule="auto"/>
              <w:jc w:val="center"/>
              <w:rPr>
                <w:rFonts w:ascii="宋体" w:hAnsi="宋体" w:cs="宋体"/>
                <w:b/>
                <w:sz w:val="22"/>
                <w:shd w:val="pct10" w:color="auto" w:fill="FFFFFF"/>
              </w:rPr>
            </w:pPr>
            <w:r>
              <w:rPr>
                <w:rFonts w:hint="eastAsia" w:ascii="宋体" w:hAnsi="宋体"/>
                <w:b/>
              </w:rPr>
              <w:t>组成</w:t>
            </w:r>
          </w:p>
        </w:tc>
        <w:tc>
          <w:tcPr>
            <w:tcW w:w="7596" w:type="dxa"/>
            <w:gridSpan w:val="3"/>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64" w:lineRule="auto"/>
              <w:rPr>
                <w:rFonts w:ascii="宋体" w:hAnsi="宋体" w:cs="宋体"/>
                <w:sz w:val="22"/>
              </w:rPr>
            </w:pPr>
            <w:r>
              <w:rPr>
                <w:rFonts w:hint="eastAsia" w:ascii="宋体" w:hAnsi="宋体" w:cs="宋体"/>
                <w:sz w:val="22"/>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spacing w:line="264" w:lineRule="auto"/>
              <w:rPr>
                <w:rFonts w:ascii="宋体" w:hAnsi="宋体" w:cs="宋体"/>
                <w:sz w:val="22"/>
              </w:rPr>
            </w:pPr>
            <w:r>
              <w:rPr>
                <w:rFonts w:hint="eastAsia" w:ascii="宋体" w:hAnsi="宋体" w:cs="宋体"/>
                <w:sz w:val="22"/>
              </w:rPr>
              <w:t>投标人应当在规定时间前将以介质存储的数据电文形式的备份投标文件和纸质备份投标文件寄到或送达采购代理公司：舟山市定海区昌国路232号中楼202。逾期送达或未密封将被拒收。也可现场递交。</w:t>
            </w:r>
          </w:p>
          <w:p>
            <w:pPr>
              <w:spacing w:line="264" w:lineRule="auto"/>
              <w:rPr>
                <w:rFonts w:ascii="宋体" w:hAnsi="宋体" w:cs="宋体"/>
                <w:sz w:val="22"/>
              </w:rPr>
            </w:pPr>
            <w:r>
              <w:rPr>
                <w:rFonts w:hint="eastAsia" w:ascii="宋体" w:hAnsi="宋体" w:cs="宋体"/>
                <w:sz w:val="22"/>
              </w:rPr>
              <w:t>投标人递交以介质存储的数据电文形式的备份投标文件和纸质备份投标文件时，如出现下列情况之一的，将被拒收：</w:t>
            </w:r>
          </w:p>
          <w:p>
            <w:pPr>
              <w:spacing w:line="264" w:lineRule="auto"/>
              <w:rPr>
                <w:rFonts w:ascii="宋体" w:hAnsi="宋体" w:cs="宋体"/>
                <w:sz w:val="22"/>
              </w:rPr>
            </w:pPr>
            <w:r>
              <w:rPr>
                <w:rFonts w:hint="eastAsia" w:ascii="宋体" w:hAnsi="宋体" w:cs="宋体"/>
                <w:sz w:val="22"/>
              </w:rPr>
              <w:t>1、未按规定密封或标记的投标文件；</w:t>
            </w:r>
          </w:p>
          <w:p>
            <w:pPr>
              <w:spacing w:line="264" w:lineRule="auto"/>
              <w:rPr>
                <w:rFonts w:ascii="宋体" w:hAnsi="宋体" w:cs="宋体"/>
                <w:sz w:val="22"/>
              </w:rPr>
            </w:pPr>
            <w:r>
              <w:rPr>
                <w:rFonts w:hint="eastAsia" w:ascii="宋体" w:hAnsi="宋体" w:cs="宋体"/>
                <w:sz w:val="22"/>
              </w:rPr>
              <w:t>2、由于包装不妥，在送交途中严重破损或失散的；</w:t>
            </w:r>
          </w:p>
          <w:p>
            <w:pPr>
              <w:spacing w:line="264" w:lineRule="auto"/>
              <w:rPr>
                <w:rFonts w:ascii="宋体" w:hAnsi="宋体" w:cs="宋体"/>
                <w:sz w:val="22"/>
              </w:rPr>
            </w:pPr>
            <w:r>
              <w:rPr>
                <w:rFonts w:hint="eastAsia" w:ascii="宋体" w:hAnsi="宋体" w:cs="宋体"/>
                <w:sz w:val="22"/>
              </w:rPr>
              <w:t>3、未成功办理投标人报名手续的；</w:t>
            </w:r>
          </w:p>
          <w:p>
            <w:pPr>
              <w:spacing w:line="264" w:lineRule="auto"/>
              <w:rPr>
                <w:rFonts w:ascii="宋体" w:hAnsi="宋体" w:cs="宋体"/>
                <w:sz w:val="22"/>
              </w:rPr>
            </w:pPr>
            <w:r>
              <w:rPr>
                <w:rFonts w:hint="eastAsia" w:ascii="宋体" w:hAnsi="宋体" w:cs="宋体"/>
                <w:sz w:val="22"/>
              </w:rPr>
              <w:t>4、超过截止时间送达的；</w:t>
            </w:r>
          </w:p>
          <w:p>
            <w:pPr>
              <w:spacing w:line="264" w:lineRule="auto"/>
              <w:rPr>
                <w:rFonts w:ascii="宋体" w:hAnsi="宋体" w:cs="宋体"/>
                <w:sz w:val="22"/>
              </w:rPr>
            </w:pPr>
            <w:r>
              <w:rPr>
                <w:rFonts w:hint="eastAsia" w:ascii="宋体" w:hAnsi="宋体" w:cs="宋体"/>
                <w:sz w:val="22"/>
              </w:rPr>
              <w:t>仅提供备份投标文件的，投标无效。</w:t>
            </w:r>
          </w:p>
          <w:p>
            <w:pPr>
              <w:spacing w:line="264" w:lineRule="auto"/>
              <w:rPr>
                <w:rFonts w:ascii="宋体" w:hAnsi="宋体" w:cs="宋体"/>
                <w:sz w:val="22"/>
              </w:rPr>
            </w:pPr>
            <w:r>
              <w:rPr>
                <w:rFonts w:hint="eastAsia" w:ascii="宋体" w:hAnsi="宋体" w:cs="宋体"/>
                <w:sz w:val="22"/>
              </w:rPr>
              <w:t>仅提供其中一种形式的备份投标文件，造成项目开评标活动无法进行下去的，投标无效，相关风险由投标人自行承担。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napToGrid w:val="0"/>
              <w:jc w:val="center"/>
              <w:rPr>
                <w:rFonts w:ascii="宋体" w:hAnsi="宋体"/>
                <w:b/>
              </w:rPr>
            </w:pPr>
            <w:r>
              <w:rPr>
                <w:rFonts w:hint="eastAsia" w:ascii="宋体" w:hAnsi="宋体"/>
                <w:b/>
              </w:rPr>
              <w:t>15</w:t>
            </w:r>
          </w:p>
        </w:tc>
        <w:tc>
          <w:tcPr>
            <w:tcW w:w="151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jc w:val="center"/>
              <w:rPr>
                <w:rFonts w:ascii="宋体" w:hAnsi="宋体"/>
                <w:b/>
                <w:szCs w:val="21"/>
              </w:rPr>
            </w:pPr>
            <w:r>
              <w:rPr>
                <w:rFonts w:hint="eastAsia" w:ascii="宋体" w:hAnsi="宋体"/>
                <w:b/>
                <w:szCs w:val="21"/>
              </w:rPr>
              <w:t>投标人</w:t>
            </w:r>
            <w:r>
              <w:rPr>
                <w:rFonts w:ascii="宋体" w:hAnsi="宋体"/>
                <w:b/>
                <w:szCs w:val="21"/>
              </w:rPr>
              <w:t>注册</w:t>
            </w:r>
          </w:p>
        </w:tc>
        <w:tc>
          <w:tcPr>
            <w:tcW w:w="7596" w:type="dxa"/>
            <w:gridSpan w:val="3"/>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beforeLines="10"/>
              <w:jc w:val="left"/>
              <w:rPr>
                <w:rFonts w:ascii="宋体" w:hAnsi="宋体"/>
                <w:bCs/>
                <w:snapToGrid w:val="0"/>
                <w:kern w:val="0"/>
              </w:rPr>
            </w:pPr>
            <w:r>
              <w:rPr>
                <w:rFonts w:ascii="宋体" w:hAnsi="宋体"/>
                <w:bCs/>
                <w:snapToGrid w:val="0"/>
                <w:kern w:val="0"/>
              </w:rPr>
              <w:t>各</w:t>
            </w:r>
            <w:r>
              <w:rPr>
                <w:rFonts w:hint="eastAsia" w:ascii="宋体" w:hAnsi="宋体"/>
                <w:bCs/>
                <w:snapToGrid w:val="0"/>
                <w:kern w:val="0"/>
              </w:rPr>
              <w:t>投标人</w:t>
            </w:r>
            <w:r>
              <w:rPr>
                <w:rFonts w:ascii="宋体" w:hAnsi="宋体"/>
                <w:bCs/>
                <w:snapToGrid w:val="0"/>
                <w:kern w:val="0"/>
              </w:rPr>
              <w:t>须在投标截止时间前根据浙江省财政厅《关于开展政府采购</w:t>
            </w:r>
            <w:r>
              <w:rPr>
                <w:rFonts w:hint="eastAsia" w:ascii="宋体" w:hAnsi="宋体"/>
                <w:bCs/>
                <w:snapToGrid w:val="0"/>
                <w:kern w:val="0"/>
              </w:rPr>
              <w:t>投标人</w:t>
            </w:r>
            <w:r>
              <w:rPr>
                <w:rFonts w:ascii="宋体" w:hAnsi="宋体"/>
                <w:bCs/>
                <w:snapToGrid w:val="0"/>
                <w:kern w:val="0"/>
              </w:rPr>
              <w:t>网上注册登记和诚信管理工作的通知》（浙财采监【2010】8号文）的要求，通过浙江政府采购网申请注册加入政府采购</w:t>
            </w:r>
            <w:r>
              <w:rPr>
                <w:rFonts w:hint="eastAsia" w:ascii="宋体" w:hAnsi="宋体"/>
                <w:bCs/>
                <w:snapToGrid w:val="0"/>
                <w:kern w:val="0"/>
              </w:rPr>
              <w:t>投标人</w:t>
            </w:r>
            <w:r>
              <w:rPr>
                <w:rFonts w:ascii="宋体" w:hAnsi="宋体"/>
                <w:bCs/>
                <w:snapToGrid w:val="0"/>
                <w:kern w:val="0"/>
              </w:rPr>
              <w:t>库。以免影响享受相关政策优惠及成交后的款项支付。</w:t>
            </w:r>
          </w:p>
          <w:p>
            <w:pPr>
              <w:spacing w:beforeLines="10"/>
              <w:jc w:val="left"/>
              <w:rPr>
                <w:rFonts w:ascii="宋体" w:hAnsi="宋体"/>
                <w:szCs w:val="21"/>
              </w:rPr>
            </w:pPr>
            <w:r>
              <w:rPr>
                <w:rFonts w:hint="eastAsia" w:ascii="宋体" w:hAnsi="宋体"/>
                <w:bCs/>
                <w:snapToGrid w:val="0"/>
                <w:kern w:val="0"/>
              </w:rPr>
              <w:t>投标人</w:t>
            </w:r>
            <w:r>
              <w:rPr>
                <w:rFonts w:ascii="宋体" w:hAnsi="宋体"/>
                <w:bCs/>
                <w:snapToGrid w:val="0"/>
                <w:kern w:val="0"/>
              </w:rPr>
              <w:t>在申请注册前，请认真阅读，学习《中华人民共和国政府采购法》和《浙江省政府采购</w:t>
            </w:r>
            <w:r>
              <w:rPr>
                <w:rFonts w:hint="eastAsia" w:ascii="宋体" w:hAnsi="宋体"/>
                <w:bCs/>
                <w:snapToGrid w:val="0"/>
                <w:kern w:val="0"/>
              </w:rPr>
              <w:t>投标人</w:t>
            </w:r>
            <w:r>
              <w:rPr>
                <w:rFonts w:ascii="宋体" w:hAnsi="宋体"/>
                <w:bCs/>
                <w:snapToGrid w:val="0"/>
                <w:kern w:val="0"/>
              </w:rPr>
              <w:t>注册及诚信管理暂行办法》等相关法规规定。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9"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napToGrid w:val="0"/>
              <w:spacing w:line="240" w:lineRule="exact"/>
              <w:jc w:val="center"/>
              <w:rPr>
                <w:rFonts w:ascii="宋体" w:hAnsi="宋体"/>
                <w:b/>
              </w:rPr>
            </w:pPr>
            <w:r>
              <w:rPr>
                <w:rFonts w:hint="eastAsia" w:ascii="宋体" w:hAnsi="宋体"/>
                <w:b/>
              </w:rPr>
              <w:t>16</w:t>
            </w:r>
          </w:p>
        </w:tc>
        <w:tc>
          <w:tcPr>
            <w:tcW w:w="151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jc w:val="center"/>
              <w:rPr>
                <w:rFonts w:ascii="宋体" w:hAnsi="宋体"/>
                <w:b/>
                <w:szCs w:val="21"/>
              </w:rPr>
            </w:pPr>
            <w:r>
              <w:rPr>
                <w:rFonts w:ascii="宋体" w:hAnsi="宋体"/>
                <w:b/>
                <w:szCs w:val="21"/>
              </w:rPr>
              <w:t>不良信用记录查询</w:t>
            </w:r>
          </w:p>
        </w:tc>
        <w:tc>
          <w:tcPr>
            <w:tcW w:w="7596" w:type="dxa"/>
            <w:gridSpan w:val="3"/>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rPr>
                <w:rFonts w:ascii="宋体" w:hAnsi="宋体" w:cs="宋体"/>
                <w:szCs w:val="21"/>
              </w:rPr>
            </w:pPr>
            <w:r>
              <w:rPr>
                <w:rFonts w:hint="eastAsia" w:ascii="宋体" w:hAnsi="宋体" w:cs="宋体"/>
                <w:szCs w:val="21"/>
              </w:rPr>
              <w:t>根据财库[2016]125号文件：</w:t>
            </w:r>
          </w:p>
          <w:p>
            <w:pPr>
              <w:rPr>
                <w:rFonts w:ascii="宋体" w:hAnsi="宋体" w:cs="宋体"/>
                <w:szCs w:val="21"/>
              </w:rPr>
            </w:pPr>
            <w:r>
              <w:rPr>
                <w:rFonts w:hint="eastAsia" w:ascii="宋体" w:hAnsi="宋体" w:cs="宋体"/>
                <w:szCs w:val="21"/>
              </w:rPr>
              <w:t>1、至本项目投标截止前未被列入“信用中国”网站(www.creditchina.gov.cn)“记录失信被执行人或重大税收违法案件当事人名单”记录名单。</w:t>
            </w:r>
          </w:p>
          <w:p>
            <w:pPr>
              <w:rPr>
                <w:rFonts w:ascii="宋体" w:hAnsi="宋体" w:cs="宋体"/>
                <w:szCs w:val="21"/>
              </w:rPr>
            </w:pPr>
            <w:r>
              <w:rPr>
                <w:rFonts w:hint="eastAsia" w:ascii="宋体" w:hAnsi="宋体" w:cs="宋体"/>
                <w:szCs w:val="21"/>
              </w:rPr>
              <w:t>2、至本项目投标截止前不处于中国政府采购网(www.ccgp.gov.cn)“政府采购严重违法失信行为信息记录”中的禁止参加政府采购活动期间。</w:t>
            </w:r>
          </w:p>
          <w:p>
            <w:pPr>
              <w:rPr>
                <w:rFonts w:ascii="宋体" w:hAnsi="宋体"/>
              </w:rPr>
            </w:pPr>
            <w:r>
              <w:rPr>
                <w:rFonts w:hint="eastAsia" w:ascii="宋体" w:hAnsi="宋体" w:cs="宋体"/>
                <w:szCs w:val="21"/>
              </w:rPr>
              <w:t>提供</w:t>
            </w:r>
            <w:r>
              <w:rPr>
                <w:b/>
              </w:rPr>
              <w:t>查询</w:t>
            </w:r>
            <w:r>
              <w:rPr>
                <w:rFonts w:hint="eastAsia"/>
                <w:b/>
              </w:rPr>
              <w:t>截图</w:t>
            </w:r>
            <w:r>
              <w:rPr>
                <w:b/>
              </w:rPr>
              <w:t>，</w:t>
            </w:r>
            <w:r>
              <w:rPr>
                <w:rFonts w:hint="eastAsia"/>
                <w:b/>
              </w:rPr>
              <w:t>（截图查询网站时间须在开标截止前二个星期内）。</w:t>
            </w:r>
            <w:r>
              <w:rPr>
                <w:rFonts w:hint="eastAsia" w:ascii="宋体" w:hAnsi="宋体" w:cs="宋体"/>
                <w:szCs w:val="21"/>
              </w:rPr>
              <w:t>对列入失信被执行人、重大税收违法案件当事人名单、政府采购严重违法失信行为记录名单的供应商，</w:t>
            </w:r>
            <w:r>
              <w:rPr>
                <w:rFonts w:hint="eastAsia" w:ascii="宋体" w:hAnsi="宋体" w:cs="宋体"/>
                <w:b/>
                <w:szCs w:val="21"/>
              </w:rPr>
              <w:t>其投标将作无效标处理</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napToGrid w:val="0"/>
              <w:spacing w:line="240" w:lineRule="exact"/>
              <w:jc w:val="center"/>
              <w:rPr>
                <w:rFonts w:ascii="宋体" w:hAnsi="宋体"/>
                <w:b/>
              </w:rPr>
            </w:pPr>
            <w:r>
              <w:rPr>
                <w:rFonts w:hint="eastAsia" w:ascii="宋体" w:hAnsi="宋体"/>
                <w:b/>
              </w:rPr>
              <w:t>17</w:t>
            </w:r>
          </w:p>
        </w:tc>
        <w:tc>
          <w:tcPr>
            <w:tcW w:w="151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jc w:val="center"/>
              <w:rPr>
                <w:rFonts w:ascii="宋体" w:hAnsi="宋体"/>
                <w:b/>
                <w:szCs w:val="21"/>
              </w:rPr>
            </w:pPr>
            <w:r>
              <w:rPr>
                <w:rFonts w:hint="eastAsia" w:ascii="宋体" w:hAnsi="宋体"/>
                <w:b/>
                <w:szCs w:val="21"/>
              </w:rPr>
              <w:t>中小企业有关政策</w:t>
            </w:r>
          </w:p>
        </w:tc>
        <w:tc>
          <w:tcPr>
            <w:tcW w:w="7596" w:type="dxa"/>
            <w:gridSpan w:val="3"/>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napToGrid w:val="0"/>
              <w:rPr>
                <w:rFonts w:ascii="宋体" w:hAnsi="宋体" w:cs="宋体"/>
                <w:szCs w:val="21"/>
              </w:rPr>
            </w:pPr>
            <w:r>
              <w:rPr>
                <w:rFonts w:hint="eastAsia" w:ascii="宋体" w:hAnsi="宋体" w:cs="宋体"/>
                <w:szCs w:val="21"/>
              </w:rPr>
              <w:t>（1）根据财政部发布的关于印发《政府采购促进中小企业发展管理办法》的通知（财库﹝2020﹞46 号）规定，本项目对小型和微型企业的价格给予6%的扣除。属于小型和微型企业的，投标文件中投标人必须提供《中小企业声明函》。</w:t>
            </w:r>
          </w:p>
          <w:p>
            <w:pPr>
              <w:snapToGrid w:val="0"/>
              <w:rPr>
                <w:rFonts w:ascii="宋体" w:hAnsi="宋体" w:cs="宋体"/>
                <w:szCs w:val="21"/>
              </w:rPr>
            </w:pPr>
            <w:r>
              <w:rPr>
                <w:rFonts w:hint="eastAsia" w:ascii="宋体" w:hAnsi="宋体" w:cs="宋体"/>
                <w:szCs w:val="21"/>
              </w:rPr>
              <w:t>未提供完整证明材料的，投标报价不予扣减。</w:t>
            </w:r>
          </w:p>
          <w:p>
            <w:pPr>
              <w:snapToGrid w:val="0"/>
              <w:rPr>
                <w:rFonts w:ascii="宋体" w:hAnsi="宋体" w:cs="宋体"/>
                <w:szCs w:val="21"/>
              </w:rPr>
            </w:pPr>
            <w:r>
              <w:rPr>
                <w:rFonts w:hint="eastAsia" w:ascii="宋体" w:hAnsi="宋体" w:cs="宋体"/>
                <w:szCs w:val="21"/>
              </w:rPr>
              <w:t>（2）根据《关于政府采购支持监狱企业发展有关问题的通知》（财库[2014]68号）的规定，供应商如为监狱企业且所投产品为小型或微型企业生产的，其投标报价扣除6%后参与评审。</w:t>
            </w:r>
          </w:p>
          <w:p>
            <w:pPr>
              <w:snapToGrid w:val="0"/>
              <w:rPr>
                <w:rFonts w:ascii="宋体" w:hAnsi="宋体" w:cs="宋体"/>
                <w:szCs w:val="21"/>
              </w:rPr>
            </w:pPr>
            <w:r>
              <w:rPr>
                <w:rFonts w:hint="eastAsia" w:ascii="宋体" w:hAnsi="宋体" w:cs="宋体"/>
                <w:szCs w:val="21"/>
              </w:rPr>
              <w:t>投标文件中须同时提供：供应商的省级以上监狱管理局、戒毒管理局（含新疆生产建设兵团）出具的属于监狱企业的证明文件，投标产品制造商的小微企业证明，未提供完整证明材料的，投标报价不予扣减。</w:t>
            </w:r>
          </w:p>
          <w:p>
            <w:pPr>
              <w:snapToGrid w:val="0"/>
              <w:rPr>
                <w:rFonts w:ascii="宋体" w:hAnsi="宋体" w:cs="宋体"/>
                <w:szCs w:val="21"/>
              </w:rPr>
            </w:pPr>
            <w:r>
              <w:rPr>
                <w:rFonts w:hint="eastAsia" w:ascii="宋体" w:hAnsi="宋体" w:cs="宋体"/>
                <w:szCs w:val="21"/>
              </w:rPr>
              <w:t>（3）根据《财政部、民政部、中国残疾人联合会关于促进残疾人就业政府采购政策的通知》（财库〔2017〕141号）的规定，残疾人福利性单位视同小型、微型企业，享受预留份额、评审中价格扣除等促进中小企业发展的政府采购政策。</w:t>
            </w:r>
          </w:p>
          <w:p>
            <w:pPr>
              <w:snapToGrid w:val="0"/>
              <w:rPr>
                <w:rFonts w:ascii="宋体" w:hAnsi="宋体" w:cs="宋体"/>
                <w:szCs w:val="21"/>
              </w:rPr>
            </w:pPr>
            <w:r>
              <w:rPr>
                <w:rFonts w:hint="eastAsia" w:ascii="宋体" w:hAnsi="宋体" w:cs="宋体"/>
                <w:szCs w:val="21"/>
              </w:rPr>
              <w:t>投标文件中须提供：《残疾人福利性单位声明函》，未提供完整证明材料的，投标报价不予扣减。</w:t>
            </w:r>
          </w:p>
          <w:p>
            <w:pPr>
              <w:snapToGrid w:val="0"/>
              <w:rPr>
                <w:rFonts w:ascii="宋体" w:hAnsi="宋体" w:cs="宋体"/>
                <w:szCs w:val="21"/>
              </w:rPr>
            </w:pPr>
            <w:r>
              <w:rPr>
                <w:rFonts w:hint="eastAsia" w:ascii="宋体" w:hAnsi="宋体" w:cs="宋体"/>
                <w:szCs w:val="21"/>
              </w:rPr>
              <w:t>上述（1），（2），（3）政策不重复计算。</w:t>
            </w:r>
          </w:p>
          <w:p>
            <w:pPr>
              <w:pStyle w:val="2"/>
              <w:rPr>
                <w:b/>
                <w:sz w:val="21"/>
                <w:szCs w:val="21"/>
              </w:rPr>
            </w:pPr>
            <w:r>
              <w:rPr>
                <w:rFonts w:hint="eastAsia" w:ascii="宋体" w:hAnsi="宋体" w:cs="宋体"/>
                <w:szCs w:val="21"/>
              </w:rPr>
              <w:t>此项由评标委员会集体核实后统一打分。</w:t>
            </w:r>
          </w:p>
        </w:tc>
      </w:tr>
    </w:tbl>
    <w:p>
      <w:pPr>
        <w:snapToGrid w:val="0"/>
        <w:spacing w:before="120" w:line="312" w:lineRule="auto"/>
        <w:rPr>
          <w:b/>
          <w:sz w:val="28"/>
        </w:rPr>
      </w:pPr>
    </w:p>
    <w:p>
      <w:pPr>
        <w:snapToGrid w:val="0"/>
        <w:spacing w:before="120" w:line="312" w:lineRule="auto"/>
        <w:jc w:val="center"/>
        <w:rPr>
          <w:b/>
          <w:sz w:val="28"/>
        </w:rPr>
      </w:pPr>
    </w:p>
    <w:p>
      <w:pPr>
        <w:snapToGrid w:val="0"/>
        <w:spacing w:before="120" w:line="312" w:lineRule="auto"/>
        <w:jc w:val="center"/>
        <w:rPr>
          <w:b/>
          <w:sz w:val="28"/>
        </w:rPr>
      </w:pPr>
      <w:r>
        <w:rPr>
          <w:rFonts w:hint="eastAsia"/>
          <w:b/>
          <w:sz w:val="28"/>
        </w:rPr>
        <w:t>一、总则</w:t>
      </w:r>
    </w:p>
    <w:p>
      <w:pPr>
        <w:snapToGrid w:val="0"/>
        <w:spacing w:before="120" w:line="360" w:lineRule="auto"/>
        <w:ind w:right="55" w:rightChars="26"/>
        <w:rPr>
          <w:rFonts w:hAnsi="宋体"/>
          <w:b/>
          <w:sz w:val="28"/>
        </w:rPr>
      </w:pPr>
      <w:r>
        <w:rPr>
          <w:rFonts w:hint="eastAsia"/>
          <w:b/>
        </w:rPr>
        <w:t>（一）适用范围</w:t>
      </w:r>
    </w:p>
    <w:p>
      <w:pPr>
        <w:snapToGrid w:val="0"/>
        <w:spacing w:line="360" w:lineRule="auto"/>
        <w:ind w:right="55" w:rightChars="26" w:firstLine="420" w:firstLineChars="200"/>
        <w:jc w:val="left"/>
        <w:rPr>
          <w:rFonts w:ascii="宋体" w:hAnsi="宋体"/>
        </w:rPr>
      </w:pPr>
      <w:r>
        <w:rPr>
          <w:rFonts w:hint="eastAsia" w:ascii="宋体" w:hAnsi="宋体"/>
        </w:rPr>
        <w:t>本招标文件适用于</w:t>
      </w:r>
      <w:r>
        <w:rPr>
          <w:rFonts w:hint="eastAsia"/>
          <w:bCs/>
        </w:rPr>
        <w:t>浙江省岱山县第一人民医院医疗设备维修和保养服务项目</w:t>
      </w:r>
      <w:r>
        <w:rPr>
          <w:rFonts w:hint="eastAsia" w:ascii="宋体" w:hAnsi="宋体"/>
        </w:rPr>
        <w:t>的招标、投标、评标、定标、验收、合同履约、付款等行为（法律、法规另有规定的，从其规定）。</w:t>
      </w:r>
    </w:p>
    <w:p>
      <w:pPr>
        <w:snapToGrid w:val="0"/>
        <w:spacing w:line="360" w:lineRule="auto"/>
        <w:ind w:right="55" w:rightChars="26"/>
        <w:jc w:val="left"/>
        <w:outlineLvl w:val="1"/>
        <w:rPr>
          <w:rFonts w:ascii="宋体" w:hAnsi="宋体"/>
          <w:b/>
          <w:sz w:val="24"/>
        </w:rPr>
      </w:pPr>
      <w:r>
        <w:rPr>
          <w:rFonts w:hint="eastAsia" w:ascii="宋体" w:hAnsi="宋体"/>
          <w:b/>
          <w:sz w:val="24"/>
        </w:rPr>
        <w:t>（二）定义</w:t>
      </w:r>
    </w:p>
    <w:p>
      <w:pPr>
        <w:snapToGrid w:val="0"/>
        <w:spacing w:line="360" w:lineRule="auto"/>
        <w:ind w:right="55" w:rightChars="26" w:firstLine="210" w:firstLineChars="100"/>
        <w:jc w:val="left"/>
        <w:rPr>
          <w:rFonts w:ascii="宋体" w:hAnsi="宋体"/>
        </w:rPr>
      </w:pPr>
      <w:r>
        <w:rPr>
          <w:rFonts w:hint="eastAsia" w:ascii="宋体" w:hAnsi="宋体"/>
        </w:rPr>
        <w:t>1. 招标采购单位系指组织本次招标的深圳国信招标有限公司和</w:t>
      </w:r>
      <w:r>
        <w:rPr>
          <w:rFonts w:hint="eastAsia"/>
          <w:bCs/>
        </w:rPr>
        <w:t>浙江省岱山县第一人民医院</w:t>
      </w:r>
      <w:r>
        <w:rPr>
          <w:rFonts w:hint="eastAsia" w:ascii="宋体" w:hAnsi="宋体"/>
        </w:rPr>
        <w:t>。</w:t>
      </w:r>
    </w:p>
    <w:p>
      <w:pPr>
        <w:snapToGrid w:val="0"/>
        <w:spacing w:line="360" w:lineRule="auto"/>
        <w:ind w:right="55" w:rightChars="26" w:firstLine="210" w:firstLineChars="100"/>
        <w:jc w:val="left"/>
        <w:rPr>
          <w:rFonts w:ascii="宋体" w:hAnsi="宋体"/>
        </w:rPr>
      </w:pPr>
      <w:r>
        <w:rPr>
          <w:rFonts w:hint="eastAsia" w:ascii="宋体" w:hAnsi="宋体"/>
        </w:rPr>
        <w:t>2.“投标人”系指向招标人提交投标文件的单位或个人。</w:t>
      </w:r>
    </w:p>
    <w:p>
      <w:pPr>
        <w:snapToGrid w:val="0"/>
        <w:spacing w:line="360" w:lineRule="auto"/>
        <w:ind w:right="-506" w:rightChars="-241" w:firstLine="210" w:firstLineChars="100"/>
        <w:jc w:val="left"/>
        <w:rPr>
          <w:rFonts w:ascii="宋体"/>
        </w:rPr>
      </w:pPr>
      <w:r>
        <w:rPr>
          <w:rFonts w:ascii="宋体" w:hAnsi="宋体"/>
        </w:rPr>
        <w:t>3.</w:t>
      </w:r>
      <w:r>
        <w:rPr>
          <w:rFonts w:hint="eastAsia" w:ascii="宋体" w:hAnsi="宋体"/>
        </w:rPr>
        <w:t>“产品”系指供方按招标文件规定，须向采购人提供的一切设备、保险、税金、备品备件、工具、手册及其它有关技术资料和材料。</w:t>
      </w:r>
    </w:p>
    <w:p>
      <w:pPr>
        <w:snapToGrid w:val="0"/>
        <w:spacing w:line="360" w:lineRule="auto"/>
        <w:ind w:right="-506" w:rightChars="-241" w:firstLine="210" w:firstLineChars="100"/>
        <w:jc w:val="left"/>
        <w:rPr>
          <w:rFonts w:ascii="宋体"/>
        </w:rPr>
      </w:pPr>
      <w:r>
        <w:rPr>
          <w:rFonts w:ascii="宋体" w:hAnsi="宋体"/>
        </w:rPr>
        <w:t>4.</w:t>
      </w:r>
      <w:r>
        <w:rPr>
          <w:rFonts w:hint="eastAsia" w:ascii="宋体" w:hAnsi="宋体"/>
        </w:rPr>
        <w:t>“服务”系指招标文件规定投标人须承担的安装、调试、技术协助、校准、培训、技术指导以及其他类似的义务。</w:t>
      </w:r>
    </w:p>
    <w:p>
      <w:pPr>
        <w:snapToGrid w:val="0"/>
        <w:spacing w:line="360" w:lineRule="auto"/>
        <w:ind w:firstLine="210" w:firstLineChars="100"/>
        <w:jc w:val="left"/>
        <w:rPr>
          <w:rFonts w:ascii="宋体"/>
        </w:rPr>
      </w:pPr>
      <w:r>
        <w:rPr>
          <w:rFonts w:ascii="宋体" w:hAnsi="宋体"/>
        </w:rPr>
        <w:t>5.</w:t>
      </w:r>
      <w:r>
        <w:rPr>
          <w:rFonts w:hint="eastAsia" w:ascii="宋体" w:hAnsi="宋体"/>
        </w:rPr>
        <w:t>“项目”系指投标人按招标文件规定向采购人提供的产品和服务。</w:t>
      </w:r>
    </w:p>
    <w:p>
      <w:pPr>
        <w:snapToGrid w:val="0"/>
        <w:spacing w:line="360" w:lineRule="auto"/>
        <w:ind w:firstLine="210" w:firstLineChars="100"/>
        <w:jc w:val="left"/>
        <w:rPr>
          <w:rFonts w:ascii="宋体" w:hAnsi="宋体"/>
        </w:rPr>
      </w:pPr>
      <w:r>
        <w:rPr>
          <w:rFonts w:ascii="宋体" w:hAnsi="宋体"/>
        </w:rPr>
        <w:t>6.</w:t>
      </w:r>
      <w:r>
        <w:rPr>
          <w:rFonts w:hint="eastAsia" w:ascii="宋体" w:hAnsi="宋体"/>
        </w:rPr>
        <w:t>“书面形式”包括信函、传真、电报、电子文档等。</w:t>
      </w:r>
    </w:p>
    <w:p>
      <w:pPr>
        <w:snapToGrid w:val="0"/>
        <w:spacing w:line="360" w:lineRule="auto"/>
        <w:ind w:firstLine="210" w:firstLineChars="100"/>
        <w:jc w:val="left"/>
        <w:rPr>
          <w:rFonts w:ascii="宋体"/>
        </w:rPr>
      </w:pPr>
      <w:r>
        <w:rPr>
          <w:rFonts w:hint="eastAsia" w:ascii="宋体" w:hAnsi="宋体"/>
        </w:rPr>
        <w:t>7.本招标文件要求中，凡标有“★”的地方均被视为重要的技术指标要求或性能要求。投标人要特别加以注意，必须对此回答并完全满足这些要求。否则若有一项“★”的指标未响应或不满足，将按投标无效处理。</w:t>
      </w:r>
    </w:p>
    <w:p>
      <w:pPr>
        <w:snapToGrid w:val="0"/>
        <w:spacing w:line="312" w:lineRule="auto"/>
        <w:jc w:val="left"/>
        <w:outlineLvl w:val="1"/>
        <w:rPr>
          <w:rFonts w:ascii="宋体" w:hAnsi="宋体"/>
          <w:b/>
          <w:sz w:val="24"/>
        </w:rPr>
      </w:pPr>
      <w:r>
        <w:rPr>
          <w:rFonts w:hint="eastAsia" w:ascii="宋体" w:hAnsi="宋体"/>
          <w:b/>
          <w:sz w:val="24"/>
        </w:rPr>
        <w:t>（三）招标方式</w:t>
      </w:r>
    </w:p>
    <w:p>
      <w:pPr>
        <w:snapToGrid w:val="0"/>
        <w:spacing w:line="312" w:lineRule="auto"/>
        <w:ind w:firstLine="420" w:firstLineChars="200"/>
        <w:jc w:val="left"/>
        <w:rPr>
          <w:rFonts w:ascii="宋体" w:hAnsi="宋体"/>
        </w:rPr>
      </w:pPr>
      <w:r>
        <w:t>1</w:t>
      </w:r>
      <w:r>
        <w:rPr>
          <w:rFonts w:hint="eastAsia"/>
        </w:rPr>
        <w:t>、本次招标采用公开招标方式进行。</w:t>
      </w:r>
    </w:p>
    <w:p>
      <w:pPr>
        <w:snapToGrid w:val="0"/>
        <w:spacing w:line="312" w:lineRule="auto"/>
        <w:ind w:right="55" w:rightChars="26"/>
        <w:jc w:val="left"/>
        <w:outlineLvl w:val="1"/>
        <w:rPr>
          <w:rFonts w:ascii="宋体" w:hAnsi="宋体"/>
          <w:b/>
          <w:sz w:val="24"/>
        </w:rPr>
      </w:pPr>
      <w:r>
        <w:rPr>
          <w:rFonts w:hint="eastAsia" w:ascii="宋体" w:hAnsi="宋体"/>
          <w:b/>
          <w:sz w:val="24"/>
        </w:rPr>
        <w:t>（四）投标费用</w:t>
      </w:r>
    </w:p>
    <w:p>
      <w:pPr>
        <w:snapToGrid w:val="0"/>
        <w:spacing w:line="312" w:lineRule="auto"/>
        <w:ind w:right="55" w:rightChars="26" w:firstLine="630" w:firstLineChars="300"/>
        <w:jc w:val="left"/>
        <w:rPr>
          <w:rFonts w:ascii="宋体" w:hAnsi="宋体"/>
        </w:rPr>
      </w:pPr>
      <w:r>
        <w:rPr>
          <w:rFonts w:hint="eastAsia" w:ascii="宋体" w:hAnsi="宋体"/>
        </w:rPr>
        <w:t>不论投标结果如何，投标人均应自行承担所有与投标有关的全部费用（招标文件另有规定除外）。</w:t>
      </w:r>
    </w:p>
    <w:p>
      <w:pPr>
        <w:snapToGrid w:val="0"/>
        <w:spacing w:line="312" w:lineRule="auto"/>
        <w:ind w:right="55" w:rightChars="26"/>
        <w:jc w:val="left"/>
        <w:rPr>
          <w:rFonts w:ascii="宋体" w:hAnsi="宋体"/>
          <w:b/>
          <w:sz w:val="24"/>
        </w:rPr>
      </w:pPr>
      <w:r>
        <w:rPr>
          <w:rFonts w:hint="eastAsia" w:ascii="宋体" w:hAnsi="宋体"/>
          <w:b/>
          <w:sz w:val="24"/>
        </w:rPr>
        <w:t>（五）联合体投标</w:t>
      </w:r>
    </w:p>
    <w:p>
      <w:pPr>
        <w:pStyle w:val="84"/>
        <w:spacing w:line="312" w:lineRule="auto"/>
        <w:ind w:firstLine="420"/>
        <w:rPr>
          <w:rFonts w:ascii="宋体" w:hAnsi="宋体"/>
          <w:szCs w:val="21"/>
        </w:rPr>
      </w:pPr>
      <w:r>
        <w:rPr>
          <w:rFonts w:hint="eastAsia" w:ascii="宋体" w:hAnsi="宋体"/>
          <w:szCs w:val="21"/>
        </w:rPr>
        <w:t>1.本项目不接受联合体投标。</w:t>
      </w:r>
    </w:p>
    <w:p>
      <w:pPr>
        <w:snapToGrid w:val="0"/>
        <w:spacing w:line="312" w:lineRule="auto"/>
        <w:ind w:right="55" w:rightChars="26"/>
        <w:rPr>
          <w:rFonts w:ascii="宋体" w:hAnsi="宋体"/>
          <w:b/>
          <w:sz w:val="24"/>
        </w:rPr>
      </w:pPr>
      <w:r>
        <w:rPr>
          <w:rFonts w:hint="eastAsia" w:ascii="宋体" w:hAnsi="宋体"/>
          <w:b/>
          <w:sz w:val="24"/>
        </w:rPr>
        <w:t>（六）转包与分包</w:t>
      </w:r>
    </w:p>
    <w:p>
      <w:pPr>
        <w:snapToGrid w:val="0"/>
        <w:spacing w:line="312" w:lineRule="auto"/>
        <w:ind w:right="55" w:rightChars="26" w:firstLine="525" w:firstLineChars="250"/>
        <w:rPr>
          <w:rFonts w:ascii="宋体" w:hAnsi="宋体"/>
        </w:rPr>
      </w:pPr>
      <w:r>
        <w:rPr>
          <w:rFonts w:hint="eastAsia" w:ascii="宋体" w:hAnsi="宋体"/>
        </w:rPr>
        <w:t>1.本项目不允许转包。</w:t>
      </w:r>
    </w:p>
    <w:p>
      <w:pPr>
        <w:snapToGrid w:val="0"/>
        <w:spacing w:line="312" w:lineRule="auto"/>
        <w:ind w:right="55" w:rightChars="26" w:firstLine="525" w:firstLineChars="250"/>
        <w:rPr>
          <w:rFonts w:ascii="宋体" w:hAnsi="宋体"/>
        </w:rPr>
      </w:pPr>
      <w:r>
        <w:rPr>
          <w:rFonts w:hint="eastAsia" w:ascii="宋体" w:hAnsi="宋体"/>
        </w:rPr>
        <w:t>2.本项目不允许分包。</w:t>
      </w:r>
    </w:p>
    <w:p>
      <w:pPr>
        <w:pStyle w:val="17"/>
        <w:snapToGrid w:val="0"/>
        <w:spacing w:line="360" w:lineRule="auto"/>
        <w:ind w:right="55" w:rightChars="26" w:firstLine="0"/>
        <w:rPr>
          <w:rFonts w:hAnsi="宋体"/>
          <w:b/>
          <w:sz w:val="24"/>
          <w:szCs w:val="24"/>
        </w:rPr>
      </w:pPr>
      <w:r>
        <w:rPr>
          <w:rFonts w:hint="eastAsia" w:hAnsi="宋体"/>
          <w:b/>
          <w:sz w:val="24"/>
          <w:szCs w:val="24"/>
        </w:rPr>
        <w:t>（七）特别说明：</w:t>
      </w:r>
    </w:p>
    <w:p>
      <w:pPr>
        <w:pStyle w:val="17"/>
        <w:snapToGrid w:val="0"/>
        <w:spacing w:line="360" w:lineRule="auto"/>
        <w:ind w:right="-86" w:rightChars="-41"/>
        <w:rPr>
          <w:rFonts w:hAnsi="宋体"/>
          <w:bCs/>
          <w:sz w:val="21"/>
        </w:rPr>
      </w:pPr>
      <w:r>
        <w:rPr>
          <w:rFonts w:hint="eastAsia" w:hAnsi="宋体"/>
          <w:bCs/>
          <w:sz w:val="21"/>
        </w:rPr>
        <w:t>1.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投标。</w:t>
      </w:r>
    </w:p>
    <w:p>
      <w:pPr>
        <w:pStyle w:val="17"/>
        <w:snapToGrid w:val="0"/>
        <w:spacing w:line="360" w:lineRule="auto"/>
        <w:ind w:right="-86" w:rightChars="-41"/>
        <w:rPr>
          <w:rFonts w:hAnsi="宋体"/>
          <w:bCs/>
          <w:sz w:val="21"/>
        </w:rPr>
      </w:pPr>
      <w:r>
        <w:rPr>
          <w:rFonts w:hint="eastAsia" w:hAnsi="宋体"/>
          <w:bCs/>
          <w:sz w:val="21"/>
        </w:rPr>
        <w:t>2.投标人投标所使用的资格、信誉、荣誉、业绩与企业认证必须为本法人所拥有。投标人投标所使用的采购项目实施人员必须为本法人员工。</w:t>
      </w:r>
    </w:p>
    <w:p>
      <w:pPr>
        <w:pStyle w:val="17"/>
        <w:snapToGrid w:val="0"/>
        <w:spacing w:line="360" w:lineRule="auto"/>
        <w:ind w:right="-86" w:rightChars="-41"/>
        <w:rPr>
          <w:rFonts w:hAnsi="宋体"/>
          <w:bCs/>
          <w:sz w:val="21"/>
        </w:rPr>
      </w:pPr>
      <w:r>
        <w:rPr>
          <w:rFonts w:hint="eastAsia" w:hAnsi="宋体"/>
          <w:bCs/>
          <w:sz w:val="21"/>
        </w:rPr>
        <w:t xml:space="preserve"> 3.投标人应仔细阅读招标文件的所有内容，按照招标文件的要求提交投标文件，并对所提供的全部资料的真实性承担法律责任。</w:t>
      </w:r>
    </w:p>
    <w:p>
      <w:pPr>
        <w:snapToGrid w:val="0"/>
        <w:spacing w:before="120" w:line="360" w:lineRule="auto"/>
        <w:outlineLvl w:val="1"/>
        <w:rPr>
          <w:rFonts w:hAnsi="宋体"/>
          <w:b/>
          <w:sz w:val="24"/>
          <w:szCs w:val="24"/>
        </w:rPr>
      </w:pPr>
      <w:r>
        <w:rPr>
          <w:rFonts w:hint="eastAsia" w:hAnsi="宋体"/>
          <w:b/>
          <w:sz w:val="24"/>
          <w:szCs w:val="24"/>
        </w:rPr>
        <w:t>（八）</w:t>
      </w:r>
      <w:r>
        <w:rPr>
          <w:rFonts w:hAnsi="宋体"/>
          <w:b/>
          <w:sz w:val="24"/>
          <w:szCs w:val="24"/>
        </w:rPr>
        <w:t>质疑</w:t>
      </w:r>
    </w:p>
    <w:p>
      <w:pPr>
        <w:widowControl/>
        <w:snapToGrid w:val="0"/>
        <w:spacing w:before="120" w:line="360" w:lineRule="auto"/>
        <w:ind w:firstLine="420" w:firstLineChars="200"/>
        <w:outlineLvl w:val="1"/>
        <w:rPr>
          <w:rFonts w:hAnsi="宋体" w:cs="宋体"/>
          <w:bCs/>
          <w:szCs w:val="21"/>
        </w:rPr>
      </w:pPr>
      <w:r>
        <w:rPr>
          <w:rFonts w:hAnsi="宋体" w:cs="宋体"/>
          <w:bCs/>
          <w:szCs w:val="21"/>
        </w:rPr>
        <w:t>投标人应当自知道或者应当知道其合法权益受到损害之日起七个工作日内提出质疑。</w:t>
      </w:r>
    </w:p>
    <w:p>
      <w:pPr>
        <w:widowControl/>
        <w:snapToGrid w:val="0"/>
        <w:spacing w:before="120" w:line="360" w:lineRule="auto"/>
        <w:ind w:firstLine="420" w:firstLineChars="200"/>
        <w:outlineLvl w:val="1"/>
        <w:rPr>
          <w:rFonts w:cs="宋体" w:asciiTheme="minorEastAsia" w:hAnsiTheme="minorEastAsia" w:eastAsiaTheme="minorEastAsia"/>
          <w:bCs/>
          <w:szCs w:val="21"/>
        </w:rPr>
      </w:pPr>
      <w:r>
        <w:rPr>
          <w:rFonts w:hint="eastAsia" w:cs="宋体" w:asciiTheme="minorEastAsia" w:hAnsiTheme="minorEastAsia" w:eastAsiaTheme="minorEastAsia"/>
          <w:bCs/>
          <w:szCs w:val="21"/>
        </w:rPr>
        <w:t>1、对可以质疑的采购文件提出质疑的，为收到采购文件之日或者采购文件公告期限届满之日；</w:t>
      </w:r>
    </w:p>
    <w:p>
      <w:pPr>
        <w:widowControl/>
        <w:snapToGrid w:val="0"/>
        <w:spacing w:before="120" w:line="360" w:lineRule="auto"/>
        <w:ind w:firstLine="420" w:firstLineChars="200"/>
        <w:outlineLvl w:val="1"/>
        <w:rPr>
          <w:rFonts w:cs="宋体" w:asciiTheme="minorEastAsia" w:hAnsiTheme="minorEastAsia" w:eastAsiaTheme="minorEastAsia"/>
          <w:bCs/>
          <w:szCs w:val="21"/>
        </w:rPr>
      </w:pPr>
      <w:r>
        <w:rPr>
          <w:rFonts w:hint="eastAsia" w:cs="宋体" w:asciiTheme="minorEastAsia" w:hAnsiTheme="minorEastAsia" w:eastAsiaTheme="minorEastAsia"/>
          <w:bCs/>
          <w:szCs w:val="21"/>
        </w:rPr>
        <w:t>2、对采购过程提出质疑的，为各采购程序环节结束之日；</w:t>
      </w:r>
    </w:p>
    <w:p>
      <w:pPr>
        <w:widowControl/>
        <w:snapToGrid w:val="0"/>
        <w:spacing w:before="120" w:line="360" w:lineRule="auto"/>
        <w:ind w:firstLine="420" w:firstLineChars="200"/>
        <w:outlineLvl w:val="1"/>
        <w:rPr>
          <w:rFonts w:cs="宋体" w:asciiTheme="minorEastAsia" w:hAnsiTheme="minorEastAsia" w:eastAsiaTheme="minorEastAsia"/>
          <w:bCs/>
          <w:szCs w:val="21"/>
        </w:rPr>
      </w:pPr>
      <w:r>
        <w:rPr>
          <w:rFonts w:hint="eastAsia" w:cs="宋体" w:asciiTheme="minorEastAsia" w:hAnsiTheme="minorEastAsia" w:eastAsiaTheme="minorEastAsia"/>
          <w:bCs/>
          <w:szCs w:val="21"/>
        </w:rPr>
        <w:t>3、对中标或者成交结果提出质疑的，为中标或者成交结果公告期限届满之日。</w:t>
      </w:r>
    </w:p>
    <w:p>
      <w:pPr>
        <w:widowControl/>
        <w:snapToGrid w:val="0"/>
        <w:spacing w:before="120" w:line="360" w:lineRule="auto"/>
        <w:ind w:firstLine="420" w:firstLineChars="200"/>
        <w:outlineLvl w:val="1"/>
        <w:rPr>
          <w:rFonts w:hAnsi="宋体" w:cs="宋体"/>
          <w:bCs/>
          <w:szCs w:val="21"/>
        </w:rPr>
      </w:pPr>
      <w:r>
        <w:rPr>
          <w:rFonts w:hAnsi="宋体" w:cs="宋体"/>
          <w:bCs/>
          <w:szCs w:val="21"/>
        </w:rPr>
        <w:t>4、质疑书应包括下列主要内容：</w:t>
      </w:r>
    </w:p>
    <w:p>
      <w:pPr>
        <w:widowControl/>
        <w:snapToGrid w:val="0"/>
        <w:spacing w:before="120" w:line="360" w:lineRule="auto"/>
        <w:ind w:firstLine="420" w:firstLineChars="200"/>
        <w:outlineLvl w:val="1"/>
        <w:rPr>
          <w:rFonts w:hAnsi="宋体" w:cs="宋体"/>
          <w:bCs/>
          <w:szCs w:val="21"/>
        </w:rPr>
      </w:pPr>
      <w:r>
        <w:rPr>
          <w:rFonts w:hAnsi="宋体" w:cs="宋体"/>
          <w:bCs/>
          <w:szCs w:val="21"/>
        </w:rPr>
        <w:t>①质疑人的名称、地址、邮政编码、联系人、联系电话，以及被质疑人名称及联系方式；</w:t>
      </w:r>
    </w:p>
    <w:p>
      <w:pPr>
        <w:widowControl/>
        <w:snapToGrid w:val="0"/>
        <w:spacing w:before="120" w:line="360" w:lineRule="auto"/>
        <w:ind w:firstLine="420" w:firstLineChars="200"/>
        <w:outlineLvl w:val="1"/>
        <w:rPr>
          <w:rFonts w:hAnsi="宋体" w:cs="宋体"/>
          <w:bCs/>
          <w:szCs w:val="21"/>
        </w:rPr>
      </w:pPr>
      <w:r>
        <w:rPr>
          <w:rFonts w:hAnsi="宋体" w:cs="宋体"/>
          <w:bCs/>
          <w:szCs w:val="21"/>
        </w:rPr>
        <w:t>②被质疑采购项目名称、编号及采购内容；</w:t>
      </w:r>
    </w:p>
    <w:p>
      <w:pPr>
        <w:widowControl/>
        <w:snapToGrid w:val="0"/>
        <w:spacing w:before="120" w:line="360" w:lineRule="auto"/>
        <w:ind w:firstLine="420" w:firstLineChars="200"/>
        <w:outlineLvl w:val="1"/>
        <w:rPr>
          <w:rFonts w:hAnsi="宋体" w:cs="宋体"/>
          <w:bCs/>
          <w:szCs w:val="21"/>
        </w:rPr>
      </w:pPr>
      <w:r>
        <w:rPr>
          <w:rFonts w:hAnsi="宋体" w:cs="宋体"/>
          <w:bCs/>
          <w:szCs w:val="21"/>
        </w:rPr>
        <w:t>③具体的质疑事项及事实依据；</w:t>
      </w:r>
    </w:p>
    <w:p>
      <w:pPr>
        <w:widowControl/>
        <w:snapToGrid w:val="0"/>
        <w:spacing w:before="120" w:line="360" w:lineRule="auto"/>
        <w:ind w:firstLine="420" w:firstLineChars="200"/>
        <w:outlineLvl w:val="1"/>
        <w:rPr>
          <w:rFonts w:hAnsi="宋体" w:cs="宋体"/>
          <w:bCs/>
          <w:szCs w:val="21"/>
        </w:rPr>
      </w:pPr>
      <w:r>
        <w:rPr>
          <w:rFonts w:hAnsi="宋体" w:cs="宋体"/>
          <w:bCs/>
          <w:szCs w:val="21"/>
        </w:rPr>
        <w:t>④认为自己合法权益受到损害或可能受到损害的相关证据材料；</w:t>
      </w:r>
    </w:p>
    <w:p>
      <w:pPr>
        <w:widowControl/>
        <w:snapToGrid w:val="0"/>
        <w:spacing w:before="120" w:line="360" w:lineRule="auto"/>
        <w:ind w:firstLine="420" w:firstLineChars="200"/>
        <w:outlineLvl w:val="1"/>
        <w:rPr>
          <w:rFonts w:hAnsi="宋体" w:cs="宋体"/>
          <w:bCs/>
          <w:szCs w:val="21"/>
        </w:rPr>
      </w:pPr>
      <w:r>
        <w:rPr>
          <w:rFonts w:hAnsi="宋体" w:cs="宋体"/>
          <w:bCs/>
          <w:szCs w:val="21"/>
        </w:rPr>
        <w:t>⑤提出质疑的日期。</w:t>
      </w:r>
    </w:p>
    <w:p>
      <w:pPr>
        <w:widowControl/>
        <w:snapToGrid w:val="0"/>
        <w:spacing w:before="120" w:line="360" w:lineRule="auto"/>
        <w:ind w:firstLine="420" w:firstLineChars="200"/>
        <w:outlineLvl w:val="1"/>
        <w:rPr>
          <w:rFonts w:hAnsi="宋体" w:cs="宋体"/>
          <w:bCs/>
          <w:szCs w:val="21"/>
        </w:rPr>
      </w:pPr>
      <w:r>
        <w:rPr>
          <w:rFonts w:hint="eastAsia" w:hAnsi="宋体" w:cs="宋体"/>
          <w:bCs/>
          <w:szCs w:val="21"/>
        </w:rPr>
        <w:t>供应商在法定质疑期内一次性提出针对同一采购程序环节的质疑。</w:t>
      </w:r>
    </w:p>
    <w:p>
      <w:pPr>
        <w:snapToGrid w:val="0"/>
        <w:spacing w:before="120" w:line="312" w:lineRule="auto"/>
        <w:ind w:right="-506" w:rightChars="-241" w:firstLine="3795" w:firstLineChars="1350"/>
        <w:rPr>
          <w:rFonts w:hAnsi="宋体"/>
          <w:b/>
          <w:sz w:val="28"/>
        </w:rPr>
      </w:pPr>
    </w:p>
    <w:p>
      <w:pPr>
        <w:snapToGrid w:val="0"/>
        <w:spacing w:before="120" w:line="312" w:lineRule="auto"/>
        <w:ind w:right="-506" w:rightChars="-241" w:firstLine="3795" w:firstLineChars="1350"/>
        <w:rPr>
          <w:rFonts w:hAnsi="宋体"/>
          <w:b/>
          <w:sz w:val="28"/>
        </w:rPr>
      </w:pPr>
      <w:r>
        <w:rPr>
          <w:rFonts w:hint="eastAsia" w:hAnsi="宋体"/>
          <w:b/>
          <w:sz w:val="28"/>
        </w:rPr>
        <w:t>二、招标文件</w:t>
      </w:r>
    </w:p>
    <w:p>
      <w:pPr>
        <w:snapToGrid w:val="0"/>
        <w:spacing w:line="360" w:lineRule="auto"/>
        <w:ind w:right="-341"/>
        <w:jc w:val="left"/>
        <w:rPr>
          <w:rFonts w:ascii="宋体" w:hAnsi="宋体"/>
          <w:b/>
          <w:sz w:val="24"/>
        </w:rPr>
      </w:pPr>
      <w:r>
        <w:rPr>
          <w:rFonts w:hint="eastAsia" w:ascii="宋体" w:hAnsi="宋体"/>
          <w:b/>
          <w:sz w:val="24"/>
        </w:rPr>
        <w:t>（一）招标文件的构成。本招标文件由以下部份组成：</w:t>
      </w:r>
    </w:p>
    <w:p>
      <w:pPr>
        <w:snapToGrid w:val="0"/>
        <w:spacing w:line="360" w:lineRule="auto"/>
        <w:ind w:right="-341" w:firstLine="420" w:firstLineChars="200"/>
        <w:jc w:val="left"/>
        <w:rPr>
          <w:rFonts w:ascii="宋体" w:hAnsi="宋体"/>
        </w:rPr>
      </w:pPr>
      <w:r>
        <w:rPr>
          <w:rFonts w:hint="eastAsia" w:ascii="宋体" w:hAnsi="宋体"/>
        </w:rPr>
        <w:t>1.招标公告</w:t>
      </w:r>
    </w:p>
    <w:p>
      <w:pPr>
        <w:snapToGrid w:val="0"/>
        <w:spacing w:line="360" w:lineRule="auto"/>
        <w:ind w:right="-341" w:firstLine="420" w:firstLineChars="200"/>
        <w:jc w:val="left"/>
        <w:rPr>
          <w:rFonts w:ascii="宋体" w:hAnsi="宋体"/>
        </w:rPr>
      </w:pPr>
      <w:r>
        <w:rPr>
          <w:rFonts w:hint="eastAsia" w:ascii="宋体" w:hAnsi="宋体"/>
        </w:rPr>
        <w:t>2.招标需求</w:t>
      </w:r>
    </w:p>
    <w:p>
      <w:pPr>
        <w:snapToGrid w:val="0"/>
        <w:spacing w:line="360" w:lineRule="auto"/>
        <w:ind w:right="-341" w:firstLine="420" w:firstLineChars="200"/>
        <w:jc w:val="left"/>
        <w:rPr>
          <w:rFonts w:ascii="宋体" w:hAnsi="宋体"/>
        </w:rPr>
      </w:pPr>
      <w:r>
        <w:rPr>
          <w:rFonts w:hint="eastAsia" w:ascii="宋体" w:hAnsi="宋体"/>
        </w:rPr>
        <w:t>3.投标人须知</w:t>
      </w:r>
    </w:p>
    <w:p>
      <w:pPr>
        <w:snapToGrid w:val="0"/>
        <w:spacing w:line="360" w:lineRule="auto"/>
        <w:ind w:right="-341" w:firstLine="420" w:firstLineChars="200"/>
        <w:jc w:val="left"/>
        <w:rPr>
          <w:rFonts w:ascii="宋体" w:hAnsi="宋体"/>
        </w:rPr>
      </w:pPr>
      <w:r>
        <w:rPr>
          <w:rFonts w:hint="eastAsia" w:ascii="宋体" w:hAnsi="宋体"/>
        </w:rPr>
        <w:t>4.评标办法及标准</w:t>
      </w:r>
    </w:p>
    <w:p>
      <w:pPr>
        <w:snapToGrid w:val="0"/>
        <w:spacing w:line="360" w:lineRule="auto"/>
        <w:ind w:right="-341" w:firstLine="420" w:firstLineChars="200"/>
        <w:jc w:val="left"/>
        <w:rPr>
          <w:rFonts w:ascii="宋体" w:hAnsi="宋体"/>
        </w:rPr>
      </w:pPr>
      <w:r>
        <w:rPr>
          <w:rFonts w:hint="eastAsia" w:ascii="宋体" w:hAnsi="宋体"/>
        </w:rPr>
        <w:t>5.合同主要条款</w:t>
      </w:r>
    </w:p>
    <w:p>
      <w:pPr>
        <w:snapToGrid w:val="0"/>
        <w:spacing w:line="360" w:lineRule="auto"/>
        <w:ind w:right="-341" w:firstLine="420" w:firstLineChars="200"/>
        <w:jc w:val="left"/>
        <w:rPr>
          <w:rFonts w:ascii="宋体" w:hAnsi="宋体"/>
        </w:rPr>
      </w:pPr>
      <w:r>
        <w:rPr>
          <w:rFonts w:hint="eastAsia" w:ascii="宋体" w:hAnsi="宋体"/>
        </w:rPr>
        <w:t>6.投标文件格式</w:t>
      </w:r>
    </w:p>
    <w:p>
      <w:pPr>
        <w:snapToGrid w:val="0"/>
        <w:spacing w:line="360" w:lineRule="auto"/>
        <w:ind w:right="-341" w:firstLine="420" w:firstLineChars="200"/>
        <w:jc w:val="left"/>
        <w:rPr>
          <w:rFonts w:ascii="宋体" w:hAnsi="宋体"/>
        </w:rPr>
      </w:pPr>
      <w:r>
        <w:rPr>
          <w:rFonts w:hint="eastAsia" w:ascii="宋体" w:hAnsi="宋体"/>
        </w:rPr>
        <w:t>7.本项目招标文件的澄清、答复、修改、补充的内容</w:t>
      </w:r>
    </w:p>
    <w:p>
      <w:pPr>
        <w:snapToGrid w:val="0"/>
        <w:spacing w:line="360" w:lineRule="auto"/>
        <w:ind w:right="-87"/>
        <w:jc w:val="left"/>
        <w:rPr>
          <w:rFonts w:ascii="宋体" w:hAnsi="宋体"/>
          <w:b/>
          <w:sz w:val="24"/>
        </w:rPr>
      </w:pPr>
      <w:r>
        <w:rPr>
          <w:rFonts w:hint="eastAsia" w:ascii="宋体" w:hAnsi="宋体"/>
          <w:b/>
          <w:sz w:val="24"/>
        </w:rPr>
        <w:t>（二）投标人的风险</w:t>
      </w:r>
    </w:p>
    <w:p>
      <w:pPr>
        <w:spacing w:line="360" w:lineRule="auto"/>
        <w:ind w:right="-506" w:rightChars="-241" w:firstLine="420"/>
        <w:rPr>
          <w:rFonts w:ascii="宋体"/>
        </w:rPr>
      </w:pPr>
      <w:r>
        <w:rPr>
          <w:rFonts w:hint="eastAsia" w:ascii="宋体"/>
        </w:rPr>
        <w:t>投标人没有按照招标文件要求提供全部资料，或者投标人没有对招标文件在各方面作出实质性响应是投标人的风险，并可能导致其投标被拒绝。</w:t>
      </w:r>
    </w:p>
    <w:p>
      <w:pPr>
        <w:tabs>
          <w:tab w:val="left" w:pos="454"/>
          <w:tab w:val="left" w:pos="720"/>
          <w:tab w:val="left" w:pos="900"/>
        </w:tabs>
        <w:snapToGrid w:val="0"/>
        <w:spacing w:line="360" w:lineRule="auto"/>
        <w:ind w:left="247" w:right="-87" w:hanging="247" w:hangingChars="117"/>
        <w:rPr>
          <w:rFonts w:ascii="宋体" w:hAnsi="宋体"/>
          <w:b/>
        </w:rPr>
      </w:pPr>
      <w:r>
        <w:rPr>
          <w:rFonts w:hint="eastAsia" w:ascii="宋体" w:hAnsi="宋体"/>
          <w:b/>
        </w:rPr>
        <w:t xml:space="preserve">（三）招标文件的澄清与修改 </w:t>
      </w:r>
    </w:p>
    <w:p>
      <w:pPr>
        <w:widowControl/>
        <w:snapToGrid w:val="0"/>
        <w:spacing w:before="120" w:line="360" w:lineRule="auto"/>
        <w:ind w:right="-87" w:firstLine="415" w:firstLineChars="198"/>
        <w:rPr>
          <w:rFonts w:hAnsi="宋体"/>
          <w:szCs w:val="21"/>
        </w:rPr>
      </w:pPr>
      <w:r>
        <w:rPr>
          <w:rFonts w:hAnsi="宋体"/>
          <w:szCs w:val="21"/>
        </w:rPr>
        <w:t>1、投标人应认真阅读本</w:t>
      </w:r>
      <w:r>
        <w:rPr>
          <w:rFonts w:hint="eastAsia" w:hAnsi="宋体"/>
          <w:szCs w:val="21"/>
        </w:rPr>
        <w:t>招标</w:t>
      </w:r>
      <w:r>
        <w:rPr>
          <w:rFonts w:hAnsi="宋体"/>
          <w:szCs w:val="21"/>
        </w:rPr>
        <w:t>文件，发现其中有误或有要求不合理的，投标人必须在投标截止前15天内以书面形式要求招标采购单位澄清。招标采购单位对已发出的</w:t>
      </w:r>
      <w:r>
        <w:rPr>
          <w:rFonts w:hint="eastAsia" w:hAnsi="宋体"/>
          <w:szCs w:val="21"/>
        </w:rPr>
        <w:t>招标</w:t>
      </w:r>
      <w:r>
        <w:rPr>
          <w:rFonts w:hAnsi="宋体"/>
          <w:szCs w:val="21"/>
        </w:rPr>
        <w:t>文件进行必要澄清、答复、修改或补充的，应当在</w:t>
      </w:r>
      <w:r>
        <w:rPr>
          <w:rFonts w:hint="eastAsia" w:hAnsi="宋体"/>
          <w:szCs w:val="21"/>
        </w:rPr>
        <w:t>招标</w:t>
      </w:r>
      <w:r>
        <w:rPr>
          <w:rFonts w:hAnsi="宋体"/>
          <w:szCs w:val="21"/>
        </w:rPr>
        <w:t>文件要求提交投标文件截止时间15天前，在财政部门指定的政府采购信息发布媒体上发布更正公告，并通知所有已报名的潜在投标人。</w:t>
      </w:r>
    </w:p>
    <w:p>
      <w:pPr>
        <w:widowControl/>
        <w:snapToGrid w:val="0"/>
        <w:spacing w:before="120" w:line="360" w:lineRule="auto"/>
        <w:ind w:right="-87" w:firstLine="415" w:firstLineChars="198"/>
        <w:rPr>
          <w:rFonts w:hAnsi="宋体"/>
          <w:szCs w:val="21"/>
        </w:rPr>
      </w:pPr>
      <w:r>
        <w:rPr>
          <w:rFonts w:hAnsi="宋体"/>
          <w:szCs w:val="21"/>
        </w:rPr>
        <w:t>2、</w:t>
      </w:r>
      <w:r>
        <w:rPr>
          <w:rFonts w:hint="eastAsia" w:hAnsi="宋体"/>
          <w:szCs w:val="21"/>
        </w:rPr>
        <w:t>招标</w:t>
      </w:r>
      <w:r>
        <w:rPr>
          <w:rFonts w:hAnsi="宋体"/>
          <w:szCs w:val="21"/>
        </w:rPr>
        <w:t>文件的答复、澄清、修改、补充通知实质上改变采购需求相关内容，且自</w:t>
      </w:r>
      <w:r>
        <w:rPr>
          <w:rFonts w:hint="eastAsia" w:hAnsi="宋体"/>
          <w:szCs w:val="21"/>
        </w:rPr>
        <w:t>招标</w:t>
      </w:r>
      <w:r>
        <w:rPr>
          <w:rFonts w:hAnsi="宋体"/>
          <w:szCs w:val="21"/>
        </w:rPr>
        <w:t>文件的答复、澄清、修改、补充通知发出之日起至投标截止时间止不足15天的，招标采购单位可视情况推迟投标截止时间和开标时间，按规定在财政部门指定的政府采购信息发布媒体上发布变更公告，并将变更后的时间通知所有已报名的潜在投标人。</w:t>
      </w:r>
    </w:p>
    <w:p>
      <w:pPr>
        <w:widowControl/>
        <w:snapToGrid w:val="0"/>
        <w:spacing w:before="120" w:line="360" w:lineRule="auto"/>
        <w:ind w:right="-87" w:firstLine="415" w:firstLineChars="198"/>
        <w:rPr>
          <w:rFonts w:hAnsi="宋体"/>
          <w:szCs w:val="21"/>
        </w:rPr>
      </w:pPr>
      <w:r>
        <w:rPr>
          <w:rFonts w:hAnsi="宋体"/>
          <w:szCs w:val="21"/>
        </w:rPr>
        <w:t>3、</w:t>
      </w:r>
      <w:r>
        <w:rPr>
          <w:rFonts w:hint="eastAsia" w:hAnsi="宋体"/>
          <w:szCs w:val="21"/>
        </w:rPr>
        <w:t>招标</w:t>
      </w:r>
      <w:r>
        <w:rPr>
          <w:rFonts w:hAnsi="宋体"/>
          <w:szCs w:val="21"/>
        </w:rPr>
        <w:t>文件澄清、答复、修改、补充的内容为采购文件的组成部分。当</w:t>
      </w:r>
      <w:r>
        <w:rPr>
          <w:rFonts w:hint="eastAsia" w:hAnsi="宋体"/>
          <w:szCs w:val="21"/>
        </w:rPr>
        <w:t>招标</w:t>
      </w:r>
      <w:r>
        <w:rPr>
          <w:rFonts w:hAnsi="宋体"/>
          <w:szCs w:val="21"/>
        </w:rPr>
        <w:t>文件与</w:t>
      </w:r>
      <w:r>
        <w:rPr>
          <w:rFonts w:hint="eastAsia" w:hAnsi="宋体"/>
          <w:szCs w:val="21"/>
        </w:rPr>
        <w:t>招标</w:t>
      </w:r>
      <w:r>
        <w:rPr>
          <w:rFonts w:hAnsi="宋体"/>
          <w:szCs w:val="21"/>
        </w:rPr>
        <w:t>文件的答复、澄清、修改、补充通知就同一内容的表述不一致时，以最后发出的变更公告为准。</w:t>
      </w:r>
    </w:p>
    <w:p>
      <w:pPr>
        <w:snapToGrid w:val="0"/>
        <w:spacing w:before="120" w:line="360" w:lineRule="auto"/>
        <w:ind w:right="-506" w:rightChars="-241" w:firstLine="420" w:firstLineChars="200"/>
        <w:rPr>
          <w:rFonts w:hAnsi="宋体"/>
          <w:szCs w:val="21"/>
        </w:rPr>
      </w:pPr>
      <w:r>
        <w:rPr>
          <w:rFonts w:hint="eastAsia" w:hAnsi="宋体"/>
          <w:szCs w:val="21"/>
        </w:rPr>
        <w:t>4、招标文件的澄清、答复、修改或补充都应该通过本代理机构以法定形式发布。</w:t>
      </w:r>
    </w:p>
    <w:p>
      <w:pPr>
        <w:snapToGrid w:val="0"/>
        <w:spacing w:before="120" w:line="360" w:lineRule="auto"/>
        <w:ind w:right="-87" w:firstLine="2923" w:firstLineChars="1040"/>
        <w:outlineLvl w:val="1"/>
        <w:rPr>
          <w:rFonts w:hAnsi="宋体"/>
          <w:b/>
          <w:sz w:val="28"/>
        </w:rPr>
      </w:pPr>
      <w:r>
        <w:rPr>
          <w:rFonts w:hint="eastAsia" w:hAnsi="宋体"/>
          <w:b/>
          <w:sz w:val="28"/>
        </w:rPr>
        <w:t>三、投标文件的编制</w:t>
      </w:r>
    </w:p>
    <w:p>
      <w:pPr>
        <w:snapToGrid w:val="0"/>
        <w:spacing w:line="360" w:lineRule="auto"/>
        <w:ind w:right="-87" w:firstLine="354" w:firstLineChars="147"/>
        <w:jc w:val="left"/>
        <w:outlineLvl w:val="0"/>
        <w:rPr>
          <w:rFonts w:ascii="宋体" w:hAnsi="宋体"/>
          <w:b/>
          <w:sz w:val="24"/>
        </w:rPr>
      </w:pPr>
    </w:p>
    <w:p>
      <w:pPr>
        <w:pStyle w:val="3"/>
        <w:spacing w:after="0" w:line="336" w:lineRule="auto"/>
        <w:ind w:firstLine="211" w:firstLineChars="100"/>
        <w:rPr>
          <w:rFonts w:ascii="宋体" w:hAnsi="宋体"/>
          <w:b/>
          <w:sz w:val="21"/>
          <w:szCs w:val="21"/>
        </w:rPr>
      </w:pPr>
      <w:r>
        <w:rPr>
          <w:rFonts w:hint="eastAsia" w:ascii="宋体" w:hAnsi="宋体"/>
          <w:b/>
          <w:kern w:val="2"/>
          <w:sz w:val="21"/>
          <w:szCs w:val="21"/>
        </w:rPr>
        <w:t>（一）投标文件的签署</w:t>
      </w:r>
    </w:p>
    <w:p>
      <w:pPr>
        <w:pStyle w:val="3"/>
        <w:spacing w:after="0" w:line="336" w:lineRule="auto"/>
        <w:ind w:firstLine="420"/>
        <w:rPr>
          <w:rFonts w:ascii="Times New Roman" w:hAnsi="Times New Roman"/>
          <w:b/>
          <w:bCs/>
          <w:sz w:val="21"/>
          <w:szCs w:val="21"/>
        </w:rPr>
      </w:pPr>
      <w:r>
        <w:rPr>
          <w:rFonts w:hint="eastAsia" w:ascii="Times New Roman" w:hAnsi="Times New Roman"/>
          <w:b/>
          <w:bCs/>
          <w:kern w:val="2"/>
          <w:sz w:val="21"/>
          <w:szCs w:val="21"/>
        </w:rPr>
        <w:t>1.1电子投标文件部分：</w:t>
      </w:r>
    </w:p>
    <w:p>
      <w:pPr>
        <w:pStyle w:val="3"/>
        <w:spacing w:after="0" w:line="336" w:lineRule="auto"/>
        <w:ind w:firstLine="420"/>
        <w:rPr>
          <w:rFonts w:ascii="Times New Roman" w:hAnsi="Times New Roman"/>
          <w:sz w:val="21"/>
          <w:szCs w:val="21"/>
        </w:rPr>
      </w:pPr>
      <w:r>
        <w:rPr>
          <w:rFonts w:hint="eastAsia" w:ascii="Times New Roman" w:hAnsi="Times New Roman"/>
          <w:kern w:val="2"/>
          <w:sz w:val="21"/>
          <w:szCs w:val="21"/>
        </w:rPr>
        <w:t>投标人应根据“政采云供应商项目采购-电子交易操作指南”及本招标文件规定的格式和顺序编制电子投标文件并进行关联定位。</w:t>
      </w:r>
    </w:p>
    <w:p>
      <w:pPr>
        <w:pStyle w:val="3"/>
        <w:spacing w:after="0" w:line="336" w:lineRule="auto"/>
        <w:ind w:firstLine="420"/>
        <w:rPr>
          <w:rFonts w:ascii="Times New Roman" w:hAnsi="Times New Roman"/>
          <w:b/>
          <w:bCs/>
          <w:sz w:val="21"/>
          <w:szCs w:val="21"/>
        </w:rPr>
      </w:pPr>
      <w:r>
        <w:rPr>
          <w:rFonts w:hint="eastAsia" w:ascii="Times New Roman" w:hAnsi="Times New Roman"/>
          <w:b/>
          <w:bCs/>
          <w:kern w:val="2"/>
          <w:sz w:val="21"/>
          <w:szCs w:val="21"/>
        </w:rPr>
        <w:t>1.2备份投标文件部分：</w:t>
      </w:r>
    </w:p>
    <w:p>
      <w:pPr>
        <w:pStyle w:val="104"/>
        <w:snapToGrid w:val="0"/>
        <w:spacing w:before="120" w:after="120" w:line="336" w:lineRule="auto"/>
        <w:ind w:right="-506" w:rightChars="-241" w:firstLine="420" w:firstLineChars="200"/>
        <w:rPr>
          <w:rFonts w:ascii="Times New Roman" w:hAnsi="Times New Roman" w:eastAsia="宋体"/>
          <w:sz w:val="21"/>
          <w:szCs w:val="21"/>
        </w:rPr>
      </w:pPr>
      <w:r>
        <w:rPr>
          <w:rFonts w:hint="eastAsia" w:ascii="Times New Roman" w:hAnsi="Times New Roman" w:eastAsia="宋体"/>
          <w:sz w:val="21"/>
          <w:szCs w:val="21"/>
        </w:rPr>
        <w:t>（1）以介质存储的数据电文形式的备份投标文件，按政采云平台项目采购-电子交易操作指南中上传的电子投标文件格式，以U盘形式存储提供。数量为1份。</w:t>
      </w:r>
    </w:p>
    <w:p>
      <w:pPr>
        <w:pStyle w:val="104"/>
        <w:snapToGrid w:val="0"/>
        <w:spacing w:before="120" w:after="120" w:line="336" w:lineRule="auto"/>
        <w:ind w:right="-506" w:rightChars="-241" w:firstLine="420" w:firstLineChars="200"/>
        <w:rPr>
          <w:rFonts w:hAnsi="宋体" w:eastAsia="宋体"/>
          <w:b/>
          <w:sz w:val="28"/>
          <w:szCs w:val="28"/>
        </w:rPr>
      </w:pPr>
      <w:r>
        <w:rPr>
          <w:rFonts w:hint="eastAsia" w:ascii="Times New Roman" w:hAnsi="Times New Roman" w:eastAsia="宋体"/>
          <w:sz w:val="21"/>
          <w:szCs w:val="21"/>
        </w:rPr>
        <w:t>（2）纸质备份投标文件将以纸质文件的形式递交。数量为：正本、副本各1份。</w:t>
      </w:r>
    </w:p>
    <w:p>
      <w:pPr>
        <w:tabs>
          <w:tab w:val="left" w:pos="0"/>
        </w:tabs>
        <w:spacing w:line="360" w:lineRule="auto"/>
        <w:ind w:firstLine="211" w:firstLineChars="100"/>
        <w:rPr>
          <w:rFonts w:ascii="宋体" w:hAnsi="宋体"/>
          <w:b/>
          <w:szCs w:val="21"/>
        </w:rPr>
      </w:pPr>
      <w:r>
        <w:rPr>
          <w:rFonts w:hint="eastAsia" w:ascii="宋体" w:hAnsi="宋体"/>
          <w:b/>
          <w:szCs w:val="21"/>
        </w:rPr>
        <w:t>（二）投标文件</w:t>
      </w:r>
      <w:r>
        <w:rPr>
          <w:rFonts w:ascii="宋体" w:hAnsi="宋体"/>
          <w:b/>
          <w:szCs w:val="21"/>
        </w:rPr>
        <w:t>的组成</w:t>
      </w:r>
    </w:p>
    <w:p>
      <w:pPr>
        <w:tabs>
          <w:tab w:val="left" w:pos="0"/>
        </w:tabs>
        <w:spacing w:line="360" w:lineRule="auto"/>
        <w:ind w:firstLine="422" w:firstLineChars="200"/>
        <w:rPr>
          <w:rFonts w:ascii="宋体" w:hAnsi="宋体"/>
          <w:b/>
          <w:bCs/>
          <w:szCs w:val="21"/>
        </w:rPr>
      </w:pPr>
      <w:r>
        <w:rPr>
          <w:rFonts w:hint="eastAsia" w:ascii="宋体" w:hAnsi="宋体"/>
          <w:b/>
          <w:bCs/>
          <w:szCs w:val="21"/>
        </w:rPr>
        <w:t>投标</w:t>
      </w:r>
      <w:r>
        <w:rPr>
          <w:rFonts w:ascii="宋体" w:hAnsi="宋体"/>
          <w:b/>
          <w:bCs/>
          <w:szCs w:val="21"/>
        </w:rPr>
        <w:t>文件由</w:t>
      </w:r>
      <w:r>
        <w:rPr>
          <w:rFonts w:hint="eastAsia" w:ascii="宋体" w:hAnsi="宋体"/>
          <w:b/>
          <w:bCs/>
          <w:szCs w:val="21"/>
        </w:rPr>
        <w:t>资格响应文件</w:t>
      </w:r>
      <w:r>
        <w:rPr>
          <w:rFonts w:ascii="宋体" w:hAnsi="宋体"/>
          <w:b/>
          <w:bCs/>
          <w:szCs w:val="21"/>
        </w:rPr>
        <w:t>、</w:t>
      </w:r>
      <w:r>
        <w:rPr>
          <w:rFonts w:hint="eastAsia" w:ascii="宋体" w:hAnsi="宋体"/>
          <w:b/>
          <w:bCs/>
          <w:szCs w:val="21"/>
        </w:rPr>
        <w:t>商务及技术响应文件</w:t>
      </w:r>
      <w:r>
        <w:rPr>
          <w:rFonts w:ascii="宋体" w:hAnsi="宋体"/>
          <w:b/>
          <w:bCs/>
          <w:szCs w:val="21"/>
        </w:rPr>
        <w:t>、报价</w:t>
      </w:r>
      <w:r>
        <w:rPr>
          <w:rFonts w:hint="eastAsia" w:ascii="宋体" w:hAnsi="宋体"/>
          <w:b/>
          <w:bCs/>
          <w:szCs w:val="21"/>
        </w:rPr>
        <w:t>文件三</w:t>
      </w:r>
      <w:r>
        <w:rPr>
          <w:rFonts w:ascii="宋体" w:hAnsi="宋体"/>
          <w:b/>
          <w:bCs/>
          <w:szCs w:val="21"/>
        </w:rPr>
        <w:t>部份组成。</w:t>
      </w:r>
      <w:r>
        <w:rPr>
          <w:rFonts w:hint="eastAsia"/>
          <w:szCs w:val="21"/>
        </w:rPr>
        <w:t>电子投标文件中所须加盖公章部分均采用CA签章。（以下投标文件的部分格式详见本招标文件第六章，如本招标文件没有提供相应的格式，投标人可自行制表填写）</w:t>
      </w:r>
    </w:p>
    <w:p>
      <w:pPr>
        <w:pStyle w:val="20"/>
        <w:numPr>
          <w:ilvl w:val="0"/>
          <w:numId w:val="6"/>
        </w:numPr>
        <w:snapToGrid w:val="0"/>
        <w:spacing w:before="120" w:line="360" w:lineRule="auto"/>
        <w:rPr>
          <w:rFonts w:hAnsi="宋体"/>
          <w:b/>
          <w:sz w:val="21"/>
          <w:szCs w:val="21"/>
        </w:rPr>
      </w:pPr>
      <w:r>
        <w:rPr>
          <w:rFonts w:hAnsi="宋体"/>
          <w:b/>
          <w:sz w:val="21"/>
          <w:szCs w:val="21"/>
        </w:rPr>
        <w:t>资格</w:t>
      </w:r>
      <w:r>
        <w:rPr>
          <w:rFonts w:hint="eastAsia" w:hAnsi="宋体"/>
          <w:b/>
          <w:sz w:val="21"/>
          <w:szCs w:val="21"/>
        </w:rPr>
        <w:t>响应部份</w:t>
      </w:r>
      <w:r>
        <w:rPr>
          <w:rFonts w:hAnsi="宋体"/>
          <w:b/>
          <w:sz w:val="21"/>
          <w:szCs w:val="21"/>
        </w:rPr>
        <w:t>：</w:t>
      </w:r>
    </w:p>
    <w:p>
      <w:pPr>
        <w:spacing w:line="360" w:lineRule="auto"/>
        <w:ind w:left="417"/>
        <w:rPr>
          <w:rFonts w:ascii="宋体"/>
        </w:rPr>
      </w:pPr>
      <w:r>
        <w:rPr>
          <w:rFonts w:ascii="宋体" w:hAnsi="宋体"/>
        </w:rPr>
        <w:t>1.1</w:t>
      </w:r>
      <w:r>
        <w:rPr>
          <w:rFonts w:hint="eastAsia" w:ascii="宋体" w:hAnsi="宋体"/>
        </w:rPr>
        <w:t>基本资格条件：符合《中华人民共和国政府采购法》第二十二条的规定；</w:t>
      </w:r>
    </w:p>
    <w:p>
      <w:pPr>
        <w:spacing w:line="360" w:lineRule="auto"/>
        <w:ind w:firstLine="420" w:firstLineChars="200"/>
        <w:rPr>
          <w:rFonts w:ascii="宋体" w:hAnsi="宋体"/>
        </w:rPr>
      </w:pPr>
      <w:r>
        <w:rPr>
          <w:rFonts w:hint="eastAsia" w:ascii="宋体" w:hAnsi="宋体"/>
        </w:rPr>
        <w:t>（以下</w:t>
      </w:r>
      <w:r>
        <w:rPr>
          <w:rFonts w:ascii="宋体" w:hAnsi="宋体"/>
        </w:rPr>
        <w:t>A~E</w:t>
      </w:r>
      <w:r>
        <w:rPr>
          <w:rFonts w:hint="eastAsia" w:ascii="宋体" w:hAnsi="宋体"/>
        </w:rPr>
        <w:t>项是第二十二条要求及对应证明材料的具体内容，各投标人须在投标文件中出具对应证明材料）</w:t>
      </w:r>
    </w:p>
    <w:p>
      <w:pPr>
        <w:spacing w:line="360" w:lineRule="auto"/>
        <w:ind w:firstLine="482" w:firstLineChars="200"/>
        <w:rPr>
          <w:rFonts w:ascii="宋体"/>
          <w:b/>
          <w:bCs/>
        </w:rPr>
      </w:pPr>
      <w:r>
        <w:rPr>
          <w:rFonts w:ascii="宋体" w:hAnsi="宋体"/>
          <w:b/>
          <w:bCs/>
          <w:sz w:val="24"/>
        </w:rPr>
        <w:t>A</w:t>
      </w:r>
      <w:r>
        <w:rPr>
          <w:rFonts w:ascii="宋体" w:cs="宋体"/>
          <w:b/>
          <w:bCs/>
          <w:sz w:val="24"/>
        </w:rPr>
        <w:t>.</w:t>
      </w:r>
      <w:r>
        <w:rPr>
          <w:rFonts w:hint="eastAsia" w:ascii="宋体" w:hAnsi="宋体"/>
          <w:b/>
          <w:bCs/>
        </w:rPr>
        <w:t>具有独立承担民事责任的能力：</w:t>
      </w:r>
    </w:p>
    <w:p>
      <w:pPr>
        <w:spacing w:line="360" w:lineRule="auto"/>
        <w:ind w:firstLine="420" w:firstLineChars="200"/>
        <w:rPr>
          <w:rFonts w:ascii="宋体"/>
          <w:b/>
          <w:bCs/>
        </w:rPr>
      </w:pPr>
      <w:r>
        <w:rPr>
          <w:rFonts w:hint="eastAsia" w:ascii="宋体" w:hAnsi="宋体"/>
        </w:rPr>
        <w:t>投标人须在投标文件中出具符合以下情况的证明材料复印件</w:t>
      </w:r>
      <w:r>
        <w:rPr>
          <w:rFonts w:hint="eastAsia" w:ascii="宋体" w:hAnsi="宋体"/>
          <w:b/>
          <w:bCs/>
        </w:rPr>
        <w:t>（五选一）：</w:t>
      </w:r>
    </w:p>
    <w:p>
      <w:pPr>
        <w:spacing w:line="360" w:lineRule="auto"/>
        <w:ind w:firstLine="420" w:firstLineChars="200"/>
        <w:rPr>
          <w:rFonts w:ascii="宋体"/>
        </w:rPr>
      </w:pPr>
      <w:r>
        <w:rPr>
          <w:rFonts w:ascii="宋体" w:hAnsi="宋体" w:cs="Calibri"/>
        </w:rPr>
        <w:fldChar w:fldCharType="begin"/>
      </w:r>
      <w:r>
        <w:rPr>
          <w:rFonts w:ascii="宋体" w:hAnsi="宋体" w:cs="Calibri"/>
        </w:rPr>
        <w:instrText xml:space="preserve"> EQ \o\ac(</w:instrText>
      </w:r>
      <w:r>
        <w:rPr>
          <w:rFonts w:hint="eastAsia" w:ascii="宋体" w:hAnsi="宋体" w:cs="Calibri"/>
        </w:rPr>
        <w:instrText xml:space="preserve">○</w:instrText>
      </w:r>
      <w:r>
        <w:rPr>
          <w:rFonts w:ascii="宋体" w:hAnsi="宋体" w:cs="Calibri"/>
        </w:rPr>
        <w:instrText xml:space="preserve">,1)</w:instrText>
      </w:r>
      <w:r>
        <w:rPr>
          <w:rFonts w:ascii="宋体" w:hAnsi="宋体" w:cs="Calibri"/>
        </w:rPr>
        <w:fldChar w:fldCharType="end"/>
      </w:r>
      <w:r>
        <w:rPr>
          <w:rFonts w:hint="eastAsia" w:ascii="宋体" w:hAnsi="宋体"/>
        </w:rPr>
        <w:t>如投标人是企业（包括合伙企业），提供在工商部门注册的有效“企业法人营业执照”或“营业执照”；</w:t>
      </w:r>
    </w:p>
    <w:p>
      <w:pPr>
        <w:spacing w:line="360" w:lineRule="auto"/>
        <w:ind w:firstLine="420" w:firstLineChars="200"/>
        <w:rPr>
          <w:rFonts w:ascii="宋体"/>
        </w:rPr>
      </w:pPr>
      <w:r>
        <w:rPr>
          <w:rFonts w:ascii="宋体" w:hAnsi="宋体"/>
        </w:rPr>
        <w:fldChar w:fldCharType="begin"/>
      </w:r>
      <w:r>
        <w:rPr>
          <w:rFonts w:ascii="宋体" w:hAnsi="宋体"/>
        </w:rPr>
        <w:instrText xml:space="preserve"> EQ \o\ac(</w:instrText>
      </w:r>
      <w:r>
        <w:rPr>
          <w:rFonts w:hint="eastAsia" w:ascii="宋体" w:hAnsi="宋体"/>
        </w:rPr>
        <w:instrText xml:space="preserve">○</w:instrText>
      </w:r>
      <w:r>
        <w:rPr>
          <w:rFonts w:ascii="宋体"/>
        </w:rPr>
        <w:instrText xml:space="preserve">,</w:instrText>
      </w:r>
      <w:r>
        <w:rPr>
          <w:rFonts w:ascii="宋体" w:hAnsi="宋体"/>
          <w:position w:val="2"/>
          <w:sz w:val="14"/>
        </w:rPr>
        <w:instrText xml:space="preserve">2</w:instrText>
      </w:r>
      <w:r>
        <w:rPr>
          <w:rFonts w:ascii="宋体" w:hAnsi="宋体"/>
        </w:rPr>
        <w:instrText xml:space="preserve">)</w:instrText>
      </w:r>
      <w:r>
        <w:rPr>
          <w:rFonts w:ascii="宋体" w:hAnsi="宋体"/>
        </w:rPr>
        <w:fldChar w:fldCharType="end"/>
      </w:r>
      <w:r>
        <w:rPr>
          <w:rFonts w:hint="eastAsia" w:ascii="宋体" w:hAnsi="宋体"/>
        </w:rPr>
        <w:t>如投标人是事业单位，提供有效的“事业单位法人证书”；</w:t>
      </w:r>
    </w:p>
    <w:p>
      <w:pPr>
        <w:spacing w:line="360" w:lineRule="auto"/>
        <w:ind w:firstLine="420" w:firstLineChars="200"/>
        <w:rPr>
          <w:rFonts w:ascii="宋体"/>
        </w:rPr>
      </w:pPr>
      <w:r>
        <w:rPr>
          <w:rFonts w:ascii="宋体" w:hAnsi="宋体"/>
        </w:rPr>
        <w:fldChar w:fldCharType="begin"/>
      </w:r>
      <w:r>
        <w:rPr>
          <w:rFonts w:ascii="宋体" w:hAnsi="宋体"/>
        </w:rPr>
        <w:instrText xml:space="preserve"> EQ \o\ac(</w:instrText>
      </w:r>
      <w:r>
        <w:rPr>
          <w:rFonts w:hint="eastAsia" w:ascii="宋体" w:hAnsi="宋体"/>
        </w:rPr>
        <w:instrText xml:space="preserve">○</w:instrText>
      </w:r>
      <w:r>
        <w:rPr>
          <w:rFonts w:ascii="宋体"/>
        </w:rPr>
        <w:instrText xml:space="preserve">,</w:instrText>
      </w:r>
      <w:r>
        <w:rPr>
          <w:rFonts w:ascii="宋体" w:hAnsi="宋体"/>
          <w:position w:val="2"/>
          <w:sz w:val="14"/>
        </w:rPr>
        <w:instrText xml:space="preserve">3</w:instrText>
      </w:r>
      <w:r>
        <w:rPr>
          <w:rFonts w:ascii="宋体" w:hAnsi="宋体"/>
        </w:rPr>
        <w:instrText xml:space="preserve">)</w:instrText>
      </w:r>
      <w:r>
        <w:rPr>
          <w:rFonts w:ascii="宋体" w:hAnsi="宋体"/>
        </w:rPr>
        <w:fldChar w:fldCharType="end"/>
      </w:r>
      <w:r>
        <w:rPr>
          <w:rFonts w:hint="eastAsia" w:ascii="宋体" w:hAnsi="宋体"/>
        </w:rPr>
        <w:t>如投标人是非企业专业服务机构的，提供执业许可证等证明文件等证明文件；</w:t>
      </w:r>
    </w:p>
    <w:p>
      <w:pPr>
        <w:spacing w:line="360" w:lineRule="auto"/>
        <w:ind w:firstLine="420" w:firstLineChars="200"/>
        <w:rPr>
          <w:rFonts w:ascii="宋体" w:cs="宋体"/>
        </w:rPr>
      </w:pPr>
      <w:r>
        <w:rPr>
          <w:rFonts w:ascii="宋体" w:hAnsi="宋体" w:cs="宋体"/>
        </w:rPr>
        <w:fldChar w:fldCharType="begin"/>
      </w:r>
      <w:r>
        <w:rPr>
          <w:rFonts w:ascii="宋体" w:hAnsi="宋体" w:cs="宋体"/>
        </w:rPr>
        <w:instrText xml:space="preserve"> EQ \o\ac(</w:instrText>
      </w:r>
      <w:r>
        <w:rPr>
          <w:rFonts w:hint="eastAsia" w:ascii="宋体" w:hAnsi="宋体" w:cs="宋体"/>
        </w:rPr>
        <w:instrText xml:space="preserve">○</w:instrText>
      </w:r>
      <w:r>
        <w:rPr>
          <w:rFonts w:ascii="宋体" w:hAnsi="宋体" w:cs="宋体"/>
        </w:rPr>
        <w:instrText xml:space="preserve">,4)</w:instrText>
      </w:r>
      <w:r>
        <w:rPr>
          <w:rFonts w:ascii="宋体" w:hAnsi="宋体" w:cs="宋体"/>
        </w:rPr>
        <w:fldChar w:fldCharType="end"/>
      </w:r>
      <w:r>
        <w:rPr>
          <w:rFonts w:hint="eastAsia" w:ascii="宋体" w:hAnsi="宋体" w:cs="宋体"/>
        </w:rPr>
        <w:t>如投标人是个体工商户，提供有效的“个体工商户营业执照”；</w:t>
      </w:r>
    </w:p>
    <w:p>
      <w:pPr>
        <w:spacing w:line="360" w:lineRule="auto"/>
        <w:ind w:firstLine="420" w:firstLineChars="200"/>
        <w:rPr>
          <w:rFonts w:ascii="宋体" w:cs="宋体"/>
        </w:rPr>
      </w:pPr>
      <w:r>
        <w:rPr>
          <w:rFonts w:ascii="宋体" w:hAnsi="宋体" w:cs="宋体"/>
        </w:rPr>
        <w:fldChar w:fldCharType="begin"/>
      </w:r>
      <w:r>
        <w:rPr>
          <w:rFonts w:ascii="宋体" w:hAnsi="宋体" w:cs="宋体"/>
        </w:rPr>
        <w:instrText xml:space="preserve"> EQ \o\ac(</w:instrText>
      </w:r>
      <w:r>
        <w:rPr>
          <w:rFonts w:hint="eastAsia" w:ascii="宋体" w:hAnsi="宋体" w:cs="宋体"/>
        </w:rPr>
        <w:instrText xml:space="preserve">○</w:instrText>
      </w:r>
      <w:r>
        <w:rPr>
          <w:rFonts w:ascii="宋体" w:hAnsi="宋体" w:cs="宋体"/>
        </w:rPr>
        <w:instrText xml:space="preserve">,5)</w:instrText>
      </w:r>
      <w:r>
        <w:rPr>
          <w:rFonts w:ascii="宋体" w:hAnsi="宋体" w:cs="宋体"/>
        </w:rPr>
        <w:fldChar w:fldCharType="end"/>
      </w:r>
      <w:r>
        <w:rPr>
          <w:rFonts w:hint="eastAsia" w:ascii="宋体" w:hAnsi="宋体" w:cs="宋体"/>
        </w:rPr>
        <w:t>如投标人是自然人，提供有效的自然人身份证明（居民身份证正反面或公安机关出具的临时居民身份证正反面或港澳台胞证或证照）。</w:t>
      </w:r>
    </w:p>
    <w:p>
      <w:pPr>
        <w:spacing w:line="360" w:lineRule="auto"/>
        <w:ind w:firstLine="422" w:firstLineChars="200"/>
        <w:rPr>
          <w:rFonts w:ascii="宋体" w:hAnsi="宋体" w:cs="宋体"/>
          <w:b/>
          <w:bCs/>
        </w:rPr>
      </w:pPr>
      <w:r>
        <w:rPr>
          <w:rFonts w:ascii="宋体" w:hAnsi="宋体" w:cs="宋体"/>
          <w:b/>
          <w:bCs/>
          <w:szCs w:val="21"/>
        </w:rPr>
        <w:t>B.</w:t>
      </w:r>
      <w:r>
        <w:rPr>
          <w:rFonts w:hint="eastAsia" w:ascii="宋体" w:hAnsi="宋体" w:cs="宋体"/>
          <w:b/>
          <w:bCs/>
        </w:rPr>
        <w:t>具有良好的商业信誉和健全的财务会计制度：</w:t>
      </w:r>
    </w:p>
    <w:p>
      <w:pPr>
        <w:spacing w:line="360" w:lineRule="auto"/>
        <w:ind w:firstLine="420" w:firstLineChars="200"/>
        <w:rPr>
          <w:rFonts w:ascii="宋体"/>
        </w:rPr>
      </w:pPr>
      <w:r>
        <w:rPr>
          <w:rFonts w:ascii="宋体" w:hAnsi="宋体" w:cs="宋体"/>
        </w:rPr>
        <w:fldChar w:fldCharType="begin"/>
      </w:r>
      <w:r>
        <w:rPr>
          <w:rFonts w:ascii="宋体" w:hAnsi="宋体" w:cs="宋体"/>
        </w:rPr>
        <w:instrText xml:space="preserve"> EQ \o\ac(</w:instrText>
      </w:r>
      <w:r>
        <w:rPr>
          <w:rFonts w:hint="eastAsia" w:ascii="宋体" w:hAnsi="宋体" w:cs="宋体"/>
        </w:rPr>
        <w:instrText xml:space="preserve">○</w:instrText>
      </w:r>
      <w:r>
        <w:rPr>
          <w:rFonts w:ascii="宋体" w:hAnsi="宋体" w:cs="宋体"/>
        </w:rPr>
        <w:instrText xml:space="preserve">,1)</w:instrText>
      </w:r>
      <w:r>
        <w:rPr>
          <w:rFonts w:ascii="宋体" w:hAnsi="宋体" w:cs="宋体"/>
        </w:rPr>
        <w:fldChar w:fldCharType="end"/>
      </w:r>
      <w:r>
        <w:rPr>
          <w:rFonts w:hint="eastAsia" w:ascii="宋体" w:hAnsi="宋体"/>
        </w:rPr>
        <w:t>良好的商业信誉：</w:t>
      </w:r>
    </w:p>
    <w:p>
      <w:pPr>
        <w:spacing w:line="360" w:lineRule="auto"/>
        <w:ind w:firstLine="420" w:firstLineChars="200"/>
        <w:rPr>
          <w:rFonts w:ascii="宋体" w:hAnsi="宋体" w:cs="宋体"/>
        </w:rPr>
      </w:pPr>
      <w:r>
        <w:rPr>
          <w:rFonts w:hint="eastAsia" w:ascii="宋体" w:hAnsi="宋体" w:cs="宋体"/>
        </w:rPr>
        <w:t>至本项目投标截止时间止未被“信用中国”（www.creditchina.gov.cn）、中国政府采购网（www.ccgp.gov.cn）列入失信被执行人、重大税收违法案件当事人名单、政府采购严重违法失信行为记录名单网页查询记录截图。</w:t>
      </w:r>
    </w:p>
    <w:p>
      <w:pPr>
        <w:spacing w:line="360" w:lineRule="auto"/>
        <w:ind w:firstLine="420" w:firstLineChars="200"/>
        <w:rPr>
          <w:rFonts w:ascii="宋体" w:hAnsi="宋体" w:cs="宋体"/>
        </w:rPr>
      </w:pPr>
      <w:r>
        <w:rPr>
          <w:rFonts w:hint="eastAsia" w:ascii="宋体" w:hAnsi="宋体" w:cs="宋体"/>
          <w:szCs w:val="21"/>
        </w:rPr>
        <w:t>提供</w:t>
      </w:r>
      <w:r>
        <w:rPr>
          <w:rFonts w:ascii="宋体" w:hAnsi="宋体" w:cs="宋体"/>
        </w:rPr>
        <w:t>查询</w:t>
      </w:r>
      <w:r>
        <w:rPr>
          <w:rFonts w:hint="eastAsia" w:ascii="宋体" w:hAnsi="宋体" w:cs="宋体"/>
        </w:rPr>
        <w:t>截图</w:t>
      </w:r>
      <w:r>
        <w:rPr>
          <w:rFonts w:ascii="宋体" w:hAnsi="宋体" w:cs="宋体"/>
        </w:rPr>
        <w:t>，</w:t>
      </w:r>
      <w:r>
        <w:rPr>
          <w:rFonts w:hint="eastAsia" w:ascii="宋体" w:hAnsi="宋体" w:cs="宋体"/>
        </w:rPr>
        <w:t>（截图查询网站时间须在开标截止前二个星期内）</w:t>
      </w:r>
    </w:p>
    <w:p>
      <w:pPr>
        <w:spacing w:line="360" w:lineRule="auto"/>
        <w:ind w:firstLine="420" w:firstLineChars="200"/>
        <w:rPr>
          <w:rFonts w:ascii="宋体" w:cs="宋体"/>
        </w:rPr>
      </w:pPr>
      <w:r>
        <w:rPr>
          <w:rFonts w:hint="eastAsia" w:ascii="宋体" w:hAnsi="宋体" w:cs="宋体"/>
          <w:szCs w:val="21"/>
        </w:rPr>
        <w:t>对</w:t>
      </w:r>
      <w:r>
        <w:rPr>
          <w:rFonts w:hint="eastAsia" w:ascii="宋体" w:hAnsi="宋体" w:cs="宋体"/>
        </w:rPr>
        <w:t>列入失信被执行人、重大税收违法案件当事人名单、政府采购严重违法失信行为记录名单的投标人，其投标将作无效标处理。</w:t>
      </w:r>
    </w:p>
    <w:p>
      <w:pPr>
        <w:spacing w:line="360" w:lineRule="auto"/>
        <w:ind w:firstLine="420" w:firstLineChars="200"/>
        <w:rPr>
          <w:rFonts w:ascii="宋体" w:cs="宋体"/>
        </w:rPr>
      </w:pPr>
      <w:r>
        <w:rPr>
          <w:rFonts w:hint="eastAsia" w:ascii="宋体" w:cs="宋体"/>
        </w:rPr>
        <w:t>②</w:t>
      </w:r>
      <w:r>
        <w:rPr>
          <w:rFonts w:hint="eastAsia" w:ascii="宋体" w:hAnsi="宋体" w:cs="宋体"/>
        </w:rPr>
        <w:t>健全的财务会计制度：</w:t>
      </w:r>
    </w:p>
    <w:p>
      <w:pPr>
        <w:spacing w:line="360" w:lineRule="auto"/>
        <w:ind w:firstLine="420" w:firstLineChars="200"/>
        <w:rPr>
          <w:rFonts w:ascii="宋体" w:cs="宋体"/>
        </w:rPr>
      </w:pPr>
      <w:r>
        <w:rPr>
          <w:rFonts w:hint="eastAsia" w:ascii="宋体" w:hAnsi="宋体" w:cs="宋体"/>
        </w:rPr>
        <w:t>投标人须在投标文件中出具符合以下情况的证明材料复印件</w:t>
      </w:r>
      <w:r>
        <w:rPr>
          <w:rFonts w:hint="eastAsia" w:ascii="宋体" w:hAnsi="宋体" w:cs="宋体"/>
          <w:b/>
          <w:bCs/>
        </w:rPr>
        <w:t>（三选一）</w:t>
      </w:r>
      <w:r>
        <w:rPr>
          <w:rFonts w:hint="eastAsia" w:ascii="宋体" w:hAnsi="宋体" w:cs="宋体"/>
        </w:rPr>
        <w:t>：</w:t>
      </w:r>
    </w:p>
    <w:p>
      <w:pPr>
        <w:numPr>
          <w:ilvl w:val="0"/>
          <w:numId w:val="7"/>
        </w:numPr>
        <w:spacing w:line="360" w:lineRule="auto"/>
        <w:ind w:left="0" w:firstLine="420" w:firstLineChars="200"/>
        <w:rPr>
          <w:rFonts w:ascii="宋体" w:cs="宋体"/>
        </w:rPr>
      </w:pPr>
      <w:r>
        <w:rPr>
          <w:rFonts w:hint="eastAsia" w:ascii="宋体" w:hAnsi="宋体" w:cs="宋体"/>
        </w:rPr>
        <w:t>投标人是法人的，应提供最近一个年度经审计的财务报告，包括资产负债表、利润表、现金流量表（执行《小企业会计准则》的提供资产负债表和利润表两张基本报表），未经审计的，提供资产负债表、利润表或损益表。</w:t>
      </w:r>
    </w:p>
    <w:p>
      <w:pPr>
        <w:numPr>
          <w:ilvl w:val="0"/>
          <w:numId w:val="7"/>
        </w:numPr>
        <w:spacing w:line="360" w:lineRule="auto"/>
        <w:ind w:left="0" w:firstLine="420" w:firstLineChars="200"/>
        <w:rPr>
          <w:rFonts w:ascii="宋体"/>
        </w:rPr>
      </w:pPr>
      <w:r>
        <w:rPr>
          <w:rFonts w:hint="eastAsia" w:ascii="宋体" w:hAnsi="宋体"/>
        </w:rPr>
        <w:t>其他组织和自然人如没有经审计的财务报告的，可以提供资产负债表、利润表、现金流量表。</w:t>
      </w:r>
    </w:p>
    <w:p>
      <w:pPr>
        <w:numPr>
          <w:ilvl w:val="0"/>
          <w:numId w:val="7"/>
        </w:numPr>
        <w:spacing w:line="360" w:lineRule="auto"/>
        <w:ind w:left="0" w:firstLine="420" w:firstLineChars="200"/>
        <w:rPr>
          <w:rFonts w:ascii="宋体"/>
        </w:rPr>
      </w:pPr>
      <w:r>
        <w:rPr>
          <w:rFonts w:hint="eastAsia" w:ascii="宋体" w:hAnsi="宋体"/>
        </w:rPr>
        <w:t>新成立不足一年的公司须出具情况说明。</w:t>
      </w:r>
    </w:p>
    <w:p>
      <w:pPr>
        <w:pStyle w:val="87"/>
        <w:spacing w:line="360" w:lineRule="auto"/>
        <w:ind w:left="420" w:firstLine="0" w:firstLineChars="0"/>
        <w:rPr>
          <w:rFonts w:ascii="宋体" w:cs="宋体"/>
          <w:b/>
          <w:bCs/>
          <w:szCs w:val="21"/>
        </w:rPr>
      </w:pPr>
      <w:r>
        <w:rPr>
          <w:rFonts w:ascii="宋体" w:hAnsi="宋体" w:cs="宋体"/>
          <w:b/>
          <w:bCs/>
          <w:szCs w:val="21"/>
        </w:rPr>
        <w:t>C.</w:t>
      </w:r>
      <w:r>
        <w:rPr>
          <w:rFonts w:hint="eastAsia" w:ascii="宋体" w:hAnsi="宋体" w:cs="宋体"/>
          <w:b/>
          <w:bCs/>
          <w:szCs w:val="21"/>
        </w:rPr>
        <w:t>具有履行合同所必需的设备和专业技术能力：</w:t>
      </w:r>
    </w:p>
    <w:p>
      <w:pPr>
        <w:pStyle w:val="87"/>
        <w:spacing w:line="360" w:lineRule="auto"/>
        <w:ind w:left="420" w:firstLine="0" w:firstLineChars="0"/>
        <w:rPr>
          <w:rFonts w:ascii="宋体" w:cs="宋体"/>
          <w:szCs w:val="21"/>
        </w:rPr>
      </w:pPr>
      <w:r>
        <w:rPr>
          <w:rFonts w:hint="eastAsia" w:ascii="宋体" w:hAnsi="宋体" w:cs="宋体"/>
          <w:szCs w:val="21"/>
        </w:rPr>
        <w:t>投标人须在投标文件中出具具有履行合同所必需的设备和专业技术能力的《投标函》。</w:t>
      </w:r>
    </w:p>
    <w:p>
      <w:pPr>
        <w:pStyle w:val="87"/>
        <w:spacing w:line="360" w:lineRule="auto"/>
        <w:ind w:left="420" w:firstLine="0" w:firstLineChars="0"/>
        <w:rPr>
          <w:rFonts w:ascii="宋体" w:cs="宋体"/>
          <w:b/>
          <w:bCs/>
          <w:szCs w:val="21"/>
        </w:rPr>
      </w:pPr>
      <w:r>
        <w:rPr>
          <w:rFonts w:ascii="宋体" w:hAnsi="宋体" w:cs="宋体"/>
          <w:b/>
          <w:bCs/>
          <w:szCs w:val="21"/>
        </w:rPr>
        <w:t>D.</w:t>
      </w:r>
      <w:r>
        <w:rPr>
          <w:rFonts w:hint="eastAsia" w:ascii="宋体" w:hAnsi="宋体" w:cs="宋体"/>
          <w:b/>
          <w:bCs/>
          <w:szCs w:val="21"/>
        </w:rPr>
        <w:t>有依法缴纳税收和社会保障资金的良好记录：</w:t>
      </w:r>
    </w:p>
    <w:p>
      <w:pPr>
        <w:spacing w:line="360" w:lineRule="auto"/>
        <w:ind w:firstLine="420" w:firstLineChars="200"/>
        <w:rPr>
          <w:rFonts w:ascii="宋体"/>
        </w:rPr>
      </w:pPr>
      <w:r>
        <w:rPr>
          <w:rFonts w:hint="eastAsia" w:ascii="宋体" w:hAnsi="宋体"/>
        </w:rPr>
        <w:t>1投标人须在投标文件中同时出具满足以下要求的证明材料复印件：</w:t>
      </w:r>
    </w:p>
    <w:p>
      <w:pPr>
        <w:spacing w:line="360" w:lineRule="auto"/>
        <w:ind w:firstLine="420" w:firstLineChars="200"/>
        <w:rPr>
          <w:rFonts w:ascii="宋体" w:hAnsi="宋体"/>
        </w:rPr>
      </w:pPr>
      <w:r>
        <w:rPr>
          <w:rFonts w:ascii="宋体" w:hAnsi="宋体" w:cs="宋体"/>
        </w:rPr>
        <w:fldChar w:fldCharType="begin"/>
      </w:r>
      <w:r>
        <w:rPr>
          <w:rFonts w:ascii="宋体" w:hAnsi="宋体" w:cs="宋体"/>
        </w:rPr>
        <w:instrText xml:space="preserve"> EQ \o\ac(</w:instrText>
      </w:r>
      <w:r>
        <w:rPr>
          <w:rFonts w:hint="eastAsia" w:ascii="宋体" w:hAnsi="宋体" w:cs="宋体"/>
        </w:rPr>
        <w:instrText xml:space="preserve">○</w:instrText>
      </w:r>
      <w:r>
        <w:rPr>
          <w:rFonts w:ascii="宋体" w:hAnsi="宋体" w:cs="宋体"/>
        </w:rPr>
        <w:instrText xml:space="preserve">,1)</w:instrText>
      </w:r>
      <w:r>
        <w:rPr>
          <w:rFonts w:ascii="宋体" w:hAnsi="宋体" w:cs="宋体"/>
        </w:rPr>
        <w:fldChar w:fldCharType="end"/>
      </w:r>
      <w:r>
        <w:rPr>
          <w:rFonts w:hint="eastAsia" w:ascii="宋体" w:hAnsi="宋体"/>
        </w:rPr>
        <w:t>投标人须提供由税务部门出具的最近三个月内缴纳增值税和企业所得税的纳税证明。</w:t>
      </w:r>
    </w:p>
    <w:p>
      <w:pPr>
        <w:spacing w:line="360" w:lineRule="auto"/>
        <w:ind w:firstLine="420" w:firstLineChars="200"/>
        <w:rPr>
          <w:rFonts w:ascii="宋体" w:hAnsi="宋体"/>
        </w:rPr>
      </w:pPr>
      <w:r>
        <w:rPr>
          <w:rFonts w:hint="eastAsia" w:ascii="宋体" w:hAnsi="宋体"/>
        </w:rPr>
        <w:t>②投标人须提供最近三个月内缴纳社会保险的凭据（缴税付款凭证或社会保险缴纳证明）</w:t>
      </w:r>
    </w:p>
    <w:p>
      <w:pPr>
        <w:spacing w:line="360" w:lineRule="auto"/>
        <w:ind w:firstLine="420" w:firstLineChars="200"/>
        <w:rPr>
          <w:rFonts w:ascii="宋体" w:hAnsi="宋体"/>
        </w:rPr>
      </w:pPr>
      <w:r>
        <w:rPr>
          <w:rFonts w:hint="eastAsia" w:ascii="宋体" w:hAnsi="宋体"/>
        </w:rPr>
        <w:t>依法免税或不需要缴纳社会保障资金的投标人，应提供相应文件证明其依法免税或不需要缴纳社会保障资金。</w:t>
      </w:r>
    </w:p>
    <w:p>
      <w:pPr>
        <w:spacing w:line="360" w:lineRule="auto"/>
        <w:ind w:firstLine="422" w:firstLineChars="200"/>
        <w:rPr>
          <w:rFonts w:ascii="宋体"/>
          <w:b/>
          <w:bCs/>
        </w:rPr>
      </w:pPr>
      <w:r>
        <w:rPr>
          <w:rFonts w:ascii="宋体" w:hAnsi="宋体"/>
          <w:b/>
          <w:bCs/>
        </w:rPr>
        <w:t>E.</w:t>
      </w:r>
      <w:r>
        <w:rPr>
          <w:rFonts w:hint="eastAsia" w:ascii="宋体" w:hAnsi="宋体"/>
          <w:b/>
          <w:bCs/>
        </w:rPr>
        <w:t>参加政府采购活动前三年内，在经营活动中没有重大违法记录：</w:t>
      </w:r>
    </w:p>
    <w:p>
      <w:pPr>
        <w:spacing w:line="360" w:lineRule="auto"/>
        <w:ind w:firstLine="420" w:firstLineChars="200"/>
        <w:rPr>
          <w:rFonts w:ascii="宋体" w:hAnsi="宋体"/>
        </w:rPr>
      </w:pPr>
      <w:r>
        <w:rPr>
          <w:rFonts w:hint="eastAsia" w:ascii="宋体" w:hAnsi="宋体"/>
        </w:rPr>
        <w:t>投标人须在投标文件中出具《声明函》、廉政承诺书。（格式见附件）</w:t>
      </w:r>
    </w:p>
    <w:p>
      <w:pPr>
        <w:tabs>
          <w:tab w:val="left" w:pos="3870"/>
          <w:tab w:val="left" w:pos="4085"/>
        </w:tabs>
        <w:snapToGrid w:val="0"/>
        <w:spacing w:line="336" w:lineRule="auto"/>
        <w:ind w:firstLine="420" w:firstLineChars="200"/>
        <w:jc w:val="left"/>
        <w:rPr>
          <w:rFonts w:ascii="宋体" w:hAnsi="宋体" w:cs="宋体"/>
          <w:szCs w:val="21"/>
        </w:rPr>
      </w:pPr>
      <w:r>
        <w:rPr>
          <w:rFonts w:hint="eastAsia" w:ascii="宋体" w:hAnsi="宋体" w:cs="宋体"/>
          <w:szCs w:val="21"/>
        </w:rPr>
        <w:t>中小企业申明函（如是）；</w:t>
      </w:r>
    </w:p>
    <w:p>
      <w:pPr>
        <w:tabs>
          <w:tab w:val="left" w:pos="3870"/>
          <w:tab w:val="left" w:pos="4085"/>
        </w:tabs>
        <w:snapToGrid w:val="0"/>
        <w:spacing w:line="336" w:lineRule="auto"/>
        <w:ind w:firstLine="420" w:firstLineChars="200"/>
        <w:jc w:val="left"/>
        <w:rPr>
          <w:rFonts w:ascii="宋体" w:hAnsi="宋体" w:cs="宋体"/>
          <w:szCs w:val="21"/>
        </w:rPr>
      </w:pPr>
      <w:r>
        <w:rPr>
          <w:rFonts w:hint="eastAsia" w:ascii="宋体" w:hAnsi="宋体" w:cs="宋体"/>
          <w:szCs w:val="21"/>
        </w:rPr>
        <w:t>监狱企业声明函（如是）；</w:t>
      </w:r>
    </w:p>
    <w:p>
      <w:pPr>
        <w:tabs>
          <w:tab w:val="left" w:pos="3870"/>
          <w:tab w:val="left" w:pos="4085"/>
        </w:tabs>
        <w:snapToGrid w:val="0"/>
        <w:spacing w:line="336" w:lineRule="auto"/>
        <w:ind w:firstLine="420" w:firstLineChars="200"/>
        <w:jc w:val="left"/>
        <w:rPr>
          <w:rFonts w:ascii="宋体" w:hAnsi="宋体" w:cs="宋体"/>
          <w:szCs w:val="21"/>
        </w:rPr>
      </w:pPr>
      <w:r>
        <w:rPr>
          <w:rFonts w:hint="eastAsia" w:ascii="宋体" w:hAnsi="宋体" w:cs="宋体"/>
          <w:szCs w:val="21"/>
        </w:rPr>
        <w:t>残疾人福利性单位声明函（如是）；</w:t>
      </w:r>
    </w:p>
    <w:p>
      <w:pPr>
        <w:pStyle w:val="20"/>
        <w:snapToGrid w:val="0"/>
        <w:spacing w:before="120" w:line="336" w:lineRule="auto"/>
        <w:ind w:firstLine="415" w:firstLineChars="198"/>
        <w:rPr>
          <w:rFonts w:hAnsi="宋体" w:cs="宋体"/>
          <w:sz w:val="21"/>
          <w:szCs w:val="21"/>
        </w:rPr>
      </w:pPr>
      <w:r>
        <w:rPr>
          <w:rFonts w:hint="eastAsia" w:hAnsi="宋体" w:cs="宋体"/>
          <w:sz w:val="21"/>
          <w:szCs w:val="21"/>
        </w:rPr>
        <w:t>注：证明材料均需加盖签章。</w:t>
      </w:r>
    </w:p>
    <w:p>
      <w:pPr>
        <w:pStyle w:val="104"/>
        <w:snapToGrid w:val="0"/>
        <w:spacing w:before="120" w:after="120" w:line="336" w:lineRule="auto"/>
        <w:ind w:left="417" w:right="-506" w:rightChars="-241"/>
        <w:rPr>
          <w:rFonts w:hAnsi="宋体" w:eastAsia="宋体"/>
          <w:b/>
          <w:sz w:val="21"/>
          <w:szCs w:val="21"/>
        </w:rPr>
      </w:pPr>
      <w:r>
        <w:rPr>
          <w:rFonts w:hint="eastAsia" w:hAnsi="宋体" w:eastAsia="宋体"/>
          <w:b/>
          <w:sz w:val="21"/>
          <w:szCs w:val="21"/>
        </w:rPr>
        <w:t>2、</w:t>
      </w:r>
      <w:r>
        <w:rPr>
          <w:rFonts w:hAnsi="宋体" w:eastAsia="宋体"/>
          <w:b/>
          <w:sz w:val="21"/>
          <w:szCs w:val="21"/>
        </w:rPr>
        <w:t>商务</w:t>
      </w:r>
      <w:r>
        <w:rPr>
          <w:rFonts w:hint="eastAsia" w:hAnsi="宋体" w:eastAsia="宋体"/>
          <w:b/>
          <w:sz w:val="21"/>
          <w:szCs w:val="21"/>
        </w:rPr>
        <w:t>及技术部分</w:t>
      </w:r>
      <w:r>
        <w:rPr>
          <w:rFonts w:hAnsi="宋体" w:eastAsia="宋体"/>
          <w:b/>
          <w:sz w:val="21"/>
          <w:szCs w:val="21"/>
        </w:rPr>
        <w:t>：</w:t>
      </w:r>
    </w:p>
    <w:p>
      <w:pPr>
        <w:snapToGrid w:val="0"/>
        <w:spacing w:line="360" w:lineRule="auto"/>
        <w:ind w:firstLine="411" w:firstLineChars="196"/>
        <w:jc w:val="left"/>
        <w:rPr>
          <w:rFonts w:ascii="宋体" w:hAnsi="宋体"/>
          <w:szCs w:val="21"/>
        </w:rPr>
      </w:pPr>
      <w:r>
        <w:rPr>
          <w:rFonts w:hint="eastAsia" w:ascii="宋体" w:hAnsi="宋体"/>
          <w:szCs w:val="21"/>
        </w:rPr>
        <w:t>2.1投标人基本情况表（如有）；</w:t>
      </w:r>
    </w:p>
    <w:p>
      <w:pPr>
        <w:snapToGrid w:val="0"/>
        <w:spacing w:line="360" w:lineRule="auto"/>
        <w:ind w:firstLine="411" w:firstLineChars="196"/>
        <w:jc w:val="left"/>
        <w:rPr>
          <w:rFonts w:ascii="宋体" w:hAnsi="宋体"/>
          <w:szCs w:val="21"/>
        </w:rPr>
      </w:pPr>
      <w:r>
        <w:rPr>
          <w:rFonts w:hint="eastAsia" w:ascii="宋体" w:hAnsi="宋体"/>
          <w:szCs w:val="21"/>
        </w:rPr>
        <w:t>2.2项目负责人简历表（须附相关证明材料）；项目实施人员一览表（须附职称证书复印件）；</w:t>
      </w:r>
    </w:p>
    <w:p>
      <w:pPr>
        <w:snapToGrid w:val="0"/>
        <w:spacing w:line="360" w:lineRule="auto"/>
        <w:ind w:firstLine="411" w:firstLineChars="196"/>
        <w:jc w:val="left"/>
        <w:rPr>
          <w:rFonts w:ascii="宋体" w:hAnsi="宋体"/>
          <w:szCs w:val="21"/>
        </w:rPr>
      </w:pPr>
      <w:r>
        <w:rPr>
          <w:rFonts w:hint="eastAsia" w:ascii="宋体" w:hAnsi="宋体"/>
          <w:szCs w:val="21"/>
        </w:rPr>
        <w:t>2.3成功案例及业绩；</w:t>
      </w:r>
    </w:p>
    <w:p>
      <w:pPr>
        <w:snapToGrid w:val="0"/>
        <w:spacing w:line="360" w:lineRule="auto"/>
        <w:ind w:firstLine="411" w:firstLineChars="196"/>
        <w:jc w:val="left"/>
        <w:rPr>
          <w:rFonts w:ascii="宋体" w:hAnsi="宋体"/>
          <w:szCs w:val="21"/>
        </w:rPr>
      </w:pPr>
      <w:r>
        <w:rPr>
          <w:rFonts w:hint="eastAsia" w:ascii="宋体" w:hAnsi="宋体"/>
          <w:szCs w:val="21"/>
        </w:rPr>
        <w:t>2.4商务偏离表；</w:t>
      </w:r>
    </w:p>
    <w:p>
      <w:pPr>
        <w:snapToGrid w:val="0"/>
        <w:spacing w:line="360" w:lineRule="auto"/>
        <w:ind w:right="-87" w:firstLine="420" w:firstLineChars="200"/>
        <w:jc w:val="left"/>
        <w:rPr>
          <w:rFonts w:ascii="宋体" w:hAnsi="宋体"/>
          <w:szCs w:val="21"/>
        </w:rPr>
      </w:pPr>
      <w:r>
        <w:rPr>
          <w:rFonts w:hint="eastAsia" w:ascii="宋体" w:hAnsi="宋体"/>
          <w:szCs w:val="21"/>
        </w:rPr>
        <w:t>2.5保修服务内容及标准及设备维修方案的具体措施；</w:t>
      </w:r>
    </w:p>
    <w:p>
      <w:pPr>
        <w:snapToGrid w:val="0"/>
        <w:spacing w:line="360" w:lineRule="auto"/>
        <w:ind w:right="-87" w:firstLine="420" w:firstLineChars="200"/>
        <w:jc w:val="left"/>
        <w:rPr>
          <w:rFonts w:ascii="宋体" w:hAnsi="宋体"/>
          <w:szCs w:val="21"/>
        </w:rPr>
      </w:pPr>
      <w:r>
        <w:rPr>
          <w:rFonts w:hint="eastAsia" w:ascii="宋体" w:hAnsi="宋体"/>
          <w:szCs w:val="21"/>
        </w:rPr>
        <w:t>2.6本项目的整体理解及重点、难点分析和相应解决措施；</w:t>
      </w:r>
    </w:p>
    <w:p>
      <w:pPr>
        <w:snapToGrid w:val="0"/>
        <w:spacing w:line="360" w:lineRule="auto"/>
        <w:ind w:right="-87" w:firstLine="420" w:firstLineChars="200"/>
        <w:jc w:val="left"/>
        <w:rPr>
          <w:rFonts w:ascii="宋体" w:hAnsi="宋体"/>
          <w:szCs w:val="21"/>
        </w:rPr>
      </w:pPr>
      <w:r>
        <w:rPr>
          <w:rFonts w:hint="eastAsia" w:ascii="宋体" w:hAnsi="宋体"/>
          <w:szCs w:val="21"/>
        </w:rPr>
        <w:t>2.7本项目的质量保证措施、内部管理措施、服务质量保障承诺；</w:t>
      </w:r>
    </w:p>
    <w:p>
      <w:pPr>
        <w:snapToGrid w:val="0"/>
        <w:spacing w:line="360" w:lineRule="auto"/>
        <w:ind w:right="-87" w:firstLine="420" w:firstLineChars="200"/>
        <w:jc w:val="left"/>
        <w:rPr>
          <w:rFonts w:ascii="宋体" w:hAnsi="宋体"/>
          <w:szCs w:val="21"/>
        </w:rPr>
      </w:pPr>
      <w:r>
        <w:rPr>
          <w:rFonts w:hint="eastAsia" w:ascii="宋体" w:hAnsi="宋体"/>
          <w:szCs w:val="21"/>
        </w:rPr>
        <w:t>2.8技术力量、维修人员配置；</w:t>
      </w:r>
    </w:p>
    <w:p>
      <w:pPr>
        <w:snapToGrid w:val="0"/>
        <w:spacing w:line="360" w:lineRule="auto"/>
        <w:ind w:right="-87" w:firstLine="420" w:firstLineChars="200"/>
        <w:jc w:val="left"/>
        <w:rPr>
          <w:rFonts w:ascii="宋体" w:hAnsi="宋体"/>
          <w:szCs w:val="21"/>
        </w:rPr>
      </w:pPr>
      <w:r>
        <w:rPr>
          <w:rFonts w:hint="eastAsia" w:ascii="宋体" w:hAnsi="宋体"/>
          <w:szCs w:val="21"/>
        </w:rPr>
        <w:t>2.9组织和实施计划、时间计划</w:t>
      </w:r>
    </w:p>
    <w:p>
      <w:pPr>
        <w:snapToGrid w:val="0"/>
        <w:spacing w:line="360" w:lineRule="auto"/>
        <w:ind w:right="-87" w:firstLine="420" w:firstLineChars="200"/>
        <w:jc w:val="left"/>
        <w:rPr>
          <w:rFonts w:ascii="宋体" w:hAnsi="宋体"/>
          <w:szCs w:val="21"/>
        </w:rPr>
      </w:pPr>
      <w:r>
        <w:rPr>
          <w:rFonts w:hint="eastAsia" w:ascii="宋体" w:hAnsi="宋体"/>
          <w:szCs w:val="21"/>
        </w:rPr>
        <w:t>2.10项目实施期间和实施后的服务承诺（包括服务响应时间、具体的服务承诺）；</w:t>
      </w:r>
    </w:p>
    <w:p>
      <w:pPr>
        <w:snapToGrid w:val="0"/>
        <w:spacing w:line="360" w:lineRule="auto"/>
        <w:ind w:right="-87" w:firstLine="420" w:firstLineChars="200"/>
        <w:jc w:val="left"/>
        <w:rPr>
          <w:rFonts w:ascii="宋体" w:hAnsi="宋体"/>
          <w:szCs w:val="21"/>
        </w:rPr>
      </w:pPr>
      <w:r>
        <w:rPr>
          <w:rFonts w:hint="eastAsia" w:ascii="宋体" w:hAnsi="宋体"/>
          <w:szCs w:val="21"/>
        </w:rPr>
        <w:t>2.11突发事件的应急措施；</w:t>
      </w:r>
    </w:p>
    <w:p>
      <w:pPr>
        <w:snapToGrid w:val="0"/>
        <w:spacing w:line="360" w:lineRule="auto"/>
        <w:ind w:right="-87" w:firstLine="420" w:firstLineChars="200"/>
        <w:jc w:val="left"/>
        <w:rPr>
          <w:rFonts w:ascii="宋体" w:hAnsi="宋体"/>
        </w:rPr>
      </w:pPr>
      <w:r>
        <w:rPr>
          <w:rFonts w:hint="eastAsia" w:ascii="宋体" w:hAnsi="宋体"/>
          <w:szCs w:val="21"/>
        </w:rPr>
        <w:t>2.12合理化建议和优惠承诺；</w:t>
      </w:r>
      <w:r>
        <w:rPr>
          <w:rFonts w:ascii="宋体" w:hAnsi="宋体"/>
        </w:rPr>
        <w:t xml:space="preserve"> </w:t>
      </w:r>
    </w:p>
    <w:p>
      <w:pPr>
        <w:snapToGrid w:val="0"/>
        <w:spacing w:line="360" w:lineRule="auto"/>
        <w:ind w:firstLine="411" w:firstLineChars="196"/>
        <w:jc w:val="left"/>
        <w:rPr>
          <w:rFonts w:ascii="宋体" w:hAnsi="宋体"/>
          <w:szCs w:val="21"/>
        </w:rPr>
      </w:pPr>
      <w:r>
        <w:rPr>
          <w:rFonts w:hint="eastAsia" w:ascii="宋体" w:hAnsi="宋体"/>
        </w:rPr>
        <w:t>2.13投标人需要说明的其他文件和说明。</w:t>
      </w:r>
    </w:p>
    <w:p>
      <w:pPr>
        <w:snapToGrid w:val="0"/>
        <w:spacing w:line="360" w:lineRule="auto"/>
        <w:ind w:firstLine="413" w:firstLineChars="196"/>
        <w:jc w:val="left"/>
        <w:rPr>
          <w:rFonts w:hAnsi="宋体"/>
          <w:b/>
          <w:szCs w:val="21"/>
        </w:rPr>
      </w:pPr>
      <w:r>
        <w:rPr>
          <w:rFonts w:hint="eastAsia" w:hAnsi="宋体"/>
          <w:b/>
          <w:szCs w:val="21"/>
        </w:rPr>
        <w:t>3、</w:t>
      </w:r>
      <w:r>
        <w:rPr>
          <w:rFonts w:hAnsi="宋体"/>
          <w:b/>
          <w:szCs w:val="21"/>
        </w:rPr>
        <w:t>报价</w:t>
      </w:r>
      <w:r>
        <w:rPr>
          <w:rFonts w:hint="eastAsia" w:hAnsi="宋体"/>
          <w:b/>
          <w:szCs w:val="21"/>
        </w:rPr>
        <w:t>部分</w:t>
      </w:r>
      <w:r>
        <w:rPr>
          <w:rFonts w:hAnsi="宋体"/>
          <w:b/>
          <w:szCs w:val="21"/>
        </w:rPr>
        <w:t>：</w:t>
      </w:r>
    </w:p>
    <w:p>
      <w:pPr>
        <w:snapToGrid w:val="0"/>
        <w:spacing w:line="336" w:lineRule="auto"/>
        <w:ind w:firstLine="420" w:firstLineChars="200"/>
        <w:jc w:val="left"/>
        <w:rPr>
          <w:rFonts w:ascii="宋体" w:hAnsi="宋体" w:cs="宋体"/>
          <w:szCs w:val="21"/>
        </w:rPr>
      </w:pPr>
      <w:r>
        <w:rPr>
          <w:rFonts w:hint="eastAsia" w:ascii="宋体" w:hAnsi="宋体" w:cs="宋体"/>
          <w:szCs w:val="21"/>
        </w:rPr>
        <w:t>3.1投标报价一览表；</w:t>
      </w:r>
    </w:p>
    <w:p>
      <w:pPr>
        <w:tabs>
          <w:tab w:val="left" w:pos="3870"/>
          <w:tab w:val="left" w:pos="4085"/>
        </w:tabs>
        <w:snapToGrid w:val="0"/>
        <w:spacing w:line="336" w:lineRule="auto"/>
        <w:ind w:firstLine="420" w:firstLineChars="200"/>
        <w:jc w:val="left"/>
        <w:rPr>
          <w:rFonts w:ascii="宋体" w:hAnsi="宋体" w:cs="宋体"/>
          <w:szCs w:val="21"/>
        </w:rPr>
      </w:pPr>
      <w:r>
        <w:rPr>
          <w:rFonts w:hint="eastAsia" w:ascii="宋体" w:hAnsi="宋体" w:cs="宋体"/>
          <w:szCs w:val="21"/>
        </w:rPr>
        <w:t>3.2报价明细表；</w:t>
      </w:r>
    </w:p>
    <w:p>
      <w:pPr>
        <w:snapToGrid w:val="0"/>
        <w:spacing w:line="336" w:lineRule="auto"/>
        <w:ind w:firstLine="420" w:firstLineChars="200"/>
        <w:jc w:val="left"/>
        <w:rPr>
          <w:rFonts w:ascii="宋体" w:hAnsi="宋体" w:cs="宋体"/>
          <w:szCs w:val="21"/>
        </w:rPr>
      </w:pPr>
      <w:r>
        <w:rPr>
          <w:rFonts w:hint="eastAsia" w:ascii="宋体" w:hAnsi="宋体" w:cs="宋体"/>
          <w:szCs w:val="21"/>
        </w:rPr>
        <w:t>3.3投标人针对报价需要说明的其他文件和说明。</w:t>
      </w:r>
    </w:p>
    <w:p>
      <w:pPr>
        <w:snapToGrid w:val="0"/>
        <w:spacing w:line="360" w:lineRule="auto"/>
        <w:ind w:right="55" w:firstLine="413" w:firstLineChars="196"/>
        <w:jc w:val="left"/>
        <w:outlineLvl w:val="0"/>
        <w:rPr>
          <w:rFonts w:ascii="宋体" w:hAnsi="宋体"/>
          <w:b/>
          <w:sz w:val="24"/>
        </w:rPr>
      </w:pPr>
      <w:r>
        <w:rPr>
          <w:rFonts w:ascii="宋体" w:hAnsi="宋体"/>
          <w:b/>
          <w:szCs w:val="21"/>
        </w:rPr>
        <w:t>（二）</w:t>
      </w:r>
      <w:r>
        <w:rPr>
          <w:rFonts w:hint="eastAsia" w:ascii="宋体" w:hAnsi="宋体"/>
          <w:b/>
          <w:szCs w:val="21"/>
        </w:rPr>
        <w:t>投标</w:t>
      </w:r>
      <w:r>
        <w:rPr>
          <w:rFonts w:ascii="宋体" w:hAnsi="宋体"/>
          <w:b/>
          <w:szCs w:val="21"/>
        </w:rPr>
        <w:t>文件的语言及计量</w:t>
      </w:r>
    </w:p>
    <w:p>
      <w:pPr>
        <w:snapToGrid w:val="0"/>
        <w:spacing w:line="360" w:lineRule="auto"/>
        <w:ind w:firstLine="420" w:firstLineChars="200"/>
        <w:jc w:val="left"/>
        <w:rPr>
          <w:rFonts w:ascii="宋体" w:hAnsi="宋体" w:cs="宋体"/>
          <w:szCs w:val="21"/>
        </w:rPr>
      </w:pPr>
      <w:r>
        <w:rPr>
          <w:rFonts w:hint="eastAsia" w:ascii="宋体" w:hAnsi="宋体" w:cs="宋体"/>
          <w:szCs w:val="21"/>
        </w:rPr>
        <w:t>1.投标文件以及投标人与采购人就有关投标事宜的所有来往函电，均应以中文汉语书写。除签名、盖章、专用名称等特殊情形外，以中文汉语以外的文字表述的投标文件视同未提供。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rFonts w:ascii="宋体" w:hAnsi="宋体" w:cs="宋体"/>
          <w:szCs w:val="21"/>
        </w:rPr>
      </w:pPr>
      <w:r>
        <w:rPr>
          <w:rFonts w:hint="eastAsia" w:ascii="宋体" w:hAnsi="宋体" w:cs="宋体"/>
          <w:szCs w:val="21"/>
        </w:rPr>
        <w:t>2.投标计量单位，采购文件已有明确规定的，使用采购文件规定的计量单位；采购文件没有规定的，应采用中华人民共和国法定计量单位（货币单位：人民币元），否则视同未响应。</w:t>
      </w:r>
    </w:p>
    <w:p>
      <w:pPr>
        <w:tabs>
          <w:tab w:val="left" w:pos="0"/>
        </w:tabs>
        <w:spacing w:line="360" w:lineRule="auto"/>
        <w:ind w:firstLine="422" w:firstLineChars="200"/>
        <w:rPr>
          <w:rFonts w:ascii="宋体" w:hAnsi="宋体"/>
          <w:b/>
          <w:szCs w:val="21"/>
        </w:rPr>
      </w:pPr>
      <w:r>
        <w:rPr>
          <w:rFonts w:ascii="宋体" w:hAnsi="宋体"/>
          <w:b/>
          <w:szCs w:val="21"/>
        </w:rPr>
        <w:t>（三）响应报价</w:t>
      </w:r>
    </w:p>
    <w:p>
      <w:pPr>
        <w:pStyle w:val="10"/>
        <w:tabs>
          <w:tab w:val="clear" w:pos="360"/>
        </w:tabs>
        <w:snapToGrid w:val="0"/>
        <w:spacing w:line="360" w:lineRule="auto"/>
        <w:ind w:left="0" w:firstLine="422" w:firstLineChars="200"/>
        <w:rPr>
          <w:rFonts w:ascii="宋体" w:hAnsi="宋体" w:cs="宋体"/>
          <w:b/>
          <w:bCs/>
          <w:szCs w:val="21"/>
        </w:rPr>
      </w:pPr>
      <w:r>
        <w:rPr>
          <w:rFonts w:ascii="宋体" w:hAnsi="宋体" w:cs="宋体"/>
          <w:b/>
          <w:bCs/>
          <w:szCs w:val="21"/>
        </w:rPr>
        <w:t xml:space="preserve">1. </w:t>
      </w:r>
      <w:r>
        <w:rPr>
          <w:rFonts w:hint="eastAsia" w:ascii="宋体" w:hAnsi="宋体" w:cs="宋体"/>
          <w:b/>
          <w:bCs/>
          <w:szCs w:val="21"/>
        </w:rPr>
        <w:t>投标报价应以人民币报价，投标人报价应是包括为完成本项目服务、设备供应可能发生的全部费用及中标人的利润和应交纳的税金等一切费用。</w:t>
      </w:r>
    </w:p>
    <w:p>
      <w:pPr>
        <w:spacing w:line="360" w:lineRule="auto"/>
        <w:ind w:firstLine="420"/>
        <w:rPr>
          <w:rFonts w:ascii="宋体" w:hAnsi="宋体"/>
        </w:rPr>
      </w:pPr>
      <w:r>
        <w:rPr>
          <w:rFonts w:ascii="宋体" w:hAnsi="宋体" w:cs="宋体"/>
          <w:b/>
          <w:bCs/>
          <w:szCs w:val="21"/>
        </w:rPr>
        <w:t>2.</w:t>
      </w:r>
      <w:r>
        <w:rPr>
          <w:rFonts w:hint="eastAsia" w:ascii="宋体" w:hAnsi="宋体" w:cs="宋体"/>
          <w:b/>
          <w:bCs/>
          <w:szCs w:val="21"/>
        </w:rPr>
        <w:t>投标文件针对同一内容只允许有一个报价，有选择的或有条件的报价将不予接受。</w:t>
      </w:r>
    </w:p>
    <w:p>
      <w:pPr>
        <w:snapToGrid w:val="0"/>
        <w:spacing w:line="360" w:lineRule="auto"/>
        <w:ind w:firstLine="413" w:firstLineChars="196"/>
        <w:jc w:val="left"/>
        <w:outlineLvl w:val="0"/>
        <w:rPr>
          <w:rFonts w:ascii="宋体" w:hAnsi="宋体"/>
          <w:b/>
          <w:szCs w:val="21"/>
        </w:rPr>
      </w:pPr>
      <w:r>
        <w:rPr>
          <w:rFonts w:ascii="宋体" w:hAnsi="宋体"/>
          <w:b/>
          <w:szCs w:val="21"/>
        </w:rPr>
        <w:t>（四）</w:t>
      </w:r>
      <w:r>
        <w:rPr>
          <w:rFonts w:hint="eastAsia" w:ascii="宋体" w:hAnsi="宋体"/>
          <w:b/>
          <w:szCs w:val="21"/>
        </w:rPr>
        <w:t>投标</w:t>
      </w:r>
      <w:r>
        <w:rPr>
          <w:rFonts w:ascii="宋体" w:hAnsi="宋体"/>
          <w:b/>
          <w:szCs w:val="21"/>
        </w:rPr>
        <w:t>文件的有效期</w:t>
      </w:r>
    </w:p>
    <w:p>
      <w:pPr>
        <w:pStyle w:val="10"/>
        <w:tabs>
          <w:tab w:val="left" w:pos="454"/>
          <w:tab w:val="left" w:pos="720"/>
          <w:tab w:val="left" w:pos="900"/>
        </w:tabs>
        <w:snapToGrid w:val="0"/>
        <w:spacing w:line="360" w:lineRule="auto"/>
        <w:ind w:left="0" w:right="-506" w:rightChars="-241" w:firstLine="420" w:firstLineChars="200"/>
        <w:rPr>
          <w:rFonts w:ascii="宋体" w:hAnsi="宋体"/>
        </w:rPr>
      </w:pPr>
      <w:r>
        <w:rPr>
          <w:rFonts w:hint="eastAsia" w:ascii="宋体" w:hAnsi="宋体"/>
        </w:rPr>
        <w:t>1.自投标截止日起</w:t>
      </w:r>
      <w:r>
        <w:rPr>
          <w:rFonts w:hint="eastAsia" w:ascii="宋体" w:hAnsi="宋体"/>
          <w:b/>
          <w:u w:val="single"/>
        </w:rPr>
        <w:t xml:space="preserve">90 </w:t>
      </w:r>
      <w:r>
        <w:rPr>
          <w:rFonts w:hint="eastAsia" w:ascii="宋体" w:hAnsi="宋体"/>
          <w:b/>
        </w:rPr>
        <w:t>天</w:t>
      </w:r>
      <w:r>
        <w:rPr>
          <w:rFonts w:hint="eastAsia" w:ascii="宋体" w:hAnsi="宋体"/>
        </w:rPr>
        <w:t>投标文件应保持有效。有效期不足的投标文件将被拒绝。</w:t>
      </w:r>
    </w:p>
    <w:p>
      <w:pPr>
        <w:snapToGrid w:val="0"/>
        <w:spacing w:line="360" w:lineRule="auto"/>
        <w:ind w:right="-86" w:rightChars="-41" w:firstLine="420" w:firstLineChars="200"/>
        <w:jc w:val="left"/>
        <w:outlineLvl w:val="0"/>
        <w:rPr>
          <w:rFonts w:ascii="宋体" w:hAnsi="宋体"/>
        </w:rPr>
      </w:pPr>
      <w:r>
        <w:rPr>
          <w:rFonts w:hint="eastAsia" w:ascii="宋体" w:hAnsi="宋体"/>
        </w:rPr>
        <w:t>2.在特殊情况下，采购人可与投标人协商延长投标书的有效期，这种要求和答复均以书面形式进行。</w:t>
      </w:r>
    </w:p>
    <w:p>
      <w:pPr>
        <w:snapToGrid w:val="0"/>
        <w:spacing w:line="360" w:lineRule="auto"/>
        <w:ind w:right="55" w:firstLine="420" w:firstLineChars="200"/>
        <w:jc w:val="left"/>
        <w:outlineLvl w:val="0"/>
        <w:rPr>
          <w:rFonts w:ascii="宋体" w:hAnsi="宋体"/>
        </w:rPr>
      </w:pPr>
      <w:r>
        <w:rPr>
          <w:rFonts w:hint="eastAsia" w:ascii="宋体" w:hAnsi="宋体"/>
        </w:rPr>
        <w:t>3.中标人的投标文件自开标之日起至合同履行完毕止均应保持有效。</w:t>
      </w:r>
    </w:p>
    <w:p>
      <w:pPr>
        <w:snapToGrid w:val="0"/>
        <w:spacing w:line="360" w:lineRule="auto"/>
        <w:ind w:firstLine="413" w:firstLineChars="196"/>
        <w:jc w:val="left"/>
        <w:rPr>
          <w:rFonts w:ascii="宋体" w:hAnsi="宋体"/>
          <w:b/>
          <w:szCs w:val="21"/>
        </w:rPr>
      </w:pPr>
      <w:r>
        <w:rPr>
          <w:rFonts w:ascii="宋体" w:hAnsi="宋体"/>
          <w:b/>
          <w:szCs w:val="21"/>
        </w:rPr>
        <w:t>（</w:t>
      </w:r>
      <w:r>
        <w:rPr>
          <w:rFonts w:hint="eastAsia" w:ascii="宋体" w:hAnsi="宋体"/>
          <w:b/>
          <w:szCs w:val="21"/>
        </w:rPr>
        <w:t>五</w:t>
      </w:r>
      <w:r>
        <w:rPr>
          <w:rFonts w:ascii="宋体" w:hAnsi="宋体"/>
          <w:b/>
          <w:szCs w:val="21"/>
        </w:rPr>
        <w:t>）</w:t>
      </w:r>
      <w:r>
        <w:rPr>
          <w:rFonts w:hint="eastAsia" w:ascii="宋体" w:hAnsi="宋体"/>
          <w:b/>
          <w:szCs w:val="21"/>
        </w:rPr>
        <w:t>投标文件的包装、递交、修改和撤回</w:t>
      </w:r>
    </w:p>
    <w:p>
      <w:pPr>
        <w:snapToGrid w:val="0"/>
        <w:spacing w:line="360" w:lineRule="auto"/>
        <w:ind w:right="-86" w:rightChars="-41" w:firstLine="420" w:firstLineChars="200"/>
        <w:jc w:val="left"/>
        <w:rPr>
          <w:rFonts w:ascii="宋体" w:hAnsi="宋体"/>
        </w:rPr>
      </w:pPr>
      <w:r>
        <w:rPr>
          <w:rFonts w:hint="eastAsia" w:ascii="宋体" w:hAnsi="宋体"/>
        </w:rPr>
        <w:t>1、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snapToGrid w:val="0"/>
        <w:spacing w:line="360" w:lineRule="auto"/>
        <w:ind w:right="-86" w:rightChars="-41" w:firstLine="420" w:firstLineChars="200"/>
        <w:jc w:val="left"/>
        <w:rPr>
          <w:rFonts w:ascii="宋体" w:hAnsi="宋体"/>
        </w:rPr>
      </w:pPr>
      <w:r>
        <w:rPr>
          <w:rFonts w:hint="eastAsia" w:ascii="宋体" w:hAnsi="宋体"/>
        </w:rPr>
        <w:t>2、投标人应当在投标截止时间前将以介质存储的数据电文形式的备份投标文件和纸质备份投标文件</w:t>
      </w:r>
      <w:r>
        <w:rPr>
          <w:rFonts w:hint="eastAsia" w:ascii="宋体" w:hAnsi="宋体" w:cs="宋体"/>
          <w:szCs w:val="21"/>
        </w:rPr>
        <w:t>寄到或送达采购代理公司。地址：舟山市定海区昌国路232号中楼202  深圳市国信招标有限公司舟山分公司。也可现场递交。</w:t>
      </w:r>
      <w:r>
        <w:rPr>
          <w:rFonts w:hint="eastAsia" w:ascii="宋体" w:hAnsi="宋体"/>
        </w:rPr>
        <w:t>逾期送达或未密封将被拒收。</w:t>
      </w:r>
    </w:p>
    <w:p>
      <w:pPr>
        <w:snapToGrid w:val="0"/>
        <w:spacing w:line="360" w:lineRule="auto"/>
        <w:ind w:right="-86" w:rightChars="-41" w:firstLine="422" w:firstLineChars="200"/>
        <w:jc w:val="left"/>
        <w:rPr>
          <w:rFonts w:ascii="宋体" w:hAnsi="宋体"/>
        </w:rPr>
      </w:pPr>
      <w:r>
        <w:rPr>
          <w:rFonts w:hint="eastAsia" w:cs="(使用中文字体)"/>
          <w:b/>
          <w:szCs w:val="21"/>
        </w:rPr>
        <w:t>投标人可以不提供备份投标文件，造成项目开评标活动无法进行下去的，投标无效，相关风险由投标人自行承担</w:t>
      </w:r>
    </w:p>
    <w:p>
      <w:pPr>
        <w:snapToGrid w:val="0"/>
        <w:spacing w:line="360" w:lineRule="auto"/>
        <w:ind w:right="-86" w:rightChars="-41" w:firstLine="420" w:firstLineChars="200"/>
        <w:jc w:val="left"/>
        <w:rPr>
          <w:rFonts w:ascii="宋体" w:hAnsi="宋体"/>
        </w:rPr>
      </w:pPr>
      <w:r>
        <w:rPr>
          <w:rFonts w:hint="eastAsia" w:ascii="宋体" w:hAnsi="宋体"/>
        </w:rPr>
        <w:t>投标人递交以介质存储的数据电文形式的备份投标文件和纸质备份投标文件时，如出现下列情况之一的，将被拒收：</w:t>
      </w:r>
    </w:p>
    <w:p>
      <w:pPr>
        <w:snapToGrid w:val="0"/>
        <w:spacing w:line="360" w:lineRule="auto"/>
        <w:ind w:right="-86" w:rightChars="-41" w:firstLine="420" w:firstLineChars="200"/>
        <w:jc w:val="left"/>
        <w:rPr>
          <w:rFonts w:ascii="宋体" w:hAnsi="宋体"/>
        </w:rPr>
      </w:pPr>
      <w:r>
        <w:rPr>
          <w:rFonts w:hint="eastAsia" w:ascii="宋体" w:hAnsi="宋体"/>
        </w:rPr>
        <w:t>（1）未按规定密封或标记的投标文件；</w:t>
      </w:r>
    </w:p>
    <w:p>
      <w:pPr>
        <w:snapToGrid w:val="0"/>
        <w:spacing w:line="360" w:lineRule="auto"/>
        <w:ind w:right="-86" w:rightChars="-41" w:firstLine="420" w:firstLineChars="200"/>
        <w:jc w:val="left"/>
        <w:rPr>
          <w:rFonts w:ascii="宋体" w:hAnsi="宋体"/>
        </w:rPr>
      </w:pPr>
      <w:r>
        <w:rPr>
          <w:rFonts w:hint="eastAsia" w:ascii="宋体" w:hAnsi="宋体"/>
        </w:rPr>
        <w:t>（2）由于包装不妥，在送交途中严重破损或失散的；</w:t>
      </w:r>
    </w:p>
    <w:p>
      <w:pPr>
        <w:snapToGrid w:val="0"/>
        <w:spacing w:line="360" w:lineRule="auto"/>
        <w:ind w:right="-86" w:rightChars="-41" w:firstLine="420" w:firstLineChars="200"/>
        <w:jc w:val="left"/>
        <w:rPr>
          <w:rFonts w:ascii="宋体" w:hAnsi="宋体"/>
        </w:rPr>
      </w:pPr>
      <w:r>
        <w:rPr>
          <w:rFonts w:hint="eastAsia" w:ascii="宋体" w:hAnsi="宋体"/>
        </w:rPr>
        <w:t>（3）未成功办理投标人报名手续的；</w:t>
      </w:r>
    </w:p>
    <w:p>
      <w:pPr>
        <w:snapToGrid w:val="0"/>
        <w:spacing w:line="360" w:lineRule="auto"/>
        <w:ind w:right="-86" w:rightChars="-41" w:firstLine="420" w:firstLineChars="200"/>
        <w:jc w:val="left"/>
        <w:rPr>
          <w:rFonts w:ascii="宋体" w:hAnsi="宋体"/>
        </w:rPr>
      </w:pPr>
      <w:r>
        <w:rPr>
          <w:rFonts w:hint="eastAsia" w:ascii="宋体" w:hAnsi="宋体"/>
        </w:rPr>
        <w:t>（4）超过投标截止时间送达的；</w:t>
      </w:r>
    </w:p>
    <w:p>
      <w:pPr>
        <w:snapToGrid w:val="0"/>
        <w:spacing w:line="360" w:lineRule="auto"/>
        <w:ind w:right="-86" w:rightChars="-41" w:firstLine="420" w:firstLineChars="200"/>
        <w:jc w:val="left"/>
        <w:rPr>
          <w:rFonts w:ascii="宋体" w:hAnsi="宋体"/>
        </w:rPr>
      </w:pPr>
      <w:r>
        <w:rPr>
          <w:rFonts w:hint="eastAsia" w:ascii="宋体" w:hAnsi="宋体"/>
        </w:rPr>
        <w:t>仅提供备份投标文件的，投标无效。</w:t>
      </w:r>
    </w:p>
    <w:p>
      <w:pPr>
        <w:snapToGrid w:val="0"/>
        <w:spacing w:line="360" w:lineRule="auto"/>
        <w:ind w:right="-86" w:rightChars="-41" w:firstLine="420" w:firstLineChars="200"/>
        <w:jc w:val="left"/>
        <w:rPr>
          <w:rFonts w:ascii="宋体" w:hAnsi="宋体"/>
        </w:rPr>
      </w:pPr>
      <w:r>
        <w:rPr>
          <w:rFonts w:hint="eastAsia" w:ascii="宋体" w:hAnsi="宋体"/>
        </w:rPr>
        <w:t>仅提供其中一种形式的备份投标文件，造成项目开评标活动无法进行下去的，投标无效，相关风险由投标人自行承担。</w:t>
      </w:r>
    </w:p>
    <w:p>
      <w:pPr>
        <w:snapToGrid w:val="0"/>
        <w:spacing w:line="360" w:lineRule="auto"/>
        <w:ind w:right="-86" w:rightChars="-41" w:firstLine="420" w:firstLineChars="200"/>
        <w:jc w:val="left"/>
        <w:rPr>
          <w:rFonts w:ascii="宋体" w:hAnsi="宋体"/>
        </w:rPr>
      </w:pPr>
      <w:r>
        <w:rPr>
          <w:rFonts w:hint="eastAsia" w:ascii="宋体" w:hAnsi="宋体"/>
        </w:rPr>
        <w:t>3、投标、响应文件未按时解密，供应商提供了备份投标、响应文件的，以备份投标、响应文件作为依据，否则视为投标、响应文件撤回。投标、响应文件已按时解密的，备份投标、响应文件自动失效。</w:t>
      </w:r>
    </w:p>
    <w:p>
      <w:pPr>
        <w:snapToGrid w:val="0"/>
        <w:spacing w:line="360" w:lineRule="auto"/>
        <w:ind w:right="-86" w:rightChars="-41" w:firstLine="420" w:firstLineChars="200"/>
        <w:jc w:val="left"/>
        <w:rPr>
          <w:rFonts w:ascii="宋体" w:hAnsi="宋体"/>
        </w:rPr>
      </w:pPr>
      <w:r>
        <w:rPr>
          <w:rFonts w:hint="eastAsia" w:ascii="宋体" w:hAnsi="宋体"/>
        </w:rPr>
        <w:t>4、备份投标文件须密封封装。包装封面上应注明投标人名称，封口处加盖投标人公章。</w:t>
      </w:r>
    </w:p>
    <w:p>
      <w:pPr>
        <w:spacing w:line="360" w:lineRule="auto"/>
        <w:ind w:firstLine="316" w:firstLineChars="150"/>
        <w:rPr>
          <w:rFonts w:ascii="宋体" w:hAnsi="宋体"/>
        </w:rPr>
      </w:pPr>
      <w:r>
        <w:rPr>
          <w:rFonts w:ascii="宋体" w:hAnsi="宋体"/>
          <w:b/>
          <w:szCs w:val="21"/>
        </w:rPr>
        <w:t>（</w:t>
      </w:r>
      <w:r>
        <w:rPr>
          <w:rFonts w:hint="eastAsia" w:ascii="宋体" w:hAnsi="宋体"/>
          <w:b/>
          <w:szCs w:val="21"/>
        </w:rPr>
        <w:t>六</w:t>
      </w:r>
      <w:r>
        <w:rPr>
          <w:rFonts w:ascii="宋体" w:hAnsi="宋体"/>
          <w:b/>
          <w:szCs w:val="21"/>
        </w:rPr>
        <w:t>）投标无效的情形</w:t>
      </w:r>
    </w:p>
    <w:p>
      <w:pPr>
        <w:pStyle w:val="104"/>
        <w:snapToGrid w:val="0"/>
        <w:spacing w:before="120" w:after="120" w:line="360" w:lineRule="auto"/>
        <w:ind w:right="-86" w:rightChars="-41" w:firstLine="415" w:firstLineChars="198"/>
        <w:rPr>
          <w:rFonts w:hAnsi="宋体" w:eastAsia="宋体"/>
          <w:sz w:val="21"/>
          <w:szCs w:val="21"/>
        </w:rPr>
      </w:pPr>
      <w:r>
        <w:rPr>
          <w:rFonts w:hint="eastAsia" w:hAnsi="宋体" w:eastAsia="宋体"/>
          <w:sz w:val="21"/>
          <w:szCs w:val="21"/>
        </w:rPr>
        <w:t>实质上没有响应采购文件要求的投标将被视为无效投标。投标人不得通过修正或撤消不合要求的偏离或保留从而使其投标成为实质上响应的投标。经评标委员会认定属于投标人疏忽、笔误所造成的差错，应当允许其在评标结束之前进行修改或者补正（评审小组和投标人通过电子交易平台交换数据电文）。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pStyle w:val="104"/>
        <w:snapToGrid w:val="0"/>
        <w:spacing w:before="120" w:after="120" w:line="360" w:lineRule="auto"/>
        <w:ind w:firstLine="417" w:firstLineChars="198"/>
        <w:rPr>
          <w:rFonts w:hAnsi="宋体" w:eastAsia="宋体"/>
          <w:sz w:val="21"/>
          <w:szCs w:val="21"/>
        </w:rPr>
      </w:pPr>
      <w:r>
        <w:rPr>
          <w:rFonts w:hAnsi="宋体" w:eastAsia="宋体"/>
          <w:b/>
          <w:bCs/>
          <w:sz w:val="21"/>
          <w:szCs w:val="21"/>
        </w:rPr>
        <w:t>1、在</w:t>
      </w:r>
      <w:r>
        <w:rPr>
          <w:rFonts w:hint="eastAsia" w:hAnsi="宋体" w:eastAsia="宋体"/>
          <w:b/>
          <w:bCs/>
          <w:sz w:val="21"/>
          <w:szCs w:val="21"/>
        </w:rPr>
        <w:t>符合性审查</w:t>
      </w:r>
      <w:r>
        <w:rPr>
          <w:rFonts w:hAnsi="宋体" w:eastAsia="宋体"/>
          <w:b/>
          <w:bCs/>
          <w:sz w:val="21"/>
          <w:szCs w:val="21"/>
        </w:rPr>
        <w:t>和商务评审时，如发现下列情形之一的，</w:t>
      </w:r>
      <w:r>
        <w:rPr>
          <w:rFonts w:hint="eastAsia" w:hAnsi="宋体" w:eastAsia="宋体"/>
          <w:b/>
          <w:bCs/>
          <w:sz w:val="21"/>
          <w:szCs w:val="21"/>
        </w:rPr>
        <w:t>投标</w:t>
      </w:r>
      <w:r>
        <w:rPr>
          <w:rFonts w:hAnsi="宋体" w:eastAsia="宋体"/>
          <w:b/>
          <w:bCs/>
          <w:sz w:val="21"/>
          <w:szCs w:val="21"/>
        </w:rPr>
        <w:t>文件将被视为无效投标：</w:t>
      </w:r>
    </w:p>
    <w:p>
      <w:pPr>
        <w:pStyle w:val="104"/>
        <w:snapToGrid w:val="0"/>
        <w:spacing w:before="120" w:after="120" w:line="360" w:lineRule="auto"/>
        <w:ind w:firstLine="415" w:firstLineChars="198"/>
        <w:rPr>
          <w:rFonts w:hAnsi="宋体" w:eastAsia="宋体"/>
          <w:bCs/>
          <w:sz w:val="21"/>
          <w:szCs w:val="21"/>
        </w:rPr>
      </w:pPr>
      <w:r>
        <w:rPr>
          <w:rFonts w:hAnsi="宋体" w:eastAsia="宋体"/>
          <w:bCs/>
          <w:sz w:val="21"/>
          <w:szCs w:val="21"/>
        </w:rPr>
        <w:t>1.</w:t>
      </w:r>
      <w:r>
        <w:rPr>
          <w:rFonts w:hint="eastAsia" w:hAnsi="宋体" w:eastAsia="宋体"/>
          <w:bCs/>
          <w:sz w:val="21"/>
          <w:szCs w:val="21"/>
        </w:rPr>
        <w:t>1</w:t>
      </w:r>
      <w:r>
        <w:rPr>
          <w:rFonts w:hint="eastAsia" w:hAnsi="宋体" w:eastAsia="宋体" w:cs="宋体"/>
          <w:sz w:val="21"/>
          <w:szCs w:val="21"/>
        </w:rPr>
        <w:t>资格证明文件不全的，或者不符合采购文件标明的资格要求的</w:t>
      </w:r>
      <w:r>
        <w:rPr>
          <w:rFonts w:hAnsi="宋体" w:eastAsia="宋体"/>
          <w:bCs/>
          <w:sz w:val="21"/>
          <w:szCs w:val="21"/>
        </w:rPr>
        <w:t>；</w:t>
      </w:r>
    </w:p>
    <w:p>
      <w:pPr>
        <w:pStyle w:val="20"/>
        <w:snapToGrid w:val="0"/>
        <w:spacing w:before="120" w:line="360" w:lineRule="auto"/>
        <w:ind w:firstLine="415" w:firstLineChars="198"/>
        <w:rPr>
          <w:rFonts w:hAnsi="宋体"/>
          <w:bCs/>
          <w:sz w:val="21"/>
          <w:szCs w:val="21"/>
        </w:rPr>
      </w:pPr>
      <w:r>
        <w:rPr>
          <w:rFonts w:hAnsi="宋体"/>
          <w:bCs/>
          <w:sz w:val="21"/>
          <w:szCs w:val="21"/>
        </w:rPr>
        <w:t>1.</w:t>
      </w:r>
      <w:r>
        <w:rPr>
          <w:rFonts w:hint="eastAsia" w:hAnsi="宋体" w:cs="宋体"/>
          <w:sz w:val="21"/>
          <w:szCs w:val="21"/>
        </w:rPr>
        <w:t>2投标文件组成不全的；</w:t>
      </w:r>
    </w:p>
    <w:p>
      <w:pPr>
        <w:pStyle w:val="104"/>
        <w:snapToGrid w:val="0"/>
        <w:spacing w:before="120" w:after="120" w:line="360" w:lineRule="auto"/>
        <w:ind w:firstLine="415" w:firstLineChars="198"/>
        <w:rPr>
          <w:rFonts w:hAnsi="宋体" w:eastAsia="宋体"/>
          <w:bCs/>
          <w:sz w:val="21"/>
          <w:szCs w:val="21"/>
        </w:rPr>
      </w:pPr>
      <w:r>
        <w:rPr>
          <w:rFonts w:hAnsi="宋体" w:eastAsia="宋体"/>
          <w:bCs/>
          <w:sz w:val="21"/>
          <w:szCs w:val="21"/>
        </w:rPr>
        <w:t>1.</w:t>
      </w:r>
      <w:r>
        <w:rPr>
          <w:rFonts w:hint="eastAsia" w:hAnsi="宋体" w:eastAsia="宋体"/>
          <w:bCs/>
          <w:sz w:val="21"/>
          <w:szCs w:val="21"/>
        </w:rPr>
        <w:t>3投标</w:t>
      </w:r>
      <w:r>
        <w:rPr>
          <w:rFonts w:hAnsi="宋体" w:eastAsia="宋体"/>
          <w:bCs/>
          <w:sz w:val="21"/>
          <w:szCs w:val="21"/>
        </w:rPr>
        <w:t>文件的实质性内容未使用中文表述、意思表述不明确、前后矛盾或者使用计量单位不符合</w:t>
      </w:r>
      <w:r>
        <w:rPr>
          <w:rFonts w:hint="eastAsia" w:hAnsi="宋体" w:eastAsia="宋体"/>
          <w:bCs/>
          <w:sz w:val="21"/>
          <w:szCs w:val="21"/>
        </w:rPr>
        <w:t>采购文件</w:t>
      </w:r>
      <w:r>
        <w:rPr>
          <w:rFonts w:hAnsi="宋体" w:eastAsia="宋体"/>
          <w:bCs/>
          <w:sz w:val="21"/>
          <w:szCs w:val="21"/>
        </w:rPr>
        <w:t>要求的；（</w:t>
      </w:r>
      <w:r>
        <w:rPr>
          <w:rFonts w:hint="eastAsia" w:hAnsi="宋体" w:eastAsia="宋体" w:cs="宋体"/>
          <w:sz w:val="21"/>
          <w:szCs w:val="21"/>
        </w:rPr>
        <w:t>经评审小组认定允许其在线更正的笔误除外</w:t>
      </w:r>
      <w:r>
        <w:rPr>
          <w:rFonts w:hAnsi="宋体" w:eastAsia="宋体"/>
          <w:bCs/>
          <w:sz w:val="21"/>
          <w:szCs w:val="21"/>
        </w:rPr>
        <w:t>）</w:t>
      </w:r>
    </w:p>
    <w:p>
      <w:pPr>
        <w:pStyle w:val="104"/>
        <w:snapToGrid w:val="0"/>
        <w:spacing w:before="120" w:after="120" w:line="360" w:lineRule="auto"/>
        <w:ind w:firstLine="415" w:firstLineChars="198"/>
        <w:rPr>
          <w:rFonts w:hAnsi="宋体" w:eastAsia="宋体"/>
          <w:bCs/>
          <w:sz w:val="21"/>
          <w:szCs w:val="21"/>
        </w:rPr>
      </w:pPr>
      <w:r>
        <w:rPr>
          <w:rFonts w:hAnsi="宋体" w:eastAsia="宋体"/>
          <w:bCs/>
          <w:sz w:val="21"/>
          <w:szCs w:val="21"/>
        </w:rPr>
        <w:t>1.</w:t>
      </w:r>
      <w:r>
        <w:rPr>
          <w:rFonts w:hint="eastAsia" w:hAnsi="宋体" w:eastAsia="宋体"/>
          <w:bCs/>
          <w:sz w:val="21"/>
          <w:szCs w:val="21"/>
        </w:rPr>
        <w:t>4投标</w:t>
      </w:r>
      <w:r>
        <w:rPr>
          <w:rFonts w:hAnsi="宋体" w:eastAsia="宋体"/>
          <w:bCs/>
          <w:sz w:val="21"/>
          <w:szCs w:val="21"/>
        </w:rPr>
        <w:t>文件的关键内容字迹模糊、无法辨认的，或者</w:t>
      </w:r>
      <w:r>
        <w:rPr>
          <w:rFonts w:hint="eastAsia" w:hAnsi="宋体" w:eastAsia="宋体"/>
          <w:bCs/>
          <w:sz w:val="21"/>
          <w:szCs w:val="21"/>
        </w:rPr>
        <w:t>投标</w:t>
      </w:r>
      <w:r>
        <w:rPr>
          <w:rFonts w:hAnsi="宋体" w:eastAsia="宋体"/>
          <w:bCs/>
          <w:sz w:val="21"/>
          <w:szCs w:val="21"/>
        </w:rPr>
        <w:t>文件中经修正的内容字迹模糊难以辩认或者修改处未按规定签名盖章的；</w:t>
      </w:r>
    </w:p>
    <w:p>
      <w:pPr>
        <w:pStyle w:val="104"/>
        <w:snapToGrid w:val="0"/>
        <w:spacing w:before="120" w:after="120" w:line="360" w:lineRule="auto"/>
        <w:ind w:firstLine="415" w:firstLineChars="198"/>
        <w:rPr>
          <w:rFonts w:hAnsi="宋体" w:eastAsia="宋体"/>
          <w:bCs/>
          <w:sz w:val="21"/>
          <w:szCs w:val="21"/>
        </w:rPr>
      </w:pPr>
      <w:r>
        <w:rPr>
          <w:rFonts w:hAnsi="宋体" w:eastAsia="宋体"/>
          <w:bCs/>
          <w:sz w:val="21"/>
          <w:szCs w:val="21"/>
        </w:rPr>
        <w:t>1.</w:t>
      </w:r>
      <w:r>
        <w:rPr>
          <w:rFonts w:hint="eastAsia" w:hAnsi="宋体" w:eastAsia="宋体"/>
          <w:bCs/>
          <w:sz w:val="21"/>
          <w:szCs w:val="21"/>
        </w:rPr>
        <w:t>5投标有效期、交货时间、质保期等</w:t>
      </w:r>
      <w:r>
        <w:rPr>
          <w:rFonts w:hAnsi="宋体" w:eastAsia="宋体"/>
          <w:bCs/>
          <w:sz w:val="21"/>
          <w:szCs w:val="21"/>
        </w:rPr>
        <w:t>商务条款不能满足</w:t>
      </w:r>
      <w:r>
        <w:rPr>
          <w:rFonts w:hint="eastAsia" w:hAnsi="宋体" w:eastAsia="宋体"/>
          <w:bCs/>
          <w:sz w:val="21"/>
          <w:szCs w:val="21"/>
        </w:rPr>
        <w:t>采购文件</w:t>
      </w:r>
      <w:r>
        <w:rPr>
          <w:rFonts w:hAnsi="宋体" w:eastAsia="宋体"/>
          <w:bCs/>
          <w:sz w:val="21"/>
          <w:szCs w:val="21"/>
        </w:rPr>
        <w:t>要求的；</w:t>
      </w:r>
    </w:p>
    <w:p>
      <w:pPr>
        <w:pStyle w:val="104"/>
        <w:snapToGrid w:val="0"/>
        <w:spacing w:before="120" w:after="120" w:line="360" w:lineRule="auto"/>
        <w:ind w:firstLine="415" w:firstLineChars="198"/>
        <w:rPr>
          <w:rFonts w:hAnsi="宋体" w:eastAsia="宋体"/>
          <w:bCs/>
          <w:sz w:val="21"/>
          <w:szCs w:val="21"/>
        </w:rPr>
      </w:pPr>
      <w:r>
        <w:rPr>
          <w:rFonts w:hAnsi="宋体" w:eastAsia="宋体"/>
          <w:bCs/>
          <w:sz w:val="21"/>
          <w:szCs w:val="21"/>
        </w:rPr>
        <w:t>1.</w:t>
      </w:r>
      <w:r>
        <w:rPr>
          <w:rFonts w:hint="eastAsia" w:hAnsi="宋体" w:eastAsia="宋体"/>
          <w:bCs/>
          <w:sz w:val="21"/>
          <w:szCs w:val="21"/>
        </w:rPr>
        <w:t>6未</w:t>
      </w:r>
      <w:r>
        <w:rPr>
          <w:rFonts w:hAnsi="宋体" w:eastAsia="宋体"/>
          <w:bCs/>
          <w:sz w:val="21"/>
          <w:szCs w:val="21"/>
        </w:rPr>
        <w:t>响应</w:t>
      </w:r>
      <w:r>
        <w:rPr>
          <w:rFonts w:hint="eastAsia" w:hAnsi="宋体" w:eastAsia="宋体"/>
          <w:bCs/>
          <w:sz w:val="21"/>
          <w:szCs w:val="21"/>
        </w:rPr>
        <w:t>采购文件</w:t>
      </w:r>
      <w:r>
        <w:rPr>
          <w:rFonts w:hAnsi="宋体" w:eastAsia="宋体"/>
          <w:bCs/>
          <w:sz w:val="21"/>
          <w:szCs w:val="21"/>
        </w:rPr>
        <w:t>实质性要求或者</w:t>
      </w:r>
      <w:r>
        <w:rPr>
          <w:rFonts w:hint="eastAsia" w:hAnsi="宋体" w:eastAsia="宋体"/>
          <w:bCs/>
          <w:sz w:val="21"/>
          <w:szCs w:val="21"/>
        </w:rPr>
        <w:t>投标文件</w:t>
      </w:r>
      <w:r>
        <w:rPr>
          <w:rFonts w:hAnsi="宋体" w:eastAsia="宋体"/>
          <w:bCs/>
          <w:sz w:val="21"/>
          <w:szCs w:val="21"/>
        </w:rPr>
        <w:t>有</w:t>
      </w:r>
      <w:r>
        <w:rPr>
          <w:rFonts w:hint="eastAsia" w:hAnsi="宋体" w:eastAsia="宋体"/>
          <w:bCs/>
          <w:sz w:val="21"/>
          <w:szCs w:val="21"/>
        </w:rPr>
        <w:t>采购人</w:t>
      </w:r>
      <w:r>
        <w:rPr>
          <w:rFonts w:hAnsi="宋体" w:eastAsia="宋体"/>
          <w:bCs/>
          <w:sz w:val="21"/>
          <w:szCs w:val="21"/>
        </w:rPr>
        <w:t>不能接受的附加条件的；</w:t>
      </w:r>
    </w:p>
    <w:p>
      <w:pPr>
        <w:pStyle w:val="104"/>
        <w:snapToGrid w:val="0"/>
        <w:spacing w:before="120" w:after="120" w:line="360" w:lineRule="auto"/>
        <w:ind w:firstLine="415" w:firstLineChars="198"/>
        <w:rPr>
          <w:rFonts w:hAnsi="宋体" w:eastAsia="宋体"/>
          <w:bCs/>
          <w:sz w:val="21"/>
          <w:szCs w:val="21"/>
        </w:rPr>
      </w:pPr>
      <w:r>
        <w:rPr>
          <w:rFonts w:hAnsi="宋体" w:eastAsia="宋体"/>
          <w:bCs/>
          <w:sz w:val="21"/>
          <w:szCs w:val="21"/>
        </w:rPr>
        <w:t>1.</w:t>
      </w:r>
      <w:r>
        <w:rPr>
          <w:rFonts w:hint="eastAsia" w:hAnsi="宋体" w:eastAsia="宋体"/>
          <w:bCs/>
          <w:sz w:val="21"/>
          <w:szCs w:val="21"/>
        </w:rPr>
        <w:t>7投标</w:t>
      </w:r>
      <w:r>
        <w:rPr>
          <w:rFonts w:hAnsi="宋体" w:eastAsia="宋体"/>
          <w:bCs/>
          <w:sz w:val="21"/>
          <w:szCs w:val="21"/>
        </w:rPr>
        <w:t>文件没有按</w:t>
      </w:r>
      <w:r>
        <w:rPr>
          <w:rFonts w:hint="eastAsia" w:hAnsi="宋体" w:eastAsia="宋体"/>
          <w:bCs/>
          <w:sz w:val="21"/>
          <w:szCs w:val="21"/>
        </w:rPr>
        <w:t>采购文件</w:t>
      </w:r>
      <w:r>
        <w:rPr>
          <w:rFonts w:hAnsi="宋体" w:eastAsia="宋体"/>
          <w:bCs/>
          <w:sz w:val="21"/>
          <w:szCs w:val="21"/>
        </w:rPr>
        <w:t>要求</w:t>
      </w:r>
      <w:r>
        <w:rPr>
          <w:rFonts w:hint="eastAsia" w:hAnsi="宋体" w:eastAsia="宋体"/>
          <w:bCs/>
          <w:sz w:val="21"/>
          <w:szCs w:val="21"/>
        </w:rPr>
        <w:t>响应</w:t>
      </w:r>
      <w:r>
        <w:rPr>
          <w:rFonts w:hAnsi="宋体" w:eastAsia="宋体"/>
          <w:bCs/>
          <w:sz w:val="21"/>
          <w:szCs w:val="21"/>
        </w:rPr>
        <w:t>有标“</w:t>
      </w:r>
      <w:r>
        <w:rPr>
          <w:rFonts w:hint="eastAsia" w:hAnsi="宋体" w:eastAsia="宋体"/>
          <w:bCs/>
          <w:sz w:val="21"/>
          <w:szCs w:val="21"/>
        </w:rPr>
        <w:t>★</w:t>
      </w:r>
      <w:r>
        <w:rPr>
          <w:rFonts w:hAnsi="宋体" w:eastAsia="宋体"/>
          <w:bCs/>
          <w:sz w:val="21"/>
          <w:szCs w:val="21"/>
        </w:rPr>
        <w:t>”的条款的资料和材料的；</w:t>
      </w:r>
    </w:p>
    <w:p>
      <w:pPr>
        <w:spacing w:line="360" w:lineRule="auto"/>
        <w:ind w:firstLine="420"/>
        <w:rPr>
          <w:rFonts w:ascii="宋体" w:hAnsi="宋体"/>
          <w:szCs w:val="21"/>
        </w:rPr>
      </w:pPr>
      <w:r>
        <w:rPr>
          <w:rFonts w:ascii="宋体" w:hAnsi="宋体"/>
          <w:b/>
          <w:bCs/>
        </w:rPr>
        <w:t>2、在技术评审时，如发现下列情形之一的，</w:t>
      </w:r>
      <w:r>
        <w:rPr>
          <w:rFonts w:hint="eastAsia" w:ascii="宋体" w:hAnsi="宋体"/>
          <w:b/>
          <w:bCs/>
        </w:rPr>
        <w:t>投标文件</w:t>
      </w:r>
      <w:r>
        <w:rPr>
          <w:rFonts w:ascii="宋体" w:hAnsi="宋体"/>
          <w:b/>
          <w:bCs/>
        </w:rPr>
        <w:t>将被视为无效响应：</w:t>
      </w:r>
    </w:p>
    <w:p>
      <w:pPr>
        <w:spacing w:line="360" w:lineRule="auto"/>
        <w:ind w:firstLine="420"/>
        <w:rPr>
          <w:rFonts w:ascii="宋体" w:hAnsi="宋体"/>
          <w:szCs w:val="21"/>
        </w:rPr>
      </w:pPr>
      <w:r>
        <w:rPr>
          <w:rFonts w:ascii="宋体" w:hAnsi="宋体"/>
          <w:szCs w:val="21"/>
        </w:rPr>
        <w:t>2.1</w:t>
      </w:r>
      <w:r>
        <w:rPr>
          <w:rFonts w:hint="eastAsia" w:hAnsi="宋体" w:cs="宋体"/>
          <w:szCs w:val="21"/>
        </w:rPr>
        <w:t>投标文件标明的响应或偏离与事实不符或虚假投标的</w:t>
      </w:r>
      <w:r>
        <w:rPr>
          <w:rFonts w:ascii="宋体" w:hAnsi="宋体"/>
          <w:szCs w:val="21"/>
        </w:rPr>
        <w:t>；</w:t>
      </w:r>
    </w:p>
    <w:p>
      <w:pPr>
        <w:spacing w:line="360" w:lineRule="auto"/>
        <w:ind w:firstLine="420" w:firstLineChars="200"/>
        <w:rPr>
          <w:rFonts w:ascii="宋体" w:hAnsi="宋体"/>
          <w:szCs w:val="21"/>
        </w:rPr>
      </w:pPr>
      <w:r>
        <w:rPr>
          <w:rFonts w:ascii="宋体" w:hAnsi="宋体"/>
          <w:bCs/>
          <w:szCs w:val="21"/>
        </w:rPr>
        <w:t>2.2明显不符合采购文件标明的质量标准，</w:t>
      </w:r>
      <w:r>
        <w:rPr>
          <w:rFonts w:hint="eastAsia" w:ascii="宋体" w:hAnsi="宋体"/>
          <w:bCs/>
          <w:szCs w:val="21"/>
        </w:rPr>
        <w:t>或者采购文件中标“</w:t>
      </w:r>
      <w:r>
        <w:rPr>
          <w:rFonts w:hint="eastAsia" w:ascii="宋体" w:hAnsi="宋体"/>
          <w:b/>
        </w:rPr>
        <w:t>★</w:t>
      </w:r>
      <w:r>
        <w:rPr>
          <w:rFonts w:hint="eastAsia" w:ascii="宋体" w:hAnsi="宋体"/>
          <w:bCs/>
          <w:szCs w:val="21"/>
        </w:rPr>
        <w:t>”的技术参数、条款（如有）发生实质性偏离的；</w:t>
      </w:r>
    </w:p>
    <w:p>
      <w:pPr>
        <w:spacing w:line="360" w:lineRule="auto"/>
        <w:ind w:firstLine="420"/>
        <w:rPr>
          <w:rFonts w:ascii="宋体" w:hAnsi="宋体"/>
        </w:rPr>
      </w:pPr>
      <w:r>
        <w:rPr>
          <w:rFonts w:hint="eastAsia" w:ascii="宋体" w:hAnsi="宋体"/>
          <w:szCs w:val="21"/>
        </w:rPr>
        <w:t>2.3投标技术方案不明确，存在一个或一个以上备选（替代）投标方案的；</w:t>
      </w:r>
    </w:p>
    <w:p>
      <w:pPr>
        <w:spacing w:line="360" w:lineRule="auto"/>
        <w:ind w:firstLine="420"/>
        <w:rPr>
          <w:rFonts w:ascii="宋体" w:hAnsi="宋体"/>
          <w:szCs w:val="21"/>
        </w:rPr>
      </w:pPr>
      <w:r>
        <w:rPr>
          <w:rFonts w:ascii="宋体" w:hAnsi="宋体"/>
          <w:b/>
          <w:bCs/>
        </w:rPr>
        <w:t>3、</w:t>
      </w:r>
      <w:r>
        <w:rPr>
          <w:rFonts w:hint="eastAsia" w:ascii="宋体" w:hAnsi="宋体" w:cs="宋体"/>
          <w:b/>
          <w:szCs w:val="21"/>
        </w:rPr>
        <w:t>在投标报价文件评审时</w:t>
      </w:r>
      <w:r>
        <w:rPr>
          <w:rFonts w:ascii="宋体" w:hAnsi="宋体"/>
          <w:b/>
          <w:bCs/>
        </w:rPr>
        <w:t>，如发现下列情形之一的，</w:t>
      </w:r>
      <w:r>
        <w:rPr>
          <w:rFonts w:hint="eastAsia" w:ascii="宋体" w:hAnsi="宋体"/>
          <w:b/>
          <w:bCs/>
        </w:rPr>
        <w:t>投标文件</w:t>
      </w:r>
      <w:r>
        <w:rPr>
          <w:rFonts w:ascii="宋体" w:hAnsi="宋体"/>
          <w:b/>
          <w:bCs/>
        </w:rPr>
        <w:t>将被视为无效响应：</w:t>
      </w:r>
    </w:p>
    <w:p>
      <w:pPr>
        <w:pStyle w:val="80"/>
        <w:snapToGrid w:val="0"/>
        <w:spacing w:line="360" w:lineRule="auto"/>
        <w:ind w:right="-86" w:rightChars="-41" w:firstLine="438" w:firstLineChars="209"/>
        <w:rPr>
          <w:rFonts w:ascii="宋体" w:hAnsi="宋体"/>
        </w:rPr>
      </w:pPr>
      <w:r>
        <w:rPr>
          <w:rFonts w:hint="eastAsia" w:ascii="宋体" w:hAnsi="宋体"/>
        </w:rPr>
        <w:t>3.1未采用人民币报价或者未按照采购文件标明的币种报价的；</w:t>
      </w:r>
    </w:p>
    <w:p>
      <w:pPr>
        <w:pStyle w:val="80"/>
        <w:snapToGrid w:val="0"/>
        <w:spacing w:line="360" w:lineRule="auto"/>
        <w:ind w:right="-86" w:rightChars="-41" w:firstLine="438" w:firstLineChars="209"/>
        <w:rPr>
          <w:rFonts w:ascii="宋体" w:hAnsi="宋体"/>
        </w:rPr>
      </w:pPr>
      <w:r>
        <w:rPr>
          <w:rFonts w:hint="eastAsia" w:ascii="宋体" w:hAnsi="宋体"/>
        </w:rPr>
        <w:t xml:space="preserve">3.2报价超出最高限价，或者超出采购预算金额，采购人不能支付的； </w:t>
      </w:r>
    </w:p>
    <w:p>
      <w:pPr>
        <w:pStyle w:val="80"/>
        <w:snapToGrid w:val="0"/>
        <w:spacing w:line="360" w:lineRule="auto"/>
        <w:ind w:right="-86" w:rightChars="-41" w:firstLine="438" w:firstLineChars="209"/>
        <w:rPr>
          <w:rFonts w:ascii="宋体" w:hAnsi="宋体"/>
        </w:rPr>
      </w:pPr>
      <w:r>
        <w:rPr>
          <w:rFonts w:hint="eastAsia" w:ascii="宋体" w:hAnsi="宋体"/>
        </w:rPr>
        <w:t>3.3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80"/>
        <w:snapToGrid w:val="0"/>
        <w:spacing w:line="360" w:lineRule="auto"/>
        <w:ind w:right="-86" w:rightChars="-41" w:firstLine="438" w:firstLineChars="209"/>
        <w:rPr>
          <w:rFonts w:ascii="宋体" w:hAnsi="宋体"/>
        </w:rPr>
      </w:pPr>
      <w:r>
        <w:rPr>
          <w:rFonts w:hint="eastAsia" w:ascii="宋体" w:hAnsi="宋体"/>
        </w:rPr>
        <w:t xml:space="preserve">3.4投标报价具有选择性，或者开标价格与投标文件承诺的优惠（折扣）价格不一致的； </w:t>
      </w:r>
    </w:p>
    <w:p>
      <w:pPr>
        <w:pStyle w:val="80"/>
        <w:snapToGrid w:val="0"/>
        <w:spacing w:line="360" w:lineRule="auto"/>
        <w:ind w:right="-86" w:rightChars="-41" w:firstLine="441" w:firstLineChars="209"/>
        <w:rPr>
          <w:rFonts w:ascii="宋体" w:hAnsi="宋体"/>
        </w:rPr>
      </w:pPr>
      <w:r>
        <w:rPr>
          <w:rFonts w:hint="eastAsia" w:ascii="宋体" w:hAnsi="宋体"/>
          <w:b/>
          <w:bCs/>
        </w:rPr>
        <w:t>4.</w:t>
      </w:r>
      <w:r>
        <w:rPr>
          <w:rFonts w:hint="eastAsia" w:ascii="宋体" w:hAnsi="宋体"/>
        </w:rPr>
        <w:t>法律、法规和采购文件规定的其他无效情形。</w:t>
      </w:r>
    </w:p>
    <w:p>
      <w:pPr>
        <w:pStyle w:val="80"/>
        <w:snapToGrid w:val="0"/>
        <w:spacing w:line="360" w:lineRule="auto"/>
        <w:ind w:right="-86" w:rightChars="-41" w:firstLine="441" w:firstLineChars="209"/>
        <w:rPr>
          <w:rFonts w:hAnsi="宋体"/>
        </w:rPr>
      </w:pPr>
      <w:r>
        <w:rPr>
          <w:rFonts w:hint="eastAsia" w:ascii="宋体" w:hAnsi="宋体"/>
          <w:b/>
          <w:szCs w:val="21"/>
        </w:rPr>
        <w:t>（七）</w:t>
      </w:r>
      <w:r>
        <w:rPr>
          <w:rFonts w:hint="eastAsia" w:ascii="宋体" w:hAnsi="宋体"/>
          <w:b/>
        </w:rPr>
        <w:t>出现以下情形，导致电子交易平台无法正常运行，</w:t>
      </w:r>
      <w:r>
        <w:rPr>
          <w:rFonts w:hint="eastAsia" w:hAnsi="宋体"/>
          <w:b/>
        </w:rPr>
        <w:t>或者无法保证电子交易的公平、公正和安全时，中止电子交易活动：</w:t>
      </w:r>
    </w:p>
    <w:p>
      <w:pPr>
        <w:pStyle w:val="80"/>
        <w:snapToGrid w:val="0"/>
        <w:spacing w:line="360" w:lineRule="auto"/>
        <w:ind w:right="-86" w:rightChars="-41" w:firstLine="438" w:firstLineChars="209"/>
        <w:rPr>
          <w:rFonts w:hAnsi="宋体"/>
        </w:rPr>
      </w:pPr>
      <w:r>
        <w:rPr>
          <w:rFonts w:hint="eastAsia" w:hAnsi="宋体"/>
        </w:rPr>
        <w:t>（一）电子交易平台发生故障而无法登录访问的；</w:t>
      </w:r>
    </w:p>
    <w:p>
      <w:pPr>
        <w:pStyle w:val="80"/>
        <w:snapToGrid w:val="0"/>
        <w:spacing w:line="360" w:lineRule="auto"/>
        <w:ind w:right="-86" w:rightChars="-41" w:firstLine="438" w:firstLineChars="209"/>
        <w:rPr>
          <w:rFonts w:hAnsi="宋体"/>
        </w:rPr>
      </w:pPr>
      <w:r>
        <w:rPr>
          <w:rFonts w:hint="eastAsia" w:hAnsi="宋体"/>
        </w:rPr>
        <w:t>（二）电子交易平台应用或数据库出现错误，不能进行正常操作的；</w:t>
      </w:r>
    </w:p>
    <w:p>
      <w:pPr>
        <w:pStyle w:val="80"/>
        <w:snapToGrid w:val="0"/>
        <w:spacing w:line="360" w:lineRule="auto"/>
        <w:ind w:right="-86" w:rightChars="-41" w:firstLine="438" w:firstLineChars="209"/>
        <w:rPr>
          <w:rFonts w:hAnsi="宋体"/>
        </w:rPr>
      </w:pPr>
      <w:r>
        <w:rPr>
          <w:rFonts w:hint="eastAsia" w:hAnsi="宋体"/>
        </w:rPr>
        <w:t>（三）电子交易平台发现严重安全漏洞，有潜在泄密危险的；</w:t>
      </w:r>
    </w:p>
    <w:p>
      <w:pPr>
        <w:pStyle w:val="80"/>
        <w:snapToGrid w:val="0"/>
        <w:spacing w:line="360" w:lineRule="auto"/>
        <w:ind w:right="-86" w:rightChars="-41" w:firstLine="438" w:firstLineChars="209"/>
        <w:rPr>
          <w:rFonts w:hAnsi="宋体"/>
        </w:rPr>
      </w:pPr>
      <w:r>
        <w:rPr>
          <w:rFonts w:hint="eastAsia" w:hAnsi="宋体"/>
        </w:rPr>
        <w:t>（四）病毒发作导致不能进行正常操作的；</w:t>
      </w:r>
    </w:p>
    <w:p>
      <w:pPr>
        <w:pStyle w:val="80"/>
        <w:snapToGrid w:val="0"/>
        <w:spacing w:line="360" w:lineRule="auto"/>
        <w:ind w:right="-86" w:rightChars="-41" w:firstLine="438" w:firstLineChars="209"/>
        <w:rPr>
          <w:rFonts w:hAnsi="宋体"/>
        </w:rPr>
      </w:pPr>
      <w:r>
        <w:rPr>
          <w:rFonts w:hint="eastAsia" w:hAnsi="宋体"/>
        </w:rPr>
        <w:t>（五）其他无法保证电子交易的公平、公正和安全的情况。</w:t>
      </w:r>
    </w:p>
    <w:p>
      <w:pPr>
        <w:pStyle w:val="80"/>
        <w:snapToGrid w:val="0"/>
        <w:spacing w:line="360" w:lineRule="auto"/>
        <w:ind w:right="-86" w:rightChars="-41" w:firstLine="438" w:firstLineChars="209"/>
        <w:rPr>
          <w:rFonts w:hAnsi="宋体"/>
        </w:rPr>
      </w:pPr>
      <w:r>
        <w:rPr>
          <w:rFonts w:hint="eastAsia" w:hAnsi="宋体"/>
        </w:rPr>
        <w:t>出现前款规定情形，不影响采购公平、公正性的，代理机构可以待上述情形消除后继续组织电子交易活动，也可以决定某些环节以纸质形式进行；影响或可能影响采购公平、公正性的，重新采购。</w:t>
      </w:r>
    </w:p>
    <w:p>
      <w:pPr>
        <w:pStyle w:val="102"/>
        <w:snapToGrid w:val="0"/>
        <w:spacing w:line="360" w:lineRule="auto"/>
        <w:ind w:right="55" w:firstLine="470"/>
        <w:rPr>
          <w:b/>
          <w:bCs/>
          <w:sz w:val="21"/>
          <w:szCs w:val="21"/>
        </w:rPr>
      </w:pPr>
      <w:r>
        <w:rPr>
          <w:rFonts w:hint="eastAsia"/>
          <w:b/>
          <w:bCs/>
          <w:sz w:val="21"/>
          <w:szCs w:val="21"/>
        </w:rPr>
        <w:t>（八）报名不足三家的处理方式</w:t>
      </w:r>
    </w:p>
    <w:p>
      <w:pPr>
        <w:pStyle w:val="102"/>
        <w:snapToGrid w:val="0"/>
        <w:spacing w:line="360" w:lineRule="auto"/>
        <w:ind w:right="55" w:firstLine="470"/>
        <w:rPr>
          <w:bCs/>
          <w:sz w:val="21"/>
          <w:szCs w:val="21"/>
        </w:rPr>
      </w:pPr>
      <w:r>
        <w:rPr>
          <w:rFonts w:hint="eastAsia"/>
          <w:bCs/>
          <w:sz w:val="21"/>
          <w:szCs w:val="21"/>
        </w:rPr>
        <w:t xml:space="preserve">报名时间截止后，在开标时间前获取招标文件的潜在投标人不足三家的，采购代理机构可以顺延提供期限，并予公告。 </w:t>
      </w:r>
    </w:p>
    <w:p>
      <w:pPr>
        <w:pStyle w:val="102"/>
        <w:snapToGrid w:val="0"/>
        <w:spacing w:line="360" w:lineRule="auto"/>
        <w:ind w:right="55" w:firstLine="470"/>
        <w:jc w:val="left"/>
        <w:rPr>
          <w:b/>
          <w:sz w:val="21"/>
          <w:szCs w:val="21"/>
        </w:rPr>
      </w:pPr>
      <w:r>
        <w:rPr>
          <w:rFonts w:hint="eastAsia"/>
          <w:b/>
          <w:sz w:val="21"/>
          <w:szCs w:val="21"/>
        </w:rPr>
        <w:t>（九）被拒绝的投标文件为无效。</w:t>
      </w:r>
    </w:p>
    <w:p>
      <w:pPr>
        <w:pStyle w:val="102"/>
        <w:snapToGrid w:val="0"/>
        <w:spacing w:line="360" w:lineRule="auto"/>
        <w:ind w:right="55" w:firstLine="3591" w:firstLineChars="1315"/>
        <w:rPr>
          <w:b/>
          <w:sz w:val="28"/>
          <w:szCs w:val="28"/>
        </w:rPr>
      </w:pPr>
      <w:r>
        <w:rPr>
          <w:rFonts w:hint="eastAsia"/>
          <w:b/>
          <w:sz w:val="28"/>
          <w:szCs w:val="28"/>
        </w:rPr>
        <w:t>四、开标</w:t>
      </w:r>
    </w:p>
    <w:p>
      <w:pPr>
        <w:pStyle w:val="3"/>
        <w:spacing w:line="360" w:lineRule="auto"/>
        <w:ind w:firstLine="422" w:firstLineChars="200"/>
        <w:jc w:val="left"/>
        <w:rPr>
          <w:rFonts w:ascii="宋体" w:hAnsi="宋体"/>
          <w:b/>
          <w:sz w:val="21"/>
          <w:szCs w:val="21"/>
        </w:rPr>
      </w:pPr>
      <w:r>
        <w:rPr>
          <w:rFonts w:hint="eastAsia" w:ascii="宋体" w:hAnsi="宋体"/>
          <w:b/>
          <w:kern w:val="2"/>
          <w:sz w:val="21"/>
          <w:szCs w:val="21"/>
        </w:rPr>
        <w:t>电子招投标开标及评审程序</w:t>
      </w:r>
    </w:p>
    <w:p>
      <w:pPr>
        <w:adjustRightInd w:val="0"/>
        <w:snapToGrid w:val="0"/>
        <w:spacing w:line="360" w:lineRule="auto"/>
        <w:ind w:firstLine="420" w:firstLineChars="200"/>
        <w:jc w:val="left"/>
        <w:rPr>
          <w:szCs w:val="21"/>
        </w:rPr>
      </w:pPr>
      <w:r>
        <w:rPr>
          <w:rFonts w:hint="eastAsia"/>
          <w:szCs w:val="21"/>
        </w:rPr>
        <w:t>1、采购组织机构按照规定的时间通过政采云系统组织开标、开启响应文件，所有投标人均应当准时在线参加。</w:t>
      </w:r>
    </w:p>
    <w:p>
      <w:pPr>
        <w:adjustRightInd w:val="0"/>
        <w:snapToGrid w:val="0"/>
        <w:spacing w:line="360" w:lineRule="auto"/>
        <w:ind w:firstLine="420" w:firstLineChars="200"/>
        <w:jc w:val="left"/>
        <w:rPr>
          <w:szCs w:val="21"/>
        </w:rPr>
      </w:pPr>
      <w:r>
        <w:rPr>
          <w:rFonts w:hint="eastAsia"/>
          <w:szCs w:val="21"/>
        </w:rPr>
        <w:t>2、投标截止时间后，投标人登录政采云平台，用“项目采购-开标评标”功能对电子投标文件进行</w:t>
      </w:r>
      <w:r>
        <w:rPr>
          <w:rFonts w:hint="eastAsia"/>
          <w:b/>
          <w:bCs/>
          <w:szCs w:val="21"/>
        </w:rPr>
        <w:t>在线解密。</w:t>
      </w:r>
      <w:r>
        <w:rPr>
          <w:rFonts w:hint="eastAsia"/>
          <w:szCs w:val="21"/>
        </w:rPr>
        <w:t>在线解密电子投标文件时间</w:t>
      </w:r>
      <w:r>
        <w:rPr>
          <w:rFonts w:hint="eastAsia"/>
          <w:b/>
          <w:bCs/>
          <w:szCs w:val="21"/>
        </w:rPr>
        <w:t>为开标时间起半个小时内；</w:t>
      </w:r>
    </w:p>
    <w:p>
      <w:pPr>
        <w:adjustRightInd w:val="0"/>
        <w:snapToGrid w:val="0"/>
        <w:spacing w:line="360" w:lineRule="auto"/>
        <w:ind w:firstLine="420" w:firstLineChars="200"/>
        <w:jc w:val="left"/>
        <w:rPr>
          <w:szCs w:val="21"/>
        </w:rPr>
      </w:pPr>
      <w:r>
        <w:rPr>
          <w:rFonts w:hint="eastAsia"/>
          <w:szCs w:val="21"/>
        </w:rPr>
        <w:t>3、采购人或代理机构对资格文件进行评审，评标委员会对商务技术响应文件进行评审。</w:t>
      </w:r>
    </w:p>
    <w:p>
      <w:pPr>
        <w:adjustRightInd w:val="0"/>
        <w:snapToGrid w:val="0"/>
        <w:spacing w:line="360" w:lineRule="auto"/>
        <w:ind w:firstLine="420" w:firstLineChars="200"/>
        <w:jc w:val="left"/>
        <w:rPr>
          <w:szCs w:val="21"/>
        </w:rPr>
      </w:pPr>
      <w:r>
        <w:rPr>
          <w:rFonts w:hint="eastAsia"/>
          <w:szCs w:val="21"/>
        </w:rPr>
        <w:t>4、在系统上公开资格和商务技术评审结果；</w:t>
      </w:r>
    </w:p>
    <w:p>
      <w:pPr>
        <w:adjustRightInd w:val="0"/>
        <w:snapToGrid w:val="0"/>
        <w:spacing w:line="360" w:lineRule="auto"/>
        <w:ind w:firstLine="420" w:firstLineChars="200"/>
        <w:jc w:val="left"/>
        <w:rPr>
          <w:szCs w:val="21"/>
        </w:rPr>
      </w:pPr>
      <w:r>
        <w:rPr>
          <w:rFonts w:hint="eastAsia"/>
          <w:szCs w:val="21"/>
        </w:rPr>
        <w:t>5、在系统上公开报价开标情况；</w:t>
      </w:r>
    </w:p>
    <w:p>
      <w:pPr>
        <w:adjustRightInd w:val="0"/>
        <w:snapToGrid w:val="0"/>
        <w:spacing w:line="360" w:lineRule="auto"/>
        <w:ind w:firstLine="420" w:firstLineChars="200"/>
        <w:jc w:val="left"/>
        <w:rPr>
          <w:szCs w:val="21"/>
        </w:rPr>
      </w:pPr>
      <w:r>
        <w:rPr>
          <w:rFonts w:hint="eastAsia"/>
          <w:szCs w:val="21"/>
        </w:rPr>
        <w:t>6、评标委员会对报价情况进行评审；</w:t>
      </w:r>
    </w:p>
    <w:p>
      <w:pPr>
        <w:adjustRightInd w:val="0"/>
        <w:snapToGrid w:val="0"/>
        <w:spacing w:line="360" w:lineRule="auto"/>
        <w:ind w:firstLine="420" w:firstLineChars="200"/>
        <w:jc w:val="left"/>
        <w:rPr>
          <w:szCs w:val="21"/>
        </w:rPr>
      </w:pPr>
      <w:r>
        <w:rPr>
          <w:rFonts w:hint="eastAsia"/>
          <w:szCs w:val="21"/>
        </w:rPr>
        <w:t>7、在系统上公布评审结果。</w:t>
      </w:r>
    </w:p>
    <w:p>
      <w:pPr>
        <w:adjustRightInd w:val="0"/>
        <w:snapToGrid w:val="0"/>
        <w:spacing w:line="360" w:lineRule="auto"/>
        <w:ind w:firstLine="420" w:firstLineChars="200"/>
        <w:jc w:val="left"/>
        <w:rPr>
          <w:szCs w:val="21"/>
        </w:rPr>
      </w:pPr>
      <w:r>
        <w:rPr>
          <w:rFonts w:hint="eastAsia"/>
          <w:szCs w:val="21"/>
        </w:rPr>
        <w:t>特别说明：政采云公司如对电子化开标及评审程序有调整的，按调整后的程序操作。</w:t>
      </w:r>
    </w:p>
    <w:p>
      <w:pPr>
        <w:snapToGrid w:val="0"/>
        <w:spacing w:before="120" w:line="360" w:lineRule="auto"/>
        <w:ind w:right="-87"/>
        <w:jc w:val="center"/>
        <w:outlineLvl w:val="1"/>
        <w:rPr>
          <w:rFonts w:hAnsi="宋体"/>
          <w:b/>
          <w:sz w:val="28"/>
        </w:rPr>
      </w:pPr>
      <w:r>
        <w:rPr>
          <w:rFonts w:hint="eastAsia" w:hAnsi="宋体"/>
          <w:b/>
          <w:sz w:val="28"/>
        </w:rPr>
        <w:t>五、评标</w:t>
      </w:r>
    </w:p>
    <w:p>
      <w:pPr>
        <w:snapToGrid w:val="0"/>
        <w:spacing w:before="120" w:line="360" w:lineRule="auto"/>
        <w:ind w:right="-87"/>
        <w:rPr>
          <w:rFonts w:hAnsi="宋体"/>
          <w:b/>
        </w:rPr>
      </w:pPr>
      <w:r>
        <w:rPr>
          <w:rFonts w:hint="eastAsia" w:hAnsi="宋体"/>
          <w:b/>
        </w:rPr>
        <w:t>（一）组建评标委员会</w:t>
      </w:r>
    </w:p>
    <w:p>
      <w:pPr>
        <w:snapToGrid w:val="0"/>
        <w:spacing w:before="120" w:line="360" w:lineRule="auto"/>
        <w:ind w:right="-87" w:firstLine="420" w:firstLineChars="200"/>
        <w:rPr>
          <w:rFonts w:hAnsi="宋体"/>
        </w:rPr>
      </w:pPr>
      <w:r>
        <w:rPr>
          <w:rFonts w:hint="eastAsia" w:hAnsi="宋体"/>
        </w:rPr>
        <w:t>评标委员会由采购人代表和评审专家组成，成员人数为5人（含）以上单数，其中评审专家不得少于成员总数的三分之二。</w:t>
      </w:r>
    </w:p>
    <w:p>
      <w:pPr>
        <w:snapToGrid w:val="0"/>
        <w:spacing w:before="120" w:line="360" w:lineRule="auto"/>
        <w:ind w:right="-87"/>
        <w:rPr>
          <w:rFonts w:hAnsi="宋体"/>
          <w:b/>
        </w:rPr>
      </w:pPr>
      <w:r>
        <w:rPr>
          <w:rFonts w:hint="eastAsia" w:hAnsi="宋体"/>
          <w:b/>
        </w:rPr>
        <w:t>（二）评标程序</w:t>
      </w:r>
    </w:p>
    <w:p>
      <w:pPr>
        <w:snapToGrid w:val="0"/>
        <w:spacing w:line="360" w:lineRule="auto"/>
        <w:ind w:right="-87"/>
        <w:rPr>
          <w:szCs w:val="21"/>
        </w:rPr>
      </w:pPr>
      <w:r>
        <w:rPr>
          <w:rFonts w:hint="eastAsia" w:ascii="宋体" w:hAnsi="宋体"/>
          <w:b/>
          <w:szCs w:val="21"/>
        </w:rPr>
        <w:t>1.</w:t>
      </w:r>
      <w:r>
        <w:rPr>
          <w:b/>
          <w:szCs w:val="21"/>
        </w:rPr>
        <w:t>投标文件初审。</w:t>
      </w:r>
    </w:p>
    <w:p>
      <w:pPr>
        <w:snapToGrid w:val="0"/>
        <w:spacing w:line="360" w:lineRule="auto"/>
        <w:ind w:right="-87" w:firstLine="420" w:firstLineChars="200"/>
        <w:rPr>
          <w:rFonts w:ascii="宋体" w:hAnsi="宋体"/>
          <w:b/>
          <w:szCs w:val="21"/>
        </w:rPr>
      </w:pPr>
      <w:r>
        <w:rPr>
          <w:szCs w:val="21"/>
        </w:rPr>
        <w:t>初审分为资格性检查和符合性检查。</w:t>
      </w:r>
    </w:p>
    <w:p>
      <w:pPr>
        <w:adjustRightInd w:val="0"/>
        <w:snapToGrid w:val="0"/>
        <w:spacing w:line="360" w:lineRule="auto"/>
        <w:ind w:firstLine="420" w:firstLineChars="200"/>
        <w:jc w:val="left"/>
        <w:rPr>
          <w:szCs w:val="21"/>
        </w:rPr>
      </w:pPr>
      <w:r>
        <w:rPr>
          <w:rFonts w:hint="eastAsia"/>
          <w:szCs w:val="21"/>
        </w:rPr>
        <w:t>1.1</w:t>
      </w:r>
      <w:r>
        <w:rPr>
          <w:szCs w:val="21"/>
        </w:rPr>
        <w:t>资格性检查。依据法律法规和</w:t>
      </w:r>
      <w:r>
        <w:rPr>
          <w:rFonts w:hint="eastAsia"/>
          <w:szCs w:val="21"/>
        </w:rPr>
        <w:t>采购文件</w:t>
      </w:r>
      <w:r>
        <w:rPr>
          <w:szCs w:val="21"/>
        </w:rPr>
        <w:t>的规定，对投标文件中的资格证明等进行审查，以确定投标投标人是否具备投标资格。</w:t>
      </w:r>
    </w:p>
    <w:p>
      <w:pPr>
        <w:adjustRightInd w:val="0"/>
        <w:snapToGrid w:val="0"/>
        <w:spacing w:line="360" w:lineRule="auto"/>
        <w:ind w:firstLine="420" w:firstLineChars="200"/>
        <w:jc w:val="left"/>
        <w:rPr>
          <w:szCs w:val="21"/>
        </w:rPr>
      </w:pPr>
      <w:r>
        <w:rPr>
          <w:rFonts w:hint="eastAsia"/>
          <w:szCs w:val="21"/>
        </w:rPr>
        <w:t>1.2</w:t>
      </w:r>
      <w:r>
        <w:rPr>
          <w:szCs w:val="21"/>
        </w:rPr>
        <w:t>符合性检查。依据</w:t>
      </w:r>
      <w:r>
        <w:rPr>
          <w:rFonts w:hint="eastAsia"/>
          <w:szCs w:val="21"/>
        </w:rPr>
        <w:t>采购文件</w:t>
      </w:r>
      <w:r>
        <w:rPr>
          <w:szCs w:val="21"/>
        </w:rPr>
        <w:t>的规定，从投标文件的有效性、完整性和对</w:t>
      </w:r>
      <w:r>
        <w:rPr>
          <w:rFonts w:hint="eastAsia"/>
          <w:szCs w:val="21"/>
        </w:rPr>
        <w:t>采购文件</w:t>
      </w:r>
      <w:r>
        <w:rPr>
          <w:szCs w:val="21"/>
        </w:rPr>
        <w:t>的响应程度进行审查，以确定是否对</w:t>
      </w:r>
      <w:r>
        <w:rPr>
          <w:rFonts w:hint="eastAsia"/>
          <w:szCs w:val="21"/>
        </w:rPr>
        <w:t>采购文件</w:t>
      </w:r>
      <w:r>
        <w:rPr>
          <w:szCs w:val="21"/>
        </w:rPr>
        <w:t>的实质性要求作出响应。</w:t>
      </w:r>
    </w:p>
    <w:p>
      <w:pPr>
        <w:snapToGrid w:val="0"/>
        <w:spacing w:line="360" w:lineRule="auto"/>
        <w:ind w:right="-87"/>
        <w:rPr>
          <w:rFonts w:ascii="宋体" w:hAnsi="宋体"/>
          <w:b/>
          <w:sz w:val="24"/>
        </w:rPr>
      </w:pPr>
      <w:r>
        <w:rPr>
          <w:rFonts w:hint="eastAsia" w:ascii="宋体" w:hAnsi="宋体"/>
          <w:b/>
          <w:sz w:val="24"/>
        </w:rPr>
        <w:t>2</w:t>
      </w:r>
      <w:r>
        <w:rPr>
          <w:rFonts w:hint="eastAsia" w:ascii="宋体" w:hAnsi="宋体"/>
          <w:b/>
          <w:szCs w:val="21"/>
        </w:rPr>
        <w:t>.实质审查</w:t>
      </w:r>
    </w:p>
    <w:p>
      <w:pPr>
        <w:spacing w:line="360" w:lineRule="auto"/>
        <w:ind w:firstLine="420" w:firstLineChars="200"/>
        <w:rPr>
          <w:rFonts w:ascii="宋体" w:hAnsi="宋体"/>
          <w:kern w:val="0"/>
          <w:szCs w:val="21"/>
        </w:rPr>
      </w:pPr>
      <w:r>
        <w:rPr>
          <w:rFonts w:hint="eastAsia" w:ascii="宋体" w:hAnsi="宋体"/>
          <w:kern w:val="0"/>
          <w:szCs w:val="21"/>
        </w:rPr>
        <w:t>（1）评标委员会审查投标文件的实质性内容是否符合采购文件的实质性要求。</w:t>
      </w:r>
    </w:p>
    <w:p>
      <w:pPr>
        <w:spacing w:line="360" w:lineRule="auto"/>
        <w:ind w:firstLine="420" w:firstLineChars="200"/>
        <w:rPr>
          <w:rFonts w:ascii="宋体" w:hAnsi="宋体"/>
          <w:kern w:val="0"/>
          <w:szCs w:val="21"/>
        </w:rPr>
      </w:pPr>
      <w:r>
        <w:rPr>
          <w:rFonts w:hint="eastAsia" w:ascii="宋体" w:hAnsi="宋体"/>
          <w:kern w:val="0"/>
          <w:szCs w:val="21"/>
        </w:rPr>
        <w:t>（2）评标委员会将根据投标人的投标文件进行审查、核对，如有疑问，将对投标人通过电子系统进行询标，投标人向评标委员会澄清有关问题，并最终以电子形式进行答复。投标人拒绝澄清或者澄清的内容改变了投标文件的实质性内容的，评标委员会有权对该投标文件作出不利于投标人的评判。</w:t>
      </w:r>
    </w:p>
    <w:p>
      <w:pPr>
        <w:spacing w:line="360" w:lineRule="auto"/>
        <w:ind w:firstLine="420" w:firstLineChars="200"/>
        <w:rPr>
          <w:rFonts w:ascii="宋体" w:hAnsi="宋体"/>
          <w:kern w:val="0"/>
          <w:szCs w:val="21"/>
        </w:rPr>
      </w:pPr>
      <w:r>
        <w:rPr>
          <w:rFonts w:hint="eastAsia" w:ascii="宋体" w:hAnsi="宋体"/>
          <w:kern w:val="0"/>
          <w:szCs w:val="21"/>
        </w:rPr>
        <w:t>（3）评审小组商务、技术方案响应性评定；</w:t>
      </w:r>
    </w:p>
    <w:p>
      <w:pPr>
        <w:spacing w:line="360" w:lineRule="auto"/>
        <w:ind w:firstLine="420" w:firstLineChars="200"/>
        <w:rPr>
          <w:rFonts w:ascii="宋体" w:hAnsi="宋体"/>
          <w:kern w:val="0"/>
          <w:szCs w:val="21"/>
        </w:rPr>
      </w:pPr>
      <w:r>
        <w:rPr>
          <w:rFonts w:hint="eastAsia" w:ascii="宋体" w:hAnsi="宋体"/>
          <w:kern w:val="0"/>
          <w:szCs w:val="21"/>
        </w:rPr>
        <w:t>（4）各投标人的技术得分为所有评委的有效评分的算术平均数，由指定专人进行计算复核。</w:t>
      </w:r>
    </w:p>
    <w:p>
      <w:pPr>
        <w:spacing w:line="360" w:lineRule="auto"/>
        <w:ind w:firstLine="420" w:firstLineChars="200"/>
        <w:rPr>
          <w:rFonts w:ascii="宋体" w:hAnsi="宋体"/>
          <w:b/>
          <w:szCs w:val="21"/>
        </w:rPr>
      </w:pPr>
      <w:r>
        <w:rPr>
          <w:rFonts w:hint="eastAsia" w:ascii="宋体" w:hAnsi="宋体"/>
          <w:kern w:val="0"/>
          <w:szCs w:val="21"/>
        </w:rPr>
        <w:t>（5）评标委员会完成评标后，评委对各部分得分汇总，计算出本项目综合评估分。评标委员会按</w:t>
      </w:r>
      <w:r>
        <w:rPr>
          <w:rFonts w:hint="eastAsia" w:ascii="宋体" w:hAnsi="宋体"/>
          <w:szCs w:val="21"/>
        </w:rPr>
        <w:t>评标原则通过电子系统向采购人及采购代理机构提交评审报告。</w:t>
      </w:r>
    </w:p>
    <w:p>
      <w:pPr>
        <w:spacing w:line="360" w:lineRule="auto"/>
        <w:ind w:firstLine="422" w:firstLineChars="200"/>
        <w:rPr>
          <w:rFonts w:ascii="宋体" w:hAnsi="宋体"/>
          <w:b/>
          <w:szCs w:val="21"/>
        </w:rPr>
      </w:pPr>
      <w:r>
        <w:rPr>
          <w:rFonts w:hint="eastAsia" w:ascii="宋体" w:hAnsi="宋体"/>
          <w:b/>
          <w:szCs w:val="21"/>
        </w:rPr>
        <w:t>（三）澄清问题的形式</w:t>
      </w:r>
    </w:p>
    <w:p>
      <w:pPr>
        <w:snapToGrid w:val="0"/>
        <w:spacing w:line="360" w:lineRule="auto"/>
        <w:ind w:left="228" w:right="-87" w:firstLine="420" w:firstLineChars="200"/>
        <w:rPr>
          <w:rFonts w:ascii="宋体" w:hAnsi="宋体"/>
        </w:rPr>
      </w:pPr>
      <w:r>
        <w:rPr>
          <w:rFonts w:hint="eastAsia" w:ascii="宋体" w:hAnsi="宋体"/>
        </w:rPr>
        <w:t>对投标文件中含义不明确、同类问题表述不一致或者有明显文字和计算错误的内容，评标委员会可要求投标人作出必要的澄清、说明或者纠正。投标人与评审小组</w:t>
      </w:r>
      <w:r>
        <w:rPr>
          <w:rFonts w:hint="eastAsia" w:hAnsi="宋体"/>
          <w:szCs w:val="21"/>
        </w:rPr>
        <w:t>通过电子交易平台交换数据电文的形式进行</w:t>
      </w:r>
      <w:r>
        <w:rPr>
          <w:rFonts w:hint="eastAsia" w:ascii="宋体" w:hAnsi="宋体"/>
        </w:rPr>
        <w:t>，给予投标人提交澄清说明或补正的时间不少于半个小时，投标人已经明确表示澄清说明或补正完毕的除外。不得超出投标文件的范围或者改变投标文件的实质性内容。</w:t>
      </w:r>
    </w:p>
    <w:p>
      <w:pPr>
        <w:pStyle w:val="104"/>
        <w:snapToGrid w:val="0"/>
        <w:spacing w:before="120" w:after="120" w:line="360" w:lineRule="auto"/>
        <w:ind w:right="-87" w:firstLine="422" w:firstLineChars="200"/>
        <w:rPr>
          <w:rFonts w:hAnsi="宋体" w:eastAsia="宋体"/>
          <w:b/>
          <w:sz w:val="21"/>
          <w:szCs w:val="21"/>
        </w:rPr>
      </w:pPr>
      <w:r>
        <w:rPr>
          <w:rFonts w:hint="eastAsia" w:hAnsi="宋体" w:eastAsia="宋体"/>
          <w:b/>
          <w:sz w:val="21"/>
          <w:szCs w:val="21"/>
        </w:rPr>
        <w:t>（四）错误修正</w:t>
      </w:r>
    </w:p>
    <w:p>
      <w:pPr>
        <w:pStyle w:val="20"/>
        <w:snapToGrid w:val="0"/>
        <w:spacing w:before="120" w:line="360" w:lineRule="auto"/>
        <w:ind w:firstLine="415" w:firstLineChars="198"/>
        <w:rPr>
          <w:rFonts w:hAnsi="宋体" w:cs="宋体"/>
          <w:sz w:val="21"/>
          <w:szCs w:val="21"/>
        </w:rPr>
      </w:pPr>
      <w:r>
        <w:rPr>
          <w:rFonts w:hint="eastAsia" w:hAnsi="宋体" w:cs="宋体"/>
          <w:sz w:val="21"/>
          <w:szCs w:val="21"/>
        </w:rPr>
        <w:t>投标文件如果出现计算或表达上的错误，修正错误的原则如下：</w:t>
      </w:r>
    </w:p>
    <w:p>
      <w:pPr>
        <w:pStyle w:val="20"/>
        <w:snapToGrid w:val="0"/>
        <w:spacing w:before="120" w:line="360" w:lineRule="auto"/>
        <w:ind w:firstLine="415" w:firstLineChars="198"/>
        <w:rPr>
          <w:rFonts w:hAnsi="宋体" w:cs="宋体"/>
          <w:sz w:val="21"/>
          <w:szCs w:val="21"/>
        </w:rPr>
      </w:pPr>
      <w:r>
        <w:rPr>
          <w:rFonts w:hint="eastAsia" w:hAnsi="宋体" w:cs="宋体"/>
          <w:sz w:val="21"/>
          <w:szCs w:val="21"/>
        </w:rPr>
        <w:t>1、如果用数字表示的数额与文字表示的数额不一致的，以文字数额为准；</w:t>
      </w:r>
    </w:p>
    <w:p>
      <w:pPr>
        <w:pStyle w:val="20"/>
        <w:snapToGrid w:val="0"/>
        <w:spacing w:before="120" w:line="360" w:lineRule="auto"/>
        <w:ind w:firstLine="415" w:firstLineChars="198"/>
        <w:rPr>
          <w:rFonts w:hAnsi="宋体" w:cs="宋体"/>
          <w:sz w:val="21"/>
          <w:szCs w:val="21"/>
        </w:rPr>
      </w:pPr>
      <w:r>
        <w:rPr>
          <w:rFonts w:hint="eastAsia" w:hAnsi="宋体" w:cs="宋体"/>
          <w:sz w:val="21"/>
          <w:szCs w:val="21"/>
        </w:rPr>
        <w:t>2、当单价和数量的乘积与合价不一致时，通常以标出的单价为准。除非评审小组认为单价属明显的小数点错误，此时应以标出的合价为准，并修改单价。</w:t>
      </w:r>
    </w:p>
    <w:p>
      <w:pPr>
        <w:pStyle w:val="20"/>
        <w:snapToGrid w:val="0"/>
        <w:spacing w:before="120" w:line="360" w:lineRule="auto"/>
        <w:ind w:firstLine="415" w:firstLineChars="198"/>
        <w:rPr>
          <w:rFonts w:hAnsi="宋体" w:cs="宋体"/>
          <w:sz w:val="21"/>
          <w:szCs w:val="21"/>
        </w:rPr>
      </w:pPr>
      <w:r>
        <w:rPr>
          <w:rFonts w:hint="eastAsia" w:hAnsi="宋体" w:cs="宋体"/>
          <w:sz w:val="21"/>
          <w:szCs w:val="21"/>
        </w:rPr>
        <w:t>3、按上述修改错误的方法，调整投标文件中的投标报价文件，经投标人确认后，调整后的投标报价对投标人起约束作用。</w:t>
      </w:r>
    </w:p>
    <w:p>
      <w:pPr>
        <w:pStyle w:val="20"/>
        <w:snapToGrid w:val="0"/>
        <w:spacing w:before="120" w:line="360" w:lineRule="auto"/>
        <w:ind w:firstLine="417" w:firstLineChars="198"/>
        <w:rPr>
          <w:rFonts w:hAnsi="宋体" w:cs="宋体"/>
          <w:sz w:val="21"/>
          <w:szCs w:val="21"/>
        </w:rPr>
      </w:pPr>
      <w:r>
        <w:rPr>
          <w:rFonts w:hint="eastAsia" w:hAnsi="宋体" w:cs="宋体"/>
          <w:b/>
          <w:sz w:val="21"/>
          <w:szCs w:val="21"/>
        </w:rPr>
        <w:t>按上述修正错误的原则及方法调整或修正投标文件的投标报价，投标人通过电文并签章确认后，调整后的投标报价对投标人具有约束作用。如果投标人不接受修正后的报价，则其投标将作为无效投标处理。</w:t>
      </w:r>
    </w:p>
    <w:p>
      <w:pPr>
        <w:pStyle w:val="104"/>
        <w:snapToGrid w:val="0"/>
        <w:spacing w:before="120" w:after="120" w:line="360" w:lineRule="auto"/>
        <w:ind w:right="-87" w:firstLine="422" w:firstLineChars="200"/>
        <w:jc w:val="left"/>
        <w:rPr>
          <w:rFonts w:hAnsi="宋体" w:eastAsia="宋体"/>
          <w:b/>
          <w:sz w:val="21"/>
          <w:szCs w:val="21"/>
        </w:rPr>
      </w:pPr>
      <w:r>
        <w:rPr>
          <w:rFonts w:hint="eastAsia" w:hAnsi="宋体" w:eastAsia="宋体"/>
          <w:b/>
          <w:sz w:val="21"/>
          <w:szCs w:val="21"/>
        </w:rPr>
        <w:t>（五）评标原则和评标办法</w:t>
      </w:r>
    </w:p>
    <w:p>
      <w:pPr>
        <w:pStyle w:val="20"/>
        <w:snapToGrid w:val="0"/>
        <w:spacing w:before="120" w:line="360" w:lineRule="auto"/>
        <w:ind w:firstLine="420" w:firstLineChars="200"/>
        <w:rPr>
          <w:rFonts w:hAnsi="宋体" w:cs="宋体"/>
          <w:sz w:val="21"/>
          <w:szCs w:val="21"/>
        </w:rPr>
      </w:pPr>
      <w:r>
        <w:rPr>
          <w:rFonts w:hint="eastAsia" w:hAnsi="宋体" w:cs="宋体"/>
          <w:sz w:val="21"/>
          <w:szCs w:val="21"/>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20"/>
        <w:snapToGrid w:val="0"/>
        <w:spacing w:before="120" w:line="360" w:lineRule="auto"/>
        <w:ind w:firstLine="520" w:firstLineChars="248"/>
        <w:rPr>
          <w:rFonts w:hAnsi="宋体" w:cs="宋体"/>
        </w:rPr>
      </w:pPr>
      <w:r>
        <w:rPr>
          <w:rFonts w:hint="eastAsia" w:hAnsi="宋体" w:cs="宋体"/>
          <w:sz w:val="21"/>
          <w:szCs w:val="21"/>
        </w:rPr>
        <w:t>2、评标办法。本项目评标办法是</w:t>
      </w:r>
      <w:r>
        <w:rPr>
          <w:rFonts w:hint="eastAsia" w:hAnsi="宋体" w:cs="宋体"/>
          <w:sz w:val="21"/>
          <w:szCs w:val="21"/>
          <w:u w:val="single"/>
        </w:rPr>
        <w:t>综合评分法</w:t>
      </w:r>
      <w:r>
        <w:rPr>
          <w:rFonts w:hint="eastAsia" w:hAnsi="宋体" w:cs="宋体"/>
          <w:sz w:val="21"/>
          <w:szCs w:val="21"/>
        </w:rPr>
        <w:t>，具体评标内容及评分标准等详见《第四章：评标办法及评分标准》。</w:t>
      </w:r>
    </w:p>
    <w:p>
      <w:pPr>
        <w:widowControl/>
        <w:snapToGrid w:val="0"/>
        <w:spacing w:line="360" w:lineRule="auto"/>
        <w:ind w:right="-87" w:firstLine="422" w:firstLineChars="200"/>
        <w:rPr>
          <w:rFonts w:ascii="宋体" w:hAnsi="宋体"/>
          <w:b/>
          <w:szCs w:val="21"/>
        </w:rPr>
      </w:pPr>
      <w:r>
        <w:rPr>
          <w:rFonts w:hint="eastAsia" w:ascii="宋体" w:hAnsi="宋体"/>
          <w:b/>
          <w:szCs w:val="21"/>
        </w:rPr>
        <w:t>（六）评标过程的监控</w:t>
      </w:r>
    </w:p>
    <w:p>
      <w:pPr>
        <w:pStyle w:val="104"/>
        <w:snapToGrid w:val="0"/>
        <w:spacing w:before="120" w:after="120" w:line="360" w:lineRule="auto"/>
        <w:ind w:right="-87" w:firstLine="420" w:firstLineChars="200"/>
        <w:rPr>
          <w:rFonts w:hAnsi="宋体" w:eastAsia="宋体"/>
          <w:b/>
          <w:sz w:val="28"/>
        </w:rPr>
      </w:pPr>
      <w:r>
        <w:rPr>
          <w:rFonts w:hint="eastAsia" w:hAnsi="宋体" w:eastAsia="宋体" w:cs="宋体"/>
          <w:sz w:val="21"/>
        </w:rPr>
        <w:t>本项目评标过程实行全程录音、录像监控。</w:t>
      </w:r>
    </w:p>
    <w:p>
      <w:pPr>
        <w:snapToGrid w:val="0"/>
        <w:spacing w:before="120" w:line="360" w:lineRule="auto"/>
        <w:ind w:right="-87"/>
        <w:jc w:val="center"/>
        <w:outlineLvl w:val="1"/>
        <w:rPr>
          <w:rFonts w:hAnsi="宋体"/>
          <w:b/>
          <w:sz w:val="28"/>
        </w:rPr>
      </w:pPr>
      <w:r>
        <w:rPr>
          <w:rFonts w:hint="eastAsia" w:hAnsi="宋体"/>
          <w:b/>
          <w:sz w:val="28"/>
        </w:rPr>
        <w:t>六、定标</w:t>
      </w:r>
    </w:p>
    <w:p>
      <w:pPr>
        <w:pStyle w:val="20"/>
        <w:snapToGrid w:val="0"/>
        <w:spacing w:before="120" w:line="360" w:lineRule="auto"/>
        <w:ind w:firstLine="417" w:firstLineChars="198"/>
        <w:rPr>
          <w:rFonts w:hAnsi="宋体" w:cs="宋体"/>
          <w:b/>
          <w:sz w:val="21"/>
          <w:szCs w:val="21"/>
        </w:rPr>
      </w:pPr>
      <w:r>
        <w:rPr>
          <w:rFonts w:hint="eastAsia" w:hAnsi="宋体" w:cs="宋体"/>
          <w:b/>
          <w:sz w:val="21"/>
          <w:szCs w:val="21"/>
        </w:rPr>
        <w:t>（一）确定中标人。</w:t>
      </w:r>
    </w:p>
    <w:p>
      <w:pPr>
        <w:pStyle w:val="20"/>
        <w:snapToGrid w:val="0"/>
        <w:spacing w:before="120" w:line="360" w:lineRule="auto"/>
        <w:ind w:firstLine="415" w:firstLineChars="198"/>
        <w:rPr>
          <w:rFonts w:hAnsi="宋体" w:cs="宋体"/>
          <w:sz w:val="21"/>
          <w:szCs w:val="21"/>
        </w:rPr>
      </w:pPr>
      <w:r>
        <w:rPr>
          <w:rFonts w:hint="eastAsia" w:hAnsi="宋体" w:cs="宋体"/>
          <w:sz w:val="21"/>
          <w:szCs w:val="21"/>
        </w:rPr>
        <w:t>本项目由采购人事先授权评审小组确定候选中标人1名。经采购人确认后，确定项目中标人，同时发布采购结果公告，发出中标通知书。</w:t>
      </w:r>
    </w:p>
    <w:p>
      <w:pPr>
        <w:pStyle w:val="20"/>
        <w:snapToGrid w:val="0"/>
        <w:spacing w:before="120" w:line="360" w:lineRule="auto"/>
        <w:ind w:firstLine="415" w:firstLineChars="198"/>
        <w:rPr>
          <w:rFonts w:hAnsi="宋体" w:cs="宋体"/>
          <w:sz w:val="21"/>
          <w:szCs w:val="21"/>
        </w:rPr>
      </w:pPr>
      <w:r>
        <w:rPr>
          <w:rFonts w:hint="eastAsia" w:hAnsi="宋体" w:cs="宋体"/>
          <w:sz w:val="21"/>
          <w:szCs w:val="21"/>
        </w:rPr>
        <w:t>1.采购代理机构在评标结束后在2个工作日内将评审报告交采购人确认。</w:t>
      </w:r>
    </w:p>
    <w:p>
      <w:pPr>
        <w:pStyle w:val="20"/>
        <w:snapToGrid w:val="0"/>
        <w:spacing w:before="120" w:line="360" w:lineRule="auto"/>
        <w:ind w:firstLine="415" w:firstLineChars="198"/>
        <w:rPr>
          <w:rFonts w:hAnsi="宋体" w:cs="宋体"/>
          <w:sz w:val="21"/>
          <w:szCs w:val="21"/>
        </w:rPr>
      </w:pPr>
      <w:r>
        <w:rPr>
          <w:rFonts w:hint="eastAsia" w:hAnsi="宋体" w:cs="宋体"/>
          <w:sz w:val="21"/>
          <w:szCs w:val="21"/>
        </w:rPr>
        <w:t>2.投标人对评审结果无异议的，采购人应在收到评审报告后5个工作日内对评审结果进行确认。如有投标人对评审结果提出质疑的，采购人可在质疑处理完毕后确定中标人。</w:t>
      </w:r>
    </w:p>
    <w:p>
      <w:pPr>
        <w:pStyle w:val="20"/>
        <w:snapToGrid w:val="0"/>
        <w:spacing w:before="120" w:line="360" w:lineRule="auto"/>
        <w:ind w:firstLine="415" w:firstLineChars="198"/>
        <w:rPr>
          <w:rFonts w:hAnsi="宋体" w:cs="宋体"/>
          <w:sz w:val="21"/>
          <w:szCs w:val="21"/>
        </w:rPr>
      </w:pPr>
      <w:r>
        <w:rPr>
          <w:rFonts w:hint="eastAsia" w:hAnsi="宋体" w:cs="宋体"/>
          <w:sz w:val="21"/>
          <w:szCs w:val="21"/>
        </w:rPr>
        <w:t>3.采购人依法确定中标人后2个工作日内，采购代理机构以书面形式发出《中标通知书》,并同时在相关网站上发布中标公告。</w:t>
      </w:r>
    </w:p>
    <w:p>
      <w:pPr>
        <w:spacing w:line="380" w:lineRule="exact"/>
        <w:ind w:firstLine="525" w:firstLineChars="250"/>
        <w:rPr>
          <w:rFonts w:ascii="宋体" w:hAnsi="宋体"/>
          <w:b/>
        </w:rPr>
      </w:pPr>
      <w:r>
        <w:rPr>
          <w:rFonts w:hint="eastAsia" w:hAnsi="宋体" w:cs="宋体"/>
          <w:szCs w:val="21"/>
        </w:rPr>
        <w:t>（二）</w:t>
      </w:r>
      <w:r>
        <w:t>根据《中华人民共和招标投标法实施条例》（国务院第613号令）第四章第五十五条的规定，排名第一的中标候选人放弃中标、因不可抗力不能履行合同、不按照招标文件要求提交履约保证金，或者被查实存在影响中标结果的违法行为等情形，不符合中标条件的，经招标人书面确认，或者经专家论证，按照评标委员会提出的中标候选人名单排序依次确定其他中标候选人为中标人，也可以重新招标。</w:t>
      </w:r>
    </w:p>
    <w:p>
      <w:pPr>
        <w:pStyle w:val="20"/>
        <w:snapToGrid w:val="0"/>
        <w:spacing w:before="120" w:line="360" w:lineRule="auto"/>
        <w:ind w:firstLine="557" w:firstLineChars="198"/>
        <w:rPr>
          <w:rFonts w:hAnsi="宋体"/>
          <w:b/>
          <w:sz w:val="28"/>
        </w:rPr>
      </w:pPr>
    </w:p>
    <w:p>
      <w:pPr>
        <w:snapToGrid w:val="0"/>
        <w:spacing w:before="120" w:line="360" w:lineRule="auto"/>
        <w:ind w:right="-87" w:firstLine="3345" w:firstLineChars="1190"/>
        <w:outlineLvl w:val="1"/>
        <w:rPr>
          <w:rFonts w:hAnsi="宋体"/>
          <w:b/>
          <w:sz w:val="28"/>
        </w:rPr>
      </w:pPr>
      <w:r>
        <w:rPr>
          <w:rFonts w:hint="eastAsia" w:hAnsi="宋体"/>
          <w:b/>
          <w:sz w:val="28"/>
        </w:rPr>
        <w:t>七、合同授予</w:t>
      </w:r>
    </w:p>
    <w:p>
      <w:pPr>
        <w:widowControl/>
        <w:numPr>
          <w:ilvl w:val="0"/>
          <w:numId w:val="8"/>
        </w:numPr>
        <w:tabs>
          <w:tab w:val="left" w:pos="735"/>
        </w:tabs>
        <w:overflowPunct w:val="0"/>
        <w:autoSpaceDE w:val="0"/>
        <w:autoSpaceDN w:val="0"/>
        <w:adjustRightInd w:val="0"/>
        <w:snapToGrid w:val="0"/>
        <w:spacing w:line="336" w:lineRule="auto"/>
        <w:ind w:right="-87"/>
        <w:jc w:val="left"/>
        <w:textAlignment w:val="baseline"/>
        <w:rPr>
          <w:rFonts w:ascii="宋体" w:hAnsi="宋体"/>
          <w:b/>
          <w:sz w:val="24"/>
        </w:rPr>
      </w:pPr>
      <w:r>
        <w:rPr>
          <w:rFonts w:hint="eastAsia" w:ascii="宋体" w:hAnsi="宋体"/>
          <w:b/>
          <w:sz w:val="24"/>
        </w:rPr>
        <w:t>签订合同</w:t>
      </w:r>
    </w:p>
    <w:p>
      <w:pPr>
        <w:snapToGrid w:val="0"/>
        <w:spacing w:line="336" w:lineRule="auto"/>
        <w:ind w:right="-87" w:firstLine="424" w:firstLineChars="202"/>
        <w:rPr>
          <w:rFonts w:ascii="宋体" w:hAnsi="宋体"/>
        </w:rPr>
      </w:pPr>
      <w:r>
        <w:rPr>
          <w:rFonts w:hint="eastAsia" w:ascii="宋体" w:hAnsi="宋体"/>
        </w:rPr>
        <w:t>1.采购人与中标人应当在《中标通知书》发出之日起30日内签订政府采购合同。同时，采购代理机构对合同内容进行审查，如发现与采购结果和投标承诺内容不一致的，应予以纠正。</w:t>
      </w:r>
    </w:p>
    <w:p>
      <w:pPr>
        <w:pStyle w:val="20"/>
        <w:snapToGrid w:val="0"/>
        <w:spacing w:before="120" w:line="336" w:lineRule="auto"/>
        <w:ind w:firstLine="415" w:firstLineChars="198"/>
        <w:rPr>
          <w:rFonts w:hAnsi="宋体" w:cs="宋体"/>
          <w:sz w:val="21"/>
          <w:szCs w:val="21"/>
        </w:rPr>
      </w:pPr>
      <w:r>
        <w:rPr>
          <w:rFonts w:hint="eastAsia" w:hAnsi="宋体" w:cs="宋体"/>
          <w:sz w:val="21"/>
          <w:szCs w:val="21"/>
        </w:rPr>
        <w:t>2、中标人拖延、拒签合同的，将上报监管部门并取消中标资格。</w:t>
      </w:r>
    </w:p>
    <w:p>
      <w:pPr>
        <w:pStyle w:val="20"/>
        <w:snapToGrid w:val="0"/>
        <w:spacing w:before="120" w:line="336" w:lineRule="auto"/>
        <w:ind w:firstLine="415" w:firstLineChars="198"/>
        <w:rPr>
          <w:rFonts w:hAnsi="宋体" w:cs="宋体"/>
          <w:sz w:val="21"/>
          <w:szCs w:val="21"/>
        </w:rPr>
      </w:pPr>
      <w:r>
        <w:rPr>
          <w:rFonts w:hint="eastAsia" w:hAnsi="宋体" w:cs="宋体"/>
          <w:sz w:val="21"/>
          <w:szCs w:val="21"/>
        </w:rPr>
        <w:t>3、中标人和采购人签订合同，按合同规定的供货时间供货并安装调试完毕。</w:t>
      </w:r>
    </w:p>
    <w:p>
      <w:pPr>
        <w:pStyle w:val="20"/>
        <w:snapToGrid w:val="0"/>
        <w:spacing w:before="120" w:line="336" w:lineRule="auto"/>
        <w:ind w:firstLine="415" w:firstLineChars="198"/>
        <w:rPr>
          <w:rFonts w:hAnsi="宋体" w:cs="宋体"/>
          <w:sz w:val="21"/>
          <w:szCs w:val="21"/>
        </w:rPr>
      </w:pPr>
      <w:r>
        <w:rPr>
          <w:rFonts w:hint="eastAsia" w:hAnsi="宋体" w:cs="宋体"/>
          <w:sz w:val="21"/>
          <w:szCs w:val="21"/>
        </w:rPr>
        <w:t>4、已确定中标或者成交供应商但尚未签订政府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pPr>
        <w:pStyle w:val="20"/>
        <w:snapToGrid w:val="0"/>
        <w:spacing w:before="120" w:line="336" w:lineRule="auto"/>
        <w:ind w:firstLine="415" w:firstLineChars="198"/>
        <w:rPr>
          <w:rFonts w:hAnsi="宋体" w:cs="宋体"/>
          <w:sz w:val="21"/>
          <w:szCs w:val="21"/>
        </w:rPr>
      </w:pPr>
      <w:r>
        <w:rPr>
          <w:rFonts w:hint="eastAsia" w:hAnsi="宋体" w:cs="宋体"/>
          <w:sz w:val="21"/>
          <w:szCs w:val="21"/>
        </w:rPr>
        <w:t>（二）合同公告</w:t>
      </w:r>
    </w:p>
    <w:p>
      <w:pPr>
        <w:pStyle w:val="20"/>
        <w:snapToGrid w:val="0"/>
        <w:spacing w:before="120" w:line="336" w:lineRule="auto"/>
        <w:ind w:firstLine="415" w:firstLineChars="198"/>
        <w:rPr>
          <w:rFonts w:hAnsi="宋体"/>
          <w:sz w:val="21"/>
        </w:rPr>
      </w:pPr>
      <w:r>
        <w:rPr>
          <w:rFonts w:hint="eastAsia" w:hAnsi="宋体" w:cs="宋体"/>
          <w:sz w:val="21"/>
          <w:szCs w:val="21"/>
        </w:rPr>
        <w:t>采购人应当自政府采购合同签订之日起2个工作日内，将政府采购合同在省级以上人民政府财政部门指定的媒体上公告，但政府采购合同中涉及国家秘密、商业秘密的内容除外。</w:t>
      </w:r>
    </w:p>
    <w:p>
      <w:pPr>
        <w:snapToGrid w:val="0"/>
        <w:spacing w:before="120" w:line="360" w:lineRule="auto"/>
        <w:ind w:right="-87"/>
        <w:jc w:val="center"/>
        <w:rPr>
          <w:rFonts w:ascii="黑体" w:hAnsi="宋体" w:eastAsia="黑体"/>
          <w:sz w:val="30"/>
        </w:rPr>
      </w:pPr>
    </w:p>
    <w:p>
      <w:pPr>
        <w:snapToGrid w:val="0"/>
        <w:spacing w:before="120" w:line="360" w:lineRule="auto"/>
        <w:ind w:right="-87"/>
        <w:jc w:val="center"/>
        <w:rPr>
          <w:rFonts w:ascii="黑体" w:hAnsi="宋体" w:eastAsia="黑体"/>
          <w:sz w:val="30"/>
        </w:rPr>
      </w:pPr>
      <w:r>
        <w:rPr>
          <w:rFonts w:hint="eastAsia" w:ascii="黑体" w:hAnsi="宋体" w:eastAsia="黑体"/>
          <w:sz w:val="30"/>
        </w:rPr>
        <w:t>第四章  评标办法及评分标准</w:t>
      </w:r>
    </w:p>
    <w:p>
      <w:pPr>
        <w:snapToGrid w:val="0"/>
        <w:spacing w:before="120" w:line="336" w:lineRule="auto"/>
        <w:ind w:right="-87" w:firstLine="103" w:firstLineChars="49"/>
        <w:outlineLvl w:val="0"/>
        <w:rPr>
          <w:rFonts w:hAnsi="宋体"/>
        </w:rPr>
      </w:pPr>
      <w:r>
        <w:rPr>
          <w:rFonts w:hint="eastAsia" w:hAnsi="宋体"/>
          <w:b/>
        </w:rPr>
        <w:t>综合评分法</w:t>
      </w:r>
    </w:p>
    <w:p>
      <w:pPr>
        <w:snapToGrid w:val="0"/>
        <w:spacing w:line="336" w:lineRule="auto"/>
        <w:ind w:right="-87" w:firstLine="1299" w:firstLineChars="539"/>
        <w:rPr>
          <w:rFonts w:ascii="宋体" w:hAnsi="宋体"/>
          <w:b/>
          <w:sz w:val="24"/>
          <w:szCs w:val="24"/>
        </w:rPr>
      </w:pPr>
      <w:r>
        <w:rPr>
          <w:rFonts w:hint="eastAsia" w:ascii="宋体"/>
          <w:b/>
          <w:sz w:val="24"/>
          <w:szCs w:val="24"/>
        </w:rPr>
        <w:t>浙江省岱山县第一人民医院医疗设备维修和保养服务项目</w:t>
      </w:r>
      <w:r>
        <w:rPr>
          <w:rFonts w:hint="eastAsia"/>
          <w:b/>
          <w:sz w:val="24"/>
          <w:szCs w:val="24"/>
        </w:rPr>
        <w:t>评标办法</w:t>
      </w:r>
    </w:p>
    <w:p>
      <w:pPr>
        <w:snapToGrid w:val="0"/>
        <w:spacing w:line="336" w:lineRule="auto"/>
        <w:ind w:right="-87" w:firstLine="420"/>
        <w:rPr>
          <w:rFonts w:ascii="宋体" w:hAnsi="宋体"/>
        </w:rPr>
      </w:pPr>
      <w:r>
        <w:rPr>
          <w:rFonts w:hint="eastAsia" w:ascii="宋体" w:hAnsi="宋体"/>
        </w:rPr>
        <w:t>为公正、公平、科学地选择中标人，根据《中华人民共和国政府采购法》等有关法律法规的规定，并结合本项目的实际，制定本办法。</w:t>
      </w:r>
    </w:p>
    <w:p>
      <w:pPr>
        <w:snapToGrid w:val="0"/>
        <w:spacing w:line="336" w:lineRule="auto"/>
        <w:ind w:right="-87" w:firstLine="420"/>
        <w:rPr>
          <w:rFonts w:ascii="宋体" w:hAnsi="宋体"/>
        </w:rPr>
      </w:pPr>
      <w:r>
        <w:rPr>
          <w:rFonts w:hint="eastAsia" w:ascii="宋体" w:hAnsi="宋体"/>
          <w:szCs w:val="21"/>
        </w:rPr>
        <w:t>本办法适用于</w:t>
      </w:r>
      <w:r>
        <w:rPr>
          <w:rFonts w:hint="eastAsia"/>
          <w:szCs w:val="21"/>
        </w:rPr>
        <w:t>浙江省岱山县第一人民医院医疗设备维修和保养服务项目</w:t>
      </w:r>
      <w:r>
        <w:rPr>
          <w:rFonts w:hint="eastAsia" w:ascii="宋体" w:hAnsi="宋体"/>
          <w:szCs w:val="21"/>
        </w:rPr>
        <w:t>的评标。</w:t>
      </w:r>
    </w:p>
    <w:p>
      <w:pPr>
        <w:snapToGrid w:val="0"/>
        <w:spacing w:line="336" w:lineRule="auto"/>
        <w:ind w:left="756" w:leftChars="114" w:right="-87" w:hanging="517" w:hangingChars="245"/>
        <w:rPr>
          <w:rFonts w:ascii="宋体" w:hAnsi="宋体"/>
        </w:rPr>
      </w:pPr>
      <w:r>
        <w:rPr>
          <w:rFonts w:hint="eastAsia" w:ascii="宋体" w:hAnsi="宋体"/>
          <w:b/>
        </w:rPr>
        <w:t>中标依据：</w:t>
      </w:r>
      <w:r>
        <w:rPr>
          <w:rFonts w:hint="eastAsia" w:ascii="宋体" w:hAnsi="宋体"/>
        </w:rPr>
        <w:t>在不高于</w:t>
      </w:r>
      <w:r>
        <w:rPr>
          <w:rFonts w:hint="eastAsia" w:ascii="宋体" w:hAnsi="宋体"/>
          <w:u w:val="single"/>
        </w:rPr>
        <w:t>最高限价</w:t>
      </w:r>
      <w:r>
        <w:rPr>
          <w:rFonts w:hint="eastAsia" w:ascii="宋体" w:hAnsi="宋体"/>
        </w:rPr>
        <w:t>的前提下，</w:t>
      </w:r>
      <w:r>
        <w:rPr>
          <w:rFonts w:hint="eastAsia" w:ascii="宋体" w:hAnsi="宋体"/>
          <w:u w:val="single"/>
        </w:rPr>
        <w:t>综合评估分</w:t>
      </w:r>
      <w:r>
        <w:rPr>
          <w:rFonts w:hint="eastAsia" w:ascii="宋体" w:hAnsi="宋体"/>
        </w:rPr>
        <w:t xml:space="preserve">最高者为中标候选人。   </w:t>
      </w:r>
    </w:p>
    <w:p>
      <w:pPr>
        <w:snapToGrid w:val="0"/>
        <w:spacing w:line="336" w:lineRule="auto"/>
        <w:ind w:left="756" w:leftChars="114" w:right="-87" w:hanging="517" w:hangingChars="245"/>
        <w:rPr>
          <w:rFonts w:ascii="宋体" w:hAnsi="宋体"/>
          <w:b/>
          <w:u w:val="single"/>
        </w:rPr>
      </w:pPr>
      <w:r>
        <w:rPr>
          <w:rFonts w:hint="eastAsia" w:ascii="宋体" w:hAnsi="宋体"/>
          <w:b/>
          <w:u w:val="single"/>
        </w:rPr>
        <w:t xml:space="preserve">  最高限价：指预算金额。</w:t>
      </w:r>
    </w:p>
    <w:p>
      <w:pPr>
        <w:snapToGrid w:val="0"/>
        <w:spacing w:line="336" w:lineRule="auto"/>
        <w:ind w:right="-87" w:firstLine="517" w:firstLineChars="245"/>
        <w:rPr>
          <w:rFonts w:ascii="宋体" w:hAnsi="宋体"/>
          <w:b/>
        </w:rPr>
      </w:pPr>
      <w:r>
        <w:rPr>
          <w:rFonts w:hint="eastAsia" w:ascii="宋体" w:hAnsi="宋体"/>
          <w:b/>
        </w:rPr>
        <w:t>报价的计分方法：</w:t>
      </w:r>
    </w:p>
    <w:p>
      <w:pPr>
        <w:autoSpaceDE w:val="0"/>
        <w:autoSpaceDN w:val="0"/>
        <w:adjustRightInd w:val="0"/>
        <w:snapToGrid w:val="0"/>
        <w:spacing w:line="336" w:lineRule="auto"/>
        <w:ind w:right="-87" w:firstLine="411" w:firstLineChars="196"/>
        <w:rPr>
          <w:rFonts w:ascii="宋体" w:hAnsi="宋体"/>
          <w:lang w:val="zh-CN"/>
        </w:rPr>
      </w:pPr>
      <w:r>
        <w:rPr>
          <w:rFonts w:hint="eastAsia" w:ascii="宋体" w:hAnsi="宋体"/>
          <w:lang w:val="zh-CN"/>
        </w:rPr>
        <w:t>满足投标文件要求且投标价格最低的投标报价为评标基准价，其价格分为满分，其他投标人的价格分按下列公式计算：</w:t>
      </w:r>
    </w:p>
    <w:p>
      <w:pPr>
        <w:autoSpaceDE w:val="0"/>
        <w:autoSpaceDN w:val="0"/>
        <w:adjustRightInd w:val="0"/>
        <w:snapToGrid w:val="0"/>
        <w:spacing w:line="336" w:lineRule="auto"/>
        <w:ind w:right="-87" w:firstLine="550" w:firstLineChars="262"/>
        <w:rPr>
          <w:rFonts w:ascii="宋体" w:hAnsi="宋体"/>
          <w:lang w:val="zh-CN"/>
        </w:rPr>
      </w:pPr>
      <w:r>
        <w:rPr>
          <w:rFonts w:hint="eastAsia" w:ascii="宋体" w:hAnsi="宋体"/>
          <w:lang w:val="zh-CN"/>
        </w:rPr>
        <w:t>价格得分＝（评标基准价/投标报价）×价格权重×100。</w:t>
      </w:r>
    </w:p>
    <w:tbl>
      <w:tblPr>
        <w:tblStyle w:val="36"/>
        <w:tblW w:w="77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40" w:type="dxa"/>
            <w:tcBorders>
              <w:top w:val="single" w:color="auto" w:sz="4" w:space="0"/>
              <w:left w:val="single" w:color="auto" w:sz="4" w:space="0"/>
              <w:bottom w:val="single" w:color="auto" w:sz="4" w:space="0"/>
              <w:right w:val="single" w:color="auto" w:sz="4" w:space="0"/>
            </w:tcBorders>
            <w:vAlign w:val="center"/>
          </w:tcPr>
          <w:p>
            <w:pPr>
              <w:spacing w:line="336" w:lineRule="auto"/>
              <w:ind w:right="-341"/>
              <w:jc w:val="center"/>
              <w:rPr>
                <w:rFonts w:ascii="宋体" w:hAnsi="宋体"/>
              </w:rPr>
            </w:pPr>
            <w:r>
              <w:rPr>
                <w:rFonts w:hint="eastAsia" w:ascii="宋体" w:hAnsi="宋体"/>
                <w:lang w:val="zh-CN"/>
              </w:rPr>
              <w:t>评价指标和各评价权重指标：</w:t>
            </w:r>
            <w:r>
              <w:rPr>
                <w:rFonts w:hint="eastAsia" w:ascii="宋体" w:hAnsi="宋体"/>
              </w:rPr>
              <w:t>评标指标</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36" w:lineRule="auto"/>
              <w:ind w:right="-341"/>
              <w:jc w:val="center"/>
              <w:rPr>
                <w:rFonts w:ascii="宋体" w:hAnsi="宋体"/>
              </w:rPr>
            </w:pPr>
            <w:r>
              <w:rPr>
                <w:rFonts w:hint="eastAsia" w:ascii="宋体" w:hAnsi="宋体"/>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5040" w:type="dxa"/>
            <w:tcBorders>
              <w:top w:val="single" w:color="auto" w:sz="4" w:space="0"/>
              <w:left w:val="single" w:color="auto" w:sz="4" w:space="0"/>
              <w:right w:val="single" w:color="auto" w:sz="4" w:space="0"/>
            </w:tcBorders>
            <w:vAlign w:val="center"/>
          </w:tcPr>
          <w:p>
            <w:pPr>
              <w:spacing w:line="336" w:lineRule="auto"/>
              <w:ind w:right="-341"/>
              <w:jc w:val="center"/>
              <w:rPr>
                <w:rFonts w:ascii="宋体" w:hAnsi="宋体"/>
              </w:rPr>
            </w:pPr>
            <w:r>
              <w:rPr>
                <w:rFonts w:hint="eastAsia" w:ascii="宋体" w:hAnsi="宋体"/>
              </w:rPr>
              <w:t>商务、技术部分</w:t>
            </w:r>
          </w:p>
        </w:tc>
        <w:tc>
          <w:tcPr>
            <w:tcW w:w="2700" w:type="dxa"/>
            <w:tcBorders>
              <w:top w:val="single" w:color="auto" w:sz="4" w:space="0"/>
              <w:left w:val="single" w:color="auto" w:sz="4" w:space="0"/>
              <w:right w:val="single" w:color="auto" w:sz="4" w:space="0"/>
            </w:tcBorders>
            <w:vAlign w:val="center"/>
          </w:tcPr>
          <w:p>
            <w:pPr>
              <w:spacing w:line="336" w:lineRule="auto"/>
              <w:ind w:right="-341"/>
              <w:jc w:val="center"/>
              <w:rPr>
                <w:rFonts w:ascii="宋体" w:hAnsi="宋体"/>
              </w:rPr>
            </w:pPr>
            <w:r>
              <w:rPr>
                <w:rFonts w:ascii="宋体" w:hAnsi="宋体"/>
              </w:rPr>
              <w:t>9</w:t>
            </w:r>
            <w:r>
              <w:rPr>
                <w:rFonts w:hint="eastAsia" w:ascii="宋体" w:hAnsi="宋体"/>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040" w:type="dxa"/>
            <w:tcBorders>
              <w:top w:val="single" w:color="auto" w:sz="4" w:space="0"/>
              <w:left w:val="single" w:color="auto" w:sz="4" w:space="0"/>
              <w:bottom w:val="single" w:color="auto" w:sz="4" w:space="0"/>
              <w:right w:val="single" w:color="auto" w:sz="4" w:space="0"/>
            </w:tcBorders>
            <w:vAlign w:val="center"/>
          </w:tcPr>
          <w:p>
            <w:pPr>
              <w:spacing w:line="336" w:lineRule="auto"/>
              <w:ind w:right="-341"/>
              <w:jc w:val="center"/>
              <w:rPr>
                <w:rFonts w:ascii="宋体" w:hAnsi="宋体"/>
              </w:rPr>
            </w:pPr>
            <w:r>
              <w:rPr>
                <w:rFonts w:hint="eastAsia" w:ascii="宋体" w:hAnsi="宋体"/>
              </w:rPr>
              <w:t>投标报价</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36" w:lineRule="auto"/>
              <w:ind w:right="-341"/>
              <w:jc w:val="center"/>
              <w:rPr>
                <w:rFonts w:ascii="宋体" w:hAnsi="宋体"/>
              </w:rPr>
            </w:pPr>
            <w:r>
              <w:rPr>
                <w:rFonts w:ascii="宋体" w:hAnsi="宋体"/>
              </w:rPr>
              <w:t>1</w:t>
            </w:r>
            <w:r>
              <w:rPr>
                <w:rFonts w:hint="eastAsia" w:ascii="宋体" w:hAnsi="宋体"/>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5040" w:type="dxa"/>
            <w:tcBorders>
              <w:top w:val="single" w:color="auto" w:sz="4" w:space="0"/>
              <w:left w:val="single" w:color="auto" w:sz="4" w:space="0"/>
              <w:bottom w:val="single" w:color="auto" w:sz="4" w:space="0"/>
              <w:right w:val="single" w:color="auto" w:sz="4" w:space="0"/>
            </w:tcBorders>
            <w:vAlign w:val="center"/>
          </w:tcPr>
          <w:p>
            <w:pPr>
              <w:spacing w:line="336" w:lineRule="auto"/>
              <w:ind w:right="-341"/>
              <w:jc w:val="center"/>
              <w:rPr>
                <w:rFonts w:ascii="宋体" w:hAnsi="宋体"/>
              </w:rPr>
            </w:pPr>
            <w:r>
              <w:rPr>
                <w:rFonts w:hint="eastAsia" w:ascii="宋体" w:hAnsi="宋体"/>
              </w:rPr>
              <w:t>合计</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36" w:lineRule="auto"/>
              <w:ind w:right="-341"/>
              <w:jc w:val="center"/>
              <w:rPr>
                <w:rFonts w:ascii="宋体" w:hAnsi="宋体"/>
              </w:rPr>
            </w:pPr>
            <w:r>
              <w:rPr>
                <w:rFonts w:hint="eastAsia" w:ascii="宋体" w:hAnsi="宋体"/>
              </w:rPr>
              <w:t>100</w:t>
            </w:r>
          </w:p>
        </w:tc>
      </w:tr>
    </w:tbl>
    <w:p>
      <w:pPr>
        <w:autoSpaceDE w:val="0"/>
        <w:autoSpaceDN w:val="0"/>
        <w:adjustRightInd w:val="0"/>
        <w:spacing w:line="336" w:lineRule="auto"/>
        <w:ind w:right="-341" w:firstLine="424" w:firstLineChars="202"/>
        <w:rPr>
          <w:rFonts w:ascii="宋体" w:hAnsi="宋体"/>
        </w:rPr>
      </w:pPr>
      <w:r>
        <w:rPr>
          <w:rFonts w:hint="eastAsia" w:ascii="宋体" w:hAnsi="宋体"/>
        </w:rPr>
        <w:t>综合评估分=商务技术得分＋价格得分(评分过程中采用四舍五入法，并保留小数2位)</w:t>
      </w:r>
    </w:p>
    <w:p>
      <w:pPr>
        <w:autoSpaceDE w:val="0"/>
        <w:autoSpaceDN w:val="0"/>
        <w:adjustRightInd w:val="0"/>
        <w:spacing w:line="336" w:lineRule="auto"/>
        <w:ind w:right="-341" w:firstLine="424" w:firstLineChars="202"/>
        <w:rPr>
          <w:rFonts w:ascii="宋体" w:hAnsi="宋体"/>
        </w:rPr>
      </w:pPr>
      <w:r>
        <w:rPr>
          <w:rFonts w:hint="eastAsia" w:ascii="宋体" w:hAnsi="宋体"/>
        </w:rPr>
        <w:t>将综合评估分从高到低排序，得出参投标人名次。得分相同时，按投标报价由低到高顺序排列，得分且投标报价相同的，按技术指标优劣顺序排列</w:t>
      </w:r>
    </w:p>
    <w:p>
      <w:pPr>
        <w:tabs>
          <w:tab w:val="left" w:pos="1620"/>
        </w:tabs>
        <w:spacing w:line="336" w:lineRule="auto"/>
        <w:ind w:left="1111" w:leftChars="228" w:right="-341" w:hanging="632" w:hangingChars="300"/>
        <w:rPr>
          <w:rFonts w:ascii="宋体" w:hAnsi="宋体"/>
          <w:b/>
        </w:rPr>
      </w:pPr>
      <w:r>
        <w:rPr>
          <w:rFonts w:hint="eastAsia" w:ascii="宋体" w:hAnsi="宋体"/>
          <w:b/>
        </w:rPr>
        <w:t xml:space="preserve"> 候选中标商的选取</w:t>
      </w:r>
    </w:p>
    <w:p>
      <w:pPr>
        <w:spacing w:line="336" w:lineRule="auto"/>
        <w:ind w:right="-341" w:firstLine="525" w:firstLineChars="250"/>
        <w:rPr>
          <w:rFonts w:ascii="宋体" w:hAnsi="宋体"/>
          <w:b/>
          <w:sz w:val="28"/>
          <w:szCs w:val="28"/>
          <w:lang w:val="zh-CN"/>
        </w:rPr>
      </w:pPr>
      <w:r>
        <w:rPr>
          <w:rFonts w:hint="eastAsia" w:ascii="宋体" w:hAnsi="宋体"/>
        </w:rPr>
        <w:t>按照综合评估分名次推荐候选中标人1名。</w:t>
      </w:r>
    </w:p>
    <w:p>
      <w:pPr>
        <w:autoSpaceDE w:val="0"/>
        <w:autoSpaceDN w:val="0"/>
        <w:adjustRightInd w:val="0"/>
        <w:ind w:right="-341"/>
        <w:rPr>
          <w:rFonts w:ascii="宋体" w:hAnsi="宋体"/>
          <w:b/>
          <w:sz w:val="28"/>
          <w:szCs w:val="28"/>
          <w:lang w:val="zh-CN"/>
        </w:rPr>
        <w:sectPr>
          <w:pgSz w:w="11906" w:h="16838"/>
          <w:pgMar w:top="1304" w:right="1106" w:bottom="1304" w:left="1531" w:header="1304" w:footer="1304" w:gutter="0"/>
          <w:cols w:space="720" w:num="1"/>
        </w:sectPr>
      </w:pPr>
    </w:p>
    <w:p>
      <w:pPr>
        <w:spacing w:line="288" w:lineRule="auto"/>
        <w:ind w:right="-341"/>
        <w:jc w:val="center"/>
        <w:rPr>
          <w:rFonts w:ascii="宋体" w:hAnsi="宋体"/>
          <w:b/>
          <w:spacing w:val="-8"/>
          <w:sz w:val="24"/>
          <w:szCs w:val="24"/>
          <w:lang w:val="zh-CN"/>
        </w:rPr>
      </w:pPr>
      <w:r>
        <w:rPr>
          <w:rFonts w:hint="eastAsia" w:ascii="宋体" w:hAnsi="宋体"/>
          <w:b/>
          <w:spacing w:val="-8"/>
          <w:sz w:val="24"/>
          <w:szCs w:val="24"/>
        </w:rPr>
        <w:t>浙江省岱山县第一人民医院医疗设备维修和保养服务项目评分表</w:t>
      </w:r>
    </w:p>
    <w:p>
      <w:pPr>
        <w:spacing w:line="288" w:lineRule="auto"/>
        <w:ind w:right="-341"/>
        <w:jc w:val="left"/>
        <w:rPr>
          <w:rFonts w:ascii="宋体" w:hAnsi="宋体"/>
          <w:szCs w:val="21"/>
        </w:rPr>
      </w:pPr>
    </w:p>
    <w:p>
      <w:pPr>
        <w:spacing w:line="288" w:lineRule="auto"/>
        <w:ind w:right="-341"/>
        <w:jc w:val="left"/>
        <w:rPr>
          <w:rFonts w:asciiTheme="minorEastAsia" w:hAnsiTheme="minorEastAsia" w:eastAsiaTheme="minorEastAsia"/>
          <w:b/>
          <w:szCs w:val="21"/>
        </w:rPr>
      </w:pPr>
      <w:r>
        <w:rPr>
          <w:rFonts w:hint="eastAsia" w:ascii="宋体"/>
          <w:b/>
          <w:szCs w:val="21"/>
        </w:rPr>
        <w:t>项</w:t>
      </w:r>
      <w:r>
        <w:rPr>
          <w:rFonts w:hint="eastAsia" w:asciiTheme="minorEastAsia" w:hAnsiTheme="minorEastAsia" w:eastAsiaTheme="minorEastAsia"/>
          <w:b/>
          <w:szCs w:val="21"/>
        </w:rPr>
        <w:t>目名称：浙江省岱山县第一人民医院医疗设备维修和保养服务项目</w:t>
      </w:r>
    </w:p>
    <w:p>
      <w:pPr>
        <w:spacing w:line="360" w:lineRule="auto"/>
        <w:ind w:right="-341"/>
        <w:jc w:val="left"/>
        <w:rPr>
          <w:rFonts w:ascii="宋体"/>
          <w:b/>
          <w:szCs w:val="21"/>
        </w:rPr>
      </w:pPr>
      <w:r>
        <w:rPr>
          <w:rFonts w:hint="eastAsia" w:asciiTheme="minorEastAsia" w:hAnsiTheme="minorEastAsia" w:eastAsiaTheme="minorEastAsia"/>
          <w:b/>
          <w:szCs w:val="21"/>
        </w:rPr>
        <w:t>招标编号：SZGXZS2021098</w:t>
      </w:r>
      <w:r>
        <w:rPr>
          <w:rFonts w:ascii="宋体"/>
          <w:b/>
          <w:szCs w:val="21"/>
        </w:rPr>
        <w:t xml:space="preserve"> </w:t>
      </w:r>
      <w:r>
        <w:rPr>
          <w:rFonts w:hint="eastAsia" w:ascii="宋体"/>
          <w:b/>
          <w:szCs w:val="21"/>
        </w:rPr>
        <w:t xml:space="preserve"> </w:t>
      </w:r>
    </w:p>
    <w:tbl>
      <w:tblPr>
        <w:tblStyle w:val="36"/>
        <w:tblW w:w="9215" w:type="dxa"/>
        <w:tblInd w:w="-176" w:type="dxa"/>
        <w:tblLayout w:type="autofit"/>
        <w:tblCellMar>
          <w:top w:w="0" w:type="dxa"/>
          <w:left w:w="108" w:type="dxa"/>
          <w:bottom w:w="0" w:type="dxa"/>
          <w:right w:w="108" w:type="dxa"/>
        </w:tblCellMar>
      </w:tblPr>
      <w:tblGrid>
        <w:gridCol w:w="994"/>
        <w:gridCol w:w="1080"/>
        <w:gridCol w:w="6432"/>
        <w:gridCol w:w="709"/>
      </w:tblGrid>
      <w:tr>
        <w:tblPrEx>
          <w:tblCellMar>
            <w:top w:w="0" w:type="dxa"/>
            <w:left w:w="108" w:type="dxa"/>
            <w:bottom w:w="0" w:type="dxa"/>
            <w:right w:w="108" w:type="dxa"/>
          </w:tblCellMar>
        </w:tblPrEx>
        <w:trPr>
          <w:trHeight w:val="300" w:hRule="atLeast"/>
        </w:trPr>
        <w:tc>
          <w:tcPr>
            <w:tcW w:w="99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b/>
                <w:bCs/>
                <w:kern w:val="0"/>
                <w:szCs w:val="21"/>
              </w:rPr>
            </w:pPr>
            <w:r>
              <w:rPr>
                <w:rFonts w:hint="eastAsia" w:ascii="宋体" w:hAnsi="宋体" w:cs="宋体"/>
                <w:b/>
                <w:bCs/>
                <w:kern w:val="0"/>
                <w:szCs w:val="21"/>
              </w:rPr>
              <w:t>类别</w:t>
            </w:r>
          </w:p>
        </w:tc>
        <w:tc>
          <w:tcPr>
            <w:tcW w:w="1080"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评审内容</w:t>
            </w:r>
          </w:p>
        </w:tc>
        <w:tc>
          <w:tcPr>
            <w:tcW w:w="6432"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cs="宋体"/>
                <w:b/>
                <w:bCs/>
                <w:kern w:val="0"/>
                <w:szCs w:val="21"/>
              </w:rPr>
            </w:pPr>
            <w:r>
              <w:rPr>
                <w:rFonts w:hint="eastAsia" w:ascii="宋体" w:hAnsi="宋体" w:cs="宋体"/>
                <w:b/>
                <w:bCs/>
                <w:kern w:val="0"/>
                <w:szCs w:val="21"/>
              </w:rPr>
              <w:t>评分标准</w:t>
            </w:r>
          </w:p>
        </w:tc>
        <w:tc>
          <w:tcPr>
            <w:tcW w:w="709"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cs="宋体"/>
                <w:b/>
                <w:bCs/>
                <w:kern w:val="0"/>
                <w:szCs w:val="21"/>
              </w:rPr>
            </w:pPr>
            <w:r>
              <w:rPr>
                <w:rFonts w:hint="eastAsia" w:ascii="宋体" w:hAnsi="宋体" w:cs="宋体"/>
                <w:b/>
                <w:bCs/>
                <w:kern w:val="0"/>
                <w:szCs w:val="21"/>
              </w:rPr>
              <w:t>得分</w:t>
            </w:r>
          </w:p>
        </w:tc>
      </w:tr>
      <w:tr>
        <w:tblPrEx>
          <w:tblCellMar>
            <w:top w:w="0" w:type="dxa"/>
            <w:left w:w="108" w:type="dxa"/>
            <w:bottom w:w="0" w:type="dxa"/>
            <w:right w:w="108" w:type="dxa"/>
          </w:tblCellMar>
        </w:tblPrEx>
        <w:trPr>
          <w:trHeight w:val="780" w:hRule="atLeast"/>
        </w:trPr>
        <w:tc>
          <w:tcPr>
            <w:tcW w:w="994" w:type="dxa"/>
            <w:vMerge w:val="restart"/>
            <w:tcBorders>
              <w:top w:val="nil"/>
              <w:left w:val="single" w:color="auto" w:sz="8" w:space="0"/>
              <w:right w:val="single" w:color="auto" w:sz="8" w:space="0"/>
            </w:tcBorders>
            <w:shd w:val="clear" w:color="auto" w:fill="auto"/>
            <w:vAlign w:val="center"/>
          </w:tcPr>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商务技术得分</w:t>
            </w:r>
          </w:p>
          <w:p>
            <w:pPr>
              <w:pStyle w:val="2"/>
            </w:pPr>
            <w:r>
              <w:rPr>
                <w:rFonts w:hint="eastAsia" w:asciiTheme="minorEastAsia" w:hAnsiTheme="minorEastAsia" w:eastAsiaTheme="minorEastAsia"/>
                <w:sz w:val="21"/>
                <w:szCs w:val="21"/>
              </w:rPr>
              <w:t>（90分）</w:t>
            </w:r>
          </w:p>
        </w:tc>
        <w:tc>
          <w:tcPr>
            <w:tcW w:w="1080" w:type="dxa"/>
            <w:tcBorders>
              <w:top w:val="nil"/>
              <w:left w:val="single" w:color="auto" w:sz="8" w:space="0"/>
              <w:bottom w:val="single" w:color="auto" w:sz="4" w:space="0"/>
              <w:right w:val="single" w:color="auto" w:sz="8"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投标人业绩（5分）</w:t>
            </w:r>
          </w:p>
        </w:tc>
        <w:tc>
          <w:tcPr>
            <w:tcW w:w="6432" w:type="dxa"/>
            <w:tcBorders>
              <w:top w:val="nil"/>
              <w:left w:val="nil"/>
              <w:bottom w:val="single" w:color="auto" w:sz="4" w:space="0"/>
              <w:right w:val="single" w:color="auto" w:sz="8" w:space="0"/>
            </w:tcBorders>
            <w:shd w:val="clear" w:color="auto" w:fill="auto"/>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2018年1月1日（含）至今（以合同签订日期为准）同类项目业绩，每提供1个得1分，最多得5分。（提供合同复印件加盖公章。）</w:t>
            </w:r>
          </w:p>
        </w:tc>
        <w:tc>
          <w:tcPr>
            <w:tcW w:w="709" w:type="dxa"/>
            <w:tcBorders>
              <w:top w:val="nil"/>
              <w:left w:val="nil"/>
              <w:bottom w:val="single" w:color="auto" w:sz="8" w:space="0"/>
              <w:right w:val="single" w:color="auto" w:sz="8" w:space="0"/>
            </w:tcBorders>
            <w:shd w:val="clear" w:color="auto" w:fill="auto"/>
            <w:noWrap/>
            <w:vAlign w:val="center"/>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1545" w:hRule="atLeast"/>
        </w:trPr>
        <w:tc>
          <w:tcPr>
            <w:tcW w:w="994" w:type="dxa"/>
            <w:vMerge w:val="continue"/>
            <w:tcBorders>
              <w:left w:val="single" w:color="auto" w:sz="8" w:space="0"/>
              <w:right w:val="single" w:color="auto" w:sz="8" w:space="0"/>
            </w:tcBorders>
            <w:vAlign w:val="center"/>
          </w:tcPr>
          <w:p>
            <w:pPr>
              <w:jc w:val="center"/>
              <w:rPr>
                <w:rFonts w:cs="宋体" w:asciiTheme="minorEastAsia" w:hAnsiTheme="minorEastAsia" w:eastAsiaTheme="minorEastAsia"/>
                <w:kern w:val="0"/>
                <w:szCs w:val="21"/>
              </w:rPr>
            </w:pPr>
          </w:p>
        </w:tc>
        <w:tc>
          <w:tcPr>
            <w:tcW w:w="1080" w:type="dxa"/>
            <w:tcBorders>
              <w:top w:val="single" w:color="auto" w:sz="4" w:space="0"/>
              <w:left w:val="single" w:color="auto" w:sz="8" w:space="0"/>
              <w:bottom w:val="single" w:color="auto" w:sz="8" w:space="0"/>
              <w:right w:val="single" w:color="auto" w:sz="8" w:space="0"/>
            </w:tcBorders>
            <w:vAlign w:val="center"/>
          </w:tcPr>
          <w:p>
            <w:pPr>
              <w:spacing w:before="100" w:beforeAutospacing="1" w:after="100" w:afterAutospacing="1"/>
              <w:ind w:right="-63" w:rightChars="-30"/>
              <w:contextualSpacing/>
              <w:jc w:val="center"/>
              <w:rPr>
                <w:rFonts w:asciiTheme="minorEastAsia" w:hAnsiTheme="minorEastAsia" w:eastAsiaTheme="minorEastAsia"/>
                <w:szCs w:val="21"/>
              </w:rPr>
            </w:pPr>
            <w:r>
              <w:rPr>
                <w:rFonts w:hint="eastAsia" w:asciiTheme="minorEastAsia" w:hAnsiTheme="minorEastAsia" w:eastAsiaTheme="minorEastAsia"/>
                <w:szCs w:val="21"/>
              </w:rPr>
              <w:t>风险保障</w:t>
            </w:r>
          </w:p>
          <w:p>
            <w:pPr>
              <w:pStyle w:val="2"/>
            </w:pPr>
            <w:r>
              <w:rPr>
                <w:rFonts w:hint="eastAsia"/>
                <w:sz w:val="21"/>
                <w:szCs w:val="21"/>
              </w:rPr>
              <w:t>（2分）</w:t>
            </w:r>
          </w:p>
        </w:tc>
        <w:tc>
          <w:tcPr>
            <w:tcW w:w="6432" w:type="dxa"/>
            <w:tcBorders>
              <w:top w:val="single" w:color="auto" w:sz="4" w:space="0"/>
              <w:left w:val="nil"/>
              <w:bottom w:val="single" w:color="auto" w:sz="8" w:space="0"/>
              <w:right w:val="single" w:color="auto" w:sz="8" w:space="0"/>
            </w:tcBorders>
            <w:shd w:val="clear" w:color="auto" w:fill="auto"/>
            <w:vAlign w:val="center"/>
          </w:tcPr>
          <w:p>
            <w:pPr>
              <w:spacing w:before="100" w:beforeAutospacing="1" w:after="100" w:afterAutospacing="1" w:line="276" w:lineRule="auto"/>
              <w:contextualSpacing/>
              <w:rPr>
                <w:rFonts w:hAnsi="仿宋"/>
                <w:szCs w:val="21"/>
              </w:rPr>
            </w:pPr>
            <w:r>
              <w:rPr>
                <w:rFonts w:hint="eastAsia" w:hAnsi="仿宋"/>
                <w:szCs w:val="21"/>
              </w:rPr>
              <w:t>1、投标人在服务期间，为医院购买500万元的公众责任保单或100万质押金,作为由于维修过程中发生意外事故，造成第三者人身伤亡或财产损失的保障。得2分。</w:t>
            </w:r>
          </w:p>
          <w:p>
            <w:pPr>
              <w:spacing w:before="100" w:beforeAutospacing="1" w:after="100" w:afterAutospacing="1" w:line="276" w:lineRule="auto"/>
              <w:contextualSpacing/>
              <w:rPr>
                <w:rFonts w:hAnsi="仿宋"/>
                <w:szCs w:val="21"/>
              </w:rPr>
            </w:pPr>
            <w:r>
              <w:rPr>
                <w:rFonts w:hint="eastAsia" w:hAnsi="仿宋"/>
                <w:szCs w:val="21"/>
              </w:rPr>
              <w:t>（提供购买保险承诺函或提供质押金承诺函，加盖投标人公章；）</w:t>
            </w:r>
          </w:p>
        </w:tc>
        <w:tc>
          <w:tcPr>
            <w:tcW w:w="709" w:type="dxa"/>
            <w:tcBorders>
              <w:top w:val="nil"/>
              <w:left w:val="nil"/>
              <w:bottom w:val="single" w:color="auto" w:sz="8" w:space="0"/>
              <w:right w:val="single" w:color="auto" w:sz="8" w:space="0"/>
            </w:tcBorders>
            <w:shd w:val="clear" w:color="auto" w:fill="auto"/>
            <w:noWrap/>
            <w:vAlign w:val="center"/>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1800" w:hRule="atLeast"/>
        </w:trPr>
        <w:tc>
          <w:tcPr>
            <w:tcW w:w="994" w:type="dxa"/>
            <w:vMerge w:val="continue"/>
            <w:tcBorders>
              <w:left w:val="single" w:color="auto" w:sz="8" w:space="0"/>
              <w:right w:val="single" w:color="auto" w:sz="8" w:space="0"/>
            </w:tcBorders>
            <w:vAlign w:val="center"/>
          </w:tcPr>
          <w:p>
            <w:pPr>
              <w:jc w:val="center"/>
              <w:rPr>
                <w:rFonts w:cs="宋体" w:asciiTheme="minorEastAsia" w:hAnsiTheme="minorEastAsia" w:eastAsiaTheme="minorEastAsia"/>
                <w:kern w:val="0"/>
                <w:szCs w:val="21"/>
              </w:rPr>
            </w:pPr>
          </w:p>
        </w:tc>
        <w:tc>
          <w:tcPr>
            <w:tcW w:w="1080" w:type="dxa"/>
            <w:tcBorders>
              <w:top w:val="nil"/>
              <w:left w:val="single" w:color="auto" w:sz="8" w:space="0"/>
              <w:bottom w:val="single" w:color="auto" w:sz="4" w:space="0"/>
              <w:right w:val="single" w:color="auto" w:sz="8" w:space="0"/>
            </w:tcBorders>
            <w:shd w:val="clear" w:color="auto" w:fill="auto"/>
            <w:vAlign w:val="center"/>
          </w:tcPr>
          <w:p>
            <w:pPr>
              <w:spacing w:before="100" w:beforeAutospacing="1" w:after="100" w:afterAutospacing="1"/>
              <w:ind w:right="-63" w:rightChars="-30"/>
              <w:contextualSpacing/>
              <w:jc w:val="center"/>
              <w:rPr>
                <w:rFonts w:asciiTheme="minorEastAsia" w:hAnsiTheme="minorEastAsia" w:eastAsiaTheme="minorEastAsia"/>
                <w:szCs w:val="21"/>
              </w:rPr>
            </w:pPr>
            <w:r>
              <w:rPr>
                <w:rFonts w:hint="eastAsia" w:asciiTheme="minorEastAsia" w:hAnsiTheme="minorEastAsia" w:eastAsiaTheme="minorEastAsia"/>
                <w:szCs w:val="21"/>
              </w:rPr>
              <w:t>服务团队</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（6分）</w:t>
            </w:r>
          </w:p>
        </w:tc>
        <w:tc>
          <w:tcPr>
            <w:tcW w:w="6432" w:type="dxa"/>
            <w:tcBorders>
              <w:top w:val="nil"/>
              <w:left w:val="nil"/>
              <w:bottom w:val="single" w:color="auto" w:sz="4" w:space="0"/>
              <w:right w:val="single" w:color="auto" w:sz="8" w:space="0"/>
            </w:tcBorders>
            <w:shd w:val="clear" w:color="auto" w:fill="auto"/>
            <w:vAlign w:val="center"/>
          </w:tcPr>
          <w:p>
            <w:pPr>
              <w:autoSpaceDE w:val="0"/>
              <w:autoSpaceDN w:val="0"/>
              <w:spacing w:before="100" w:beforeAutospacing="1" w:after="100" w:afterAutospacing="1" w:line="276" w:lineRule="auto"/>
              <w:contextualSpacing/>
              <w:rPr>
                <w:rFonts w:hAnsi="仿宋"/>
                <w:bCs/>
                <w:szCs w:val="21"/>
              </w:rPr>
            </w:pPr>
            <w:r>
              <w:rPr>
                <w:rFonts w:hint="eastAsia" w:hAnsi="仿宋"/>
                <w:bCs/>
                <w:szCs w:val="21"/>
              </w:rPr>
              <w:t>1、</w:t>
            </w:r>
            <w:r>
              <w:rPr>
                <w:rFonts w:hAnsi="仿宋"/>
                <w:bCs/>
                <w:szCs w:val="21"/>
              </w:rPr>
              <w:t>投标人</w:t>
            </w:r>
            <w:r>
              <w:rPr>
                <w:rFonts w:hint="eastAsia" w:hAnsi="仿宋"/>
                <w:bCs/>
                <w:szCs w:val="21"/>
              </w:rPr>
              <w:t>具备疫情防控服务能力，在职工程师中具有疫情防控消毒技术员，能协助医院疫情防控工作，每提供一个疫情防控消毒技术员证书得1分，最高得2分。</w:t>
            </w:r>
          </w:p>
          <w:p>
            <w:pPr>
              <w:autoSpaceDE w:val="0"/>
              <w:autoSpaceDN w:val="0"/>
              <w:spacing w:before="100" w:beforeAutospacing="1" w:after="100" w:afterAutospacing="1" w:line="276" w:lineRule="auto"/>
              <w:contextualSpacing/>
              <w:rPr>
                <w:rFonts w:hAnsi="仿宋"/>
                <w:bCs/>
                <w:szCs w:val="21"/>
              </w:rPr>
            </w:pPr>
            <w:r>
              <w:rPr>
                <w:rFonts w:hint="eastAsia" w:hAnsi="仿宋"/>
                <w:bCs/>
                <w:szCs w:val="21"/>
              </w:rPr>
              <w:t>2、投标人拟派现场工程师中具有医用电子仪器修理工高级证书，每提供一个得2分，最高</w:t>
            </w:r>
            <w:r>
              <w:rPr>
                <w:rFonts w:hAnsi="仿宋"/>
                <w:bCs/>
                <w:szCs w:val="21"/>
              </w:rPr>
              <w:t>得</w:t>
            </w:r>
            <w:r>
              <w:rPr>
                <w:rFonts w:hint="eastAsia" w:hAnsi="仿宋"/>
                <w:bCs/>
                <w:szCs w:val="21"/>
              </w:rPr>
              <w:t>2分。</w:t>
            </w:r>
          </w:p>
          <w:p>
            <w:pPr>
              <w:autoSpaceDE w:val="0"/>
              <w:autoSpaceDN w:val="0"/>
              <w:spacing w:before="100" w:beforeAutospacing="1" w:after="100" w:afterAutospacing="1" w:line="276" w:lineRule="auto"/>
              <w:contextualSpacing/>
              <w:rPr>
                <w:rFonts w:hAnsi="仿宋"/>
                <w:bCs/>
                <w:szCs w:val="21"/>
              </w:rPr>
            </w:pPr>
            <w:r>
              <w:rPr>
                <w:rFonts w:hint="eastAsia" w:hAnsi="仿宋"/>
                <w:bCs/>
                <w:szCs w:val="21"/>
              </w:rPr>
              <w:t>3、投标人拟派的现场工程师中具备特种设备作业人员证R3氧舱维护保养证书，每提供一个得2分，最高得2分。</w:t>
            </w:r>
          </w:p>
          <w:p>
            <w:pPr>
              <w:spacing w:before="100" w:beforeAutospacing="1" w:after="100" w:afterAutospacing="1" w:line="276" w:lineRule="auto"/>
              <w:contextualSpacing/>
              <w:rPr>
                <w:rFonts w:hAnsi="仿宋"/>
                <w:bCs/>
                <w:szCs w:val="21"/>
              </w:rPr>
            </w:pPr>
            <w:r>
              <w:rPr>
                <w:rFonts w:hint="eastAsia" w:hAnsi="仿宋"/>
                <w:b/>
                <w:bCs/>
                <w:szCs w:val="21"/>
              </w:rPr>
              <w:t>（</w:t>
            </w:r>
            <w:r>
              <w:rPr>
                <w:rFonts w:hAnsi="仿宋"/>
                <w:bCs/>
                <w:szCs w:val="21"/>
              </w:rPr>
              <w:t>提供</w:t>
            </w:r>
            <w:r>
              <w:rPr>
                <w:rFonts w:hint="eastAsia" w:hAnsi="仿宋"/>
                <w:bCs/>
                <w:szCs w:val="21"/>
              </w:rPr>
              <w:t>人员</w:t>
            </w:r>
            <w:r>
              <w:rPr>
                <w:rFonts w:hAnsi="仿宋"/>
                <w:bCs/>
                <w:szCs w:val="21"/>
              </w:rPr>
              <w:t>证书</w:t>
            </w:r>
            <w:r>
              <w:rPr>
                <w:rFonts w:hint="eastAsia" w:hAnsi="仿宋"/>
                <w:bCs/>
                <w:szCs w:val="21"/>
              </w:rPr>
              <w:t>复印件</w:t>
            </w:r>
            <w:r>
              <w:rPr>
                <w:rFonts w:hAnsi="仿宋"/>
                <w:bCs/>
                <w:szCs w:val="21"/>
              </w:rPr>
              <w:t>、开标前六个月</w:t>
            </w:r>
            <w:r>
              <w:rPr>
                <w:rFonts w:hint="eastAsia" w:hAnsi="仿宋"/>
                <w:bCs/>
                <w:szCs w:val="21"/>
              </w:rPr>
              <w:t>内任意一个月</w:t>
            </w:r>
            <w:r>
              <w:rPr>
                <w:rFonts w:hAnsi="仿宋"/>
                <w:bCs/>
                <w:szCs w:val="21"/>
              </w:rPr>
              <w:t>缴纳社保证明</w:t>
            </w:r>
            <w:r>
              <w:rPr>
                <w:rFonts w:hint="eastAsia" w:hAnsi="仿宋"/>
                <w:bCs/>
                <w:szCs w:val="21"/>
              </w:rPr>
              <w:t>，复印件加盖公章</w:t>
            </w:r>
          </w:p>
        </w:tc>
        <w:tc>
          <w:tcPr>
            <w:tcW w:w="709" w:type="dxa"/>
            <w:tcBorders>
              <w:top w:val="nil"/>
              <w:left w:val="nil"/>
              <w:bottom w:val="single" w:color="auto" w:sz="8" w:space="0"/>
              <w:right w:val="single" w:color="auto" w:sz="8" w:space="0"/>
            </w:tcBorders>
            <w:shd w:val="clear" w:color="auto" w:fill="auto"/>
            <w:noWrap/>
            <w:vAlign w:val="center"/>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1810" w:hRule="atLeast"/>
        </w:trPr>
        <w:tc>
          <w:tcPr>
            <w:tcW w:w="994" w:type="dxa"/>
            <w:vMerge w:val="continue"/>
            <w:tcBorders>
              <w:left w:val="single" w:color="auto" w:sz="8" w:space="0"/>
              <w:right w:val="single" w:color="auto" w:sz="8" w:space="0"/>
            </w:tcBorders>
            <w:vAlign w:val="center"/>
          </w:tcPr>
          <w:p>
            <w:pPr>
              <w:jc w:val="center"/>
              <w:rPr>
                <w:rFonts w:cs="宋体" w:asciiTheme="minorEastAsia" w:hAnsiTheme="minorEastAsia" w:eastAsiaTheme="minorEastAsia"/>
                <w:kern w:val="0"/>
                <w:szCs w:val="21"/>
              </w:rPr>
            </w:pPr>
          </w:p>
        </w:tc>
        <w:tc>
          <w:tcPr>
            <w:tcW w:w="1080" w:type="dxa"/>
            <w:tcBorders>
              <w:top w:val="single" w:color="auto" w:sz="4" w:space="0"/>
              <w:left w:val="single" w:color="auto" w:sz="8" w:space="0"/>
              <w:bottom w:val="single" w:color="auto" w:sz="8" w:space="0"/>
              <w:right w:val="single" w:color="auto" w:sz="4" w:space="0"/>
            </w:tcBorders>
            <w:vAlign w:val="center"/>
          </w:tcPr>
          <w:p>
            <w:pPr>
              <w:spacing w:before="100" w:beforeAutospacing="1" w:after="100" w:afterAutospacing="1"/>
              <w:ind w:right="-63" w:rightChars="-30"/>
              <w:contextualSpacing/>
              <w:rPr>
                <w:rFonts w:asciiTheme="minorEastAsia" w:hAnsiTheme="minorEastAsia" w:eastAsiaTheme="minorEastAsia"/>
                <w:szCs w:val="21"/>
              </w:rPr>
            </w:pPr>
            <w:r>
              <w:rPr>
                <w:rFonts w:hint="eastAsia" w:asciiTheme="minorEastAsia" w:hAnsiTheme="minorEastAsia" w:eastAsiaTheme="minorEastAsia"/>
                <w:szCs w:val="21"/>
              </w:rPr>
              <w:t>质控保障</w:t>
            </w:r>
          </w:p>
          <w:p>
            <w:pPr>
              <w:pStyle w:val="2"/>
              <w:rPr>
                <w:sz w:val="21"/>
                <w:szCs w:val="21"/>
              </w:rPr>
            </w:pPr>
            <w:r>
              <w:rPr>
                <w:rFonts w:hint="eastAsia"/>
                <w:sz w:val="21"/>
                <w:szCs w:val="21"/>
              </w:rPr>
              <w:t>（7分）</w:t>
            </w:r>
          </w:p>
        </w:tc>
        <w:tc>
          <w:tcPr>
            <w:tcW w:w="6432" w:type="dxa"/>
            <w:tcBorders>
              <w:top w:val="single" w:color="auto" w:sz="4" w:space="0"/>
              <w:left w:val="single" w:color="auto" w:sz="4" w:space="0"/>
              <w:bottom w:val="single" w:color="auto" w:sz="8" w:space="0"/>
              <w:right w:val="single" w:color="auto" w:sz="8" w:space="0"/>
            </w:tcBorders>
            <w:shd w:val="clear" w:color="auto" w:fill="auto"/>
            <w:vAlign w:val="center"/>
          </w:tcPr>
          <w:p>
            <w:pPr>
              <w:spacing w:before="100" w:beforeAutospacing="1" w:after="100" w:afterAutospacing="1"/>
              <w:contextualSpacing/>
              <w:rPr>
                <w:rFonts w:hAnsi="仿宋"/>
                <w:bCs/>
                <w:szCs w:val="21"/>
              </w:rPr>
            </w:pPr>
            <w:r>
              <w:rPr>
                <w:rFonts w:hint="eastAsia" w:hAnsi="仿宋"/>
                <w:bCs/>
                <w:szCs w:val="21"/>
              </w:rPr>
              <w:t>投标人拥有以下经国家权威计量机构检测合格的专业医疗设备质控设备：生命体征模拟仪、除颤分析仪、电气安全分析仪、婴儿培养箱分析仪、血透机电导率分析仪、气流分析仪、电刀分析仪。每提供1个得1分，满分7分。</w:t>
            </w:r>
          </w:p>
          <w:p>
            <w:pPr>
              <w:spacing w:before="100" w:beforeAutospacing="1" w:after="100" w:afterAutospacing="1"/>
              <w:contextualSpacing/>
              <w:rPr>
                <w:rFonts w:hAnsi="仿宋"/>
                <w:b/>
                <w:bCs/>
                <w:szCs w:val="21"/>
              </w:rPr>
            </w:pPr>
            <w:r>
              <w:rPr>
                <w:rFonts w:hint="eastAsia" w:hAnsi="仿宋"/>
                <w:bCs/>
                <w:szCs w:val="21"/>
              </w:rPr>
              <w:t>（提供质控设备购买发票及经国家权威计量机构检测合格的质控设备校准证书（有效期内）复印件加盖公章）。</w:t>
            </w:r>
          </w:p>
        </w:tc>
        <w:tc>
          <w:tcPr>
            <w:tcW w:w="709" w:type="dxa"/>
            <w:tcBorders>
              <w:top w:val="nil"/>
              <w:left w:val="nil"/>
              <w:bottom w:val="single" w:color="auto" w:sz="8" w:space="0"/>
              <w:right w:val="single" w:color="auto" w:sz="8" w:space="0"/>
            </w:tcBorders>
            <w:shd w:val="clear" w:color="auto" w:fill="auto"/>
            <w:noWrap/>
            <w:vAlign w:val="center"/>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1264" w:hRule="atLeast"/>
        </w:trPr>
        <w:tc>
          <w:tcPr>
            <w:tcW w:w="994" w:type="dxa"/>
            <w:vMerge w:val="continue"/>
            <w:tcBorders>
              <w:left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Cs w:val="21"/>
              </w:rPr>
            </w:pPr>
          </w:p>
        </w:tc>
        <w:tc>
          <w:tcPr>
            <w:tcW w:w="1080" w:type="dxa"/>
            <w:tcBorders>
              <w:top w:val="nil"/>
              <w:left w:val="nil"/>
              <w:bottom w:val="single" w:color="auto" w:sz="8" w:space="0"/>
              <w:right w:val="single" w:color="auto" w:sz="8" w:space="0"/>
            </w:tcBorders>
            <w:shd w:val="clear" w:color="auto" w:fill="auto"/>
            <w:vAlign w:val="center"/>
          </w:tcPr>
          <w:p>
            <w:pPr>
              <w:spacing w:before="100" w:beforeAutospacing="1" w:after="100" w:afterAutospacing="1"/>
              <w:ind w:right="-63" w:rightChars="-30"/>
              <w:contextualSpacing/>
              <w:jc w:val="center"/>
              <w:rPr>
                <w:rFonts w:asciiTheme="minorEastAsia" w:hAnsiTheme="minorEastAsia" w:eastAsiaTheme="minorEastAsia"/>
                <w:szCs w:val="21"/>
              </w:rPr>
            </w:pPr>
            <w:r>
              <w:rPr>
                <w:rFonts w:hint="eastAsia" w:asciiTheme="minorEastAsia" w:hAnsiTheme="minorEastAsia" w:eastAsiaTheme="minorEastAsia"/>
                <w:szCs w:val="21"/>
              </w:rPr>
              <w:t>医疗设备管理软件功能   （6分）</w:t>
            </w:r>
          </w:p>
        </w:tc>
        <w:tc>
          <w:tcPr>
            <w:tcW w:w="6432" w:type="dxa"/>
            <w:tcBorders>
              <w:top w:val="nil"/>
              <w:left w:val="nil"/>
              <w:bottom w:val="single" w:color="auto" w:sz="8" w:space="0"/>
              <w:right w:val="single" w:color="auto" w:sz="8" w:space="0"/>
            </w:tcBorders>
            <w:shd w:val="clear" w:color="auto" w:fill="auto"/>
            <w:vAlign w:val="center"/>
          </w:tcPr>
          <w:p>
            <w:pPr>
              <w:spacing w:before="100" w:beforeAutospacing="1" w:after="100" w:afterAutospacing="1"/>
              <w:contextualSpacing/>
              <w:rPr>
                <w:rFonts w:hAnsi="仿宋"/>
                <w:szCs w:val="21"/>
              </w:rPr>
            </w:pPr>
            <w:r>
              <w:rPr>
                <w:rFonts w:hint="eastAsia" w:hAnsi="仿宋"/>
                <w:szCs w:val="21"/>
              </w:rPr>
              <w:t>投标人免费提供医院医疗设备管理软件给招标人使用的，并进行讲解：</w:t>
            </w:r>
          </w:p>
          <w:p>
            <w:pPr>
              <w:spacing w:before="100" w:beforeAutospacing="1" w:after="100" w:afterAutospacing="1"/>
              <w:contextualSpacing/>
              <w:rPr>
                <w:rFonts w:hAnsi="仿宋"/>
                <w:szCs w:val="21"/>
              </w:rPr>
            </w:pPr>
            <w:r>
              <w:rPr>
                <w:rFonts w:hint="eastAsia" w:hAnsi="仿宋"/>
                <w:szCs w:val="21"/>
              </w:rPr>
              <w:t>提供的管理软件实用性、可操作性强，符合项目要求的：5－6分，管理软件实用性较强：3－4分，一般1－2分，</w:t>
            </w:r>
          </w:p>
          <w:p>
            <w:pPr>
              <w:spacing w:before="100" w:beforeAutospacing="1" w:after="100" w:afterAutospacing="1"/>
              <w:contextualSpacing/>
              <w:rPr>
                <w:rFonts w:hAnsi="仿宋"/>
                <w:szCs w:val="21"/>
              </w:rPr>
            </w:pPr>
            <w:r>
              <w:rPr>
                <w:rFonts w:hint="eastAsia" w:hAnsi="仿宋"/>
                <w:szCs w:val="21"/>
              </w:rPr>
              <w:t>未提供或不进行讲解不得分，</w:t>
            </w:r>
          </w:p>
        </w:tc>
        <w:tc>
          <w:tcPr>
            <w:tcW w:w="709" w:type="dxa"/>
            <w:tcBorders>
              <w:top w:val="nil"/>
              <w:left w:val="nil"/>
              <w:bottom w:val="single" w:color="auto" w:sz="8" w:space="0"/>
              <w:right w:val="single" w:color="auto" w:sz="8" w:space="0"/>
            </w:tcBorders>
            <w:shd w:val="clear" w:color="auto" w:fill="auto"/>
            <w:noWrap/>
            <w:vAlign w:val="center"/>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854" w:hRule="atLeast"/>
        </w:trPr>
        <w:tc>
          <w:tcPr>
            <w:tcW w:w="994" w:type="dxa"/>
            <w:vMerge w:val="continue"/>
            <w:tcBorders>
              <w:left w:val="single" w:color="auto" w:sz="8" w:space="0"/>
              <w:right w:val="single" w:color="auto" w:sz="8" w:space="0"/>
            </w:tcBorders>
            <w:vAlign w:val="center"/>
          </w:tcPr>
          <w:p>
            <w:pPr>
              <w:widowControl/>
              <w:jc w:val="left"/>
              <w:rPr>
                <w:rFonts w:cs="宋体" w:asciiTheme="minorEastAsia" w:hAnsiTheme="minorEastAsia" w:eastAsiaTheme="minorEastAsia"/>
                <w:kern w:val="0"/>
                <w:szCs w:val="21"/>
              </w:rPr>
            </w:pPr>
          </w:p>
        </w:tc>
        <w:tc>
          <w:tcPr>
            <w:tcW w:w="1080" w:type="dxa"/>
            <w:tcBorders>
              <w:top w:val="nil"/>
              <w:left w:val="nil"/>
              <w:bottom w:val="single" w:color="auto" w:sz="8" w:space="0"/>
              <w:right w:val="single" w:color="auto" w:sz="8" w:space="0"/>
            </w:tcBorders>
            <w:shd w:val="clear" w:color="auto" w:fill="auto"/>
            <w:vAlign w:val="center"/>
          </w:tcPr>
          <w:p>
            <w:pPr>
              <w:spacing w:before="100" w:beforeAutospacing="1" w:after="100" w:afterAutospacing="1" w:line="276" w:lineRule="auto"/>
              <w:ind w:right="-63" w:rightChars="-30"/>
              <w:contextualSpacing/>
              <w:jc w:val="center"/>
              <w:rPr>
                <w:rFonts w:asciiTheme="minorEastAsia" w:hAnsiTheme="minorEastAsia" w:eastAsiaTheme="minorEastAsia"/>
                <w:szCs w:val="21"/>
              </w:rPr>
            </w:pPr>
            <w:r>
              <w:rPr>
                <w:rFonts w:hint="eastAsia" w:asciiTheme="minorEastAsia" w:hAnsiTheme="minorEastAsia" w:eastAsiaTheme="minorEastAsia"/>
                <w:szCs w:val="21"/>
              </w:rPr>
              <w:t>招标需求参数响应情况   （18分）</w:t>
            </w:r>
          </w:p>
        </w:tc>
        <w:tc>
          <w:tcPr>
            <w:tcW w:w="6432" w:type="dxa"/>
            <w:tcBorders>
              <w:top w:val="nil"/>
              <w:left w:val="nil"/>
              <w:bottom w:val="single" w:color="auto" w:sz="8" w:space="0"/>
              <w:right w:val="single" w:color="auto" w:sz="8" w:space="0"/>
            </w:tcBorders>
            <w:shd w:val="clear" w:color="auto" w:fill="auto"/>
            <w:vAlign w:val="center"/>
          </w:tcPr>
          <w:p>
            <w:pPr>
              <w:rPr>
                <w:szCs w:val="21"/>
                <w:lang w:val="zh-CN"/>
              </w:rPr>
            </w:pPr>
            <w:r>
              <w:rPr>
                <w:rFonts w:hint="eastAsia" w:hAnsi="仿宋" w:cs="宋体"/>
                <w:szCs w:val="21"/>
              </w:rPr>
              <w:t>满足招标文件需求技术指标、参数要求，得18分，</w:t>
            </w:r>
            <w:r>
              <w:rPr>
                <w:rFonts w:hint="eastAsia"/>
                <w:szCs w:val="21"/>
                <w:lang w:val="zh-CN"/>
              </w:rPr>
              <w:t>技术指标负偏离每一项扣减</w:t>
            </w:r>
            <w:r>
              <w:rPr>
                <w:szCs w:val="21"/>
                <w:lang w:val="zh-CN"/>
              </w:rPr>
              <w:t>1</w:t>
            </w:r>
            <w:r>
              <w:rPr>
                <w:rFonts w:hint="eastAsia"/>
                <w:szCs w:val="21"/>
                <w:lang w:val="zh-CN"/>
              </w:rPr>
              <w:t>分，扣完为止。</w:t>
            </w:r>
          </w:p>
          <w:p>
            <w:pPr>
              <w:rPr>
                <w:rFonts w:ascii="宋体" w:hAnsi="宋体"/>
                <w:szCs w:val="21"/>
              </w:rPr>
            </w:pPr>
            <w:r>
              <w:rPr>
                <w:rFonts w:hint="eastAsia"/>
                <w:b/>
                <w:kern w:val="0"/>
                <w:szCs w:val="21"/>
              </w:rPr>
              <w:t>如投标单位技术指标负偏离影响使用单位正常使用，经专家组评审可作为无效标处理。</w:t>
            </w:r>
          </w:p>
        </w:tc>
        <w:tc>
          <w:tcPr>
            <w:tcW w:w="709" w:type="dxa"/>
            <w:tcBorders>
              <w:top w:val="nil"/>
              <w:left w:val="nil"/>
              <w:bottom w:val="single" w:color="auto" w:sz="8" w:space="0"/>
              <w:right w:val="single" w:color="auto" w:sz="8" w:space="0"/>
            </w:tcBorders>
            <w:shd w:val="clear" w:color="auto" w:fill="auto"/>
            <w:noWrap/>
            <w:vAlign w:val="center"/>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0" w:hRule="atLeast"/>
        </w:trPr>
        <w:tc>
          <w:tcPr>
            <w:tcW w:w="994" w:type="dxa"/>
            <w:vMerge w:val="continue"/>
            <w:tcBorders>
              <w:left w:val="single" w:color="auto" w:sz="8" w:space="0"/>
              <w:right w:val="single" w:color="auto" w:sz="8" w:space="0"/>
            </w:tcBorders>
            <w:vAlign w:val="center"/>
          </w:tcPr>
          <w:p>
            <w:pPr>
              <w:widowControl/>
              <w:jc w:val="left"/>
              <w:rPr>
                <w:rFonts w:cs="宋体" w:asciiTheme="minorEastAsia" w:hAnsiTheme="minorEastAsia" w:eastAsiaTheme="minorEastAsia"/>
                <w:kern w:val="0"/>
                <w:szCs w:val="21"/>
              </w:rPr>
            </w:pPr>
          </w:p>
        </w:tc>
        <w:tc>
          <w:tcPr>
            <w:tcW w:w="1080" w:type="dxa"/>
            <w:vMerge w:val="restart"/>
            <w:tcBorders>
              <w:top w:val="nil"/>
              <w:left w:val="nil"/>
              <w:right w:val="single" w:color="auto" w:sz="8" w:space="0"/>
            </w:tcBorders>
            <w:shd w:val="clear" w:color="auto" w:fill="auto"/>
            <w:vAlign w:val="center"/>
          </w:tcPr>
          <w:p>
            <w:pPr>
              <w:spacing w:before="100" w:beforeAutospacing="1" w:after="100" w:afterAutospacing="1" w:line="276" w:lineRule="auto"/>
              <w:ind w:right="-63" w:rightChars="-30"/>
              <w:contextualSpacing/>
              <w:jc w:val="center"/>
              <w:rPr>
                <w:rFonts w:asciiTheme="minorEastAsia" w:hAnsiTheme="minorEastAsia" w:eastAsiaTheme="minorEastAsia"/>
                <w:szCs w:val="21"/>
              </w:rPr>
            </w:pPr>
            <w:r>
              <w:rPr>
                <w:rFonts w:hint="eastAsia" w:asciiTheme="minorEastAsia" w:hAnsiTheme="minorEastAsia" w:eastAsiaTheme="minorEastAsia"/>
                <w:szCs w:val="21"/>
              </w:rPr>
              <w:t>技术方案（46分）</w:t>
            </w:r>
          </w:p>
        </w:tc>
        <w:tc>
          <w:tcPr>
            <w:tcW w:w="6432" w:type="dxa"/>
            <w:tcBorders>
              <w:top w:val="nil"/>
              <w:left w:val="nil"/>
              <w:bottom w:val="single" w:color="auto" w:sz="8" w:space="0"/>
              <w:right w:val="single" w:color="auto" w:sz="8" w:space="0"/>
            </w:tcBorders>
            <w:shd w:val="clear" w:color="auto" w:fill="auto"/>
            <w:vAlign w:val="center"/>
          </w:tcPr>
          <w:p>
            <w:pPr>
              <w:spacing w:line="320" w:lineRule="exact"/>
              <w:rPr>
                <w:rFonts w:ascii="宋体" w:hAnsi="宋体" w:cs="宋体"/>
                <w:szCs w:val="21"/>
              </w:rPr>
            </w:pPr>
            <w:r>
              <w:rPr>
                <w:rFonts w:hint="eastAsia" w:ascii="宋体" w:hAnsi="宋体" w:cs="宋体"/>
                <w:szCs w:val="21"/>
              </w:rPr>
              <w:t>投标人保修服务内容、标准的科学性、合理性、完整性、可操作性及设备维修方案的具体措施：（10分）</w:t>
            </w:r>
          </w:p>
          <w:p>
            <w:pPr>
              <w:spacing w:line="320" w:lineRule="exact"/>
              <w:rPr>
                <w:rFonts w:ascii="宋体" w:hAnsi="宋体" w:cs="宋体"/>
                <w:szCs w:val="21"/>
              </w:rPr>
            </w:pPr>
            <w:r>
              <w:rPr>
                <w:rFonts w:hint="eastAsia" w:ascii="宋体" w:hAnsi="宋体" w:cs="宋体"/>
                <w:szCs w:val="21"/>
              </w:rPr>
              <w:t>方案科学合理：8-10分；较科学：4-6分，一般1－3分，没有不得分。</w:t>
            </w:r>
          </w:p>
        </w:tc>
        <w:tc>
          <w:tcPr>
            <w:tcW w:w="709" w:type="dxa"/>
            <w:tcBorders>
              <w:top w:val="nil"/>
              <w:left w:val="nil"/>
              <w:bottom w:val="single" w:color="auto" w:sz="8" w:space="0"/>
              <w:right w:val="single" w:color="auto" w:sz="8" w:space="0"/>
            </w:tcBorders>
            <w:shd w:val="clear" w:color="auto" w:fill="auto"/>
            <w:noWrap/>
            <w:vAlign w:val="center"/>
          </w:tcPr>
          <w:p>
            <w:pPr>
              <w:widowControl/>
              <w:jc w:val="left"/>
              <w:rPr>
                <w:rFonts w:ascii="等线" w:hAnsi="等线" w:eastAsia="等线" w:cs="宋体"/>
                <w:kern w:val="0"/>
                <w:sz w:val="22"/>
              </w:rPr>
            </w:pPr>
          </w:p>
        </w:tc>
      </w:tr>
      <w:tr>
        <w:trPr>
          <w:trHeight w:val="132" w:hRule="atLeast"/>
        </w:trPr>
        <w:tc>
          <w:tcPr>
            <w:tcW w:w="994" w:type="dxa"/>
            <w:vMerge w:val="continue"/>
            <w:tcBorders>
              <w:left w:val="single" w:color="auto" w:sz="8" w:space="0"/>
              <w:right w:val="single" w:color="auto" w:sz="8" w:space="0"/>
            </w:tcBorders>
            <w:vAlign w:val="center"/>
          </w:tcPr>
          <w:p>
            <w:pPr>
              <w:widowControl/>
              <w:jc w:val="left"/>
              <w:rPr>
                <w:rFonts w:cs="宋体" w:asciiTheme="minorEastAsia" w:hAnsiTheme="minorEastAsia" w:eastAsiaTheme="minorEastAsia"/>
                <w:kern w:val="0"/>
                <w:szCs w:val="21"/>
              </w:rPr>
            </w:pPr>
          </w:p>
        </w:tc>
        <w:tc>
          <w:tcPr>
            <w:tcW w:w="1080" w:type="dxa"/>
            <w:vMerge w:val="continue"/>
            <w:tcBorders>
              <w:left w:val="nil"/>
              <w:right w:val="single" w:color="auto" w:sz="8" w:space="0"/>
            </w:tcBorders>
            <w:shd w:val="clear" w:color="auto" w:fill="auto"/>
            <w:vAlign w:val="center"/>
          </w:tcPr>
          <w:p>
            <w:pPr>
              <w:spacing w:before="100" w:beforeAutospacing="1" w:after="100" w:afterAutospacing="1" w:line="276" w:lineRule="auto"/>
              <w:ind w:right="-63" w:rightChars="-30"/>
              <w:contextualSpacing/>
              <w:jc w:val="center"/>
              <w:rPr>
                <w:rFonts w:asciiTheme="minorEastAsia" w:hAnsiTheme="minorEastAsia" w:eastAsiaTheme="minorEastAsia"/>
                <w:szCs w:val="21"/>
              </w:rPr>
            </w:pPr>
          </w:p>
        </w:tc>
        <w:tc>
          <w:tcPr>
            <w:tcW w:w="6432" w:type="dxa"/>
            <w:tcBorders>
              <w:top w:val="nil"/>
              <w:left w:val="nil"/>
              <w:bottom w:val="single" w:color="auto" w:sz="8" w:space="0"/>
              <w:right w:val="single" w:color="auto" w:sz="8" w:space="0"/>
            </w:tcBorders>
            <w:shd w:val="clear" w:color="auto" w:fill="auto"/>
            <w:vAlign w:val="center"/>
          </w:tcPr>
          <w:p>
            <w:pPr>
              <w:spacing w:line="320" w:lineRule="exact"/>
              <w:rPr>
                <w:rFonts w:ascii="宋体" w:hAnsi="宋体" w:cs="宋体"/>
                <w:szCs w:val="21"/>
              </w:rPr>
            </w:pPr>
            <w:r>
              <w:rPr>
                <w:rFonts w:hint="eastAsia" w:ascii="宋体" w:hAnsi="宋体" w:cs="宋体"/>
                <w:szCs w:val="21"/>
              </w:rPr>
              <w:t>本项目的整体理解及重点、难点和解决措施：</w:t>
            </w:r>
          </w:p>
          <w:p>
            <w:pPr>
              <w:spacing w:line="320" w:lineRule="exact"/>
              <w:rPr>
                <w:rFonts w:ascii="宋体" w:hAnsi="宋体" w:cs="宋体"/>
                <w:szCs w:val="21"/>
              </w:rPr>
            </w:pPr>
            <w:r>
              <w:rPr>
                <w:rFonts w:hint="eastAsia" w:ascii="宋体" w:hAnsi="宋体" w:cs="宋体"/>
                <w:szCs w:val="21"/>
              </w:rPr>
              <w:t>内容合理全面的，8-10分；内容基本完整的，4-6分；一般1-3分，没有不得分。</w:t>
            </w:r>
          </w:p>
        </w:tc>
        <w:tc>
          <w:tcPr>
            <w:tcW w:w="709" w:type="dxa"/>
            <w:tcBorders>
              <w:top w:val="nil"/>
              <w:left w:val="nil"/>
              <w:bottom w:val="single" w:color="auto" w:sz="8" w:space="0"/>
              <w:right w:val="single" w:color="auto" w:sz="8" w:space="0"/>
            </w:tcBorders>
            <w:shd w:val="clear" w:color="auto" w:fill="auto"/>
            <w:noWrap/>
            <w:vAlign w:val="center"/>
          </w:tcPr>
          <w:p>
            <w:pPr>
              <w:widowControl/>
              <w:jc w:val="left"/>
              <w:rPr>
                <w:rFonts w:ascii="等线" w:hAnsi="等线" w:eastAsia="等线" w:cs="宋体"/>
                <w:kern w:val="0"/>
                <w:sz w:val="22"/>
              </w:rPr>
            </w:pPr>
          </w:p>
        </w:tc>
      </w:tr>
      <w:tr>
        <w:tblPrEx>
          <w:tblCellMar>
            <w:top w:w="0" w:type="dxa"/>
            <w:left w:w="108" w:type="dxa"/>
            <w:bottom w:w="0" w:type="dxa"/>
            <w:right w:w="108" w:type="dxa"/>
          </w:tblCellMar>
        </w:tblPrEx>
        <w:trPr>
          <w:trHeight w:val="854" w:hRule="atLeast"/>
        </w:trPr>
        <w:tc>
          <w:tcPr>
            <w:tcW w:w="994" w:type="dxa"/>
            <w:vMerge w:val="continue"/>
            <w:tcBorders>
              <w:left w:val="single" w:color="auto" w:sz="8" w:space="0"/>
              <w:right w:val="single" w:color="auto" w:sz="8" w:space="0"/>
            </w:tcBorders>
            <w:vAlign w:val="center"/>
          </w:tcPr>
          <w:p>
            <w:pPr>
              <w:widowControl/>
              <w:jc w:val="left"/>
              <w:rPr>
                <w:rFonts w:cs="宋体" w:asciiTheme="minorEastAsia" w:hAnsiTheme="minorEastAsia" w:eastAsiaTheme="minorEastAsia"/>
                <w:kern w:val="0"/>
                <w:szCs w:val="21"/>
              </w:rPr>
            </w:pPr>
          </w:p>
        </w:tc>
        <w:tc>
          <w:tcPr>
            <w:tcW w:w="1080" w:type="dxa"/>
            <w:vMerge w:val="continue"/>
            <w:tcBorders>
              <w:left w:val="nil"/>
              <w:right w:val="single" w:color="auto" w:sz="8" w:space="0"/>
            </w:tcBorders>
            <w:shd w:val="clear" w:color="auto" w:fill="auto"/>
            <w:vAlign w:val="center"/>
          </w:tcPr>
          <w:p>
            <w:pPr>
              <w:spacing w:before="100" w:beforeAutospacing="1" w:after="100" w:afterAutospacing="1" w:line="276" w:lineRule="auto"/>
              <w:ind w:right="-63" w:rightChars="-30"/>
              <w:contextualSpacing/>
              <w:jc w:val="center"/>
              <w:rPr>
                <w:rFonts w:asciiTheme="minorEastAsia" w:hAnsiTheme="minorEastAsia" w:eastAsiaTheme="minorEastAsia"/>
                <w:szCs w:val="21"/>
              </w:rPr>
            </w:pPr>
          </w:p>
        </w:tc>
        <w:tc>
          <w:tcPr>
            <w:tcW w:w="6432" w:type="dxa"/>
            <w:tcBorders>
              <w:top w:val="nil"/>
              <w:left w:val="nil"/>
              <w:bottom w:val="single" w:color="auto" w:sz="8" w:space="0"/>
              <w:right w:val="single" w:color="auto" w:sz="8" w:space="0"/>
            </w:tcBorders>
            <w:shd w:val="clear" w:color="auto" w:fill="auto"/>
            <w:vAlign w:val="center"/>
          </w:tcPr>
          <w:p>
            <w:pPr>
              <w:spacing w:line="320" w:lineRule="exact"/>
              <w:rPr>
                <w:rFonts w:ascii="宋体" w:hAnsi="宋体" w:cs="宋体"/>
                <w:szCs w:val="21"/>
              </w:rPr>
            </w:pPr>
            <w:r>
              <w:rPr>
                <w:rFonts w:hint="eastAsia" w:ascii="宋体" w:hAnsi="宋体" w:cs="宋体"/>
                <w:szCs w:val="21"/>
              </w:rPr>
              <w:t>针对本项目的质量保证措施、</w:t>
            </w:r>
            <w:r>
              <w:rPr>
                <w:rFonts w:hint="eastAsia" w:ascii="宋体" w:hAnsi="宋体" w:cs="宋体"/>
              </w:rPr>
              <w:t>内部管理措施、服务质量保障承诺：</w:t>
            </w:r>
          </w:p>
          <w:p>
            <w:pPr>
              <w:spacing w:line="320" w:lineRule="exact"/>
              <w:rPr>
                <w:rFonts w:ascii="宋体" w:hAnsi="宋体" w:cs="宋体"/>
                <w:szCs w:val="21"/>
              </w:rPr>
            </w:pPr>
            <w:r>
              <w:rPr>
                <w:rFonts w:hint="eastAsia" w:ascii="宋体" w:hAnsi="宋体" w:cs="宋体"/>
                <w:szCs w:val="21"/>
              </w:rPr>
              <w:t>内容合理全面的，8-10分；内容基本完整的，4-6分；一般1-3分，没有不得分。</w:t>
            </w:r>
          </w:p>
        </w:tc>
        <w:tc>
          <w:tcPr>
            <w:tcW w:w="709" w:type="dxa"/>
            <w:tcBorders>
              <w:top w:val="nil"/>
              <w:left w:val="nil"/>
              <w:bottom w:val="single" w:color="auto" w:sz="8" w:space="0"/>
              <w:right w:val="single" w:color="auto" w:sz="8" w:space="0"/>
            </w:tcBorders>
            <w:shd w:val="clear" w:color="auto" w:fill="auto"/>
            <w:noWrap/>
            <w:vAlign w:val="center"/>
          </w:tcPr>
          <w:p>
            <w:pPr>
              <w:widowControl/>
              <w:jc w:val="left"/>
              <w:rPr>
                <w:rFonts w:ascii="等线" w:hAnsi="等线" w:eastAsia="等线" w:cs="宋体"/>
                <w:kern w:val="0"/>
                <w:sz w:val="22"/>
              </w:rPr>
            </w:pPr>
          </w:p>
        </w:tc>
      </w:tr>
      <w:tr>
        <w:tblPrEx>
          <w:tblCellMar>
            <w:top w:w="0" w:type="dxa"/>
            <w:left w:w="108" w:type="dxa"/>
            <w:bottom w:w="0" w:type="dxa"/>
            <w:right w:w="108" w:type="dxa"/>
          </w:tblCellMar>
        </w:tblPrEx>
        <w:trPr>
          <w:trHeight w:val="780" w:hRule="atLeast"/>
        </w:trPr>
        <w:tc>
          <w:tcPr>
            <w:tcW w:w="994" w:type="dxa"/>
            <w:vMerge w:val="continue"/>
            <w:tcBorders>
              <w:left w:val="single" w:color="auto" w:sz="8" w:space="0"/>
              <w:right w:val="single" w:color="auto" w:sz="8" w:space="0"/>
            </w:tcBorders>
            <w:vAlign w:val="center"/>
          </w:tcPr>
          <w:p>
            <w:pPr>
              <w:widowControl/>
              <w:jc w:val="left"/>
              <w:rPr>
                <w:rFonts w:cs="宋体" w:asciiTheme="minorEastAsia" w:hAnsiTheme="minorEastAsia" w:eastAsiaTheme="minorEastAsia"/>
                <w:kern w:val="0"/>
                <w:szCs w:val="21"/>
              </w:rPr>
            </w:pPr>
          </w:p>
        </w:tc>
        <w:tc>
          <w:tcPr>
            <w:tcW w:w="1080" w:type="dxa"/>
            <w:vMerge w:val="continue"/>
            <w:tcBorders>
              <w:left w:val="nil"/>
              <w:right w:val="single" w:color="auto" w:sz="8" w:space="0"/>
            </w:tcBorders>
            <w:shd w:val="clear" w:color="auto" w:fill="auto"/>
            <w:vAlign w:val="center"/>
          </w:tcPr>
          <w:p>
            <w:pPr>
              <w:spacing w:before="100" w:beforeAutospacing="1" w:after="100" w:afterAutospacing="1" w:line="360" w:lineRule="auto"/>
              <w:ind w:right="-63" w:rightChars="-30"/>
              <w:contextualSpacing/>
              <w:jc w:val="center"/>
              <w:rPr>
                <w:rFonts w:asciiTheme="minorEastAsia" w:hAnsiTheme="minorEastAsia" w:eastAsiaTheme="minorEastAsia"/>
                <w:szCs w:val="21"/>
              </w:rPr>
            </w:pPr>
          </w:p>
        </w:tc>
        <w:tc>
          <w:tcPr>
            <w:tcW w:w="6432" w:type="dxa"/>
            <w:tcBorders>
              <w:top w:val="nil"/>
              <w:left w:val="nil"/>
              <w:bottom w:val="single" w:color="auto" w:sz="8" w:space="0"/>
              <w:right w:val="single" w:color="auto" w:sz="8" w:space="0"/>
            </w:tcBorders>
            <w:shd w:val="clear" w:color="auto" w:fill="auto"/>
            <w:vAlign w:val="center"/>
          </w:tcPr>
          <w:p>
            <w:pPr>
              <w:adjustRightInd w:val="0"/>
              <w:snapToGrid w:val="0"/>
              <w:spacing w:line="320" w:lineRule="exact"/>
              <w:rPr>
                <w:rFonts w:ascii="宋体" w:hAnsi="宋体" w:cs="宋体"/>
                <w:szCs w:val="21"/>
              </w:rPr>
            </w:pPr>
            <w:r>
              <w:rPr>
                <w:rFonts w:hint="eastAsia" w:ascii="宋体" w:hAnsi="宋体" w:cs="宋体"/>
                <w:szCs w:val="21"/>
              </w:rPr>
              <w:t>针对本项目的组织和实施计划、时间计划安排合理性、可行性：</w:t>
            </w:r>
          </w:p>
          <w:p>
            <w:pPr>
              <w:adjustRightInd w:val="0"/>
              <w:snapToGrid w:val="0"/>
              <w:spacing w:line="320" w:lineRule="exact"/>
              <w:rPr>
                <w:rFonts w:ascii="宋体" w:hAnsi="宋体" w:cs="宋体"/>
                <w:szCs w:val="21"/>
              </w:rPr>
            </w:pPr>
            <w:r>
              <w:rPr>
                <w:rFonts w:hint="eastAsia" w:ascii="宋体" w:hAnsi="宋体" w:cs="宋体"/>
                <w:szCs w:val="21"/>
              </w:rPr>
              <w:t>方案合理可行：5－6分，较合理：3－4分，一般1－2分，没有不得分。</w:t>
            </w:r>
          </w:p>
        </w:tc>
        <w:tc>
          <w:tcPr>
            <w:tcW w:w="709" w:type="dxa"/>
            <w:tcBorders>
              <w:top w:val="nil"/>
              <w:left w:val="nil"/>
              <w:bottom w:val="single" w:color="auto" w:sz="8" w:space="0"/>
              <w:right w:val="single" w:color="auto" w:sz="8" w:space="0"/>
            </w:tcBorders>
            <w:shd w:val="clear" w:color="auto" w:fill="auto"/>
            <w:noWrap/>
            <w:vAlign w:val="center"/>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780" w:hRule="atLeast"/>
        </w:trPr>
        <w:tc>
          <w:tcPr>
            <w:tcW w:w="994" w:type="dxa"/>
            <w:vMerge w:val="continue"/>
            <w:tcBorders>
              <w:left w:val="single" w:color="auto" w:sz="8" w:space="0"/>
              <w:right w:val="single" w:color="auto" w:sz="8" w:space="0"/>
            </w:tcBorders>
            <w:vAlign w:val="center"/>
          </w:tcPr>
          <w:p>
            <w:pPr>
              <w:widowControl/>
              <w:jc w:val="left"/>
              <w:rPr>
                <w:rFonts w:cs="宋体" w:asciiTheme="minorEastAsia" w:hAnsiTheme="minorEastAsia" w:eastAsiaTheme="minorEastAsia"/>
                <w:kern w:val="0"/>
                <w:szCs w:val="21"/>
              </w:rPr>
            </w:pPr>
          </w:p>
        </w:tc>
        <w:tc>
          <w:tcPr>
            <w:tcW w:w="1080" w:type="dxa"/>
            <w:vMerge w:val="continue"/>
            <w:tcBorders>
              <w:left w:val="nil"/>
              <w:right w:val="single" w:color="auto" w:sz="8" w:space="0"/>
            </w:tcBorders>
            <w:shd w:val="clear" w:color="auto" w:fill="auto"/>
            <w:vAlign w:val="center"/>
          </w:tcPr>
          <w:p>
            <w:pPr>
              <w:spacing w:before="100" w:beforeAutospacing="1" w:after="100" w:afterAutospacing="1" w:line="360" w:lineRule="auto"/>
              <w:ind w:right="-63" w:rightChars="-30"/>
              <w:contextualSpacing/>
              <w:jc w:val="center"/>
              <w:rPr>
                <w:rFonts w:asciiTheme="minorEastAsia" w:hAnsiTheme="minorEastAsia" w:eastAsiaTheme="minorEastAsia"/>
                <w:szCs w:val="21"/>
              </w:rPr>
            </w:pPr>
          </w:p>
        </w:tc>
        <w:tc>
          <w:tcPr>
            <w:tcW w:w="6432" w:type="dxa"/>
            <w:tcBorders>
              <w:top w:val="nil"/>
              <w:left w:val="nil"/>
              <w:bottom w:val="single" w:color="auto" w:sz="8" w:space="0"/>
              <w:right w:val="single" w:color="auto" w:sz="8" w:space="0"/>
            </w:tcBorders>
            <w:shd w:val="clear" w:color="auto" w:fill="auto"/>
            <w:vAlign w:val="center"/>
          </w:tcPr>
          <w:p>
            <w:pPr>
              <w:adjustRightInd w:val="0"/>
              <w:snapToGrid w:val="0"/>
              <w:spacing w:line="320" w:lineRule="exact"/>
              <w:rPr>
                <w:rFonts w:ascii="宋体" w:hAnsi="宋体" w:cs="宋体"/>
                <w:szCs w:val="21"/>
              </w:rPr>
            </w:pPr>
            <w:r>
              <w:rPr>
                <w:rFonts w:hint="eastAsia" w:ascii="宋体" w:hAnsi="宋体" w:cs="宋体"/>
                <w:szCs w:val="21"/>
              </w:rPr>
              <w:t>项目实施期间和实施后的服务承诺（包括服务响应时间、具体的服务承诺）：</w:t>
            </w:r>
          </w:p>
          <w:p>
            <w:pPr>
              <w:adjustRightInd w:val="0"/>
              <w:snapToGrid w:val="0"/>
              <w:spacing w:line="320" w:lineRule="exact"/>
              <w:rPr>
                <w:rFonts w:ascii="宋体" w:hAnsi="宋体" w:cs="宋体"/>
                <w:szCs w:val="21"/>
              </w:rPr>
            </w:pPr>
            <w:r>
              <w:rPr>
                <w:rFonts w:hint="eastAsia" w:ascii="宋体" w:hAnsi="宋体" w:cs="宋体"/>
                <w:szCs w:val="21"/>
              </w:rPr>
              <w:t>承诺完整全面：5分，较完整3－4分，一般1－2分，没有不得分。</w:t>
            </w:r>
          </w:p>
        </w:tc>
        <w:tc>
          <w:tcPr>
            <w:tcW w:w="709" w:type="dxa"/>
            <w:tcBorders>
              <w:top w:val="nil"/>
              <w:left w:val="nil"/>
              <w:bottom w:val="single" w:color="auto" w:sz="8" w:space="0"/>
              <w:right w:val="single" w:color="auto" w:sz="8" w:space="0"/>
            </w:tcBorders>
            <w:shd w:val="clear" w:color="auto" w:fill="auto"/>
            <w:noWrap/>
            <w:vAlign w:val="center"/>
          </w:tcPr>
          <w:p>
            <w:pPr>
              <w:widowControl/>
              <w:jc w:val="left"/>
              <w:rPr>
                <w:rFonts w:ascii="等线" w:hAnsi="等线" w:eastAsia="等线" w:cs="宋体"/>
                <w:kern w:val="0"/>
                <w:sz w:val="22"/>
              </w:rPr>
            </w:pPr>
          </w:p>
        </w:tc>
      </w:tr>
      <w:tr>
        <w:tblPrEx>
          <w:tblCellMar>
            <w:top w:w="0" w:type="dxa"/>
            <w:left w:w="108" w:type="dxa"/>
            <w:bottom w:w="0" w:type="dxa"/>
            <w:right w:w="108" w:type="dxa"/>
          </w:tblCellMar>
        </w:tblPrEx>
        <w:trPr>
          <w:trHeight w:val="780" w:hRule="atLeast"/>
        </w:trPr>
        <w:tc>
          <w:tcPr>
            <w:tcW w:w="994" w:type="dxa"/>
            <w:vMerge w:val="continue"/>
            <w:tcBorders>
              <w:left w:val="single" w:color="auto" w:sz="8" w:space="0"/>
              <w:right w:val="single" w:color="auto" w:sz="8" w:space="0"/>
            </w:tcBorders>
            <w:vAlign w:val="center"/>
          </w:tcPr>
          <w:p>
            <w:pPr>
              <w:widowControl/>
              <w:jc w:val="left"/>
              <w:rPr>
                <w:rFonts w:cs="宋体" w:asciiTheme="minorEastAsia" w:hAnsiTheme="minorEastAsia" w:eastAsiaTheme="minorEastAsia"/>
                <w:kern w:val="0"/>
                <w:szCs w:val="21"/>
              </w:rPr>
            </w:pPr>
          </w:p>
        </w:tc>
        <w:tc>
          <w:tcPr>
            <w:tcW w:w="1080" w:type="dxa"/>
            <w:vMerge w:val="continue"/>
            <w:tcBorders>
              <w:left w:val="nil"/>
              <w:bottom w:val="single" w:color="auto" w:sz="8" w:space="0"/>
              <w:right w:val="single" w:color="auto" w:sz="8" w:space="0"/>
            </w:tcBorders>
            <w:shd w:val="clear" w:color="auto" w:fill="auto"/>
            <w:vAlign w:val="center"/>
          </w:tcPr>
          <w:p>
            <w:pPr>
              <w:spacing w:before="100" w:beforeAutospacing="1" w:after="100" w:afterAutospacing="1" w:line="360" w:lineRule="auto"/>
              <w:ind w:right="-63" w:rightChars="-30"/>
              <w:contextualSpacing/>
              <w:jc w:val="center"/>
              <w:rPr>
                <w:rFonts w:asciiTheme="minorEastAsia" w:hAnsiTheme="minorEastAsia" w:eastAsiaTheme="minorEastAsia"/>
                <w:szCs w:val="21"/>
              </w:rPr>
            </w:pPr>
          </w:p>
        </w:tc>
        <w:tc>
          <w:tcPr>
            <w:tcW w:w="6432" w:type="dxa"/>
            <w:tcBorders>
              <w:top w:val="nil"/>
              <w:left w:val="nil"/>
              <w:bottom w:val="single" w:color="auto" w:sz="8" w:space="0"/>
              <w:right w:val="single" w:color="auto" w:sz="8" w:space="0"/>
            </w:tcBorders>
            <w:shd w:val="clear" w:color="auto" w:fill="auto"/>
            <w:vAlign w:val="center"/>
          </w:tcPr>
          <w:p>
            <w:pPr>
              <w:adjustRightInd w:val="0"/>
              <w:snapToGrid w:val="0"/>
              <w:spacing w:line="320" w:lineRule="exact"/>
              <w:rPr>
                <w:rFonts w:ascii="宋体" w:hAnsi="宋体" w:cs="宋体"/>
                <w:szCs w:val="21"/>
              </w:rPr>
            </w:pPr>
            <w:r>
              <w:rPr>
                <w:rFonts w:hint="eastAsia" w:ascii="宋体" w:hAnsi="宋体"/>
                <w:szCs w:val="21"/>
              </w:rPr>
              <w:t>针对本项目服务期间突发事件的应急措施</w:t>
            </w:r>
            <w:r>
              <w:rPr>
                <w:rFonts w:hint="eastAsia" w:ascii="宋体" w:hAnsi="宋体" w:cs="宋体"/>
                <w:szCs w:val="21"/>
              </w:rPr>
              <w:t>：</w:t>
            </w:r>
          </w:p>
          <w:p>
            <w:pPr>
              <w:adjustRightInd w:val="0"/>
              <w:snapToGrid w:val="0"/>
              <w:spacing w:line="320" w:lineRule="exact"/>
              <w:rPr>
                <w:rFonts w:ascii="宋体" w:hAnsi="宋体" w:cs="宋体"/>
                <w:szCs w:val="21"/>
              </w:rPr>
            </w:pPr>
            <w:r>
              <w:rPr>
                <w:rFonts w:hint="eastAsia" w:ascii="宋体" w:hAnsi="宋体" w:cs="宋体"/>
                <w:szCs w:val="21"/>
              </w:rPr>
              <w:t>措施科学合理：5分，较合理：3－4分，一般1－2分，没有不得分。</w:t>
            </w:r>
          </w:p>
        </w:tc>
        <w:tc>
          <w:tcPr>
            <w:tcW w:w="709" w:type="dxa"/>
            <w:tcBorders>
              <w:top w:val="nil"/>
              <w:left w:val="nil"/>
              <w:bottom w:val="single" w:color="auto" w:sz="8" w:space="0"/>
              <w:right w:val="single" w:color="auto" w:sz="8" w:space="0"/>
            </w:tcBorders>
            <w:shd w:val="clear" w:color="auto" w:fill="auto"/>
            <w:noWrap/>
            <w:vAlign w:val="center"/>
          </w:tcPr>
          <w:p>
            <w:pPr>
              <w:widowControl/>
              <w:jc w:val="left"/>
              <w:rPr>
                <w:rFonts w:ascii="等线" w:hAnsi="等线" w:eastAsia="等线" w:cs="宋体"/>
                <w:kern w:val="0"/>
                <w:sz w:val="22"/>
              </w:rPr>
            </w:pPr>
          </w:p>
        </w:tc>
      </w:tr>
      <w:tr>
        <w:tblPrEx>
          <w:tblCellMar>
            <w:top w:w="0" w:type="dxa"/>
            <w:left w:w="108" w:type="dxa"/>
            <w:bottom w:w="0" w:type="dxa"/>
            <w:right w:w="108" w:type="dxa"/>
          </w:tblCellMar>
        </w:tblPrEx>
        <w:trPr>
          <w:trHeight w:val="780" w:hRule="atLeast"/>
        </w:trPr>
        <w:tc>
          <w:tcPr>
            <w:tcW w:w="994" w:type="dxa"/>
            <w:tcBorders>
              <w:top w:val="single" w:color="auto" w:sz="4" w:space="0"/>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报价得分</w:t>
            </w:r>
          </w:p>
        </w:tc>
        <w:tc>
          <w:tcPr>
            <w:tcW w:w="1080"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10分</w:t>
            </w:r>
          </w:p>
        </w:tc>
        <w:tc>
          <w:tcPr>
            <w:tcW w:w="6432" w:type="dxa"/>
            <w:tcBorders>
              <w:top w:val="nil"/>
              <w:left w:val="nil"/>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按满足采购文件要求且有效投标价格最低的投标报价作为评标基准价，其价格分为满分10分；其他投标人的价格分统一按照下列公式计算：投标报价得分=（评标基准价／投标报价）×10。</w:t>
            </w:r>
          </w:p>
        </w:tc>
        <w:tc>
          <w:tcPr>
            <w:tcW w:w="709" w:type="dxa"/>
            <w:tcBorders>
              <w:top w:val="nil"/>
              <w:left w:val="nil"/>
              <w:bottom w:val="single" w:color="auto" w:sz="8" w:space="0"/>
              <w:right w:val="single" w:color="auto" w:sz="8" w:space="0"/>
            </w:tcBorders>
            <w:shd w:val="clear" w:color="auto" w:fill="auto"/>
            <w:noWrap/>
            <w:vAlign w:val="center"/>
          </w:tcPr>
          <w:p>
            <w:pPr>
              <w:widowControl/>
              <w:jc w:val="left"/>
              <w:rPr>
                <w:rFonts w:ascii="等线" w:hAnsi="等线" w:eastAsia="等线" w:cs="宋体"/>
                <w:kern w:val="0"/>
                <w:sz w:val="22"/>
              </w:rPr>
            </w:pPr>
            <w:r>
              <w:rPr>
                <w:rFonts w:hint="eastAsia" w:ascii="等线" w:hAnsi="等线" w:eastAsia="等线" w:cs="宋体"/>
                <w:kern w:val="0"/>
                <w:sz w:val="22"/>
              </w:rPr>
              <w:t>　</w:t>
            </w:r>
          </w:p>
        </w:tc>
      </w:tr>
    </w:tbl>
    <w:p>
      <w:pPr>
        <w:spacing w:line="360" w:lineRule="auto"/>
        <w:ind w:right="-341"/>
        <w:jc w:val="left"/>
        <w:rPr>
          <w:rFonts w:asciiTheme="minorEastAsia" w:hAnsiTheme="minorEastAsia" w:eastAsiaTheme="minorEastAsia"/>
        </w:rPr>
      </w:pPr>
    </w:p>
    <w:p>
      <w:pPr>
        <w:spacing w:line="360" w:lineRule="auto"/>
        <w:ind w:right="-341"/>
        <w:jc w:val="center"/>
        <w:rPr>
          <w:rFonts w:ascii="黑体" w:hAnsi="宋体" w:eastAsia="黑体"/>
          <w:sz w:val="30"/>
        </w:rPr>
      </w:pPr>
    </w:p>
    <w:p>
      <w:pPr>
        <w:spacing w:line="360" w:lineRule="auto"/>
        <w:ind w:right="-341"/>
        <w:jc w:val="center"/>
        <w:rPr>
          <w:rFonts w:ascii="黑体" w:hAnsi="宋体" w:eastAsia="黑体"/>
          <w:sz w:val="30"/>
        </w:rPr>
      </w:pPr>
    </w:p>
    <w:p>
      <w:pPr>
        <w:pStyle w:val="2"/>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spacing w:line="360" w:lineRule="auto"/>
        <w:ind w:right="-341"/>
        <w:jc w:val="center"/>
        <w:rPr>
          <w:rFonts w:ascii="黑体" w:hAnsi="宋体" w:eastAsia="黑体"/>
          <w:sz w:val="30"/>
        </w:rPr>
      </w:pPr>
    </w:p>
    <w:p>
      <w:pPr>
        <w:spacing w:line="360" w:lineRule="auto"/>
        <w:ind w:right="-341"/>
        <w:jc w:val="center"/>
        <w:rPr>
          <w:rFonts w:ascii="黑体" w:hAnsi="宋体" w:eastAsia="黑体"/>
          <w:sz w:val="30"/>
        </w:rPr>
      </w:pPr>
    </w:p>
    <w:p>
      <w:pPr>
        <w:spacing w:line="360" w:lineRule="auto"/>
        <w:ind w:right="-341"/>
        <w:jc w:val="center"/>
        <w:rPr>
          <w:rFonts w:ascii="黑体" w:hAnsi="宋体" w:eastAsia="黑体"/>
          <w:sz w:val="30"/>
        </w:rPr>
      </w:pPr>
    </w:p>
    <w:p>
      <w:pPr>
        <w:pStyle w:val="2"/>
      </w:pPr>
    </w:p>
    <w:p>
      <w:pPr>
        <w:pStyle w:val="3"/>
      </w:pPr>
    </w:p>
    <w:p>
      <w:pPr>
        <w:pStyle w:val="3"/>
      </w:pPr>
    </w:p>
    <w:p>
      <w:pPr>
        <w:spacing w:line="360" w:lineRule="auto"/>
        <w:ind w:right="-341"/>
        <w:jc w:val="center"/>
        <w:rPr>
          <w:rFonts w:ascii="黑体" w:hAnsi="宋体" w:eastAsia="黑体"/>
          <w:sz w:val="30"/>
        </w:rPr>
      </w:pPr>
      <w:r>
        <w:rPr>
          <w:rFonts w:hint="eastAsia" w:ascii="黑体" w:hAnsi="宋体" w:eastAsia="黑体"/>
          <w:sz w:val="30"/>
        </w:rPr>
        <w:t>第五章  合同主要条款</w:t>
      </w:r>
      <w:bookmarkEnd w:id="0"/>
    </w:p>
    <w:p>
      <w:pPr>
        <w:jc w:val="center"/>
        <w:rPr>
          <w:b/>
          <w:sz w:val="28"/>
        </w:rPr>
      </w:pPr>
      <w:r>
        <w:rPr>
          <w:rFonts w:hint="eastAsia"/>
          <w:b/>
          <w:sz w:val="28"/>
        </w:rPr>
        <w:t>采购合同(仅供参考)</w:t>
      </w:r>
    </w:p>
    <w:p>
      <w:pPr>
        <w:pStyle w:val="20"/>
        <w:snapToGrid w:val="0"/>
        <w:spacing w:before="120"/>
        <w:ind w:firstLine="422"/>
        <w:jc w:val="center"/>
        <w:rPr>
          <w:b/>
          <w:sz w:val="21"/>
          <w:szCs w:val="21"/>
        </w:rPr>
      </w:pPr>
      <w:r>
        <w:rPr>
          <w:rFonts w:hint="eastAsia"/>
          <w:b/>
          <w:sz w:val="21"/>
          <w:szCs w:val="21"/>
        </w:rPr>
        <w:t>（本合同为合同样稿，最终稿由甲乙双方协商后确定）</w:t>
      </w:r>
    </w:p>
    <w:p>
      <w:pPr>
        <w:pStyle w:val="20"/>
        <w:snapToGrid w:val="0"/>
        <w:spacing w:before="120"/>
        <w:jc w:val="center"/>
        <w:rPr>
          <w:b/>
          <w:sz w:val="21"/>
          <w:szCs w:val="21"/>
        </w:rPr>
      </w:pPr>
      <w:r>
        <w:rPr>
          <w:rFonts w:hint="eastAsia"/>
          <w:sz w:val="21"/>
          <w:szCs w:val="21"/>
        </w:rPr>
        <w:t xml:space="preserve">                                      编号：</w:t>
      </w:r>
    </w:p>
    <w:p>
      <w:pPr>
        <w:spacing w:line="400" w:lineRule="exact"/>
        <w:rPr>
          <w:rFonts w:ascii="宋体" w:hAnsi="宋体"/>
          <w:szCs w:val="21"/>
        </w:rPr>
      </w:pPr>
      <w:r>
        <w:rPr>
          <w:rFonts w:hint="eastAsia" w:ascii="宋体" w:hAnsi="宋体"/>
          <w:szCs w:val="21"/>
        </w:rPr>
        <w:t>甲方（采购人）：</w:t>
      </w:r>
    </w:p>
    <w:p>
      <w:pPr>
        <w:spacing w:line="400" w:lineRule="exact"/>
        <w:rPr>
          <w:rFonts w:ascii="宋体" w:hAnsi="宋体"/>
          <w:szCs w:val="21"/>
        </w:rPr>
      </w:pPr>
      <w:r>
        <w:rPr>
          <w:rFonts w:hint="eastAsia" w:ascii="宋体" w:hAnsi="宋体"/>
          <w:szCs w:val="21"/>
        </w:rPr>
        <w:t>乙方（中标供应商）：</w:t>
      </w:r>
    </w:p>
    <w:p>
      <w:pPr>
        <w:spacing w:line="400" w:lineRule="exact"/>
        <w:ind w:firstLine="420" w:firstLineChars="200"/>
        <w:rPr>
          <w:rFonts w:ascii="宋体" w:hAnsi="宋体"/>
          <w:szCs w:val="21"/>
        </w:rPr>
      </w:pPr>
      <w:r>
        <w:rPr>
          <w:rFonts w:hint="eastAsia" w:ascii="宋体" w:hAnsi="宋体"/>
          <w:szCs w:val="21"/>
          <w:u w:val="single"/>
        </w:rPr>
        <w:t>（采购人）</w:t>
      </w:r>
      <w:r>
        <w:rPr>
          <w:rFonts w:hint="eastAsia" w:ascii="宋体" w:hAnsi="宋体"/>
          <w:szCs w:val="21"/>
        </w:rPr>
        <w:t>经过公开招标，确定</w:t>
      </w:r>
      <w:r>
        <w:rPr>
          <w:rFonts w:hint="eastAsia" w:ascii="宋体" w:hAnsi="宋体"/>
          <w:szCs w:val="21"/>
          <w:u w:val="single"/>
        </w:rPr>
        <w:t>（中标供应商）</w:t>
      </w:r>
      <w:r>
        <w:rPr>
          <w:rFonts w:hint="eastAsia" w:ascii="宋体" w:hAnsi="宋体"/>
          <w:szCs w:val="21"/>
        </w:rPr>
        <w:t>为供货单位，经甲乙双方协商，达成以下条款。具体如下：</w:t>
      </w:r>
    </w:p>
    <w:p>
      <w:pPr>
        <w:spacing w:line="400" w:lineRule="exact"/>
        <w:ind w:firstLine="422" w:firstLineChars="200"/>
        <w:rPr>
          <w:rFonts w:ascii="宋体" w:hAnsi="宋体"/>
          <w:b/>
          <w:szCs w:val="21"/>
        </w:rPr>
      </w:pPr>
      <w:r>
        <w:rPr>
          <w:rFonts w:hint="eastAsia" w:ascii="宋体" w:hAnsi="宋体"/>
          <w:b/>
          <w:szCs w:val="21"/>
        </w:rPr>
        <w:t>一、合同内容</w:t>
      </w:r>
    </w:p>
    <w:p>
      <w:pPr>
        <w:spacing w:line="400" w:lineRule="exact"/>
        <w:ind w:firstLine="420" w:firstLineChars="200"/>
        <w:rPr>
          <w:rFonts w:ascii="宋体" w:hAnsi="宋体"/>
          <w:szCs w:val="21"/>
        </w:rPr>
      </w:pPr>
      <w:r>
        <w:rPr>
          <w:rFonts w:hint="eastAsia" w:ascii="宋体" w:hAnsi="宋体"/>
          <w:szCs w:val="21"/>
        </w:rPr>
        <w:t>1、合同内容：</w:t>
      </w:r>
      <w:r>
        <w:rPr>
          <w:rFonts w:hint="eastAsia" w:ascii="宋体" w:hAnsi="宋体"/>
          <w:szCs w:val="21"/>
          <w:u w:val="single"/>
        </w:rPr>
        <w:t>详见招标文件，乙方必须按投标文件承诺的服务响应条款向甲方提供服务。</w:t>
      </w:r>
    </w:p>
    <w:p>
      <w:pPr>
        <w:spacing w:line="400" w:lineRule="exact"/>
        <w:ind w:firstLine="422" w:firstLineChars="200"/>
        <w:rPr>
          <w:rFonts w:ascii="宋体" w:hAnsi="宋体"/>
          <w:b/>
          <w:szCs w:val="21"/>
        </w:rPr>
      </w:pPr>
      <w:r>
        <w:rPr>
          <w:rFonts w:hint="eastAsia" w:ascii="宋体" w:hAnsi="宋体"/>
          <w:b/>
          <w:szCs w:val="21"/>
        </w:rPr>
        <w:t>二、合同金额</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815"/>
        <w:gridCol w:w="4495"/>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vAlign w:val="center"/>
          </w:tcPr>
          <w:p>
            <w:pPr>
              <w:snapToGrid w:val="0"/>
              <w:spacing w:line="400" w:lineRule="exact"/>
              <w:jc w:val="center"/>
              <w:rPr>
                <w:rFonts w:ascii="宋体" w:hAnsi="宋体"/>
                <w:szCs w:val="21"/>
              </w:rPr>
            </w:pPr>
            <w:r>
              <w:rPr>
                <w:rFonts w:hint="eastAsia" w:ascii="宋体" w:hAnsi="宋体"/>
                <w:szCs w:val="21"/>
              </w:rPr>
              <w:t>标项</w:t>
            </w:r>
          </w:p>
        </w:tc>
        <w:tc>
          <w:tcPr>
            <w:tcW w:w="1815" w:type="dxa"/>
            <w:vAlign w:val="center"/>
          </w:tcPr>
          <w:p>
            <w:pPr>
              <w:spacing w:line="400" w:lineRule="exact"/>
              <w:jc w:val="center"/>
              <w:rPr>
                <w:rFonts w:ascii="宋体" w:hAnsi="宋体"/>
                <w:szCs w:val="21"/>
              </w:rPr>
            </w:pPr>
            <w:r>
              <w:rPr>
                <w:rFonts w:hint="eastAsia" w:ascii="宋体" w:hAnsi="宋体"/>
                <w:szCs w:val="21"/>
              </w:rPr>
              <w:t>服务名称</w:t>
            </w:r>
          </w:p>
        </w:tc>
        <w:tc>
          <w:tcPr>
            <w:tcW w:w="4495" w:type="dxa"/>
            <w:vAlign w:val="center"/>
          </w:tcPr>
          <w:p>
            <w:pPr>
              <w:spacing w:line="400" w:lineRule="exact"/>
              <w:jc w:val="center"/>
              <w:rPr>
                <w:rFonts w:ascii="宋体" w:hAnsi="宋体"/>
                <w:szCs w:val="21"/>
              </w:rPr>
            </w:pPr>
            <w:r>
              <w:rPr>
                <w:rFonts w:hint="eastAsia" w:ascii="宋体" w:hAnsi="宋体"/>
                <w:szCs w:val="21"/>
              </w:rPr>
              <w:t>合同履行期限</w:t>
            </w:r>
          </w:p>
        </w:tc>
        <w:tc>
          <w:tcPr>
            <w:tcW w:w="1696" w:type="dxa"/>
            <w:vAlign w:val="center"/>
          </w:tcPr>
          <w:p>
            <w:pPr>
              <w:spacing w:line="400" w:lineRule="exact"/>
              <w:jc w:val="center"/>
              <w:rPr>
                <w:rFonts w:ascii="宋体" w:hAnsi="宋体"/>
                <w:szCs w:val="21"/>
              </w:rPr>
            </w:pPr>
            <w:r>
              <w:rPr>
                <w:rFonts w:hint="eastAsia" w:ascii="宋体" w:hAnsi="宋体"/>
                <w:szCs w:val="21"/>
              </w:rPr>
              <w:t>合同总价</w:t>
            </w:r>
          </w:p>
          <w:p>
            <w:pPr>
              <w:spacing w:line="400" w:lineRule="exact"/>
              <w:jc w:val="center"/>
              <w:rPr>
                <w:rFonts w:ascii="宋体" w:hAnsi="宋体"/>
                <w:szCs w:val="21"/>
              </w:rPr>
            </w:pPr>
            <w:r>
              <w:rPr>
                <w:rFonts w:hint="eastAsia" w:ascii="宋体" w:hAnsi="宋体"/>
                <w:szCs w:val="21"/>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680" w:type="dxa"/>
            <w:vAlign w:val="center"/>
          </w:tcPr>
          <w:p>
            <w:pPr>
              <w:snapToGrid w:val="0"/>
              <w:spacing w:line="400" w:lineRule="exact"/>
              <w:jc w:val="center"/>
              <w:rPr>
                <w:rFonts w:ascii="宋体" w:hAnsi="宋体"/>
                <w:szCs w:val="21"/>
              </w:rPr>
            </w:pPr>
            <w:r>
              <w:rPr>
                <w:rFonts w:hint="eastAsia" w:ascii="宋体" w:hAnsi="宋体"/>
                <w:szCs w:val="21"/>
              </w:rPr>
              <w:t>1</w:t>
            </w:r>
          </w:p>
        </w:tc>
        <w:tc>
          <w:tcPr>
            <w:tcW w:w="1815" w:type="dxa"/>
            <w:vAlign w:val="center"/>
          </w:tcPr>
          <w:p>
            <w:pPr>
              <w:spacing w:line="400" w:lineRule="exact"/>
              <w:jc w:val="center"/>
              <w:rPr>
                <w:rFonts w:ascii="宋体" w:hAnsi="宋体"/>
              </w:rPr>
            </w:pPr>
          </w:p>
        </w:tc>
        <w:tc>
          <w:tcPr>
            <w:tcW w:w="4495" w:type="dxa"/>
            <w:vAlign w:val="center"/>
          </w:tcPr>
          <w:p>
            <w:pPr>
              <w:snapToGrid w:val="0"/>
              <w:spacing w:line="400" w:lineRule="exact"/>
              <w:jc w:val="center"/>
              <w:rPr>
                <w:rFonts w:ascii="宋体" w:hAnsi="宋体"/>
                <w:szCs w:val="21"/>
              </w:rPr>
            </w:pPr>
            <w:r>
              <w:rPr>
                <w:rFonts w:hint="eastAsia"/>
                <w:szCs w:val="21"/>
              </w:rPr>
              <w:t>自</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日至</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日止</w:t>
            </w:r>
          </w:p>
        </w:tc>
        <w:tc>
          <w:tcPr>
            <w:tcW w:w="1696" w:type="dxa"/>
            <w:vAlign w:val="center"/>
          </w:tcPr>
          <w:p>
            <w:pPr>
              <w:snapToGrid w:val="0"/>
              <w:spacing w:line="400" w:lineRule="exact"/>
              <w:jc w:val="center"/>
              <w:rPr>
                <w:rFonts w:ascii="宋体" w:hAnsi="宋体"/>
                <w:szCs w:val="21"/>
              </w:rPr>
            </w:pPr>
          </w:p>
        </w:tc>
      </w:tr>
    </w:tbl>
    <w:p>
      <w:pPr>
        <w:spacing w:line="400" w:lineRule="exact"/>
        <w:ind w:firstLine="422" w:firstLineChars="200"/>
        <w:rPr>
          <w:rFonts w:ascii="宋体" w:hAnsi="宋体"/>
          <w:b/>
          <w:szCs w:val="21"/>
        </w:rPr>
      </w:pPr>
      <w:r>
        <w:rPr>
          <w:rFonts w:hint="eastAsia" w:ascii="宋体" w:hAnsi="宋体"/>
          <w:b/>
          <w:szCs w:val="21"/>
        </w:rPr>
        <w:t>三、合同不可分割的组成部分</w:t>
      </w:r>
    </w:p>
    <w:p>
      <w:pPr>
        <w:spacing w:line="400" w:lineRule="exact"/>
        <w:ind w:firstLine="420" w:firstLineChars="200"/>
        <w:rPr>
          <w:rFonts w:ascii="宋体" w:hAnsi="宋体"/>
          <w:szCs w:val="21"/>
        </w:rPr>
      </w:pPr>
      <w:r>
        <w:rPr>
          <w:rFonts w:hint="eastAsia" w:ascii="宋体" w:hAnsi="宋体"/>
          <w:szCs w:val="21"/>
        </w:rPr>
        <w:t>1、招标文件</w:t>
      </w:r>
    </w:p>
    <w:p>
      <w:pPr>
        <w:spacing w:line="400" w:lineRule="exact"/>
        <w:ind w:firstLine="420" w:firstLineChars="200"/>
        <w:rPr>
          <w:rFonts w:ascii="宋体" w:hAnsi="宋体"/>
          <w:szCs w:val="21"/>
        </w:rPr>
      </w:pPr>
      <w:r>
        <w:rPr>
          <w:rFonts w:hint="eastAsia" w:ascii="宋体" w:hAnsi="宋体"/>
          <w:szCs w:val="21"/>
        </w:rPr>
        <w:t>2、乙方的投标文件</w:t>
      </w:r>
    </w:p>
    <w:p>
      <w:pPr>
        <w:spacing w:line="400" w:lineRule="exact"/>
        <w:ind w:firstLine="420" w:firstLineChars="200"/>
        <w:rPr>
          <w:rFonts w:ascii="宋体" w:hAnsi="宋体"/>
          <w:szCs w:val="21"/>
        </w:rPr>
      </w:pPr>
      <w:r>
        <w:rPr>
          <w:rFonts w:hint="eastAsia" w:ascii="宋体" w:hAnsi="宋体"/>
          <w:szCs w:val="21"/>
        </w:rPr>
        <w:t>3、中标通知书</w:t>
      </w:r>
    </w:p>
    <w:p>
      <w:pPr>
        <w:spacing w:line="400" w:lineRule="exact"/>
        <w:ind w:firstLine="422" w:firstLineChars="200"/>
        <w:rPr>
          <w:rFonts w:ascii="宋体" w:hAnsi="宋体"/>
          <w:b/>
          <w:szCs w:val="21"/>
        </w:rPr>
      </w:pPr>
      <w:r>
        <w:rPr>
          <w:rFonts w:hint="eastAsia" w:ascii="宋体" w:hAnsi="宋体"/>
          <w:b/>
          <w:szCs w:val="21"/>
        </w:rPr>
        <w:t>四、付款方式</w:t>
      </w:r>
    </w:p>
    <w:p>
      <w:pPr>
        <w:spacing w:line="400" w:lineRule="exact"/>
        <w:ind w:firstLine="422" w:firstLineChars="200"/>
        <w:rPr>
          <w:rFonts w:ascii="宋体" w:hAnsi="宋体"/>
          <w:b/>
          <w:szCs w:val="21"/>
        </w:rPr>
      </w:pPr>
    </w:p>
    <w:p>
      <w:pPr>
        <w:spacing w:line="400" w:lineRule="exact"/>
        <w:ind w:firstLine="422" w:firstLineChars="200"/>
        <w:rPr>
          <w:rFonts w:ascii="宋体" w:hAnsi="宋体"/>
          <w:b/>
          <w:szCs w:val="21"/>
        </w:rPr>
      </w:pPr>
    </w:p>
    <w:p>
      <w:pPr>
        <w:spacing w:line="400" w:lineRule="exact"/>
        <w:ind w:firstLine="422" w:firstLineChars="200"/>
        <w:rPr>
          <w:rFonts w:ascii="宋体" w:hAnsi="宋体"/>
          <w:b/>
          <w:szCs w:val="21"/>
        </w:rPr>
      </w:pPr>
      <w:r>
        <w:rPr>
          <w:rFonts w:hint="eastAsia" w:ascii="宋体" w:hAnsi="宋体"/>
          <w:b/>
          <w:szCs w:val="21"/>
        </w:rPr>
        <w:t>五、质量保证</w:t>
      </w:r>
    </w:p>
    <w:p>
      <w:pPr>
        <w:spacing w:line="400" w:lineRule="exact"/>
        <w:ind w:firstLine="420" w:firstLineChars="200"/>
        <w:rPr>
          <w:rFonts w:ascii="宋体" w:hAnsi="宋体"/>
          <w:szCs w:val="21"/>
        </w:rPr>
      </w:pPr>
      <w:r>
        <w:rPr>
          <w:rFonts w:hint="eastAsia" w:ascii="宋体" w:hAnsi="宋体"/>
          <w:szCs w:val="21"/>
        </w:rPr>
        <w:t>乙方保证按本合同提供</w:t>
      </w:r>
      <w:r>
        <w:rPr>
          <w:rFonts w:hint="eastAsia" w:ascii="宋体" w:hAnsi="宋体"/>
        </w:rPr>
        <w:t>维保服务</w:t>
      </w:r>
      <w:r>
        <w:rPr>
          <w:rFonts w:hint="eastAsia" w:ascii="宋体" w:hAnsi="宋体"/>
          <w:szCs w:val="21"/>
        </w:rPr>
        <w:t>，符合原厂生产工艺方面的要求和产品在生产地装运时的产品说明书或使用说明书中的质量标准，没有任何材料和使用上的缺陷。</w:t>
      </w:r>
    </w:p>
    <w:p>
      <w:pPr>
        <w:spacing w:line="400" w:lineRule="exact"/>
        <w:ind w:firstLine="420"/>
        <w:rPr>
          <w:rFonts w:ascii="宋体" w:hAnsi="宋体"/>
          <w:b/>
          <w:szCs w:val="21"/>
        </w:rPr>
      </w:pPr>
      <w:r>
        <w:rPr>
          <w:rFonts w:hint="eastAsia" w:ascii="宋体" w:hAnsi="宋体"/>
          <w:b/>
          <w:szCs w:val="21"/>
        </w:rPr>
        <w:t>六、包装、运输、保险、安装、调试</w:t>
      </w:r>
    </w:p>
    <w:p>
      <w:pPr>
        <w:spacing w:line="400" w:lineRule="exact"/>
        <w:ind w:firstLine="420" w:firstLineChars="200"/>
        <w:rPr>
          <w:rFonts w:ascii="宋体" w:hAnsi="宋体"/>
          <w:szCs w:val="21"/>
        </w:rPr>
      </w:pPr>
      <w:r>
        <w:rPr>
          <w:rFonts w:hint="eastAsia" w:ascii="宋体" w:hAnsi="宋体"/>
          <w:szCs w:val="21"/>
        </w:rPr>
        <w:t>1、乙方应采用国家或专业标准保护措施进行包装，确保产品安全无损运抵现场。由于包装不善引起的产品损坏、损失均由乙方负责。</w:t>
      </w:r>
    </w:p>
    <w:p>
      <w:pPr>
        <w:spacing w:line="400" w:lineRule="exact"/>
        <w:ind w:firstLine="420" w:firstLineChars="200"/>
        <w:rPr>
          <w:rFonts w:ascii="宋体" w:hAnsi="宋体"/>
          <w:szCs w:val="21"/>
        </w:rPr>
      </w:pPr>
      <w:r>
        <w:rPr>
          <w:rFonts w:hint="eastAsia" w:ascii="宋体" w:hAnsi="宋体"/>
          <w:szCs w:val="21"/>
        </w:rPr>
        <w:t>2、乙方负责为甲方办理运输和保险。</w:t>
      </w:r>
    </w:p>
    <w:p>
      <w:pPr>
        <w:spacing w:line="400" w:lineRule="exact"/>
        <w:ind w:firstLine="420"/>
        <w:rPr>
          <w:rFonts w:ascii="宋体" w:hAnsi="宋体"/>
          <w:szCs w:val="21"/>
        </w:rPr>
      </w:pPr>
      <w:r>
        <w:rPr>
          <w:rFonts w:hint="eastAsia" w:ascii="宋体" w:hAnsi="宋体"/>
          <w:szCs w:val="21"/>
        </w:rPr>
        <w:t>3、乙方负责为产品进行安装、调试。</w:t>
      </w:r>
    </w:p>
    <w:p>
      <w:pPr>
        <w:spacing w:line="400" w:lineRule="exact"/>
        <w:ind w:firstLine="420"/>
        <w:rPr>
          <w:rFonts w:ascii="宋体" w:hAnsi="宋体"/>
          <w:szCs w:val="21"/>
        </w:rPr>
      </w:pPr>
      <w:r>
        <w:rPr>
          <w:rFonts w:hint="eastAsia" w:ascii="宋体" w:hAnsi="宋体"/>
          <w:szCs w:val="21"/>
        </w:rPr>
        <w:t>4、以上产生的所有费用均由乙方负责。</w:t>
      </w:r>
    </w:p>
    <w:p>
      <w:pPr>
        <w:spacing w:line="400" w:lineRule="exact"/>
        <w:ind w:firstLine="422" w:firstLineChars="200"/>
        <w:rPr>
          <w:b/>
          <w:szCs w:val="21"/>
        </w:rPr>
      </w:pPr>
      <w:r>
        <w:rPr>
          <w:rFonts w:hint="eastAsia" w:ascii="宋体" w:hAnsi="宋体"/>
          <w:b/>
          <w:szCs w:val="21"/>
        </w:rPr>
        <w:t>七、</w:t>
      </w:r>
      <w:r>
        <w:rPr>
          <w:rFonts w:hint="eastAsia"/>
          <w:b/>
          <w:szCs w:val="21"/>
        </w:rPr>
        <w:t>转包或分包</w:t>
      </w:r>
    </w:p>
    <w:p>
      <w:pPr>
        <w:spacing w:line="400" w:lineRule="exact"/>
        <w:ind w:firstLine="420" w:firstLineChars="200"/>
        <w:rPr>
          <w:szCs w:val="21"/>
        </w:rPr>
      </w:pPr>
      <w:r>
        <w:rPr>
          <w:rFonts w:hint="eastAsia"/>
          <w:szCs w:val="21"/>
        </w:rPr>
        <w:t>本项目不允许转包或分包，否则，甲方有权解除合同，并追究乙方的违约责任。</w:t>
      </w:r>
    </w:p>
    <w:p>
      <w:pPr>
        <w:spacing w:line="400" w:lineRule="exact"/>
        <w:ind w:firstLine="422" w:firstLineChars="200"/>
        <w:rPr>
          <w:b/>
          <w:szCs w:val="21"/>
        </w:rPr>
      </w:pPr>
      <w:r>
        <w:rPr>
          <w:rFonts w:hint="eastAsia" w:ascii="宋体" w:hAnsi="宋体"/>
          <w:b/>
          <w:szCs w:val="21"/>
        </w:rPr>
        <w:t>八、</w:t>
      </w:r>
      <w:r>
        <w:rPr>
          <w:rFonts w:hint="eastAsia"/>
          <w:b/>
          <w:szCs w:val="21"/>
        </w:rPr>
        <w:t>税费</w:t>
      </w:r>
    </w:p>
    <w:p>
      <w:pPr>
        <w:spacing w:line="400" w:lineRule="exact"/>
        <w:ind w:firstLine="420" w:firstLineChars="200"/>
        <w:rPr>
          <w:rFonts w:ascii="宋体" w:hAnsi="宋体"/>
          <w:b/>
          <w:szCs w:val="21"/>
        </w:rPr>
      </w:pPr>
      <w:r>
        <w:rPr>
          <w:rFonts w:hint="eastAsia"/>
          <w:szCs w:val="21"/>
        </w:rPr>
        <w:t>本合同执行中相关的一切税费均由乙方负担。</w:t>
      </w:r>
    </w:p>
    <w:p>
      <w:pPr>
        <w:spacing w:line="400" w:lineRule="exact"/>
        <w:ind w:firstLine="422" w:firstLineChars="200"/>
        <w:rPr>
          <w:b/>
          <w:szCs w:val="21"/>
        </w:rPr>
      </w:pPr>
      <w:r>
        <w:rPr>
          <w:rFonts w:hint="eastAsia" w:ascii="宋体" w:hAnsi="宋体"/>
          <w:b/>
          <w:szCs w:val="21"/>
        </w:rPr>
        <w:t>九、</w:t>
      </w:r>
      <w:r>
        <w:rPr>
          <w:b/>
          <w:szCs w:val="21"/>
        </w:rPr>
        <w:t>违约责任</w:t>
      </w:r>
    </w:p>
    <w:p>
      <w:pPr>
        <w:spacing w:line="400" w:lineRule="exact"/>
        <w:ind w:firstLine="420" w:firstLineChars="200"/>
        <w:rPr>
          <w:rFonts w:ascii="宋体" w:hAnsi="宋体"/>
        </w:rPr>
      </w:pPr>
      <w:r>
        <w:rPr>
          <w:rFonts w:hint="eastAsia" w:ascii="宋体" w:hAnsi="宋体"/>
        </w:rPr>
        <w:t>1、乙方在合同有效期内，除不可抗力以外不得以任何理由终止合同，确有特殊情况的，须提前两个月向甲方书面申请，经甲方同意后，方可终止合同，同时酌情赔偿经济损失。</w:t>
      </w:r>
    </w:p>
    <w:p>
      <w:pPr>
        <w:spacing w:line="400" w:lineRule="exact"/>
        <w:ind w:firstLine="420" w:firstLineChars="200"/>
        <w:rPr>
          <w:rFonts w:ascii="宋体" w:hAnsi="宋体"/>
        </w:rPr>
      </w:pPr>
      <w:r>
        <w:rPr>
          <w:rFonts w:hint="eastAsia" w:ascii="宋体" w:hAnsi="宋体"/>
        </w:rPr>
        <w:t>2、乙方提供的服务不符合招标文件、投标文件或本合同规定的，乙方应自收到甲方通知后的</w:t>
      </w:r>
      <w:r>
        <w:rPr>
          <w:rFonts w:ascii="宋体" w:hAnsi="宋体"/>
        </w:rPr>
        <w:t>48</w:t>
      </w:r>
      <w:r>
        <w:rPr>
          <w:rFonts w:hint="eastAsia" w:ascii="宋体" w:hAnsi="宋体"/>
        </w:rPr>
        <w:t>小时内提供符合招标文件、投标文件和本合同规定的服务，逾期视为乙方违约，按合同总价每日千分之五向甲方支付违约金，由甲方从待付费用中扣除，逾期超过7个工作日的，甲方有权解除本合同。</w:t>
      </w:r>
    </w:p>
    <w:p>
      <w:pPr>
        <w:spacing w:line="400" w:lineRule="exact"/>
        <w:ind w:firstLine="420" w:firstLineChars="200"/>
        <w:rPr>
          <w:rFonts w:ascii="宋体" w:hAnsi="宋体"/>
        </w:rPr>
      </w:pPr>
      <w:r>
        <w:rPr>
          <w:rFonts w:hint="eastAsia" w:ascii="宋体" w:hAnsi="宋体"/>
        </w:rPr>
        <w:t>3、甲方无故逾期支付合同款的，甲方应按逾期付款总额每日万分之五向乙方支付违约金。</w:t>
      </w:r>
    </w:p>
    <w:p>
      <w:pPr>
        <w:spacing w:line="400" w:lineRule="exact"/>
        <w:ind w:firstLine="422" w:firstLineChars="200"/>
        <w:rPr>
          <w:b/>
          <w:szCs w:val="21"/>
        </w:rPr>
      </w:pPr>
      <w:r>
        <w:rPr>
          <w:rFonts w:hint="eastAsia" w:ascii="宋体" w:hAnsi="宋体"/>
          <w:b/>
          <w:szCs w:val="21"/>
        </w:rPr>
        <w:t>十、</w:t>
      </w:r>
      <w:r>
        <w:rPr>
          <w:b/>
          <w:szCs w:val="21"/>
        </w:rPr>
        <w:t>不可抗力事件处理</w:t>
      </w:r>
    </w:p>
    <w:p>
      <w:pPr>
        <w:spacing w:line="400" w:lineRule="exact"/>
        <w:ind w:firstLine="420" w:firstLineChars="200"/>
        <w:rPr>
          <w:rFonts w:ascii="宋体" w:hAnsi="宋体"/>
        </w:rPr>
      </w:pPr>
      <w:r>
        <w:rPr>
          <w:rFonts w:ascii="宋体" w:hAnsi="宋体"/>
        </w:rPr>
        <w:t>1</w:t>
      </w:r>
      <w:r>
        <w:rPr>
          <w:rFonts w:hint="eastAsia" w:ascii="宋体" w:hAnsi="宋体"/>
        </w:rPr>
        <w:t>、</w:t>
      </w:r>
      <w:r>
        <w:rPr>
          <w:rFonts w:ascii="宋体" w:hAnsi="宋体"/>
        </w:rPr>
        <w:t>在合同有效期内，任何一方因不可抗力事件导致不能履行合同，则合同履行期可延长，其延长期与不可抗力影响期相同。</w:t>
      </w:r>
    </w:p>
    <w:p>
      <w:pPr>
        <w:spacing w:line="400" w:lineRule="exact"/>
        <w:ind w:firstLine="420" w:firstLineChars="200"/>
        <w:rPr>
          <w:rFonts w:ascii="宋体" w:hAnsi="宋体"/>
        </w:rPr>
      </w:pPr>
      <w:r>
        <w:rPr>
          <w:rFonts w:ascii="宋体" w:hAnsi="宋体"/>
        </w:rPr>
        <w:t>2</w:t>
      </w:r>
      <w:r>
        <w:rPr>
          <w:rFonts w:hint="eastAsia" w:ascii="宋体" w:hAnsi="宋体"/>
        </w:rPr>
        <w:t>、</w:t>
      </w:r>
      <w:r>
        <w:rPr>
          <w:rFonts w:ascii="宋体" w:hAnsi="宋体"/>
        </w:rPr>
        <w:t>不可抗力事件发生后，应立即通知对方，并寄送有关权威机构出具的证明。</w:t>
      </w:r>
    </w:p>
    <w:p>
      <w:pPr>
        <w:spacing w:line="400" w:lineRule="exact"/>
        <w:ind w:firstLine="420" w:firstLineChars="200"/>
        <w:rPr>
          <w:rFonts w:ascii="宋体" w:hAnsi="宋体"/>
        </w:rPr>
      </w:pPr>
      <w:r>
        <w:rPr>
          <w:rFonts w:ascii="宋体" w:hAnsi="宋体"/>
        </w:rPr>
        <w:t>3</w:t>
      </w:r>
      <w:r>
        <w:rPr>
          <w:rFonts w:hint="eastAsia" w:ascii="宋体" w:hAnsi="宋体"/>
        </w:rPr>
        <w:t>、</w:t>
      </w:r>
      <w:r>
        <w:rPr>
          <w:rFonts w:ascii="宋体" w:hAnsi="宋体"/>
        </w:rPr>
        <w:t>不可抗力事件延续120天以上，双方应通过友好协商，确定是否继续履行合同。</w:t>
      </w:r>
    </w:p>
    <w:p>
      <w:pPr>
        <w:spacing w:line="400" w:lineRule="exact"/>
        <w:ind w:firstLine="422" w:firstLineChars="200"/>
        <w:rPr>
          <w:b/>
          <w:szCs w:val="21"/>
        </w:rPr>
      </w:pPr>
      <w:r>
        <w:rPr>
          <w:rFonts w:hint="eastAsia" w:ascii="宋体" w:hAnsi="宋体"/>
          <w:b/>
          <w:szCs w:val="21"/>
        </w:rPr>
        <w:t>十一、争议的解决</w:t>
      </w:r>
    </w:p>
    <w:p>
      <w:pPr>
        <w:spacing w:line="400" w:lineRule="exact"/>
        <w:ind w:firstLine="420" w:firstLineChars="200"/>
        <w:rPr>
          <w:rFonts w:ascii="宋体" w:hAnsi="宋体"/>
          <w:szCs w:val="21"/>
        </w:rPr>
      </w:pPr>
      <w:r>
        <w:rPr>
          <w:rFonts w:hint="eastAsia" w:ascii="宋体" w:hAnsi="宋体"/>
        </w:rPr>
        <w:t>本合同在履行过程中发生争议时，当事人双方应及时协调解决。协商不成时，由甲方所在地仲裁委员会仲裁或向当地法院起诉。</w:t>
      </w:r>
    </w:p>
    <w:p>
      <w:pPr>
        <w:spacing w:line="400" w:lineRule="exact"/>
        <w:ind w:firstLine="422" w:firstLineChars="200"/>
        <w:rPr>
          <w:rFonts w:ascii="宋体" w:hAnsi="宋体"/>
          <w:b/>
          <w:szCs w:val="21"/>
        </w:rPr>
      </w:pPr>
      <w:r>
        <w:rPr>
          <w:rFonts w:hint="eastAsia" w:ascii="宋体" w:hAnsi="宋体"/>
          <w:b/>
          <w:szCs w:val="21"/>
        </w:rPr>
        <w:t>十二、合同的生效</w:t>
      </w:r>
    </w:p>
    <w:p>
      <w:pPr>
        <w:spacing w:line="312" w:lineRule="auto"/>
        <w:ind w:firstLine="539" w:firstLineChars="257"/>
        <w:rPr>
          <w:rFonts w:asciiTheme="minorEastAsia" w:hAnsiTheme="minorEastAsia" w:eastAsiaTheme="minorEastAsia"/>
          <w:szCs w:val="21"/>
        </w:rPr>
      </w:pPr>
      <w:r>
        <w:rPr>
          <w:rFonts w:hint="eastAsia" w:ascii="宋体" w:hAnsi="宋体"/>
        </w:rPr>
        <w:t>1、</w:t>
      </w:r>
      <w:r>
        <w:rPr>
          <w:rFonts w:hint="eastAsia" w:asciiTheme="minorEastAsia" w:hAnsiTheme="minorEastAsia" w:eastAsiaTheme="minorEastAsia"/>
          <w:szCs w:val="21"/>
        </w:rPr>
        <w:t>本合同经甲乙双方法定代表人和经办人签字并加盖单位公章后生效。</w:t>
      </w:r>
    </w:p>
    <w:p>
      <w:pPr>
        <w:spacing w:line="312" w:lineRule="auto"/>
        <w:ind w:left="420" w:leftChars="200" w:firstLine="105" w:firstLineChars="50"/>
        <w:rPr>
          <w:rFonts w:asciiTheme="minorEastAsia" w:hAnsiTheme="minorEastAsia" w:eastAsiaTheme="minorEastAsia"/>
          <w:szCs w:val="21"/>
        </w:rPr>
      </w:pPr>
      <w:r>
        <w:rPr>
          <w:rFonts w:hint="eastAsia" w:asciiTheme="minorEastAsia" w:hAnsiTheme="minorEastAsia" w:eastAsiaTheme="minorEastAsia"/>
          <w:szCs w:val="21"/>
        </w:rPr>
        <w:t>2、本合同壹式肆份，甲、乙双方、财政部门、代理机构各执壹份，具有同等的法律效力。</w:t>
      </w:r>
    </w:p>
    <w:p>
      <w:pPr>
        <w:spacing w:line="312" w:lineRule="auto"/>
        <w:rPr>
          <w:rFonts w:asciiTheme="minorEastAsia" w:hAnsiTheme="minorEastAsia" w:eastAsiaTheme="minorEastAsia"/>
          <w:szCs w:val="21"/>
        </w:rPr>
      </w:pPr>
      <w:r>
        <w:rPr>
          <w:rFonts w:hint="eastAsia" w:asciiTheme="minorEastAsia" w:hAnsiTheme="minorEastAsia" w:eastAsiaTheme="minorEastAsia"/>
          <w:szCs w:val="21"/>
        </w:rPr>
        <w:t xml:space="preserve">    </w:t>
      </w:r>
    </w:p>
    <w:p>
      <w:pPr>
        <w:spacing w:line="312" w:lineRule="auto"/>
        <w:rPr>
          <w:rFonts w:asciiTheme="minorEastAsia" w:hAnsiTheme="minorEastAsia" w:eastAsiaTheme="minorEastAsia"/>
          <w:szCs w:val="21"/>
        </w:rPr>
      </w:pPr>
    </w:p>
    <w:p>
      <w:pPr>
        <w:spacing w:line="312"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甲方：                     乙方： </w:t>
      </w:r>
    </w:p>
    <w:p>
      <w:pPr>
        <w:spacing w:line="312" w:lineRule="auto"/>
        <w:rPr>
          <w:rFonts w:asciiTheme="minorEastAsia" w:hAnsiTheme="minorEastAsia" w:eastAsiaTheme="minorEastAsia"/>
          <w:szCs w:val="21"/>
        </w:rPr>
      </w:pPr>
      <w:r>
        <w:rPr>
          <w:rFonts w:hint="eastAsia" w:asciiTheme="minorEastAsia" w:hAnsiTheme="minorEastAsia" w:eastAsiaTheme="minorEastAsia"/>
          <w:szCs w:val="21"/>
        </w:rPr>
        <w:t xml:space="preserve">    地址：                     地址： </w:t>
      </w:r>
    </w:p>
    <w:p>
      <w:pPr>
        <w:spacing w:line="312" w:lineRule="auto"/>
        <w:rPr>
          <w:rFonts w:asciiTheme="minorEastAsia" w:hAnsiTheme="minorEastAsia" w:eastAsiaTheme="minorEastAsia"/>
          <w:szCs w:val="21"/>
        </w:rPr>
      </w:pPr>
      <w:r>
        <w:rPr>
          <w:rFonts w:hint="eastAsia" w:asciiTheme="minorEastAsia" w:hAnsiTheme="minorEastAsia" w:eastAsiaTheme="minorEastAsia"/>
          <w:szCs w:val="21"/>
        </w:rPr>
        <w:t xml:space="preserve">    法人代表：                 法人代表：  </w:t>
      </w:r>
    </w:p>
    <w:p>
      <w:pPr>
        <w:spacing w:line="312" w:lineRule="auto"/>
        <w:rPr>
          <w:rFonts w:asciiTheme="minorEastAsia" w:hAnsiTheme="minorEastAsia" w:eastAsiaTheme="minorEastAsia"/>
          <w:szCs w:val="21"/>
        </w:rPr>
      </w:pPr>
      <w:r>
        <w:rPr>
          <w:rFonts w:hint="eastAsia" w:asciiTheme="minorEastAsia" w:hAnsiTheme="minorEastAsia" w:eastAsiaTheme="minorEastAsia"/>
          <w:szCs w:val="21"/>
        </w:rPr>
        <w:t xml:space="preserve">    电话：                     电话： </w:t>
      </w:r>
    </w:p>
    <w:p>
      <w:pPr>
        <w:spacing w:line="312" w:lineRule="auto"/>
        <w:rPr>
          <w:rFonts w:asciiTheme="minorEastAsia" w:hAnsiTheme="minorEastAsia" w:eastAsiaTheme="minorEastAsia"/>
          <w:szCs w:val="21"/>
        </w:rPr>
      </w:pPr>
      <w:r>
        <w:rPr>
          <w:rFonts w:hint="eastAsia" w:asciiTheme="minorEastAsia" w:hAnsiTheme="minorEastAsia" w:eastAsiaTheme="minorEastAsia"/>
          <w:szCs w:val="21"/>
        </w:rPr>
        <w:t xml:space="preserve">    电传：                     电传：  </w:t>
      </w:r>
    </w:p>
    <w:p>
      <w:pPr>
        <w:spacing w:line="312" w:lineRule="auto"/>
        <w:rPr>
          <w:rFonts w:asciiTheme="minorEastAsia" w:hAnsiTheme="minorEastAsia" w:eastAsiaTheme="minorEastAsia"/>
          <w:szCs w:val="21"/>
        </w:rPr>
      </w:pPr>
      <w:r>
        <w:rPr>
          <w:rFonts w:hint="eastAsia" w:asciiTheme="minorEastAsia" w:hAnsiTheme="minorEastAsia" w:eastAsiaTheme="minorEastAsia"/>
          <w:szCs w:val="21"/>
        </w:rPr>
        <w:t xml:space="preserve">    邮政编码：                 邮政编码： </w:t>
      </w:r>
    </w:p>
    <w:p>
      <w:pPr>
        <w:spacing w:line="312" w:lineRule="auto"/>
        <w:rPr>
          <w:rFonts w:asciiTheme="minorEastAsia" w:hAnsiTheme="minorEastAsia" w:eastAsiaTheme="minorEastAsia"/>
          <w:szCs w:val="21"/>
        </w:rPr>
      </w:pPr>
      <w:r>
        <w:rPr>
          <w:rFonts w:hint="eastAsia" w:asciiTheme="minorEastAsia" w:hAnsiTheme="minorEastAsia" w:eastAsiaTheme="minorEastAsia"/>
          <w:szCs w:val="21"/>
        </w:rPr>
        <w:t xml:space="preserve">    开户银行：                 开户银行： </w:t>
      </w:r>
    </w:p>
    <w:p>
      <w:pPr>
        <w:spacing w:line="312" w:lineRule="auto"/>
        <w:rPr>
          <w:rFonts w:ascii="宋体" w:hAnsi="宋体"/>
          <w:szCs w:val="21"/>
        </w:rPr>
      </w:pPr>
      <w:r>
        <w:rPr>
          <w:rFonts w:hint="eastAsia" w:asciiTheme="minorEastAsia" w:hAnsiTheme="minorEastAsia" w:eastAsiaTheme="minorEastAsia"/>
          <w:szCs w:val="21"/>
        </w:rPr>
        <w:t xml:space="preserve">    帐号：                     帐号：</w:t>
      </w:r>
    </w:p>
    <w:p>
      <w:pPr>
        <w:pStyle w:val="2"/>
        <w:rPr>
          <w:sz w:val="21"/>
          <w:szCs w:val="21"/>
        </w:rPr>
      </w:pPr>
      <w:r>
        <w:rPr>
          <w:rFonts w:hint="eastAsia"/>
          <w:sz w:val="21"/>
          <w:szCs w:val="21"/>
        </w:rPr>
        <w:t xml:space="preserve">    日期：                    日期：</w:t>
      </w:r>
    </w:p>
    <w:p>
      <w:pPr>
        <w:pStyle w:val="2"/>
        <w:rPr>
          <w:sz w:val="21"/>
          <w:szCs w:val="21"/>
        </w:rPr>
      </w:pPr>
    </w:p>
    <w:p>
      <w:pPr>
        <w:pStyle w:val="3"/>
      </w:pPr>
    </w:p>
    <w:p>
      <w:pPr>
        <w:pStyle w:val="3"/>
      </w:pPr>
    </w:p>
    <w:p>
      <w:pPr>
        <w:pStyle w:val="3"/>
      </w:pPr>
    </w:p>
    <w:p>
      <w:pPr>
        <w:snapToGrid w:val="0"/>
        <w:spacing w:line="460" w:lineRule="atLeast"/>
        <w:rPr>
          <w:rFonts w:asciiTheme="minorEastAsia" w:hAnsiTheme="minorEastAsia" w:eastAsiaTheme="minorEastAsia"/>
          <w:szCs w:val="21"/>
        </w:rPr>
      </w:pPr>
      <w:r>
        <w:rPr>
          <w:rFonts w:hint="eastAsia" w:asciiTheme="minorEastAsia" w:hAnsiTheme="minorEastAsia" w:eastAsiaTheme="minorEastAsia"/>
          <w:szCs w:val="21"/>
        </w:rPr>
        <w:t>信贷政策</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cs="仿宋" w:asciiTheme="minorEastAsia" w:hAnsiTheme="minorEastAsia" w:eastAsiaTheme="minorEastAsia"/>
          <w:szCs w:val="21"/>
        </w:rPr>
        <w:t>为有效破解当前中小微企业面临的“融资难、融资贵”困局，充分发挥好政府采购扶持小微企业发展的政策功能，属于舟山市内的各中小企业可凭政府采购项目中标通知书等材料</w:t>
      </w:r>
      <w:r>
        <w:rPr>
          <w:rFonts w:hint="eastAsia" w:asciiTheme="minorEastAsia" w:hAnsiTheme="minorEastAsia" w:eastAsiaTheme="minorEastAsia"/>
          <w:szCs w:val="21"/>
        </w:rPr>
        <w:t>向舟山市政府采购信用融资合作银行申请相关融资产品，有关的合作银行详见下表：</w:t>
      </w:r>
    </w:p>
    <w:tbl>
      <w:tblPr>
        <w:tblStyle w:val="36"/>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3"/>
        <w:gridCol w:w="3547"/>
        <w:gridCol w:w="155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gridSpan w:val="4"/>
            <w:shd w:val="clear" w:color="auto" w:fill="auto"/>
          </w:tcPr>
          <w:p>
            <w:pPr>
              <w:jc w:val="center"/>
              <w:rPr>
                <w:rFonts w:asciiTheme="minorEastAsia" w:hAnsiTheme="minorEastAsia" w:eastAsiaTheme="minorEastAsia"/>
                <w:szCs w:val="21"/>
              </w:rPr>
            </w:pPr>
            <w:r>
              <w:rPr>
                <w:rFonts w:hint="eastAsia" w:asciiTheme="minorEastAsia" w:hAnsiTheme="minorEastAsia" w:eastAsiaTheme="minorEastAsia"/>
                <w:szCs w:val="21"/>
              </w:rPr>
              <w:t>舟山市政府采购信用融资合作银行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373" w:type="dxa"/>
            <w:shd w:val="clear" w:color="auto" w:fill="auto"/>
            <w:vAlign w:val="center"/>
          </w:tcPr>
          <w:p>
            <w:pPr>
              <w:pStyle w:val="137"/>
              <w:spacing w:line="360" w:lineRule="auto"/>
              <w:ind w:firstLine="0" w:firstLineChars="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银行名称</w:t>
            </w:r>
          </w:p>
        </w:tc>
        <w:tc>
          <w:tcPr>
            <w:tcW w:w="3547" w:type="dxa"/>
            <w:shd w:val="clear" w:color="auto" w:fill="auto"/>
            <w:vAlign w:val="center"/>
          </w:tcPr>
          <w:p>
            <w:pPr>
              <w:pStyle w:val="137"/>
              <w:spacing w:line="360" w:lineRule="auto"/>
              <w:ind w:firstLine="0" w:firstLineChars="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产品特点</w:t>
            </w:r>
          </w:p>
        </w:tc>
        <w:tc>
          <w:tcPr>
            <w:tcW w:w="1559" w:type="dxa"/>
            <w:shd w:val="clear" w:color="auto" w:fill="auto"/>
            <w:vAlign w:val="center"/>
          </w:tcPr>
          <w:p>
            <w:pPr>
              <w:pStyle w:val="137"/>
              <w:spacing w:line="360" w:lineRule="auto"/>
              <w:ind w:firstLine="0" w:firstLineChars="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经办人</w:t>
            </w:r>
          </w:p>
        </w:tc>
        <w:tc>
          <w:tcPr>
            <w:tcW w:w="1418" w:type="dxa"/>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shd w:val="clear" w:color="auto" w:fill="auto"/>
          </w:tcPr>
          <w:p>
            <w:pPr>
              <w:pStyle w:val="137"/>
              <w:spacing w:line="360" w:lineRule="auto"/>
              <w:ind w:firstLine="0" w:firstLineChars="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中国工商银行股份有限公司舟山分行</w:t>
            </w:r>
          </w:p>
        </w:tc>
        <w:tc>
          <w:tcPr>
            <w:tcW w:w="3547" w:type="dxa"/>
            <w:shd w:val="clear" w:color="auto" w:fill="auto"/>
          </w:tcPr>
          <w:p>
            <w:pPr>
              <w:rPr>
                <w:rFonts w:asciiTheme="minorEastAsia" w:hAnsiTheme="minorEastAsia" w:eastAsiaTheme="minorEastAsia"/>
                <w:szCs w:val="21"/>
              </w:rPr>
            </w:pPr>
            <w:r>
              <w:rPr>
                <w:rFonts w:hint="eastAsia" w:asciiTheme="minorEastAsia" w:hAnsiTheme="minorEastAsia" w:eastAsiaTheme="minorEastAsia"/>
                <w:szCs w:val="21"/>
              </w:rPr>
              <w:t>“采购贷”业务是指符合条件的中小企业供应商客户，在其取得政府采购合同后，以合同项下的预期销货款抵押为基础，为其提供的融资业务。融资额度根据政府采购合同实有金额（合同哦金额减去预收货款）及供应商资金需求确定，融资本息最高可达政府采购合同实有金额的100%。</w:t>
            </w:r>
          </w:p>
        </w:tc>
        <w:tc>
          <w:tcPr>
            <w:tcW w:w="1559" w:type="dxa"/>
            <w:shd w:val="clear" w:color="auto" w:fill="auto"/>
            <w:vAlign w:val="center"/>
          </w:tcPr>
          <w:p>
            <w:pPr>
              <w:pStyle w:val="137"/>
              <w:spacing w:line="360" w:lineRule="auto"/>
              <w:ind w:firstLine="0" w:firstLineChars="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柳超颖</w:t>
            </w:r>
          </w:p>
        </w:tc>
        <w:tc>
          <w:tcPr>
            <w:tcW w:w="1418" w:type="dxa"/>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15858076468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373" w:type="dxa"/>
            <w:shd w:val="clear" w:color="auto" w:fill="auto"/>
          </w:tcPr>
          <w:p>
            <w:pPr>
              <w:rPr>
                <w:rFonts w:asciiTheme="minorEastAsia" w:hAnsiTheme="minorEastAsia" w:eastAsiaTheme="minorEastAsia"/>
                <w:szCs w:val="21"/>
              </w:rPr>
            </w:pPr>
            <w:r>
              <w:rPr>
                <w:rFonts w:hint="eastAsia" w:asciiTheme="minorEastAsia" w:hAnsiTheme="minorEastAsia" w:eastAsiaTheme="minorEastAsia"/>
                <w:szCs w:val="21"/>
              </w:rPr>
              <w:t>中国建设银行股份有限公司舟山分行</w:t>
            </w:r>
          </w:p>
        </w:tc>
        <w:tc>
          <w:tcPr>
            <w:tcW w:w="3547" w:type="dxa"/>
            <w:shd w:val="clear" w:color="auto" w:fill="auto"/>
          </w:tcPr>
          <w:p>
            <w:pPr>
              <w:rPr>
                <w:rFonts w:asciiTheme="minorEastAsia" w:hAnsiTheme="minorEastAsia" w:eastAsiaTheme="minorEastAsia"/>
                <w:szCs w:val="21"/>
              </w:rPr>
            </w:pPr>
            <w:r>
              <w:rPr>
                <w:rFonts w:hint="eastAsia" w:asciiTheme="minorEastAsia" w:hAnsiTheme="minorEastAsia" w:eastAsiaTheme="minorEastAsia"/>
                <w:szCs w:val="21"/>
              </w:rPr>
              <w:t>1.快速便捷：全流程线上操作，通过浙江省政府采购网数据审核信用额度，建行供应链平台快速放款。2.申请额度高：单笔融资额度最高可达政府采购合同金额的90%，单户额度最高可达3000万。3.无需额外抵押：以浙江省政府采购网备案公示的政府采购合同进行融资，无需额外抵押担保。4.利率优惠：给予流动资金贷款最优惠利率。</w:t>
            </w:r>
          </w:p>
        </w:tc>
        <w:tc>
          <w:tcPr>
            <w:tcW w:w="1559" w:type="dxa"/>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普陀片区：蔡妮妮</w:t>
            </w:r>
          </w:p>
          <w:p>
            <w:pPr>
              <w:jc w:val="center"/>
              <w:rPr>
                <w:rFonts w:asciiTheme="minorEastAsia" w:hAnsiTheme="minorEastAsia" w:eastAsiaTheme="minorEastAsia"/>
                <w:szCs w:val="21"/>
              </w:rPr>
            </w:pPr>
            <w:r>
              <w:rPr>
                <w:rFonts w:hint="eastAsia" w:asciiTheme="minorEastAsia" w:hAnsiTheme="minorEastAsia" w:eastAsiaTheme="minorEastAsia"/>
                <w:szCs w:val="21"/>
              </w:rPr>
              <w:t>定海片区：杨莹</w:t>
            </w:r>
          </w:p>
          <w:p>
            <w:pPr>
              <w:jc w:val="center"/>
              <w:rPr>
                <w:rFonts w:asciiTheme="minorEastAsia" w:hAnsiTheme="minorEastAsia" w:eastAsiaTheme="minorEastAsia"/>
                <w:szCs w:val="21"/>
              </w:rPr>
            </w:pPr>
            <w:r>
              <w:rPr>
                <w:rFonts w:hint="eastAsia" w:asciiTheme="minorEastAsia" w:hAnsiTheme="minorEastAsia" w:eastAsiaTheme="minorEastAsia"/>
                <w:szCs w:val="21"/>
              </w:rPr>
              <w:t>自贸区片区：郑佳奇</w:t>
            </w:r>
          </w:p>
        </w:tc>
        <w:tc>
          <w:tcPr>
            <w:tcW w:w="1418" w:type="dxa"/>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普陀片区：13957201791</w:t>
            </w:r>
          </w:p>
          <w:p>
            <w:pPr>
              <w:jc w:val="center"/>
              <w:rPr>
                <w:rFonts w:asciiTheme="minorEastAsia" w:hAnsiTheme="minorEastAsia" w:eastAsiaTheme="minorEastAsia"/>
                <w:szCs w:val="21"/>
              </w:rPr>
            </w:pPr>
            <w:r>
              <w:rPr>
                <w:rFonts w:hint="eastAsia" w:asciiTheme="minorEastAsia" w:hAnsiTheme="minorEastAsia" w:eastAsiaTheme="minorEastAsia"/>
                <w:szCs w:val="21"/>
              </w:rPr>
              <w:t>定海片区：13655803997</w:t>
            </w:r>
          </w:p>
          <w:p>
            <w:pPr>
              <w:jc w:val="center"/>
              <w:rPr>
                <w:rFonts w:asciiTheme="minorEastAsia" w:hAnsiTheme="minorEastAsia" w:eastAsiaTheme="minorEastAsia"/>
                <w:szCs w:val="21"/>
              </w:rPr>
            </w:pPr>
            <w:r>
              <w:rPr>
                <w:rFonts w:hint="eastAsia" w:asciiTheme="minorEastAsia" w:hAnsiTheme="minorEastAsia" w:eastAsiaTheme="minorEastAsia"/>
                <w:szCs w:val="21"/>
              </w:rPr>
              <w:t>自贸区片区：13857208408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shd w:val="clear" w:color="auto" w:fill="auto"/>
          </w:tcPr>
          <w:p>
            <w:pPr>
              <w:pStyle w:val="137"/>
              <w:spacing w:line="360" w:lineRule="auto"/>
              <w:ind w:firstLine="0" w:firstLineChars="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杭州银行股份有限公司舟山市分行</w:t>
            </w:r>
          </w:p>
        </w:tc>
        <w:tc>
          <w:tcPr>
            <w:tcW w:w="3547" w:type="dxa"/>
            <w:shd w:val="clear" w:color="auto" w:fill="auto"/>
          </w:tcPr>
          <w:p>
            <w:pPr>
              <w:rPr>
                <w:rFonts w:asciiTheme="minorEastAsia" w:hAnsiTheme="minorEastAsia" w:eastAsiaTheme="minorEastAsia"/>
                <w:szCs w:val="21"/>
              </w:rPr>
            </w:pPr>
            <w:r>
              <w:rPr>
                <w:rFonts w:hint="eastAsia" w:asciiTheme="minorEastAsia" w:hAnsiTheme="minorEastAsia" w:eastAsiaTheme="minorEastAsia"/>
                <w:szCs w:val="21"/>
              </w:rPr>
              <w:t>“云采贷”是杭州银行为政府采购供应商提供的纯信用贷款产品。客户申请、签约、放款全流程线上化，平台注册入库并取得采购合同即可申请，融资比例最高达采购订单的80%，单户、单笔最高可达3000万，最长期限一年。</w:t>
            </w:r>
          </w:p>
        </w:tc>
        <w:tc>
          <w:tcPr>
            <w:tcW w:w="1559" w:type="dxa"/>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方经理</w:t>
            </w:r>
          </w:p>
        </w:tc>
        <w:tc>
          <w:tcPr>
            <w:tcW w:w="1418" w:type="dxa"/>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0580-2185201、18205800451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shd w:val="clear" w:color="auto" w:fill="auto"/>
          </w:tcPr>
          <w:p>
            <w:pPr>
              <w:pStyle w:val="137"/>
              <w:spacing w:line="360" w:lineRule="auto"/>
              <w:ind w:firstLine="0" w:firstLineChars="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招商银行股份有限公司浙江自贸试验区舟山分行</w:t>
            </w:r>
          </w:p>
        </w:tc>
        <w:tc>
          <w:tcPr>
            <w:tcW w:w="3547" w:type="dxa"/>
            <w:shd w:val="clear" w:color="auto" w:fill="auto"/>
          </w:tcPr>
          <w:p>
            <w:pPr>
              <w:rPr>
                <w:rFonts w:asciiTheme="minorEastAsia" w:hAnsiTheme="minorEastAsia" w:eastAsiaTheme="minorEastAsia"/>
                <w:szCs w:val="21"/>
              </w:rPr>
            </w:pPr>
            <w:r>
              <w:rPr>
                <w:rFonts w:hint="eastAsia" w:asciiTheme="minorEastAsia" w:hAnsiTheme="minorEastAsia" w:eastAsiaTheme="minorEastAsia"/>
                <w:szCs w:val="21"/>
              </w:rPr>
              <w:t>小企业政采贷是招商银行为政府采购中标供应商提供的用于履行政府采购合同的专属融资产品。优势：一、额度高。根据企业上一年或近一年获得政府采购中标及成交通知的一定比例给予额度，最高可达3000万元。二、操作简便、模式丰富。客户通过我行一网通等渠道在线申请。支持线上用款，按日计息，随借随还。三、担保方式灵活。实际控制人夫妇担保＋融资项下应收账款质押作为辅助，无需抵押，一次性签署合作协议。</w:t>
            </w:r>
          </w:p>
        </w:tc>
        <w:tc>
          <w:tcPr>
            <w:tcW w:w="1559" w:type="dxa"/>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李玲</w:t>
            </w:r>
          </w:p>
        </w:tc>
        <w:tc>
          <w:tcPr>
            <w:tcW w:w="1418" w:type="dxa"/>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0580-2061710、13957227971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2373" w:type="dxa"/>
            <w:shd w:val="clear" w:color="auto" w:fill="auto"/>
          </w:tcPr>
          <w:p>
            <w:pPr>
              <w:pStyle w:val="137"/>
              <w:spacing w:line="360" w:lineRule="auto"/>
              <w:ind w:firstLine="0" w:firstLineChars="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温州银行股份有限公司舟山市分行</w:t>
            </w:r>
          </w:p>
        </w:tc>
        <w:tc>
          <w:tcPr>
            <w:tcW w:w="3547" w:type="dxa"/>
            <w:shd w:val="clear" w:color="auto" w:fill="auto"/>
          </w:tcPr>
          <w:p>
            <w:pPr>
              <w:rPr>
                <w:rFonts w:asciiTheme="minorEastAsia" w:hAnsiTheme="minorEastAsia" w:eastAsiaTheme="minorEastAsia"/>
                <w:bCs/>
                <w:szCs w:val="21"/>
              </w:rPr>
            </w:pPr>
            <w:r>
              <w:rPr>
                <w:rFonts w:hint="eastAsia" w:asciiTheme="minorEastAsia" w:hAnsiTheme="minorEastAsia" w:eastAsiaTheme="minorEastAsia"/>
                <w:bCs/>
                <w:szCs w:val="21"/>
              </w:rPr>
              <w:t>“政采订单贷”</w:t>
            </w:r>
            <w:r>
              <w:rPr>
                <w:rFonts w:hint="eastAsia" w:asciiTheme="minorEastAsia" w:hAnsiTheme="minorEastAsia" w:eastAsiaTheme="minorEastAsia"/>
                <w:szCs w:val="21"/>
              </w:rPr>
              <w:t xml:space="preserve"> ：</w:t>
            </w:r>
            <w:r>
              <w:rPr>
                <w:rFonts w:hint="eastAsia" w:asciiTheme="minorEastAsia" w:hAnsiTheme="minorEastAsia" w:eastAsiaTheme="minorEastAsia"/>
                <w:bCs/>
                <w:szCs w:val="21"/>
              </w:rPr>
              <w:t>单户授信最高为500万，单笔申请最高可按中标金额0.8折，贷款期限最少三个月、最长一年，可通过政采云平台向本行发起政采订单贷业务申请</w:t>
            </w:r>
          </w:p>
        </w:tc>
        <w:tc>
          <w:tcPr>
            <w:tcW w:w="1559" w:type="dxa"/>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郑贤栋</w:t>
            </w:r>
          </w:p>
        </w:tc>
        <w:tc>
          <w:tcPr>
            <w:tcW w:w="1418" w:type="dxa"/>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0580—8866086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shd w:val="clear" w:color="auto" w:fill="auto"/>
          </w:tcPr>
          <w:p>
            <w:pPr>
              <w:pStyle w:val="137"/>
              <w:spacing w:line="360" w:lineRule="auto"/>
              <w:ind w:firstLine="0" w:firstLineChars="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交通银行股份有限公司舟山分行</w:t>
            </w:r>
          </w:p>
        </w:tc>
        <w:tc>
          <w:tcPr>
            <w:tcW w:w="3547" w:type="dxa"/>
            <w:shd w:val="clear" w:color="auto" w:fill="auto"/>
          </w:tcPr>
          <w:p>
            <w:pPr>
              <w:autoSpaceDE w:val="0"/>
              <w:autoSpaceDN w:val="0"/>
              <w:adjustRightInd w:val="0"/>
              <w:rPr>
                <w:rFonts w:asciiTheme="minorEastAsia" w:hAnsiTheme="minorEastAsia" w:eastAsiaTheme="minorEastAsia"/>
                <w:szCs w:val="21"/>
              </w:rPr>
            </w:pPr>
            <w:r>
              <w:rPr>
                <w:rFonts w:hint="eastAsia" w:asciiTheme="minorEastAsia" w:hAnsiTheme="minorEastAsia" w:eastAsiaTheme="minorEastAsia"/>
                <w:szCs w:val="21"/>
              </w:rPr>
              <w:t>交通银行政采贷，最长期限1年，融资金额一般不超过1000万元，单笔提款金额最高至采购合同金额的70%。担保方式为信用（附加该笔业务项下未来应收账款质押、实际控制人及配偶个人保证），随借随还，利率最低至当期LPR。</w:t>
            </w:r>
          </w:p>
        </w:tc>
        <w:tc>
          <w:tcPr>
            <w:tcW w:w="1559" w:type="dxa"/>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赵争艳</w:t>
            </w:r>
          </w:p>
        </w:tc>
        <w:tc>
          <w:tcPr>
            <w:tcW w:w="1418" w:type="dxa"/>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0580-2260728,13758007280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shd w:val="clear" w:color="auto" w:fill="auto"/>
          </w:tcPr>
          <w:p>
            <w:pPr>
              <w:pStyle w:val="137"/>
              <w:spacing w:line="360" w:lineRule="auto"/>
              <w:ind w:firstLine="0" w:firstLineChars="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中信银行股份有限公司舟山分行</w:t>
            </w:r>
          </w:p>
        </w:tc>
        <w:tc>
          <w:tcPr>
            <w:tcW w:w="3547" w:type="dxa"/>
            <w:shd w:val="clear" w:color="auto" w:fill="auto"/>
          </w:tcPr>
          <w:p>
            <w:pPr>
              <w:rPr>
                <w:rFonts w:asciiTheme="minorEastAsia" w:hAnsiTheme="minorEastAsia" w:eastAsiaTheme="minorEastAsia"/>
                <w:bCs/>
                <w:szCs w:val="21"/>
              </w:rPr>
            </w:pPr>
            <w:r>
              <w:rPr>
                <w:rFonts w:hint="eastAsia" w:asciiTheme="minorEastAsia" w:hAnsiTheme="minorEastAsia" w:eastAsiaTheme="minorEastAsia"/>
                <w:bCs/>
                <w:szCs w:val="21"/>
              </w:rPr>
              <w:t>中信银行“政采e贷”产品特点：根据政府采购中标通知书或合同，以政府财政支付资金为主要还款来源，为中标小微企业提供流动资金贷款。产品实现预授信、贷款申请、应收账款质押、授信审批、自助提款等环节的线上化、自动化处理，操作便利，授信额度最高不超过1000万元，贷款期限最长1年，利率低。</w:t>
            </w:r>
          </w:p>
        </w:tc>
        <w:tc>
          <w:tcPr>
            <w:tcW w:w="1559" w:type="dxa"/>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杨莉丹</w:t>
            </w:r>
          </w:p>
        </w:tc>
        <w:tc>
          <w:tcPr>
            <w:tcW w:w="1418" w:type="dxa"/>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13905809681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shd w:val="clear" w:color="auto" w:fill="auto"/>
          </w:tcPr>
          <w:p>
            <w:pPr>
              <w:pStyle w:val="137"/>
              <w:spacing w:line="360" w:lineRule="auto"/>
              <w:ind w:firstLine="0" w:firstLineChars="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泰隆银行舟山市分行</w:t>
            </w:r>
          </w:p>
        </w:tc>
        <w:tc>
          <w:tcPr>
            <w:tcW w:w="3547" w:type="dxa"/>
            <w:shd w:val="clear" w:color="auto" w:fill="auto"/>
          </w:tcPr>
          <w:p>
            <w:pPr>
              <w:rPr>
                <w:rFonts w:asciiTheme="minorEastAsia" w:hAnsiTheme="minorEastAsia" w:eastAsiaTheme="minorEastAsia"/>
                <w:bCs/>
                <w:szCs w:val="21"/>
              </w:rPr>
            </w:pPr>
            <w:r>
              <w:rPr>
                <w:rFonts w:hint="eastAsia" w:asciiTheme="minorEastAsia" w:hAnsiTheme="minorEastAsia" w:eastAsiaTheme="minorEastAsia"/>
                <w:bCs/>
                <w:szCs w:val="21"/>
              </w:rPr>
              <w:t>符合我行基本准入，期限对照订单最长不超过1年，额度最高1000万，担保方式享受信用贷款执行，可由中标企业或其实际控制人出面申请，利率最低可至当期LPR ，对于合同期限确实超过一年的，可享受无还本续</w:t>
            </w:r>
          </w:p>
          <w:p>
            <w:pPr>
              <w:rPr>
                <w:rFonts w:asciiTheme="minorEastAsia" w:hAnsiTheme="minorEastAsia" w:eastAsiaTheme="minorEastAsia"/>
                <w:bCs/>
                <w:szCs w:val="21"/>
              </w:rPr>
            </w:pPr>
            <w:r>
              <w:rPr>
                <w:rFonts w:hint="eastAsia" w:asciiTheme="minorEastAsia" w:hAnsiTheme="minorEastAsia" w:eastAsiaTheme="minorEastAsia"/>
                <w:bCs/>
                <w:szCs w:val="21"/>
              </w:rPr>
              <w:t>贷至合同付款日。</w:t>
            </w:r>
          </w:p>
        </w:tc>
        <w:tc>
          <w:tcPr>
            <w:tcW w:w="1559" w:type="dxa"/>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胡亢宇</w:t>
            </w:r>
          </w:p>
        </w:tc>
        <w:tc>
          <w:tcPr>
            <w:tcW w:w="1418" w:type="dxa"/>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17605868703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shd w:val="clear" w:color="auto" w:fill="auto"/>
          </w:tcPr>
          <w:p>
            <w:pPr>
              <w:pStyle w:val="137"/>
              <w:spacing w:line="360" w:lineRule="auto"/>
              <w:ind w:firstLine="0" w:firstLineChars="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中国农业银行股份有限公司舟山分行</w:t>
            </w:r>
          </w:p>
        </w:tc>
        <w:tc>
          <w:tcPr>
            <w:tcW w:w="3547" w:type="dxa"/>
            <w:shd w:val="clear" w:color="auto" w:fill="auto"/>
          </w:tcPr>
          <w:p>
            <w:pPr>
              <w:rPr>
                <w:rFonts w:asciiTheme="minorEastAsia" w:hAnsiTheme="minorEastAsia" w:eastAsiaTheme="minorEastAsia"/>
                <w:bCs/>
                <w:szCs w:val="21"/>
              </w:rPr>
            </w:pPr>
            <w:r>
              <w:rPr>
                <w:rFonts w:hint="eastAsia" w:asciiTheme="minorEastAsia" w:hAnsiTheme="minorEastAsia" w:eastAsiaTheme="minorEastAsia"/>
                <w:bCs/>
                <w:szCs w:val="21"/>
              </w:rPr>
              <w:t>政采贷业务是指农业银行向政府采购中标供应商发放的，用于满足其采购货物、服务等资金需求，并以该政府采购合同项下预期销售收入为主要还款来源的中短期信用业务，适用对象为在政府采购中标的中小微企业。贷款额度原则上不超过政府采购合同实有金额的80%,单户借款额度不超过500万元。</w:t>
            </w:r>
          </w:p>
        </w:tc>
        <w:tc>
          <w:tcPr>
            <w:tcW w:w="1559" w:type="dxa"/>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邵琼</w:t>
            </w:r>
          </w:p>
        </w:tc>
        <w:tc>
          <w:tcPr>
            <w:tcW w:w="1418" w:type="dxa"/>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13587049595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shd w:val="clear" w:color="auto" w:fill="auto"/>
          </w:tcPr>
          <w:p>
            <w:pPr>
              <w:pStyle w:val="137"/>
              <w:spacing w:line="360" w:lineRule="auto"/>
              <w:ind w:firstLine="0" w:firstLineChars="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中国邮政储蓄银行股份有限公司舟山市分行</w:t>
            </w:r>
          </w:p>
        </w:tc>
        <w:tc>
          <w:tcPr>
            <w:tcW w:w="3547" w:type="dxa"/>
            <w:shd w:val="clear" w:color="auto" w:fill="auto"/>
          </w:tcPr>
          <w:p>
            <w:pPr>
              <w:rPr>
                <w:rFonts w:asciiTheme="minorEastAsia" w:hAnsiTheme="minorEastAsia" w:eastAsiaTheme="minorEastAsia"/>
                <w:bCs/>
                <w:szCs w:val="21"/>
              </w:rPr>
            </w:pPr>
            <w:r>
              <w:rPr>
                <w:rFonts w:hint="eastAsia" w:asciiTheme="minorEastAsia" w:hAnsiTheme="minorEastAsia" w:eastAsiaTheme="minorEastAsia"/>
                <w:bCs/>
                <w:szCs w:val="21"/>
              </w:rPr>
              <w:t>邮储银行“政采贷”产品指我行向在政府采购活动中中标的企业发放的，用于中标企业合法生产经营活动的短期流动资金贷款。融资模式根据融资行为所处采购合同的履行阶段确定，包括应收账款融资模式与采购合同融资模式。授信金额最高不超过500万元，期限最长不超过1年。</w:t>
            </w:r>
          </w:p>
        </w:tc>
        <w:tc>
          <w:tcPr>
            <w:tcW w:w="1559" w:type="dxa"/>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曾超</w:t>
            </w:r>
          </w:p>
        </w:tc>
        <w:tc>
          <w:tcPr>
            <w:tcW w:w="1418" w:type="dxa"/>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15924008387</w:t>
            </w:r>
          </w:p>
        </w:tc>
      </w:tr>
    </w:tbl>
    <w:p>
      <w:pPr>
        <w:ind w:firstLine="555"/>
        <w:rPr>
          <w:rFonts w:asciiTheme="minorEastAsia" w:hAnsiTheme="minorEastAsia" w:eastAsiaTheme="minorEastAsia"/>
          <w:szCs w:val="21"/>
        </w:rPr>
      </w:pPr>
      <w:r>
        <w:rPr>
          <w:rFonts w:hint="eastAsia" w:asciiTheme="minorEastAsia" w:hAnsiTheme="minorEastAsia" w:eastAsiaTheme="minorEastAsia"/>
          <w:szCs w:val="21"/>
        </w:rPr>
        <w:t>2.一般步骤</w:t>
      </w:r>
    </w:p>
    <w:p>
      <w:pPr>
        <w:ind w:firstLine="555"/>
        <w:rPr>
          <w:rFonts w:asciiTheme="minorEastAsia" w:hAnsiTheme="minorEastAsia" w:eastAsiaTheme="minorEastAsia"/>
          <w:szCs w:val="21"/>
        </w:rPr>
      </w:pPr>
      <w:r>
        <w:rPr>
          <w:rFonts w:hint="eastAsia" w:asciiTheme="minorEastAsia" w:hAnsiTheme="minorEastAsia" w:eastAsiaTheme="minorEastAsia"/>
          <w:szCs w:val="21"/>
        </w:rPr>
        <w:t>（1）供应商先与银行对接，办理融资前期手续；</w:t>
      </w:r>
    </w:p>
    <w:p>
      <w:pPr>
        <w:ind w:firstLine="555"/>
        <w:rPr>
          <w:rFonts w:asciiTheme="minorEastAsia" w:hAnsiTheme="minorEastAsia" w:eastAsiaTheme="minorEastAsia"/>
          <w:szCs w:val="21"/>
        </w:rPr>
      </w:pPr>
      <w:r>
        <w:rPr>
          <w:rFonts w:hint="eastAsia" w:asciiTheme="minorEastAsia" w:hAnsiTheme="minorEastAsia" w:eastAsiaTheme="minorEastAsia"/>
          <w:szCs w:val="21"/>
        </w:rPr>
        <w:t>（2）供应商中标后，凭中标通知书等材料，向相关合作银行发出融资申请；</w:t>
      </w:r>
    </w:p>
    <w:p>
      <w:pPr>
        <w:ind w:firstLine="555"/>
        <w:rPr>
          <w:rFonts w:asciiTheme="minorEastAsia" w:hAnsiTheme="minorEastAsia" w:eastAsiaTheme="minorEastAsia"/>
          <w:szCs w:val="21"/>
        </w:rPr>
      </w:pPr>
      <w:r>
        <w:rPr>
          <w:rFonts w:hint="eastAsia" w:asciiTheme="minorEastAsia" w:hAnsiTheme="minorEastAsia" w:eastAsiaTheme="minorEastAsia"/>
          <w:szCs w:val="21"/>
        </w:rPr>
        <w:t>（3）银行、供应商线下办理审批、放贷事宜。</w:t>
      </w:r>
    </w:p>
    <w:p>
      <w:pPr>
        <w:ind w:firstLine="555"/>
        <w:rPr>
          <w:rFonts w:asciiTheme="minorEastAsia" w:hAnsiTheme="minorEastAsia" w:eastAsiaTheme="minorEastAsia"/>
          <w:szCs w:val="21"/>
        </w:rPr>
      </w:pPr>
      <w:r>
        <w:rPr>
          <w:rFonts w:hint="eastAsia" w:asciiTheme="minorEastAsia" w:hAnsiTheme="minorEastAsia" w:eastAsiaTheme="minorEastAsia"/>
          <w:szCs w:val="21"/>
        </w:rPr>
        <w:t>3.注意事项</w:t>
      </w:r>
    </w:p>
    <w:p>
      <w:pPr>
        <w:ind w:firstLine="555"/>
        <w:rPr>
          <w:rFonts w:asciiTheme="minorEastAsia" w:hAnsiTheme="minorEastAsia" w:eastAsiaTheme="minorEastAsia"/>
          <w:szCs w:val="21"/>
        </w:rPr>
      </w:pPr>
      <w:r>
        <w:rPr>
          <w:rFonts w:hint="eastAsia" w:asciiTheme="minorEastAsia" w:hAnsiTheme="minorEastAsia" w:eastAsiaTheme="minorEastAsia"/>
          <w:szCs w:val="21"/>
        </w:rPr>
        <w:t>（1）中标供应商需确保政府采购合同的收款账户与融资银行开户账户一致。</w:t>
      </w:r>
    </w:p>
    <w:p>
      <w:pPr>
        <w:ind w:firstLine="555"/>
        <w:rPr>
          <w:rFonts w:asciiTheme="minorEastAsia" w:hAnsiTheme="minorEastAsia" w:eastAsiaTheme="minorEastAsia"/>
          <w:szCs w:val="21"/>
        </w:rPr>
      </w:pPr>
      <w:r>
        <w:rPr>
          <w:rFonts w:hint="eastAsia" w:asciiTheme="minorEastAsia" w:hAnsiTheme="minorEastAsia" w:eastAsiaTheme="minorEastAsia"/>
          <w:szCs w:val="21"/>
        </w:rPr>
        <w:t>（2）用于政府采购信用融资的政府采购合同，应当包含如下条款：“第   条：政府采购合同贷款</w:t>
      </w:r>
    </w:p>
    <w:p>
      <w:pPr>
        <w:ind w:firstLine="555"/>
        <w:rPr>
          <w:rFonts w:asciiTheme="minorEastAsia" w:hAnsiTheme="minorEastAsia" w:eastAsiaTheme="minorEastAsia"/>
          <w:szCs w:val="21"/>
        </w:rPr>
      </w:pPr>
      <w:r>
        <w:rPr>
          <w:rFonts w:hint="eastAsia" w:asciiTheme="minorEastAsia" w:hAnsiTheme="minorEastAsia" w:eastAsiaTheme="minorEastAsia"/>
          <w:szCs w:val="21"/>
        </w:rPr>
        <w:t>本合同同时用于乙方向      银行（金融机构）申请政府采购信用贷款。</w:t>
      </w:r>
    </w:p>
    <w:p>
      <w:pPr>
        <w:ind w:firstLine="555"/>
        <w:rPr>
          <w:rFonts w:asciiTheme="minorEastAsia" w:hAnsiTheme="minorEastAsia" w:eastAsiaTheme="minorEastAsia"/>
          <w:szCs w:val="21"/>
        </w:rPr>
      </w:pPr>
      <w:r>
        <w:rPr>
          <w:rFonts w:hint="eastAsia" w:asciiTheme="minorEastAsia" w:hAnsiTheme="minorEastAsia" w:eastAsiaTheme="minorEastAsia"/>
          <w:szCs w:val="21"/>
        </w:rPr>
        <w:t>本</w:t>
      </w:r>
      <w:r>
        <w:rPr>
          <w:rFonts w:asciiTheme="minorEastAsia" w:hAnsiTheme="minorEastAsia" w:eastAsiaTheme="minorEastAsia"/>
          <w:szCs w:val="21"/>
        </w:rPr>
        <w:t>合同一经签订，原则上不得更改</w:t>
      </w:r>
      <w:r>
        <w:rPr>
          <w:rFonts w:hint="eastAsia" w:asciiTheme="minorEastAsia" w:hAnsiTheme="minorEastAsia" w:eastAsiaTheme="minorEastAsia"/>
          <w:szCs w:val="21"/>
        </w:rPr>
        <w:t>乙方收</w:t>
      </w:r>
      <w:r>
        <w:rPr>
          <w:rFonts w:asciiTheme="minorEastAsia" w:hAnsiTheme="minorEastAsia" w:eastAsiaTheme="minorEastAsia"/>
          <w:szCs w:val="21"/>
        </w:rPr>
        <w:t>款</w:t>
      </w:r>
      <w:r>
        <w:rPr>
          <w:rFonts w:hint="eastAsia" w:asciiTheme="minorEastAsia" w:hAnsiTheme="minorEastAsia" w:eastAsiaTheme="minorEastAsia"/>
          <w:szCs w:val="21"/>
        </w:rPr>
        <w:t>账户</w:t>
      </w:r>
      <w:r>
        <w:rPr>
          <w:rFonts w:asciiTheme="minorEastAsia" w:hAnsiTheme="minorEastAsia" w:eastAsiaTheme="minorEastAsia"/>
          <w:szCs w:val="21"/>
        </w:rPr>
        <w:t>信息</w:t>
      </w:r>
      <w:r>
        <w:rPr>
          <w:rFonts w:hint="eastAsia" w:asciiTheme="minorEastAsia" w:hAnsiTheme="minorEastAsia" w:eastAsiaTheme="minorEastAsia"/>
          <w:szCs w:val="21"/>
        </w:rPr>
        <w:t>。确</w:t>
      </w:r>
      <w:r>
        <w:rPr>
          <w:rFonts w:asciiTheme="minorEastAsia" w:hAnsiTheme="minorEastAsia" w:eastAsiaTheme="minorEastAsia"/>
          <w:szCs w:val="21"/>
        </w:rPr>
        <w:t>须更改的，</w:t>
      </w:r>
      <w:r>
        <w:rPr>
          <w:rFonts w:hint="eastAsia" w:asciiTheme="minorEastAsia" w:hAnsiTheme="minorEastAsia" w:eastAsiaTheme="minorEastAsia"/>
          <w:szCs w:val="21"/>
        </w:rPr>
        <w:t>乙方应</w:t>
      </w:r>
      <w:r>
        <w:rPr>
          <w:rFonts w:asciiTheme="minorEastAsia" w:hAnsiTheme="minorEastAsia" w:eastAsiaTheme="minorEastAsia"/>
          <w:szCs w:val="21"/>
        </w:rPr>
        <w:t>取得</w:t>
      </w:r>
      <w:r>
        <w:rPr>
          <w:rFonts w:hint="eastAsia" w:asciiTheme="minorEastAsia" w:hAnsiTheme="minorEastAsia" w:eastAsiaTheme="minorEastAsia"/>
          <w:szCs w:val="21"/>
        </w:rPr>
        <w:t>原</w:t>
      </w:r>
      <w:r>
        <w:rPr>
          <w:rFonts w:asciiTheme="minorEastAsia" w:hAnsiTheme="minorEastAsia" w:eastAsiaTheme="minorEastAsia"/>
          <w:szCs w:val="21"/>
        </w:rPr>
        <w:t>合同收款账户开户银行书面同意，</w:t>
      </w:r>
      <w:r>
        <w:rPr>
          <w:rFonts w:hint="eastAsia" w:asciiTheme="minorEastAsia" w:hAnsiTheme="minorEastAsia" w:eastAsiaTheme="minorEastAsia"/>
          <w:szCs w:val="21"/>
        </w:rPr>
        <w:t>否则修改后</w:t>
      </w:r>
      <w:r>
        <w:rPr>
          <w:rFonts w:asciiTheme="minorEastAsia" w:hAnsiTheme="minorEastAsia" w:eastAsiaTheme="minorEastAsia"/>
          <w:szCs w:val="21"/>
        </w:rPr>
        <w:t>的合同不予</w:t>
      </w:r>
      <w:r>
        <w:rPr>
          <w:rFonts w:hint="eastAsia" w:asciiTheme="minorEastAsia" w:hAnsiTheme="minorEastAsia" w:eastAsiaTheme="minorEastAsia"/>
          <w:szCs w:val="21"/>
        </w:rPr>
        <w:t>备案</w:t>
      </w:r>
      <w:r>
        <w:rPr>
          <w:rFonts w:asciiTheme="minorEastAsia" w:hAnsiTheme="minorEastAsia" w:eastAsiaTheme="minorEastAsia"/>
          <w:szCs w:val="21"/>
        </w:rPr>
        <w:t>，采购资金不予</w:t>
      </w:r>
      <w:r>
        <w:rPr>
          <w:rFonts w:hint="eastAsia" w:asciiTheme="minorEastAsia" w:hAnsiTheme="minorEastAsia" w:eastAsiaTheme="minorEastAsia"/>
          <w:szCs w:val="21"/>
        </w:rPr>
        <w:t>支付。”</w:t>
      </w:r>
    </w:p>
    <w:p>
      <w:pPr>
        <w:pStyle w:val="3"/>
      </w:pPr>
    </w:p>
    <w:p>
      <w:pPr>
        <w:pStyle w:val="3"/>
      </w:pPr>
    </w:p>
    <w:p>
      <w:pPr>
        <w:tabs>
          <w:tab w:val="left" w:pos="2472"/>
        </w:tabs>
        <w:snapToGrid w:val="0"/>
        <w:spacing w:before="120" w:line="312" w:lineRule="auto"/>
        <w:ind w:right="-87"/>
        <w:jc w:val="center"/>
        <w:rPr>
          <w:rFonts w:ascii="黑体" w:hAnsi="宋体" w:eastAsia="黑体"/>
          <w:sz w:val="30"/>
        </w:rPr>
      </w:pPr>
      <w:r>
        <w:rPr>
          <w:rFonts w:hint="eastAsia" w:ascii="黑体" w:hAnsi="宋体" w:eastAsia="黑体"/>
          <w:sz w:val="30"/>
        </w:rPr>
        <w:t>第六章　投标文件格式</w:t>
      </w:r>
    </w:p>
    <w:p>
      <w:pPr>
        <w:tabs>
          <w:tab w:val="left" w:pos="2472"/>
        </w:tabs>
        <w:snapToGrid w:val="0"/>
        <w:spacing w:before="120" w:line="312" w:lineRule="auto"/>
        <w:ind w:right="-87"/>
        <w:jc w:val="center"/>
        <w:rPr>
          <w:rFonts w:ascii="黑体" w:hAnsi="宋体" w:eastAsia="黑体"/>
          <w:sz w:val="30"/>
        </w:rPr>
      </w:pPr>
    </w:p>
    <w:p>
      <w:pPr>
        <w:snapToGrid w:val="0"/>
        <w:spacing w:line="360" w:lineRule="auto"/>
        <w:ind w:right="-85"/>
        <w:rPr>
          <w:rFonts w:ascii="宋体" w:hAnsi="宋体"/>
          <w:sz w:val="24"/>
        </w:rPr>
      </w:pPr>
      <w:r>
        <w:rPr>
          <w:rFonts w:hint="eastAsia" w:ascii="宋体" w:hAnsi="宋体"/>
          <w:sz w:val="24"/>
        </w:rPr>
        <w:t>一、</w:t>
      </w:r>
      <w:r>
        <w:rPr>
          <w:rFonts w:hint="eastAsia" w:ascii="宋体" w:hAnsi="宋体"/>
          <w:b/>
          <w:sz w:val="24"/>
        </w:rPr>
        <w:t>备份文件包装封面（格式供参考）</w:t>
      </w:r>
      <w:r>
        <w:rPr>
          <w:rFonts w:hint="eastAsia" w:ascii="宋体" w:hAnsi="宋体"/>
          <w:sz w:val="24"/>
        </w:rPr>
        <w:t xml:space="preserve">： </w:t>
      </w:r>
    </w:p>
    <w:p>
      <w:pPr>
        <w:snapToGrid w:val="0"/>
        <w:spacing w:line="360" w:lineRule="auto"/>
        <w:ind w:right="-85"/>
        <w:jc w:val="center"/>
        <w:rPr>
          <w:rFonts w:ascii="宋体" w:hAnsi="宋体"/>
          <w:sz w:val="24"/>
        </w:rPr>
      </w:pPr>
    </w:p>
    <w:p>
      <w:pPr>
        <w:snapToGrid w:val="0"/>
        <w:spacing w:line="360" w:lineRule="auto"/>
        <w:ind w:right="-85"/>
        <w:jc w:val="center"/>
        <w:rPr>
          <w:rFonts w:ascii="宋体" w:hAnsi="宋体"/>
          <w:b/>
          <w:sz w:val="44"/>
        </w:rPr>
      </w:pPr>
      <w:r>
        <w:rPr>
          <w:rFonts w:hint="eastAsia" w:ascii="宋体" w:hAnsi="宋体"/>
          <w:b/>
          <w:sz w:val="44"/>
        </w:rPr>
        <w:t>投 标 文 件</w:t>
      </w:r>
    </w:p>
    <w:p>
      <w:pPr>
        <w:snapToGrid w:val="0"/>
        <w:spacing w:line="360" w:lineRule="auto"/>
        <w:ind w:right="-85"/>
        <w:rPr>
          <w:rFonts w:ascii="宋体" w:hAnsi="宋体"/>
          <w:sz w:val="24"/>
        </w:rPr>
      </w:pPr>
    </w:p>
    <w:p>
      <w:pPr>
        <w:snapToGrid w:val="0"/>
        <w:spacing w:line="360" w:lineRule="auto"/>
        <w:ind w:right="-85" w:firstLine="1124" w:firstLineChars="400"/>
        <w:rPr>
          <w:rFonts w:ascii="宋体" w:hAnsi="宋体"/>
          <w:b/>
          <w:sz w:val="28"/>
        </w:rPr>
      </w:pPr>
      <w:r>
        <w:rPr>
          <w:rFonts w:hint="eastAsia" w:ascii="宋体" w:hAnsi="宋体"/>
          <w:b/>
          <w:sz w:val="28"/>
        </w:rPr>
        <w:t xml:space="preserve">项目名称： </w:t>
      </w:r>
    </w:p>
    <w:p>
      <w:pPr>
        <w:snapToGrid w:val="0"/>
        <w:spacing w:line="360" w:lineRule="auto"/>
        <w:ind w:right="-85" w:firstLine="562" w:firstLineChars="200"/>
        <w:rPr>
          <w:rFonts w:ascii="宋体" w:hAnsi="宋体"/>
          <w:b/>
          <w:sz w:val="28"/>
          <w:u w:val="single"/>
        </w:rPr>
      </w:pPr>
      <w:r>
        <w:rPr>
          <w:rFonts w:hint="eastAsia" w:ascii="宋体" w:hAnsi="宋体"/>
          <w:b/>
          <w:sz w:val="28"/>
        </w:rPr>
        <w:t xml:space="preserve">    项目编号：</w:t>
      </w:r>
    </w:p>
    <w:p>
      <w:pPr>
        <w:pStyle w:val="26"/>
        <w:snapToGrid w:val="0"/>
        <w:spacing w:line="360" w:lineRule="auto"/>
        <w:ind w:right="-85" w:firstLine="1169" w:firstLineChars="416"/>
        <w:rPr>
          <w:rFonts w:ascii="宋体" w:hAnsi="宋体"/>
          <w:b/>
          <w:sz w:val="28"/>
        </w:rPr>
      </w:pPr>
      <w:r>
        <w:rPr>
          <w:rFonts w:hint="eastAsia" w:ascii="宋体" w:hAnsi="宋体"/>
          <w:b/>
          <w:sz w:val="28"/>
        </w:rPr>
        <w:t>投标人名称：</w:t>
      </w:r>
      <w:r>
        <w:rPr>
          <w:rFonts w:hint="eastAsia" w:ascii="宋体" w:hAnsi="宋体"/>
          <w:b/>
          <w:sz w:val="28"/>
          <w:u w:val="single"/>
        </w:rPr>
        <w:t xml:space="preserve">                            （</w:t>
      </w:r>
      <w:r>
        <w:rPr>
          <w:rFonts w:hint="eastAsia" w:ascii="宋体" w:hAnsi="宋体"/>
          <w:b/>
          <w:sz w:val="28"/>
        </w:rPr>
        <w:t>加盖公章）</w:t>
      </w:r>
    </w:p>
    <w:p>
      <w:pPr>
        <w:pStyle w:val="26"/>
        <w:snapToGrid w:val="0"/>
        <w:spacing w:line="360" w:lineRule="auto"/>
        <w:ind w:right="-85" w:firstLine="1169" w:firstLineChars="416"/>
        <w:rPr>
          <w:rFonts w:ascii="宋体" w:hAnsi="宋体"/>
          <w:b/>
          <w:sz w:val="28"/>
          <w:u w:val="single"/>
        </w:rPr>
      </w:pPr>
      <w:r>
        <w:rPr>
          <w:rFonts w:hint="eastAsia" w:ascii="宋体" w:hAnsi="宋体"/>
          <w:b/>
          <w:sz w:val="28"/>
        </w:rPr>
        <w:t>投标人地址：</w:t>
      </w:r>
    </w:p>
    <w:p>
      <w:pPr>
        <w:pStyle w:val="26"/>
        <w:snapToGrid w:val="0"/>
        <w:spacing w:line="360" w:lineRule="auto"/>
        <w:ind w:right="-85" w:firstLine="1124" w:firstLineChars="400"/>
        <w:rPr>
          <w:rFonts w:ascii="宋体" w:hAnsi="宋体"/>
          <w:b/>
          <w:sz w:val="28"/>
          <w:u w:val="single"/>
        </w:rPr>
      </w:pPr>
      <w:r>
        <w:rPr>
          <w:rFonts w:hint="eastAsia" w:ascii="宋体" w:hAnsi="宋体"/>
          <w:b/>
          <w:sz w:val="28"/>
        </w:rPr>
        <w:t>投标联系人：电话</w:t>
      </w:r>
    </w:p>
    <w:p>
      <w:pPr>
        <w:pStyle w:val="26"/>
        <w:snapToGrid w:val="0"/>
        <w:spacing w:line="360" w:lineRule="auto"/>
        <w:ind w:right="-85" w:firstLine="1124" w:firstLineChars="400"/>
        <w:rPr>
          <w:rFonts w:ascii="宋体" w:hAnsi="宋体"/>
          <w:b/>
          <w:sz w:val="28"/>
          <w:u w:val="single"/>
        </w:rPr>
      </w:pPr>
      <w:r>
        <w:rPr>
          <w:rFonts w:hint="eastAsia" w:ascii="宋体" w:hAnsi="宋体"/>
          <w:b/>
          <w:sz w:val="28"/>
        </w:rPr>
        <w:t>启封时间：</w:t>
      </w:r>
      <w:r>
        <w:rPr>
          <w:rFonts w:hint="eastAsia" w:ascii="宋体" w:hAnsi="宋体"/>
          <w:b/>
          <w:sz w:val="28"/>
          <w:u w:val="single"/>
        </w:rPr>
        <w:t>在20     年  月  日  时  分之前不得启封</w:t>
      </w:r>
    </w:p>
    <w:p>
      <w:pPr>
        <w:snapToGrid w:val="0"/>
        <w:spacing w:line="360" w:lineRule="auto"/>
        <w:ind w:right="-85" w:firstLine="4080" w:firstLineChars="1700"/>
        <w:rPr>
          <w:rFonts w:ascii="宋体" w:hAnsi="宋体"/>
          <w:sz w:val="24"/>
        </w:rPr>
      </w:pPr>
    </w:p>
    <w:p>
      <w:pPr>
        <w:snapToGrid w:val="0"/>
        <w:spacing w:line="360" w:lineRule="auto"/>
        <w:ind w:right="-85" w:firstLine="645"/>
        <w:jc w:val="center"/>
        <w:rPr>
          <w:rFonts w:ascii="宋体" w:hAnsi="宋体"/>
          <w:sz w:val="24"/>
        </w:rPr>
      </w:pPr>
      <w:r>
        <w:rPr>
          <w:rFonts w:hint="eastAsia" w:ascii="宋体" w:hAnsi="宋体"/>
          <w:sz w:val="24"/>
        </w:rPr>
        <w:t xml:space="preserve">                                 年   月   日</w:t>
      </w:r>
    </w:p>
    <w:p>
      <w:pPr>
        <w:snapToGrid w:val="0"/>
        <w:spacing w:line="360" w:lineRule="auto"/>
        <w:ind w:right="-85"/>
        <w:outlineLvl w:val="1"/>
        <w:rPr>
          <w:rFonts w:ascii="宋体" w:hAnsi="宋体"/>
          <w:sz w:val="24"/>
          <w:u w:val="single"/>
        </w:rPr>
      </w:pPr>
    </w:p>
    <w:p>
      <w:pPr>
        <w:pStyle w:val="20"/>
        <w:snapToGrid w:val="0"/>
        <w:spacing w:before="120" w:line="312" w:lineRule="auto"/>
        <w:ind w:right="-341"/>
        <w:rPr>
          <w:rFonts w:hAnsi="宋体"/>
          <w:b/>
          <w:sz w:val="32"/>
        </w:rPr>
      </w:pPr>
    </w:p>
    <w:p>
      <w:pPr>
        <w:pStyle w:val="20"/>
        <w:snapToGrid w:val="0"/>
        <w:spacing w:before="120" w:line="312" w:lineRule="auto"/>
        <w:ind w:right="-341"/>
        <w:rPr>
          <w:rFonts w:hAnsi="宋体"/>
          <w:b/>
          <w:sz w:val="32"/>
        </w:rPr>
      </w:pPr>
    </w:p>
    <w:p>
      <w:pPr>
        <w:pStyle w:val="20"/>
        <w:snapToGrid w:val="0"/>
        <w:spacing w:before="120" w:line="312" w:lineRule="auto"/>
        <w:ind w:right="-341"/>
        <w:rPr>
          <w:rFonts w:hAnsi="宋体"/>
          <w:b/>
          <w:sz w:val="32"/>
        </w:rPr>
      </w:pPr>
    </w:p>
    <w:p>
      <w:pPr>
        <w:pStyle w:val="20"/>
        <w:snapToGrid w:val="0"/>
        <w:spacing w:before="120" w:line="312" w:lineRule="auto"/>
        <w:ind w:right="-341"/>
        <w:rPr>
          <w:rFonts w:hAnsi="宋体"/>
          <w:b/>
          <w:sz w:val="32"/>
        </w:rPr>
      </w:pPr>
    </w:p>
    <w:p>
      <w:pPr>
        <w:pStyle w:val="20"/>
        <w:snapToGrid w:val="0"/>
        <w:spacing w:before="120" w:line="312" w:lineRule="auto"/>
        <w:ind w:right="-341"/>
        <w:rPr>
          <w:rFonts w:hAnsi="宋体"/>
          <w:b/>
          <w:sz w:val="32"/>
        </w:rPr>
      </w:pPr>
    </w:p>
    <w:p>
      <w:pPr>
        <w:pStyle w:val="20"/>
        <w:snapToGrid w:val="0"/>
        <w:spacing w:before="120" w:line="312" w:lineRule="auto"/>
        <w:ind w:right="-341"/>
        <w:rPr>
          <w:rFonts w:hAnsi="宋体"/>
          <w:b/>
          <w:sz w:val="32"/>
        </w:rPr>
      </w:pPr>
    </w:p>
    <w:p>
      <w:pPr>
        <w:pStyle w:val="20"/>
        <w:snapToGrid w:val="0"/>
        <w:spacing w:before="120" w:line="312" w:lineRule="auto"/>
        <w:ind w:right="-341"/>
        <w:rPr>
          <w:rFonts w:hAnsi="宋体"/>
          <w:b/>
          <w:sz w:val="32"/>
        </w:rPr>
      </w:pPr>
    </w:p>
    <w:p>
      <w:pPr>
        <w:pStyle w:val="20"/>
        <w:snapToGrid w:val="0"/>
        <w:spacing w:before="120" w:line="312" w:lineRule="auto"/>
        <w:ind w:right="-341"/>
        <w:rPr>
          <w:rFonts w:hAnsi="宋体"/>
          <w:b/>
          <w:sz w:val="28"/>
          <w:szCs w:val="28"/>
        </w:rPr>
      </w:pPr>
    </w:p>
    <w:p>
      <w:pPr>
        <w:pStyle w:val="20"/>
        <w:snapToGrid w:val="0"/>
        <w:spacing w:before="120" w:line="312" w:lineRule="auto"/>
        <w:ind w:right="-341"/>
        <w:rPr>
          <w:rFonts w:hAnsi="宋体"/>
          <w:b/>
          <w:sz w:val="28"/>
          <w:szCs w:val="28"/>
        </w:rPr>
      </w:pPr>
    </w:p>
    <w:p>
      <w:pPr>
        <w:pStyle w:val="20"/>
        <w:snapToGrid w:val="0"/>
        <w:spacing w:before="120" w:line="312" w:lineRule="auto"/>
        <w:ind w:right="-341"/>
        <w:rPr>
          <w:rFonts w:hAnsi="宋体"/>
          <w:b/>
          <w:sz w:val="28"/>
          <w:szCs w:val="28"/>
        </w:rPr>
      </w:pPr>
      <w:r>
        <w:rPr>
          <w:rFonts w:hint="eastAsia" w:hAnsi="宋体"/>
          <w:b/>
          <w:sz w:val="28"/>
          <w:szCs w:val="28"/>
        </w:rPr>
        <w:t>二</w:t>
      </w:r>
    </w:p>
    <w:p>
      <w:pPr>
        <w:pStyle w:val="20"/>
        <w:snapToGrid w:val="0"/>
        <w:spacing w:before="120" w:line="312" w:lineRule="auto"/>
        <w:ind w:right="-341" w:firstLine="3678" w:firstLineChars="1145"/>
        <w:rPr>
          <w:rFonts w:hAnsi="宋体"/>
          <w:b/>
          <w:sz w:val="32"/>
        </w:rPr>
      </w:pPr>
      <w:r>
        <w:rPr>
          <w:rFonts w:hint="eastAsia" w:hAnsi="宋体"/>
          <w:b/>
          <w:sz w:val="32"/>
        </w:rPr>
        <w:t>开标一览表</w:t>
      </w:r>
    </w:p>
    <w:p>
      <w:pPr>
        <w:spacing w:line="360" w:lineRule="auto"/>
        <w:rPr>
          <w:b/>
          <w:sz w:val="24"/>
          <w:szCs w:val="24"/>
        </w:rPr>
      </w:pPr>
    </w:p>
    <w:p>
      <w:pPr>
        <w:snapToGrid w:val="0"/>
        <w:spacing w:before="50" w:after="50"/>
        <w:rPr>
          <w:rFonts w:ascii="宋体" w:hAnsi="宋体"/>
        </w:rPr>
      </w:pPr>
    </w:p>
    <w:p>
      <w:pPr>
        <w:snapToGrid w:val="0"/>
        <w:spacing w:before="50" w:after="50"/>
        <w:rPr>
          <w:rFonts w:ascii="宋体" w:hAnsi="宋体"/>
        </w:rPr>
      </w:pPr>
      <w:r>
        <w:rPr>
          <w:rFonts w:hint="eastAsia" w:ascii="宋体" w:hAnsi="宋体"/>
        </w:rPr>
        <w:t>项目名称：</w:t>
      </w:r>
    </w:p>
    <w:p>
      <w:pPr>
        <w:snapToGrid w:val="0"/>
        <w:spacing w:before="50" w:after="50"/>
        <w:rPr>
          <w:rFonts w:ascii="宋体" w:hAnsi="宋体"/>
        </w:rPr>
      </w:pPr>
      <w:r>
        <w:rPr>
          <w:rFonts w:hint="eastAsia" w:ascii="宋体" w:hAnsi="宋体"/>
        </w:rPr>
        <w:t>项目编号：</w:t>
      </w:r>
    </w:p>
    <w:p>
      <w:pPr>
        <w:pStyle w:val="20"/>
        <w:spacing w:before="120" w:line="360" w:lineRule="auto"/>
        <w:ind w:firstLine="5880" w:firstLineChars="2800"/>
        <w:rPr>
          <w:rFonts w:asciiTheme="minorEastAsia" w:hAnsiTheme="minorEastAsia" w:eastAsiaTheme="minorEastAsia"/>
          <w:sz w:val="21"/>
          <w:szCs w:val="21"/>
        </w:rPr>
      </w:pPr>
      <w:r>
        <w:rPr>
          <w:rFonts w:hint="eastAsia" w:hAnsi="宋体"/>
          <w:sz w:val="21"/>
          <w:szCs w:val="21"/>
        </w:rPr>
        <w:t>单位：元</w:t>
      </w:r>
    </w:p>
    <w:tbl>
      <w:tblPr>
        <w:tblStyle w:val="36"/>
        <w:tblW w:w="950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7" w:type="dxa"/>
          <w:bottom w:w="0" w:type="dxa"/>
          <w:right w:w="57" w:type="dxa"/>
        </w:tblCellMar>
      </w:tblPr>
      <w:tblGrid>
        <w:gridCol w:w="1004"/>
        <w:gridCol w:w="2448"/>
        <w:gridCol w:w="4819"/>
        <w:gridCol w:w="123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495" w:hRule="atLeast"/>
          <w:jc w:val="center"/>
        </w:trPr>
        <w:tc>
          <w:tcPr>
            <w:tcW w:w="1004" w:type="dxa"/>
            <w:tcBorders>
              <w:right w:val="single" w:color="auto" w:sz="4" w:space="0"/>
            </w:tcBorders>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2448" w:type="dxa"/>
            <w:tcBorders>
              <w:left w:val="single" w:color="auto" w:sz="4" w:space="0"/>
              <w:right w:val="single" w:color="auto" w:sz="4" w:space="0"/>
            </w:tcBorders>
            <w:vAlign w:val="center"/>
          </w:tcPr>
          <w:p>
            <w:pPr>
              <w:ind w:left="424" w:leftChars="202"/>
              <w:jc w:val="center"/>
              <w:rPr>
                <w:rFonts w:asciiTheme="minorEastAsia" w:hAnsiTheme="minorEastAsia" w:eastAsiaTheme="minorEastAsia"/>
                <w:b/>
                <w:szCs w:val="21"/>
              </w:rPr>
            </w:pPr>
            <w:r>
              <w:rPr>
                <w:rFonts w:hint="eastAsia" w:asciiTheme="minorEastAsia" w:hAnsiTheme="minorEastAsia" w:eastAsiaTheme="minorEastAsia"/>
                <w:b/>
                <w:szCs w:val="21"/>
              </w:rPr>
              <w:t xml:space="preserve"> 名称</w:t>
            </w:r>
          </w:p>
        </w:tc>
        <w:tc>
          <w:tcPr>
            <w:tcW w:w="4819" w:type="dxa"/>
            <w:tcBorders>
              <w:left w:val="single" w:color="auto" w:sz="4" w:space="0"/>
              <w:right w:val="single" w:color="auto" w:sz="4" w:space="0"/>
            </w:tcBorders>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 xml:space="preserve"> 投标报价</w:t>
            </w:r>
          </w:p>
        </w:tc>
        <w:tc>
          <w:tcPr>
            <w:tcW w:w="1238" w:type="dxa"/>
            <w:tcBorders>
              <w:left w:val="single" w:color="auto" w:sz="4" w:space="0"/>
            </w:tcBorders>
            <w:vAlign w:val="center"/>
          </w:tcPr>
          <w:p>
            <w:pPr>
              <w:ind w:left="424" w:leftChars="202"/>
              <w:jc w:val="center"/>
              <w:rPr>
                <w:rFonts w:asciiTheme="minorEastAsia" w:hAnsiTheme="minorEastAsia" w:eastAsiaTheme="minorEastAsia"/>
                <w:b/>
                <w:szCs w:val="21"/>
              </w:rPr>
            </w:pPr>
            <w:r>
              <w:rPr>
                <w:rFonts w:hint="eastAsia" w:cs="宋体" w:asciiTheme="minorEastAsia" w:hAnsiTheme="minorEastAsia" w:eastAsiaTheme="minor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554" w:hRule="atLeast"/>
          <w:jc w:val="center"/>
        </w:trPr>
        <w:tc>
          <w:tcPr>
            <w:tcW w:w="1004" w:type="dxa"/>
            <w:tcBorders>
              <w:right w:val="single" w:color="auto" w:sz="4" w:space="0"/>
            </w:tcBorders>
            <w:vAlign w:val="center"/>
          </w:tcPr>
          <w:p>
            <w:pPr>
              <w:autoSpaceDE w:val="0"/>
              <w:autoSpaceDN w:val="0"/>
              <w:adjustRightInd w:val="0"/>
              <w:spacing w:line="400" w:lineRule="exact"/>
              <w:ind w:left="424" w:leftChars="202"/>
              <w:rPr>
                <w:rFonts w:asciiTheme="minorEastAsia" w:hAnsiTheme="minorEastAsia" w:eastAsiaTheme="minorEastAsia"/>
                <w:szCs w:val="21"/>
                <w:lang w:val="zh-CN"/>
              </w:rPr>
            </w:pPr>
          </w:p>
        </w:tc>
        <w:tc>
          <w:tcPr>
            <w:tcW w:w="2448" w:type="dxa"/>
            <w:tcBorders>
              <w:left w:val="single" w:color="auto" w:sz="4" w:space="0"/>
              <w:right w:val="single" w:color="auto" w:sz="4" w:space="0"/>
            </w:tcBorders>
            <w:vAlign w:val="center"/>
          </w:tcPr>
          <w:p>
            <w:pPr>
              <w:ind w:left="424" w:leftChars="202"/>
              <w:jc w:val="center"/>
              <w:rPr>
                <w:rFonts w:asciiTheme="minorEastAsia" w:hAnsiTheme="minorEastAsia" w:eastAsiaTheme="minorEastAsia"/>
                <w:szCs w:val="21"/>
              </w:rPr>
            </w:pPr>
          </w:p>
        </w:tc>
        <w:tc>
          <w:tcPr>
            <w:tcW w:w="4819" w:type="dxa"/>
            <w:tcBorders>
              <w:left w:val="single" w:color="auto" w:sz="4" w:space="0"/>
              <w:right w:val="single" w:color="auto" w:sz="4" w:space="0"/>
            </w:tcBorders>
            <w:vAlign w:val="center"/>
          </w:tcPr>
          <w:p>
            <w:pPr>
              <w:ind w:left="424" w:leftChars="202"/>
              <w:jc w:val="center"/>
              <w:rPr>
                <w:rFonts w:asciiTheme="minorEastAsia" w:hAnsiTheme="minorEastAsia" w:eastAsiaTheme="minorEastAsia"/>
                <w:szCs w:val="21"/>
              </w:rPr>
            </w:pPr>
          </w:p>
        </w:tc>
        <w:tc>
          <w:tcPr>
            <w:tcW w:w="1238" w:type="dxa"/>
            <w:tcBorders>
              <w:left w:val="single" w:color="auto" w:sz="4" w:space="0"/>
            </w:tcBorders>
            <w:vAlign w:val="center"/>
          </w:tcPr>
          <w:p>
            <w:pPr>
              <w:ind w:left="424" w:leftChars="202"/>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554" w:hRule="atLeast"/>
          <w:jc w:val="center"/>
        </w:trPr>
        <w:tc>
          <w:tcPr>
            <w:tcW w:w="1004" w:type="dxa"/>
            <w:tcBorders>
              <w:right w:val="single" w:color="auto" w:sz="4" w:space="0"/>
            </w:tcBorders>
            <w:vAlign w:val="center"/>
          </w:tcPr>
          <w:p>
            <w:pPr>
              <w:autoSpaceDE w:val="0"/>
              <w:autoSpaceDN w:val="0"/>
              <w:adjustRightInd w:val="0"/>
              <w:spacing w:line="400" w:lineRule="exact"/>
              <w:ind w:left="424" w:leftChars="202"/>
              <w:rPr>
                <w:rFonts w:asciiTheme="minorEastAsia" w:hAnsiTheme="minorEastAsia" w:eastAsiaTheme="minorEastAsia"/>
                <w:szCs w:val="21"/>
                <w:lang w:val="zh-CN"/>
              </w:rPr>
            </w:pPr>
            <w:r>
              <w:rPr>
                <w:rFonts w:hint="eastAsia" w:asciiTheme="minorEastAsia" w:hAnsiTheme="minorEastAsia" w:eastAsiaTheme="minorEastAsia"/>
                <w:szCs w:val="21"/>
                <w:lang w:val="zh-CN"/>
              </w:rPr>
              <w:t>合计</w:t>
            </w:r>
          </w:p>
        </w:tc>
        <w:tc>
          <w:tcPr>
            <w:tcW w:w="8505" w:type="dxa"/>
            <w:gridSpan w:val="3"/>
            <w:tcBorders>
              <w:left w:val="single" w:color="auto" w:sz="4" w:space="0"/>
            </w:tcBorders>
            <w:vAlign w:val="center"/>
          </w:tcPr>
          <w:p>
            <w:pPr>
              <w:ind w:left="424" w:leftChars="202"/>
              <w:jc w:val="center"/>
              <w:rPr>
                <w:rFonts w:asciiTheme="minorEastAsia" w:hAnsiTheme="minorEastAsia" w:eastAsiaTheme="minorEastAsia"/>
                <w:szCs w:val="21"/>
              </w:rPr>
            </w:pPr>
          </w:p>
        </w:tc>
      </w:tr>
    </w:tbl>
    <w:p>
      <w:pPr>
        <w:spacing w:line="440" w:lineRule="exact"/>
        <w:ind w:firstLine="102" w:firstLineChars="49"/>
        <w:rPr>
          <w:rFonts w:asciiTheme="minorEastAsia" w:hAnsiTheme="minorEastAsia" w:eastAsiaTheme="minorEastAsia"/>
          <w:szCs w:val="21"/>
        </w:rPr>
      </w:pPr>
      <w:r>
        <w:rPr>
          <w:rFonts w:hint="eastAsia" w:asciiTheme="minorEastAsia" w:hAnsiTheme="minorEastAsia" w:eastAsiaTheme="minorEastAsia"/>
          <w:szCs w:val="21"/>
        </w:rPr>
        <w:t>说明：</w:t>
      </w:r>
    </w:p>
    <w:p>
      <w:pPr>
        <w:snapToGrid w:val="0"/>
        <w:spacing w:line="360" w:lineRule="auto"/>
        <w:ind w:right="-340" w:firstLine="420" w:firstLineChars="200"/>
        <w:rPr>
          <w:rFonts w:ascii="宋体"/>
        </w:rPr>
      </w:pPr>
      <w:r>
        <w:rPr>
          <w:rFonts w:hint="eastAsia" w:ascii="宋体" w:hAnsi="宋体"/>
        </w:rPr>
        <w:t xml:space="preserve"> 项目费用包括项目实施所需的一切费用。</w:t>
      </w:r>
    </w:p>
    <w:p>
      <w:pPr>
        <w:snapToGrid w:val="0"/>
        <w:spacing w:before="50" w:after="50"/>
        <w:rPr>
          <w:rFonts w:ascii="宋体" w:hAnsi="宋体"/>
        </w:rPr>
      </w:pPr>
    </w:p>
    <w:p>
      <w:pPr>
        <w:snapToGrid w:val="0"/>
        <w:ind w:left="2" w:right="-817" w:rightChars="-389"/>
        <w:rPr>
          <w:rFonts w:ascii="宋体" w:hAnsi="宋体"/>
        </w:rPr>
      </w:pPr>
    </w:p>
    <w:p>
      <w:pPr>
        <w:snapToGrid w:val="0"/>
        <w:ind w:left="2" w:right="-817" w:rightChars="-389"/>
        <w:rPr>
          <w:rFonts w:ascii="宋体" w:hAnsi="宋体"/>
        </w:rPr>
      </w:pPr>
    </w:p>
    <w:p>
      <w:pPr>
        <w:snapToGrid w:val="0"/>
        <w:ind w:left="2" w:right="-817" w:rightChars="-389"/>
        <w:rPr>
          <w:rFonts w:ascii="宋体" w:hAnsi="宋体"/>
        </w:rPr>
      </w:pPr>
      <w:r>
        <w:rPr>
          <w:rFonts w:hint="eastAsia" w:ascii="宋体" w:hAnsi="宋体"/>
        </w:rPr>
        <w:t>投标人名称（盖章）：                                                   日期：年月日</w:t>
      </w:r>
    </w:p>
    <w:p>
      <w:pPr>
        <w:snapToGrid w:val="0"/>
        <w:spacing w:before="50" w:after="50"/>
        <w:rPr>
          <w:rFonts w:ascii="宋体" w:hAnsi="宋体"/>
          <w:spacing w:val="20"/>
          <w:u w:val="single"/>
        </w:rPr>
      </w:pPr>
    </w:p>
    <w:p>
      <w:pPr>
        <w:pStyle w:val="20"/>
        <w:snapToGrid w:val="0"/>
        <w:spacing w:before="120" w:line="312" w:lineRule="auto"/>
        <w:ind w:right="-341"/>
        <w:rPr>
          <w:rFonts w:hAnsi="宋体"/>
          <w:b/>
          <w:sz w:val="32"/>
        </w:rPr>
      </w:pPr>
    </w:p>
    <w:p>
      <w:pPr>
        <w:snapToGrid w:val="0"/>
        <w:spacing w:before="120" w:line="312" w:lineRule="auto"/>
        <w:ind w:right="-341"/>
        <w:jc w:val="center"/>
        <w:rPr>
          <w:rFonts w:hAnsi="宋体"/>
          <w:b/>
          <w:sz w:val="32"/>
        </w:rPr>
      </w:pPr>
    </w:p>
    <w:p>
      <w:pPr>
        <w:snapToGrid w:val="0"/>
        <w:spacing w:before="120" w:line="312" w:lineRule="auto"/>
        <w:ind w:right="-341"/>
        <w:rPr>
          <w:rFonts w:hAnsi="宋体"/>
          <w:b/>
          <w:sz w:val="32"/>
        </w:rPr>
      </w:pPr>
    </w:p>
    <w:p>
      <w:pPr>
        <w:snapToGrid w:val="0"/>
        <w:spacing w:before="120" w:line="312" w:lineRule="auto"/>
        <w:ind w:right="-341"/>
        <w:rPr>
          <w:rFonts w:hAnsi="宋体"/>
          <w:b/>
          <w:sz w:val="32"/>
        </w:rPr>
      </w:pPr>
    </w:p>
    <w:p>
      <w:pPr>
        <w:snapToGrid w:val="0"/>
        <w:spacing w:before="120" w:line="312" w:lineRule="auto"/>
        <w:ind w:right="-341"/>
        <w:rPr>
          <w:rFonts w:hAnsi="宋体"/>
          <w:b/>
          <w:sz w:val="32"/>
        </w:rPr>
      </w:pPr>
    </w:p>
    <w:p>
      <w:pPr>
        <w:snapToGrid w:val="0"/>
        <w:spacing w:before="120" w:line="312" w:lineRule="auto"/>
        <w:ind w:right="-341"/>
        <w:rPr>
          <w:rFonts w:hAnsi="宋体"/>
          <w:b/>
          <w:sz w:val="32"/>
        </w:rPr>
      </w:pPr>
    </w:p>
    <w:p>
      <w:pPr>
        <w:snapToGrid w:val="0"/>
        <w:spacing w:before="120" w:line="312" w:lineRule="auto"/>
        <w:ind w:right="-341"/>
        <w:rPr>
          <w:rFonts w:hAnsi="宋体"/>
          <w:b/>
          <w:sz w:val="32"/>
        </w:rPr>
      </w:pPr>
    </w:p>
    <w:p>
      <w:pPr>
        <w:snapToGrid w:val="0"/>
        <w:spacing w:before="120" w:line="312" w:lineRule="auto"/>
        <w:ind w:right="-341"/>
        <w:rPr>
          <w:rFonts w:hAnsi="宋体"/>
          <w:b/>
          <w:sz w:val="32"/>
        </w:rPr>
      </w:pPr>
    </w:p>
    <w:p>
      <w:pPr>
        <w:pStyle w:val="2"/>
      </w:pPr>
    </w:p>
    <w:p>
      <w:pPr>
        <w:pStyle w:val="3"/>
      </w:pPr>
    </w:p>
    <w:p>
      <w:pPr>
        <w:pStyle w:val="3"/>
      </w:pPr>
    </w:p>
    <w:p>
      <w:pPr>
        <w:snapToGrid w:val="0"/>
        <w:spacing w:before="120" w:line="312" w:lineRule="auto"/>
        <w:ind w:right="-341"/>
        <w:jc w:val="center"/>
        <w:rPr>
          <w:rFonts w:hAnsi="宋体"/>
          <w:b/>
          <w:sz w:val="32"/>
        </w:rPr>
      </w:pPr>
      <w:r>
        <w:rPr>
          <w:rFonts w:hint="eastAsia" w:hAnsi="宋体"/>
          <w:b/>
          <w:sz w:val="32"/>
        </w:rPr>
        <w:t>三、投标报价明细表</w:t>
      </w:r>
    </w:p>
    <w:p>
      <w:pPr>
        <w:snapToGrid w:val="0"/>
        <w:rPr>
          <w:rFonts w:hAnsi="宋体"/>
          <w:b/>
          <w:sz w:val="28"/>
        </w:rPr>
      </w:pPr>
    </w:p>
    <w:p>
      <w:pPr>
        <w:snapToGrid w:val="0"/>
        <w:rPr>
          <w:rFonts w:hAnsi="宋体"/>
          <w:szCs w:val="21"/>
        </w:rPr>
      </w:pPr>
      <w:r>
        <w:rPr>
          <w:rFonts w:hint="eastAsia" w:hAnsi="宋体"/>
          <w:szCs w:val="21"/>
        </w:rPr>
        <w:t>招标项目：金额单位：人民币（元）</w:t>
      </w:r>
    </w:p>
    <w:p>
      <w:pPr>
        <w:pStyle w:val="20"/>
        <w:snapToGrid w:val="0"/>
        <w:spacing w:before="120" w:after="120" w:line="240" w:lineRule="auto"/>
        <w:rPr>
          <w:rFonts w:hAnsi="宋体"/>
          <w:sz w:val="21"/>
          <w:szCs w:val="21"/>
        </w:rPr>
      </w:pPr>
      <w:r>
        <w:rPr>
          <w:rFonts w:hint="eastAsia" w:hAnsi="宋体"/>
          <w:szCs w:val="21"/>
        </w:rPr>
        <w:t>招标编号：</w:t>
      </w:r>
    </w:p>
    <w:tbl>
      <w:tblPr>
        <w:tblStyle w:val="36"/>
        <w:tblW w:w="9540"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9"/>
        <w:gridCol w:w="2339"/>
        <w:gridCol w:w="1080"/>
        <w:gridCol w:w="1440"/>
        <w:gridCol w:w="10"/>
        <w:gridCol w:w="1430"/>
        <w:gridCol w:w="1262"/>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spacing w:val="20"/>
              </w:rPr>
            </w:pPr>
            <w:r>
              <w:rPr>
                <w:rFonts w:hint="eastAsia" w:ascii="宋体" w:hAnsi="宋体"/>
              </w:rPr>
              <w:t>序号</w:t>
            </w:r>
          </w:p>
        </w:tc>
        <w:tc>
          <w:tcPr>
            <w:tcW w:w="233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spacing w:val="20"/>
              </w:rPr>
            </w:pPr>
            <w:r>
              <w:rPr>
                <w:rFonts w:hint="eastAsia" w:ascii="宋体" w:hAnsi="宋体"/>
              </w:rPr>
              <w:t>名称</w:t>
            </w:r>
          </w:p>
        </w:tc>
        <w:tc>
          <w:tcPr>
            <w:tcW w:w="1080" w:type="dxa"/>
            <w:tcBorders>
              <w:top w:val="single" w:color="auto" w:sz="4" w:space="0"/>
              <w:left w:val="single" w:color="auto" w:sz="4" w:space="0"/>
              <w:bottom w:val="single" w:color="auto" w:sz="4" w:space="0"/>
              <w:right w:val="single" w:color="auto" w:sz="4" w:space="0"/>
            </w:tcBorders>
            <w:vAlign w:val="center"/>
          </w:tcPr>
          <w:p>
            <w:pPr>
              <w:pStyle w:val="91"/>
              <w:snapToGrid w:val="0"/>
              <w:spacing w:before="50" w:after="50" w:line="240" w:lineRule="auto"/>
              <w:rPr>
                <w:rFonts w:ascii="宋体" w:hAnsi="宋体" w:eastAsia="宋体"/>
                <w:sz w:val="21"/>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spacing w:val="20"/>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spacing w:val="20"/>
              </w:rPr>
            </w:pPr>
          </w:p>
        </w:tc>
        <w:tc>
          <w:tcPr>
            <w:tcW w:w="126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spacing w:val="20"/>
              </w:rPr>
            </w:pPr>
            <w:r>
              <w:rPr>
                <w:rFonts w:hint="eastAsia" w:ascii="宋体" w:hAnsi="宋体"/>
              </w:rPr>
              <w:t>单价</w:t>
            </w:r>
          </w:p>
        </w:tc>
        <w:tc>
          <w:tcPr>
            <w:tcW w:w="1440" w:type="dxa"/>
            <w:tcBorders>
              <w:top w:val="single" w:color="auto" w:sz="4" w:space="0"/>
              <w:left w:val="single" w:color="auto" w:sz="4" w:space="0"/>
              <w:bottom w:val="single" w:color="auto" w:sz="4" w:space="0"/>
            </w:tcBorders>
            <w:vAlign w:val="center"/>
          </w:tcPr>
          <w:p>
            <w:pPr>
              <w:tabs>
                <w:tab w:val="left" w:pos="1418"/>
              </w:tabs>
              <w:snapToGrid w:val="0"/>
              <w:spacing w:before="50" w:after="50"/>
              <w:jc w:val="center"/>
              <w:rPr>
                <w:rFonts w:ascii="宋体"/>
                <w:spacing w:val="20"/>
              </w:rPr>
            </w:pPr>
            <w:r>
              <w:rPr>
                <w:rFonts w:hint="eastAsia" w:ascii="宋体" w:hAnsi="宋体"/>
              </w:rPr>
              <w:t>合价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r>
              <w:rPr>
                <w:rFonts w:hint="eastAsia" w:ascii="宋体"/>
                <w:spacing w:val="20"/>
              </w:rPr>
              <w:t>……</w:t>
            </w: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40" w:type="dxa"/>
            <w:gridSpan w:val="8"/>
            <w:tcBorders>
              <w:top w:val="single" w:color="auto" w:sz="4" w:space="0"/>
              <w:bottom w:val="single" w:color="auto" w:sz="4" w:space="0"/>
            </w:tcBorders>
          </w:tcPr>
          <w:p>
            <w:pPr>
              <w:tabs>
                <w:tab w:val="left" w:pos="1418"/>
              </w:tabs>
              <w:snapToGrid w:val="0"/>
              <w:spacing w:before="50" w:after="5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4859" w:type="dxa"/>
            <w:gridSpan w:val="3"/>
            <w:tcBorders>
              <w:top w:val="single" w:color="auto" w:sz="4" w:space="0"/>
              <w:left w:val="single" w:color="auto" w:sz="4" w:space="0"/>
              <w:bottom w:val="single" w:color="auto" w:sz="4" w:space="0"/>
              <w:right w:val="single" w:color="auto" w:sz="4" w:space="0"/>
            </w:tcBorders>
          </w:tcPr>
          <w:p>
            <w:pPr>
              <w:pStyle w:val="67"/>
              <w:tabs>
                <w:tab w:val="left" w:pos="1418"/>
              </w:tabs>
              <w:snapToGrid w:val="0"/>
              <w:spacing w:before="50" w:after="50"/>
              <w:rPr>
                <w:rFonts w:ascii="宋体"/>
                <w:spacing w:val="20"/>
                <w:sz w:val="21"/>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4859" w:type="dxa"/>
            <w:gridSpan w:val="3"/>
            <w:tcBorders>
              <w:top w:val="single" w:color="auto" w:sz="4" w:space="0"/>
              <w:left w:val="single" w:color="auto" w:sz="4" w:space="0"/>
              <w:bottom w:val="single" w:color="auto" w:sz="4" w:space="0"/>
              <w:right w:val="single" w:color="auto" w:sz="4" w:space="0"/>
            </w:tcBorders>
          </w:tcPr>
          <w:p>
            <w:pPr>
              <w:pStyle w:val="67"/>
              <w:tabs>
                <w:tab w:val="left" w:pos="1418"/>
              </w:tabs>
              <w:snapToGrid w:val="0"/>
              <w:spacing w:before="50" w:after="50"/>
              <w:rPr>
                <w:rFonts w:ascii="宋体" w:hAnsi="宋体"/>
                <w:spacing w:val="20"/>
                <w:sz w:val="21"/>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4859" w:type="dxa"/>
            <w:gridSpan w:val="3"/>
            <w:tcBorders>
              <w:top w:val="single" w:color="auto" w:sz="4" w:space="0"/>
              <w:left w:val="single" w:color="auto" w:sz="4" w:space="0"/>
              <w:bottom w:val="single" w:color="auto" w:sz="4" w:space="0"/>
              <w:right w:val="single" w:color="auto" w:sz="4" w:space="0"/>
            </w:tcBorders>
          </w:tcPr>
          <w:p>
            <w:pPr>
              <w:pStyle w:val="67"/>
              <w:tabs>
                <w:tab w:val="left" w:pos="1418"/>
              </w:tabs>
              <w:snapToGrid w:val="0"/>
              <w:spacing w:before="50" w:after="50"/>
              <w:rPr>
                <w:rFonts w:ascii="宋体"/>
                <w:spacing w:val="20"/>
                <w:sz w:val="21"/>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4859" w:type="dxa"/>
            <w:gridSpan w:val="3"/>
            <w:tcBorders>
              <w:top w:val="single" w:color="auto" w:sz="4" w:space="0"/>
              <w:left w:val="single" w:color="auto" w:sz="4" w:space="0"/>
              <w:bottom w:val="single" w:color="auto" w:sz="4" w:space="0"/>
              <w:right w:val="single" w:color="auto" w:sz="4" w:space="0"/>
            </w:tcBorders>
          </w:tcPr>
          <w:p>
            <w:pPr>
              <w:pStyle w:val="67"/>
              <w:tabs>
                <w:tab w:val="left" w:pos="1418"/>
              </w:tabs>
              <w:snapToGrid w:val="0"/>
              <w:spacing w:before="50" w:after="50"/>
              <w:rPr>
                <w:rFonts w:ascii="宋体"/>
                <w:spacing w:val="20"/>
                <w:sz w:val="21"/>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4869" w:type="dxa"/>
            <w:gridSpan w:val="4"/>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rPr>
                <w:rFonts w:ascii="宋体"/>
                <w:spacing w:val="20"/>
              </w:rPr>
            </w:pPr>
          </w:p>
        </w:tc>
        <w:tc>
          <w:tcPr>
            <w:tcW w:w="2692"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left="8"/>
              <w:rPr>
                <w:rFonts w:ascii="宋体"/>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4869" w:type="dxa"/>
            <w:gridSpan w:val="4"/>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rPr>
                <w:rFonts w:ascii="宋体"/>
                <w:spacing w:val="20"/>
              </w:rPr>
            </w:pPr>
          </w:p>
        </w:tc>
        <w:tc>
          <w:tcPr>
            <w:tcW w:w="2692"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left="8"/>
              <w:rPr>
                <w:rFonts w:ascii="宋体"/>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8" w:type="dxa"/>
            <w:gridSpan w:val="5"/>
            <w:tcBorders>
              <w:top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r>
              <w:rPr>
                <w:rFonts w:hint="eastAsia" w:ascii="宋体" w:hAnsi="宋体"/>
                <w:spacing w:val="20"/>
              </w:rPr>
              <w:t>投标总价</w:t>
            </w:r>
          </w:p>
        </w:tc>
        <w:tc>
          <w:tcPr>
            <w:tcW w:w="4132" w:type="dxa"/>
            <w:gridSpan w:val="3"/>
            <w:tcBorders>
              <w:top w:val="single" w:color="auto" w:sz="4" w:space="0"/>
              <w:bottom w:val="single" w:color="auto" w:sz="4" w:space="0"/>
            </w:tcBorders>
          </w:tcPr>
          <w:p>
            <w:pPr>
              <w:tabs>
                <w:tab w:val="left" w:pos="1418"/>
              </w:tabs>
              <w:snapToGrid w:val="0"/>
              <w:spacing w:before="50" w:after="50"/>
              <w:jc w:val="center"/>
              <w:rPr>
                <w:rFonts w:ascii="宋体"/>
                <w:spacing w:val="20"/>
              </w:rPr>
            </w:pPr>
          </w:p>
        </w:tc>
      </w:tr>
    </w:tbl>
    <w:p>
      <w:pPr>
        <w:snapToGrid w:val="0"/>
        <w:rPr>
          <w:rFonts w:ascii="宋体" w:hAnsi="宋体"/>
        </w:rPr>
      </w:pPr>
    </w:p>
    <w:p>
      <w:pPr>
        <w:snapToGrid w:val="0"/>
        <w:spacing w:before="50" w:after="50"/>
        <w:rPr>
          <w:rFonts w:ascii="宋体" w:hAnsi="宋体"/>
          <w:spacing w:val="20"/>
          <w:u w:val="single"/>
        </w:rPr>
      </w:pPr>
      <w:r>
        <w:rPr>
          <w:rFonts w:hint="eastAsia" w:ascii="宋体" w:hAnsi="宋体"/>
        </w:rPr>
        <w:t xml:space="preserve">投标人名称（盖章）： </w:t>
      </w:r>
      <w:r>
        <w:rPr>
          <w:rFonts w:hint="eastAsia" w:ascii="宋体" w:hAnsi="宋体"/>
          <w:spacing w:val="20"/>
        </w:rPr>
        <w:t xml:space="preserve"> 日  期：</w:t>
      </w:r>
    </w:p>
    <w:p>
      <w:pPr>
        <w:snapToGrid w:val="0"/>
        <w:spacing w:before="50" w:after="50"/>
        <w:rPr>
          <w:rFonts w:ascii="宋体" w:hAnsi="宋体"/>
        </w:rPr>
      </w:pPr>
    </w:p>
    <w:p>
      <w:pPr>
        <w:snapToGrid w:val="0"/>
        <w:spacing w:before="120" w:line="312" w:lineRule="auto"/>
        <w:ind w:right="-341"/>
        <w:rPr>
          <w:rFonts w:hAnsi="宋体"/>
          <w:b/>
          <w:sz w:val="32"/>
        </w:rPr>
      </w:pPr>
    </w:p>
    <w:p>
      <w:pPr>
        <w:snapToGrid w:val="0"/>
        <w:spacing w:before="120" w:line="312" w:lineRule="auto"/>
        <w:ind w:right="-341"/>
        <w:rPr>
          <w:rFonts w:hAnsi="宋体"/>
          <w:b/>
          <w:sz w:val="32"/>
        </w:rPr>
      </w:pPr>
    </w:p>
    <w:p>
      <w:pPr>
        <w:pStyle w:val="2"/>
      </w:pPr>
    </w:p>
    <w:p>
      <w:pPr>
        <w:snapToGrid w:val="0"/>
        <w:spacing w:before="120" w:line="312" w:lineRule="auto"/>
        <w:ind w:right="-341"/>
        <w:rPr>
          <w:rFonts w:hAnsi="宋体"/>
          <w:b/>
          <w:sz w:val="32"/>
        </w:rPr>
      </w:pPr>
    </w:p>
    <w:p>
      <w:pPr>
        <w:snapToGrid w:val="0"/>
        <w:spacing w:before="120" w:line="312" w:lineRule="auto"/>
        <w:ind w:right="-341"/>
        <w:rPr>
          <w:rFonts w:hAnsi="宋体"/>
          <w:b/>
          <w:sz w:val="32"/>
        </w:rPr>
      </w:pPr>
    </w:p>
    <w:p>
      <w:pPr>
        <w:snapToGrid w:val="0"/>
        <w:spacing w:before="120" w:line="312" w:lineRule="auto"/>
        <w:ind w:right="-341"/>
        <w:jc w:val="center"/>
        <w:rPr>
          <w:rFonts w:hAnsi="宋体"/>
          <w:b/>
          <w:sz w:val="32"/>
        </w:rPr>
      </w:pPr>
      <w:r>
        <w:rPr>
          <w:rFonts w:hint="eastAsia" w:hAnsi="宋体"/>
          <w:b/>
          <w:sz w:val="32"/>
        </w:rPr>
        <w:t>四、投标函</w:t>
      </w:r>
    </w:p>
    <w:p>
      <w:pPr>
        <w:snapToGrid w:val="0"/>
        <w:spacing w:line="312" w:lineRule="auto"/>
        <w:ind w:right="-341"/>
        <w:rPr>
          <w:rFonts w:ascii="宋体" w:hAnsi="宋体"/>
        </w:rPr>
      </w:pPr>
    </w:p>
    <w:p>
      <w:pPr>
        <w:snapToGrid w:val="0"/>
        <w:spacing w:line="312" w:lineRule="auto"/>
        <w:ind w:right="-341"/>
        <w:rPr>
          <w:rFonts w:ascii="宋体" w:hAnsi="宋体"/>
        </w:rPr>
      </w:pPr>
      <w:r>
        <w:rPr>
          <w:rFonts w:hint="eastAsia" w:ascii="宋体" w:hAnsi="宋体"/>
        </w:rPr>
        <w:t>致：_</w:t>
      </w:r>
      <w:r>
        <w:rPr>
          <w:rFonts w:hint="eastAsia" w:ascii="宋体" w:hAnsi="宋体"/>
          <w:u w:val="single"/>
        </w:rPr>
        <w:t>深圳市国信招标有限公司</w:t>
      </w:r>
      <w:r>
        <w:rPr>
          <w:rFonts w:hint="eastAsia" w:ascii="宋体" w:hAnsi="宋体"/>
        </w:rPr>
        <w:t>_：</w:t>
      </w:r>
    </w:p>
    <w:p>
      <w:pPr>
        <w:snapToGrid w:val="0"/>
        <w:spacing w:line="312" w:lineRule="auto"/>
        <w:ind w:right="-341" w:firstLine="480"/>
        <w:rPr>
          <w:rFonts w:ascii="宋体" w:hAnsi="宋体"/>
          <w:szCs w:val="21"/>
        </w:rPr>
      </w:pPr>
      <w:r>
        <w:rPr>
          <w:rFonts w:hint="eastAsia" w:ascii="宋体" w:hAnsi="宋体"/>
        </w:rPr>
        <w:t>根据贵方为项目的招标公告（项目编号：____</w:t>
      </w:r>
      <w:r>
        <w:rPr>
          <w:rFonts w:hint="eastAsia" w:ascii="宋体" w:hAnsi="宋体"/>
          <w:u w:val="single"/>
        </w:rPr>
        <w:t>_     _</w:t>
      </w:r>
      <w:r>
        <w:rPr>
          <w:rFonts w:hint="eastAsia" w:ascii="宋体" w:hAnsi="宋体"/>
        </w:rPr>
        <w:t>_），</w:t>
      </w:r>
      <w:r>
        <w:rPr>
          <w:rFonts w:hint="eastAsia" w:ascii="宋体" w:hAnsi="宋体"/>
          <w:szCs w:val="21"/>
        </w:rPr>
        <w:t>提交投标文件正本一份，副本一份。</w:t>
      </w:r>
    </w:p>
    <w:p>
      <w:pPr>
        <w:pStyle w:val="17"/>
        <w:widowControl/>
        <w:spacing w:line="360" w:lineRule="auto"/>
        <w:ind w:right="-341" w:firstLine="387" w:firstLineChars="192"/>
        <w:rPr>
          <w:rFonts w:hAnsi="宋体"/>
          <w:sz w:val="21"/>
          <w:szCs w:val="21"/>
        </w:rPr>
      </w:pPr>
      <w:r>
        <w:rPr>
          <w:rFonts w:hint="eastAsia" w:hAnsi="宋体"/>
          <w:sz w:val="21"/>
          <w:szCs w:val="21"/>
        </w:rPr>
        <w:t>据此函，签字代表宣布同意如下：</w:t>
      </w:r>
    </w:p>
    <w:p>
      <w:pPr>
        <w:pStyle w:val="17"/>
        <w:widowControl/>
        <w:spacing w:line="360" w:lineRule="auto"/>
        <w:ind w:right="-341" w:firstLine="387" w:firstLineChars="192"/>
        <w:rPr>
          <w:rFonts w:hAnsi="宋体" w:cs="宋体"/>
          <w:sz w:val="21"/>
          <w:szCs w:val="21"/>
        </w:rPr>
      </w:pPr>
      <w:r>
        <w:rPr>
          <w:rFonts w:hint="eastAsia" w:hAnsi="宋体" w:cs="宋体"/>
          <w:sz w:val="21"/>
          <w:szCs w:val="21"/>
        </w:rPr>
        <w:t>1、我方已详细审查了采购文件的全部内容及其相关补充文件</w:t>
      </w:r>
      <w:r>
        <w:rPr>
          <w:rFonts w:hint="eastAsia" w:hAnsi="宋体" w:cs="宋体"/>
          <w:b/>
          <w:sz w:val="21"/>
          <w:szCs w:val="21"/>
        </w:rPr>
        <w:t>（若有）</w:t>
      </w:r>
      <w:r>
        <w:rPr>
          <w:rFonts w:hint="eastAsia" w:hAnsi="宋体" w:cs="宋体"/>
          <w:sz w:val="21"/>
          <w:szCs w:val="21"/>
        </w:rPr>
        <w:t>，并完全清晰理解全部内容及相关的补充文件</w:t>
      </w:r>
      <w:r>
        <w:rPr>
          <w:rFonts w:hint="eastAsia" w:hAnsi="宋体" w:cs="宋体"/>
          <w:b/>
          <w:sz w:val="21"/>
          <w:szCs w:val="21"/>
        </w:rPr>
        <w:t>（若有）</w:t>
      </w:r>
      <w:r>
        <w:rPr>
          <w:rFonts w:hint="eastAsia" w:hAnsi="宋体" w:cs="宋体"/>
          <w:sz w:val="21"/>
          <w:szCs w:val="21"/>
        </w:rPr>
        <w:t>，不存在任何误解之处，同意放弃提出异议和质疑的权利。</w:t>
      </w:r>
    </w:p>
    <w:p>
      <w:pPr>
        <w:snapToGrid w:val="0"/>
        <w:spacing w:line="360" w:lineRule="auto"/>
        <w:ind w:right="-341" w:firstLine="404" w:firstLineChars="200"/>
        <w:rPr>
          <w:rFonts w:ascii="宋体" w:hAnsi="宋体" w:cs="宋体"/>
          <w:spacing w:val="-4"/>
          <w:szCs w:val="21"/>
        </w:rPr>
      </w:pPr>
      <w:r>
        <w:rPr>
          <w:rFonts w:hint="eastAsia" w:ascii="宋体" w:hAnsi="宋体" w:cs="宋体"/>
          <w:spacing w:val="-4"/>
          <w:szCs w:val="21"/>
        </w:rPr>
        <w:t>2、我方遵守《中华人民共和国政府采购法》及相关法律法规的规定。同意采购文件中所提到的无效标条款，并服从有关开标现场的会议纪律。否则，同意被废除投标资格。</w:t>
      </w:r>
    </w:p>
    <w:p>
      <w:pPr>
        <w:spacing w:line="360" w:lineRule="auto"/>
        <w:ind w:right="-341" w:firstLine="404" w:firstLineChars="200"/>
        <w:rPr>
          <w:rFonts w:ascii="宋体" w:hAnsi="宋体" w:cs="宋体"/>
          <w:spacing w:val="-4"/>
          <w:szCs w:val="21"/>
        </w:rPr>
      </w:pPr>
      <w:r>
        <w:rPr>
          <w:rFonts w:hint="eastAsia" w:ascii="宋体" w:hAnsi="宋体" w:cs="宋体"/>
          <w:spacing w:val="-4"/>
          <w:szCs w:val="21"/>
        </w:rPr>
        <w:t>3、我方所提供的一次性投标产品报价均具充分的合理性和准确性，保证不存在低于成本的恶意报价行为，同时清楚理解到报价最低并非意味着必定获得合同授予资格。</w:t>
      </w:r>
    </w:p>
    <w:p>
      <w:pPr>
        <w:spacing w:line="360" w:lineRule="auto"/>
        <w:ind w:right="-341" w:firstLine="404" w:firstLineChars="200"/>
        <w:rPr>
          <w:rFonts w:ascii="宋体" w:hAnsi="宋体" w:cs="宋体"/>
          <w:spacing w:val="-4"/>
          <w:szCs w:val="21"/>
        </w:rPr>
      </w:pPr>
      <w:r>
        <w:rPr>
          <w:rFonts w:hint="eastAsia" w:ascii="宋体" w:hAnsi="宋体" w:cs="宋体"/>
          <w:spacing w:val="-4"/>
          <w:szCs w:val="21"/>
        </w:rPr>
        <w:t>4、投标有效期为自开标之日起9</w:t>
      </w:r>
      <w:r>
        <w:rPr>
          <w:rFonts w:hint="eastAsia" w:ascii="宋体" w:hAnsi="宋体" w:cs="宋体"/>
          <w:spacing w:val="-4"/>
          <w:szCs w:val="21"/>
          <w:u w:val="single"/>
        </w:rPr>
        <w:t>0</w:t>
      </w:r>
      <w:r>
        <w:rPr>
          <w:rFonts w:hint="eastAsia" w:ascii="宋体" w:hAnsi="宋体" w:cs="宋体"/>
          <w:spacing w:val="-4"/>
          <w:szCs w:val="21"/>
        </w:rPr>
        <w:t>天内，如在投标有效期内撤回投标，我方同意被废除投标资格。</w:t>
      </w:r>
    </w:p>
    <w:p>
      <w:pPr>
        <w:spacing w:line="360" w:lineRule="auto"/>
        <w:ind w:right="-341" w:firstLine="404" w:firstLineChars="200"/>
        <w:rPr>
          <w:rFonts w:ascii="宋体" w:hAnsi="宋体" w:cs="宋体"/>
          <w:spacing w:val="-4"/>
          <w:szCs w:val="21"/>
        </w:rPr>
      </w:pPr>
      <w:r>
        <w:rPr>
          <w:rFonts w:hint="eastAsia" w:ascii="宋体" w:hAnsi="宋体" w:cs="宋体"/>
          <w:spacing w:val="-4"/>
          <w:szCs w:val="21"/>
        </w:rPr>
        <w:t>5、我方承诺</w:t>
      </w:r>
      <w:r>
        <w:rPr>
          <w:rFonts w:hint="eastAsia" w:ascii="宋体" w:hAnsi="宋体" w:cs="宋体"/>
          <w:szCs w:val="21"/>
        </w:rPr>
        <w:t>参加政府采购活动前3年内在经营活动中没有重大违法记录和依法缴纳了税收</w:t>
      </w:r>
      <w:r>
        <w:rPr>
          <w:rFonts w:hint="eastAsia" w:ascii="宋体" w:hAnsi="宋体" w:cs="宋体"/>
          <w:spacing w:val="-4"/>
          <w:szCs w:val="21"/>
        </w:rPr>
        <w:t>（投标截止时间进行计算）。</w:t>
      </w:r>
    </w:p>
    <w:p>
      <w:pPr>
        <w:spacing w:line="360" w:lineRule="auto"/>
        <w:ind w:right="-341" w:firstLine="404" w:firstLineChars="200"/>
        <w:rPr>
          <w:szCs w:val="21"/>
        </w:rPr>
      </w:pPr>
      <w:r>
        <w:rPr>
          <w:rFonts w:hint="eastAsia" w:ascii="宋体" w:hAnsi="宋体" w:cs="宋体"/>
          <w:spacing w:val="-4"/>
          <w:szCs w:val="21"/>
        </w:rPr>
        <w:t>6、我方承诺具备本项目</w:t>
      </w:r>
      <w:r>
        <w:rPr>
          <w:rFonts w:hint="eastAsia" w:cs="宋体"/>
          <w:szCs w:val="21"/>
        </w:rPr>
        <w:t>履行合同所必需的设备和专业技术能力</w:t>
      </w:r>
    </w:p>
    <w:p>
      <w:pPr>
        <w:spacing w:line="360" w:lineRule="auto"/>
        <w:ind w:right="-341" w:firstLine="404" w:firstLineChars="200"/>
        <w:rPr>
          <w:rFonts w:ascii="宋体" w:hAnsi="宋体" w:cs="宋体"/>
          <w:spacing w:val="-4"/>
          <w:szCs w:val="21"/>
        </w:rPr>
      </w:pPr>
      <w:r>
        <w:rPr>
          <w:rFonts w:hint="eastAsia" w:ascii="宋体" w:hAnsi="宋体" w:cs="宋体"/>
          <w:spacing w:val="-4"/>
          <w:szCs w:val="21"/>
        </w:rPr>
        <w:t>7、我方承诺所提供的一切投标文件经已认真严格审核，内容均为全面真实、准确有效且毫无保留，绝无任何遗漏、虚假、伪造和夸大的成份，若出现违背诚实信用和无如实告知之处，同意被废除投标资格和相关的处罚。</w:t>
      </w:r>
    </w:p>
    <w:p>
      <w:pPr>
        <w:spacing w:line="360" w:lineRule="auto"/>
        <w:ind w:right="-341" w:firstLine="404" w:firstLineChars="200"/>
        <w:rPr>
          <w:rFonts w:ascii="宋体" w:hAnsi="宋体" w:cs="宋体"/>
          <w:spacing w:val="-4"/>
          <w:szCs w:val="21"/>
        </w:rPr>
      </w:pPr>
      <w:r>
        <w:rPr>
          <w:rFonts w:hint="eastAsia" w:ascii="宋体" w:hAnsi="宋体" w:cs="宋体"/>
          <w:spacing w:val="-4"/>
          <w:szCs w:val="21"/>
        </w:rPr>
        <w:t>8、我方承诺至开标之日止，未被“信用中国”（www.creditchina.gov.cn）、中国政府采购网（www.ccgp.gov.cn）列入失信被执行人、重大税收违法案件当事人名单、政府采购严重违法失信行为记录名单。</w:t>
      </w:r>
    </w:p>
    <w:p>
      <w:pPr>
        <w:snapToGrid w:val="0"/>
        <w:spacing w:line="360" w:lineRule="auto"/>
        <w:ind w:right="-341" w:firstLine="420" w:firstLineChars="200"/>
        <w:rPr>
          <w:rFonts w:ascii="宋体"/>
        </w:rPr>
      </w:pPr>
      <w:r>
        <w:rPr>
          <w:rFonts w:hint="eastAsia" w:ascii="宋体" w:hAnsi="宋体"/>
        </w:rPr>
        <w:t>9、与本投标有关的一切正式往来信函请寄：</w:t>
      </w:r>
    </w:p>
    <w:p>
      <w:pPr>
        <w:snapToGrid w:val="0"/>
        <w:spacing w:line="312" w:lineRule="auto"/>
        <w:ind w:right="-341"/>
        <w:rPr>
          <w:rFonts w:ascii="宋体" w:hAnsi="宋体"/>
        </w:rPr>
      </w:pPr>
      <w:r>
        <w:rPr>
          <w:rFonts w:hint="eastAsia" w:ascii="宋体" w:hAnsi="宋体"/>
        </w:rPr>
        <w:t>地址：__________</w:t>
      </w:r>
      <w:r>
        <w:rPr>
          <w:rFonts w:hint="eastAsia" w:ascii="宋体" w:hAnsi="宋体"/>
          <w:u w:val="single"/>
        </w:rPr>
        <w:t xml:space="preserve">        _</w:t>
      </w:r>
      <w:r>
        <w:rPr>
          <w:rFonts w:hint="eastAsia" w:ascii="宋体" w:hAnsi="宋体"/>
        </w:rPr>
        <w:t>____邮编：__________   电话：______________</w:t>
      </w:r>
    </w:p>
    <w:p>
      <w:pPr>
        <w:snapToGrid w:val="0"/>
        <w:spacing w:line="312" w:lineRule="auto"/>
        <w:ind w:right="-341"/>
        <w:rPr>
          <w:rFonts w:ascii="宋体" w:hAnsi="宋体"/>
        </w:rPr>
      </w:pPr>
      <w:r>
        <w:rPr>
          <w:rFonts w:hint="eastAsia" w:ascii="宋体" w:hAnsi="宋体"/>
        </w:rPr>
        <w:t>传真：______________投标人代表姓名 ___________  职务：_____________</w:t>
      </w:r>
    </w:p>
    <w:p>
      <w:pPr>
        <w:snapToGrid w:val="0"/>
        <w:spacing w:line="312" w:lineRule="auto"/>
        <w:ind w:right="-341"/>
        <w:rPr>
          <w:rFonts w:ascii="宋体" w:hAnsi="宋体"/>
        </w:rPr>
      </w:pPr>
      <w:r>
        <w:rPr>
          <w:rFonts w:hint="eastAsia" w:ascii="宋体" w:hAnsi="宋体"/>
        </w:rPr>
        <w:t>投标人名称(公章):___________________</w:t>
      </w:r>
    </w:p>
    <w:p>
      <w:pPr>
        <w:snapToGrid w:val="0"/>
        <w:spacing w:line="312" w:lineRule="auto"/>
        <w:ind w:right="-341"/>
        <w:rPr>
          <w:rFonts w:ascii="宋体" w:hAnsi="宋体"/>
        </w:rPr>
      </w:pPr>
      <w:r>
        <w:rPr>
          <w:rFonts w:hint="eastAsia" w:ascii="宋体" w:hAnsi="宋体"/>
        </w:rPr>
        <w:t>开户银行：   银行帐号：</w:t>
      </w:r>
    </w:p>
    <w:p>
      <w:pPr>
        <w:snapToGrid w:val="0"/>
        <w:ind w:right="-341"/>
        <w:rPr>
          <w:rFonts w:ascii="宋体" w:hAnsi="宋体"/>
        </w:rPr>
      </w:pPr>
      <w:r>
        <w:rPr>
          <w:rFonts w:hint="eastAsia" w:ascii="宋体" w:hAnsi="宋体"/>
        </w:rPr>
        <w:t>法定代表人（负责人）（签字或盖章）：</w:t>
      </w:r>
    </w:p>
    <w:p>
      <w:pPr>
        <w:snapToGrid w:val="0"/>
        <w:spacing w:before="120" w:line="312" w:lineRule="auto"/>
        <w:ind w:right="-341" w:firstLine="2940" w:firstLineChars="1400"/>
        <w:rPr>
          <w:rFonts w:hAnsi="宋体"/>
        </w:rPr>
      </w:pPr>
      <w:r>
        <w:rPr>
          <w:rFonts w:hint="eastAsia" w:hAnsi="宋体"/>
        </w:rPr>
        <w:t>日期:_____年___月___日</w:t>
      </w:r>
    </w:p>
    <w:p>
      <w:pPr>
        <w:snapToGrid w:val="0"/>
        <w:spacing w:line="312" w:lineRule="auto"/>
        <w:ind w:right="-341"/>
        <w:jc w:val="left"/>
        <w:rPr>
          <w:rFonts w:ascii="宋体" w:hAnsi="宋体"/>
          <w:b/>
          <w:sz w:val="24"/>
        </w:rPr>
      </w:pPr>
      <w:r>
        <w:rPr>
          <w:rFonts w:hint="eastAsia" w:ascii="宋体" w:hAnsi="宋体"/>
        </w:rPr>
        <w:br w:type="page"/>
      </w:r>
    </w:p>
    <w:p>
      <w:pPr>
        <w:snapToGrid w:val="0"/>
        <w:spacing w:before="120" w:line="312" w:lineRule="auto"/>
        <w:ind w:right="-341"/>
        <w:jc w:val="center"/>
        <w:rPr>
          <w:rFonts w:hAnsi="宋体"/>
          <w:b/>
          <w:sz w:val="32"/>
        </w:rPr>
      </w:pPr>
    </w:p>
    <w:p>
      <w:pPr>
        <w:snapToGrid w:val="0"/>
        <w:spacing w:beforeLines="50" w:after="50"/>
        <w:jc w:val="center"/>
        <w:rPr>
          <w:rFonts w:ascii="宋体" w:hAnsi="宋体"/>
          <w:b/>
          <w:sz w:val="32"/>
          <w:szCs w:val="32"/>
        </w:rPr>
      </w:pPr>
      <w:r>
        <w:rPr>
          <w:rFonts w:hint="eastAsia" w:ascii="宋体" w:hAnsi="宋体"/>
          <w:b/>
          <w:sz w:val="32"/>
          <w:szCs w:val="32"/>
        </w:rPr>
        <w:t>五、声明函</w:t>
      </w:r>
    </w:p>
    <w:p>
      <w:pPr>
        <w:snapToGrid w:val="0"/>
        <w:spacing w:beforeLines="50" w:after="50" w:line="360" w:lineRule="auto"/>
        <w:rPr>
          <w:rFonts w:ascii="宋体" w:hAnsi="宋体"/>
          <w:szCs w:val="21"/>
        </w:rPr>
      </w:pPr>
    </w:p>
    <w:p>
      <w:pPr>
        <w:snapToGrid w:val="0"/>
        <w:spacing w:beforeLines="50" w:after="50" w:line="360" w:lineRule="auto"/>
        <w:rPr>
          <w:rFonts w:ascii="宋体"/>
          <w:szCs w:val="21"/>
        </w:rPr>
      </w:pPr>
      <w:r>
        <w:rPr>
          <w:rFonts w:hint="eastAsia" w:ascii="宋体" w:hAnsi="宋体"/>
          <w:szCs w:val="21"/>
        </w:rPr>
        <w:t>致：</w:t>
      </w:r>
      <w:r>
        <w:rPr>
          <w:rFonts w:ascii="宋体" w:hAnsi="宋体"/>
          <w:szCs w:val="21"/>
        </w:rPr>
        <w:t>_</w:t>
      </w:r>
      <w:r>
        <w:rPr>
          <w:rFonts w:hint="eastAsia" w:ascii="宋体" w:hAnsi="宋体"/>
          <w:u w:val="single"/>
        </w:rPr>
        <w:t>深圳市国信招标有限公司</w:t>
      </w:r>
      <w:r>
        <w:rPr>
          <w:rFonts w:hint="eastAsia" w:ascii="宋体" w:hAnsi="宋体"/>
        </w:rPr>
        <w:t>_</w:t>
      </w:r>
      <w:r>
        <w:rPr>
          <w:rFonts w:hint="eastAsia" w:ascii="宋体" w:hAnsi="宋体"/>
          <w:szCs w:val="21"/>
        </w:rPr>
        <w:t>：</w:t>
      </w:r>
    </w:p>
    <w:p>
      <w:pPr>
        <w:pStyle w:val="3"/>
        <w:spacing w:line="360" w:lineRule="auto"/>
        <w:ind w:firstLine="480"/>
        <w:rPr>
          <w:rFonts w:ascii="宋体"/>
          <w:sz w:val="21"/>
          <w:szCs w:val="21"/>
        </w:rPr>
      </w:pPr>
      <w:r>
        <w:rPr>
          <w:rFonts w:hint="eastAsia" w:ascii="宋体" w:hAnsi="宋体"/>
          <w:sz w:val="21"/>
          <w:szCs w:val="21"/>
        </w:rPr>
        <w:t>我方在参加政府采购活动前三年内，具有良好的商业信誉，依法缴纳税收和社会保障资金，未被列入失信被执行人名单、重大税收违法案件当事人名单、政府采购严重违法失信行为记录名单，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w:t>
      </w:r>
      <w:r>
        <w:rPr>
          <w:rFonts w:ascii="宋体" w:hAnsi="宋体"/>
          <w:sz w:val="21"/>
          <w:szCs w:val="21"/>
        </w:rPr>
        <w:t>/</w:t>
      </w:r>
      <w:r>
        <w:rPr>
          <w:rFonts w:hint="eastAsia" w:ascii="宋体" w:hAnsi="宋体"/>
          <w:sz w:val="21"/>
          <w:szCs w:val="21"/>
        </w:rPr>
        <w:t>中标</w:t>
      </w:r>
      <w:r>
        <w:rPr>
          <w:rFonts w:ascii="宋体" w:hAnsi="宋体"/>
          <w:sz w:val="21"/>
          <w:szCs w:val="21"/>
        </w:rPr>
        <w:t>/</w:t>
      </w:r>
      <w:r>
        <w:rPr>
          <w:rFonts w:hint="eastAsia" w:ascii="宋体" w:hAnsi="宋体"/>
          <w:sz w:val="21"/>
          <w:szCs w:val="21"/>
        </w:rPr>
        <w:t>签订合同），我方对此无任何异议。</w:t>
      </w:r>
    </w:p>
    <w:p>
      <w:pPr>
        <w:pStyle w:val="3"/>
        <w:spacing w:line="360" w:lineRule="auto"/>
        <w:ind w:firstLine="480"/>
        <w:rPr>
          <w:rFonts w:ascii="宋体"/>
          <w:sz w:val="21"/>
          <w:szCs w:val="21"/>
        </w:rPr>
      </w:pPr>
      <w:r>
        <w:rPr>
          <w:rFonts w:hint="eastAsia" w:ascii="宋体" w:hAnsi="宋体"/>
          <w:sz w:val="21"/>
          <w:szCs w:val="21"/>
        </w:rPr>
        <w:t>特此声明！</w:t>
      </w:r>
    </w:p>
    <w:p>
      <w:pPr>
        <w:pStyle w:val="3"/>
        <w:ind w:firstLine="480"/>
        <w:rPr>
          <w:rFonts w:ascii="宋体"/>
        </w:rPr>
      </w:pPr>
    </w:p>
    <w:p>
      <w:pPr>
        <w:snapToGrid w:val="0"/>
        <w:spacing w:beforeLines="50"/>
        <w:ind w:firstLine="200"/>
        <w:rPr>
          <w:rFonts w:ascii="宋体"/>
        </w:rPr>
      </w:pPr>
    </w:p>
    <w:p>
      <w:pPr>
        <w:snapToGrid w:val="0"/>
        <w:spacing w:before="50" w:after="50"/>
        <w:rPr>
          <w:rFonts w:ascii="宋体" w:hAnsi="宋体"/>
        </w:rPr>
      </w:pPr>
      <w:r>
        <w:rPr>
          <w:rFonts w:hint="eastAsia" w:ascii="宋体" w:hAnsi="宋体"/>
        </w:rPr>
        <w:t>法定代表人（负责人）（签字或盖章）：</w:t>
      </w:r>
    </w:p>
    <w:p>
      <w:pPr>
        <w:snapToGrid w:val="0"/>
        <w:ind w:left="2" w:right="-817" w:rightChars="-389"/>
        <w:rPr>
          <w:rFonts w:ascii="宋体" w:hAnsi="宋体"/>
        </w:rPr>
      </w:pPr>
    </w:p>
    <w:p>
      <w:pPr>
        <w:snapToGrid w:val="0"/>
        <w:spacing w:before="50" w:line="312" w:lineRule="auto"/>
        <w:jc w:val="left"/>
        <w:rPr>
          <w:rFonts w:ascii="宋体" w:hAnsi="宋体"/>
          <w:b/>
          <w:spacing w:val="20"/>
          <w:sz w:val="28"/>
        </w:rPr>
      </w:pPr>
      <w:r>
        <w:rPr>
          <w:rFonts w:hint="eastAsia" w:ascii="宋体" w:hAnsi="宋体"/>
        </w:rPr>
        <w:t>投标人名称（盖章）：                      日期：</w:t>
      </w:r>
    </w:p>
    <w:p>
      <w:pPr>
        <w:pStyle w:val="67"/>
        <w:snapToGrid w:val="0"/>
        <w:spacing w:beforeLines="50"/>
        <w:ind w:firstLine="200"/>
        <w:jc w:val="right"/>
        <w:rPr>
          <w:rFonts w:ascii="宋体" w:hAnsi="宋体"/>
          <w:sz w:val="21"/>
          <w:szCs w:val="24"/>
        </w:rPr>
      </w:pPr>
    </w:p>
    <w:p>
      <w:pPr>
        <w:snapToGrid w:val="0"/>
        <w:spacing w:beforeLines="50" w:after="50"/>
        <w:ind w:firstLine="482" w:firstLineChars="200"/>
        <w:jc w:val="left"/>
        <w:rPr>
          <w:rFonts w:ascii="宋体"/>
          <w:b/>
          <w:bCs/>
          <w:sz w:val="24"/>
        </w:rPr>
      </w:pPr>
    </w:p>
    <w:p>
      <w:pPr>
        <w:pStyle w:val="67"/>
        <w:snapToGrid w:val="0"/>
        <w:spacing w:beforeLines="50"/>
        <w:ind w:left="5250" w:firstLine="200"/>
        <w:jc w:val="right"/>
        <w:rPr>
          <w:rFonts w:ascii="宋体" w:hAnsi="宋体"/>
          <w:sz w:val="21"/>
          <w:szCs w:val="24"/>
        </w:rPr>
      </w:pPr>
    </w:p>
    <w:p>
      <w:pPr>
        <w:snapToGrid w:val="0"/>
        <w:spacing w:before="120" w:line="312" w:lineRule="auto"/>
        <w:ind w:right="-341"/>
        <w:jc w:val="center"/>
        <w:rPr>
          <w:rFonts w:hAnsi="宋体"/>
          <w:b/>
          <w:sz w:val="32"/>
        </w:rPr>
      </w:pPr>
    </w:p>
    <w:p>
      <w:pPr>
        <w:snapToGrid w:val="0"/>
        <w:spacing w:before="120" w:line="312" w:lineRule="auto"/>
        <w:ind w:right="-341"/>
        <w:jc w:val="center"/>
        <w:rPr>
          <w:rFonts w:hAnsi="宋体"/>
          <w:b/>
          <w:sz w:val="32"/>
        </w:rPr>
      </w:pPr>
    </w:p>
    <w:p>
      <w:pPr>
        <w:snapToGrid w:val="0"/>
        <w:spacing w:before="120" w:line="312" w:lineRule="auto"/>
        <w:ind w:right="-341"/>
        <w:jc w:val="center"/>
        <w:rPr>
          <w:rFonts w:hAnsi="宋体"/>
          <w:b/>
          <w:sz w:val="32"/>
        </w:rPr>
      </w:pPr>
    </w:p>
    <w:p>
      <w:pPr>
        <w:snapToGrid w:val="0"/>
        <w:spacing w:before="120" w:line="312" w:lineRule="auto"/>
        <w:ind w:right="-341"/>
        <w:jc w:val="center"/>
        <w:rPr>
          <w:rFonts w:hAnsi="宋体"/>
          <w:b/>
          <w:sz w:val="32"/>
        </w:rPr>
      </w:pPr>
    </w:p>
    <w:p>
      <w:pPr>
        <w:snapToGrid w:val="0"/>
        <w:spacing w:line="312" w:lineRule="auto"/>
        <w:jc w:val="left"/>
        <w:rPr>
          <w:rFonts w:hAnsi="宋体"/>
          <w:b/>
          <w:sz w:val="32"/>
        </w:rPr>
      </w:pPr>
    </w:p>
    <w:p>
      <w:pPr>
        <w:snapToGrid w:val="0"/>
        <w:spacing w:line="312" w:lineRule="auto"/>
        <w:jc w:val="left"/>
        <w:rPr>
          <w:rFonts w:hAnsi="宋体"/>
          <w:b/>
          <w:sz w:val="32"/>
        </w:rPr>
      </w:pPr>
    </w:p>
    <w:p>
      <w:pPr>
        <w:snapToGrid w:val="0"/>
        <w:spacing w:line="312" w:lineRule="auto"/>
        <w:jc w:val="left"/>
        <w:rPr>
          <w:rFonts w:hAnsi="宋体"/>
          <w:b/>
          <w:sz w:val="32"/>
        </w:rPr>
      </w:pPr>
    </w:p>
    <w:p>
      <w:pPr>
        <w:snapToGrid w:val="0"/>
        <w:spacing w:line="312" w:lineRule="auto"/>
        <w:jc w:val="left"/>
        <w:rPr>
          <w:rFonts w:hAnsi="宋体"/>
          <w:b/>
          <w:sz w:val="32"/>
        </w:rPr>
      </w:pPr>
    </w:p>
    <w:p>
      <w:pPr>
        <w:snapToGrid w:val="0"/>
        <w:spacing w:line="312" w:lineRule="auto"/>
        <w:jc w:val="left"/>
        <w:rPr>
          <w:rFonts w:hAnsi="宋体"/>
          <w:b/>
          <w:sz w:val="32"/>
        </w:rPr>
      </w:pPr>
    </w:p>
    <w:p>
      <w:pPr>
        <w:snapToGrid w:val="0"/>
        <w:spacing w:line="312" w:lineRule="auto"/>
        <w:jc w:val="left"/>
        <w:rPr>
          <w:rFonts w:hAnsi="宋体"/>
          <w:b/>
          <w:sz w:val="32"/>
        </w:rPr>
      </w:pPr>
    </w:p>
    <w:p>
      <w:pPr>
        <w:snapToGrid w:val="0"/>
        <w:spacing w:line="312" w:lineRule="auto"/>
        <w:jc w:val="left"/>
        <w:rPr>
          <w:rFonts w:ascii="宋体" w:hAnsi="宋体"/>
          <w:b/>
          <w:sz w:val="24"/>
        </w:rPr>
      </w:pPr>
    </w:p>
    <w:p>
      <w:pPr>
        <w:jc w:val="center"/>
        <w:rPr>
          <w:rFonts w:ascii="宋体" w:hAnsi="宋体"/>
          <w:b/>
          <w:spacing w:val="20"/>
          <w:sz w:val="28"/>
        </w:rPr>
      </w:pPr>
    </w:p>
    <w:p>
      <w:pPr>
        <w:jc w:val="center"/>
        <w:rPr>
          <w:sz w:val="30"/>
          <w:szCs w:val="30"/>
        </w:rPr>
      </w:pPr>
      <w:r>
        <w:rPr>
          <w:rFonts w:hint="eastAsia" w:ascii="宋体" w:hAnsi="宋体"/>
          <w:b/>
          <w:spacing w:val="20"/>
          <w:sz w:val="28"/>
        </w:rPr>
        <w:t>六、</w:t>
      </w:r>
      <w:r>
        <w:rPr>
          <w:rFonts w:hint="eastAsia"/>
          <w:b/>
          <w:bCs/>
          <w:sz w:val="30"/>
          <w:szCs w:val="30"/>
        </w:rPr>
        <w:t>廉政承诺书</w:t>
      </w:r>
    </w:p>
    <w:p>
      <w:pPr>
        <w:rPr>
          <w:b/>
          <w:bCs/>
          <w:sz w:val="28"/>
          <w:szCs w:val="28"/>
        </w:rPr>
      </w:pPr>
    </w:p>
    <w:p>
      <w:pPr>
        <w:rPr>
          <w:b/>
          <w:bCs/>
          <w:sz w:val="24"/>
        </w:rPr>
      </w:pPr>
      <w:r>
        <w:rPr>
          <w:rFonts w:hint="eastAsia"/>
          <w:b/>
          <w:bCs/>
          <w:sz w:val="24"/>
        </w:rPr>
        <w:t>致：</w:t>
      </w:r>
      <w:r>
        <w:rPr>
          <w:rFonts w:hint="eastAsia"/>
          <w:b/>
          <w:bCs/>
          <w:sz w:val="24"/>
          <w:u w:val="single"/>
        </w:rPr>
        <w:t>（</w:t>
      </w:r>
      <w:r>
        <w:rPr>
          <w:rFonts w:hint="eastAsia"/>
          <w:b/>
          <w:bCs/>
          <w:sz w:val="24"/>
        </w:rPr>
        <w:t>招标人）：</w:t>
      </w:r>
    </w:p>
    <w:p>
      <w:pPr>
        <w:spacing w:line="360" w:lineRule="auto"/>
        <w:ind w:firstLine="420" w:firstLineChars="200"/>
        <w:rPr>
          <w:rFonts w:ascii="宋体" w:hAnsi="宋体" w:cs="仿宋"/>
          <w:szCs w:val="21"/>
        </w:rPr>
      </w:pPr>
      <w:r>
        <w:rPr>
          <w:rFonts w:hint="eastAsia" w:ascii="宋体" w:hAnsi="宋体" w:cs="仿宋"/>
          <w:szCs w:val="21"/>
        </w:rPr>
        <w:t>我单位响应你单位项目招标要求参加投标，在这次投标过程中和中标后，我们将严格遵守国家法律法规要求，并郑重承诺:</w:t>
      </w:r>
    </w:p>
    <w:p>
      <w:pPr>
        <w:spacing w:line="360" w:lineRule="auto"/>
        <w:ind w:firstLine="420" w:firstLineChars="200"/>
        <w:rPr>
          <w:rFonts w:ascii="宋体" w:hAnsi="宋体" w:cs="仿宋"/>
          <w:szCs w:val="21"/>
        </w:rPr>
      </w:pPr>
      <w:r>
        <w:rPr>
          <w:rFonts w:hint="eastAsia" w:ascii="宋体" w:hAnsi="宋体" w:cs="仿宋"/>
          <w:szCs w:val="21"/>
        </w:rPr>
        <w:t>一、不向项目有关人员及部门赠送礼金礼物、有价证券、回扣以及中介费、介绍费、咨询费等好处费。</w:t>
      </w:r>
    </w:p>
    <w:p>
      <w:pPr>
        <w:spacing w:line="360" w:lineRule="auto"/>
        <w:ind w:firstLine="420" w:firstLineChars="200"/>
        <w:rPr>
          <w:rFonts w:ascii="宋体" w:hAnsi="宋体" w:cs="仿宋"/>
          <w:szCs w:val="21"/>
        </w:rPr>
      </w:pPr>
      <w:r>
        <w:rPr>
          <w:rFonts w:hint="eastAsia" w:ascii="宋体" w:hAnsi="宋体" w:cs="仿宋"/>
          <w:szCs w:val="21"/>
        </w:rPr>
        <w:t>二、不为项目有关人员及部门报销应由你方单位或个人支付的费用;</w:t>
      </w:r>
    </w:p>
    <w:p>
      <w:pPr>
        <w:spacing w:line="360" w:lineRule="auto"/>
        <w:ind w:firstLine="420" w:firstLineChars="200"/>
        <w:rPr>
          <w:rFonts w:ascii="宋体" w:hAnsi="宋体" w:cs="仿宋"/>
          <w:szCs w:val="21"/>
        </w:rPr>
      </w:pPr>
      <w:r>
        <w:rPr>
          <w:rFonts w:hint="eastAsia" w:ascii="宋体" w:hAnsi="宋体" w:cs="仿宋"/>
          <w:szCs w:val="21"/>
        </w:rPr>
        <w:t>三、不向项目有关人员及部门提供有可能影响公正的宴请和健身娱乐等活动;</w:t>
      </w:r>
    </w:p>
    <w:p>
      <w:pPr>
        <w:spacing w:line="360" w:lineRule="auto"/>
        <w:ind w:firstLine="420" w:firstLineChars="200"/>
        <w:rPr>
          <w:rFonts w:ascii="宋体" w:hAnsi="宋体" w:cs="仿宋"/>
          <w:szCs w:val="21"/>
        </w:rPr>
      </w:pPr>
      <w:r>
        <w:rPr>
          <w:rFonts w:hint="eastAsia" w:ascii="宋体" w:hAnsi="宋体" w:cs="仿宋"/>
          <w:szCs w:val="21"/>
        </w:rPr>
        <w:t>四、不为项目有关人员及部门出国(境)、旅游等提供方便；</w:t>
      </w:r>
    </w:p>
    <w:p>
      <w:pPr>
        <w:spacing w:line="360" w:lineRule="auto"/>
        <w:ind w:firstLine="420" w:firstLineChars="200"/>
        <w:rPr>
          <w:rFonts w:ascii="宋体" w:hAnsi="宋体" w:cs="仿宋"/>
          <w:szCs w:val="21"/>
        </w:rPr>
      </w:pPr>
      <w:r>
        <w:rPr>
          <w:rFonts w:hint="eastAsia" w:ascii="宋体" w:hAnsi="宋体" w:cs="仿宋"/>
          <w:szCs w:val="21"/>
        </w:rPr>
        <w:t>五、不为项目有关人员个人装修住房、婚丧嫁娶、配偶子女工作安排等提供好处;</w:t>
      </w:r>
    </w:p>
    <w:p>
      <w:pPr>
        <w:spacing w:line="360" w:lineRule="auto"/>
        <w:ind w:firstLine="420" w:firstLineChars="200"/>
        <w:rPr>
          <w:rFonts w:ascii="宋体" w:hAnsi="宋体" w:cs="仿宋"/>
          <w:szCs w:val="21"/>
        </w:rPr>
      </w:pPr>
      <w:r>
        <w:rPr>
          <w:rFonts w:hint="eastAsia" w:ascii="宋体" w:hAnsi="宋体" w:cs="仿宋"/>
          <w:szCs w:val="21"/>
        </w:rPr>
        <w:t>六、严格遵守政府采购法、民法典等法律，诚实守信，合法经营，坚决抵制各种违法违纪行为。</w:t>
      </w:r>
    </w:p>
    <w:p>
      <w:pPr>
        <w:spacing w:line="360" w:lineRule="auto"/>
        <w:ind w:firstLine="420" w:firstLineChars="200"/>
        <w:rPr>
          <w:rFonts w:ascii="宋体" w:hAnsi="宋体" w:cs="仿宋"/>
          <w:szCs w:val="21"/>
        </w:rPr>
      </w:pPr>
      <w:r>
        <w:rPr>
          <w:rFonts w:hint="eastAsia" w:ascii="宋体" w:hAnsi="宋体" w:cs="仿宋"/>
          <w:szCs w:val="21"/>
        </w:rPr>
        <w:t>如违反上述承诺，你单位有权立即取消我单位投标、中标资格，有权拒绝我单位在一定时期内进入你单位进行项目建设或其他经营活动，并通报政府采购监管部门，由此引起的相应损失均由我单位承担。</w:t>
      </w:r>
    </w:p>
    <w:p>
      <w:pPr>
        <w:rPr>
          <w:rFonts w:ascii="宋体" w:hAnsi="宋体"/>
          <w:szCs w:val="21"/>
        </w:rPr>
      </w:pPr>
    </w:p>
    <w:p>
      <w:pPr>
        <w:rPr>
          <w:rFonts w:ascii="宋体" w:hAnsi="宋体" w:cs="仿宋"/>
          <w:szCs w:val="21"/>
        </w:rPr>
      </w:pPr>
    </w:p>
    <w:p>
      <w:pPr>
        <w:rPr>
          <w:rFonts w:ascii="宋体" w:hAnsi="宋体" w:cs="仿宋"/>
          <w:szCs w:val="21"/>
        </w:rPr>
      </w:pPr>
      <w:r>
        <w:rPr>
          <w:rFonts w:hint="eastAsia" w:ascii="宋体" w:hAnsi="宋体" w:cs="仿宋"/>
          <w:szCs w:val="21"/>
        </w:rPr>
        <w:t>投标人:(盖章)</w:t>
      </w:r>
    </w:p>
    <w:p>
      <w:pPr>
        <w:rPr>
          <w:rFonts w:ascii="宋体" w:hAnsi="宋体" w:cs="仿宋"/>
          <w:szCs w:val="21"/>
        </w:rPr>
      </w:pPr>
    </w:p>
    <w:p>
      <w:pPr>
        <w:rPr>
          <w:rFonts w:ascii="宋体" w:hAnsi="宋体" w:cs="仿宋"/>
          <w:szCs w:val="21"/>
        </w:rPr>
      </w:pPr>
    </w:p>
    <w:p>
      <w:pPr>
        <w:rPr>
          <w:rFonts w:ascii="宋体" w:hAnsi="宋体" w:cs="仿宋"/>
          <w:szCs w:val="21"/>
        </w:rPr>
      </w:pPr>
    </w:p>
    <w:p>
      <w:pPr>
        <w:rPr>
          <w:rFonts w:ascii="宋体" w:hAnsi="宋体" w:cs="仿宋"/>
          <w:szCs w:val="21"/>
        </w:rPr>
      </w:pPr>
    </w:p>
    <w:p>
      <w:pPr>
        <w:rPr>
          <w:rFonts w:ascii="宋体" w:hAnsi="宋体" w:cs="仿宋"/>
          <w:szCs w:val="21"/>
        </w:rPr>
      </w:pPr>
    </w:p>
    <w:p>
      <w:pPr>
        <w:rPr>
          <w:rFonts w:ascii="宋体" w:hAnsi="宋体" w:cs="仿宋"/>
          <w:szCs w:val="21"/>
        </w:rPr>
      </w:pPr>
      <w:r>
        <w:rPr>
          <w:rFonts w:hint="eastAsia" w:ascii="宋体" w:hAnsi="宋体" w:cs="仿宋"/>
          <w:szCs w:val="21"/>
        </w:rPr>
        <w:t>日期:    年   月   日</w:t>
      </w:r>
    </w:p>
    <w:p>
      <w:pPr>
        <w:snapToGrid w:val="0"/>
        <w:spacing w:before="50" w:line="312" w:lineRule="auto"/>
        <w:jc w:val="left"/>
        <w:rPr>
          <w:rFonts w:ascii="宋体" w:hAnsi="宋体"/>
          <w:b/>
          <w:spacing w:val="20"/>
          <w:sz w:val="28"/>
        </w:rPr>
      </w:pPr>
    </w:p>
    <w:p>
      <w:pPr>
        <w:snapToGrid w:val="0"/>
        <w:spacing w:before="50" w:line="312" w:lineRule="auto"/>
        <w:jc w:val="left"/>
        <w:rPr>
          <w:rFonts w:ascii="宋体" w:hAnsi="宋体"/>
          <w:b/>
          <w:spacing w:val="20"/>
          <w:sz w:val="28"/>
        </w:rPr>
      </w:pPr>
    </w:p>
    <w:p>
      <w:pPr>
        <w:snapToGrid w:val="0"/>
        <w:spacing w:before="50" w:line="312" w:lineRule="auto"/>
        <w:jc w:val="center"/>
        <w:rPr>
          <w:rFonts w:ascii="宋体" w:hAnsi="宋体"/>
          <w:b/>
          <w:sz w:val="24"/>
        </w:rPr>
      </w:pPr>
    </w:p>
    <w:p>
      <w:pPr>
        <w:snapToGrid w:val="0"/>
        <w:spacing w:before="50" w:line="312" w:lineRule="auto"/>
        <w:jc w:val="center"/>
        <w:rPr>
          <w:rFonts w:ascii="宋体" w:hAnsi="宋体"/>
          <w:b/>
          <w:sz w:val="24"/>
        </w:rPr>
      </w:pPr>
    </w:p>
    <w:p>
      <w:pPr>
        <w:snapToGrid w:val="0"/>
        <w:spacing w:before="50" w:line="312" w:lineRule="auto"/>
        <w:jc w:val="center"/>
        <w:rPr>
          <w:rFonts w:ascii="宋体" w:hAnsi="宋体"/>
          <w:b/>
          <w:sz w:val="24"/>
        </w:rPr>
      </w:pPr>
    </w:p>
    <w:p>
      <w:pPr>
        <w:snapToGrid w:val="0"/>
        <w:spacing w:before="50" w:line="312" w:lineRule="auto"/>
        <w:jc w:val="center"/>
        <w:rPr>
          <w:rFonts w:ascii="宋体" w:hAnsi="宋体"/>
          <w:b/>
          <w:sz w:val="24"/>
        </w:rPr>
      </w:pPr>
    </w:p>
    <w:p>
      <w:pPr>
        <w:snapToGrid w:val="0"/>
        <w:spacing w:before="50" w:line="312" w:lineRule="auto"/>
        <w:jc w:val="center"/>
        <w:rPr>
          <w:rFonts w:ascii="宋体" w:hAnsi="宋体"/>
          <w:b/>
          <w:sz w:val="24"/>
        </w:rPr>
      </w:pPr>
    </w:p>
    <w:p>
      <w:pPr>
        <w:snapToGrid w:val="0"/>
        <w:spacing w:before="50" w:line="312" w:lineRule="auto"/>
        <w:jc w:val="center"/>
        <w:rPr>
          <w:rFonts w:ascii="宋体" w:hAnsi="宋体"/>
          <w:b/>
          <w:sz w:val="24"/>
        </w:rPr>
      </w:pPr>
    </w:p>
    <w:p>
      <w:pPr>
        <w:snapToGrid w:val="0"/>
        <w:spacing w:before="50" w:line="312" w:lineRule="auto"/>
        <w:jc w:val="center"/>
        <w:rPr>
          <w:rFonts w:ascii="宋体" w:hAnsi="宋体"/>
          <w:b/>
          <w:sz w:val="24"/>
        </w:rPr>
      </w:pPr>
    </w:p>
    <w:p>
      <w:pPr>
        <w:snapToGrid w:val="0"/>
        <w:spacing w:before="50" w:line="312" w:lineRule="auto"/>
        <w:jc w:val="center"/>
        <w:rPr>
          <w:rFonts w:ascii="宋体" w:hAnsi="宋体"/>
          <w:b/>
          <w:sz w:val="24"/>
        </w:rPr>
      </w:pPr>
    </w:p>
    <w:p>
      <w:pPr>
        <w:snapToGrid w:val="0"/>
        <w:spacing w:before="50" w:line="312" w:lineRule="auto"/>
        <w:jc w:val="center"/>
        <w:rPr>
          <w:rFonts w:ascii="宋体" w:hAnsi="宋体"/>
          <w:b/>
          <w:sz w:val="24"/>
        </w:rPr>
      </w:pPr>
    </w:p>
    <w:p>
      <w:pPr>
        <w:snapToGrid w:val="0"/>
        <w:spacing w:before="120" w:line="312" w:lineRule="auto"/>
        <w:ind w:right="-341"/>
        <w:rPr>
          <w:rFonts w:hAnsi="宋体"/>
          <w:b/>
          <w:sz w:val="32"/>
        </w:rPr>
      </w:pPr>
      <w:r>
        <w:rPr>
          <w:rFonts w:hint="eastAsia" w:hAnsi="宋体"/>
          <w:b/>
          <w:sz w:val="32"/>
        </w:rPr>
        <w:t>七、</w:t>
      </w:r>
    </w:p>
    <w:p>
      <w:pPr>
        <w:autoSpaceDE w:val="0"/>
        <w:autoSpaceDN w:val="0"/>
        <w:adjustRightInd w:val="0"/>
        <w:ind w:right="-341"/>
        <w:jc w:val="left"/>
        <w:rPr>
          <w:rFonts w:ascii="宋体" w:cs="宋体"/>
          <w:kern w:val="0"/>
          <w:szCs w:val="21"/>
        </w:rPr>
      </w:pPr>
    </w:p>
    <w:p>
      <w:pPr>
        <w:jc w:val="center"/>
        <w:rPr>
          <w:b/>
          <w:sz w:val="28"/>
          <w:szCs w:val="28"/>
        </w:rPr>
      </w:pPr>
      <w:r>
        <w:rPr>
          <w:rFonts w:hint="eastAsia"/>
          <w:b/>
          <w:sz w:val="28"/>
          <w:szCs w:val="28"/>
        </w:rPr>
        <w:t>中小企业声明函（货物）</w:t>
      </w:r>
    </w:p>
    <w:p>
      <w:pPr>
        <w:ind w:firstLine="420" w:firstLineChars="200"/>
      </w:pPr>
    </w:p>
    <w:p>
      <w:pPr>
        <w:spacing w:line="360" w:lineRule="auto"/>
        <w:ind w:firstLine="420" w:firstLineChars="200"/>
        <w:rPr>
          <w:rFonts w:ascii="宋体"/>
          <w:szCs w:val="21"/>
        </w:rPr>
      </w:pPr>
    </w:p>
    <w:p>
      <w:pPr>
        <w:spacing w:line="360" w:lineRule="auto"/>
        <w:ind w:firstLine="420" w:firstLineChars="200"/>
        <w:rPr>
          <w:rFonts w:ascii="宋体"/>
          <w:szCs w:val="21"/>
        </w:rPr>
      </w:pPr>
      <w:r>
        <w:rPr>
          <w:rFonts w:hint="eastAsia" w:ascii="宋体" w:hAnsi="宋体"/>
          <w:szCs w:val="21"/>
        </w:rPr>
        <w:t>本公司郑重声明，根据《政府采购促进中小企业发展管理办法》（财库﹝</w:t>
      </w:r>
      <w:r>
        <w:rPr>
          <w:rFonts w:ascii="宋体" w:hAnsi="宋体"/>
          <w:szCs w:val="21"/>
        </w:rPr>
        <w:t>2020</w:t>
      </w:r>
      <w:r>
        <w:rPr>
          <w:rFonts w:hint="eastAsia" w:ascii="宋体" w:hAnsi="宋体"/>
          <w:szCs w:val="21"/>
        </w:rPr>
        <w:t>﹞</w:t>
      </w:r>
      <w:r>
        <w:rPr>
          <w:rFonts w:ascii="宋体" w:hAnsi="宋体"/>
          <w:szCs w:val="21"/>
        </w:rPr>
        <w:t xml:space="preserve">46 </w:t>
      </w:r>
      <w:r>
        <w:rPr>
          <w:rFonts w:hint="eastAsia" w:ascii="宋体" w:hAnsi="宋体"/>
          <w:szCs w:val="21"/>
        </w:rPr>
        <w:t>号）的规定，本公司参加（单位名称）的（项目名称）采购活动，提供的货物全部由符合政策要求的中小企业制造。相关企业（含联合体中的中小企业、签订分包意向协议的中小企业）的具体情况如下：</w:t>
      </w:r>
    </w:p>
    <w:p>
      <w:pPr>
        <w:spacing w:line="360" w:lineRule="auto"/>
        <w:ind w:firstLine="420" w:firstLineChars="200"/>
        <w:rPr>
          <w:rFonts w:ascii="宋体"/>
          <w:szCs w:val="21"/>
        </w:rPr>
      </w:pPr>
      <w:r>
        <w:rPr>
          <w:rFonts w:ascii="宋体" w:hAnsi="宋体"/>
          <w:szCs w:val="21"/>
        </w:rPr>
        <w:t xml:space="preserve">1. </w:t>
      </w:r>
      <w:r>
        <w:rPr>
          <w:rFonts w:hint="eastAsia" w:ascii="宋体" w:hAnsi="宋体"/>
          <w:szCs w:val="21"/>
        </w:rPr>
        <w:t>（标的名称），属于（采购文件中明确的所属行业）行业；制造商为（企业名称），从业人员人，营业收入为万元，资产总额为万元属于（中型企业、小型企业、微型企业）；</w:t>
      </w:r>
    </w:p>
    <w:p>
      <w:pPr>
        <w:spacing w:line="360" w:lineRule="auto"/>
        <w:ind w:firstLine="420" w:firstLineChars="200"/>
        <w:rPr>
          <w:rFonts w:ascii="宋体"/>
          <w:szCs w:val="21"/>
        </w:rPr>
      </w:pPr>
      <w:r>
        <w:rPr>
          <w:rFonts w:ascii="宋体" w:hAnsi="宋体"/>
          <w:szCs w:val="21"/>
        </w:rPr>
        <w:t xml:space="preserve">2. </w:t>
      </w:r>
      <w:r>
        <w:rPr>
          <w:rFonts w:hint="eastAsia" w:ascii="宋体" w:hAnsi="宋体"/>
          <w:szCs w:val="21"/>
        </w:rPr>
        <w:t>（标的名称），属于（采购文件中明确的所属行业）行业；制造商为（企业名称），从业人员人，营业收入为万元，资产总额为万元，属于（中型企业、小型企业、微型企业）；</w:t>
      </w:r>
    </w:p>
    <w:p>
      <w:pPr>
        <w:spacing w:line="360" w:lineRule="auto"/>
        <w:rPr>
          <w:rFonts w:ascii="宋体"/>
          <w:szCs w:val="21"/>
        </w:rPr>
      </w:pPr>
      <w:r>
        <w:rPr>
          <w:rFonts w:hint="eastAsia" w:ascii="宋体" w:hAnsi="宋体"/>
          <w:szCs w:val="21"/>
        </w:rPr>
        <w:t>……</w:t>
      </w:r>
    </w:p>
    <w:p>
      <w:pPr>
        <w:spacing w:line="360" w:lineRule="auto"/>
        <w:ind w:firstLine="735" w:firstLineChars="350"/>
        <w:rPr>
          <w:rFonts w:ascii="宋体"/>
          <w:szCs w:val="21"/>
        </w:rPr>
      </w:pPr>
      <w:r>
        <w:rPr>
          <w:rFonts w:hint="eastAsia" w:ascii="宋体" w:hAnsi="宋体"/>
          <w:szCs w:val="21"/>
        </w:rPr>
        <w:t>以上企业，不属于大企业的分支机构，不存在控股股东为大企业的情形，也不存在与大企业的负责人为同一人的情形。</w:t>
      </w:r>
    </w:p>
    <w:p>
      <w:pPr>
        <w:spacing w:line="360" w:lineRule="auto"/>
        <w:ind w:firstLine="420" w:firstLineChars="200"/>
        <w:rPr>
          <w:rFonts w:ascii="宋体"/>
          <w:szCs w:val="21"/>
        </w:rPr>
      </w:pPr>
      <w:r>
        <w:rPr>
          <w:rFonts w:hint="eastAsia" w:ascii="宋体" w:hAnsi="宋体"/>
          <w:szCs w:val="21"/>
        </w:rPr>
        <w:t>本企业对上述声明内容的真实性负责。如有虚假，将依法承担相应责任。</w:t>
      </w:r>
    </w:p>
    <w:p>
      <w:pPr>
        <w:spacing w:line="360" w:lineRule="auto"/>
        <w:rPr>
          <w:rFonts w:ascii="宋体"/>
          <w:szCs w:val="21"/>
        </w:rPr>
      </w:pPr>
    </w:p>
    <w:p>
      <w:pPr>
        <w:spacing w:line="360" w:lineRule="auto"/>
        <w:rPr>
          <w:rFonts w:ascii="宋体"/>
          <w:szCs w:val="21"/>
        </w:rPr>
      </w:pPr>
    </w:p>
    <w:p>
      <w:pPr>
        <w:spacing w:line="360" w:lineRule="auto"/>
        <w:ind w:firstLine="630" w:firstLineChars="300"/>
        <w:rPr>
          <w:rFonts w:ascii="宋体"/>
          <w:szCs w:val="21"/>
        </w:rPr>
      </w:pPr>
      <w:r>
        <w:rPr>
          <w:rFonts w:hint="eastAsia" w:ascii="宋体" w:hAnsi="宋体"/>
          <w:szCs w:val="21"/>
        </w:rPr>
        <w:t>企业名称（盖章）：</w:t>
      </w:r>
    </w:p>
    <w:p>
      <w:pPr>
        <w:spacing w:line="360" w:lineRule="auto"/>
        <w:ind w:firstLine="630" w:firstLineChars="300"/>
        <w:rPr>
          <w:rFonts w:ascii="宋体"/>
          <w:szCs w:val="21"/>
        </w:rPr>
      </w:pPr>
      <w:r>
        <w:rPr>
          <w:rFonts w:hint="eastAsia" w:ascii="宋体" w:hAnsi="宋体"/>
          <w:szCs w:val="21"/>
        </w:rPr>
        <w:t>日期：</w:t>
      </w:r>
    </w:p>
    <w:p>
      <w:pPr>
        <w:snapToGrid w:val="0"/>
        <w:spacing w:line="360" w:lineRule="auto"/>
        <w:ind w:right="-341"/>
        <w:rPr>
          <w:rFonts w:ascii="宋体" w:hAnsi="宋体"/>
        </w:rPr>
        <w:sectPr>
          <w:pgSz w:w="11906" w:h="16838"/>
          <w:pgMar w:top="1304" w:right="1531" w:bottom="1304" w:left="1531" w:header="1304" w:footer="1304" w:gutter="0"/>
          <w:cols w:space="720" w:num="1"/>
        </w:sectPr>
      </w:pPr>
    </w:p>
    <w:p>
      <w:pPr>
        <w:snapToGrid w:val="0"/>
        <w:spacing w:line="360" w:lineRule="auto"/>
        <w:ind w:right="-341"/>
        <w:rPr>
          <w:rFonts w:ascii="宋体" w:hAnsi="宋体"/>
        </w:rPr>
      </w:pPr>
    </w:p>
    <w:p>
      <w:pPr>
        <w:pStyle w:val="3"/>
      </w:pPr>
    </w:p>
    <w:p>
      <w:pPr>
        <w:snapToGrid w:val="0"/>
        <w:spacing w:line="360" w:lineRule="auto"/>
        <w:ind w:right="-341"/>
        <w:jc w:val="center"/>
        <w:rPr>
          <w:rFonts w:ascii="宋体" w:hAnsi="宋体" w:cs="宋体"/>
          <w:b/>
          <w:kern w:val="0"/>
          <w:sz w:val="28"/>
          <w:szCs w:val="28"/>
        </w:rPr>
      </w:pPr>
      <w:r>
        <w:rPr>
          <w:rFonts w:hint="eastAsia" w:ascii="宋体" w:hAnsi="宋体" w:cs="宋体"/>
          <w:b/>
          <w:kern w:val="0"/>
          <w:sz w:val="28"/>
          <w:szCs w:val="28"/>
        </w:rPr>
        <w:t>中小企业声明函（工程、服务）</w:t>
      </w:r>
    </w:p>
    <w:p>
      <w:pPr>
        <w:snapToGrid w:val="0"/>
        <w:spacing w:line="360" w:lineRule="auto"/>
        <w:ind w:right="-341"/>
        <w:rPr>
          <w:rFonts w:ascii="宋体" w:hAnsi="宋体" w:cs="宋体"/>
          <w:kern w:val="0"/>
          <w:szCs w:val="21"/>
        </w:rPr>
      </w:pPr>
    </w:p>
    <w:p>
      <w:pPr>
        <w:snapToGrid w:val="0"/>
        <w:spacing w:line="360" w:lineRule="auto"/>
        <w:ind w:right="-341" w:firstLine="420" w:firstLineChars="200"/>
        <w:rPr>
          <w:rFonts w:ascii="宋体" w:hAnsi="宋体" w:cs="宋体"/>
          <w:kern w:val="0"/>
          <w:szCs w:val="21"/>
        </w:rPr>
      </w:pPr>
    </w:p>
    <w:p>
      <w:pPr>
        <w:snapToGrid w:val="0"/>
        <w:spacing w:line="360" w:lineRule="auto"/>
        <w:ind w:right="-341" w:firstLine="420" w:firstLineChars="200"/>
        <w:rPr>
          <w:rFonts w:ascii="宋体" w:hAnsi="宋体" w:cs="宋体"/>
          <w:kern w:val="0"/>
          <w:szCs w:val="21"/>
        </w:rPr>
      </w:pPr>
    </w:p>
    <w:p>
      <w:pPr>
        <w:snapToGrid w:val="0"/>
        <w:spacing w:line="360" w:lineRule="auto"/>
        <w:ind w:right="-341" w:firstLine="420" w:firstLineChars="200"/>
        <w:rPr>
          <w:rFonts w:ascii="宋体" w:hAnsi="宋体" w:cs="宋体"/>
          <w:kern w:val="0"/>
          <w:szCs w:val="21"/>
        </w:rPr>
      </w:pPr>
      <w:r>
        <w:rPr>
          <w:rFonts w:hint="eastAsia" w:ascii="宋体" w:hAnsi="宋体" w:cs="宋体"/>
          <w:kern w:val="0"/>
          <w:szCs w:val="21"/>
        </w:rPr>
        <w:t>本公司（联合体）郑重声明，根据《政府采购促进中小企业发展管理办法》（财库﹝2020﹞46 号）的规定，本公司（联合体）参加 （单位名称） 的 （项目名称） 采购活动，服务全部由符合政策要求的中小企业承接。相关企业（含联合体中的中小企业、签订分包意向协议的中小企业）的具体情况如下：</w:t>
      </w:r>
    </w:p>
    <w:p>
      <w:pPr>
        <w:snapToGrid w:val="0"/>
        <w:spacing w:line="360" w:lineRule="auto"/>
        <w:ind w:right="-341" w:firstLine="420" w:firstLineChars="200"/>
        <w:rPr>
          <w:rFonts w:ascii="宋体" w:hAnsi="宋体" w:cs="宋体"/>
          <w:kern w:val="0"/>
          <w:szCs w:val="21"/>
        </w:rPr>
      </w:pPr>
      <w:r>
        <w:rPr>
          <w:rFonts w:hint="eastAsia" w:ascii="宋体" w:hAnsi="宋体" w:cs="宋体"/>
          <w:kern w:val="0"/>
          <w:szCs w:val="21"/>
        </w:rPr>
        <w:t>1. （标的名称） ，属于 （采购文件中明确的所属行业） ；承建（承接）企业为 （企业名称） ，从业人员 人，营业收入为 万元，资产总额为 万元，属于 （中型企业、小型企业、微型企业） ；</w:t>
      </w:r>
    </w:p>
    <w:p>
      <w:pPr>
        <w:snapToGrid w:val="0"/>
        <w:spacing w:line="360" w:lineRule="auto"/>
        <w:ind w:right="-341" w:firstLine="420" w:firstLineChars="200"/>
        <w:rPr>
          <w:rFonts w:ascii="宋体" w:hAnsi="宋体" w:cs="宋体"/>
          <w:kern w:val="0"/>
          <w:szCs w:val="21"/>
        </w:rPr>
      </w:pPr>
      <w:r>
        <w:rPr>
          <w:rFonts w:hint="eastAsia" w:ascii="宋体" w:hAnsi="宋体" w:cs="宋体"/>
          <w:kern w:val="0"/>
          <w:szCs w:val="21"/>
        </w:rPr>
        <w:t>2. （标的名称） ，属于 （采购文件中明确的所属行业） ；承建（承接）企业为 （企业名称） ，从业人员 人，营业收入为 万元，资产总额为 万元，属于 （中型企业、小型企业、微型企业） ；</w:t>
      </w:r>
    </w:p>
    <w:p>
      <w:pPr>
        <w:snapToGrid w:val="0"/>
        <w:spacing w:line="360" w:lineRule="auto"/>
        <w:ind w:right="-341"/>
        <w:rPr>
          <w:rFonts w:ascii="宋体" w:hAnsi="宋体" w:cs="宋体"/>
          <w:kern w:val="0"/>
          <w:szCs w:val="21"/>
        </w:rPr>
      </w:pPr>
      <w:r>
        <w:rPr>
          <w:rFonts w:hint="eastAsia" w:ascii="宋体" w:hAnsi="宋体" w:cs="宋体"/>
          <w:kern w:val="0"/>
          <w:szCs w:val="21"/>
        </w:rPr>
        <w:t>……</w:t>
      </w:r>
    </w:p>
    <w:p>
      <w:pPr>
        <w:snapToGrid w:val="0"/>
        <w:spacing w:line="360" w:lineRule="auto"/>
        <w:ind w:right="-341" w:firstLine="420" w:firstLineChars="200"/>
        <w:rPr>
          <w:rFonts w:ascii="宋体" w:hAnsi="宋体" w:cs="宋体"/>
          <w:kern w:val="0"/>
          <w:szCs w:val="21"/>
        </w:rPr>
      </w:pPr>
      <w:r>
        <w:rPr>
          <w:rFonts w:hint="eastAsia" w:ascii="宋体" w:hAnsi="宋体" w:cs="宋体"/>
          <w:kern w:val="0"/>
          <w:szCs w:val="21"/>
        </w:rPr>
        <w:t>以上企业，不属于大企业的分支机构，不存在控股股东为大企业的情形，也不存在与大企业的负责人为同一人的情形。</w:t>
      </w:r>
    </w:p>
    <w:p>
      <w:pPr>
        <w:snapToGrid w:val="0"/>
        <w:spacing w:line="360" w:lineRule="auto"/>
        <w:ind w:right="-341" w:firstLine="420" w:firstLineChars="200"/>
        <w:rPr>
          <w:rFonts w:ascii="宋体" w:hAnsi="宋体" w:cs="宋体"/>
          <w:kern w:val="0"/>
          <w:szCs w:val="21"/>
        </w:rPr>
      </w:pPr>
      <w:r>
        <w:rPr>
          <w:rFonts w:hint="eastAsia" w:ascii="宋体" w:hAnsi="宋体" w:cs="宋体"/>
          <w:kern w:val="0"/>
          <w:szCs w:val="21"/>
        </w:rPr>
        <w:t>本企业对上述声明内容的真实性负责。如有虚假，将依法承担相应责任。</w:t>
      </w:r>
    </w:p>
    <w:p>
      <w:pPr>
        <w:snapToGrid w:val="0"/>
        <w:spacing w:line="360" w:lineRule="auto"/>
        <w:ind w:right="-341"/>
        <w:rPr>
          <w:rFonts w:ascii="宋体" w:hAnsi="宋体" w:cs="宋体"/>
          <w:kern w:val="0"/>
          <w:szCs w:val="21"/>
        </w:rPr>
      </w:pPr>
    </w:p>
    <w:p>
      <w:pPr>
        <w:snapToGrid w:val="0"/>
        <w:spacing w:line="360" w:lineRule="auto"/>
        <w:ind w:right="-341"/>
        <w:rPr>
          <w:rFonts w:ascii="宋体" w:hAnsi="宋体" w:cs="宋体"/>
          <w:kern w:val="0"/>
          <w:szCs w:val="21"/>
        </w:rPr>
      </w:pPr>
      <w:r>
        <w:rPr>
          <w:rFonts w:hint="eastAsia" w:ascii="宋体" w:hAnsi="宋体" w:cs="宋体"/>
          <w:kern w:val="0"/>
          <w:szCs w:val="21"/>
        </w:rPr>
        <w:t>企业名称（盖章）：</w:t>
      </w:r>
    </w:p>
    <w:p>
      <w:pPr>
        <w:snapToGrid w:val="0"/>
        <w:spacing w:line="360" w:lineRule="auto"/>
        <w:ind w:right="-341"/>
        <w:jc w:val="left"/>
      </w:pPr>
      <w:r>
        <w:rPr>
          <w:rFonts w:hint="eastAsia" w:ascii="宋体" w:hAnsi="宋体" w:cs="宋体"/>
          <w:kern w:val="0"/>
          <w:szCs w:val="21"/>
        </w:rPr>
        <w:t>日 期：</w:t>
      </w:r>
    </w:p>
    <w:p>
      <w:pPr>
        <w:snapToGrid w:val="0"/>
        <w:spacing w:line="360" w:lineRule="auto"/>
        <w:ind w:right="-341"/>
        <w:rPr>
          <w:rFonts w:ascii="宋体" w:hAnsi="宋体"/>
        </w:rPr>
      </w:pPr>
    </w:p>
    <w:p>
      <w:pPr>
        <w:snapToGrid w:val="0"/>
        <w:spacing w:line="360" w:lineRule="auto"/>
        <w:ind w:right="-341"/>
        <w:rPr>
          <w:rFonts w:ascii="宋体" w:hAnsi="宋体"/>
        </w:rPr>
      </w:pPr>
    </w:p>
    <w:p>
      <w:pPr>
        <w:snapToGrid w:val="0"/>
        <w:spacing w:line="360" w:lineRule="auto"/>
        <w:ind w:right="-341"/>
        <w:rPr>
          <w:rFonts w:ascii="宋体" w:hAnsi="宋体"/>
        </w:rPr>
      </w:pPr>
    </w:p>
    <w:p>
      <w:pPr>
        <w:snapToGrid w:val="0"/>
        <w:spacing w:line="360" w:lineRule="auto"/>
        <w:ind w:right="-341"/>
        <w:rPr>
          <w:rFonts w:ascii="宋体" w:hAnsi="宋体"/>
        </w:rPr>
      </w:pPr>
    </w:p>
    <w:p>
      <w:pPr>
        <w:pStyle w:val="2"/>
      </w:pPr>
    </w:p>
    <w:p>
      <w:pPr>
        <w:pStyle w:val="3"/>
      </w:pPr>
    </w:p>
    <w:p>
      <w:pPr>
        <w:pStyle w:val="3"/>
      </w:pPr>
    </w:p>
    <w:p>
      <w:pPr>
        <w:pStyle w:val="3"/>
      </w:pPr>
    </w:p>
    <w:p>
      <w:pPr>
        <w:pStyle w:val="3"/>
      </w:pPr>
    </w:p>
    <w:p>
      <w:pPr>
        <w:pStyle w:val="3"/>
      </w:pPr>
    </w:p>
    <w:p>
      <w:pPr>
        <w:pStyle w:val="3"/>
      </w:pPr>
    </w:p>
    <w:p>
      <w:pPr>
        <w:pStyle w:val="3"/>
      </w:pPr>
    </w:p>
    <w:p>
      <w:pPr>
        <w:pStyle w:val="3"/>
      </w:pPr>
    </w:p>
    <w:p>
      <w:pPr>
        <w:spacing w:line="360" w:lineRule="auto"/>
        <w:ind w:firstLine="3132" w:firstLineChars="1300"/>
        <w:rPr>
          <w:rFonts w:ascii="宋体" w:hAnsi="宋体"/>
          <w:b/>
          <w:sz w:val="24"/>
          <w:szCs w:val="24"/>
        </w:rPr>
      </w:pPr>
      <w:r>
        <w:rPr>
          <w:rFonts w:hint="eastAsia" w:ascii="宋体" w:hAnsi="宋体"/>
          <w:b/>
          <w:sz w:val="24"/>
          <w:szCs w:val="24"/>
        </w:rPr>
        <w:t>监狱企业声明函</w:t>
      </w:r>
    </w:p>
    <w:p>
      <w:pPr>
        <w:spacing w:line="360" w:lineRule="auto"/>
        <w:ind w:firstLine="2640" w:firstLineChars="1100"/>
        <w:rPr>
          <w:rFonts w:ascii="宋体" w:hAnsi="宋体"/>
          <w:sz w:val="24"/>
          <w:szCs w:val="24"/>
        </w:rPr>
      </w:pPr>
      <w:r>
        <w:rPr>
          <w:rFonts w:hint="eastAsia" w:ascii="宋体" w:hAnsi="宋体"/>
          <w:sz w:val="24"/>
          <w:szCs w:val="24"/>
        </w:rPr>
        <w:t>【非监狱企业不用提供】</w:t>
      </w:r>
    </w:p>
    <w:p>
      <w:pPr>
        <w:spacing w:line="360" w:lineRule="auto"/>
        <w:ind w:firstLine="480"/>
        <w:rPr>
          <w:rFonts w:ascii="宋体" w:hAnsi="宋体"/>
          <w:szCs w:val="21"/>
        </w:rPr>
      </w:pPr>
    </w:p>
    <w:p>
      <w:pPr>
        <w:spacing w:line="360" w:lineRule="auto"/>
        <w:ind w:firstLine="525" w:firstLineChars="250"/>
        <w:rPr>
          <w:rFonts w:ascii="宋体" w:hAnsi="宋体"/>
          <w:szCs w:val="21"/>
        </w:rPr>
      </w:pPr>
      <w:r>
        <w:rPr>
          <w:rFonts w:hint="eastAsia" w:ascii="宋体" w:hAnsi="宋体"/>
          <w:szCs w:val="21"/>
        </w:rPr>
        <w:t>监狱企业参加政府采购活动时，应当提供由省级以上监狱管理本企业郑重声明，根据《关于政府采购支持监狱企业发展有关问题的通知》（财库[2014]68号）的规定，本企业为监狱企业。</w:t>
      </w:r>
    </w:p>
    <w:p>
      <w:pPr>
        <w:spacing w:line="360" w:lineRule="auto"/>
        <w:ind w:firstLine="480"/>
        <w:rPr>
          <w:rFonts w:ascii="宋体" w:hAnsi="宋体"/>
          <w:szCs w:val="21"/>
        </w:rPr>
      </w:pPr>
      <w:r>
        <w:rPr>
          <w:rFonts w:hint="eastAsia" w:ascii="宋体" w:hAnsi="宋体"/>
          <w:szCs w:val="21"/>
        </w:rPr>
        <w:t>根据上述标准，我企业属于监狱企业的理由为：。</w:t>
      </w:r>
    </w:p>
    <w:p>
      <w:pPr>
        <w:spacing w:line="360" w:lineRule="auto"/>
        <w:ind w:firstLine="480"/>
        <w:rPr>
          <w:rFonts w:ascii="宋体" w:hAnsi="宋体"/>
          <w:szCs w:val="21"/>
        </w:rPr>
      </w:pPr>
      <w:r>
        <w:rPr>
          <w:rFonts w:hint="eastAsia" w:ascii="宋体" w:hAnsi="宋体"/>
          <w:szCs w:val="21"/>
        </w:rPr>
        <w:t>本企业为参加（项目名称： ）（项目编号： ）采购活动提供本企业的产品。</w:t>
      </w:r>
    </w:p>
    <w:p>
      <w:pPr>
        <w:spacing w:line="360" w:lineRule="auto"/>
        <w:ind w:firstLine="480"/>
        <w:rPr>
          <w:rFonts w:ascii="宋体" w:hAnsi="宋体"/>
          <w:szCs w:val="21"/>
        </w:rPr>
      </w:pPr>
      <w:r>
        <w:rPr>
          <w:rFonts w:hint="eastAsia" w:ascii="宋体" w:hAnsi="宋体"/>
          <w:szCs w:val="21"/>
        </w:rPr>
        <w:t>本企业对上述声明的真实性负责。如有虚假，将依法承担相应责任。</w:t>
      </w:r>
    </w:p>
    <w:p>
      <w:pPr>
        <w:spacing w:line="360" w:lineRule="auto"/>
        <w:ind w:firstLine="480"/>
        <w:rPr>
          <w:rFonts w:ascii="宋体" w:hAnsi="宋体"/>
          <w:szCs w:val="21"/>
        </w:rPr>
      </w:pPr>
    </w:p>
    <w:p>
      <w:pPr>
        <w:spacing w:line="360" w:lineRule="auto"/>
        <w:ind w:firstLine="480"/>
        <w:rPr>
          <w:rFonts w:ascii="宋体" w:hAnsi="宋体"/>
          <w:szCs w:val="21"/>
        </w:rPr>
      </w:pPr>
      <w:r>
        <w:rPr>
          <w:rFonts w:hint="eastAsia" w:ascii="宋体" w:hAnsi="宋体"/>
          <w:szCs w:val="21"/>
        </w:rPr>
        <w:t>投标人名称（盖章）：</w:t>
      </w:r>
    </w:p>
    <w:p>
      <w:pPr>
        <w:spacing w:line="360" w:lineRule="auto"/>
        <w:ind w:firstLine="480"/>
        <w:rPr>
          <w:rFonts w:ascii="宋体" w:hAnsi="宋体"/>
          <w:szCs w:val="21"/>
        </w:rPr>
      </w:pPr>
      <w:r>
        <w:rPr>
          <w:rFonts w:hint="eastAsia" w:ascii="宋体" w:hAnsi="宋体"/>
          <w:szCs w:val="21"/>
        </w:rPr>
        <w:t>日期： 年 月 日</w:t>
      </w:r>
    </w:p>
    <w:p>
      <w:pPr>
        <w:spacing w:line="360" w:lineRule="auto"/>
        <w:ind w:firstLine="480"/>
        <w:rPr>
          <w:rFonts w:ascii="宋体" w:hAnsi="宋体"/>
          <w:szCs w:val="21"/>
        </w:rPr>
      </w:pPr>
    </w:p>
    <w:p>
      <w:pPr>
        <w:spacing w:line="360" w:lineRule="auto"/>
        <w:ind w:firstLine="480"/>
        <w:rPr>
          <w:rFonts w:ascii="宋体" w:hAnsi="宋体"/>
          <w:szCs w:val="21"/>
        </w:rPr>
      </w:pPr>
    </w:p>
    <w:p>
      <w:pPr>
        <w:spacing w:line="360" w:lineRule="auto"/>
        <w:ind w:firstLine="480"/>
        <w:rPr>
          <w:rFonts w:ascii="宋体" w:hAnsi="宋体"/>
          <w:szCs w:val="21"/>
        </w:rPr>
      </w:pPr>
      <w:r>
        <w:rPr>
          <w:rFonts w:hint="eastAsia" w:ascii="宋体" w:hAnsi="宋体"/>
          <w:szCs w:val="21"/>
        </w:rPr>
        <w:t>投标人为监狱企业的提供此函。</w:t>
      </w:r>
    </w:p>
    <w:p>
      <w:pPr>
        <w:spacing w:line="360" w:lineRule="auto"/>
        <w:ind w:firstLine="480"/>
        <w:rPr>
          <w:rFonts w:ascii="宋体" w:hAnsi="宋体"/>
          <w:szCs w:val="21"/>
        </w:rPr>
      </w:pPr>
      <w:r>
        <w:rPr>
          <w:rFonts w:hint="eastAsia" w:ascii="宋体" w:hAnsi="宋体"/>
          <w:szCs w:val="21"/>
        </w:rPr>
        <w:t>局、戒毒管理局（含新疆生产建设兵团）出具的属于监狱企业的证明文件。</w:t>
      </w:r>
    </w:p>
    <w:p>
      <w:pPr>
        <w:spacing w:line="360" w:lineRule="auto"/>
        <w:ind w:firstLine="480"/>
        <w:rPr>
          <w:rFonts w:ascii="宋体" w:hAnsi="宋体"/>
          <w:szCs w:val="21"/>
        </w:rPr>
      </w:pPr>
      <w:r>
        <w:rPr>
          <w:rFonts w:hint="eastAsia" w:ascii="宋体" w:hAnsi="宋体"/>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rPr>
          <w:rFonts w:ascii="宋体" w:hAnsi="宋体"/>
          <w:szCs w:val="21"/>
        </w:rPr>
      </w:pPr>
    </w:p>
    <w:p>
      <w:pPr>
        <w:spacing w:line="360" w:lineRule="auto"/>
        <w:ind w:firstLine="480"/>
        <w:rPr>
          <w:rFonts w:ascii="宋体" w:hAnsi="宋体"/>
          <w:szCs w:val="21"/>
        </w:rPr>
      </w:pPr>
    </w:p>
    <w:p>
      <w:pPr>
        <w:spacing w:line="360" w:lineRule="auto"/>
        <w:ind w:firstLine="480"/>
        <w:rPr>
          <w:rFonts w:ascii="宋体" w:hAnsi="宋体"/>
          <w:szCs w:val="21"/>
        </w:rPr>
      </w:pPr>
    </w:p>
    <w:p>
      <w:pPr>
        <w:spacing w:line="360" w:lineRule="auto"/>
        <w:ind w:firstLine="480"/>
        <w:rPr>
          <w:rFonts w:ascii="宋体" w:hAnsi="宋体"/>
          <w:szCs w:val="21"/>
        </w:rPr>
      </w:pPr>
    </w:p>
    <w:p>
      <w:pPr>
        <w:spacing w:line="360" w:lineRule="auto"/>
        <w:ind w:firstLine="480"/>
        <w:rPr>
          <w:rFonts w:ascii="宋体" w:hAnsi="宋体"/>
          <w:szCs w:val="21"/>
        </w:rPr>
      </w:pPr>
    </w:p>
    <w:p>
      <w:pPr>
        <w:spacing w:line="360" w:lineRule="auto"/>
        <w:ind w:firstLine="480"/>
        <w:rPr>
          <w:rFonts w:ascii="宋体" w:hAnsi="宋体"/>
          <w:szCs w:val="21"/>
        </w:rPr>
      </w:pPr>
    </w:p>
    <w:p>
      <w:pPr>
        <w:spacing w:line="360" w:lineRule="auto"/>
        <w:ind w:firstLine="480"/>
        <w:rPr>
          <w:rFonts w:ascii="宋体" w:hAnsi="宋体"/>
          <w:szCs w:val="21"/>
        </w:rPr>
      </w:pPr>
    </w:p>
    <w:p>
      <w:pPr>
        <w:spacing w:line="360" w:lineRule="auto"/>
        <w:ind w:firstLine="480"/>
        <w:rPr>
          <w:rFonts w:ascii="宋体" w:hAnsi="宋体"/>
          <w:szCs w:val="21"/>
        </w:rPr>
      </w:pPr>
    </w:p>
    <w:p>
      <w:pPr>
        <w:spacing w:line="360" w:lineRule="auto"/>
        <w:ind w:firstLine="480"/>
        <w:rPr>
          <w:rFonts w:ascii="宋体" w:hAnsi="宋体"/>
          <w:szCs w:val="21"/>
        </w:rPr>
      </w:pPr>
    </w:p>
    <w:p>
      <w:pPr>
        <w:spacing w:line="360" w:lineRule="auto"/>
        <w:ind w:firstLine="480"/>
        <w:rPr>
          <w:rFonts w:ascii="宋体" w:hAnsi="宋体"/>
          <w:szCs w:val="21"/>
        </w:rPr>
      </w:pPr>
    </w:p>
    <w:p>
      <w:pPr>
        <w:spacing w:line="360" w:lineRule="auto"/>
        <w:ind w:firstLine="480"/>
        <w:rPr>
          <w:rFonts w:ascii="宋体" w:hAnsi="宋体"/>
          <w:szCs w:val="21"/>
        </w:rPr>
      </w:pPr>
    </w:p>
    <w:p>
      <w:pPr>
        <w:spacing w:line="360" w:lineRule="auto"/>
        <w:ind w:firstLine="480"/>
        <w:rPr>
          <w:rFonts w:ascii="宋体" w:hAnsi="宋体"/>
          <w:szCs w:val="21"/>
        </w:rPr>
      </w:pPr>
    </w:p>
    <w:p>
      <w:pPr>
        <w:spacing w:line="360" w:lineRule="auto"/>
        <w:ind w:firstLine="480"/>
        <w:rPr>
          <w:rFonts w:ascii="宋体" w:hAnsi="宋体"/>
          <w:szCs w:val="21"/>
        </w:rPr>
      </w:pPr>
    </w:p>
    <w:p>
      <w:pPr>
        <w:pStyle w:val="23"/>
        <w:spacing w:line="360" w:lineRule="auto"/>
        <w:ind w:firstLine="105" w:firstLineChars="50"/>
        <w:rPr>
          <w:rFonts w:ascii="宋体" w:hAnsi="宋体"/>
          <w:sz w:val="21"/>
          <w:szCs w:val="21"/>
        </w:rPr>
      </w:pPr>
    </w:p>
    <w:p>
      <w:pPr>
        <w:pStyle w:val="23"/>
        <w:spacing w:line="360" w:lineRule="auto"/>
        <w:ind w:firstLine="3373" w:firstLineChars="1400"/>
        <w:rPr>
          <w:b/>
          <w:sz w:val="24"/>
          <w:szCs w:val="24"/>
        </w:rPr>
      </w:pPr>
      <w:r>
        <w:rPr>
          <w:rFonts w:hint="eastAsia"/>
          <w:b/>
          <w:sz w:val="24"/>
          <w:szCs w:val="24"/>
        </w:rPr>
        <w:t>残疾人福利性单位声明函</w:t>
      </w:r>
    </w:p>
    <w:p>
      <w:pPr>
        <w:pStyle w:val="23"/>
        <w:spacing w:line="360" w:lineRule="auto"/>
        <w:ind w:firstLine="2835" w:firstLineChars="1350"/>
        <w:rPr>
          <w:rFonts w:ascii="宋体" w:cs="宋体"/>
          <w:sz w:val="21"/>
          <w:szCs w:val="21"/>
        </w:rPr>
      </w:pPr>
      <w:r>
        <w:rPr>
          <w:rFonts w:hint="eastAsia" w:ascii="宋体" w:cs="宋体"/>
          <w:sz w:val="21"/>
          <w:szCs w:val="21"/>
        </w:rPr>
        <w:t>【非残疾人福利性单位不用提供】</w:t>
      </w:r>
    </w:p>
    <w:p>
      <w:pPr>
        <w:pStyle w:val="23"/>
        <w:spacing w:line="360" w:lineRule="auto"/>
        <w:rPr>
          <w:rFonts w:ascii="宋体" w:cs="宋体"/>
          <w:sz w:val="21"/>
          <w:szCs w:val="21"/>
        </w:rPr>
      </w:pPr>
    </w:p>
    <w:p>
      <w:pPr>
        <w:pStyle w:val="23"/>
        <w:spacing w:line="360" w:lineRule="auto"/>
        <w:ind w:firstLine="420" w:firstLineChars="200"/>
        <w:rPr>
          <w:rFonts w:ascii="宋体" w:hAnsi="Arial" w:cs="宋体"/>
          <w:sz w:val="21"/>
          <w:szCs w:val="21"/>
        </w:rPr>
      </w:pPr>
      <w:r>
        <w:rPr>
          <w:rFonts w:hint="eastAsia" w:ascii="宋体" w:cs="宋体"/>
          <w:sz w:val="21"/>
          <w:szCs w:val="21"/>
        </w:rPr>
        <w:t>本单位郑重声明，根据《财政部民政部中国残疾人联合会关于促进残疾人就业政府采购政策的通知》（财库〔</w:t>
      </w:r>
      <w:r>
        <w:rPr>
          <w:rFonts w:ascii="Arial" w:hAnsi="Arial" w:cs="Arial"/>
          <w:sz w:val="21"/>
          <w:szCs w:val="21"/>
        </w:rPr>
        <w:t>2017</w:t>
      </w:r>
      <w:r>
        <w:rPr>
          <w:rFonts w:hint="eastAsia" w:ascii="宋体" w:hAnsi="Arial" w:cs="宋体"/>
          <w:sz w:val="21"/>
          <w:szCs w:val="21"/>
        </w:rPr>
        <w:t>〕</w:t>
      </w:r>
      <w:r>
        <w:rPr>
          <w:rFonts w:ascii="Arial" w:hAnsi="Arial" w:cs="Arial"/>
          <w:sz w:val="21"/>
          <w:szCs w:val="21"/>
        </w:rPr>
        <w:t>141</w:t>
      </w:r>
      <w:r>
        <w:rPr>
          <w:rFonts w:hint="eastAsia" w:ascii="宋体" w:hAnsi="Arial" w:cs="宋体"/>
          <w:sz w:val="21"/>
          <w:szCs w:val="21"/>
        </w:rPr>
        <w:t>号）的规定，本单位为符合条件的残疾人福利性单位，且本单位参加（采购人名称）单位的（项目名称）项目采购活动提供本单位制造的货物（由本单位承担工程</w:t>
      </w:r>
      <w:r>
        <w:rPr>
          <w:rFonts w:ascii="Arial" w:hAnsi="Arial" w:cs="Arial"/>
          <w:sz w:val="21"/>
          <w:szCs w:val="21"/>
        </w:rPr>
        <w:t>/</w:t>
      </w:r>
      <w:r>
        <w:rPr>
          <w:rFonts w:hint="eastAsia" w:ascii="宋体" w:hAnsi="Arial" w:cs="宋体"/>
          <w:sz w:val="21"/>
          <w:szCs w:val="21"/>
        </w:rPr>
        <w:t>提供服务），或者提供其他残疾人福利性单位制造的货物（不包括使用非残疾人福利性单位注册商标的货物）。</w:t>
      </w:r>
    </w:p>
    <w:p>
      <w:pPr>
        <w:pStyle w:val="23"/>
        <w:spacing w:line="360" w:lineRule="auto"/>
        <w:ind w:firstLine="420" w:firstLineChars="200"/>
        <w:rPr>
          <w:rFonts w:ascii="宋体" w:hAnsi="Arial" w:cs="宋体"/>
          <w:sz w:val="21"/>
          <w:szCs w:val="21"/>
        </w:rPr>
      </w:pPr>
      <w:r>
        <w:rPr>
          <w:rFonts w:hint="eastAsia" w:ascii="宋体" w:hAnsi="Arial" w:cs="宋体"/>
          <w:sz w:val="21"/>
          <w:szCs w:val="21"/>
        </w:rPr>
        <w:t>本单位对上述声明的真实性负责。如有虚假，将依法承担相应责任。</w:t>
      </w:r>
    </w:p>
    <w:p>
      <w:pPr>
        <w:pStyle w:val="23"/>
        <w:spacing w:line="360" w:lineRule="auto"/>
        <w:rPr>
          <w:rFonts w:ascii="宋体" w:hAnsi="Arial" w:cs="宋体"/>
          <w:sz w:val="21"/>
          <w:szCs w:val="21"/>
        </w:rPr>
      </w:pPr>
    </w:p>
    <w:p>
      <w:pPr>
        <w:pStyle w:val="23"/>
        <w:spacing w:line="360" w:lineRule="auto"/>
        <w:rPr>
          <w:rFonts w:ascii="宋体" w:hAnsi="Arial" w:cs="宋体"/>
          <w:sz w:val="21"/>
          <w:szCs w:val="21"/>
        </w:rPr>
      </w:pPr>
    </w:p>
    <w:p>
      <w:pPr>
        <w:pStyle w:val="23"/>
        <w:spacing w:line="360" w:lineRule="auto"/>
        <w:rPr>
          <w:rFonts w:ascii="宋体" w:hAnsi="Arial" w:cs="宋体"/>
          <w:sz w:val="21"/>
          <w:szCs w:val="21"/>
        </w:rPr>
      </w:pPr>
      <w:r>
        <w:rPr>
          <w:rFonts w:hint="eastAsia" w:ascii="宋体" w:hAnsi="Arial" w:cs="宋体"/>
          <w:sz w:val="21"/>
          <w:szCs w:val="21"/>
        </w:rPr>
        <w:t>投标人名称（盖章）：</w:t>
      </w:r>
    </w:p>
    <w:p>
      <w:pPr>
        <w:pStyle w:val="23"/>
        <w:spacing w:line="360" w:lineRule="auto"/>
        <w:rPr>
          <w:rFonts w:ascii="宋体" w:hAnsi="Arial" w:cs="宋体"/>
          <w:sz w:val="21"/>
          <w:szCs w:val="21"/>
        </w:rPr>
      </w:pPr>
      <w:r>
        <w:rPr>
          <w:rFonts w:hint="eastAsia" w:ascii="宋体" w:hAnsi="Arial" w:cs="宋体"/>
          <w:sz w:val="21"/>
          <w:szCs w:val="21"/>
        </w:rPr>
        <w:t>日期：年月日</w:t>
      </w:r>
    </w:p>
    <w:p>
      <w:pPr>
        <w:spacing w:line="360" w:lineRule="auto"/>
        <w:ind w:firstLine="480"/>
        <w:rPr>
          <w:rFonts w:ascii="宋体" w:hAnsi="宋体"/>
          <w:szCs w:val="21"/>
        </w:rPr>
      </w:pPr>
      <w:r>
        <w:rPr>
          <w:rFonts w:hint="eastAsia" w:ascii="宋体" w:hAnsi="Arial" w:cs="宋体"/>
          <w:szCs w:val="21"/>
        </w:rPr>
        <w:t>说明：投标人为残疾人福利性单位的提供此函。</w:t>
      </w:r>
    </w:p>
    <w:p>
      <w:pPr>
        <w:snapToGrid w:val="0"/>
        <w:spacing w:line="360" w:lineRule="auto"/>
        <w:ind w:right="-341"/>
        <w:rPr>
          <w:rFonts w:ascii="宋体" w:hAnsi="宋体"/>
        </w:rPr>
      </w:pPr>
    </w:p>
    <w:p>
      <w:pPr>
        <w:snapToGrid w:val="0"/>
        <w:spacing w:line="360" w:lineRule="auto"/>
        <w:ind w:right="-341"/>
        <w:rPr>
          <w:rFonts w:ascii="宋体" w:hAnsi="宋体"/>
        </w:rPr>
      </w:pPr>
    </w:p>
    <w:p>
      <w:pPr>
        <w:snapToGrid w:val="0"/>
        <w:spacing w:line="360" w:lineRule="auto"/>
        <w:ind w:right="-341"/>
        <w:rPr>
          <w:rFonts w:ascii="宋体" w:hAnsi="宋体"/>
        </w:rPr>
      </w:pPr>
    </w:p>
    <w:p>
      <w:pPr>
        <w:snapToGrid w:val="0"/>
        <w:spacing w:line="360" w:lineRule="auto"/>
        <w:ind w:right="-341"/>
        <w:rPr>
          <w:rFonts w:ascii="宋体" w:hAnsi="宋体"/>
        </w:rPr>
      </w:pPr>
    </w:p>
    <w:p>
      <w:pPr>
        <w:snapToGrid w:val="0"/>
        <w:spacing w:line="312" w:lineRule="auto"/>
        <w:ind w:right="-341"/>
        <w:rPr>
          <w:rFonts w:ascii="宋体" w:hAnsi="宋体"/>
          <w:b/>
        </w:rPr>
      </w:pPr>
    </w:p>
    <w:p>
      <w:pPr>
        <w:snapToGrid w:val="0"/>
        <w:spacing w:line="312" w:lineRule="auto"/>
        <w:ind w:right="-341"/>
        <w:rPr>
          <w:rFonts w:ascii="宋体" w:hAnsi="宋体"/>
          <w:b/>
        </w:rPr>
      </w:pPr>
    </w:p>
    <w:p>
      <w:pPr>
        <w:snapToGrid w:val="0"/>
        <w:spacing w:line="312" w:lineRule="auto"/>
        <w:ind w:right="-341"/>
        <w:rPr>
          <w:rFonts w:ascii="宋体" w:hAnsi="宋体"/>
          <w:b/>
        </w:rPr>
      </w:pPr>
    </w:p>
    <w:p>
      <w:pPr>
        <w:snapToGrid w:val="0"/>
        <w:spacing w:line="312" w:lineRule="auto"/>
        <w:ind w:right="-341"/>
        <w:rPr>
          <w:rFonts w:ascii="宋体" w:hAnsi="宋体"/>
          <w:b/>
        </w:rPr>
      </w:pPr>
    </w:p>
    <w:p>
      <w:pPr>
        <w:snapToGrid w:val="0"/>
        <w:spacing w:line="312" w:lineRule="auto"/>
        <w:ind w:right="-341"/>
        <w:rPr>
          <w:rFonts w:ascii="宋体" w:hAnsi="宋体"/>
          <w:b/>
        </w:rPr>
      </w:pPr>
    </w:p>
    <w:p>
      <w:pPr>
        <w:snapToGrid w:val="0"/>
        <w:spacing w:line="312" w:lineRule="auto"/>
        <w:ind w:right="-341"/>
        <w:rPr>
          <w:rFonts w:ascii="宋体" w:hAnsi="宋体"/>
          <w:b/>
        </w:rPr>
      </w:pPr>
    </w:p>
    <w:p>
      <w:pPr>
        <w:snapToGrid w:val="0"/>
        <w:spacing w:line="312" w:lineRule="auto"/>
        <w:ind w:right="-341"/>
        <w:rPr>
          <w:rFonts w:ascii="宋体" w:hAnsi="宋体"/>
          <w:b/>
        </w:rPr>
      </w:pPr>
    </w:p>
    <w:p>
      <w:pPr>
        <w:snapToGrid w:val="0"/>
        <w:spacing w:line="312" w:lineRule="auto"/>
        <w:ind w:right="-341"/>
        <w:rPr>
          <w:rFonts w:ascii="宋体" w:hAnsi="宋体"/>
          <w:b/>
        </w:rPr>
      </w:pPr>
    </w:p>
    <w:p>
      <w:pPr>
        <w:snapToGrid w:val="0"/>
        <w:spacing w:line="312" w:lineRule="auto"/>
        <w:ind w:right="-341"/>
        <w:rPr>
          <w:rFonts w:ascii="宋体" w:hAnsi="宋体"/>
          <w:b/>
        </w:rPr>
      </w:pPr>
    </w:p>
    <w:p>
      <w:pPr>
        <w:snapToGrid w:val="0"/>
        <w:spacing w:line="312" w:lineRule="auto"/>
        <w:ind w:right="-341"/>
        <w:rPr>
          <w:rFonts w:ascii="宋体" w:hAnsi="宋体"/>
          <w:b/>
        </w:rPr>
      </w:pPr>
    </w:p>
    <w:p>
      <w:pPr>
        <w:snapToGrid w:val="0"/>
        <w:spacing w:line="312" w:lineRule="auto"/>
        <w:ind w:right="-341"/>
        <w:rPr>
          <w:rFonts w:ascii="宋体" w:hAnsi="宋体"/>
          <w:b/>
        </w:rPr>
      </w:pPr>
    </w:p>
    <w:p>
      <w:pPr>
        <w:snapToGrid w:val="0"/>
        <w:spacing w:line="312" w:lineRule="auto"/>
        <w:ind w:right="-341"/>
        <w:rPr>
          <w:rFonts w:ascii="宋体" w:hAnsi="宋体"/>
          <w:b/>
        </w:rPr>
      </w:pPr>
    </w:p>
    <w:p>
      <w:pPr>
        <w:snapToGrid w:val="0"/>
        <w:spacing w:line="312" w:lineRule="auto"/>
        <w:ind w:right="-341"/>
        <w:rPr>
          <w:rFonts w:ascii="宋体" w:hAnsi="宋体"/>
          <w:b/>
        </w:rPr>
      </w:pPr>
    </w:p>
    <w:p>
      <w:pPr>
        <w:snapToGrid w:val="0"/>
        <w:spacing w:line="312" w:lineRule="auto"/>
        <w:ind w:right="-341"/>
        <w:rPr>
          <w:rFonts w:ascii="宋体" w:hAnsi="宋体"/>
          <w:b/>
        </w:rPr>
      </w:pPr>
    </w:p>
    <w:p>
      <w:pPr>
        <w:snapToGrid w:val="0"/>
        <w:spacing w:line="312" w:lineRule="auto"/>
        <w:ind w:right="-341"/>
        <w:rPr>
          <w:rFonts w:ascii="宋体" w:hAnsi="宋体"/>
          <w:b/>
        </w:rPr>
      </w:pPr>
    </w:p>
    <w:p>
      <w:pPr>
        <w:snapToGrid w:val="0"/>
        <w:spacing w:line="312" w:lineRule="auto"/>
        <w:ind w:right="-341"/>
        <w:rPr>
          <w:rFonts w:ascii="宋体" w:hAnsi="宋体"/>
          <w:b/>
        </w:rPr>
      </w:pPr>
    </w:p>
    <w:p>
      <w:pPr>
        <w:snapToGrid w:val="0"/>
        <w:spacing w:line="312" w:lineRule="auto"/>
        <w:ind w:right="-341"/>
        <w:rPr>
          <w:rFonts w:ascii="宋体" w:hAnsi="宋体"/>
          <w:b/>
        </w:rPr>
      </w:pPr>
    </w:p>
    <w:p>
      <w:pPr>
        <w:snapToGrid w:val="0"/>
        <w:spacing w:line="360" w:lineRule="auto"/>
        <w:ind w:right="-341"/>
        <w:textAlignment w:val="baseline"/>
        <w:rPr>
          <w:b/>
        </w:rPr>
      </w:pPr>
    </w:p>
    <w:p>
      <w:pPr>
        <w:snapToGrid w:val="0"/>
        <w:spacing w:before="50" w:line="312" w:lineRule="auto"/>
        <w:rPr>
          <w:rFonts w:ascii="宋体" w:hAnsi="宋体"/>
          <w:b/>
          <w:sz w:val="24"/>
        </w:rPr>
      </w:pPr>
    </w:p>
    <w:p>
      <w:pPr>
        <w:snapToGrid w:val="0"/>
        <w:spacing w:before="50" w:line="312" w:lineRule="auto"/>
        <w:rPr>
          <w:rFonts w:ascii="宋体" w:hAnsi="宋体"/>
          <w:b/>
          <w:sz w:val="24"/>
        </w:rPr>
      </w:pPr>
      <w:r>
        <w:rPr>
          <w:rFonts w:hint="eastAsia" w:ascii="宋体" w:hAnsi="宋体"/>
          <w:b/>
          <w:sz w:val="24"/>
        </w:rPr>
        <w:t>八</w:t>
      </w:r>
    </w:p>
    <w:p>
      <w:pPr>
        <w:snapToGrid w:val="0"/>
        <w:spacing w:before="50" w:line="312" w:lineRule="auto"/>
        <w:jc w:val="center"/>
        <w:rPr>
          <w:rFonts w:ascii="宋体" w:hAnsi="宋体"/>
          <w:b/>
          <w:sz w:val="24"/>
        </w:rPr>
      </w:pPr>
    </w:p>
    <w:p>
      <w:pPr>
        <w:snapToGrid w:val="0"/>
        <w:spacing w:before="50" w:line="312" w:lineRule="auto"/>
        <w:jc w:val="center"/>
        <w:rPr>
          <w:rFonts w:ascii="宋体" w:hAnsi="宋体"/>
          <w:b/>
          <w:sz w:val="24"/>
        </w:rPr>
      </w:pPr>
      <w:r>
        <w:rPr>
          <w:rFonts w:hint="eastAsia" w:ascii="宋体" w:hAnsi="宋体"/>
          <w:b/>
          <w:sz w:val="24"/>
        </w:rPr>
        <w:t>商务响应表：</w:t>
      </w:r>
    </w:p>
    <w:p>
      <w:pPr>
        <w:snapToGrid w:val="0"/>
        <w:spacing w:before="50" w:line="312" w:lineRule="auto"/>
        <w:jc w:val="center"/>
        <w:rPr>
          <w:rFonts w:ascii="宋体" w:hAnsi="宋体"/>
          <w:b/>
          <w:sz w:val="24"/>
        </w:rPr>
      </w:pPr>
    </w:p>
    <w:p>
      <w:pPr>
        <w:snapToGrid w:val="0"/>
        <w:spacing w:line="312" w:lineRule="auto"/>
        <w:rPr>
          <w:rFonts w:ascii="宋体" w:hAnsi="宋体"/>
        </w:rPr>
      </w:pPr>
      <w:r>
        <w:rPr>
          <w:rFonts w:hint="eastAsia" w:ascii="宋体" w:hAnsi="宋体"/>
        </w:rPr>
        <w:t>项目名称：</w:t>
      </w:r>
    </w:p>
    <w:p>
      <w:pPr>
        <w:snapToGrid w:val="0"/>
        <w:spacing w:line="312" w:lineRule="auto"/>
        <w:rPr>
          <w:rFonts w:ascii="宋体"/>
        </w:rPr>
      </w:pPr>
      <w:r>
        <w:rPr>
          <w:rFonts w:hint="eastAsia" w:ascii="宋体" w:hAnsi="宋体"/>
        </w:rPr>
        <w:t>项目编号：</w:t>
      </w:r>
    </w:p>
    <w:tbl>
      <w:tblPr>
        <w:tblStyle w:val="36"/>
        <w:tblW w:w="90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324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8"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line="312" w:lineRule="auto"/>
              <w:jc w:val="center"/>
              <w:rPr>
                <w:rFonts w:ascii="宋体" w:hAnsi="宋体"/>
                <w:b/>
              </w:rPr>
            </w:pPr>
            <w:r>
              <w:rPr>
                <w:rFonts w:hint="eastAsia" w:ascii="宋体" w:hAnsi="宋体"/>
                <w:b/>
              </w:rPr>
              <w:t>项目</w:t>
            </w:r>
          </w:p>
        </w:tc>
        <w:tc>
          <w:tcPr>
            <w:tcW w:w="3240"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line="312" w:lineRule="auto"/>
              <w:jc w:val="center"/>
              <w:rPr>
                <w:rFonts w:ascii="宋体" w:hAnsi="宋体"/>
                <w:b/>
              </w:rPr>
            </w:pPr>
            <w:r>
              <w:rPr>
                <w:rFonts w:hint="eastAsia" w:ascii="宋体" w:hAnsi="宋体"/>
                <w:b/>
              </w:rPr>
              <w:t>招标文件要求</w:t>
            </w:r>
          </w:p>
        </w:tc>
        <w:tc>
          <w:tcPr>
            <w:tcW w:w="1260"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line="312" w:lineRule="auto"/>
              <w:jc w:val="center"/>
              <w:rPr>
                <w:rFonts w:ascii="宋体" w:hAnsi="宋体"/>
                <w:b/>
              </w:rPr>
            </w:pPr>
            <w:r>
              <w:rPr>
                <w:rFonts w:hint="eastAsia" w:ascii="宋体" w:hAnsi="宋体"/>
                <w:b/>
              </w:rPr>
              <w:t>是否响应</w:t>
            </w:r>
          </w:p>
        </w:tc>
        <w:tc>
          <w:tcPr>
            <w:tcW w:w="3020"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line="312" w:lineRule="auto"/>
              <w:jc w:val="center"/>
              <w:rPr>
                <w:rFonts w:ascii="宋体" w:hAnsi="宋体"/>
                <w:b/>
              </w:rPr>
            </w:pPr>
            <w:r>
              <w:rPr>
                <w:rFonts w:hint="eastAsia" w:ascii="宋体" w:hAnsi="宋体"/>
                <w:b/>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Lines="50" w:line="312" w:lineRule="auto"/>
              <w:rPr>
                <w:rFonts w:ascii="宋体" w:hAnsi="宋体"/>
                <w:sz w:val="24"/>
              </w:rPr>
            </w:pPr>
          </w:p>
        </w:tc>
        <w:tc>
          <w:tcPr>
            <w:tcW w:w="3240" w:type="dxa"/>
            <w:tcBorders>
              <w:top w:val="single" w:color="auto" w:sz="4" w:space="0"/>
              <w:left w:val="single" w:color="auto" w:sz="4" w:space="0"/>
              <w:bottom w:val="single" w:color="auto" w:sz="4" w:space="0"/>
              <w:right w:val="single" w:color="auto" w:sz="4" w:space="0"/>
            </w:tcBorders>
            <w:noWrap/>
          </w:tcPr>
          <w:p>
            <w:pPr>
              <w:snapToGrid w:val="0"/>
              <w:spacing w:beforeLines="50" w:line="312" w:lineRule="auto"/>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line="312" w:lineRule="auto"/>
              <w:rPr>
                <w:rFonts w:ascii="宋体" w:hAnsi="宋体"/>
                <w:sz w:val="24"/>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Lines="50" w:line="312"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48" w:type="dxa"/>
            <w:tcBorders>
              <w:top w:val="single" w:color="auto" w:sz="4" w:space="0"/>
              <w:left w:val="single" w:color="auto" w:sz="4" w:space="0"/>
              <w:bottom w:val="single" w:color="auto" w:sz="4" w:space="0"/>
              <w:right w:val="single" w:color="auto" w:sz="4" w:space="0"/>
            </w:tcBorders>
            <w:noWrap/>
            <w:vAlign w:val="center"/>
          </w:tcPr>
          <w:p>
            <w:pPr>
              <w:pStyle w:val="91"/>
              <w:widowControl/>
              <w:tabs>
                <w:tab w:val="left" w:pos="420"/>
              </w:tabs>
              <w:overflowPunct w:val="0"/>
              <w:autoSpaceDE w:val="0"/>
              <w:autoSpaceDN w:val="0"/>
              <w:adjustRightInd w:val="0"/>
              <w:snapToGrid w:val="0"/>
              <w:spacing w:line="312" w:lineRule="auto"/>
              <w:textAlignment w:val="baseline"/>
              <w:rPr>
                <w:rFonts w:ascii="宋体" w:hAnsi="宋体" w:eastAsia="宋体"/>
                <w:spacing w:val="0"/>
              </w:rPr>
            </w:pPr>
          </w:p>
        </w:tc>
        <w:tc>
          <w:tcPr>
            <w:tcW w:w="3240" w:type="dxa"/>
            <w:tcBorders>
              <w:top w:val="single" w:color="auto" w:sz="4" w:space="0"/>
              <w:left w:val="single" w:color="auto" w:sz="4" w:space="0"/>
              <w:bottom w:val="single" w:color="auto" w:sz="4" w:space="0"/>
              <w:right w:val="single" w:color="auto" w:sz="4" w:space="0"/>
            </w:tcBorders>
            <w:noWrap/>
          </w:tcPr>
          <w:p>
            <w:pPr>
              <w:snapToGrid w:val="0"/>
              <w:spacing w:beforeLines="50" w:line="312" w:lineRule="auto"/>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line="312" w:lineRule="auto"/>
              <w:rPr>
                <w:rFonts w:ascii="宋体" w:hAnsi="宋体"/>
                <w:sz w:val="24"/>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Lines="50" w:line="312"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548" w:type="dxa"/>
            <w:tcBorders>
              <w:top w:val="single" w:color="auto" w:sz="4" w:space="0"/>
              <w:left w:val="single" w:color="auto" w:sz="4" w:space="0"/>
              <w:bottom w:val="single" w:color="auto" w:sz="4" w:space="0"/>
              <w:right w:val="single" w:color="auto" w:sz="4" w:space="0"/>
            </w:tcBorders>
            <w:noWrap/>
            <w:vAlign w:val="center"/>
          </w:tcPr>
          <w:p>
            <w:pPr>
              <w:snapToGrid w:val="0"/>
              <w:spacing w:line="312" w:lineRule="auto"/>
              <w:jc w:val="center"/>
              <w:rPr>
                <w:rFonts w:ascii="宋体" w:hAnsi="宋体"/>
                <w:sz w:val="24"/>
              </w:rPr>
            </w:pPr>
          </w:p>
        </w:tc>
        <w:tc>
          <w:tcPr>
            <w:tcW w:w="3240" w:type="dxa"/>
            <w:tcBorders>
              <w:top w:val="single" w:color="auto" w:sz="4" w:space="0"/>
              <w:left w:val="single" w:color="auto" w:sz="4" w:space="0"/>
              <w:bottom w:val="single" w:color="auto" w:sz="4" w:space="0"/>
              <w:right w:val="single" w:color="auto" w:sz="4" w:space="0"/>
            </w:tcBorders>
            <w:noWrap/>
          </w:tcPr>
          <w:p>
            <w:pPr>
              <w:snapToGrid w:val="0"/>
              <w:spacing w:beforeLines="50" w:line="312" w:lineRule="auto"/>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line="312" w:lineRule="auto"/>
              <w:ind w:left="43"/>
              <w:rPr>
                <w:rFonts w:ascii="宋体" w:hAnsi="宋体"/>
                <w:sz w:val="24"/>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Lines="50" w:line="312" w:lineRule="auto"/>
              <w:ind w:left="43"/>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48" w:type="dxa"/>
            <w:tcBorders>
              <w:top w:val="single" w:color="auto" w:sz="4" w:space="0"/>
              <w:left w:val="single" w:color="auto" w:sz="4" w:space="0"/>
              <w:bottom w:val="single" w:color="auto" w:sz="4" w:space="0"/>
              <w:right w:val="single" w:color="auto" w:sz="4" w:space="0"/>
            </w:tcBorders>
            <w:noWrap/>
            <w:vAlign w:val="center"/>
          </w:tcPr>
          <w:p>
            <w:pPr>
              <w:snapToGrid w:val="0"/>
              <w:spacing w:line="312" w:lineRule="auto"/>
              <w:jc w:val="center"/>
              <w:rPr>
                <w:rFonts w:ascii="宋体" w:hAnsi="宋体"/>
                <w:sz w:val="24"/>
              </w:rPr>
            </w:pPr>
          </w:p>
        </w:tc>
        <w:tc>
          <w:tcPr>
            <w:tcW w:w="3240" w:type="dxa"/>
            <w:tcBorders>
              <w:top w:val="single" w:color="auto" w:sz="4" w:space="0"/>
              <w:left w:val="single" w:color="auto" w:sz="4" w:space="0"/>
              <w:bottom w:val="single" w:color="auto" w:sz="4" w:space="0"/>
              <w:right w:val="single" w:color="auto" w:sz="4" w:space="0"/>
            </w:tcBorders>
            <w:noWrap/>
          </w:tcPr>
          <w:p>
            <w:pPr>
              <w:snapToGrid w:val="0"/>
              <w:spacing w:beforeLines="50" w:line="312" w:lineRule="auto"/>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line="312" w:lineRule="auto"/>
              <w:rPr>
                <w:rFonts w:ascii="宋体" w:hAnsi="宋体"/>
                <w:sz w:val="24"/>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Lines="50" w:line="312"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noWrap/>
          </w:tcPr>
          <w:p>
            <w:pPr>
              <w:snapToGrid w:val="0"/>
              <w:spacing w:beforeLines="50" w:line="312" w:lineRule="auto"/>
              <w:rPr>
                <w:rFonts w:ascii="宋体" w:hAnsi="宋体"/>
                <w:sz w:val="24"/>
              </w:rPr>
            </w:pPr>
          </w:p>
        </w:tc>
        <w:tc>
          <w:tcPr>
            <w:tcW w:w="3240" w:type="dxa"/>
            <w:tcBorders>
              <w:top w:val="single" w:color="auto" w:sz="4" w:space="0"/>
              <w:left w:val="single" w:color="auto" w:sz="4" w:space="0"/>
              <w:bottom w:val="single" w:color="auto" w:sz="4" w:space="0"/>
              <w:right w:val="single" w:color="auto" w:sz="4" w:space="0"/>
            </w:tcBorders>
            <w:noWrap/>
          </w:tcPr>
          <w:p>
            <w:pPr>
              <w:snapToGrid w:val="0"/>
              <w:spacing w:beforeLines="50" w:line="312" w:lineRule="auto"/>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line="312" w:lineRule="auto"/>
              <w:rPr>
                <w:rFonts w:ascii="宋体" w:hAnsi="宋体"/>
                <w:sz w:val="24"/>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Lines="50" w:line="312"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noWrap/>
          </w:tcPr>
          <w:p>
            <w:pPr>
              <w:snapToGrid w:val="0"/>
              <w:spacing w:beforeLines="50" w:line="312" w:lineRule="auto"/>
              <w:rPr>
                <w:rFonts w:ascii="宋体" w:hAnsi="宋体"/>
                <w:sz w:val="24"/>
              </w:rPr>
            </w:pPr>
          </w:p>
        </w:tc>
        <w:tc>
          <w:tcPr>
            <w:tcW w:w="3240" w:type="dxa"/>
            <w:tcBorders>
              <w:top w:val="single" w:color="auto" w:sz="4" w:space="0"/>
              <w:left w:val="single" w:color="auto" w:sz="4" w:space="0"/>
              <w:bottom w:val="single" w:color="auto" w:sz="4" w:space="0"/>
              <w:right w:val="single" w:color="auto" w:sz="4" w:space="0"/>
            </w:tcBorders>
            <w:noWrap/>
          </w:tcPr>
          <w:p>
            <w:pPr>
              <w:snapToGrid w:val="0"/>
              <w:spacing w:beforeLines="50" w:line="312" w:lineRule="auto"/>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line="312" w:lineRule="auto"/>
              <w:rPr>
                <w:rFonts w:ascii="宋体" w:hAnsi="宋体"/>
                <w:sz w:val="24"/>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Lines="50" w:line="312" w:lineRule="auto"/>
              <w:rPr>
                <w:rFonts w:ascii="宋体" w:hAnsi="宋体"/>
                <w:sz w:val="24"/>
              </w:rPr>
            </w:pPr>
          </w:p>
        </w:tc>
      </w:tr>
    </w:tbl>
    <w:p>
      <w:pPr>
        <w:pStyle w:val="84"/>
        <w:snapToGrid w:val="0"/>
        <w:spacing w:line="312" w:lineRule="auto"/>
        <w:ind w:left="642" w:hanging="642"/>
        <w:rPr>
          <w:rFonts w:ascii="宋体" w:hAnsi="宋体"/>
          <w:b/>
          <w:spacing w:val="20"/>
          <w:sz w:val="28"/>
        </w:rPr>
      </w:pPr>
    </w:p>
    <w:p>
      <w:pPr>
        <w:widowControl/>
        <w:snapToGrid w:val="0"/>
        <w:spacing w:line="312" w:lineRule="auto"/>
        <w:jc w:val="left"/>
        <w:rPr>
          <w:rFonts w:ascii="宋体" w:hAnsi="宋体"/>
          <w:sz w:val="24"/>
        </w:rPr>
        <w:sectPr>
          <w:pgSz w:w="11906" w:h="16838"/>
          <w:pgMar w:top="1304" w:right="1531" w:bottom="1304" w:left="1531" w:header="1304" w:footer="1304" w:gutter="0"/>
          <w:cols w:space="720" w:num="1"/>
        </w:sectPr>
      </w:pPr>
    </w:p>
    <w:p>
      <w:pPr>
        <w:snapToGrid w:val="0"/>
        <w:spacing w:before="50" w:afterLines="50" w:line="312" w:lineRule="auto"/>
        <w:jc w:val="left"/>
        <w:rPr>
          <w:rFonts w:ascii="宋体" w:hAnsi="宋体"/>
          <w:sz w:val="24"/>
        </w:rPr>
      </w:pPr>
      <w:r>
        <w:rPr>
          <w:rFonts w:hint="eastAsia" w:ascii="宋体" w:hAnsi="宋体"/>
          <w:b/>
          <w:sz w:val="24"/>
        </w:rPr>
        <w:t>九、投标人的类似案例的业绩证明文件：</w:t>
      </w:r>
    </w:p>
    <w:p>
      <w:pPr>
        <w:pStyle w:val="27"/>
        <w:snapToGrid w:val="0"/>
        <w:spacing w:line="312" w:lineRule="auto"/>
        <w:ind w:left="420" w:hanging="420"/>
        <w:rPr>
          <w:rFonts w:ascii="宋体" w:hAnsi="宋体"/>
          <w:sz w:val="24"/>
        </w:rPr>
      </w:pPr>
      <w:r>
        <w:rPr>
          <w:rFonts w:hint="eastAsia" w:ascii="宋体" w:hAnsi="宋体"/>
          <w:sz w:val="21"/>
        </w:rPr>
        <w:t>投标人同类项目实施情况一览表格式：（投标人同类项目合同复印件、用户验收报告、用户评价意见格式自拟）</w:t>
      </w:r>
    </w:p>
    <w:tbl>
      <w:tblPr>
        <w:tblStyle w:val="36"/>
        <w:tblW w:w="139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720"/>
        <w:gridCol w:w="720"/>
        <w:gridCol w:w="72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2628" w:type="dxa"/>
            <w:vMerge w:val="restart"/>
            <w:tcBorders>
              <w:top w:val="single" w:color="auto" w:sz="4" w:space="0"/>
              <w:left w:val="single" w:color="auto" w:sz="4" w:space="0"/>
              <w:bottom w:val="single" w:color="auto" w:sz="4" w:space="0"/>
              <w:right w:val="single" w:color="auto" w:sz="4" w:space="0"/>
            </w:tcBorders>
            <w:noWrap/>
            <w:vAlign w:val="center"/>
          </w:tcPr>
          <w:p>
            <w:pPr>
              <w:snapToGrid w:val="0"/>
              <w:spacing w:line="312" w:lineRule="auto"/>
              <w:jc w:val="center"/>
              <w:rPr>
                <w:rFonts w:ascii="宋体" w:hAnsi="宋体"/>
                <w:szCs w:val="21"/>
              </w:rPr>
            </w:pPr>
            <w:r>
              <w:rPr>
                <w:rFonts w:hint="eastAsia" w:ascii="宋体" w:hAnsi="宋体"/>
                <w:szCs w:val="21"/>
              </w:rPr>
              <w:t>采购单位名称</w:t>
            </w:r>
          </w:p>
        </w:tc>
        <w:tc>
          <w:tcPr>
            <w:tcW w:w="3420" w:type="dxa"/>
            <w:vMerge w:val="restart"/>
            <w:tcBorders>
              <w:top w:val="single" w:color="auto" w:sz="4" w:space="0"/>
              <w:left w:val="single" w:color="auto" w:sz="4" w:space="0"/>
              <w:bottom w:val="single" w:color="auto" w:sz="4" w:space="0"/>
              <w:right w:val="single" w:color="auto" w:sz="4" w:space="0"/>
            </w:tcBorders>
            <w:noWrap/>
            <w:vAlign w:val="center"/>
          </w:tcPr>
          <w:p>
            <w:pPr>
              <w:snapToGrid w:val="0"/>
              <w:spacing w:line="312" w:lineRule="auto"/>
              <w:jc w:val="center"/>
              <w:rPr>
                <w:rFonts w:ascii="宋体" w:hAnsi="宋体"/>
                <w:szCs w:val="21"/>
              </w:rPr>
            </w:pPr>
            <w:r>
              <w:rPr>
                <w:rFonts w:hint="eastAsia" w:ascii="宋体" w:hAnsi="宋体"/>
                <w:szCs w:val="21"/>
              </w:rPr>
              <w:t>项目名称</w:t>
            </w:r>
          </w:p>
        </w:tc>
        <w:tc>
          <w:tcPr>
            <w:tcW w:w="1080" w:type="dxa"/>
            <w:vMerge w:val="restart"/>
            <w:tcBorders>
              <w:top w:val="single" w:color="auto" w:sz="4" w:space="0"/>
              <w:left w:val="single" w:color="auto" w:sz="4" w:space="0"/>
              <w:bottom w:val="single" w:color="auto" w:sz="4" w:space="0"/>
              <w:right w:val="single" w:color="auto" w:sz="4" w:space="0"/>
            </w:tcBorders>
            <w:noWrap/>
            <w:vAlign w:val="center"/>
          </w:tcPr>
          <w:p>
            <w:pPr>
              <w:snapToGrid w:val="0"/>
              <w:spacing w:line="312" w:lineRule="auto"/>
              <w:jc w:val="center"/>
              <w:rPr>
                <w:rFonts w:ascii="宋体" w:hAnsi="宋体"/>
                <w:szCs w:val="21"/>
              </w:rPr>
            </w:pPr>
            <w:r>
              <w:rPr>
                <w:rFonts w:hint="eastAsia" w:ascii="宋体" w:hAnsi="宋体"/>
                <w:szCs w:val="21"/>
              </w:rPr>
              <w:t>采购</w:t>
            </w:r>
          </w:p>
          <w:p>
            <w:pPr>
              <w:snapToGrid w:val="0"/>
              <w:spacing w:line="312" w:lineRule="auto"/>
              <w:jc w:val="center"/>
              <w:rPr>
                <w:rFonts w:ascii="宋体" w:hAnsi="宋体"/>
                <w:szCs w:val="21"/>
              </w:rPr>
            </w:pPr>
            <w:r>
              <w:rPr>
                <w:rFonts w:hint="eastAsia" w:ascii="宋体" w:hAnsi="宋体"/>
                <w:szCs w:val="21"/>
              </w:rPr>
              <w:t>数量</w:t>
            </w:r>
          </w:p>
        </w:tc>
        <w:tc>
          <w:tcPr>
            <w:tcW w:w="1080" w:type="dxa"/>
            <w:vMerge w:val="restart"/>
            <w:tcBorders>
              <w:top w:val="single" w:color="auto" w:sz="4" w:space="0"/>
              <w:left w:val="single" w:color="auto" w:sz="4" w:space="0"/>
              <w:bottom w:val="single" w:color="auto" w:sz="4" w:space="0"/>
              <w:right w:val="single" w:color="auto" w:sz="4" w:space="0"/>
            </w:tcBorders>
            <w:noWrap/>
            <w:vAlign w:val="center"/>
          </w:tcPr>
          <w:p>
            <w:pPr>
              <w:snapToGrid w:val="0"/>
              <w:spacing w:line="312" w:lineRule="auto"/>
              <w:jc w:val="center"/>
              <w:rPr>
                <w:rFonts w:ascii="宋体" w:hAnsi="宋体"/>
                <w:szCs w:val="21"/>
              </w:rPr>
            </w:pPr>
            <w:r>
              <w:rPr>
                <w:rFonts w:hint="eastAsia" w:ascii="宋体" w:hAnsi="宋体"/>
                <w:szCs w:val="21"/>
              </w:rPr>
              <w:t>单价</w:t>
            </w:r>
          </w:p>
        </w:tc>
        <w:tc>
          <w:tcPr>
            <w:tcW w:w="1440" w:type="dxa"/>
            <w:vMerge w:val="restart"/>
            <w:tcBorders>
              <w:top w:val="single" w:color="auto" w:sz="4" w:space="0"/>
              <w:left w:val="single" w:color="auto" w:sz="4" w:space="0"/>
              <w:bottom w:val="single" w:color="auto" w:sz="4" w:space="0"/>
              <w:right w:val="single" w:color="auto" w:sz="4" w:space="0"/>
            </w:tcBorders>
            <w:noWrap/>
            <w:vAlign w:val="center"/>
          </w:tcPr>
          <w:p>
            <w:pPr>
              <w:snapToGrid w:val="0"/>
              <w:spacing w:line="312" w:lineRule="auto"/>
              <w:jc w:val="center"/>
              <w:rPr>
                <w:rFonts w:ascii="宋体" w:hAnsi="宋体"/>
                <w:szCs w:val="21"/>
              </w:rPr>
            </w:pPr>
            <w:r>
              <w:rPr>
                <w:rFonts w:hint="eastAsia" w:ascii="宋体" w:hAnsi="宋体"/>
                <w:szCs w:val="21"/>
              </w:rPr>
              <w:t>合同金额</w:t>
            </w:r>
          </w:p>
          <w:p>
            <w:pPr>
              <w:snapToGrid w:val="0"/>
              <w:spacing w:line="312" w:lineRule="auto"/>
              <w:jc w:val="center"/>
              <w:rPr>
                <w:rFonts w:ascii="宋体" w:hAnsi="宋体"/>
                <w:szCs w:val="21"/>
              </w:rPr>
            </w:pPr>
            <w:r>
              <w:rPr>
                <w:rFonts w:hint="eastAsia" w:ascii="宋体" w:hAnsi="宋体"/>
                <w:szCs w:val="21"/>
              </w:rPr>
              <w:t>（万元）</w:t>
            </w:r>
          </w:p>
        </w:tc>
        <w:tc>
          <w:tcPr>
            <w:tcW w:w="2160" w:type="dxa"/>
            <w:gridSpan w:val="3"/>
            <w:tcBorders>
              <w:top w:val="single" w:color="auto" w:sz="4" w:space="0"/>
              <w:left w:val="single" w:color="auto" w:sz="4" w:space="0"/>
              <w:bottom w:val="single" w:color="auto" w:sz="4" w:space="0"/>
              <w:right w:val="single" w:color="auto" w:sz="4" w:space="0"/>
            </w:tcBorders>
            <w:noWrap/>
            <w:vAlign w:val="center"/>
          </w:tcPr>
          <w:p>
            <w:pPr>
              <w:snapToGrid w:val="0"/>
              <w:spacing w:line="312" w:lineRule="auto"/>
              <w:jc w:val="center"/>
              <w:rPr>
                <w:rFonts w:ascii="宋体" w:hAnsi="宋体"/>
                <w:szCs w:val="21"/>
              </w:rPr>
            </w:pPr>
            <w:r>
              <w:rPr>
                <w:rFonts w:hint="eastAsia" w:ascii="宋体" w:hAnsi="宋体"/>
                <w:szCs w:val="21"/>
              </w:rPr>
              <w:t>附件页码</w:t>
            </w:r>
          </w:p>
        </w:tc>
        <w:tc>
          <w:tcPr>
            <w:tcW w:w="2160" w:type="dxa"/>
            <w:vMerge w:val="restart"/>
            <w:tcBorders>
              <w:top w:val="single" w:color="auto" w:sz="4" w:space="0"/>
              <w:left w:val="single" w:color="auto" w:sz="4" w:space="0"/>
              <w:bottom w:val="single" w:color="auto" w:sz="4" w:space="0"/>
              <w:right w:val="single" w:color="auto" w:sz="4" w:space="0"/>
            </w:tcBorders>
            <w:noWrap/>
            <w:vAlign w:val="center"/>
          </w:tcPr>
          <w:p>
            <w:pPr>
              <w:snapToGrid w:val="0"/>
              <w:spacing w:line="312" w:lineRule="auto"/>
              <w:jc w:val="center"/>
              <w:rPr>
                <w:rFonts w:ascii="宋体" w:hAnsi="宋体"/>
                <w:szCs w:val="21"/>
              </w:rPr>
            </w:pPr>
            <w:r>
              <w:rPr>
                <w:rFonts w:hint="eastAsia" w:ascii="宋体" w:hAnsi="宋体"/>
                <w:szCs w:val="21"/>
              </w:rPr>
              <w:t>采购单位联系人及</w:t>
            </w:r>
          </w:p>
          <w:p>
            <w:pPr>
              <w:snapToGrid w:val="0"/>
              <w:spacing w:line="312" w:lineRule="auto"/>
              <w:jc w:val="center"/>
              <w:rPr>
                <w:rFonts w:ascii="宋体" w:hAns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6" w:hRule="atLeast"/>
        </w:trPr>
        <w:tc>
          <w:tcPr>
            <w:tcW w:w="2628"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spacing w:line="312" w:lineRule="auto"/>
              <w:jc w:val="left"/>
              <w:rPr>
                <w:rFonts w:ascii="宋体" w:hAnsi="宋体"/>
                <w:szCs w:val="21"/>
              </w:rPr>
            </w:pPr>
          </w:p>
        </w:tc>
        <w:tc>
          <w:tcPr>
            <w:tcW w:w="3420"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spacing w:line="312" w:lineRule="auto"/>
              <w:jc w:val="left"/>
              <w:rPr>
                <w:rFonts w:ascii="宋体" w:hAnsi="宋体"/>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spacing w:line="312" w:lineRule="auto"/>
              <w:jc w:val="left"/>
              <w:rPr>
                <w:rFonts w:ascii="宋体" w:hAnsi="宋体"/>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spacing w:line="312" w:lineRule="auto"/>
              <w:jc w:val="left"/>
              <w:rPr>
                <w:rFonts w:ascii="宋体" w:hAnsi="宋体"/>
                <w:szCs w:val="21"/>
              </w:rPr>
            </w:pPr>
          </w:p>
        </w:tc>
        <w:tc>
          <w:tcPr>
            <w:tcW w:w="1440"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spacing w:line="312" w:lineRule="auto"/>
              <w:jc w:val="left"/>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noWrap/>
            <w:vAlign w:val="center"/>
          </w:tcPr>
          <w:p>
            <w:pPr>
              <w:snapToGrid w:val="0"/>
              <w:spacing w:line="312" w:lineRule="auto"/>
              <w:jc w:val="center"/>
              <w:rPr>
                <w:rFonts w:ascii="宋体" w:hAnsi="宋体"/>
                <w:szCs w:val="21"/>
              </w:rPr>
            </w:pPr>
            <w:r>
              <w:rPr>
                <w:rFonts w:hint="eastAsia" w:ascii="宋体" w:hAnsi="宋体"/>
                <w:szCs w:val="21"/>
              </w:rPr>
              <w:t>合同</w:t>
            </w:r>
          </w:p>
        </w:tc>
        <w:tc>
          <w:tcPr>
            <w:tcW w:w="720" w:type="dxa"/>
            <w:tcBorders>
              <w:top w:val="single" w:color="auto" w:sz="4" w:space="0"/>
              <w:left w:val="single" w:color="auto" w:sz="4" w:space="0"/>
              <w:bottom w:val="single" w:color="auto" w:sz="4" w:space="0"/>
              <w:right w:val="single" w:color="auto" w:sz="4" w:space="0"/>
            </w:tcBorders>
            <w:noWrap/>
            <w:vAlign w:val="center"/>
          </w:tcPr>
          <w:p>
            <w:pPr>
              <w:snapToGrid w:val="0"/>
              <w:spacing w:line="312" w:lineRule="auto"/>
              <w:jc w:val="center"/>
              <w:rPr>
                <w:rFonts w:ascii="宋体" w:hAnsi="宋体"/>
                <w:szCs w:val="21"/>
              </w:rPr>
            </w:pPr>
            <w:r>
              <w:rPr>
                <w:rFonts w:hint="eastAsia" w:ascii="宋体" w:hAnsi="宋体"/>
                <w:szCs w:val="21"/>
              </w:rPr>
              <w:t>验收报告</w:t>
            </w:r>
          </w:p>
        </w:tc>
        <w:tc>
          <w:tcPr>
            <w:tcW w:w="720" w:type="dxa"/>
            <w:tcBorders>
              <w:top w:val="single" w:color="auto" w:sz="4" w:space="0"/>
              <w:left w:val="single" w:color="auto" w:sz="4" w:space="0"/>
              <w:bottom w:val="single" w:color="auto" w:sz="4" w:space="0"/>
              <w:right w:val="single" w:color="auto" w:sz="4" w:space="0"/>
            </w:tcBorders>
            <w:noWrap/>
            <w:vAlign w:val="center"/>
          </w:tcPr>
          <w:p>
            <w:pPr>
              <w:snapToGrid w:val="0"/>
              <w:spacing w:line="312" w:lineRule="auto"/>
              <w:jc w:val="center"/>
              <w:rPr>
                <w:rFonts w:ascii="宋体" w:hAnsi="宋体"/>
                <w:szCs w:val="21"/>
              </w:rPr>
            </w:pPr>
            <w:r>
              <w:rPr>
                <w:rFonts w:hint="eastAsia" w:ascii="宋体" w:hAnsi="宋体"/>
                <w:szCs w:val="21"/>
              </w:rPr>
              <w:t>用户评价</w:t>
            </w:r>
          </w:p>
        </w:tc>
        <w:tc>
          <w:tcPr>
            <w:tcW w:w="2160"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spacing w:line="312"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628" w:type="dxa"/>
            <w:tcBorders>
              <w:top w:val="single" w:color="auto" w:sz="4" w:space="0"/>
              <w:left w:val="single" w:color="auto" w:sz="4" w:space="0"/>
              <w:bottom w:val="single" w:color="auto" w:sz="4" w:space="0"/>
              <w:right w:val="single" w:color="auto" w:sz="4" w:space="0"/>
            </w:tcBorders>
            <w:noWrap/>
          </w:tcPr>
          <w:p>
            <w:pPr>
              <w:snapToGrid w:val="0"/>
              <w:spacing w:line="312" w:lineRule="auto"/>
              <w:jc w:val="left"/>
              <w:rPr>
                <w:rFonts w:ascii="宋体" w:hAnsi="宋体"/>
                <w:szCs w:val="21"/>
              </w:rPr>
            </w:pPr>
          </w:p>
        </w:tc>
        <w:tc>
          <w:tcPr>
            <w:tcW w:w="3420" w:type="dxa"/>
            <w:tcBorders>
              <w:top w:val="single" w:color="auto" w:sz="4" w:space="0"/>
              <w:left w:val="single" w:color="auto" w:sz="4" w:space="0"/>
              <w:bottom w:val="single" w:color="auto" w:sz="4" w:space="0"/>
              <w:right w:val="single" w:color="auto" w:sz="4" w:space="0"/>
            </w:tcBorders>
            <w:noWrap/>
          </w:tcPr>
          <w:p>
            <w:pPr>
              <w:snapToGrid w:val="0"/>
              <w:spacing w:line="312" w:lineRule="auto"/>
              <w:jc w:val="left"/>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tcPr>
          <w:p>
            <w:pPr>
              <w:snapToGrid w:val="0"/>
              <w:spacing w:line="312" w:lineRule="auto"/>
              <w:jc w:val="left"/>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tcPr>
          <w:p>
            <w:pPr>
              <w:snapToGrid w:val="0"/>
              <w:spacing w:line="312" w:lineRule="auto"/>
              <w:jc w:val="left"/>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tcPr>
          <w:p>
            <w:pPr>
              <w:snapToGrid w:val="0"/>
              <w:spacing w:line="312" w:lineRule="auto"/>
              <w:jc w:val="left"/>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noWrap/>
          </w:tcPr>
          <w:p>
            <w:pPr>
              <w:snapToGrid w:val="0"/>
              <w:spacing w:line="312" w:lineRule="auto"/>
              <w:jc w:val="left"/>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noWrap/>
          </w:tcPr>
          <w:p>
            <w:pPr>
              <w:snapToGrid w:val="0"/>
              <w:spacing w:line="312" w:lineRule="auto"/>
              <w:jc w:val="left"/>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noWrap/>
          </w:tcPr>
          <w:p>
            <w:pPr>
              <w:snapToGrid w:val="0"/>
              <w:spacing w:line="312" w:lineRule="auto"/>
              <w:jc w:val="left"/>
              <w:rPr>
                <w:rFonts w:ascii="宋体" w:hAnsi="宋体"/>
                <w:szCs w:val="21"/>
              </w:rPr>
            </w:pPr>
          </w:p>
        </w:tc>
        <w:tc>
          <w:tcPr>
            <w:tcW w:w="2160" w:type="dxa"/>
            <w:tcBorders>
              <w:top w:val="single" w:color="auto" w:sz="4" w:space="0"/>
              <w:left w:val="single" w:color="auto" w:sz="4" w:space="0"/>
              <w:bottom w:val="single" w:color="auto" w:sz="4" w:space="0"/>
              <w:right w:val="single" w:color="auto" w:sz="4" w:space="0"/>
            </w:tcBorders>
            <w:noWrap/>
          </w:tcPr>
          <w:p>
            <w:pPr>
              <w:snapToGrid w:val="0"/>
              <w:spacing w:line="312"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342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216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342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216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342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216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342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216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r>
    </w:tbl>
    <w:p>
      <w:pPr>
        <w:pStyle w:val="12"/>
        <w:snapToGrid w:val="0"/>
        <w:spacing w:line="312" w:lineRule="auto"/>
        <w:rPr>
          <w:rFonts w:ascii="宋体" w:hAnsi="宋体" w:eastAsia="宋体" w:cs="Times New Roman"/>
          <w:kern w:val="0"/>
          <w:sz w:val="20"/>
          <w:szCs w:val="20"/>
        </w:rPr>
      </w:pPr>
    </w:p>
    <w:p>
      <w:pPr>
        <w:snapToGrid w:val="0"/>
        <w:spacing w:before="50" w:after="50"/>
        <w:rPr>
          <w:rFonts w:ascii="宋体" w:hAnsi="宋体"/>
        </w:rPr>
      </w:pPr>
    </w:p>
    <w:p>
      <w:pPr>
        <w:snapToGrid w:val="0"/>
        <w:ind w:left="2" w:right="-817" w:rightChars="-389"/>
        <w:rPr>
          <w:rFonts w:ascii="宋体" w:hAnsi="宋体"/>
        </w:rPr>
      </w:pPr>
    </w:p>
    <w:p>
      <w:pPr>
        <w:snapToGrid w:val="0"/>
        <w:spacing w:before="50" w:line="312" w:lineRule="auto"/>
        <w:jc w:val="left"/>
        <w:rPr>
          <w:rFonts w:ascii="宋体" w:hAnsi="宋体"/>
        </w:rPr>
      </w:pPr>
      <w:r>
        <w:rPr>
          <w:rFonts w:hint="eastAsia" w:ascii="宋体" w:hAnsi="宋体"/>
        </w:rPr>
        <w:t>投标人名称（盖章）：年月日</w:t>
      </w:r>
    </w:p>
    <w:p>
      <w:pPr>
        <w:snapToGrid w:val="0"/>
        <w:spacing w:before="50" w:line="312" w:lineRule="auto"/>
        <w:ind w:firstLine="480" w:firstLineChars="200"/>
        <w:jc w:val="left"/>
        <w:rPr>
          <w:rFonts w:ascii="宋体" w:hAnsi="宋体"/>
          <w:sz w:val="24"/>
        </w:rPr>
      </w:pPr>
    </w:p>
    <w:p>
      <w:pPr>
        <w:pStyle w:val="20"/>
        <w:snapToGrid w:val="0"/>
        <w:spacing w:before="120" w:line="312" w:lineRule="auto"/>
        <w:rPr>
          <w:rFonts w:hAnsi="宋体"/>
        </w:rPr>
      </w:pPr>
    </w:p>
    <w:p>
      <w:pPr>
        <w:widowControl/>
        <w:snapToGrid w:val="0"/>
        <w:spacing w:afterAutospacing="1" w:line="312" w:lineRule="auto"/>
        <w:jc w:val="left"/>
        <w:rPr>
          <w:rFonts w:ascii="宋体" w:hAnsi="宋体"/>
          <w:sz w:val="30"/>
        </w:rPr>
        <w:sectPr>
          <w:pgSz w:w="16838" w:h="11906" w:orient="landscape"/>
          <w:pgMar w:top="1418" w:right="1361" w:bottom="924" w:left="1134" w:header="851" w:footer="992" w:gutter="0"/>
          <w:cols w:space="720" w:num="1"/>
        </w:sectPr>
      </w:pPr>
    </w:p>
    <w:p>
      <w:pPr>
        <w:snapToGrid w:val="0"/>
        <w:spacing w:before="50" w:afterLines="50" w:line="312" w:lineRule="auto"/>
        <w:jc w:val="left"/>
        <w:rPr>
          <w:rFonts w:ascii="宋体" w:hAnsi="宋体"/>
          <w:b/>
          <w:sz w:val="24"/>
        </w:rPr>
      </w:pPr>
    </w:p>
    <w:p>
      <w:pPr>
        <w:snapToGrid w:val="0"/>
        <w:spacing w:beforeLines="50" w:after="50" w:line="312" w:lineRule="auto"/>
        <w:rPr>
          <w:rFonts w:ascii="宋体" w:hAnsi="宋体"/>
          <w:b/>
          <w:sz w:val="24"/>
        </w:rPr>
      </w:pPr>
      <w:r>
        <w:rPr>
          <w:rFonts w:hint="eastAsia" w:ascii="宋体" w:hAnsi="宋体"/>
          <w:b/>
          <w:sz w:val="24"/>
        </w:rPr>
        <w:t>十</w:t>
      </w:r>
    </w:p>
    <w:p>
      <w:pPr>
        <w:snapToGrid w:val="0"/>
        <w:spacing w:beforeLines="50" w:after="50" w:line="312" w:lineRule="auto"/>
        <w:jc w:val="center"/>
        <w:rPr>
          <w:rFonts w:ascii="宋体" w:hAnsi="宋体"/>
          <w:b/>
          <w:sz w:val="24"/>
        </w:rPr>
      </w:pPr>
      <w:r>
        <w:rPr>
          <w:rFonts w:hint="eastAsia" w:ascii="宋体" w:hAnsi="宋体"/>
          <w:b/>
          <w:sz w:val="24"/>
        </w:rPr>
        <w:t>项目实施人员（主要从业人员及其技术资格）一览表</w:t>
      </w:r>
    </w:p>
    <w:p>
      <w:pPr>
        <w:snapToGrid w:val="0"/>
        <w:spacing w:beforeLines="50" w:after="50" w:line="312" w:lineRule="auto"/>
        <w:rPr>
          <w:rFonts w:ascii="宋体" w:hAnsi="宋体"/>
        </w:rPr>
      </w:pPr>
    </w:p>
    <w:p>
      <w:pPr>
        <w:snapToGrid w:val="0"/>
        <w:spacing w:line="312" w:lineRule="auto"/>
        <w:rPr>
          <w:rFonts w:ascii="宋体" w:hAnsi="宋体"/>
        </w:rPr>
      </w:pPr>
      <w:r>
        <w:rPr>
          <w:rFonts w:hint="eastAsia" w:ascii="宋体" w:hAnsi="宋体"/>
        </w:rPr>
        <w:t>项目名称：</w:t>
      </w:r>
    </w:p>
    <w:p>
      <w:pPr>
        <w:snapToGrid w:val="0"/>
        <w:spacing w:line="312" w:lineRule="auto"/>
        <w:rPr>
          <w:rFonts w:ascii="宋体"/>
        </w:rPr>
      </w:pPr>
      <w:r>
        <w:rPr>
          <w:rFonts w:hint="eastAsia" w:ascii="宋体" w:hAnsi="宋体"/>
        </w:rPr>
        <w:t>项目编号：</w:t>
      </w:r>
    </w:p>
    <w:tbl>
      <w:tblPr>
        <w:tblStyle w:val="36"/>
        <w:tblW w:w="9251"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620"/>
        <w:gridCol w:w="27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004" w:type="dxa"/>
            <w:tcBorders>
              <w:top w:val="single" w:color="auto" w:sz="4" w:space="0"/>
              <w:left w:val="single" w:color="auto" w:sz="4" w:space="0"/>
              <w:bottom w:val="single" w:color="auto" w:sz="4" w:space="0"/>
              <w:right w:val="single" w:color="auto" w:sz="4" w:space="0"/>
            </w:tcBorders>
            <w:noWrap/>
            <w:vAlign w:val="bottom"/>
          </w:tcPr>
          <w:p>
            <w:pPr>
              <w:snapToGrid w:val="0"/>
              <w:spacing w:beforeLines="50" w:after="50" w:line="312" w:lineRule="auto"/>
              <w:rPr>
                <w:rFonts w:ascii="宋体" w:hAnsi="宋体"/>
              </w:rPr>
            </w:pPr>
            <w:r>
              <w:rPr>
                <w:rFonts w:hint="eastAsia" w:ascii="宋体" w:hAnsi="宋体"/>
              </w:rPr>
              <w:t>姓名</w:t>
            </w:r>
          </w:p>
        </w:tc>
        <w:tc>
          <w:tcPr>
            <w:tcW w:w="1004" w:type="dxa"/>
            <w:tcBorders>
              <w:top w:val="single" w:color="auto" w:sz="4" w:space="0"/>
              <w:left w:val="single" w:color="auto" w:sz="4" w:space="0"/>
              <w:bottom w:val="single" w:color="auto" w:sz="4" w:space="0"/>
              <w:right w:val="single" w:color="auto" w:sz="4" w:space="0"/>
            </w:tcBorders>
            <w:noWrap/>
            <w:vAlign w:val="bottom"/>
          </w:tcPr>
          <w:p>
            <w:pPr>
              <w:snapToGrid w:val="0"/>
              <w:spacing w:beforeLines="50" w:after="50" w:line="312" w:lineRule="auto"/>
              <w:rPr>
                <w:rFonts w:ascii="宋体" w:hAnsi="宋体"/>
              </w:rPr>
            </w:pPr>
            <w:r>
              <w:rPr>
                <w:rFonts w:hint="eastAsia" w:ascii="宋体" w:hAnsi="宋体"/>
              </w:rPr>
              <w:t>职务</w:t>
            </w:r>
          </w:p>
        </w:tc>
        <w:tc>
          <w:tcPr>
            <w:tcW w:w="1663" w:type="dxa"/>
            <w:tcBorders>
              <w:top w:val="single" w:color="auto" w:sz="4" w:space="0"/>
              <w:left w:val="single" w:color="auto" w:sz="4" w:space="0"/>
              <w:bottom w:val="single" w:color="auto" w:sz="4" w:space="0"/>
              <w:right w:val="single" w:color="auto" w:sz="4" w:space="0"/>
            </w:tcBorders>
            <w:noWrap/>
            <w:vAlign w:val="bottom"/>
          </w:tcPr>
          <w:p>
            <w:pPr>
              <w:snapToGrid w:val="0"/>
              <w:spacing w:beforeLines="50" w:after="50" w:line="312" w:lineRule="auto"/>
              <w:jc w:val="center"/>
              <w:rPr>
                <w:rFonts w:ascii="宋体" w:hAnsi="宋体"/>
              </w:rPr>
            </w:pPr>
            <w:r>
              <w:rPr>
                <w:rFonts w:hint="eastAsia" w:ascii="宋体" w:hAnsi="宋体"/>
              </w:rPr>
              <w:t>专业技术资格</w:t>
            </w:r>
          </w:p>
        </w:tc>
        <w:tc>
          <w:tcPr>
            <w:tcW w:w="1260" w:type="dxa"/>
            <w:tcBorders>
              <w:top w:val="single" w:color="auto" w:sz="4" w:space="0"/>
              <w:left w:val="single" w:color="auto" w:sz="4" w:space="0"/>
              <w:bottom w:val="single" w:color="auto" w:sz="4" w:space="0"/>
              <w:right w:val="single" w:color="auto" w:sz="4" w:space="0"/>
            </w:tcBorders>
            <w:noWrap/>
            <w:vAlign w:val="bottom"/>
          </w:tcPr>
          <w:p>
            <w:pPr>
              <w:snapToGrid w:val="0"/>
              <w:spacing w:beforeLines="50" w:after="50" w:line="312" w:lineRule="auto"/>
              <w:rPr>
                <w:rFonts w:ascii="宋体" w:hAnsi="宋体"/>
              </w:rPr>
            </w:pPr>
            <w:r>
              <w:rPr>
                <w:rFonts w:hint="eastAsia" w:ascii="宋体" w:hAnsi="宋体"/>
              </w:rPr>
              <w:t>证书编号</w:t>
            </w:r>
          </w:p>
        </w:tc>
        <w:tc>
          <w:tcPr>
            <w:tcW w:w="1620" w:type="dxa"/>
            <w:tcBorders>
              <w:top w:val="single" w:color="auto" w:sz="4" w:space="0"/>
              <w:left w:val="single" w:color="auto" w:sz="4" w:space="0"/>
              <w:bottom w:val="single" w:color="auto" w:sz="4" w:space="0"/>
              <w:right w:val="single" w:color="auto" w:sz="4" w:space="0"/>
            </w:tcBorders>
            <w:noWrap/>
            <w:vAlign w:val="bottom"/>
          </w:tcPr>
          <w:p>
            <w:pPr>
              <w:snapToGrid w:val="0"/>
              <w:spacing w:beforeLines="50" w:after="50" w:line="312" w:lineRule="auto"/>
              <w:rPr>
                <w:rFonts w:ascii="宋体" w:hAnsi="宋体"/>
              </w:rPr>
            </w:pPr>
            <w:r>
              <w:rPr>
                <w:rFonts w:hint="eastAsia" w:ascii="宋体" w:hAnsi="宋体"/>
              </w:rPr>
              <w:t>参加本单位工作时间</w:t>
            </w:r>
          </w:p>
        </w:tc>
        <w:tc>
          <w:tcPr>
            <w:tcW w:w="2700" w:type="dxa"/>
            <w:tcBorders>
              <w:top w:val="single" w:color="auto" w:sz="4" w:space="0"/>
              <w:left w:val="single" w:color="auto" w:sz="4" w:space="0"/>
              <w:bottom w:val="single" w:color="auto" w:sz="4" w:space="0"/>
              <w:right w:val="single" w:color="auto" w:sz="4" w:space="0"/>
            </w:tcBorders>
            <w:noWrap/>
            <w:vAlign w:val="bottom"/>
          </w:tcPr>
          <w:p>
            <w:pPr>
              <w:snapToGrid w:val="0"/>
              <w:spacing w:beforeLines="50" w:after="50" w:line="312" w:lineRule="auto"/>
              <w:rPr>
                <w:rFonts w:ascii="宋体" w:hAnsi="宋体"/>
              </w:rPr>
            </w:pPr>
            <w:r>
              <w:rPr>
                <w:rFonts w:hint="eastAsia" w:ascii="宋体" w:hAnsi="宋体"/>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tcPr>
          <w:p>
            <w:pPr>
              <w:pStyle w:val="21"/>
              <w:snapToGrid w:val="0"/>
              <w:spacing w:beforeLines="50" w:after="50" w:line="312" w:lineRule="auto"/>
              <w:ind w:left="5250"/>
              <w:rPr>
                <w:rFonts w:ascii="宋体" w:hAnsi="宋体" w:eastAsia="宋体"/>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r>
    </w:tbl>
    <w:p>
      <w:pPr>
        <w:snapToGrid w:val="0"/>
        <w:spacing w:before="50" w:afterLines="50" w:line="312" w:lineRule="auto"/>
        <w:jc w:val="left"/>
        <w:rPr>
          <w:rFonts w:ascii="宋体" w:hAnsi="宋体"/>
        </w:rPr>
      </w:pPr>
      <w:r>
        <w:rPr>
          <w:rFonts w:hint="eastAsia" w:ascii="宋体" w:hAnsi="宋体"/>
        </w:rPr>
        <w:t>注：在填写时，如本表格不适合投标单位的实际情况，可根据本表格式自行划表填写。</w:t>
      </w:r>
    </w:p>
    <w:p>
      <w:pPr>
        <w:snapToGrid w:val="0"/>
        <w:ind w:left="2" w:right="-817" w:rightChars="-389"/>
        <w:rPr>
          <w:rFonts w:ascii="宋体" w:hAnsi="宋体"/>
        </w:rPr>
      </w:pPr>
    </w:p>
    <w:p>
      <w:pPr>
        <w:snapToGrid w:val="0"/>
        <w:spacing w:before="50" w:afterLines="50" w:line="312" w:lineRule="auto"/>
        <w:jc w:val="left"/>
        <w:rPr>
          <w:rFonts w:ascii="宋体" w:hAnsi="宋体"/>
          <w:spacing w:val="20"/>
          <w:sz w:val="24"/>
          <w:u w:val="single"/>
        </w:rPr>
      </w:pPr>
      <w:r>
        <w:rPr>
          <w:rFonts w:hint="eastAsia" w:ascii="宋体" w:hAnsi="宋体"/>
        </w:rPr>
        <w:t>投标人名称（盖章）：</w:t>
      </w:r>
      <w:r>
        <w:rPr>
          <w:rFonts w:hint="eastAsia" w:ascii="宋体" w:hAnsi="宋体"/>
          <w:spacing w:val="20"/>
          <w:sz w:val="24"/>
        </w:rPr>
        <w:t>日期：</w:t>
      </w:r>
    </w:p>
    <w:p>
      <w:pPr>
        <w:snapToGrid w:val="0"/>
        <w:spacing w:before="50" w:afterLines="50" w:line="312" w:lineRule="auto"/>
        <w:jc w:val="left"/>
        <w:rPr>
          <w:rFonts w:ascii="宋体" w:hAnsi="宋体"/>
          <w:sz w:val="24"/>
        </w:rPr>
      </w:pPr>
    </w:p>
    <w:p>
      <w:pPr>
        <w:snapToGrid w:val="0"/>
        <w:spacing w:before="50" w:after="50" w:line="312" w:lineRule="auto"/>
        <w:rPr>
          <w:rFonts w:ascii="宋体" w:hAnsi="宋体"/>
          <w:spacing w:val="20"/>
          <w:sz w:val="24"/>
        </w:rPr>
      </w:pPr>
    </w:p>
    <w:p>
      <w:pPr>
        <w:snapToGrid w:val="0"/>
        <w:spacing w:before="50" w:after="50" w:line="312" w:lineRule="auto"/>
        <w:rPr>
          <w:rFonts w:ascii="宋体" w:hAnsi="宋体"/>
          <w:spacing w:val="20"/>
          <w:sz w:val="24"/>
        </w:rPr>
      </w:pPr>
    </w:p>
    <w:p>
      <w:pPr>
        <w:snapToGrid w:val="0"/>
        <w:spacing w:before="50" w:afterLines="50" w:line="312" w:lineRule="auto"/>
        <w:jc w:val="left"/>
        <w:rPr>
          <w:rFonts w:ascii="宋体" w:hAnsi="宋体"/>
          <w:sz w:val="24"/>
        </w:rPr>
      </w:pPr>
    </w:p>
    <w:p>
      <w:pPr>
        <w:snapToGrid w:val="0"/>
        <w:spacing w:before="50" w:afterLines="50" w:line="312" w:lineRule="auto"/>
        <w:jc w:val="left"/>
        <w:rPr>
          <w:rFonts w:ascii="宋体" w:hAnsi="宋体"/>
          <w:sz w:val="24"/>
        </w:rPr>
      </w:pPr>
    </w:p>
    <w:p>
      <w:pPr>
        <w:snapToGrid w:val="0"/>
        <w:spacing w:before="50" w:afterLines="50"/>
        <w:jc w:val="left"/>
        <w:rPr>
          <w:rFonts w:ascii="宋体" w:hAnsi="宋体"/>
          <w:b/>
          <w:sz w:val="24"/>
        </w:rPr>
      </w:pPr>
    </w:p>
    <w:p>
      <w:pPr>
        <w:snapToGrid w:val="0"/>
        <w:spacing w:before="50" w:afterLines="50"/>
        <w:jc w:val="left"/>
        <w:rPr>
          <w:rFonts w:ascii="宋体" w:hAnsi="宋体"/>
          <w:b/>
          <w:sz w:val="24"/>
        </w:rPr>
      </w:pPr>
    </w:p>
    <w:p>
      <w:pPr>
        <w:snapToGrid w:val="0"/>
        <w:spacing w:before="50" w:afterLines="50"/>
        <w:jc w:val="left"/>
        <w:rPr>
          <w:rFonts w:ascii="宋体" w:hAnsi="宋体"/>
          <w:b/>
          <w:sz w:val="24"/>
        </w:rPr>
      </w:pPr>
    </w:p>
    <w:p>
      <w:pPr>
        <w:snapToGrid w:val="0"/>
        <w:spacing w:before="50" w:afterLines="50"/>
        <w:jc w:val="left"/>
        <w:rPr>
          <w:rFonts w:ascii="宋体" w:hAnsi="宋体"/>
          <w:b/>
          <w:sz w:val="28"/>
          <w:szCs w:val="28"/>
        </w:rPr>
      </w:pPr>
    </w:p>
    <w:p>
      <w:pPr>
        <w:snapToGrid w:val="0"/>
        <w:spacing w:before="50" w:afterLines="50"/>
        <w:jc w:val="left"/>
        <w:rPr>
          <w:rFonts w:ascii="宋体" w:hAnsi="宋体"/>
          <w:b/>
          <w:sz w:val="24"/>
        </w:rPr>
      </w:pPr>
      <w:r>
        <w:rPr>
          <w:rFonts w:hint="eastAsia" w:ascii="宋体" w:hAnsi="宋体"/>
          <w:b/>
          <w:sz w:val="24"/>
        </w:rPr>
        <w:t>十一、技术响应表格式：</w:t>
      </w:r>
    </w:p>
    <w:p>
      <w:pPr>
        <w:rPr>
          <w:rFonts w:ascii="宋体" w:hAnsi="宋体"/>
        </w:rPr>
      </w:pPr>
      <w:r>
        <w:rPr>
          <w:rFonts w:hint="eastAsia" w:ascii="宋体" w:hAnsi="宋体"/>
        </w:rPr>
        <w:t>项目名称：</w:t>
      </w:r>
    </w:p>
    <w:p>
      <w:pPr>
        <w:snapToGrid w:val="0"/>
        <w:spacing w:line="360" w:lineRule="auto"/>
        <w:rPr>
          <w:rFonts w:ascii="宋体"/>
        </w:rPr>
      </w:pPr>
      <w:r>
        <w:rPr>
          <w:rFonts w:hint="eastAsia" w:ascii="宋体" w:hAnsi="宋体"/>
        </w:rPr>
        <w:t>项目编号：</w:t>
      </w:r>
    </w:p>
    <w:tbl>
      <w:tblPr>
        <w:tblStyle w:val="36"/>
        <w:tblW w:w="901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08"/>
        <w:gridCol w:w="860"/>
        <w:gridCol w:w="2280"/>
        <w:gridCol w:w="2040"/>
        <w:gridCol w:w="1604"/>
        <w:gridCol w:w="1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948" w:type="dxa"/>
            <w:gridSpan w:val="3"/>
            <w:tcBorders>
              <w:top w:val="single" w:color="auto" w:sz="4" w:space="0"/>
              <w:left w:val="single" w:color="auto" w:sz="4" w:space="0"/>
              <w:bottom w:val="single" w:color="auto" w:sz="4" w:space="0"/>
              <w:right w:val="single" w:color="auto" w:sz="4" w:space="0"/>
            </w:tcBorders>
            <w:noWrap/>
            <w:vAlign w:val="center"/>
          </w:tcPr>
          <w:p>
            <w:pPr>
              <w:pStyle w:val="20"/>
              <w:snapToGrid w:val="0"/>
              <w:spacing w:before="156" w:after="295" w:line="240" w:lineRule="auto"/>
              <w:jc w:val="center"/>
              <w:outlineLvl w:val="0"/>
              <w:rPr>
                <w:rFonts w:hAnsi="宋体"/>
              </w:rPr>
            </w:pPr>
            <w:r>
              <w:rPr>
                <w:rFonts w:hAnsi="宋体"/>
              </w:rPr>
              <w:t>招标文件要求</w:t>
            </w:r>
          </w:p>
        </w:tc>
        <w:tc>
          <w:tcPr>
            <w:tcW w:w="3644" w:type="dxa"/>
            <w:gridSpan w:val="2"/>
            <w:tcBorders>
              <w:top w:val="single" w:color="auto" w:sz="4" w:space="0"/>
              <w:left w:val="single" w:color="auto" w:sz="4" w:space="0"/>
              <w:bottom w:val="single" w:color="auto" w:sz="4" w:space="0"/>
              <w:right w:val="single" w:color="auto" w:sz="4" w:space="0"/>
            </w:tcBorders>
            <w:noWrap/>
            <w:vAlign w:val="center"/>
          </w:tcPr>
          <w:p>
            <w:pPr>
              <w:pStyle w:val="20"/>
              <w:snapToGrid w:val="0"/>
              <w:spacing w:before="156" w:after="295" w:line="240" w:lineRule="auto"/>
              <w:jc w:val="center"/>
              <w:outlineLvl w:val="0"/>
              <w:rPr>
                <w:rFonts w:hAnsi="宋体"/>
              </w:rPr>
            </w:pPr>
            <w:r>
              <w:rPr>
                <w:rFonts w:hAnsi="宋体"/>
              </w:rPr>
              <w:t>投标文件响应</w:t>
            </w:r>
          </w:p>
        </w:tc>
        <w:tc>
          <w:tcPr>
            <w:tcW w:w="1423" w:type="dxa"/>
            <w:vMerge w:val="restart"/>
            <w:tcBorders>
              <w:top w:val="single" w:color="auto" w:sz="4" w:space="0"/>
              <w:left w:val="single" w:color="auto" w:sz="4" w:space="0"/>
              <w:bottom w:val="single" w:color="auto" w:sz="4" w:space="0"/>
              <w:right w:val="single" w:color="auto" w:sz="4" w:space="0"/>
            </w:tcBorders>
            <w:noWrap/>
            <w:vAlign w:val="center"/>
          </w:tcPr>
          <w:p>
            <w:pPr>
              <w:pStyle w:val="20"/>
              <w:snapToGrid w:val="0"/>
              <w:spacing w:before="156" w:after="295" w:line="240" w:lineRule="auto"/>
              <w:jc w:val="center"/>
              <w:outlineLvl w:val="0"/>
              <w:rPr>
                <w:rFonts w:hAnsi="宋体"/>
              </w:rPr>
            </w:pPr>
            <w:r>
              <w:rPr>
                <w:rFonts w:hAnsi="宋体"/>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668" w:type="dxa"/>
            <w:gridSpan w:val="2"/>
            <w:tcBorders>
              <w:top w:val="single" w:color="auto" w:sz="4" w:space="0"/>
              <w:left w:val="single" w:color="auto" w:sz="4" w:space="0"/>
              <w:bottom w:val="single" w:color="auto" w:sz="4" w:space="0"/>
              <w:right w:val="single" w:color="auto" w:sz="4" w:space="0"/>
            </w:tcBorders>
            <w:noWrap/>
            <w:vAlign w:val="center"/>
          </w:tcPr>
          <w:p>
            <w:pPr>
              <w:pStyle w:val="20"/>
              <w:snapToGrid w:val="0"/>
              <w:spacing w:before="156" w:after="295" w:line="240" w:lineRule="auto"/>
              <w:jc w:val="center"/>
              <w:outlineLvl w:val="0"/>
              <w:rPr>
                <w:rFonts w:hAnsi="宋体"/>
              </w:rPr>
            </w:pPr>
            <w:r>
              <w:rPr>
                <w:rFonts w:hAnsi="宋体"/>
              </w:rPr>
              <w:t>项目</w:t>
            </w:r>
          </w:p>
        </w:tc>
        <w:tc>
          <w:tcPr>
            <w:tcW w:w="2280" w:type="dxa"/>
            <w:tcBorders>
              <w:top w:val="single" w:color="auto" w:sz="4" w:space="0"/>
              <w:left w:val="single" w:color="auto" w:sz="4" w:space="0"/>
              <w:bottom w:val="single" w:color="auto" w:sz="4" w:space="0"/>
              <w:right w:val="single" w:color="auto" w:sz="4" w:space="0"/>
            </w:tcBorders>
            <w:noWrap/>
            <w:vAlign w:val="center"/>
          </w:tcPr>
          <w:p>
            <w:pPr>
              <w:pStyle w:val="20"/>
              <w:snapToGrid w:val="0"/>
              <w:spacing w:before="156" w:after="295" w:line="240" w:lineRule="auto"/>
              <w:jc w:val="center"/>
              <w:outlineLvl w:val="0"/>
              <w:rPr>
                <w:rFonts w:hAnsi="宋体"/>
              </w:rPr>
            </w:pPr>
            <w:r>
              <w:rPr>
                <w:rFonts w:hAnsi="宋体"/>
              </w:rPr>
              <w:t>要求</w:t>
            </w:r>
          </w:p>
        </w:tc>
        <w:tc>
          <w:tcPr>
            <w:tcW w:w="2040" w:type="dxa"/>
            <w:tcBorders>
              <w:top w:val="single" w:color="auto" w:sz="4" w:space="0"/>
              <w:left w:val="single" w:color="auto" w:sz="4" w:space="0"/>
              <w:bottom w:val="single" w:color="auto" w:sz="4" w:space="0"/>
              <w:right w:val="single" w:color="auto" w:sz="4" w:space="0"/>
            </w:tcBorders>
            <w:noWrap/>
            <w:vAlign w:val="center"/>
          </w:tcPr>
          <w:p>
            <w:pPr>
              <w:pStyle w:val="20"/>
              <w:snapToGrid w:val="0"/>
              <w:spacing w:before="156" w:after="295" w:line="240" w:lineRule="auto"/>
              <w:jc w:val="center"/>
              <w:outlineLvl w:val="0"/>
              <w:rPr>
                <w:rFonts w:hAnsi="宋体"/>
              </w:rPr>
            </w:pPr>
            <w:r>
              <w:rPr>
                <w:rFonts w:hint="eastAsia" w:hAnsi="宋体"/>
              </w:rPr>
              <w:t xml:space="preserve"> 项目</w:t>
            </w:r>
          </w:p>
        </w:tc>
        <w:tc>
          <w:tcPr>
            <w:tcW w:w="1604" w:type="dxa"/>
            <w:tcBorders>
              <w:top w:val="single" w:color="auto" w:sz="4" w:space="0"/>
              <w:left w:val="single" w:color="auto" w:sz="4" w:space="0"/>
              <w:bottom w:val="single" w:color="auto" w:sz="4" w:space="0"/>
              <w:right w:val="single" w:color="auto" w:sz="4" w:space="0"/>
            </w:tcBorders>
            <w:noWrap/>
            <w:vAlign w:val="center"/>
          </w:tcPr>
          <w:p>
            <w:pPr>
              <w:pStyle w:val="20"/>
              <w:snapToGrid w:val="0"/>
              <w:spacing w:before="156" w:after="295" w:line="240" w:lineRule="auto"/>
              <w:jc w:val="center"/>
              <w:outlineLvl w:val="0"/>
              <w:rPr>
                <w:rFonts w:hAnsi="宋体"/>
              </w:rPr>
            </w:pPr>
            <w:r>
              <w:rPr>
                <w:rFonts w:hint="eastAsia" w:hAnsi="宋体"/>
              </w:rPr>
              <w:t>要求</w:t>
            </w:r>
          </w:p>
        </w:tc>
        <w:tc>
          <w:tcPr>
            <w:tcW w:w="1423" w:type="dxa"/>
            <w:vMerge w:val="continue"/>
            <w:tcBorders>
              <w:top w:val="single" w:color="auto" w:sz="4" w:space="0"/>
              <w:left w:val="single" w:color="auto" w:sz="4" w:space="0"/>
              <w:bottom w:val="single" w:color="auto" w:sz="4" w:space="0"/>
              <w:right w:val="single" w:color="auto" w:sz="4" w:space="0"/>
            </w:tcBorders>
            <w:noWrap/>
            <w:vAlign w:val="center"/>
          </w:tcPr>
          <w:p>
            <w:pPr>
              <w:spacing w:line="12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808" w:type="dxa"/>
            <w:tcBorders>
              <w:top w:val="single" w:color="auto" w:sz="4" w:space="0"/>
              <w:left w:val="single" w:color="auto" w:sz="4" w:space="0"/>
              <w:bottom w:val="single" w:color="auto" w:sz="4" w:space="0"/>
              <w:right w:val="single" w:color="auto" w:sz="4" w:space="0"/>
            </w:tcBorders>
            <w:noWrap/>
            <w:vAlign w:val="center"/>
          </w:tcPr>
          <w:p>
            <w:pPr>
              <w:pStyle w:val="20"/>
              <w:snapToGrid w:val="0"/>
              <w:spacing w:before="156" w:after="295" w:line="240" w:lineRule="auto"/>
              <w:jc w:val="center"/>
              <w:outlineLvl w:val="0"/>
              <w:rPr>
                <w:rFonts w:hAnsi="宋体"/>
              </w:rPr>
            </w:pPr>
          </w:p>
        </w:tc>
        <w:tc>
          <w:tcPr>
            <w:tcW w:w="860" w:type="dxa"/>
            <w:tcBorders>
              <w:top w:val="single" w:color="auto" w:sz="4" w:space="0"/>
              <w:left w:val="single" w:color="auto" w:sz="4" w:space="0"/>
              <w:bottom w:val="single" w:color="auto" w:sz="4" w:space="0"/>
              <w:right w:val="single" w:color="auto" w:sz="4" w:space="0"/>
            </w:tcBorders>
            <w:noWrap/>
            <w:vAlign w:val="center"/>
          </w:tcPr>
          <w:p>
            <w:pPr>
              <w:pStyle w:val="20"/>
              <w:snapToGrid w:val="0"/>
              <w:spacing w:before="156" w:after="295" w:line="240" w:lineRule="auto"/>
              <w:jc w:val="center"/>
              <w:outlineLvl w:val="0"/>
              <w:rPr>
                <w:rFonts w:hAnsi="宋体"/>
              </w:rPr>
            </w:pPr>
          </w:p>
        </w:tc>
        <w:tc>
          <w:tcPr>
            <w:tcW w:w="2280" w:type="dxa"/>
            <w:tcBorders>
              <w:top w:val="single" w:color="auto" w:sz="4" w:space="0"/>
              <w:left w:val="single" w:color="auto" w:sz="4" w:space="0"/>
              <w:bottom w:val="single" w:color="auto" w:sz="4" w:space="0"/>
              <w:right w:val="single" w:color="auto" w:sz="4" w:space="0"/>
            </w:tcBorders>
            <w:noWrap/>
            <w:vAlign w:val="center"/>
          </w:tcPr>
          <w:p>
            <w:pPr>
              <w:pStyle w:val="20"/>
              <w:snapToGrid w:val="0"/>
              <w:spacing w:before="156" w:after="295" w:line="120" w:lineRule="exact"/>
              <w:jc w:val="center"/>
              <w:outlineLvl w:val="0"/>
              <w:rPr>
                <w:rFonts w:hAnsi="宋体"/>
              </w:rPr>
            </w:pPr>
          </w:p>
        </w:tc>
        <w:tc>
          <w:tcPr>
            <w:tcW w:w="2040" w:type="dxa"/>
            <w:tcBorders>
              <w:top w:val="single" w:color="auto" w:sz="4" w:space="0"/>
              <w:left w:val="single" w:color="auto" w:sz="4" w:space="0"/>
              <w:bottom w:val="single" w:color="auto" w:sz="4" w:space="0"/>
              <w:right w:val="single" w:color="auto" w:sz="4" w:space="0"/>
            </w:tcBorders>
            <w:noWrap/>
            <w:vAlign w:val="center"/>
          </w:tcPr>
          <w:p>
            <w:pPr>
              <w:pStyle w:val="20"/>
              <w:snapToGrid w:val="0"/>
              <w:spacing w:before="156" w:after="295" w:line="120" w:lineRule="exact"/>
              <w:jc w:val="center"/>
              <w:outlineLvl w:val="0"/>
              <w:rPr>
                <w:rFonts w:hAnsi="宋体"/>
              </w:rPr>
            </w:pPr>
          </w:p>
        </w:tc>
        <w:tc>
          <w:tcPr>
            <w:tcW w:w="1604" w:type="dxa"/>
            <w:tcBorders>
              <w:top w:val="single" w:color="auto" w:sz="4" w:space="0"/>
              <w:left w:val="single" w:color="auto" w:sz="4" w:space="0"/>
              <w:bottom w:val="single" w:color="auto" w:sz="4" w:space="0"/>
              <w:right w:val="single" w:color="auto" w:sz="4" w:space="0"/>
            </w:tcBorders>
            <w:noWrap/>
            <w:vAlign w:val="center"/>
          </w:tcPr>
          <w:p>
            <w:pPr>
              <w:pStyle w:val="20"/>
              <w:snapToGrid w:val="0"/>
              <w:spacing w:before="156" w:after="295" w:line="120" w:lineRule="exact"/>
              <w:jc w:val="center"/>
              <w:outlineLvl w:val="0"/>
              <w:rPr>
                <w:rFonts w:hAnsi="宋体"/>
              </w:rPr>
            </w:pPr>
          </w:p>
        </w:tc>
        <w:tc>
          <w:tcPr>
            <w:tcW w:w="1423" w:type="dxa"/>
            <w:tcBorders>
              <w:top w:val="single" w:color="auto" w:sz="4" w:space="0"/>
              <w:left w:val="single" w:color="auto" w:sz="4" w:space="0"/>
              <w:bottom w:val="single" w:color="auto" w:sz="4" w:space="0"/>
              <w:right w:val="single" w:color="auto" w:sz="4" w:space="0"/>
            </w:tcBorders>
            <w:noWrap/>
            <w:vAlign w:val="center"/>
          </w:tcPr>
          <w:p>
            <w:pPr>
              <w:pStyle w:val="20"/>
              <w:snapToGrid w:val="0"/>
              <w:spacing w:before="156" w:after="295" w:line="120" w:lineRule="exact"/>
              <w:jc w:val="center"/>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0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rPr>
            </w:pPr>
          </w:p>
        </w:tc>
        <w:tc>
          <w:tcPr>
            <w:tcW w:w="86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rPr>
            </w:pPr>
          </w:p>
        </w:tc>
        <w:tc>
          <w:tcPr>
            <w:tcW w:w="2280" w:type="dxa"/>
            <w:tcBorders>
              <w:top w:val="single" w:color="auto" w:sz="4" w:space="0"/>
              <w:left w:val="single" w:color="auto" w:sz="4" w:space="0"/>
              <w:bottom w:val="single" w:color="auto" w:sz="4" w:space="0"/>
              <w:right w:val="single" w:color="auto" w:sz="4" w:space="0"/>
            </w:tcBorders>
            <w:noWrap/>
            <w:vAlign w:val="center"/>
          </w:tcPr>
          <w:p>
            <w:pPr>
              <w:pStyle w:val="20"/>
              <w:snapToGrid w:val="0"/>
              <w:spacing w:before="156" w:after="295" w:line="120" w:lineRule="exact"/>
              <w:outlineLvl w:val="0"/>
              <w:rPr>
                <w:rFonts w:hAnsi="宋体"/>
              </w:rPr>
            </w:pPr>
          </w:p>
        </w:tc>
        <w:tc>
          <w:tcPr>
            <w:tcW w:w="2040"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c>
          <w:tcPr>
            <w:tcW w:w="1604"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c>
          <w:tcPr>
            <w:tcW w:w="1423"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80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rPr>
            </w:pPr>
          </w:p>
        </w:tc>
        <w:tc>
          <w:tcPr>
            <w:tcW w:w="86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rPr>
            </w:pPr>
          </w:p>
        </w:tc>
        <w:tc>
          <w:tcPr>
            <w:tcW w:w="2280" w:type="dxa"/>
            <w:tcBorders>
              <w:top w:val="single" w:color="auto" w:sz="4" w:space="0"/>
              <w:left w:val="single" w:color="auto" w:sz="4" w:space="0"/>
              <w:bottom w:val="single" w:color="auto" w:sz="4" w:space="0"/>
              <w:right w:val="single" w:color="auto" w:sz="4" w:space="0"/>
            </w:tcBorders>
            <w:noWrap/>
            <w:vAlign w:val="center"/>
          </w:tcPr>
          <w:p>
            <w:pPr>
              <w:pStyle w:val="20"/>
              <w:snapToGrid w:val="0"/>
              <w:spacing w:before="156" w:after="295" w:line="120" w:lineRule="exact"/>
              <w:rPr>
                <w:rFonts w:hAnsi="宋体"/>
              </w:rPr>
            </w:pPr>
          </w:p>
        </w:tc>
        <w:tc>
          <w:tcPr>
            <w:tcW w:w="2040"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rPr>
                <w:rFonts w:hAnsi="宋体"/>
              </w:rPr>
            </w:pPr>
          </w:p>
        </w:tc>
        <w:tc>
          <w:tcPr>
            <w:tcW w:w="1604"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rPr>
                <w:rFonts w:hAnsi="宋体"/>
              </w:rPr>
            </w:pPr>
          </w:p>
        </w:tc>
        <w:tc>
          <w:tcPr>
            <w:tcW w:w="1423"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80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rPr>
            </w:pPr>
          </w:p>
        </w:tc>
        <w:tc>
          <w:tcPr>
            <w:tcW w:w="86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rPr>
            </w:pPr>
          </w:p>
        </w:tc>
        <w:tc>
          <w:tcPr>
            <w:tcW w:w="2280" w:type="dxa"/>
            <w:tcBorders>
              <w:top w:val="single" w:color="auto" w:sz="4" w:space="0"/>
              <w:left w:val="single" w:color="auto" w:sz="4" w:space="0"/>
              <w:bottom w:val="single" w:color="auto" w:sz="4" w:space="0"/>
              <w:right w:val="single" w:color="auto" w:sz="4" w:space="0"/>
            </w:tcBorders>
            <w:noWrap/>
            <w:vAlign w:val="center"/>
          </w:tcPr>
          <w:p>
            <w:pPr>
              <w:pStyle w:val="20"/>
              <w:snapToGrid w:val="0"/>
              <w:spacing w:before="156" w:after="295" w:line="120" w:lineRule="exact"/>
              <w:outlineLvl w:val="0"/>
              <w:rPr>
                <w:rFonts w:hAnsi="宋体"/>
              </w:rPr>
            </w:pPr>
          </w:p>
        </w:tc>
        <w:tc>
          <w:tcPr>
            <w:tcW w:w="2040"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c>
          <w:tcPr>
            <w:tcW w:w="1604"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c>
          <w:tcPr>
            <w:tcW w:w="1423"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80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rPr>
            </w:pPr>
          </w:p>
        </w:tc>
        <w:tc>
          <w:tcPr>
            <w:tcW w:w="86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rPr>
            </w:pPr>
          </w:p>
        </w:tc>
        <w:tc>
          <w:tcPr>
            <w:tcW w:w="2280" w:type="dxa"/>
            <w:tcBorders>
              <w:top w:val="single" w:color="auto" w:sz="4" w:space="0"/>
              <w:left w:val="single" w:color="auto" w:sz="4" w:space="0"/>
              <w:bottom w:val="single" w:color="auto" w:sz="4" w:space="0"/>
              <w:right w:val="single" w:color="auto" w:sz="4" w:space="0"/>
            </w:tcBorders>
            <w:noWrap/>
            <w:vAlign w:val="center"/>
          </w:tcPr>
          <w:p>
            <w:pPr>
              <w:pStyle w:val="20"/>
              <w:snapToGrid w:val="0"/>
              <w:spacing w:before="156" w:after="295" w:line="120" w:lineRule="exact"/>
              <w:outlineLvl w:val="0"/>
              <w:rPr>
                <w:rFonts w:hAnsi="宋体"/>
              </w:rPr>
            </w:pPr>
          </w:p>
        </w:tc>
        <w:tc>
          <w:tcPr>
            <w:tcW w:w="2040"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c>
          <w:tcPr>
            <w:tcW w:w="1604"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c>
          <w:tcPr>
            <w:tcW w:w="1423"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80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rPr>
            </w:pPr>
          </w:p>
        </w:tc>
        <w:tc>
          <w:tcPr>
            <w:tcW w:w="86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rPr>
            </w:pPr>
          </w:p>
        </w:tc>
        <w:tc>
          <w:tcPr>
            <w:tcW w:w="2280" w:type="dxa"/>
            <w:tcBorders>
              <w:top w:val="single" w:color="auto" w:sz="4" w:space="0"/>
              <w:left w:val="single" w:color="auto" w:sz="4" w:space="0"/>
              <w:bottom w:val="single" w:color="auto" w:sz="4" w:space="0"/>
              <w:right w:val="single" w:color="auto" w:sz="4" w:space="0"/>
            </w:tcBorders>
            <w:noWrap/>
            <w:vAlign w:val="center"/>
          </w:tcPr>
          <w:p>
            <w:pPr>
              <w:pStyle w:val="20"/>
              <w:snapToGrid w:val="0"/>
              <w:spacing w:before="156" w:after="295" w:line="120" w:lineRule="exact"/>
              <w:outlineLvl w:val="0"/>
              <w:rPr>
                <w:rFonts w:hAnsi="宋体"/>
              </w:rPr>
            </w:pPr>
          </w:p>
        </w:tc>
        <w:tc>
          <w:tcPr>
            <w:tcW w:w="2040"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c>
          <w:tcPr>
            <w:tcW w:w="1604"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c>
          <w:tcPr>
            <w:tcW w:w="1423"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80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rPr>
            </w:pPr>
          </w:p>
        </w:tc>
        <w:tc>
          <w:tcPr>
            <w:tcW w:w="86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rPr>
            </w:pPr>
          </w:p>
        </w:tc>
        <w:tc>
          <w:tcPr>
            <w:tcW w:w="2280" w:type="dxa"/>
            <w:tcBorders>
              <w:top w:val="single" w:color="auto" w:sz="4" w:space="0"/>
              <w:left w:val="single" w:color="auto" w:sz="4" w:space="0"/>
              <w:bottom w:val="single" w:color="auto" w:sz="4" w:space="0"/>
              <w:right w:val="single" w:color="auto" w:sz="4" w:space="0"/>
            </w:tcBorders>
            <w:noWrap/>
            <w:vAlign w:val="center"/>
          </w:tcPr>
          <w:p>
            <w:pPr>
              <w:pStyle w:val="20"/>
              <w:snapToGrid w:val="0"/>
              <w:spacing w:before="156" w:after="295" w:line="120" w:lineRule="exact"/>
              <w:outlineLvl w:val="0"/>
              <w:rPr>
                <w:rFonts w:hAnsi="宋体"/>
              </w:rPr>
            </w:pPr>
          </w:p>
        </w:tc>
        <w:tc>
          <w:tcPr>
            <w:tcW w:w="2040"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c>
          <w:tcPr>
            <w:tcW w:w="1604"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c>
          <w:tcPr>
            <w:tcW w:w="1423"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80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rPr>
            </w:pPr>
          </w:p>
        </w:tc>
        <w:tc>
          <w:tcPr>
            <w:tcW w:w="86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rPr>
            </w:pPr>
          </w:p>
        </w:tc>
        <w:tc>
          <w:tcPr>
            <w:tcW w:w="2280" w:type="dxa"/>
            <w:tcBorders>
              <w:top w:val="single" w:color="auto" w:sz="4" w:space="0"/>
              <w:left w:val="single" w:color="auto" w:sz="4" w:space="0"/>
              <w:bottom w:val="single" w:color="auto" w:sz="4" w:space="0"/>
              <w:right w:val="single" w:color="auto" w:sz="4" w:space="0"/>
            </w:tcBorders>
            <w:noWrap/>
            <w:vAlign w:val="center"/>
          </w:tcPr>
          <w:p>
            <w:pPr>
              <w:pStyle w:val="20"/>
              <w:snapToGrid w:val="0"/>
              <w:spacing w:before="156" w:after="295" w:line="120" w:lineRule="exact"/>
              <w:outlineLvl w:val="0"/>
              <w:rPr>
                <w:rFonts w:hAnsi="宋体"/>
              </w:rPr>
            </w:pPr>
          </w:p>
        </w:tc>
        <w:tc>
          <w:tcPr>
            <w:tcW w:w="2040"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c>
          <w:tcPr>
            <w:tcW w:w="1604"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c>
          <w:tcPr>
            <w:tcW w:w="1423"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80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rPr>
            </w:pPr>
          </w:p>
        </w:tc>
        <w:tc>
          <w:tcPr>
            <w:tcW w:w="86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rPr>
            </w:pPr>
          </w:p>
        </w:tc>
        <w:tc>
          <w:tcPr>
            <w:tcW w:w="2280" w:type="dxa"/>
            <w:tcBorders>
              <w:top w:val="single" w:color="auto" w:sz="4" w:space="0"/>
              <w:left w:val="single" w:color="auto" w:sz="4" w:space="0"/>
              <w:bottom w:val="single" w:color="auto" w:sz="4" w:space="0"/>
              <w:right w:val="single" w:color="auto" w:sz="4" w:space="0"/>
            </w:tcBorders>
            <w:noWrap/>
            <w:vAlign w:val="center"/>
          </w:tcPr>
          <w:p>
            <w:pPr>
              <w:pStyle w:val="20"/>
              <w:snapToGrid w:val="0"/>
              <w:spacing w:before="156" w:after="295" w:line="120" w:lineRule="exact"/>
              <w:outlineLvl w:val="0"/>
              <w:rPr>
                <w:rFonts w:hAnsi="宋体"/>
              </w:rPr>
            </w:pPr>
          </w:p>
        </w:tc>
        <w:tc>
          <w:tcPr>
            <w:tcW w:w="2040"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c>
          <w:tcPr>
            <w:tcW w:w="1604"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c>
          <w:tcPr>
            <w:tcW w:w="1423"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80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rPr>
            </w:pPr>
          </w:p>
        </w:tc>
        <w:tc>
          <w:tcPr>
            <w:tcW w:w="86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rPr>
            </w:pPr>
          </w:p>
        </w:tc>
        <w:tc>
          <w:tcPr>
            <w:tcW w:w="2280" w:type="dxa"/>
            <w:tcBorders>
              <w:top w:val="single" w:color="auto" w:sz="4" w:space="0"/>
              <w:left w:val="single" w:color="auto" w:sz="4" w:space="0"/>
              <w:bottom w:val="single" w:color="auto" w:sz="4" w:space="0"/>
              <w:right w:val="single" w:color="auto" w:sz="4" w:space="0"/>
            </w:tcBorders>
            <w:noWrap/>
            <w:vAlign w:val="center"/>
          </w:tcPr>
          <w:p>
            <w:pPr>
              <w:pStyle w:val="20"/>
              <w:snapToGrid w:val="0"/>
              <w:spacing w:before="156" w:after="295" w:line="120" w:lineRule="exact"/>
              <w:outlineLvl w:val="0"/>
              <w:rPr>
                <w:rFonts w:hAnsi="宋体"/>
              </w:rPr>
            </w:pPr>
          </w:p>
        </w:tc>
        <w:tc>
          <w:tcPr>
            <w:tcW w:w="2040"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c>
          <w:tcPr>
            <w:tcW w:w="1604"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c>
          <w:tcPr>
            <w:tcW w:w="1423"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80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rPr>
            </w:pPr>
          </w:p>
        </w:tc>
        <w:tc>
          <w:tcPr>
            <w:tcW w:w="86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rPr>
            </w:pPr>
          </w:p>
        </w:tc>
        <w:tc>
          <w:tcPr>
            <w:tcW w:w="2280" w:type="dxa"/>
            <w:tcBorders>
              <w:top w:val="single" w:color="auto" w:sz="4" w:space="0"/>
              <w:left w:val="single" w:color="auto" w:sz="4" w:space="0"/>
              <w:bottom w:val="single" w:color="auto" w:sz="4" w:space="0"/>
              <w:right w:val="single" w:color="auto" w:sz="4" w:space="0"/>
            </w:tcBorders>
            <w:noWrap/>
            <w:vAlign w:val="center"/>
          </w:tcPr>
          <w:p>
            <w:pPr>
              <w:pStyle w:val="20"/>
              <w:snapToGrid w:val="0"/>
              <w:spacing w:before="156" w:after="295" w:line="120" w:lineRule="exact"/>
              <w:outlineLvl w:val="0"/>
              <w:rPr>
                <w:rFonts w:hAnsi="宋体"/>
              </w:rPr>
            </w:pPr>
          </w:p>
        </w:tc>
        <w:tc>
          <w:tcPr>
            <w:tcW w:w="2040"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c>
          <w:tcPr>
            <w:tcW w:w="1604"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c>
          <w:tcPr>
            <w:tcW w:w="1423"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r>
    </w:tbl>
    <w:p>
      <w:pPr>
        <w:pStyle w:val="16"/>
        <w:rPr>
          <w:rFonts w:ascii="宋体" w:eastAsia="宋体"/>
          <w:spacing w:val="20"/>
        </w:rPr>
      </w:pPr>
      <w:r>
        <w:rPr>
          <w:rFonts w:hint="eastAsia" w:ascii="宋体" w:eastAsia="宋体"/>
          <w:sz w:val="21"/>
        </w:rPr>
        <w:t>注：投标人应根据投标项目，对照招标文件要求在“偏离情况”栏注明“正偏离”、“负偏离”或“无偏离”。</w:t>
      </w:r>
    </w:p>
    <w:p>
      <w:pPr>
        <w:snapToGrid w:val="0"/>
        <w:spacing w:before="50" w:after="50"/>
        <w:rPr>
          <w:rFonts w:ascii="宋体" w:hAnsi="宋体"/>
        </w:rPr>
      </w:pPr>
    </w:p>
    <w:p>
      <w:pPr>
        <w:snapToGrid w:val="0"/>
        <w:ind w:left="2" w:right="-817" w:rightChars="-389"/>
        <w:rPr>
          <w:rFonts w:ascii="宋体" w:hAnsi="宋体"/>
        </w:rPr>
      </w:pPr>
    </w:p>
    <w:p>
      <w:pPr>
        <w:snapToGrid w:val="0"/>
        <w:spacing w:before="50" w:after="50"/>
        <w:rPr>
          <w:rFonts w:ascii="宋体" w:hAnsi="宋体"/>
          <w:sz w:val="24"/>
        </w:rPr>
      </w:pPr>
      <w:r>
        <w:rPr>
          <w:rFonts w:hint="eastAsia" w:ascii="宋体" w:hAnsi="宋体"/>
        </w:rPr>
        <w:t>投标人名称（盖章）：                       日期：</w:t>
      </w:r>
    </w:p>
    <w:p>
      <w:pPr>
        <w:snapToGrid w:val="0"/>
        <w:spacing w:before="50" w:afterLines="50"/>
        <w:jc w:val="left"/>
        <w:rPr>
          <w:rFonts w:ascii="宋体" w:hAnsi="宋体"/>
          <w:b/>
          <w:sz w:val="24"/>
        </w:rPr>
      </w:pPr>
    </w:p>
    <w:p>
      <w:pPr>
        <w:snapToGrid w:val="0"/>
        <w:spacing w:before="50" w:afterLines="50"/>
        <w:jc w:val="left"/>
        <w:rPr>
          <w:rFonts w:ascii="宋体" w:hAnsi="宋体"/>
          <w:b/>
          <w:sz w:val="24"/>
        </w:rPr>
      </w:pPr>
    </w:p>
    <w:p/>
    <w:p/>
    <w:p/>
    <w:sectPr>
      <w:pgSz w:w="11906" w:h="16838"/>
      <w:pgMar w:top="1304" w:right="1531" w:bottom="1304" w:left="1531" w:header="1304" w:footer="130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使用中文字体)">
    <w:altName w:val="宋体"/>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Arial Narrow">
    <w:panose1 w:val="020B0606020202030204"/>
    <w:charset w:val="00"/>
    <w:family w:val="swiss"/>
    <w:pitch w:val="default"/>
    <w:sig w:usb0="00000287" w:usb1="00000800" w:usb2="00000000" w:usb3="00000000" w:csb0="2000009F" w:csb1="DFD70000"/>
  </w:font>
  <w:font w:name="华文中宋">
    <w:panose1 w:val="02010600040101010101"/>
    <w:charset w:val="86"/>
    <w:family w:val="auto"/>
    <w:pitch w:val="default"/>
    <w:sig w:usb0="00000287" w:usb1="080F0000" w:usb2="00000000" w:usb3="00000000" w:csb0="0004009F" w:csb1="DFD70000"/>
  </w:font>
  <w:font w:name="方正大黑简体">
    <w:altName w:val="黑体"/>
    <w:panose1 w:val="00000000000000000000"/>
    <w:charset w:val="86"/>
    <w:family w:val="script"/>
    <w:pitch w:val="default"/>
    <w:sig w:usb0="00000000" w:usb1="00000000" w:usb2="00000010" w:usb3="00000000" w:csb0="00040000" w:csb1="00000000"/>
  </w:font>
  <w:font w:name="方正黑体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imes">
    <w:altName w:val="Times New Roman"/>
    <w:panose1 w:val="02020603050405020304"/>
    <w:charset w:val="00"/>
    <w:family w:val="roman"/>
    <w:pitch w:val="default"/>
    <w:sig w:usb0="00000000" w:usb1="00000000" w:usb2="00000000" w:usb3="00000000" w:csb0="2000019F" w:csb1="4F010000"/>
  </w:font>
  <w:font w:name="华文新魏">
    <w:panose1 w:val="02010800040101010101"/>
    <w:charset w:val="86"/>
    <w:family w:val="auto"/>
    <w:pitch w:val="default"/>
    <w:sig w:usb0="00000001" w:usb1="080F0000" w:usb2="00000000" w:usb3="00000000" w:csb0="00040000" w:csb1="00000000"/>
  </w:font>
  <w:font w:name="创艺简标宋">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separate"/>
    </w:r>
    <w:r>
      <w:t>41</w:t>
    </w:r>
    <w:r>
      <w:fldChar w:fldCharType="end"/>
    </w:r>
  </w:p>
  <w:p>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end"/>
    </w:r>
  </w:p>
  <w:p>
    <w:pP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pStyle w:val="18"/>
      <w:lvlText w:val="%1."/>
      <w:lvlJc w:val="left"/>
      <w:pPr>
        <w:tabs>
          <w:tab w:val="left" w:pos="360"/>
        </w:tabs>
        <w:ind w:left="360" w:hanging="360"/>
      </w:pPr>
    </w:lvl>
  </w:abstractNum>
  <w:abstractNum w:abstractNumId="1">
    <w:nsid w:val="00000002"/>
    <w:multiLevelType w:val="singleLevel"/>
    <w:tmpl w:val="00000002"/>
    <w:lvl w:ilvl="0" w:tentative="0">
      <w:start w:val="1"/>
      <w:numFmt w:val="bullet"/>
      <w:pStyle w:val="75"/>
      <w:lvlText w:val=""/>
      <w:lvlJc w:val="left"/>
      <w:pPr>
        <w:tabs>
          <w:tab w:val="left" w:pos="360"/>
        </w:tabs>
        <w:ind w:left="360" w:hanging="360"/>
      </w:pPr>
      <w:rPr>
        <w:rFonts w:hint="default" w:ascii="Wingdings" w:hAnsi="Wingdings"/>
      </w:rPr>
    </w:lvl>
  </w:abstractNum>
  <w:abstractNum w:abstractNumId="2">
    <w:nsid w:val="00000003"/>
    <w:multiLevelType w:val="multilevel"/>
    <w:tmpl w:val="00000003"/>
    <w:lvl w:ilvl="0" w:tentative="0">
      <w:start w:val="1"/>
      <w:numFmt w:val="japaneseCounting"/>
      <w:lvlText w:val="（%1）"/>
      <w:lvlJc w:val="left"/>
      <w:pPr>
        <w:tabs>
          <w:tab w:val="left" w:pos="735"/>
        </w:tabs>
        <w:ind w:left="735" w:hanging="735"/>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4"/>
    <w:multiLevelType w:val="multilevel"/>
    <w:tmpl w:val="00000004"/>
    <w:lvl w:ilvl="0" w:tentative="0">
      <w:start w:val="1"/>
      <w:numFmt w:val="japaneseCounting"/>
      <w:lvlText w:val="第%1章"/>
      <w:lvlJc w:val="left"/>
      <w:pPr>
        <w:tabs>
          <w:tab w:val="left" w:pos="1440"/>
        </w:tabs>
        <w:ind w:left="1440" w:hanging="1275"/>
      </w:pPr>
    </w:lvl>
    <w:lvl w:ilvl="1" w:tentative="0">
      <w:start w:val="1"/>
      <w:numFmt w:val="japaneseCounting"/>
      <w:lvlText w:val="%2、"/>
      <w:lvlJc w:val="left"/>
      <w:pPr>
        <w:tabs>
          <w:tab w:val="left" w:pos="1305"/>
        </w:tabs>
        <w:ind w:left="1305" w:hanging="720"/>
      </w:p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abstractNum w:abstractNumId="4">
    <w:nsid w:val="00000006"/>
    <w:multiLevelType w:val="multilevel"/>
    <w:tmpl w:val="00000006"/>
    <w:lvl w:ilvl="0" w:tentative="0">
      <w:start w:val="1"/>
      <w:numFmt w:val="decimal"/>
      <w:lvlText w:val="%1、"/>
      <w:lvlJc w:val="left"/>
      <w:pPr>
        <w:ind w:left="777" w:hanging="360"/>
      </w:pPr>
      <w:rPr>
        <w:rFonts w:hint="default"/>
      </w:rPr>
    </w:lvl>
    <w:lvl w:ilvl="1" w:tentative="0">
      <w:start w:val="1"/>
      <w:numFmt w:val="lowerLetter"/>
      <w:lvlText w:val="%2)"/>
      <w:lvlJc w:val="left"/>
      <w:pPr>
        <w:ind w:left="1257" w:hanging="420"/>
      </w:pPr>
    </w:lvl>
    <w:lvl w:ilvl="2" w:tentative="0">
      <w:start w:val="1"/>
      <w:numFmt w:val="lowerRoman"/>
      <w:lvlText w:val="%3."/>
      <w:lvlJc w:val="right"/>
      <w:pPr>
        <w:ind w:left="1677" w:hanging="420"/>
      </w:pPr>
    </w:lvl>
    <w:lvl w:ilvl="3" w:tentative="0">
      <w:start w:val="1"/>
      <w:numFmt w:val="decimal"/>
      <w:lvlText w:val="%4."/>
      <w:lvlJc w:val="left"/>
      <w:pPr>
        <w:ind w:left="2097" w:hanging="420"/>
      </w:pPr>
    </w:lvl>
    <w:lvl w:ilvl="4" w:tentative="0">
      <w:start w:val="1"/>
      <w:numFmt w:val="lowerLetter"/>
      <w:lvlText w:val="%5)"/>
      <w:lvlJc w:val="left"/>
      <w:pPr>
        <w:ind w:left="2517" w:hanging="420"/>
      </w:pPr>
    </w:lvl>
    <w:lvl w:ilvl="5" w:tentative="0">
      <w:start w:val="1"/>
      <w:numFmt w:val="lowerRoman"/>
      <w:lvlText w:val="%6."/>
      <w:lvlJc w:val="right"/>
      <w:pPr>
        <w:ind w:left="2937" w:hanging="420"/>
      </w:pPr>
    </w:lvl>
    <w:lvl w:ilvl="6" w:tentative="0">
      <w:start w:val="1"/>
      <w:numFmt w:val="decimal"/>
      <w:lvlText w:val="%7."/>
      <w:lvlJc w:val="left"/>
      <w:pPr>
        <w:ind w:left="3357" w:hanging="420"/>
      </w:pPr>
    </w:lvl>
    <w:lvl w:ilvl="7" w:tentative="0">
      <w:start w:val="1"/>
      <w:numFmt w:val="lowerLetter"/>
      <w:lvlText w:val="%8)"/>
      <w:lvlJc w:val="left"/>
      <w:pPr>
        <w:ind w:left="3777" w:hanging="420"/>
      </w:pPr>
    </w:lvl>
    <w:lvl w:ilvl="8" w:tentative="0">
      <w:start w:val="1"/>
      <w:numFmt w:val="lowerRoman"/>
      <w:lvlText w:val="%9."/>
      <w:lvlJc w:val="right"/>
      <w:pPr>
        <w:ind w:left="4197" w:hanging="420"/>
      </w:pPr>
    </w:lvl>
  </w:abstractNum>
  <w:abstractNum w:abstractNumId="5">
    <w:nsid w:val="2811445A"/>
    <w:multiLevelType w:val="multilevel"/>
    <w:tmpl w:val="2811445A"/>
    <w:lvl w:ilvl="0" w:tentative="0">
      <w:start w:val="1"/>
      <w:numFmt w:val="decimalEnclosedCircle"/>
      <w:pStyle w:val="88"/>
      <w:lvlText w:val="%1"/>
      <w:lvlJc w:val="left"/>
      <w:pPr>
        <w:tabs>
          <w:tab w:val="left" w:pos="840"/>
        </w:tabs>
        <w:ind w:left="840" w:hanging="360"/>
      </w:pPr>
      <w:rPr>
        <w:rFonts w:hint="default" w:ascii="宋体" w:hAnsi="宋体" w:eastAsia="Times New Roman" w:cs="Times New Roman"/>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 w:numId="2">
    <w:abstractNumId w:val="1"/>
  </w:num>
  <w:num w:numId="3">
    <w:abstractNumId w:val="5"/>
  </w:num>
  <w:num w:numId="4">
    <w:abstractNumId w:val="3"/>
    <w:lvlOverride w:ilvl="0">
      <w:startOverride w:val="1"/>
    </w:lvlOverride>
  </w:num>
  <w:num w:numId="5">
    <w:abstractNumId w:val="3"/>
    <w:lvlOverride w:ilvl="1">
      <w:startOverride w:val="1"/>
    </w:lvlOverride>
  </w:num>
  <w:num w:numId="6">
    <w:abstractNumId w:val="4"/>
  </w:num>
  <w:num w:numId="7">
    <w:abstractNumId w:val="2"/>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2445D"/>
    <w:rsid w:val="001230F2"/>
    <w:rsid w:val="001B5A3D"/>
    <w:rsid w:val="001E7BB7"/>
    <w:rsid w:val="002A0596"/>
    <w:rsid w:val="0032445D"/>
    <w:rsid w:val="003756F4"/>
    <w:rsid w:val="00491556"/>
    <w:rsid w:val="004F2DF6"/>
    <w:rsid w:val="004F3FA4"/>
    <w:rsid w:val="004F641D"/>
    <w:rsid w:val="006543F7"/>
    <w:rsid w:val="00671CC7"/>
    <w:rsid w:val="006768C3"/>
    <w:rsid w:val="00701DAE"/>
    <w:rsid w:val="00963889"/>
    <w:rsid w:val="0097475B"/>
    <w:rsid w:val="00A01EFB"/>
    <w:rsid w:val="00A80AB4"/>
    <w:rsid w:val="00AF3C22"/>
    <w:rsid w:val="00B75BF9"/>
    <w:rsid w:val="00C178D1"/>
    <w:rsid w:val="00C34C59"/>
    <w:rsid w:val="00C65DE4"/>
    <w:rsid w:val="00CC14CB"/>
    <w:rsid w:val="00CF58AD"/>
    <w:rsid w:val="00D757A7"/>
    <w:rsid w:val="00D90EAD"/>
    <w:rsid w:val="00E039E9"/>
    <w:rsid w:val="00E212E2"/>
    <w:rsid w:val="00EB5A4A"/>
    <w:rsid w:val="00F85F6B"/>
    <w:rsid w:val="00FA5E57"/>
    <w:rsid w:val="3D9F6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99"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next w:val="1"/>
    <w:link w:val="46"/>
    <w:qFormat/>
    <w:uiPriority w:val="9"/>
    <w:pPr>
      <w:keepNext/>
      <w:keepLines/>
      <w:tabs>
        <w:tab w:val="left" w:pos="1440"/>
      </w:tabs>
      <w:spacing w:beforeLines="250" w:afterLines="150" w:line="360" w:lineRule="auto"/>
      <w:jc w:val="center"/>
      <w:outlineLvl w:val="0"/>
    </w:pPr>
    <w:rPr>
      <w:rFonts w:ascii="Times New Roman" w:hAnsi="Times New Roman" w:eastAsia="黑体" w:cs="Times New Roman"/>
      <w:b/>
      <w:bCs/>
      <w:kern w:val="44"/>
      <w:sz w:val="52"/>
      <w:szCs w:val="20"/>
      <w:lang w:val="en-US" w:eastAsia="zh-CN" w:bidi="ar-SA"/>
    </w:rPr>
  </w:style>
  <w:style w:type="paragraph" w:styleId="5">
    <w:name w:val="heading 2"/>
    <w:basedOn w:val="1"/>
    <w:next w:val="1"/>
    <w:link w:val="47"/>
    <w:qFormat/>
    <w:uiPriority w:val="9"/>
    <w:pPr>
      <w:keepNext/>
      <w:keepLines/>
      <w:spacing w:before="260" w:after="260" w:line="408" w:lineRule="auto"/>
      <w:outlineLvl w:val="1"/>
    </w:pPr>
    <w:rPr>
      <w:rFonts w:ascii="Arial" w:hAnsi="Arial" w:eastAsia="黑体"/>
      <w:b/>
      <w:kern w:val="0"/>
      <w:sz w:val="32"/>
      <w:szCs w:val="20"/>
    </w:rPr>
  </w:style>
  <w:style w:type="paragraph" w:styleId="6">
    <w:name w:val="heading 3"/>
    <w:next w:val="1"/>
    <w:link w:val="48"/>
    <w:qFormat/>
    <w:uiPriority w:val="9"/>
    <w:pPr>
      <w:keepNext/>
      <w:keepLines/>
      <w:tabs>
        <w:tab w:val="left" w:pos="567"/>
      </w:tabs>
      <w:spacing w:beforeLines="50" w:afterLines="50" w:line="360" w:lineRule="auto"/>
      <w:outlineLvl w:val="2"/>
    </w:pPr>
    <w:rPr>
      <w:rFonts w:ascii="Times New Roman" w:hAnsi="Times New Roman" w:eastAsia="黑体" w:cs="Times New Roman"/>
      <w:b/>
      <w:bCs/>
      <w:kern w:val="2"/>
      <w:sz w:val="36"/>
      <w:szCs w:val="36"/>
      <w:lang w:val="en-US" w:eastAsia="zh-CN" w:bidi="ar-SA"/>
    </w:rPr>
  </w:style>
  <w:style w:type="paragraph" w:styleId="7">
    <w:name w:val="heading 4"/>
    <w:next w:val="1"/>
    <w:link w:val="49"/>
    <w:qFormat/>
    <w:uiPriority w:val="0"/>
    <w:pPr>
      <w:keepNext/>
      <w:keepLines/>
      <w:tabs>
        <w:tab w:val="left" w:pos="-420"/>
      </w:tabs>
      <w:spacing w:beforeLines="50" w:afterLines="50" w:line="360" w:lineRule="auto"/>
      <w:outlineLvl w:val="3"/>
    </w:pPr>
    <w:rPr>
      <w:rFonts w:ascii="Arial" w:hAnsi="Arial" w:eastAsia="黑体" w:cs="Times New Roman"/>
      <w:b/>
      <w:bCs/>
      <w:kern w:val="2"/>
      <w:sz w:val="30"/>
      <w:szCs w:val="28"/>
      <w:lang w:val="en-US" w:eastAsia="zh-CN" w:bidi="ar-SA"/>
    </w:rPr>
  </w:style>
  <w:style w:type="paragraph" w:styleId="8">
    <w:name w:val="heading 5"/>
    <w:next w:val="1"/>
    <w:link w:val="50"/>
    <w:qFormat/>
    <w:uiPriority w:val="9"/>
    <w:pPr>
      <w:keepNext/>
      <w:keepLines/>
      <w:tabs>
        <w:tab w:val="left" w:pos="-420"/>
      </w:tabs>
      <w:spacing w:beforeLines="50" w:afterLines="50" w:line="377" w:lineRule="auto"/>
      <w:outlineLvl w:val="4"/>
    </w:pPr>
    <w:rPr>
      <w:rFonts w:ascii="Times New Roman" w:hAnsi="Times New Roman" w:eastAsia="宋体" w:cs="Times New Roman"/>
      <w:b/>
      <w:bCs/>
      <w:kern w:val="2"/>
      <w:sz w:val="28"/>
      <w:szCs w:val="28"/>
      <w:lang w:val="en-US" w:eastAsia="zh-CN" w:bidi="ar-SA"/>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next w:val="3"/>
    <w:qFormat/>
    <w:uiPriority w:val="0"/>
    <w:rPr>
      <w:sz w:val="18"/>
      <w:szCs w:val="24"/>
    </w:rPr>
  </w:style>
  <w:style w:type="paragraph" w:styleId="3">
    <w:name w:val="Body Text"/>
    <w:basedOn w:val="1"/>
    <w:link w:val="51"/>
    <w:qFormat/>
    <w:uiPriority w:val="99"/>
    <w:pPr>
      <w:spacing w:after="120"/>
    </w:pPr>
    <w:rPr>
      <w:rFonts w:ascii="Calibri" w:hAnsi="Calibri"/>
      <w:kern w:val="0"/>
      <w:sz w:val="28"/>
    </w:rPr>
  </w:style>
  <w:style w:type="paragraph" w:styleId="9">
    <w:name w:val="toc 7"/>
    <w:basedOn w:val="1"/>
    <w:next w:val="1"/>
    <w:semiHidden/>
    <w:unhideWhenUsed/>
    <w:uiPriority w:val="39"/>
    <w:pPr>
      <w:ind w:left="2520" w:leftChars="1200"/>
    </w:pPr>
  </w:style>
  <w:style w:type="paragraph" w:styleId="10">
    <w:name w:val="List Number"/>
    <w:basedOn w:val="1"/>
    <w:qFormat/>
    <w:uiPriority w:val="0"/>
    <w:pPr>
      <w:tabs>
        <w:tab w:val="left" w:pos="360"/>
      </w:tabs>
      <w:ind w:left="360" w:hanging="360"/>
    </w:pPr>
  </w:style>
  <w:style w:type="paragraph" w:styleId="11">
    <w:name w:val="Normal Indent"/>
    <w:basedOn w:val="1"/>
    <w:qFormat/>
    <w:uiPriority w:val="0"/>
    <w:pPr>
      <w:ind w:firstLine="420"/>
    </w:pPr>
  </w:style>
  <w:style w:type="paragraph" w:styleId="12">
    <w:name w:val="caption"/>
    <w:basedOn w:val="1"/>
    <w:next w:val="1"/>
    <w:link w:val="120"/>
    <w:qFormat/>
    <w:uiPriority w:val="99"/>
    <w:pPr>
      <w:spacing w:before="152" w:after="160"/>
    </w:pPr>
    <w:rPr>
      <w:rFonts w:ascii="Arial" w:hAnsi="Arial" w:eastAsia="黑体" w:cs="Arial"/>
    </w:rPr>
  </w:style>
  <w:style w:type="paragraph" w:styleId="13">
    <w:name w:val="List Bullet"/>
    <w:basedOn w:val="1"/>
    <w:qFormat/>
    <w:uiPriority w:val="0"/>
    <w:pPr>
      <w:tabs>
        <w:tab w:val="left" w:pos="360"/>
      </w:tabs>
      <w:ind w:left="360" w:hanging="360"/>
    </w:pPr>
  </w:style>
  <w:style w:type="paragraph" w:styleId="14">
    <w:name w:val="Document Map"/>
    <w:basedOn w:val="1"/>
    <w:link w:val="52"/>
    <w:qFormat/>
    <w:uiPriority w:val="0"/>
    <w:pPr>
      <w:shd w:val="clear" w:color="auto" w:fill="000080"/>
    </w:pPr>
    <w:rPr>
      <w:rFonts w:cs="宋体"/>
      <w:shd w:val="clear" w:color="auto" w:fill="000080"/>
    </w:rPr>
  </w:style>
  <w:style w:type="paragraph" w:styleId="15">
    <w:name w:val="annotation text"/>
    <w:basedOn w:val="1"/>
    <w:link w:val="53"/>
    <w:unhideWhenUsed/>
    <w:qFormat/>
    <w:uiPriority w:val="0"/>
    <w:pPr>
      <w:jc w:val="left"/>
    </w:pPr>
  </w:style>
  <w:style w:type="paragraph" w:styleId="16">
    <w:name w:val="Body Text 3"/>
    <w:basedOn w:val="1"/>
    <w:link w:val="54"/>
    <w:qFormat/>
    <w:uiPriority w:val="0"/>
    <w:pPr>
      <w:snapToGrid w:val="0"/>
      <w:spacing w:before="50" w:after="50"/>
    </w:pPr>
    <w:rPr>
      <w:rFonts w:hAnsi="宋体" w:eastAsia="仿宋_GB2312"/>
      <w:b/>
      <w:sz w:val="24"/>
    </w:rPr>
  </w:style>
  <w:style w:type="paragraph" w:styleId="17">
    <w:name w:val="Body Text Indent"/>
    <w:basedOn w:val="1"/>
    <w:link w:val="55"/>
    <w:qFormat/>
    <w:uiPriority w:val="99"/>
    <w:pPr>
      <w:spacing w:line="200" w:lineRule="exact"/>
      <w:ind w:firstLine="301"/>
    </w:pPr>
    <w:rPr>
      <w:rFonts w:ascii="宋体" w:hAnsi="Courier New"/>
      <w:spacing w:val="-4"/>
      <w:kern w:val="0"/>
      <w:sz w:val="18"/>
    </w:rPr>
  </w:style>
  <w:style w:type="paragraph" w:styleId="18">
    <w:name w:val="List Number 3"/>
    <w:basedOn w:val="1"/>
    <w:qFormat/>
    <w:uiPriority w:val="0"/>
    <w:pPr>
      <w:numPr>
        <w:ilvl w:val="0"/>
        <w:numId w:val="1"/>
      </w:numPr>
      <w:tabs>
        <w:tab w:val="clear" w:pos="360"/>
      </w:tabs>
    </w:pPr>
    <w:rPr>
      <w:szCs w:val="24"/>
    </w:rPr>
  </w:style>
  <w:style w:type="paragraph" w:styleId="19">
    <w:name w:val="List 2"/>
    <w:basedOn w:val="1"/>
    <w:qFormat/>
    <w:uiPriority w:val="0"/>
    <w:pPr>
      <w:ind w:left="100" w:leftChars="200" w:hanging="200" w:hangingChars="200"/>
    </w:pPr>
    <w:rPr>
      <w:sz w:val="28"/>
      <w:szCs w:val="24"/>
    </w:rPr>
  </w:style>
  <w:style w:type="paragraph" w:styleId="20">
    <w:name w:val="Plain Text"/>
    <w:basedOn w:val="1"/>
    <w:link w:val="56"/>
    <w:qFormat/>
    <w:uiPriority w:val="0"/>
    <w:pPr>
      <w:spacing w:beforeLines="50" w:line="400" w:lineRule="exact"/>
    </w:pPr>
    <w:rPr>
      <w:rFonts w:ascii="宋体" w:hAnsi="Courier New"/>
      <w:sz w:val="24"/>
    </w:rPr>
  </w:style>
  <w:style w:type="paragraph" w:styleId="21">
    <w:name w:val="Date"/>
    <w:basedOn w:val="1"/>
    <w:next w:val="1"/>
    <w:link w:val="57"/>
    <w:qFormat/>
    <w:uiPriority w:val="0"/>
    <w:pPr>
      <w:ind w:left="2500" w:leftChars="2500"/>
    </w:pPr>
    <w:rPr>
      <w:rFonts w:ascii="Calibri" w:hAnsi="Calibri" w:eastAsia="楷体_GB2312"/>
      <w:kern w:val="0"/>
      <w:sz w:val="32"/>
    </w:rPr>
  </w:style>
  <w:style w:type="paragraph" w:styleId="22">
    <w:name w:val="Body Text Indent 2"/>
    <w:basedOn w:val="1"/>
    <w:link w:val="58"/>
    <w:qFormat/>
    <w:uiPriority w:val="0"/>
    <w:pPr>
      <w:snapToGrid w:val="0"/>
      <w:ind w:firstLine="542" w:firstLineChars="225"/>
    </w:pPr>
    <w:rPr>
      <w:rFonts w:ascii="仿宋_GB2312" w:hAnsi="宋体"/>
      <w:b/>
      <w:color w:val="000000"/>
      <w:kern w:val="0"/>
      <w:sz w:val="24"/>
    </w:rPr>
  </w:style>
  <w:style w:type="paragraph" w:styleId="23">
    <w:name w:val="Balloon Text"/>
    <w:basedOn w:val="1"/>
    <w:link w:val="59"/>
    <w:qFormat/>
    <w:uiPriority w:val="0"/>
    <w:rPr>
      <w:rFonts w:ascii="Calibri" w:hAnsi="Calibri"/>
      <w:sz w:val="18"/>
      <w:szCs w:val="18"/>
    </w:rPr>
  </w:style>
  <w:style w:type="paragraph" w:styleId="24">
    <w:name w:val="footer"/>
    <w:basedOn w:val="1"/>
    <w:link w:val="45"/>
    <w:unhideWhenUsed/>
    <w:qFormat/>
    <w:uiPriority w:val="0"/>
    <w:pPr>
      <w:tabs>
        <w:tab w:val="center" w:pos="4153"/>
        <w:tab w:val="right" w:pos="8306"/>
      </w:tabs>
      <w:snapToGrid w:val="0"/>
      <w:jc w:val="left"/>
    </w:pPr>
    <w:rPr>
      <w:sz w:val="18"/>
      <w:szCs w:val="18"/>
    </w:rPr>
  </w:style>
  <w:style w:type="paragraph" w:styleId="25">
    <w:name w:val="header"/>
    <w:basedOn w:val="1"/>
    <w:link w:val="44"/>
    <w:unhideWhenUsed/>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0"/>
  </w:style>
  <w:style w:type="paragraph" w:styleId="27">
    <w:name w:val="List"/>
    <w:basedOn w:val="1"/>
    <w:qFormat/>
    <w:uiPriority w:val="99"/>
    <w:pPr>
      <w:ind w:left="200" w:hanging="200" w:hangingChars="200"/>
    </w:pPr>
    <w:rPr>
      <w:sz w:val="28"/>
    </w:rPr>
  </w:style>
  <w:style w:type="paragraph" w:styleId="28">
    <w:name w:val="Body Text Indent 3"/>
    <w:basedOn w:val="1"/>
    <w:link w:val="60"/>
    <w:qFormat/>
    <w:uiPriority w:val="99"/>
    <w:pPr>
      <w:snapToGrid w:val="0"/>
      <w:ind w:firstLine="480" w:firstLineChars="200"/>
      <w:jc w:val="left"/>
    </w:pPr>
    <w:rPr>
      <w:rFonts w:ascii="仿宋_GB2312" w:hAnsi="宋体" w:eastAsia="仿宋_GB2312"/>
      <w:color w:val="000000"/>
      <w:kern w:val="0"/>
      <w:sz w:val="24"/>
    </w:rPr>
  </w:style>
  <w:style w:type="paragraph" w:styleId="29">
    <w:name w:val="Body Text 2"/>
    <w:basedOn w:val="1"/>
    <w:link w:val="61"/>
    <w:qFormat/>
    <w:uiPriority w:val="0"/>
    <w:pPr>
      <w:widowControl/>
      <w:overflowPunct w:val="0"/>
      <w:autoSpaceDE w:val="0"/>
      <w:autoSpaceDN w:val="0"/>
      <w:adjustRightInd w:val="0"/>
      <w:spacing w:line="280" w:lineRule="exact"/>
      <w:jc w:val="center"/>
      <w:textAlignment w:val="baseline"/>
    </w:pPr>
    <w:rPr>
      <w:rFonts w:ascii="宋体" w:hAnsi="宋体" w:cs="宋体"/>
      <w:bCs/>
    </w:rPr>
  </w:style>
  <w:style w:type="paragraph" w:styleId="30">
    <w:name w:val="HTML Preformatted"/>
    <w:basedOn w:val="1"/>
    <w:link w:val="6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paragraph" w:styleId="31">
    <w:name w:val="Normal (Web)"/>
    <w:basedOn w:val="1"/>
    <w:qFormat/>
    <w:uiPriority w:val="0"/>
    <w:pPr>
      <w:widowControl/>
      <w:spacing w:before="100" w:beforeAutospacing="1" w:after="100" w:afterAutospacing="1"/>
      <w:jc w:val="left"/>
    </w:pPr>
    <w:rPr>
      <w:rFonts w:ascii="(使用中文字体)" w:hAnsi="(使用中文字体)" w:cs="(使用中文字体)"/>
      <w:kern w:val="0"/>
      <w:sz w:val="24"/>
      <w:szCs w:val="24"/>
    </w:rPr>
  </w:style>
  <w:style w:type="paragraph" w:styleId="32">
    <w:name w:val="index 1"/>
    <w:basedOn w:val="1"/>
    <w:next w:val="1"/>
    <w:qFormat/>
    <w:uiPriority w:val="0"/>
    <w:pPr>
      <w:tabs>
        <w:tab w:val="left" w:pos="900"/>
      </w:tabs>
      <w:adjustRightInd w:val="0"/>
      <w:ind w:firstLine="420" w:firstLineChars="200"/>
    </w:pPr>
    <w:rPr>
      <w:rFonts w:ascii="宋体" w:hAnsi="宋体"/>
    </w:rPr>
  </w:style>
  <w:style w:type="paragraph" w:styleId="33">
    <w:name w:val="annotation subject"/>
    <w:basedOn w:val="15"/>
    <w:next w:val="15"/>
    <w:link w:val="63"/>
    <w:qFormat/>
    <w:uiPriority w:val="0"/>
    <w:rPr>
      <w:rFonts w:cs="宋体"/>
      <w:b/>
      <w:bCs/>
    </w:rPr>
  </w:style>
  <w:style w:type="paragraph" w:styleId="34">
    <w:name w:val="Body Text First Indent"/>
    <w:basedOn w:val="3"/>
    <w:link w:val="64"/>
    <w:unhideWhenUsed/>
    <w:qFormat/>
    <w:uiPriority w:val="99"/>
    <w:pPr>
      <w:ind w:firstLine="420" w:firstLineChars="100"/>
    </w:pPr>
    <w:rPr>
      <w:rFonts w:ascii="Times New Roman"/>
      <w:sz w:val="21"/>
    </w:rPr>
  </w:style>
  <w:style w:type="paragraph" w:styleId="35">
    <w:name w:val="Body Text First Indent 2"/>
    <w:basedOn w:val="17"/>
    <w:link w:val="65"/>
    <w:qFormat/>
    <w:uiPriority w:val="0"/>
    <w:pPr>
      <w:spacing w:after="120" w:line="240" w:lineRule="auto"/>
      <w:ind w:left="420" w:leftChars="200" w:firstLine="420" w:firstLineChars="200"/>
    </w:pPr>
    <w:rPr>
      <w:rFonts w:ascii="Calibri" w:hAnsi="Calibri"/>
      <w:spacing w:val="0"/>
      <w:kern w:val="2"/>
      <w:sz w:val="21"/>
      <w:szCs w:val="24"/>
    </w:rPr>
  </w:style>
  <w:style w:type="table" w:styleId="37">
    <w:name w:val="Table Grid"/>
    <w:basedOn w:val="36"/>
    <w:qFormat/>
    <w:uiPriority w:val="3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9">
    <w:name w:val="Strong"/>
    <w:qFormat/>
    <w:uiPriority w:val="0"/>
    <w:rPr>
      <w:rFonts w:hint="default" w:ascii="Times New Roman" w:hAnsi="Times New Roman" w:cs="Times New Roman"/>
      <w:b/>
      <w:bCs/>
    </w:rPr>
  </w:style>
  <w:style w:type="character" w:styleId="40">
    <w:name w:val="page number"/>
    <w:basedOn w:val="38"/>
    <w:qFormat/>
    <w:uiPriority w:val="0"/>
  </w:style>
  <w:style w:type="character" w:styleId="41">
    <w:name w:val="FollowedHyperlink"/>
    <w:qFormat/>
    <w:uiPriority w:val="0"/>
    <w:rPr>
      <w:color w:val="800080"/>
      <w:u w:val="single"/>
    </w:rPr>
  </w:style>
  <w:style w:type="character" w:styleId="42">
    <w:name w:val="Hyperlink"/>
    <w:qFormat/>
    <w:uiPriority w:val="0"/>
    <w:rPr>
      <w:color w:val="0000FF"/>
      <w:u w:val="single"/>
    </w:rPr>
  </w:style>
  <w:style w:type="character" w:styleId="43">
    <w:name w:val="annotation reference"/>
    <w:qFormat/>
    <w:uiPriority w:val="99"/>
    <w:rPr>
      <w:sz w:val="21"/>
      <w:szCs w:val="21"/>
    </w:rPr>
  </w:style>
  <w:style w:type="character" w:customStyle="1" w:styleId="44">
    <w:name w:val="页眉 Char"/>
    <w:basedOn w:val="38"/>
    <w:link w:val="25"/>
    <w:qFormat/>
    <w:uiPriority w:val="0"/>
    <w:rPr>
      <w:sz w:val="18"/>
      <w:szCs w:val="18"/>
    </w:rPr>
  </w:style>
  <w:style w:type="character" w:customStyle="1" w:styleId="45">
    <w:name w:val="页脚 Char"/>
    <w:basedOn w:val="38"/>
    <w:link w:val="24"/>
    <w:qFormat/>
    <w:uiPriority w:val="0"/>
    <w:rPr>
      <w:sz w:val="18"/>
      <w:szCs w:val="18"/>
    </w:rPr>
  </w:style>
  <w:style w:type="character" w:customStyle="1" w:styleId="46">
    <w:name w:val="标题 1 Char"/>
    <w:basedOn w:val="38"/>
    <w:link w:val="4"/>
    <w:qFormat/>
    <w:uiPriority w:val="9"/>
    <w:rPr>
      <w:rFonts w:ascii="Times New Roman" w:hAnsi="Times New Roman" w:eastAsia="黑体" w:cs="Times New Roman"/>
      <w:b/>
      <w:bCs/>
      <w:kern w:val="44"/>
      <w:sz w:val="52"/>
      <w:szCs w:val="20"/>
    </w:rPr>
  </w:style>
  <w:style w:type="character" w:customStyle="1" w:styleId="47">
    <w:name w:val="标题 2 Char"/>
    <w:basedOn w:val="38"/>
    <w:link w:val="5"/>
    <w:qFormat/>
    <w:uiPriority w:val="9"/>
    <w:rPr>
      <w:rFonts w:ascii="Arial" w:hAnsi="Arial" w:eastAsia="黑体" w:cs="Times New Roman"/>
      <w:b/>
      <w:kern w:val="0"/>
      <w:sz w:val="32"/>
      <w:szCs w:val="20"/>
    </w:rPr>
  </w:style>
  <w:style w:type="character" w:customStyle="1" w:styleId="48">
    <w:name w:val="标题 3 Char"/>
    <w:basedOn w:val="38"/>
    <w:link w:val="6"/>
    <w:qFormat/>
    <w:uiPriority w:val="9"/>
    <w:rPr>
      <w:rFonts w:ascii="Times New Roman" w:hAnsi="Times New Roman" w:eastAsia="黑体" w:cs="Times New Roman"/>
      <w:b/>
      <w:bCs/>
      <w:sz w:val="36"/>
      <w:szCs w:val="36"/>
    </w:rPr>
  </w:style>
  <w:style w:type="character" w:customStyle="1" w:styleId="49">
    <w:name w:val="标题 4 Char"/>
    <w:basedOn w:val="38"/>
    <w:link w:val="7"/>
    <w:qFormat/>
    <w:uiPriority w:val="0"/>
    <w:rPr>
      <w:rFonts w:ascii="Arial" w:hAnsi="Arial" w:eastAsia="黑体" w:cs="Times New Roman"/>
      <w:b/>
      <w:bCs/>
      <w:sz w:val="30"/>
      <w:szCs w:val="28"/>
    </w:rPr>
  </w:style>
  <w:style w:type="character" w:customStyle="1" w:styleId="50">
    <w:name w:val="标题 5 Char"/>
    <w:basedOn w:val="38"/>
    <w:link w:val="8"/>
    <w:qFormat/>
    <w:uiPriority w:val="9"/>
    <w:rPr>
      <w:rFonts w:ascii="Times New Roman" w:hAnsi="Times New Roman" w:eastAsia="宋体" w:cs="Times New Roman"/>
      <w:b/>
      <w:bCs/>
      <w:sz w:val="28"/>
      <w:szCs w:val="28"/>
    </w:rPr>
  </w:style>
  <w:style w:type="character" w:customStyle="1" w:styleId="51">
    <w:name w:val="正文文本 Char"/>
    <w:basedOn w:val="38"/>
    <w:link w:val="3"/>
    <w:qFormat/>
    <w:uiPriority w:val="99"/>
    <w:rPr>
      <w:rFonts w:ascii="Calibri" w:hAnsi="Calibri" w:eastAsia="宋体" w:cs="Times New Roman"/>
      <w:kern w:val="0"/>
      <w:sz w:val="28"/>
    </w:rPr>
  </w:style>
  <w:style w:type="character" w:customStyle="1" w:styleId="52">
    <w:name w:val="文档结构图 Char"/>
    <w:basedOn w:val="38"/>
    <w:link w:val="14"/>
    <w:qFormat/>
    <w:uiPriority w:val="0"/>
    <w:rPr>
      <w:rFonts w:ascii="Times New Roman" w:hAnsi="Times New Roman" w:eastAsia="宋体" w:cs="宋体"/>
      <w:shd w:val="clear" w:color="auto" w:fill="000080"/>
    </w:rPr>
  </w:style>
  <w:style w:type="character" w:customStyle="1" w:styleId="53">
    <w:name w:val="批注文字 Char"/>
    <w:basedOn w:val="38"/>
    <w:link w:val="15"/>
    <w:qFormat/>
    <w:uiPriority w:val="0"/>
    <w:rPr>
      <w:rFonts w:ascii="Times New Roman" w:hAnsi="Times New Roman" w:eastAsia="宋体" w:cs="Times New Roman"/>
    </w:rPr>
  </w:style>
  <w:style w:type="character" w:customStyle="1" w:styleId="54">
    <w:name w:val="正文文本 3 Char"/>
    <w:basedOn w:val="38"/>
    <w:link w:val="16"/>
    <w:qFormat/>
    <w:uiPriority w:val="0"/>
    <w:rPr>
      <w:rFonts w:ascii="Times New Roman" w:hAnsi="宋体" w:eastAsia="仿宋_GB2312" w:cs="Times New Roman"/>
      <w:b/>
      <w:sz w:val="24"/>
    </w:rPr>
  </w:style>
  <w:style w:type="character" w:customStyle="1" w:styleId="55">
    <w:name w:val="正文文本缩进 Char"/>
    <w:basedOn w:val="38"/>
    <w:link w:val="17"/>
    <w:qFormat/>
    <w:uiPriority w:val="99"/>
    <w:rPr>
      <w:rFonts w:ascii="宋体" w:hAnsi="Courier New" w:eastAsia="宋体" w:cs="Times New Roman"/>
      <w:spacing w:val="-4"/>
      <w:kern w:val="0"/>
      <w:sz w:val="18"/>
    </w:rPr>
  </w:style>
  <w:style w:type="character" w:customStyle="1" w:styleId="56">
    <w:name w:val="纯文本 Char"/>
    <w:basedOn w:val="38"/>
    <w:link w:val="20"/>
    <w:qFormat/>
    <w:uiPriority w:val="0"/>
    <w:rPr>
      <w:rFonts w:ascii="宋体" w:hAnsi="Courier New" w:eastAsia="宋体" w:cs="Times New Roman"/>
      <w:sz w:val="24"/>
    </w:rPr>
  </w:style>
  <w:style w:type="character" w:customStyle="1" w:styleId="57">
    <w:name w:val="日期 Char"/>
    <w:basedOn w:val="38"/>
    <w:link w:val="21"/>
    <w:qFormat/>
    <w:uiPriority w:val="0"/>
    <w:rPr>
      <w:rFonts w:ascii="Calibri" w:hAnsi="Calibri" w:eastAsia="楷体_GB2312" w:cs="Times New Roman"/>
      <w:kern w:val="0"/>
      <w:sz w:val="32"/>
    </w:rPr>
  </w:style>
  <w:style w:type="character" w:customStyle="1" w:styleId="58">
    <w:name w:val="正文文本缩进 2 Char"/>
    <w:basedOn w:val="38"/>
    <w:link w:val="22"/>
    <w:qFormat/>
    <w:uiPriority w:val="0"/>
    <w:rPr>
      <w:rFonts w:ascii="仿宋_GB2312" w:hAnsi="宋体" w:eastAsia="宋体" w:cs="Times New Roman"/>
      <w:b/>
      <w:color w:val="000000"/>
      <w:kern w:val="0"/>
      <w:sz w:val="24"/>
    </w:rPr>
  </w:style>
  <w:style w:type="character" w:customStyle="1" w:styleId="59">
    <w:name w:val="批注框文本 Char"/>
    <w:basedOn w:val="38"/>
    <w:link w:val="23"/>
    <w:qFormat/>
    <w:uiPriority w:val="0"/>
    <w:rPr>
      <w:rFonts w:ascii="Calibri" w:hAnsi="Calibri" w:eastAsia="宋体" w:cs="Times New Roman"/>
      <w:sz w:val="18"/>
      <w:szCs w:val="18"/>
    </w:rPr>
  </w:style>
  <w:style w:type="character" w:customStyle="1" w:styleId="60">
    <w:name w:val="正文文本缩进 3 Char"/>
    <w:basedOn w:val="38"/>
    <w:link w:val="28"/>
    <w:qFormat/>
    <w:uiPriority w:val="99"/>
    <w:rPr>
      <w:rFonts w:ascii="仿宋_GB2312" w:hAnsi="宋体" w:eastAsia="仿宋_GB2312" w:cs="Times New Roman"/>
      <w:color w:val="000000"/>
      <w:kern w:val="0"/>
      <w:sz w:val="24"/>
    </w:rPr>
  </w:style>
  <w:style w:type="character" w:customStyle="1" w:styleId="61">
    <w:name w:val="正文文本 2 Char"/>
    <w:basedOn w:val="38"/>
    <w:link w:val="29"/>
    <w:qFormat/>
    <w:uiPriority w:val="0"/>
    <w:rPr>
      <w:rFonts w:ascii="宋体" w:hAnsi="宋体" w:eastAsia="宋体" w:cs="宋体"/>
      <w:bCs/>
    </w:rPr>
  </w:style>
  <w:style w:type="character" w:customStyle="1" w:styleId="62">
    <w:name w:val="HTML 预设格式 Char"/>
    <w:basedOn w:val="38"/>
    <w:link w:val="30"/>
    <w:qFormat/>
    <w:uiPriority w:val="99"/>
    <w:rPr>
      <w:rFonts w:ascii="Courier New" w:hAnsi="Courier New" w:eastAsia="宋体" w:cs="Times New Roman"/>
      <w:kern w:val="0"/>
      <w:sz w:val="20"/>
      <w:szCs w:val="20"/>
    </w:rPr>
  </w:style>
  <w:style w:type="character" w:customStyle="1" w:styleId="63">
    <w:name w:val="批注主题 Char"/>
    <w:basedOn w:val="53"/>
    <w:link w:val="33"/>
    <w:qFormat/>
    <w:uiPriority w:val="0"/>
    <w:rPr>
      <w:rFonts w:cs="宋体"/>
      <w:b/>
      <w:bCs/>
    </w:rPr>
  </w:style>
  <w:style w:type="character" w:customStyle="1" w:styleId="64">
    <w:name w:val="正文首行缩进 Char"/>
    <w:basedOn w:val="51"/>
    <w:link w:val="34"/>
    <w:qFormat/>
    <w:uiPriority w:val="99"/>
    <w:rPr>
      <w:rFonts w:ascii="Times New Roman"/>
    </w:rPr>
  </w:style>
  <w:style w:type="character" w:customStyle="1" w:styleId="65">
    <w:name w:val="正文首行缩进 2 Char"/>
    <w:basedOn w:val="55"/>
    <w:link w:val="35"/>
    <w:qFormat/>
    <w:uiPriority w:val="0"/>
    <w:rPr>
      <w:rFonts w:ascii="Calibri" w:hAnsi="Calibri"/>
      <w:szCs w:val="24"/>
    </w:rPr>
  </w:style>
  <w:style w:type="paragraph" w:customStyle="1" w:styleId="66">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7">
    <w:name w:val="默认段落字体 Para Char Char Char Char Char Char Char Char Char1 Char Char Char Char"/>
    <w:basedOn w:val="1"/>
    <w:qFormat/>
    <w:uiPriority w:val="99"/>
    <w:rPr>
      <w:rFonts w:ascii="Tahoma" w:hAnsi="Tahoma"/>
      <w:sz w:val="24"/>
    </w:rPr>
  </w:style>
  <w:style w:type="paragraph" w:customStyle="1" w:styleId="68">
    <w:name w:val="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9">
    <w:name w:val="章正文"/>
    <w:qFormat/>
    <w:uiPriority w:val="0"/>
    <w:pPr>
      <w:widowControl w:val="0"/>
      <w:spacing w:beforeLines="50" w:after="120" w:line="300" w:lineRule="auto"/>
      <w:ind w:firstLine="480"/>
      <w:jc w:val="both"/>
    </w:pPr>
    <w:rPr>
      <w:rFonts w:ascii="Helvetica" w:hAnsi="Helvetica" w:eastAsia="宋体" w:cs="宋体"/>
      <w:kern w:val="0"/>
      <w:sz w:val="24"/>
      <w:szCs w:val="24"/>
      <w:lang w:val="en-US" w:eastAsia="zh-CN" w:bidi="ar-SA"/>
    </w:rPr>
  </w:style>
  <w:style w:type="paragraph" w:customStyle="1" w:styleId="70">
    <w:name w:val="列出段落5"/>
    <w:basedOn w:val="1"/>
    <w:qFormat/>
    <w:uiPriority w:val="99"/>
    <w:pPr>
      <w:ind w:firstLine="420" w:firstLineChars="200"/>
    </w:pPr>
    <w:rPr>
      <w:rFonts w:ascii="Calibri" w:hAnsi="Calibri" w:eastAsia="等线"/>
      <w:sz w:val="24"/>
      <w:szCs w:val="24"/>
    </w:rPr>
  </w:style>
  <w:style w:type="paragraph" w:customStyle="1" w:styleId="71">
    <w:name w:val="Char Char Char Char Char Char"/>
    <w:basedOn w:val="1"/>
    <w:qFormat/>
    <w:uiPriority w:val="0"/>
    <w:pPr>
      <w:widowControl/>
      <w:spacing w:after="160" w:line="240" w:lineRule="exact"/>
      <w:jc w:val="left"/>
    </w:pPr>
    <w:rPr>
      <w:rFonts w:ascii="(使用中文字体)" w:hAnsi="(使用中文字体)"/>
      <w:kern w:val="0"/>
      <w:sz w:val="20"/>
      <w:szCs w:val="20"/>
      <w:lang w:eastAsia="en-US"/>
    </w:rPr>
  </w:style>
  <w:style w:type="paragraph" w:customStyle="1" w:styleId="72">
    <w:name w:val="普通(网站)11"/>
    <w:basedOn w:val="1"/>
    <w:qFormat/>
    <w:uiPriority w:val="0"/>
    <w:pPr>
      <w:widowControl/>
      <w:spacing w:beforeAutospacing="1" w:afterAutospacing="1"/>
      <w:jc w:val="left"/>
    </w:pPr>
    <w:rPr>
      <w:rFonts w:ascii="宋体" w:hAnsi="宋体"/>
      <w:kern w:val="0"/>
      <w:sz w:val="24"/>
      <w:szCs w:val="24"/>
    </w:rPr>
  </w:style>
  <w:style w:type="paragraph" w:customStyle="1" w:styleId="73">
    <w:name w:val="图"/>
    <w:basedOn w:val="1"/>
    <w:qFormat/>
    <w:uiPriority w:val="0"/>
    <w:pPr>
      <w:keepNext/>
      <w:adjustRightInd w:val="0"/>
      <w:snapToGrid w:val="0"/>
      <w:spacing w:before="60" w:after="60" w:line="300" w:lineRule="auto"/>
      <w:jc w:val="center"/>
    </w:pPr>
    <w:rPr>
      <w:spacing w:val="20"/>
      <w:kern w:val="0"/>
      <w:sz w:val="24"/>
    </w:rPr>
  </w:style>
  <w:style w:type="paragraph" w:customStyle="1" w:styleId="74">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kern w:val="0"/>
      <w:sz w:val="21"/>
      <w:szCs w:val="20"/>
      <w:lang w:val="en-US" w:eastAsia="zh-CN" w:bidi="ar-SA"/>
    </w:rPr>
  </w:style>
  <w:style w:type="paragraph" w:customStyle="1" w:styleId="75">
    <w:name w:val="标准有序列表（L1）"/>
    <w:basedOn w:val="11"/>
    <w:qFormat/>
    <w:uiPriority w:val="0"/>
    <w:pPr>
      <w:numPr>
        <w:ilvl w:val="0"/>
        <w:numId w:val="2"/>
      </w:numPr>
      <w:tabs>
        <w:tab w:val="left" w:pos="0"/>
        <w:tab w:val="left" w:pos="2280"/>
      </w:tabs>
      <w:spacing w:line="360" w:lineRule="auto"/>
      <w:ind w:left="0" w:firstLine="0"/>
    </w:pPr>
    <w:rPr>
      <w:rFonts w:ascii="黑体" w:eastAsia="黑体"/>
      <w:color w:val="000000"/>
      <w:sz w:val="24"/>
      <w:szCs w:val="20"/>
    </w:rPr>
  </w:style>
  <w:style w:type="paragraph" w:customStyle="1" w:styleId="76">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77">
    <w:name w:val="表格"/>
    <w:basedOn w:val="1"/>
    <w:qFormat/>
    <w:uiPriority w:val="0"/>
    <w:pPr>
      <w:snapToGrid w:val="0"/>
      <w:spacing w:after="120"/>
    </w:pPr>
    <w:rPr>
      <w:rFonts w:ascii="仿宋_GB2312" w:hAnsi="Tahoma" w:eastAsia="仿宋_GB2312" w:cs="Tahoma"/>
      <w:color w:val="000000"/>
      <w:kern w:val="0"/>
      <w:sz w:val="24"/>
      <w:szCs w:val="24"/>
    </w:rPr>
  </w:style>
  <w:style w:type="paragraph" w:customStyle="1" w:styleId="78">
    <w:name w:val="GW-正文"/>
    <w:basedOn w:val="1"/>
    <w:link w:val="106"/>
    <w:qFormat/>
    <w:uiPriority w:val="99"/>
    <w:pPr>
      <w:spacing w:line="360" w:lineRule="auto"/>
      <w:ind w:firstLine="200" w:firstLineChars="200"/>
      <w:contextualSpacing/>
    </w:pPr>
    <w:rPr>
      <w:rFonts w:ascii="Arial Narrow" w:hAnsi="Arial Narrow"/>
      <w:kern w:val="0"/>
      <w:sz w:val="24"/>
      <w:szCs w:val="24"/>
    </w:rPr>
  </w:style>
  <w:style w:type="paragraph" w:customStyle="1" w:styleId="79">
    <w:name w:val="Char Char10"/>
    <w:basedOn w:val="1"/>
    <w:qFormat/>
    <w:uiPriority w:val="0"/>
    <w:pPr>
      <w:widowControl/>
      <w:spacing w:after="160" w:line="240" w:lineRule="exact"/>
      <w:jc w:val="left"/>
    </w:pPr>
    <w:rPr>
      <w:kern w:val="0"/>
      <w:sz w:val="20"/>
      <w:szCs w:val="24"/>
    </w:rPr>
  </w:style>
  <w:style w:type="paragraph" w:customStyle="1" w:styleId="80">
    <w:name w:val="正文文本缩进11"/>
    <w:basedOn w:val="1"/>
    <w:qFormat/>
    <w:uiPriority w:val="0"/>
    <w:pPr>
      <w:spacing w:line="200" w:lineRule="exact"/>
      <w:ind w:firstLine="301"/>
    </w:pPr>
    <w:rPr>
      <w:rFonts w:ascii="Calibri" w:hAnsi="Calibri"/>
      <w:szCs w:val="20"/>
    </w:rPr>
  </w:style>
  <w:style w:type="paragraph" w:customStyle="1" w:styleId="81">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
    <w:name w:val="首行缩进2字符"/>
    <w:basedOn w:val="1"/>
    <w:qFormat/>
    <w:uiPriority w:val="0"/>
    <w:pPr>
      <w:spacing w:line="360" w:lineRule="auto"/>
      <w:ind w:firstLine="200" w:firstLineChars="200"/>
    </w:pPr>
    <w:rPr>
      <w:rFonts w:ascii="Calibri" w:hAnsi="Calibri"/>
      <w:sz w:val="24"/>
      <w:szCs w:val="21"/>
    </w:rPr>
  </w:style>
  <w:style w:type="paragraph" w:customStyle="1" w:styleId="83">
    <w:name w:val="默认段落字体 Para Char"/>
    <w:basedOn w:val="1"/>
    <w:qFormat/>
    <w:uiPriority w:val="0"/>
    <w:rPr>
      <w:szCs w:val="20"/>
    </w:rPr>
  </w:style>
  <w:style w:type="paragraph" w:customStyle="1" w:styleId="84">
    <w:name w:val="Char"/>
    <w:basedOn w:val="1"/>
    <w:link w:val="119"/>
    <w:qFormat/>
    <w:uiPriority w:val="99"/>
    <w:rPr>
      <w:rFonts w:ascii="Calibri" w:hAnsi="Calibri" w:cs="宋体"/>
      <w:szCs w:val="24"/>
    </w:rPr>
  </w:style>
  <w:style w:type="paragraph" w:customStyle="1" w:styleId="85">
    <w:name w:val="正文段"/>
    <w:basedOn w:val="1"/>
    <w:qFormat/>
    <w:uiPriority w:val="0"/>
    <w:pPr>
      <w:widowControl/>
      <w:snapToGrid w:val="0"/>
      <w:spacing w:afterLines="50"/>
      <w:ind w:firstLine="200" w:firstLineChars="200"/>
    </w:pPr>
    <w:rPr>
      <w:kern w:val="0"/>
      <w:sz w:val="24"/>
      <w:szCs w:val="20"/>
    </w:rPr>
  </w:style>
  <w:style w:type="paragraph" w:customStyle="1" w:styleId="86">
    <w:name w:val="自动更正"/>
    <w:qFormat/>
    <w:uiPriority w:val="0"/>
    <w:pPr>
      <w:widowControl w:val="0"/>
      <w:jc w:val="both"/>
    </w:pPr>
    <w:rPr>
      <w:rFonts w:ascii="Calibri" w:hAnsi="Calibri" w:eastAsia="宋体" w:cs="Times New Roman"/>
      <w:kern w:val="2"/>
      <w:sz w:val="21"/>
      <w:szCs w:val="24"/>
      <w:lang w:val="en-US" w:eastAsia="zh-CN" w:bidi="ar-SA"/>
    </w:rPr>
  </w:style>
  <w:style w:type="paragraph" w:customStyle="1" w:styleId="87">
    <w:name w:val="列出段落1"/>
    <w:basedOn w:val="1"/>
    <w:link w:val="129"/>
    <w:qFormat/>
    <w:uiPriority w:val="99"/>
    <w:pPr>
      <w:ind w:firstLine="420" w:firstLineChars="200"/>
    </w:pPr>
    <w:rPr>
      <w:rFonts w:ascii="Calibri" w:hAnsi="Calibri"/>
      <w:szCs w:val="24"/>
    </w:rPr>
  </w:style>
  <w:style w:type="paragraph" w:customStyle="1" w:styleId="88">
    <w:name w:val="书籍标题1"/>
    <w:basedOn w:val="1"/>
    <w:next w:val="1"/>
    <w:qFormat/>
    <w:uiPriority w:val="0"/>
    <w:pPr>
      <w:pageBreakBefore/>
      <w:widowControl/>
      <w:numPr>
        <w:ilvl w:val="0"/>
        <w:numId w:val="3"/>
      </w:numPr>
      <w:spacing w:beforeLines="200"/>
      <w:ind w:left="2520"/>
      <w:jc w:val="center"/>
      <w:outlineLvl w:val="0"/>
    </w:pPr>
    <w:rPr>
      <w:rFonts w:eastAsia="黑体"/>
      <w:b/>
      <w:spacing w:val="20"/>
      <w:kern w:val="44"/>
      <w:sz w:val="44"/>
    </w:rPr>
  </w:style>
  <w:style w:type="paragraph" w:customStyle="1" w:styleId="89">
    <w:name w:val="正文_20"/>
    <w:qFormat/>
    <w:uiPriority w:val="0"/>
    <w:pPr>
      <w:widowControl w:val="0"/>
      <w:jc w:val="both"/>
    </w:pPr>
    <w:rPr>
      <w:rFonts w:ascii="Times New Roman" w:hAnsi="Times New Roman" w:eastAsia="等线" w:cs="Times New Roman"/>
      <w:kern w:val="2"/>
      <w:sz w:val="21"/>
      <w:szCs w:val="24"/>
      <w:lang w:val="en-US" w:eastAsia="zh-CN" w:bidi="ar-SA"/>
    </w:rPr>
  </w:style>
  <w:style w:type="paragraph" w:customStyle="1" w:styleId="90">
    <w:name w:val="Table Paragraph"/>
    <w:basedOn w:val="1"/>
    <w:qFormat/>
    <w:uiPriority w:val="0"/>
    <w:pPr>
      <w:spacing w:before="119"/>
    </w:pPr>
    <w:rPr>
      <w:rFonts w:ascii="宋体" w:hAnsi="宋体" w:cs="宋体"/>
      <w:szCs w:val="24"/>
      <w:lang w:val="zh-CN" w:bidi="zh-CN"/>
    </w:rPr>
  </w:style>
  <w:style w:type="paragraph" w:customStyle="1" w:styleId="91">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92">
    <w:name w:val="样式2"/>
    <w:basedOn w:val="84"/>
    <w:qFormat/>
    <w:uiPriority w:val="0"/>
    <w:pPr>
      <w:tabs>
        <w:tab w:val="left" w:pos="432"/>
      </w:tabs>
      <w:spacing w:beforeLines="50" w:afterLines="50"/>
      <w:ind w:left="432" w:hanging="432"/>
    </w:pPr>
    <w:rPr>
      <w:b/>
      <w:szCs w:val="21"/>
      <w:u w:val="thick"/>
    </w:rPr>
  </w:style>
  <w:style w:type="paragraph" w:customStyle="1" w:styleId="93">
    <w:name w:val="样式1"/>
    <w:basedOn w:val="84"/>
    <w:qFormat/>
    <w:uiPriority w:val="0"/>
    <w:pPr>
      <w:tabs>
        <w:tab w:val="left" w:pos="432"/>
      </w:tabs>
      <w:spacing w:beforeLines="50" w:afterLines="50"/>
      <w:ind w:left="642" w:leftChars="100" w:right="100" w:rightChars="100" w:hanging="432"/>
      <w:jc w:val="right"/>
    </w:pPr>
    <w:rPr>
      <w:b/>
      <w:i/>
      <w:szCs w:val="21"/>
      <w:u w:val="thick"/>
    </w:rPr>
  </w:style>
  <w:style w:type="paragraph" w:customStyle="1" w:styleId="94">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5">
    <w:name w:val="正文首行缩进2字符"/>
    <w:basedOn w:val="1"/>
    <w:link w:val="123"/>
    <w:qFormat/>
    <w:uiPriority w:val="0"/>
    <w:pPr>
      <w:spacing w:line="360" w:lineRule="auto"/>
      <w:ind w:firstLine="200" w:firstLineChars="200"/>
    </w:pPr>
    <w:rPr>
      <w:rFonts w:cs="宋体"/>
      <w:sz w:val="24"/>
    </w:rPr>
  </w:style>
  <w:style w:type="paragraph" w:customStyle="1" w:styleId="96">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7">
    <w:name w:val="表格内容"/>
    <w:next w:val="95"/>
    <w:link w:val="124"/>
    <w:qFormat/>
    <w:uiPriority w:val="0"/>
    <w:pPr>
      <w:jc w:val="center"/>
    </w:pPr>
    <w:rPr>
      <w:rFonts w:ascii="仿宋" w:hAnsi="仿宋" w:eastAsia="仿宋" w:cs="宋体"/>
      <w:kern w:val="2"/>
      <w:sz w:val="24"/>
      <w:szCs w:val="22"/>
      <w:lang w:val="en-US" w:eastAsia="zh-CN" w:bidi="ar-SA"/>
    </w:rPr>
  </w:style>
  <w:style w:type="paragraph" w:customStyle="1" w:styleId="98">
    <w:name w:val="Default"/>
    <w:qFormat/>
    <w:uiPriority w:val="0"/>
    <w:pPr>
      <w:widowControl w:val="0"/>
      <w:autoSpaceDE w:val="0"/>
      <w:autoSpaceDN w:val="0"/>
      <w:adjustRightInd w:val="0"/>
    </w:pPr>
    <w:rPr>
      <w:rFonts w:ascii="华文中宋" w:hAnsi="Calibri" w:eastAsia="华文中宋" w:cs="华文中宋"/>
      <w:color w:val="000000"/>
      <w:kern w:val="0"/>
      <w:sz w:val="24"/>
      <w:szCs w:val="24"/>
      <w:lang w:val="en-US" w:eastAsia="zh-CN" w:bidi="ar-SA"/>
    </w:rPr>
  </w:style>
  <w:style w:type="paragraph" w:customStyle="1" w:styleId="99">
    <w:name w:val="列项中圆1"/>
    <w:basedOn w:val="1"/>
    <w:next w:val="1"/>
    <w:qFormat/>
    <w:uiPriority w:val="0"/>
    <w:pPr>
      <w:tabs>
        <w:tab w:val="left" w:pos="839"/>
      </w:tabs>
      <w:spacing w:line="300" w:lineRule="auto"/>
      <w:ind w:left="839" w:hanging="419"/>
    </w:pPr>
    <w:rPr>
      <w:kern w:val="21"/>
      <w:szCs w:val="20"/>
    </w:rPr>
  </w:style>
  <w:style w:type="paragraph" w:customStyle="1" w:styleId="100">
    <w:name w:val="xl30"/>
    <w:basedOn w:val="1"/>
    <w:qFormat/>
    <w:uiPriority w:val="0"/>
    <w:pPr>
      <w:widowControl/>
      <w:spacing w:before="100" w:beforeAutospacing="1" w:after="100" w:afterAutospacing="1"/>
      <w:jc w:val="center"/>
    </w:pPr>
    <w:rPr>
      <w:rFonts w:ascii="楷体_GB2312" w:hAnsi="宋体" w:eastAsia="楷体_GB2312"/>
      <w:b/>
      <w:kern w:val="0"/>
      <w:sz w:val="32"/>
    </w:rPr>
  </w:style>
  <w:style w:type="paragraph" w:customStyle="1" w:styleId="101">
    <w:name w:val="文档正文"/>
    <w:basedOn w:val="1"/>
    <w:qFormat/>
    <w:uiPriority w:val="0"/>
    <w:rPr>
      <w:rFonts w:ascii="宋体" w:hAnsi="宋体" w:cs="Arial"/>
      <w:bCs/>
      <w:szCs w:val="21"/>
    </w:rPr>
  </w:style>
  <w:style w:type="paragraph" w:customStyle="1" w:styleId="102">
    <w:name w:val="p15"/>
    <w:basedOn w:val="1"/>
    <w:qFormat/>
    <w:uiPriority w:val="0"/>
    <w:pPr>
      <w:widowControl/>
      <w:spacing w:line="200" w:lineRule="atLeast"/>
      <w:ind w:firstLine="301"/>
    </w:pPr>
    <w:rPr>
      <w:rFonts w:ascii="宋体" w:hAnsi="宋体" w:cs="宋体"/>
      <w:spacing w:val="-4"/>
      <w:kern w:val="0"/>
      <w:sz w:val="18"/>
      <w:szCs w:val="18"/>
    </w:rPr>
  </w:style>
  <w:style w:type="paragraph" w:customStyle="1" w:styleId="103">
    <w:name w:val="无间隔1"/>
    <w:link w:val="114"/>
    <w:qFormat/>
    <w:uiPriority w:val="1"/>
    <w:rPr>
      <w:rFonts w:ascii="Calibri" w:hAnsi="Calibri" w:eastAsia="宋体" w:cs="宋体"/>
      <w:kern w:val="2"/>
      <w:sz w:val="22"/>
      <w:szCs w:val="22"/>
      <w:lang w:val="en-US" w:eastAsia="zh-CN" w:bidi="ar-SA"/>
    </w:rPr>
  </w:style>
  <w:style w:type="paragraph" w:customStyle="1" w:styleId="104">
    <w:name w:val="纯文本1"/>
    <w:basedOn w:val="1"/>
    <w:qFormat/>
    <w:uiPriority w:val="0"/>
    <w:pPr>
      <w:spacing w:beforeLines="50" w:afterLines="50" w:line="400" w:lineRule="exact"/>
    </w:pPr>
    <w:rPr>
      <w:rFonts w:ascii="宋体" w:hAnsi="Courier New" w:eastAsia="仿宋_GB2312"/>
      <w:sz w:val="30"/>
      <w:szCs w:val="24"/>
    </w:rPr>
  </w:style>
  <w:style w:type="character" w:customStyle="1" w:styleId="105">
    <w:name w:val="font21"/>
    <w:basedOn w:val="38"/>
    <w:qFormat/>
    <w:uiPriority w:val="0"/>
    <w:rPr>
      <w:rFonts w:hint="eastAsia" w:ascii="等线" w:hAnsi="等线" w:eastAsia="等线" w:cs="等线"/>
      <w:color w:val="000000"/>
      <w:sz w:val="22"/>
      <w:szCs w:val="22"/>
      <w:u w:val="none"/>
    </w:rPr>
  </w:style>
  <w:style w:type="character" w:customStyle="1" w:styleId="106">
    <w:name w:val="GW-正文 Char"/>
    <w:link w:val="78"/>
    <w:qFormat/>
    <w:uiPriority w:val="99"/>
    <w:rPr>
      <w:rFonts w:ascii="Arial Narrow" w:hAnsi="Arial Narrow" w:eastAsia="宋体" w:cs="Times New Roman"/>
      <w:kern w:val="0"/>
      <w:sz w:val="24"/>
      <w:szCs w:val="24"/>
    </w:rPr>
  </w:style>
  <w:style w:type="character" w:customStyle="1" w:styleId="107">
    <w:name w:val="apple-converted-space"/>
    <w:qFormat/>
    <w:uiPriority w:val="0"/>
    <w:rPr>
      <w:rFonts w:hint="default" w:ascii="Times New Roman" w:hAnsi="Times New Roman" w:cs="Times New Roman"/>
    </w:rPr>
  </w:style>
  <w:style w:type="character" w:customStyle="1" w:styleId="108">
    <w:name w:val="正文文本缩进 3 Char1"/>
    <w:basedOn w:val="38"/>
    <w:qFormat/>
    <w:uiPriority w:val="99"/>
    <w:rPr>
      <w:rFonts w:ascii="Times New Roman" w:hAnsi="Times New Roman" w:eastAsia="宋体" w:cs="Times New Roman"/>
      <w:sz w:val="16"/>
      <w:szCs w:val="16"/>
    </w:rPr>
  </w:style>
  <w:style w:type="character" w:customStyle="1" w:styleId="109">
    <w:name w:val="批注主题 Char1"/>
    <w:basedOn w:val="110"/>
    <w:qFormat/>
    <w:uiPriority w:val="99"/>
    <w:rPr>
      <w:b/>
      <w:bCs/>
    </w:rPr>
  </w:style>
  <w:style w:type="character" w:customStyle="1" w:styleId="110">
    <w:name w:val="批注文字 Char1"/>
    <w:basedOn w:val="38"/>
    <w:qFormat/>
    <w:uiPriority w:val="99"/>
    <w:rPr>
      <w:rFonts w:ascii="Times New Roman" w:hAnsi="Times New Roman" w:eastAsia="宋体" w:cs="Times New Roman"/>
    </w:rPr>
  </w:style>
  <w:style w:type="character" w:customStyle="1" w:styleId="111">
    <w:name w:val="apple-tab-span"/>
    <w:qFormat/>
    <w:uiPriority w:val="0"/>
    <w:rPr>
      <w:rFonts w:hint="default" w:ascii="Times New Roman" w:hAnsi="Times New Roman" w:cs="Times New Roman"/>
    </w:rPr>
  </w:style>
  <w:style w:type="character" w:customStyle="1" w:styleId="112">
    <w:name w:val="font11"/>
    <w:basedOn w:val="38"/>
    <w:qFormat/>
    <w:uiPriority w:val="0"/>
    <w:rPr>
      <w:rFonts w:hint="default" w:ascii="Times New Roman" w:hAnsi="Times New Roman" w:cs="Times New Roman"/>
      <w:color w:val="000000"/>
      <w:sz w:val="20"/>
      <w:szCs w:val="20"/>
      <w:u w:val="none"/>
    </w:rPr>
  </w:style>
  <w:style w:type="character" w:customStyle="1" w:styleId="113">
    <w:name w:val="font31"/>
    <w:basedOn w:val="38"/>
    <w:qFormat/>
    <w:uiPriority w:val="0"/>
    <w:rPr>
      <w:rFonts w:hint="eastAsia" w:ascii="等线" w:hAnsi="等线" w:eastAsia="等线" w:cs="等线"/>
      <w:color w:val="000000"/>
      <w:sz w:val="22"/>
      <w:szCs w:val="22"/>
      <w:u w:val="none"/>
    </w:rPr>
  </w:style>
  <w:style w:type="character" w:customStyle="1" w:styleId="114">
    <w:name w:val="无间隔 Char"/>
    <w:link w:val="103"/>
    <w:qFormat/>
    <w:uiPriority w:val="1"/>
    <w:rPr>
      <w:rFonts w:ascii="Calibri" w:hAnsi="Calibri" w:eastAsia="宋体" w:cs="宋体"/>
      <w:sz w:val="22"/>
    </w:rPr>
  </w:style>
  <w:style w:type="character" w:customStyle="1" w:styleId="115">
    <w:name w:val="正文文本缩进 Char1"/>
    <w:basedOn w:val="38"/>
    <w:qFormat/>
    <w:uiPriority w:val="99"/>
    <w:rPr>
      <w:rFonts w:ascii="Times New Roman" w:hAnsi="Times New Roman" w:eastAsia="宋体" w:cs="Times New Roman"/>
    </w:rPr>
  </w:style>
  <w:style w:type="character" w:customStyle="1" w:styleId="116">
    <w:name w:val="正文文本 3 Char1"/>
    <w:basedOn w:val="38"/>
    <w:qFormat/>
    <w:uiPriority w:val="99"/>
    <w:rPr>
      <w:rFonts w:ascii="Times New Roman" w:hAnsi="Times New Roman" w:eastAsia="宋体" w:cs="Times New Roman"/>
      <w:sz w:val="16"/>
      <w:szCs w:val="16"/>
    </w:rPr>
  </w:style>
  <w:style w:type="character" w:customStyle="1" w:styleId="117">
    <w:name w:val="正文文本 Char1"/>
    <w:basedOn w:val="38"/>
    <w:qFormat/>
    <w:uiPriority w:val="99"/>
    <w:rPr>
      <w:rFonts w:ascii="Times New Roman" w:hAnsi="Times New Roman" w:eastAsia="宋体" w:cs="Times New Roman"/>
    </w:rPr>
  </w:style>
  <w:style w:type="character" w:customStyle="1" w:styleId="118">
    <w:name w:val="font01"/>
    <w:basedOn w:val="38"/>
    <w:qFormat/>
    <w:uiPriority w:val="0"/>
    <w:rPr>
      <w:rFonts w:hint="eastAsia" w:ascii="宋体" w:hAnsi="宋体" w:eastAsia="宋体" w:cs="宋体"/>
      <w:color w:val="000000"/>
      <w:sz w:val="20"/>
      <w:szCs w:val="20"/>
      <w:u w:val="none"/>
    </w:rPr>
  </w:style>
  <w:style w:type="character" w:customStyle="1" w:styleId="119">
    <w:name w:val="Char Char3"/>
    <w:link w:val="84"/>
    <w:qFormat/>
    <w:uiPriority w:val="99"/>
    <w:rPr>
      <w:rFonts w:ascii="Calibri" w:hAnsi="Calibri" w:eastAsia="宋体" w:cs="宋体"/>
      <w:szCs w:val="24"/>
    </w:rPr>
  </w:style>
  <w:style w:type="character" w:customStyle="1" w:styleId="120">
    <w:name w:val="题注 Char"/>
    <w:link w:val="12"/>
    <w:qFormat/>
    <w:uiPriority w:val="99"/>
    <w:rPr>
      <w:rFonts w:ascii="Arial" w:hAnsi="Arial" w:eastAsia="黑体" w:cs="Arial"/>
    </w:rPr>
  </w:style>
  <w:style w:type="character" w:customStyle="1" w:styleId="121">
    <w:name w:val="纯文本 Char2"/>
    <w:basedOn w:val="38"/>
    <w:qFormat/>
    <w:uiPriority w:val="99"/>
    <w:rPr>
      <w:rFonts w:ascii="宋体" w:hAnsi="Courier New" w:eastAsia="宋体" w:cs="Courier New"/>
      <w:szCs w:val="21"/>
    </w:rPr>
  </w:style>
  <w:style w:type="character" w:customStyle="1" w:styleId="122">
    <w:name w:val="文档结构图 Char1"/>
    <w:basedOn w:val="38"/>
    <w:qFormat/>
    <w:uiPriority w:val="99"/>
    <w:rPr>
      <w:rFonts w:ascii="宋体" w:hAnsi="Times New Roman" w:eastAsia="宋体" w:cs="Times New Roman"/>
      <w:sz w:val="18"/>
      <w:szCs w:val="18"/>
    </w:rPr>
  </w:style>
  <w:style w:type="character" w:customStyle="1" w:styleId="123">
    <w:name w:val="正文首行缩进2字符 Char Char"/>
    <w:link w:val="95"/>
    <w:qFormat/>
    <w:uiPriority w:val="0"/>
    <w:rPr>
      <w:rFonts w:ascii="Times New Roman" w:hAnsi="Times New Roman" w:eastAsia="宋体" w:cs="宋体"/>
      <w:sz w:val="24"/>
    </w:rPr>
  </w:style>
  <w:style w:type="character" w:customStyle="1" w:styleId="124">
    <w:name w:val="表格内容 字符"/>
    <w:link w:val="97"/>
    <w:qFormat/>
    <w:uiPriority w:val="0"/>
    <w:rPr>
      <w:rFonts w:ascii="仿宋" w:hAnsi="仿宋" w:eastAsia="仿宋" w:cs="宋体"/>
      <w:sz w:val="24"/>
    </w:rPr>
  </w:style>
  <w:style w:type="character" w:customStyle="1" w:styleId="125">
    <w:name w:val="纯文本 Char1"/>
    <w:qFormat/>
    <w:uiPriority w:val="0"/>
    <w:rPr>
      <w:rFonts w:ascii="宋体" w:hAnsi="Courier New" w:eastAsia="宋体" w:cs="Courier New"/>
      <w:szCs w:val="21"/>
    </w:rPr>
  </w:style>
  <w:style w:type="character" w:customStyle="1" w:styleId="126">
    <w:name w:val="日期 Char1"/>
    <w:basedOn w:val="38"/>
    <w:qFormat/>
    <w:uiPriority w:val="99"/>
    <w:rPr>
      <w:rFonts w:ascii="Times New Roman" w:hAnsi="Times New Roman" w:eastAsia="宋体" w:cs="Times New Roman"/>
    </w:rPr>
  </w:style>
  <w:style w:type="character" w:customStyle="1" w:styleId="127">
    <w:name w:val="正文文本缩进 2 Char1"/>
    <w:basedOn w:val="38"/>
    <w:qFormat/>
    <w:uiPriority w:val="99"/>
    <w:rPr>
      <w:rFonts w:ascii="Times New Roman" w:hAnsi="Times New Roman" w:eastAsia="宋体" w:cs="Times New Roman"/>
    </w:rPr>
  </w:style>
  <w:style w:type="character" w:customStyle="1" w:styleId="128">
    <w:name w:val="批注框文本 Char1"/>
    <w:basedOn w:val="38"/>
    <w:qFormat/>
    <w:uiPriority w:val="99"/>
    <w:rPr>
      <w:rFonts w:ascii="Times New Roman" w:hAnsi="Times New Roman" w:eastAsia="宋体" w:cs="Times New Roman"/>
      <w:sz w:val="18"/>
      <w:szCs w:val="18"/>
    </w:rPr>
  </w:style>
  <w:style w:type="character" w:customStyle="1" w:styleId="129">
    <w:name w:val="列出段落 Char"/>
    <w:link w:val="87"/>
    <w:qFormat/>
    <w:uiPriority w:val="99"/>
    <w:rPr>
      <w:rFonts w:ascii="Calibri" w:hAnsi="Calibri" w:eastAsia="宋体" w:cs="Times New Roman"/>
      <w:szCs w:val="24"/>
    </w:rPr>
  </w:style>
  <w:style w:type="character" w:customStyle="1" w:styleId="130">
    <w:name w:val="正文文本 2 Char1"/>
    <w:basedOn w:val="38"/>
    <w:qFormat/>
    <w:uiPriority w:val="99"/>
    <w:rPr>
      <w:rFonts w:ascii="Times New Roman" w:hAnsi="Times New Roman" w:eastAsia="宋体" w:cs="Times New Roman"/>
    </w:rPr>
  </w:style>
  <w:style w:type="character" w:customStyle="1" w:styleId="131">
    <w:name w:val="大黑10.5px"/>
    <w:qFormat/>
    <w:uiPriority w:val="99"/>
    <w:rPr>
      <w:rFonts w:ascii="方正大黑简体" w:eastAsia="方正大黑简体" w:cs="方正大黑简体"/>
      <w:sz w:val="21"/>
      <w:szCs w:val="21"/>
    </w:rPr>
  </w:style>
  <w:style w:type="character" w:customStyle="1" w:styleId="132">
    <w:name w:val="黑简10.5px"/>
    <w:qFormat/>
    <w:uiPriority w:val="99"/>
    <w:rPr>
      <w:rFonts w:ascii="方正黑体简体" w:eastAsia="方正黑体简体" w:cs="方正黑体简体"/>
      <w:sz w:val="21"/>
      <w:szCs w:val="21"/>
    </w:rPr>
  </w:style>
  <w:style w:type="paragraph" w:customStyle="1" w:styleId="133">
    <w:name w:val="缩进4"/>
    <w:basedOn w:val="1"/>
    <w:qFormat/>
    <w:uiPriority w:val="99"/>
    <w:pPr>
      <w:autoSpaceDE w:val="0"/>
      <w:autoSpaceDN w:val="0"/>
      <w:adjustRightInd w:val="0"/>
      <w:spacing w:line="288" w:lineRule="auto"/>
      <w:ind w:left="227"/>
      <w:textAlignment w:val="center"/>
    </w:pPr>
    <w:rPr>
      <w:rFonts w:ascii="方正黑体简体" w:hAnsi="Calibri" w:eastAsia="方正黑体简体" w:cs="方正黑体简体"/>
      <w:color w:val="000000"/>
      <w:kern w:val="0"/>
      <w:sz w:val="18"/>
      <w:szCs w:val="18"/>
      <w:lang w:val="zh-CN"/>
    </w:rPr>
  </w:style>
  <w:style w:type="paragraph" w:customStyle="1" w:styleId="134">
    <w:name w:val="_Style 130"/>
    <w:basedOn w:val="1"/>
    <w:next w:val="87"/>
    <w:qFormat/>
    <w:uiPriority w:val="34"/>
    <w:pPr>
      <w:ind w:firstLine="420" w:firstLineChars="200"/>
    </w:pPr>
    <w:rPr>
      <w:szCs w:val="20"/>
    </w:rPr>
  </w:style>
  <w:style w:type="paragraph" w:customStyle="1" w:styleId="135">
    <w:name w:val="0正文"/>
    <w:basedOn w:val="1"/>
    <w:qFormat/>
    <w:uiPriority w:val="0"/>
    <w:pPr>
      <w:spacing w:line="560" w:lineRule="exact"/>
      <w:ind w:firstLine="200" w:firstLineChars="200"/>
    </w:pPr>
    <w:rPr>
      <w:rFonts w:ascii="Tahoma" w:hAnsi="Tahoma"/>
    </w:rPr>
  </w:style>
  <w:style w:type="paragraph" w:customStyle="1" w:styleId="136">
    <w:name w:val="正文（本文）"/>
    <w:basedOn w:val="1"/>
    <w:qFormat/>
    <w:uiPriority w:val="0"/>
    <w:pPr>
      <w:snapToGrid w:val="0"/>
      <w:spacing w:line="360" w:lineRule="auto"/>
      <w:ind w:firstLine="480" w:firstLineChars="200"/>
    </w:pPr>
    <w:rPr>
      <w:sz w:val="24"/>
      <w:szCs w:val="24"/>
    </w:rPr>
  </w:style>
  <w:style w:type="paragraph" w:customStyle="1" w:styleId="137">
    <w:name w:val="l正文"/>
    <w:basedOn w:val="1"/>
    <w:qFormat/>
    <w:uiPriority w:val="0"/>
    <w:pPr>
      <w:spacing w:line="300" w:lineRule="auto"/>
      <w:ind w:firstLine="200" w:firstLineChars="200"/>
      <w:jc w:val="left"/>
    </w:pPr>
    <w:rPr>
      <w:rFonts w:ascii="楷体_GB2312" w:hAnsi="Times" w:eastAsia="楷体_GB2312" w:cs="等线"/>
      <w:sz w:val="24"/>
      <w:szCs w:val="24"/>
    </w:rPr>
  </w:style>
  <w:style w:type="paragraph" w:customStyle="1" w:styleId="138">
    <w:name w:val="_Style 4"/>
    <w:basedOn w:val="1"/>
    <w:qFormat/>
    <w:uiPriority w:val="34"/>
    <w:pPr>
      <w:ind w:firstLine="420" w:firstLineChars="200"/>
      <w:jc w:val="left"/>
    </w:pPr>
    <w:rPr>
      <w:rFonts w:ascii="Calibri" w:hAnsi="Calibri"/>
      <w:kern w:val="0"/>
      <w:sz w:val="18"/>
      <w:szCs w:val="24"/>
      <w:lang w:eastAsia="zh-TW"/>
    </w:rPr>
  </w:style>
  <w:style w:type="paragraph" w:styleId="139">
    <w:name w:val="List Paragraph"/>
    <w:basedOn w:val="1"/>
    <w:qFormat/>
    <w:uiPriority w:val="34"/>
    <w:pPr>
      <w:ind w:firstLine="420" w:firstLineChars="200"/>
    </w:pPr>
    <w:rPr>
      <w:rFonts w:ascii="Calibri" w:hAnsi="Calibri"/>
      <w:szCs w:val="24"/>
    </w:rPr>
  </w:style>
  <w:style w:type="paragraph" w:customStyle="1" w:styleId="140">
    <w:name w:val="正文1"/>
    <w:qFormat/>
    <w:uiPriority w:val="99"/>
    <w:pPr>
      <w:widowControl w:val="0"/>
      <w:jc w:val="both"/>
    </w:pPr>
    <w:rPr>
      <w:rFonts w:ascii="Calibri" w:hAnsi="Calibri" w:eastAsia="宋体" w:cs="Calibri"/>
      <w:kern w:val="2"/>
      <w:sz w:val="21"/>
      <w:szCs w:val="21"/>
      <w:lang w:val="en-US" w:eastAsia="zh-CN" w:bidi="ar-SA"/>
    </w:rPr>
  </w:style>
  <w:style w:type="paragraph" w:customStyle="1" w:styleId="141">
    <w:name w:val="WPSOffice手动目录 1"/>
    <w:qFormat/>
    <w:uiPriority w:val="0"/>
    <w:rPr>
      <w:rFonts w:ascii="Times New Roman" w:hAnsi="Times New Roman" w:eastAsia="宋体" w:cs="Times New Roman"/>
      <w:kern w:val="0"/>
      <w:sz w:val="20"/>
      <w:szCs w:val="20"/>
      <w:lang w:val="en-US" w:eastAsia="zh-CN" w:bidi="ar-SA"/>
    </w:rPr>
  </w:style>
  <w:style w:type="paragraph" w:customStyle="1" w:styleId="142">
    <w:name w:val="正文2"/>
    <w:basedOn w:val="1"/>
    <w:qFormat/>
    <w:uiPriority w:val="0"/>
    <w:pPr>
      <w:spacing w:before="156" w:line="360" w:lineRule="auto"/>
      <w:ind w:firstLine="510" w:firstLineChars="200"/>
    </w:pPr>
    <w:rPr>
      <w:sz w:val="24"/>
      <w:szCs w:val="20"/>
    </w:rPr>
  </w:style>
  <w:style w:type="character" w:customStyle="1" w:styleId="143">
    <w:name w:val="正文 首行缩进:  2 字符 Char Char Char"/>
    <w:link w:val="144"/>
    <w:uiPriority w:val="0"/>
    <w:rPr>
      <w:sz w:val="24"/>
    </w:rPr>
  </w:style>
  <w:style w:type="paragraph" w:customStyle="1" w:styleId="144">
    <w:name w:val="正文 首行缩进:  2 字符 Char"/>
    <w:basedOn w:val="1"/>
    <w:link w:val="143"/>
    <w:uiPriority w:val="0"/>
    <w:pPr>
      <w:spacing w:line="360" w:lineRule="auto"/>
      <w:ind w:firstLine="480"/>
    </w:pPr>
    <w:rPr>
      <w:rFonts w:asciiTheme="minorHAnsi" w:hAnsiTheme="minorHAnsi" w:eastAsiaTheme="minorEastAsia" w:cstheme="minorBidi"/>
      <w:sz w:val="24"/>
    </w:rPr>
  </w:style>
  <w:style w:type="table" w:customStyle="1" w:styleId="145">
    <w:name w:val="网格型5"/>
    <w:basedOn w:val="36"/>
    <w:qFormat/>
    <w:uiPriority w:val="3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6">
    <w:name w:val="纯文本 字符1"/>
    <w:uiPriority w:val="0"/>
    <w:rPr>
      <w:rFonts w:ascii="宋体" w:hAnsi="宋体"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C5D404-898B-435C-95B5-782BED3142E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4704</Words>
  <Characters>26813</Characters>
  <Lines>223</Lines>
  <Paragraphs>62</Paragraphs>
  <TotalTime>115</TotalTime>
  <ScaleCrop>false</ScaleCrop>
  <LinksUpToDate>false</LinksUpToDate>
  <CharactersWithSpaces>31455</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2021-07-14T02:50:00Z</dcterms:created>
  <dc:creator>ape</dc:creator>
  <cp:lastModifiedBy>浅笑</cp:lastModifiedBy>
  <dcterms:modified xsi:type="dcterms:W3CDTF">2021-08-05T03:02:52Z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633CE084B72A460996CA6EB9C1F728CE</vt:lpwstr>
  </property>
</Properties>
</file>