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 xml:space="preserve"> </w:t>
      </w: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中国计量大学</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snapToGrid w:val="0"/>
        <w:ind w:firstLine="0" w:firstLineChars="0"/>
        <w:rPr>
          <w:rFonts w:hint="eastAsia" w:ascii="宋体" w:hAnsi="宋体" w:eastAsia="宋体" w:cs="宋体"/>
          <w:b/>
          <w:color w:val="auto"/>
          <w:sz w:val="40"/>
          <w:szCs w:val="28"/>
          <w:highlight w:val="none"/>
        </w:rPr>
      </w:pPr>
    </w:p>
    <w:p>
      <w:pPr>
        <w:pStyle w:val="2"/>
        <w:rPr>
          <w:rFonts w:hint="eastAsia" w:ascii="宋体" w:hAnsi="宋体" w:eastAsia="宋体" w:cs="宋体"/>
          <w:b/>
          <w:color w:val="auto"/>
          <w:sz w:val="40"/>
          <w:szCs w:val="28"/>
          <w:highlight w:val="none"/>
        </w:rPr>
      </w:pPr>
    </w:p>
    <w:p>
      <w:pPr>
        <w:pStyle w:val="2"/>
        <w:rPr>
          <w:rFonts w:hint="eastAsia" w:ascii="宋体" w:hAnsi="宋体" w:eastAsia="宋体" w:cs="宋体"/>
          <w:b/>
          <w:color w:val="auto"/>
          <w:sz w:val="40"/>
          <w:szCs w:val="28"/>
          <w:highlight w:val="none"/>
        </w:rPr>
      </w:pPr>
    </w:p>
    <w:p>
      <w:pPr>
        <w:pStyle w:val="3"/>
        <w:rPr>
          <w:rFonts w:hint="eastAsia" w:ascii="宋体" w:hAnsi="宋体" w:eastAsia="宋体" w:cs="宋体"/>
          <w:color w:val="auto"/>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cs="宋体"/>
          <w:b/>
          <w:bCs/>
          <w:color w:val="auto"/>
          <w:sz w:val="32"/>
          <w:szCs w:val="32"/>
          <w:highlight w:val="none"/>
          <w:lang w:eastAsia="zh-CN"/>
        </w:rPr>
        <w:t>拉曼与量子精密测量实验室设备采购</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确认书号：</w:t>
      </w:r>
      <w:r>
        <w:rPr>
          <w:rFonts w:hint="eastAsia" w:cs="宋体"/>
          <w:b/>
          <w:bCs/>
          <w:color w:val="auto"/>
          <w:sz w:val="32"/>
          <w:szCs w:val="32"/>
          <w:highlight w:val="none"/>
          <w:lang w:eastAsia="zh-CN"/>
        </w:rPr>
        <w:t>[2021]22276号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cs="宋体"/>
          <w:b/>
          <w:bCs/>
          <w:color w:val="auto"/>
          <w:sz w:val="32"/>
          <w:szCs w:val="32"/>
          <w:highlight w:val="none"/>
          <w:lang w:eastAsia="zh-CN"/>
        </w:rPr>
        <w:t>ZJWSBJ-JL-202112G</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人：中国计量大学</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    间：二〇二一年</w:t>
      </w:r>
      <w:r>
        <w:rPr>
          <w:rFonts w:hint="eastAsia"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月</w:t>
      </w:r>
    </w:p>
    <w:p>
      <w:pPr>
        <w:pStyle w:val="4"/>
        <w:rPr>
          <w:rFonts w:hint="eastAsia" w:ascii="宋体" w:hAnsi="宋体" w:eastAsia="宋体" w:cs="宋体"/>
          <w:color w:val="auto"/>
          <w:highlight w:val="none"/>
        </w:rPr>
      </w:pPr>
    </w:p>
    <w:p>
      <w:pPr>
        <w:snapToGrid w:val="0"/>
        <w:ind w:firstLine="643"/>
        <w:rPr>
          <w:rFonts w:hint="eastAsia" w:ascii="宋体" w:hAnsi="宋体" w:eastAsia="宋体" w:cs="宋体"/>
          <w:b/>
          <w:bCs/>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4"/>
        <w:tabs>
          <w:tab w:val="right" w:leader="dot" w:pos="8306"/>
          <w:tab w:val="clear" w:pos="8296"/>
        </w:tabs>
        <w:ind w:left="480"/>
        <w:jc w:val="center"/>
        <w:rPr>
          <w:rFonts w:hint="eastAsia" w:ascii="宋体" w:hAnsi="宋体" w:eastAsia="宋体" w:cs="宋体"/>
          <w:b/>
          <w:bCs/>
          <w:color w:val="auto"/>
          <w:sz w:val="36"/>
          <w:szCs w:val="36"/>
          <w:highlight w:val="none"/>
          <w:lang w:val="zh-CN"/>
        </w:rPr>
      </w:pPr>
      <w:bookmarkStart w:id="0" w:name="_Toc32639"/>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bookmarkEnd w:id="0"/>
    </w:p>
    <w:p>
      <w:pPr>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"1-2" \h \z \u </w:instrText>
      </w:r>
      <w:r>
        <w:rPr>
          <w:rFonts w:hint="eastAsia" w:ascii="宋体" w:hAnsi="宋体" w:eastAsia="宋体" w:cs="宋体"/>
          <w:color w:val="auto"/>
          <w:highlight w:val="none"/>
        </w:rPr>
        <w:fldChar w:fldCharType="separate"/>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_Toc19596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_Toc19596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项目需求说明</w:t>
      </w:r>
      <w:r>
        <w:rPr>
          <w:color w:val="auto"/>
          <w:highlight w:val="none"/>
        </w:rPr>
        <w:tab/>
      </w:r>
      <w:r>
        <w:rPr>
          <w:color w:val="auto"/>
          <w:highlight w:val="none"/>
        </w:rPr>
        <w:fldChar w:fldCharType="begin"/>
      </w:r>
      <w:r>
        <w:rPr>
          <w:color w:val="auto"/>
          <w:highlight w:val="none"/>
        </w:rPr>
        <w:instrText xml:space="preserve"> PAGEREF _Toc6146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_Toc5760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 附 表</w:t>
      </w:r>
      <w:r>
        <w:rPr>
          <w:color w:val="auto"/>
          <w:highlight w:val="none"/>
        </w:rPr>
        <w:tab/>
      </w:r>
      <w:r>
        <w:rPr>
          <w:color w:val="auto"/>
          <w:highlight w:val="none"/>
        </w:rPr>
        <w:fldChar w:fldCharType="begin"/>
      </w:r>
      <w:r>
        <w:rPr>
          <w:color w:val="auto"/>
          <w:highlight w:val="none"/>
        </w:rPr>
        <w:instrText xml:space="preserve"> PAGEREF _Toc8778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 则</w:t>
      </w:r>
      <w:r>
        <w:rPr>
          <w:color w:val="auto"/>
          <w:highlight w:val="none"/>
        </w:rPr>
        <w:tab/>
      </w:r>
      <w:r>
        <w:rPr>
          <w:color w:val="auto"/>
          <w:highlight w:val="none"/>
        </w:rPr>
        <w:fldChar w:fldCharType="begin"/>
      </w:r>
      <w:r>
        <w:rPr>
          <w:color w:val="auto"/>
          <w:highlight w:val="none"/>
        </w:rPr>
        <w:instrText xml:space="preserve"> PAGEREF _Toc14541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_Toc27084 </w:instrText>
      </w:r>
      <w:r>
        <w:rPr>
          <w:rFonts w:hint="eastAsia" w:ascii="宋体" w:hAnsi="宋体" w:eastAsia="宋体" w:cs="宋体"/>
          <w:color w:val="auto"/>
          <w:highlight w:val="none"/>
        </w:rPr>
        <w:fldChar w:fldCharType="separate"/>
      </w:r>
      <w:r>
        <w:rPr>
          <w:rFonts w:hint="eastAsia"/>
          <w:color w:val="auto"/>
          <w:highlight w:val="none"/>
        </w:rPr>
        <w:t>第二节 招标文件的构成、澄清、修改</w:t>
      </w:r>
      <w:r>
        <w:rPr>
          <w:color w:val="auto"/>
          <w:highlight w:val="none"/>
        </w:rPr>
        <w:tab/>
      </w:r>
      <w:r>
        <w:rPr>
          <w:color w:val="auto"/>
          <w:highlight w:val="none"/>
        </w:rPr>
        <w:fldChar w:fldCharType="begin"/>
      </w:r>
      <w:r>
        <w:rPr>
          <w:color w:val="auto"/>
          <w:highlight w:val="none"/>
        </w:rPr>
        <w:instrText xml:space="preserve"> PAGEREF _Toc27084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_Toc21160 </w:instrText>
      </w:r>
      <w:r>
        <w:rPr>
          <w:rFonts w:hint="eastAsia" w:ascii="宋体" w:hAnsi="宋体" w:eastAsia="宋体" w:cs="宋体"/>
          <w:color w:val="auto"/>
          <w:highlight w:val="none"/>
        </w:rPr>
        <w:fldChar w:fldCharType="separate"/>
      </w:r>
      <w:r>
        <w:rPr>
          <w:rFonts w:hint="eastAsia"/>
          <w:color w:val="auto"/>
          <w:highlight w:val="none"/>
        </w:rPr>
        <w:t>第三节 投标文件</w:t>
      </w:r>
      <w:r>
        <w:rPr>
          <w:color w:val="auto"/>
          <w:highlight w:val="none"/>
        </w:rPr>
        <w:tab/>
      </w:r>
      <w:r>
        <w:rPr>
          <w:color w:val="auto"/>
          <w:highlight w:val="none"/>
        </w:rPr>
        <w:fldChar w:fldCharType="begin"/>
      </w:r>
      <w:r>
        <w:rPr>
          <w:color w:val="auto"/>
          <w:highlight w:val="none"/>
        </w:rPr>
        <w:instrText xml:space="preserve"> PAGEREF _Toc21160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_Toc22584 </w:instrText>
      </w:r>
      <w:r>
        <w:rPr>
          <w:rFonts w:hint="eastAsia" w:ascii="宋体" w:hAnsi="宋体" w:eastAsia="宋体" w:cs="宋体"/>
          <w:color w:val="auto"/>
          <w:highlight w:val="none"/>
        </w:rPr>
        <w:fldChar w:fldCharType="separate"/>
      </w:r>
      <w:r>
        <w:rPr>
          <w:rFonts w:hint="eastAsia" w:ascii="宋体" w:hAnsi="宋体" w:eastAsia="宋体"/>
          <w:color w:val="auto"/>
          <w:highlight w:val="none"/>
        </w:rPr>
        <w:t>第四节 投标文件的递交</w:t>
      </w:r>
      <w:r>
        <w:rPr>
          <w:color w:val="auto"/>
          <w:highlight w:val="none"/>
        </w:rPr>
        <w:tab/>
      </w:r>
      <w:r>
        <w:rPr>
          <w:color w:val="auto"/>
          <w:highlight w:val="none"/>
        </w:rPr>
        <w:fldChar w:fldCharType="begin"/>
      </w:r>
      <w:r>
        <w:rPr>
          <w:color w:val="auto"/>
          <w:highlight w:val="none"/>
        </w:rPr>
        <w:instrText xml:space="preserve"> PAGEREF _Toc22584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_Toc11276 </w:instrText>
      </w:r>
      <w:r>
        <w:rPr>
          <w:rFonts w:hint="eastAsia" w:ascii="宋体" w:hAnsi="宋体" w:eastAsia="宋体" w:cs="宋体"/>
          <w:color w:val="auto"/>
          <w:highlight w:val="none"/>
        </w:rPr>
        <w:fldChar w:fldCharType="separate"/>
      </w:r>
      <w:r>
        <w:rPr>
          <w:rFonts w:hint="eastAsia"/>
          <w:color w:val="auto"/>
          <w:highlight w:val="none"/>
        </w:rPr>
        <w:t>第五节 开标</w:t>
      </w:r>
      <w:r>
        <w:rPr>
          <w:color w:val="auto"/>
          <w:highlight w:val="none"/>
        </w:rPr>
        <w:tab/>
      </w:r>
      <w:r>
        <w:rPr>
          <w:color w:val="auto"/>
          <w:highlight w:val="none"/>
        </w:rPr>
        <w:fldChar w:fldCharType="begin"/>
      </w:r>
      <w:r>
        <w:rPr>
          <w:color w:val="auto"/>
          <w:highlight w:val="none"/>
        </w:rPr>
        <w:instrText xml:space="preserve"> PAGEREF _Toc11276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_Toc21559 </w:instrText>
      </w:r>
      <w:r>
        <w:rPr>
          <w:rFonts w:hint="eastAsia" w:ascii="宋体" w:hAnsi="宋体" w:eastAsia="宋体" w:cs="宋体"/>
          <w:color w:val="auto"/>
          <w:highlight w:val="none"/>
        </w:rPr>
        <w:fldChar w:fldCharType="separate"/>
      </w:r>
      <w:r>
        <w:rPr>
          <w:rFonts w:hint="eastAsia"/>
          <w:color w:val="auto"/>
          <w:highlight w:val="none"/>
        </w:rPr>
        <w:t>第六节 评标</w:t>
      </w:r>
      <w:r>
        <w:rPr>
          <w:color w:val="auto"/>
          <w:highlight w:val="none"/>
        </w:rPr>
        <w:tab/>
      </w:r>
      <w:r>
        <w:rPr>
          <w:color w:val="auto"/>
          <w:highlight w:val="none"/>
        </w:rPr>
        <w:fldChar w:fldCharType="begin"/>
      </w:r>
      <w:r>
        <w:rPr>
          <w:color w:val="auto"/>
          <w:highlight w:val="none"/>
        </w:rPr>
        <w:instrText xml:space="preserve"> PAGEREF _Toc21559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color w:val="auto"/>
          <w:highlight w:val="none"/>
        </w:rPr>
        <w:tab/>
      </w:r>
      <w:r>
        <w:rPr>
          <w:color w:val="auto"/>
          <w:highlight w:val="none"/>
        </w:rPr>
        <w:fldChar w:fldCharType="begin"/>
      </w:r>
      <w:r>
        <w:rPr>
          <w:color w:val="auto"/>
          <w:highlight w:val="none"/>
        </w:rPr>
        <w:instrText xml:space="preserve"> PAGEREF _Toc15663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_Toc14481 </w:instrText>
      </w:r>
      <w:r>
        <w:rPr>
          <w:rFonts w:hint="eastAsia" w:ascii="宋体" w:hAnsi="宋体" w:eastAsia="宋体" w:cs="宋体"/>
          <w:color w:val="auto"/>
          <w:highlight w:val="none"/>
        </w:rPr>
        <w:fldChar w:fldCharType="separate"/>
      </w:r>
      <w:r>
        <w:rPr>
          <w:rFonts w:hint="eastAsia"/>
          <w:color w:val="auto"/>
          <w:highlight w:val="none"/>
        </w:rPr>
        <w:t>第八节 例外处理</w:t>
      </w:r>
      <w:r>
        <w:rPr>
          <w:color w:val="auto"/>
          <w:highlight w:val="none"/>
        </w:rPr>
        <w:tab/>
      </w:r>
      <w:r>
        <w:rPr>
          <w:color w:val="auto"/>
          <w:highlight w:val="none"/>
        </w:rPr>
        <w:fldChar w:fldCharType="begin"/>
      </w:r>
      <w:r>
        <w:rPr>
          <w:color w:val="auto"/>
          <w:highlight w:val="none"/>
        </w:rPr>
        <w:instrText xml:space="preserve"> PAGEREF _Toc14481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_Toc21368 </w:instrText>
      </w:r>
      <w:r>
        <w:rPr>
          <w:rFonts w:hint="eastAsia" w:ascii="宋体" w:hAnsi="宋体" w:eastAsia="宋体" w:cs="宋体"/>
          <w:color w:val="auto"/>
          <w:highlight w:val="none"/>
        </w:rPr>
        <w:fldChar w:fldCharType="separate"/>
      </w:r>
      <w:r>
        <w:rPr>
          <w:rFonts w:hint="eastAsia"/>
          <w:color w:val="auto"/>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_Toc3017 </w:instrText>
      </w:r>
      <w:r>
        <w:rPr>
          <w:rFonts w:hint="eastAsia" w:ascii="宋体" w:hAnsi="宋体" w:eastAsia="宋体" w:cs="宋体"/>
          <w:color w:val="auto"/>
          <w:highlight w:val="none"/>
        </w:rPr>
        <w:fldChar w:fldCharType="separate"/>
      </w:r>
      <w:r>
        <w:rPr>
          <w:rFonts w:hint="eastAsia"/>
          <w:color w:val="auto"/>
          <w:highlight w:val="none"/>
        </w:rPr>
        <w:t>一、评分总则</w:t>
      </w:r>
      <w:r>
        <w:rPr>
          <w:color w:val="auto"/>
          <w:highlight w:val="none"/>
        </w:rPr>
        <w:tab/>
      </w:r>
      <w:r>
        <w:rPr>
          <w:color w:val="auto"/>
          <w:highlight w:val="none"/>
        </w:rPr>
        <w:fldChar w:fldCharType="begin"/>
      </w:r>
      <w:r>
        <w:rPr>
          <w:color w:val="auto"/>
          <w:highlight w:val="none"/>
        </w:rPr>
        <w:instrText xml:space="preserve"> PAGEREF _Toc3017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_Toc30520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二、评分内容及标准</w:t>
      </w:r>
      <w:r>
        <w:rPr>
          <w:color w:val="auto"/>
          <w:highlight w:val="none"/>
        </w:rPr>
        <w:tab/>
      </w:r>
      <w:r>
        <w:rPr>
          <w:color w:val="auto"/>
          <w:highlight w:val="none"/>
        </w:rPr>
        <w:fldChar w:fldCharType="begin"/>
      </w:r>
      <w:r>
        <w:rPr>
          <w:color w:val="auto"/>
          <w:highlight w:val="none"/>
        </w:rPr>
        <w:instrText xml:space="preserve"> PAGEREF _Toc30520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_Toc10616 </w:instrText>
      </w:r>
      <w:r>
        <w:rPr>
          <w:rFonts w:hint="eastAsia" w:ascii="宋体" w:hAnsi="宋体" w:eastAsia="宋体" w:cs="宋体"/>
          <w:color w:val="auto"/>
          <w:highlight w:val="none"/>
        </w:rPr>
        <w:fldChar w:fldCharType="separate"/>
      </w:r>
      <w:r>
        <w:rPr>
          <w:rFonts w:hint="eastAsia"/>
          <w:color w:val="auto"/>
          <w:highlight w:val="none"/>
        </w:rPr>
        <w:t>第五章 合同格式</w:t>
      </w:r>
      <w:r>
        <w:rPr>
          <w:color w:val="auto"/>
          <w:highlight w:val="none"/>
        </w:rPr>
        <w:tab/>
      </w:r>
      <w:r>
        <w:rPr>
          <w:color w:val="auto"/>
          <w:highlight w:val="none"/>
        </w:rPr>
        <w:fldChar w:fldCharType="begin"/>
      </w:r>
      <w:r>
        <w:rPr>
          <w:color w:val="auto"/>
          <w:highlight w:val="none"/>
        </w:rPr>
        <w:instrText xml:space="preserve"> PAGEREF _Toc10616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_Toc24575 </w:instrText>
      </w:r>
      <w:r>
        <w:rPr>
          <w:rFonts w:hint="eastAsia" w:ascii="宋体" w:hAnsi="宋体" w:eastAsia="宋体" w:cs="宋体"/>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_Toc24575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8306"/>
          <w:tab w:val="clear" w:pos="8296"/>
        </w:tabs>
        <w:ind w:left="480"/>
        <w:jc w:val="center"/>
        <w:rPr>
          <w:rFonts w:hint="eastAsia" w:ascii="宋体" w:hAnsi="宋体" w:eastAsia="宋体" w:cs="宋体"/>
          <w:color w:val="auto"/>
          <w:highlight w:val="none"/>
        </w:rPr>
        <w:sectPr>
          <w:footerReference r:id="rId12" w:type="default"/>
          <w:headerReference r:id="rId11" w:type="even"/>
          <w:footerReference r:id="rId13" w:type="even"/>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auto"/>
          <w:highlight w:val="none"/>
        </w:rPr>
        <w:fldChar w:fldCharType="end"/>
      </w:r>
    </w:p>
    <w:p>
      <w:pPr>
        <w:pStyle w:val="6"/>
        <w:bidi w:val="0"/>
        <w:rPr>
          <w:rFonts w:hint="eastAsia" w:ascii="宋体" w:hAnsi="宋体" w:eastAsia="宋体" w:cs="宋体"/>
          <w:color w:val="auto"/>
          <w:highlight w:val="none"/>
        </w:rPr>
      </w:pPr>
      <w:bookmarkStart w:id="1" w:name="_Toc19596"/>
      <w:bookmarkStart w:id="2" w:name="_Toc24232"/>
      <w:bookmarkStart w:id="3" w:name="_Toc12653"/>
      <w:bookmarkStart w:id="4" w:name="_Toc452457411"/>
      <w:r>
        <w:rPr>
          <w:rFonts w:hint="eastAsia" w:ascii="宋体" w:hAnsi="宋体" w:eastAsia="宋体" w:cs="宋体"/>
          <w:color w:val="auto"/>
          <w:highlight w:val="none"/>
        </w:rPr>
        <w:t>第一章 招标公告</w:t>
      </w:r>
      <w:bookmarkEnd w:id="1"/>
      <w:bookmarkEnd w:id="2"/>
      <w:bookmarkEnd w:id="3"/>
    </w:p>
    <w:p>
      <w:pPr>
        <w:ind w:firstLine="480"/>
        <w:rPr>
          <w:rFonts w:hint="eastAsia" w:ascii="宋体" w:hAnsi="宋体" w:eastAsia="宋体" w:cs="宋体"/>
          <w:color w:val="auto"/>
          <w:highlight w:val="none"/>
        </w:rPr>
      </w:pPr>
    </w:p>
    <w:p>
      <w:pPr>
        <w:pBdr>
          <w:top w:val="single" w:color="auto" w:sz="4" w:space="1"/>
          <w:left w:val="single" w:color="auto" w:sz="4" w:space="4"/>
          <w:bottom w:val="single" w:color="auto" w:sz="4" w:space="1"/>
          <w:right w:val="single" w:color="auto" w:sz="4" w:space="4"/>
        </w:pBdr>
        <w:ind w:firstLine="480"/>
        <w:rPr>
          <w:rFonts w:hint="eastAsia" w:ascii="宋体" w:hAnsi="宋体" w:eastAsia="宋体" w:cs="宋体"/>
          <w:color w:val="auto"/>
          <w:highlight w:val="none"/>
        </w:rPr>
      </w:pPr>
      <w:r>
        <w:rPr>
          <w:rFonts w:hint="eastAsia" w:ascii="宋体" w:hAnsi="宋体" w:eastAsia="宋体" w:cs="宋体"/>
          <w:color w:val="auto"/>
          <w:highlight w:val="none"/>
        </w:rPr>
        <w:t>项目概况</w:t>
      </w:r>
    </w:p>
    <w:p>
      <w:pPr>
        <w:pBdr>
          <w:top w:val="single" w:color="auto" w:sz="4" w:space="1"/>
          <w:left w:val="single" w:color="auto" w:sz="4" w:space="4"/>
          <w:bottom w:val="single" w:color="auto" w:sz="4" w:space="1"/>
          <w:right w:val="single" w:color="auto" w:sz="4" w:space="4"/>
        </w:pBd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拉曼与量子精密测量实验室设备采购</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招标项目的潜在投标人应在政府采购云平台（https://login.zcygov.cn）获取招标文件，并于</w:t>
      </w:r>
      <w:r>
        <w:rPr>
          <w:rFonts w:hint="eastAsia" w:cs="宋体"/>
          <w:color w:val="auto"/>
          <w:highlight w:val="none"/>
          <w:u w:val="single"/>
          <w:lang w:eastAsia="zh-CN"/>
        </w:rPr>
        <w:t>2021年06月09日</w:t>
      </w:r>
      <w:r>
        <w:rPr>
          <w:rFonts w:hint="eastAsia" w:ascii="宋体" w:hAnsi="宋体" w:eastAsia="宋体" w:cs="宋体"/>
          <w:bCs/>
          <w:color w:val="auto"/>
          <w:highlight w:val="none"/>
          <w:u w:val="single"/>
        </w:rPr>
        <w:t>9点00分（</w:t>
      </w:r>
      <w:r>
        <w:rPr>
          <w:rFonts w:hint="eastAsia" w:ascii="宋体" w:hAnsi="宋体" w:eastAsia="宋体" w:cs="宋体"/>
          <w:bCs/>
          <w:color w:val="auto"/>
          <w:highlight w:val="none"/>
        </w:rPr>
        <w:t>北京时间）前递交投标文件</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p>
    <w:p>
      <w:pPr>
        <w:pStyle w:val="7"/>
        <w:rPr>
          <w:rFonts w:hint="eastAsia" w:ascii="宋体" w:hAnsi="宋体" w:eastAsia="宋体" w:cs="宋体"/>
          <w:bCs w:val="0"/>
          <w:color w:val="auto"/>
          <w:sz w:val="24"/>
          <w:szCs w:val="24"/>
          <w:highlight w:val="none"/>
        </w:rPr>
      </w:pPr>
      <w:bookmarkStart w:id="5" w:name="_Toc28359002"/>
      <w:bookmarkStart w:id="6" w:name="_Toc35393621"/>
      <w:bookmarkStart w:id="7" w:name="_Toc28359079"/>
      <w:bookmarkStart w:id="8" w:name="_Toc24736"/>
      <w:bookmarkStart w:id="9" w:name="_Toc26568"/>
      <w:bookmarkStart w:id="10" w:name="_Toc13603"/>
      <w:bookmarkStart w:id="11" w:name="_Toc23477"/>
      <w:bookmarkStart w:id="12" w:name="_Toc35393790"/>
      <w:bookmarkStart w:id="13" w:name="_Hlk24379207"/>
      <w:r>
        <w:rPr>
          <w:rFonts w:hint="eastAsia" w:ascii="宋体" w:hAnsi="宋体" w:eastAsia="宋体" w:cs="宋体"/>
          <w:bCs w:val="0"/>
          <w:color w:val="auto"/>
          <w:sz w:val="24"/>
          <w:szCs w:val="24"/>
          <w:highlight w:val="none"/>
        </w:rPr>
        <w:t>一、项目基本情况</w:t>
      </w:r>
      <w:bookmarkEnd w:id="5"/>
      <w:bookmarkEnd w:id="6"/>
      <w:bookmarkEnd w:id="7"/>
      <w:bookmarkEnd w:id="8"/>
      <w:bookmarkEnd w:id="9"/>
      <w:bookmarkEnd w:id="10"/>
      <w:bookmarkEnd w:id="11"/>
      <w:bookmarkEnd w:id="12"/>
    </w:p>
    <w:bookmarkEnd w:id="13"/>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cs="宋体"/>
          <w:color w:val="auto"/>
          <w:highlight w:val="none"/>
          <w:lang w:eastAsia="zh-CN"/>
        </w:rPr>
        <w:t>ZJWSBJ-JL-202112G</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cs="宋体"/>
          <w:color w:val="auto"/>
          <w:highlight w:val="none"/>
          <w:lang w:eastAsia="zh-CN"/>
        </w:rPr>
        <w:t>拉曼与量子精密测量实验室设备采购</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预算金额（元）：</w:t>
      </w:r>
      <w:r>
        <w:rPr>
          <w:rFonts w:hint="eastAsia" w:cs="宋体"/>
          <w:color w:val="auto"/>
          <w:highlight w:val="none"/>
          <w:lang w:eastAsia="zh-CN"/>
        </w:rPr>
        <w:t>1650000</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最高限价：</w:t>
      </w:r>
      <w:r>
        <w:rPr>
          <w:rFonts w:hint="eastAsia" w:cs="宋体"/>
          <w:highlight w:val="none"/>
          <w:lang w:val="en-US" w:eastAsia="zh-CN"/>
        </w:rPr>
        <w:t>765000，885000</w:t>
      </w:r>
    </w:p>
    <w:p>
      <w:pPr>
        <w:ind w:firstLine="480"/>
        <w:rPr>
          <w:rFonts w:hint="eastAsia" w:cs="宋体"/>
          <w:highlight w:val="none"/>
        </w:rPr>
      </w:pPr>
      <w:r>
        <w:rPr>
          <w:rFonts w:hint="eastAsia" w:cs="宋体"/>
          <w:highlight w:val="none"/>
        </w:rPr>
        <w:t>采购需求：</w:t>
      </w:r>
    </w:p>
    <w:p>
      <w:pPr>
        <w:outlineLvl w:val="9"/>
        <w:rPr>
          <w:rFonts w:hint="eastAsia" w:eastAsia="宋体"/>
          <w:lang w:val="en-US" w:eastAsia="zh-CN"/>
        </w:rPr>
      </w:pPr>
      <w:r>
        <w:rPr>
          <w:rFonts w:hint="eastAsia"/>
          <w:lang w:val="en-US" w:eastAsia="zh-CN"/>
        </w:rPr>
        <w:t>标项一：</w:t>
      </w:r>
    </w:p>
    <w:p>
      <w:pPr>
        <w:ind w:firstLine="720" w:firstLineChars="300"/>
        <w:rPr>
          <w:rFonts w:hint="eastAsia" w:eastAsia="宋体" w:cs="宋体"/>
          <w:highlight w:val="none"/>
          <w:lang w:eastAsia="zh-CN"/>
        </w:rPr>
      </w:pPr>
      <w:r>
        <w:rPr>
          <w:rFonts w:hint="eastAsia" w:cs="宋体"/>
          <w:highlight w:val="none"/>
        </w:rPr>
        <w:t>标项名称：便携拉曼光谱仪等设备</w:t>
      </w:r>
    </w:p>
    <w:p>
      <w:pPr>
        <w:ind w:firstLine="720" w:firstLineChars="300"/>
        <w:rPr>
          <w:rFonts w:cs="宋体"/>
          <w:highlight w:val="none"/>
        </w:rPr>
      </w:pPr>
      <w:r>
        <w:rPr>
          <w:rFonts w:hint="eastAsia" w:cs="宋体"/>
          <w:highlight w:val="none"/>
        </w:rPr>
        <w:t>数量：1</w:t>
      </w:r>
    </w:p>
    <w:p>
      <w:pPr>
        <w:ind w:firstLine="720" w:firstLineChars="300"/>
        <w:rPr>
          <w:rFonts w:cs="宋体"/>
          <w:highlight w:val="none"/>
        </w:rPr>
      </w:pPr>
      <w:r>
        <w:rPr>
          <w:rFonts w:hint="eastAsia" w:cs="宋体"/>
          <w:highlight w:val="none"/>
        </w:rPr>
        <w:t>单位：批</w:t>
      </w:r>
    </w:p>
    <w:p>
      <w:pPr>
        <w:ind w:firstLine="720" w:firstLineChars="300"/>
        <w:rPr>
          <w:rFonts w:hint="default" w:eastAsia="宋体" w:cs="宋体"/>
          <w:highlight w:val="none"/>
          <w:lang w:val="en-US" w:eastAsia="zh-CN"/>
        </w:rPr>
      </w:pPr>
      <w:r>
        <w:rPr>
          <w:rFonts w:hint="eastAsia" w:cs="宋体"/>
          <w:highlight w:val="none"/>
        </w:rPr>
        <w:t>预算金额（元）：</w:t>
      </w:r>
      <w:r>
        <w:rPr>
          <w:rFonts w:hint="eastAsia" w:cs="宋体"/>
          <w:highlight w:val="none"/>
          <w:lang w:val="en-US" w:eastAsia="zh-CN"/>
        </w:rPr>
        <w:t>765000</w:t>
      </w:r>
    </w:p>
    <w:p>
      <w:pPr>
        <w:ind w:firstLine="720" w:firstLineChars="300"/>
        <w:rPr>
          <w:rFonts w:hint="default" w:cs="宋体"/>
          <w:highlight w:val="none"/>
          <w:lang w:val="en-US"/>
        </w:rPr>
      </w:pPr>
      <w:r>
        <w:rPr>
          <w:rFonts w:hint="eastAsia" w:cs="宋体"/>
          <w:highlight w:val="none"/>
        </w:rPr>
        <w:t>最高限价（元）：</w:t>
      </w:r>
      <w:r>
        <w:rPr>
          <w:rFonts w:hint="eastAsia" w:cs="宋体"/>
          <w:highlight w:val="none"/>
          <w:lang w:val="en-US" w:eastAsia="zh-CN"/>
        </w:rPr>
        <w:t>765000</w:t>
      </w:r>
    </w:p>
    <w:p>
      <w:pPr>
        <w:ind w:firstLine="480"/>
        <w:rPr>
          <w:rFonts w:hint="eastAsia" w:cs="宋体"/>
          <w:highlight w:val="none"/>
        </w:rPr>
      </w:pPr>
      <w:r>
        <w:rPr>
          <w:rFonts w:hint="eastAsia" w:cs="宋体"/>
          <w:highlight w:val="none"/>
        </w:rPr>
        <w:t>简要规格描述或项目基本概况介绍、用途：具体详见采购文件需求部分</w:t>
      </w:r>
    </w:p>
    <w:p>
      <w:pPr>
        <w:outlineLvl w:val="9"/>
        <w:rPr>
          <w:rFonts w:hint="eastAsia" w:eastAsia="宋体"/>
          <w:lang w:val="en-US" w:eastAsia="zh-CN"/>
        </w:rPr>
      </w:pPr>
      <w:r>
        <w:rPr>
          <w:rFonts w:hint="eastAsia"/>
          <w:lang w:val="en-US" w:eastAsia="zh-CN"/>
        </w:rPr>
        <w:t>标项二：</w:t>
      </w:r>
    </w:p>
    <w:p>
      <w:pPr>
        <w:ind w:firstLine="720" w:firstLineChars="300"/>
        <w:rPr>
          <w:rFonts w:hint="eastAsia" w:eastAsia="宋体" w:cs="宋体"/>
          <w:highlight w:val="none"/>
          <w:lang w:eastAsia="zh-CN"/>
        </w:rPr>
      </w:pPr>
      <w:r>
        <w:rPr>
          <w:rFonts w:hint="eastAsia" w:cs="宋体"/>
          <w:highlight w:val="none"/>
        </w:rPr>
        <w:t>标项名称：单光子探测器等设备</w:t>
      </w:r>
    </w:p>
    <w:p>
      <w:pPr>
        <w:ind w:firstLine="720" w:firstLineChars="300"/>
        <w:rPr>
          <w:rFonts w:cs="宋体"/>
          <w:highlight w:val="none"/>
        </w:rPr>
      </w:pPr>
      <w:r>
        <w:rPr>
          <w:rFonts w:hint="eastAsia" w:cs="宋体"/>
          <w:highlight w:val="none"/>
        </w:rPr>
        <w:t>数量：1</w:t>
      </w:r>
    </w:p>
    <w:p>
      <w:pPr>
        <w:ind w:firstLine="720" w:firstLineChars="300"/>
        <w:rPr>
          <w:rFonts w:hint="eastAsia" w:eastAsia="宋体" w:cs="宋体"/>
          <w:highlight w:val="none"/>
          <w:lang w:eastAsia="zh-CN"/>
        </w:rPr>
      </w:pPr>
      <w:r>
        <w:rPr>
          <w:rFonts w:hint="eastAsia" w:cs="宋体"/>
          <w:highlight w:val="none"/>
        </w:rPr>
        <w:t>单位：</w:t>
      </w:r>
      <w:r>
        <w:rPr>
          <w:rFonts w:hint="eastAsia" w:cs="宋体"/>
          <w:highlight w:val="none"/>
          <w:lang w:val="en-US" w:eastAsia="zh-CN"/>
        </w:rPr>
        <w:t>套</w:t>
      </w:r>
    </w:p>
    <w:p>
      <w:pPr>
        <w:ind w:firstLine="720" w:firstLineChars="300"/>
        <w:rPr>
          <w:rFonts w:hint="default" w:eastAsia="宋体" w:cs="宋体"/>
          <w:highlight w:val="none"/>
          <w:lang w:val="en-US" w:eastAsia="zh-CN"/>
        </w:rPr>
      </w:pPr>
      <w:r>
        <w:rPr>
          <w:rFonts w:hint="eastAsia" w:cs="宋体"/>
          <w:highlight w:val="none"/>
        </w:rPr>
        <w:t>预算金额（元）：</w:t>
      </w:r>
      <w:r>
        <w:rPr>
          <w:rFonts w:hint="eastAsia" w:cs="宋体"/>
          <w:highlight w:val="none"/>
          <w:lang w:val="en-US" w:eastAsia="zh-CN"/>
        </w:rPr>
        <w:t>885000</w:t>
      </w:r>
    </w:p>
    <w:p>
      <w:pPr>
        <w:ind w:firstLine="720" w:firstLineChars="300"/>
        <w:rPr>
          <w:rFonts w:hint="default" w:eastAsia="宋体" w:cs="宋体"/>
          <w:highlight w:val="none"/>
          <w:lang w:val="en-US" w:eastAsia="zh-CN"/>
        </w:rPr>
      </w:pPr>
      <w:r>
        <w:rPr>
          <w:rFonts w:hint="eastAsia" w:cs="宋体"/>
          <w:highlight w:val="none"/>
        </w:rPr>
        <w:t>最高限价（元）：</w:t>
      </w:r>
      <w:r>
        <w:rPr>
          <w:rFonts w:hint="eastAsia" w:cs="宋体"/>
          <w:highlight w:val="none"/>
          <w:lang w:val="en-US" w:eastAsia="zh-CN"/>
        </w:rPr>
        <w:t>885000</w:t>
      </w:r>
    </w:p>
    <w:p>
      <w:pPr>
        <w:bidi w:val="0"/>
        <w:rPr>
          <w:rFonts w:hint="default" w:ascii="宋体" w:hAnsi="宋体" w:eastAsia="宋体" w:cs="宋体"/>
          <w:color w:val="auto"/>
          <w:highlight w:val="none"/>
          <w:lang w:val="en-US" w:eastAsia="zh-CN"/>
        </w:rPr>
      </w:pPr>
      <w:r>
        <w:rPr>
          <w:rFonts w:hint="eastAsia" w:cs="宋体"/>
          <w:highlight w:val="none"/>
        </w:rPr>
        <w:t>简要规格描述或项目基本概况介绍、用途：具体详见采购文件需求部分</w:t>
      </w:r>
    </w:p>
    <w:p>
      <w:pPr>
        <w:numPr>
          <w:ilvl w:val="0"/>
          <w:numId w:val="0"/>
        </w:num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合同履行期限：</w:t>
      </w:r>
      <w:r>
        <w:rPr>
          <w:rFonts w:hint="eastAsia" w:cs="宋体"/>
          <w:b/>
          <w:bCs/>
          <w:color w:val="auto"/>
          <w:highlight w:val="none"/>
          <w:lang w:val="en-US" w:eastAsia="zh-CN"/>
        </w:rPr>
        <w:t>供货期：</w:t>
      </w:r>
      <w:r>
        <w:rPr>
          <w:rFonts w:hint="eastAsia" w:cs="宋体"/>
          <w:b w:val="0"/>
          <w:bCs w:val="0"/>
          <w:color w:val="auto"/>
          <w:highlight w:val="none"/>
          <w:lang w:val="en-US" w:eastAsia="zh-CN"/>
        </w:rPr>
        <w:t>1.</w:t>
      </w:r>
      <w:r>
        <w:rPr>
          <w:rFonts w:hint="eastAsia"/>
          <w:highlight w:val="none"/>
        </w:rPr>
        <w:t>国产设备：合同签订以后30日历天内将所供商品按时、安全运至招标人指定地点，安装调试完毕后交招标人验收。</w:t>
      </w:r>
      <w:r>
        <w:rPr>
          <w:rFonts w:hint="eastAsia"/>
          <w:highlight w:val="none"/>
          <w:lang w:val="en-US" w:eastAsia="zh-CN"/>
        </w:rPr>
        <w:t>2.</w:t>
      </w:r>
      <w:r>
        <w:rPr>
          <w:rFonts w:hint="eastAsia"/>
          <w:highlight w:val="none"/>
        </w:rPr>
        <w:t>进口设备：“进出口货物征免税证明”办理后</w:t>
      </w:r>
      <w:r>
        <w:rPr>
          <w:rFonts w:hint="eastAsia"/>
          <w:highlight w:val="none"/>
          <w:lang w:val="en-US" w:eastAsia="zh-CN"/>
        </w:rPr>
        <w:t>60</w:t>
      </w:r>
      <w:r>
        <w:rPr>
          <w:rFonts w:hint="eastAsia"/>
          <w:highlight w:val="none"/>
        </w:rPr>
        <w:t>日历天内将所供商品按时、安全运至招标人指定地点，安装调试完毕后交招标人验收。</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本项目（否）接受联合体投标。</w:t>
      </w:r>
    </w:p>
    <w:p>
      <w:pPr>
        <w:pStyle w:val="7"/>
        <w:rPr>
          <w:rFonts w:hint="eastAsia" w:ascii="宋体" w:hAnsi="宋体" w:eastAsia="宋体" w:cs="宋体"/>
          <w:bCs w:val="0"/>
          <w:color w:val="auto"/>
          <w:sz w:val="24"/>
          <w:szCs w:val="24"/>
          <w:highlight w:val="none"/>
        </w:rPr>
      </w:pPr>
      <w:bookmarkStart w:id="14" w:name="_Toc28359080"/>
      <w:bookmarkStart w:id="15" w:name="_Toc18332"/>
      <w:bookmarkStart w:id="16" w:name="_Toc15297"/>
      <w:bookmarkStart w:id="17" w:name="_Toc35393791"/>
      <w:bookmarkStart w:id="18" w:name="_Toc35393622"/>
      <w:bookmarkStart w:id="19" w:name="_Toc28359003"/>
      <w:bookmarkStart w:id="20" w:name="_Toc21431"/>
      <w:bookmarkStart w:id="21" w:name="_Toc27888"/>
      <w:r>
        <w:rPr>
          <w:rFonts w:hint="eastAsia" w:ascii="宋体" w:hAnsi="宋体" w:eastAsia="宋体" w:cs="宋体"/>
          <w:bCs w:val="0"/>
          <w:color w:val="auto"/>
          <w:sz w:val="24"/>
          <w:szCs w:val="24"/>
          <w:highlight w:val="none"/>
        </w:rPr>
        <w:t>二、申请人的资格要求：</w:t>
      </w:r>
      <w:bookmarkEnd w:id="14"/>
      <w:bookmarkEnd w:id="15"/>
      <w:bookmarkEnd w:id="16"/>
      <w:bookmarkEnd w:id="17"/>
      <w:bookmarkEnd w:id="18"/>
      <w:bookmarkEnd w:id="19"/>
      <w:bookmarkEnd w:id="20"/>
      <w:bookmarkEnd w:id="21"/>
    </w:p>
    <w:p>
      <w:pPr>
        <w:bidi w:val="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r>
        <w:rPr>
          <w:rFonts w:hint="eastAsia" w:cs="宋体"/>
          <w:color w:val="auto"/>
          <w:highlight w:val="none"/>
          <w:lang w:eastAsia="zh-CN"/>
        </w:rPr>
        <w:t>，</w:t>
      </w:r>
      <w:r>
        <w:rPr>
          <w:rFonts w:hint="eastAsia" w:ascii="宋体" w:hAnsi="宋体" w:eastAsia="宋体" w:cs="宋体"/>
          <w:i w:val="0"/>
          <w:caps w:val="0"/>
          <w:color w:val="auto"/>
          <w:spacing w:val="0"/>
          <w:sz w:val="24"/>
          <w:szCs w:val="24"/>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bookmarkStart w:id="22" w:name="_Toc28359081"/>
      <w:bookmarkStart w:id="23" w:name="_Toc28359004"/>
      <w:r>
        <w:rPr>
          <w:rFonts w:hint="eastAsia" w:ascii="宋体" w:hAnsi="宋体" w:eastAsia="宋体" w:cs="宋体"/>
          <w:color w:val="auto"/>
          <w:highlight w:val="none"/>
        </w:rPr>
        <w:t>2.落实政府采购政策需满足的资格要求：</w:t>
      </w:r>
      <w:r>
        <w:rPr>
          <w:rFonts w:hint="eastAsia" w:cs="宋体"/>
          <w:color w:val="auto"/>
          <w:highlight w:val="none"/>
          <w:lang w:eastAsia="zh-CN"/>
        </w:rPr>
        <w:t>无</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3.本项目的特定资格要求：无。</w:t>
      </w:r>
    </w:p>
    <w:p>
      <w:pPr>
        <w:pStyle w:val="7"/>
        <w:rPr>
          <w:rFonts w:hint="eastAsia" w:ascii="宋体" w:hAnsi="宋体" w:eastAsia="宋体" w:cs="宋体"/>
          <w:bCs w:val="0"/>
          <w:color w:val="auto"/>
          <w:sz w:val="24"/>
          <w:szCs w:val="24"/>
          <w:highlight w:val="none"/>
        </w:rPr>
      </w:pPr>
      <w:bookmarkStart w:id="24" w:name="_Toc35393792"/>
      <w:bookmarkStart w:id="25" w:name="_Toc35393623"/>
      <w:bookmarkStart w:id="26" w:name="_Toc26166"/>
      <w:bookmarkStart w:id="27" w:name="_Toc2913"/>
      <w:bookmarkStart w:id="28" w:name="_Toc12278"/>
      <w:bookmarkStart w:id="29" w:name="_Toc7689"/>
      <w:r>
        <w:rPr>
          <w:rFonts w:hint="eastAsia" w:ascii="宋体" w:hAnsi="宋体" w:eastAsia="宋体" w:cs="宋体"/>
          <w:bCs w:val="0"/>
          <w:color w:val="auto"/>
          <w:sz w:val="24"/>
          <w:szCs w:val="24"/>
          <w:highlight w:val="none"/>
        </w:rPr>
        <w:t>三、获取招标文件</w:t>
      </w:r>
      <w:bookmarkEnd w:id="22"/>
      <w:bookmarkEnd w:id="23"/>
      <w:bookmarkEnd w:id="24"/>
      <w:bookmarkEnd w:id="25"/>
      <w:bookmarkEnd w:id="26"/>
      <w:bookmarkEnd w:id="27"/>
      <w:bookmarkEnd w:id="28"/>
      <w:bookmarkEnd w:id="29"/>
    </w:p>
    <w:p>
      <w:pPr>
        <w:snapToGrid w:val="0"/>
        <w:ind w:firstLine="482"/>
        <w:rPr>
          <w:rFonts w:hint="eastAsia" w:ascii="宋体" w:hAnsi="宋体" w:eastAsia="宋体" w:cs="宋体"/>
          <w:color w:val="auto"/>
          <w:highlight w:val="none"/>
        </w:rPr>
      </w:pPr>
      <w:bookmarkStart w:id="30" w:name="_Toc28359005"/>
      <w:bookmarkStart w:id="31" w:name="_Toc35393793"/>
      <w:bookmarkStart w:id="32" w:name="_Toc35393624"/>
      <w:bookmarkStart w:id="33" w:name="_Toc24629"/>
      <w:bookmarkStart w:id="34" w:name="_Toc28359082"/>
      <w:r>
        <w:rPr>
          <w:rFonts w:hint="eastAsia" w:ascii="宋体" w:hAnsi="宋体" w:eastAsia="宋体" w:cs="宋体"/>
          <w:b/>
          <w:bCs/>
          <w:color w:val="auto"/>
          <w:highlight w:val="none"/>
        </w:rPr>
        <w:t>时间：</w:t>
      </w:r>
      <w:r>
        <w:rPr>
          <w:rFonts w:hint="eastAsia" w:ascii="宋体" w:hAnsi="宋体" w:eastAsia="宋体" w:cs="宋体"/>
          <w:color w:val="auto"/>
          <w:highlight w:val="none"/>
          <w:u w:val="single"/>
        </w:rPr>
        <w:t>公告发布之日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投标截止时间</w:t>
      </w:r>
      <w:r>
        <w:rPr>
          <w:rFonts w:hint="eastAsia" w:ascii="宋体" w:hAnsi="宋体" w:eastAsia="宋体" w:cs="宋体"/>
          <w:color w:val="auto"/>
          <w:highlight w:val="none"/>
        </w:rPr>
        <w:t>（北京时间，法定节假日除外）</w:t>
      </w:r>
    </w:p>
    <w:p>
      <w:pPr>
        <w:snapToGrid w:val="0"/>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rPr>
        <w:t>地点（网址）：</w:t>
      </w:r>
      <w:r>
        <w:rPr>
          <w:rFonts w:hint="eastAsia" w:ascii="宋体" w:hAnsi="宋体" w:eastAsia="宋体" w:cs="宋体"/>
          <w:color w:val="auto"/>
          <w:highlight w:val="none"/>
        </w:rPr>
        <w:t>政府采购云平台（https://login.zcygov.cn）</w:t>
      </w:r>
    </w:p>
    <w:p>
      <w:pPr>
        <w:snapToGrid w:val="0"/>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rPr>
        <w:t>方式：</w:t>
      </w:r>
      <w:r>
        <w:rPr>
          <w:rFonts w:hint="eastAsia" w:ascii="宋体" w:hAnsi="宋体" w:eastAsia="宋体" w:cs="宋体"/>
          <w:color w:val="auto"/>
          <w:highlight w:val="none"/>
        </w:rPr>
        <w:t xml:space="preserve">在线获取（潜在投标人登陆政府采购云平台，进入“项目采购”，在“获取采购文件”菜单中选择项目后“申请获取采购文件”） </w:t>
      </w:r>
    </w:p>
    <w:p>
      <w:pPr>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售价：</w:t>
      </w:r>
      <w:r>
        <w:rPr>
          <w:rFonts w:hint="eastAsia" w:ascii="宋体" w:hAnsi="宋体" w:eastAsia="宋体" w:cs="宋体"/>
          <w:color w:val="auto"/>
          <w:highlight w:val="none"/>
        </w:rPr>
        <w:t>0元</w:t>
      </w:r>
    </w:p>
    <w:p>
      <w:pPr>
        <w:pStyle w:val="7"/>
        <w:spacing w:line="360" w:lineRule="auto"/>
        <w:rPr>
          <w:rFonts w:hint="eastAsia" w:ascii="宋体" w:hAnsi="宋体" w:eastAsia="宋体" w:cs="宋体"/>
          <w:bCs w:val="0"/>
          <w:color w:val="auto"/>
          <w:sz w:val="24"/>
          <w:szCs w:val="24"/>
          <w:highlight w:val="none"/>
        </w:rPr>
      </w:pPr>
      <w:bookmarkStart w:id="35" w:name="_Toc28740"/>
      <w:bookmarkStart w:id="36" w:name="_Toc24221"/>
      <w:bookmarkStart w:id="37" w:name="_Toc22448"/>
      <w:r>
        <w:rPr>
          <w:rFonts w:hint="eastAsia" w:ascii="宋体" w:hAnsi="宋体" w:eastAsia="宋体" w:cs="宋体"/>
          <w:bCs w:val="0"/>
          <w:color w:val="auto"/>
          <w:sz w:val="24"/>
          <w:szCs w:val="24"/>
          <w:highlight w:val="none"/>
        </w:rPr>
        <w:t>四、</w:t>
      </w:r>
      <w:bookmarkEnd w:id="30"/>
      <w:bookmarkEnd w:id="31"/>
      <w:bookmarkEnd w:id="32"/>
      <w:bookmarkEnd w:id="33"/>
      <w:bookmarkEnd w:id="34"/>
      <w:r>
        <w:rPr>
          <w:rFonts w:hint="eastAsia" w:ascii="宋体" w:hAnsi="宋体" w:eastAsia="宋体" w:cs="宋体"/>
          <w:bCs w:val="0"/>
          <w:color w:val="auto"/>
          <w:sz w:val="24"/>
          <w:szCs w:val="24"/>
          <w:highlight w:val="none"/>
        </w:rPr>
        <w:t>提交（上传）投标文件截止时间、开标时间和地点</w:t>
      </w:r>
      <w:bookmarkEnd w:id="35"/>
      <w:bookmarkEnd w:id="36"/>
      <w:bookmarkEnd w:id="37"/>
    </w:p>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递交投标截止时间：</w:t>
      </w:r>
      <w:r>
        <w:rPr>
          <w:rFonts w:hint="eastAsia" w:cs="宋体"/>
          <w:color w:val="auto"/>
          <w:highlight w:val="none"/>
          <w:lang w:eastAsia="zh-CN"/>
        </w:rPr>
        <w:t>2021年06月09日 9:00</w:t>
      </w:r>
      <w:r>
        <w:rPr>
          <w:rFonts w:hint="eastAsia" w:ascii="宋体" w:hAnsi="宋体" w:eastAsia="宋体" w:cs="宋体"/>
          <w:color w:val="auto"/>
          <w:highlight w:val="none"/>
        </w:rPr>
        <w:t xml:space="preserve">  （北京时间）</w:t>
      </w:r>
    </w:p>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投标地点（网址）：通过政府采购云平台在线电子投标、开标</w:t>
      </w:r>
    </w:p>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cs="宋体"/>
          <w:color w:val="auto"/>
          <w:highlight w:val="none"/>
          <w:lang w:eastAsia="zh-CN"/>
        </w:rPr>
        <w:t>2021年06月09日 9:00</w:t>
      </w:r>
      <w:r>
        <w:rPr>
          <w:rFonts w:hint="eastAsia" w:ascii="宋体" w:hAnsi="宋体" w:eastAsia="宋体" w:cs="宋体"/>
          <w:color w:val="auto"/>
          <w:highlight w:val="none"/>
        </w:rPr>
        <w:t xml:space="preserve">  （北京时间）</w:t>
      </w:r>
    </w:p>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地点（网址）：投标人在线参与开标，中国计量大学明德北楼B305室。</w:t>
      </w:r>
    </w:p>
    <w:p>
      <w:pPr>
        <w:pStyle w:val="7"/>
        <w:rPr>
          <w:rFonts w:hint="eastAsia" w:ascii="宋体" w:hAnsi="宋体" w:eastAsia="宋体" w:cs="宋体"/>
          <w:bCs w:val="0"/>
          <w:color w:val="auto"/>
          <w:sz w:val="24"/>
          <w:szCs w:val="24"/>
          <w:highlight w:val="none"/>
        </w:rPr>
      </w:pPr>
      <w:bookmarkStart w:id="38" w:name="_Toc20569"/>
      <w:bookmarkStart w:id="39" w:name="_Toc28359007"/>
      <w:bookmarkStart w:id="40" w:name="_Toc20642"/>
      <w:bookmarkStart w:id="41" w:name="_Toc35393625"/>
      <w:bookmarkStart w:id="42" w:name="_Toc35393794"/>
      <w:bookmarkStart w:id="43" w:name="_Toc28359084"/>
      <w:bookmarkStart w:id="44" w:name="_Toc23180"/>
      <w:bookmarkStart w:id="45" w:name="_Toc16247"/>
      <w:r>
        <w:rPr>
          <w:rFonts w:hint="eastAsia" w:ascii="宋体" w:hAnsi="宋体" w:eastAsia="宋体" w:cs="宋体"/>
          <w:bCs w:val="0"/>
          <w:color w:val="auto"/>
          <w:sz w:val="24"/>
          <w:szCs w:val="24"/>
          <w:highlight w:val="none"/>
        </w:rPr>
        <w:t>五、公告期限</w:t>
      </w:r>
      <w:bookmarkEnd w:id="38"/>
      <w:bookmarkEnd w:id="39"/>
      <w:bookmarkEnd w:id="40"/>
      <w:bookmarkEnd w:id="41"/>
      <w:bookmarkEnd w:id="42"/>
      <w:bookmarkEnd w:id="43"/>
      <w:bookmarkEnd w:id="44"/>
      <w:bookmarkEnd w:id="45"/>
    </w:p>
    <w:p>
      <w:pPr>
        <w:bidi w:val="0"/>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pStyle w:val="7"/>
        <w:rPr>
          <w:rFonts w:hint="eastAsia" w:ascii="宋体" w:hAnsi="宋体" w:eastAsia="宋体" w:cs="宋体"/>
          <w:bCs w:val="0"/>
          <w:color w:val="auto"/>
          <w:sz w:val="24"/>
          <w:szCs w:val="24"/>
          <w:highlight w:val="none"/>
        </w:rPr>
      </w:pPr>
      <w:bookmarkStart w:id="46" w:name="_Toc8271"/>
      <w:bookmarkStart w:id="47" w:name="_Toc35393795"/>
      <w:bookmarkStart w:id="48" w:name="_Toc35393626"/>
      <w:bookmarkStart w:id="49" w:name="_Toc10849"/>
      <w:bookmarkStart w:id="50" w:name="_Toc32225"/>
      <w:bookmarkStart w:id="51" w:name="_Toc4588"/>
      <w:r>
        <w:rPr>
          <w:rFonts w:hint="eastAsia" w:ascii="宋体" w:hAnsi="宋体" w:eastAsia="宋体" w:cs="宋体"/>
          <w:bCs w:val="0"/>
          <w:color w:val="auto"/>
          <w:sz w:val="24"/>
          <w:szCs w:val="24"/>
          <w:highlight w:val="none"/>
        </w:rPr>
        <w:t>六、其他补充事宜</w:t>
      </w:r>
      <w:bookmarkEnd w:id="46"/>
      <w:bookmarkEnd w:id="47"/>
      <w:bookmarkEnd w:id="48"/>
      <w:bookmarkEnd w:id="49"/>
      <w:bookmarkEnd w:id="50"/>
      <w:bookmarkEnd w:id="51"/>
    </w:p>
    <w:p>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 xml:space="preserve">信用记录：根据财库[2016]125号《关于在政府采购活动中查询及使用信用记录有关问题的通知》要求，采购代理机构会对投标人信用记录进行查询并甄别。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信用信息查询的截止时点：投标截止时间；</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1）查询渠道：“信用中国”（www.creditchina.gov.cn）、“中国政府采购网”（www.ccgp.gov.cn）；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2）信用信息查询记录和证据留存具体方式：采购代理机构经办人和监督人员将查询网页打印与其他采购文件一并保存；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3）信用信息的使用规则：投标人被列入失信被执行人、重大税收违法案件当事人名单、政府采购严重违法失信行为记录名单的，拒绝其参与政府采购活动。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4.采购项目需要落实的政府采购政策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b/>
          <w:bCs/>
          <w:color w:val="auto"/>
          <w:highlight w:val="none"/>
        </w:rPr>
        <w:t>《政府采购促进中小企业发展管理办法》(财库〔2020〕46号)</w:t>
      </w:r>
      <w:r>
        <w:rPr>
          <w:rFonts w:hint="eastAsia" w:ascii="宋体" w:hAnsi="宋体" w:eastAsia="宋体" w:cs="宋体"/>
          <w:color w:val="auto"/>
          <w:highlight w:val="none"/>
        </w:rPr>
        <w:t>（对应的中小企业划分标准所属行业：</w:t>
      </w:r>
      <w:r>
        <w:rPr>
          <w:rFonts w:hint="eastAsia" w:cs="宋体"/>
          <w:color w:val="auto"/>
          <w:highlight w:val="none"/>
          <w:lang w:val="en-US" w:eastAsia="zh-CN"/>
        </w:rPr>
        <w:t>工业</w:t>
      </w: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cs="宋体"/>
          <w:b/>
          <w:bCs/>
          <w:color w:val="auto"/>
          <w:highlight w:val="none"/>
        </w:rPr>
        <w:t>《关于政府采购支持监狱企业发展有关问题的通知》(财库[2014]68号)</w:t>
      </w: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b/>
          <w:bCs/>
          <w:color w:val="auto"/>
          <w:highlight w:val="none"/>
        </w:rPr>
        <w:t>《关于促进残疾人就业政府采购政策的通知》（财库[2017]141号）</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宋体"/>
          <w:b/>
          <w:bCs/>
          <w:color w:val="auto"/>
          <w:highlight w:val="none"/>
        </w:rPr>
        <w:t>《关于环境标志产品政府采购实施的意见》（财库〔2006〕90号</w:t>
      </w:r>
      <w:r>
        <w:rPr>
          <w:rFonts w:hint="eastAsia" w:ascii="宋体" w:hAnsi="宋体" w:eastAsia="宋体" w:cs="宋体"/>
          <w:color w:val="auto"/>
          <w:highlight w:val="none"/>
          <w:lang w:val="en-US" w:eastAsia="zh-CN"/>
        </w:rPr>
        <w:t xml:space="preserve"> </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cs="宋体"/>
          <w:b/>
          <w:bCs/>
          <w:color w:val="auto"/>
          <w:highlight w:val="none"/>
        </w:rPr>
        <w:t>《节能产品政府采购实施意见》的通知（财库〔2004〕185号）</w:t>
      </w:r>
    </w:p>
    <w:p>
      <w:pPr>
        <w:pStyle w:val="7"/>
        <w:rPr>
          <w:rFonts w:hint="eastAsia" w:ascii="宋体" w:hAnsi="宋体" w:eastAsia="宋体" w:cs="宋体"/>
          <w:bCs w:val="0"/>
          <w:color w:val="auto"/>
          <w:sz w:val="24"/>
          <w:szCs w:val="24"/>
          <w:highlight w:val="none"/>
          <w:lang w:val="en-US" w:eastAsia="zh-CN"/>
        </w:rPr>
      </w:pPr>
      <w:bookmarkStart w:id="52" w:name="_Toc28359008"/>
      <w:bookmarkStart w:id="53" w:name="_Toc19081"/>
      <w:bookmarkStart w:id="54" w:name="_Toc35393796"/>
      <w:bookmarkStart w:id="55" w:name="_Toc35393627"/>
      <w:bookmarkStart w:id="56" w:name="_Toc20621"/>
      <w:bookmarkStart w:id="57" w:name="_Toc28359085"/>
      <w:bookmarkStart w:id="58" w:name="_Toc8773"/>
      <w:bookmarkStart w:id="59" w:name="_Toc32178"/>
      <w:r>
        <w:rPr>
          <w:rFonts w:hint="eastAsia" w:ascii="宋体" w:hAnsi="宋体" w:eastAsia="宋体" w:cs="宋体"/>
          <w:bCs w:val="0"/>
          <w:color w:val="auto"/>
          <w:sz w:val="24"/>
          <w:szCs w:val="24"/>
          <w:highlight w:val="none"/>
        </w:rPr>
        <w:t>七、对本次招标提出询问，请按以下方式联系</w:t>
      </w:r>
      <w:bookmarkEnd w:id="52"/>
      <w:bookmarkEnd w:id="53"/>
      <w:bookmarkEnd w:id="54"/>
      <w:bookmarkEnd w:id="55"/>
      <w:bookmarkEnd w:id="56"/>
      <w:bookmarkEnd w:id="57"/>
      <w:bookmarkEnd w:id="58"/>
      <w:bookmarkEnd w:id="59"/>
    </w:p>
    <w:p>
      <w:pPr>
        <w:bidi w:val="0"/>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名称：中国计量大学</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地址：杭州市下沙高教园区学源街258号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项目联系人（询问）： </w:t>
      </w:r>
      <w:r>
        <w:rPr>
          <w:rFonts w:hint="eastAsia" w:cs="宋体"/>
          <w:color w:val="auto"/>
          <w:highlight w:val="none"/>
          <w:lang w:eastAsia="zh-CN"/>
        </w:rPr>
        <w:t>梁</w:t>
      </w:r>
      <w:r>
        <w:rPr>
          <w:rFonts w:hint="eastAsia" w:ascii="宋体" w:hAnsi="宋体" w:eastAsia="宋体" w:cs="宋体"/>
          <w:color w:val="auto"/>
          <w:highlight w:val="none"/>
        </w:rPr>
        <w:t>老师</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项目联系方式（询问）：</w:t>
      </w:r>
      <w:r>
        <w:rPr>
          <w:rFonts w:hint="eastAsia" w:cs="宋体"/>
          <w:highlight w:val="none"/>
        </w:rPr>
        <w:t xml:space="preserve"> 15058181796</w:t>
      </w: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质疑联系人：王老师</w:t>
      </w:r>
    </w:p>
    <w:p>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质疑联系方式：0571-</w:t>
      </w:r>
      <w:r>
        <w:rPr>
          <w:rFonts w:hint="eastAsia" w:cs="宋体"/>
          <w:highlight w:val="none"/>
        </w:rPr>
        <w:t>86875640</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名称：浙江五石工程咨询有限公司  </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地址：杭州市滨江区东方通信科技园启迪楼2楼</w:t>
      </w:r>
      <w:r>
        <w:rPr>
          <w:rFonts w:hint="eastAsia" w:cs="宋体"/>
          <w:color w:val="auto"/>
          <w:highlight w:val="none"/>
          <w:lang w:eastAsia="zh-CN"/>
        </w:rPr>
        <w:t>1208室</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项目联系人（询问）：陈工</w:t>
      </w:r>
    </w:p>
    <w:p>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项目联系方式（询问）： 0571-86098397-808</w:t>
      </w:r>
      <w:r>
        <w:rPr>
          <w:rFonts w:hint="eastAsia" w:cs="宋体"/>
          <w:color w:val="auto"/>
          <w:highlight w:val="none"/>
          <w:lang w:val="en-US" w:eastAsia="zh-CN"/>
        </w:rPr>
        <w:t>/17746802645</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质疑联系人： 毛工  </w:t>
      </w:r>
    </w:p>
    <w:p>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质疑联系方式：0571-87919156</w:t>
      </w:r>
      <w:r>
        <w:rPr>
          <w:rFonts w:hint="eastAsia" w:cs="宋体"/>
          <w:color w:val="auto"/>
          <w:highlight w:val="none"/>
          <w:lang w:val="en-US" w:eastAsia="zh-CN"/>
        </w:rPr>
        <w:t>/hzwsgc@163.com</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val="zh-CN"/>
        </w:rPr>
        <w:t>浙江省财政厅政府采购监管处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val="zh-CN"/>
        </w:rPr>
        <w:t>杭州市西湖区环城西路37号</w:t>
      </w:r>
    </w:p>
    <w:p>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联系人：倪文良、吴聪瑜</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监督投诉电话：0571-87057615、87058489</w:t>
      </w:r>
    </w:p>
    <w:p>
      <w:pPr>
        <w:widowControl/>
        <w:ind w:firstLine="480"/>
        <w:jc w:val="left"/>
        <w:rPr>
          <w:rFonts w:hint="eastAsia" w:ascii="宋体" w:hAnsi="宋体" w:eastAsia="宋体" w:cs="宋体"/>
          <w:color w:val="auto"/>
          <w:highlight w:val="none"/>
        </w:r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bidi w:val="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bookmarkEnd w:id="4"/>
    <w:p>
      <w:pPr>
        <w:pStyle w:val="6"/>
        <w:numPr>
          <w:ilvl w:val="0"/>
          <w:numId w:val="0"/>
        </w:numPr>
        <w:bidi w:val="0"/>
        <w:ind w:left="0" w:leftChars="0" w:right="0" w:rightChars="0" w:firstLine="0" w:firstLineChars="0"/>
        <w:jc w:val="center"/>
        <w:rPr>
          <w:rFonts w:hint="eastAsia" w:ascii="宋体" w:hAnsi="宋体" w:eastAsia="宋体" w:cs="宋体"/>
          <w:color w:val="auto"/>
          <w:highlight w:val="none"/>
        </w:rPr>
      </w:pPr>
      <w:bookmarkStart w:id="60" w:name="_Toc6146"/>
      <w:bookmarkStart w:id="61" w:name="_Toc26040"/>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项目需求说明</w:t>
      </w:r>
      <w:bookmarkEnd w:id="60"/>
      <w:bookmarkEnd w:id="61"/>
    </w:p>
    <w:p>
      <w:pPr>
        <w:pStyle w:val="7"/>
        <w:bidi w:val="0"/>
        <w:rPr>
          <w:rFonts w:hint="eastAsia" w:ascii="宋体" w:hAnsi="宋体" w:eastAsia="宋体" w:cs="宋体"/>
          <w:color w:val="auto"/>
          <w:highlight w:val="none"/>
        </w:rPr>
      </w:pPr>
      <w:bookmarkStart w:id="62" w:name="_Toc21112"/>
      <w:bookmarkStart w:id="63" w:name="_Toc18187"/>
      <w:bookmarkStart w:id="64" w:name="_Toc15263"/>
      <w:bookmarkStart w:id="65" w:name="_Toc4822"/>
      <w:bookmarkStart w:id="66" w:name="_Toc6282"/>
      <w:bookmarkStart w:id="67" w:name="_Toc450840085"/>
      <w:r>
        <w:rPr>
          <w:rFonts w:hint="eastAsia" w:ascii="宋体" w:hAnsi="宋体" w:eastAsia="宋体" w:cs="宋体"/>
          <w:color w:val="auto"/>
          <w:highlight w:val="none"/>
        </w:rPr>
        <w:t>一、货物或产品的说明</w:t>
      </w:r>
      <w:bookmarkEnd w:id="62"/>
      <w:bookmarkEnd w:id="63"/>
      <w:bookmarkEnd w:id="64"/>
    </w:p>
    <w:p>
      <w:pPr>
        <w:bidi w:val="0"/>
        <w:rPr>
          <w:rFonts w:hint="eastAsia"/>
          <w:color w:val="auto"/>
          <w:highlight w:val="none"/>
        </w:rPr>
      </w:pPr>
      <w:r>
        <w:rPr>
          <w:rFonts w:hint="eastAsia"/>
          <w:color w:val="auto"/>
          <w:highlight w:val="none"/>
          <w:lang w:val="en-US" w:eastAsia="zh-CN"/>
        </w:rPr>
        <w:t>1.</w:t>
      </w:r>
      <w:r>
        <w:rPr>
          <w:rFonts w:hint="eastAsia"/>
          <w:color w:val="auto"/>
          <w:highlight w:val="none"/>
        </w:rPr>
        <w:t>货物（材料）要求</w:t>
      </w:r>
    </w:p>
    <w:p>
      <w:pPr>
        <w:bidi w:val="0"/>
        <w:rPr>
          <w:rFonts w:hint="eastAsia"/>
          <w:color w:val="auto"/>
          <w:highlight w:val="none"/>
        </w:rPr>
      </w:pPr>
      <w:r>
        <w:rPr>
          <w:rFonts w:hint="eastAsia"/>
          <w:color w:val="auto"/>
          <w:highlight w:val="none"/>
        </w:rPr>
        <w:t>1.1供应商提供的货物必须是厂商原装的、全新的，型号、性能及指标符合国家及招标文件提出的有关技术、质量、安全标准。</w:t>
      </w:r>
    </w:p>
    <w:p>
      <w:pPr>
        <w:bidi w:val="0"/>
        <w:rPr>
          <w:rFonts w:hint="eastAsia"/>
          <w:color w:val="auto"/>
          <w:highlight w:val="none"/>
        </w:rPr>
      </w:pPr>
      <w:r>
        <w:rPr>
          <w:rFonts w:hint="eastAsia"/>
          <w:color w:val="auto"/>
          <w:highlight w:val="none"/>
        </w:rPr>
        <w:t>1.2所有货物在开箱检验时必须完好，无破损，配置与装箱单相符。数量、质量及性能不低于本需求书中提出的要求。</w:t>
      </w:r>
    </w:p>
    <w:p>
      <w:pPr>
        <w:bidi w:val="0"/>
        <w:rPr>
          <w:rFonts w:hint="eastAsia" w:eastAsia="宋体"/>
          <w:color w:val="auto"/>
          <w:highlight w:val="none"/>
          <w:lang w:eastAsia="zh-CN"/>
        </w:rPr>
      </w:pPr>
      <w:r>
        <w:rPr>
          <w:rFonts w:hint="eastAsia"/>
          <w:color w:val="auto"/>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r>
        <w:rPr>
          <w:rFonts w:hint="eastAsia"/>
          <w:color w:val="auto"/>
          <w:highlight w:val="none"/>
          <w:lang w:eastAsia="zh-CN"/>
        </w:rPr>
        <w:t>。</w:t>
      </w:r>
    </w:p>
    <w:p>
      <w:pPr>
        <w:bidi w:val="0"/>
        <w:rPr>
          <w:rFonts w:hint="eastAsia"/>
          <w:color w:val="auto"/>
          <w:highlight w:val="none"/>
        </w:rPr>
      </w:pPr>
      <w:r>
        <w:rPr>
          <w:rFonts w:hint="eastAsia"/>
          <w:color w:val="auto"/>
          <w:highlight w:val="none"/>
        </w:rPr>
        <w:t>1.4对于影响货物正常工作的必要组成部分，无论在技术规范中指出与否，供应商都应提供并在投标文件中明确列出。</w:t>
      </w:r>
    </w:p>
    <w:p>
      <w:pPr>
        <w:bidi w:val="0"/>
        <w:rPr>
          <w:rFonts w:hint="eastAsia"/>
          <w:color w:val="auto"/>
          <w:highlight w:val="none"/>
        </w:rPr>
      </w:pPr>
      <w:r>
        <w:rPr>
          <w:rFonts w:hint="eastAsia"/>
          <w:color w:val="auto"/>
          <w:highlight w:val="none"/>
        </w:rPr>
        <w:t>1.5所有货物提供出厂合格证等质量证明文件，国外生产的必须有合法的进货渠道证明，如海关报关单、原产地证明、商检证明等。</w:t>
      </w:r>
    </w:p>
    <w:p>
      <w:pPr>
        <w:bidi w:val="0"/>
        <w:rPr>
          <w:rFonts w:hint="eastAsia"/>
          <w:color w:val="auto"/>
          <w:highlight w:val="none"/>
        </w:rPr>
      </w:pPr>
      <w:r>
        <w:rPr>
          <w:rFonts w:hint="eastAsia"/>
          <w:color w:val="auto"/>
          <w:highlight w:val="none"/>
        </w:rPr>
        <w:t>1.6所有货物到现场安装使用前，采购人将进行抽样检验或试验。</w:t>
      </w:r>
    </w:p>
    <w:p>
      <w:pPr>
        <w:bidi w:val="0"/>
        <w:rPr>
          <w:rFonts w:hint="eastAsia"/>
          <w:color w:val="auto"/>
          <w:highlight w:val="none"/>
        </w:rPr>
      </w:pPr>
      <w:r>
        <w:rPr>
          <w:rFonts w:hint="eastAsia"/>
          <w:color w:val="auto"/>
          <w:highlight w:val="none"/>
          <w:lang w:val="en-US" w:eastAsia="zh-CN"/>
        </w:rPr>
        <w:t>2.</w:t>
      </w:r>
      <w:r>
        <w:rPr>
          <w:rFonts w:hint="eastAsia"/>
          <w:color w:val="auto"/>
          <w:highlight w:val="none"/>
        </w:rPr>
        <w:t>现场情况</w:t>
      </w:r>
    </w:p>
    <w:p>
      <w:pPr>
        <w:bidi w:val="0"/>
        <w:rPr>
          <w:rFonts w:hint="eastAsia"/>
          <w:color w:val="auto"/>
          <w:highlight w:val="none"/>
        </w:rPr>
      </w:pPr>
      <w:r>
        <w:rPr>
          <w:rFonts w:hint="eastAsia"/>
          <w:color w:val="auto"/>
          <w:highlight w:val="none"/>
        </w:rPr>
        <w:t>采购人不组织现场踏勘，供应商应自行对现场和周围环境进行踏勘和了解，以获取有关编制投标文件和签署合同所需的各种资料，并应充分考虑影响本次报价的因素、预计实施过程中各种不利因素，由此可能发生的费用均由供应商考虑并包含在投标报价中。中标后，供应商不得再以不完全了解现场情况等为理由而提出额外付款或延长工期等的要求，若有此类要求，采购人将不作任何答复与考虑，供应商应承担现场踏勘的责任和风险，踏勘现场的费用由供应商自行承担。现场安装作业环境的种种不利因素均需由供应商考虑，并将所需费用包含在投标报价中。</w:t>
      </w:r>
    </w:p>
    <w:p>
      <w:pPr>
        <w:numPr>
          <w:ilvl w:val="0"/>
          <w:numId w:val="4"/>
        </w:numPr>
        <w:bidi w:val="0"/>
        <w:rPr>
          <w:color w:val="auto"/>
          <w:highlight w:val="none"/>
        </w:rPr>
        <w:sectPr>
          <w:footerReference r:id="rId14" w:type="default"/>
          <w:pgSz w:w="11906" w:h="16838"/>
          <w:pgMar w:top="1440" w:right="1080" w:bottom="1440" w:left="1080" w:header="850" w:footer="992" w:gutter="0"/>
          <w:pgBorders>
            <w:top w:val="none" w:sz="0" w:space="0"/>
            <w:left w:val="none" w:sz="0" w:space="0"/>
            <w:bottom w:val="none" w:sz="0" w:space="0"/>
            <w:right w:val="none" w:sz="0" w:space="0"/>
          </w:pgBorders>
          <w:cols w:space="720" w:num="1"/>
          <w:docGrid w:linePitch="381" w:charSpace="0"/>
        </w:sectPr>
      </w:pPr>
      <w:r>
        <w:rPr>
          <w:rFonts w:hint="eastAsia"/>
          <w:color w:val="auto"/>
          <w:highlight w:val="none"/>
        </w:rPr>
        <w:t>▲</w:t>
      </w:r>
      <w:r>
        <w:rPr>
          <w:color w:val="auto"/>
          <w:highlight w:val="none"/>
        </w:rPr>
        <w:t>投标设备型号若为再制造产品（翻新机）型号，其投标将被拒绝。</w:t>
      </w:r>
    </w:p>
    <w:p>
      <w:pPr>
        <w:pStyle w:val="7"/>
        <w:bidi w:val="0"/>
        <w:rPr>
          <w:rFonts w:hint="default"/>
          <w:color w:val="auto"/>
          <w:highlight w:val="none"/>
          <w:lang w:val="en-US" w:eastAsia="zh-CN"/>
        </w:rPr>
      </w:pPr>
      <w:bookmarkStart w:id="68" w:name="_Toc20195"/>
      <w:bookmarkStart w:id="69" w:name="_Toc20198"/>
      <w:bookmarkStart w:id="70" w:name="_Toc4397"/>
      <w:r>
        <w:rPr>
          <w:rFonts w:hint="eastAsia" w:ascii="宋体" w:hAnsi="宋体" w:eastAsia="宋体" w:cs="宋体"/>
          <w:color w:val="auto"/>
          <w:highlight w:val="none"/>
        </w:rPr>
        <w:t>二、</w:t>
      </w:r>
      <w:bookmarkEnd w:id="68"/>
      <w:bookmarkEnd w:id="69"/>
      <w:bookmarkEnd w:id="70"/>
      <w:r>
        <w:rPr>
          <w:rFonts w:hint="eastAsia" w:cs="宋体"/>
          <w:color w:val="auto"/>
          <w:highlight w:val="none"/>
          <w:lang w:val="en-US" w:eastAsia="zh-CN"/>
        </w:rPr>
        <w:t>配置清单</w:t>
      </w:r>
      <w:bookmarkStart w:id="71" w:name="OLE_LINK6"/>
      <w:r>
        <w:rPr>
          <w:rFonts w:hint="eastAsia" w:cs="宋体"/>
          <w:color w:val="auto"/>
          <w:highlight w:val="none"/>
          <w:lang w:val="en-US" w:eastAsia="zh-CN"/>
        </w:rPr>
        <w:t>及具体要求</w:t>
      </w:r>
    </w:p>
    <w:p>
      <w:pPr>
        <w:ind w:left="0" w:leftChars="0" w:firstLine="0" w:firstLineChars="0"/>
        <w:outlineLvl w:val="2"/>
        <w:rPr>
          <w:rFonts w:hint="default" w:eastAsia="宋体"/>
          <w:b/>
          <w:bCs/>
          <w:highlight w:val="none"/>
          <w:lang w:val="en-US" w:eastAsia="zh-CN"/>
        </w:rPr>
      </w:pPr>
      <w:r>
        <w:rPr>
          <w:rFonts w:hint="eastAsia" w:cs="宋体"/>
          <w:b/>
          <w:bCs/>
          <w:highlight w:val="none"/>
          <w:lang w:val="en-US" w:eastAsia="zh-CN"/>
        </w:rPr>
        <w:t>标项一：便携拉曼光谱仪等设备</w:t>
      </w:r>
    </w:p>
    <w:tbl>
      <w:tblPr>
        <w:tblStyle w:val="4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581"/>
        <w:gridCol w:w="4814"/>
        <w:gridCol w:w="885"/>
        <w:gridCol w:w="79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序号</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名称</w:t>
            </w:r>
          </w:p>
        </w:tc>
        <w:tc>
          <w:tcPr>
            <w:tcW w:w="4814"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技术参数</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单位</w:t>
            </w:r>
          </w:p>
        </w:tc>
        <w:tc>
          <w:tcPr>
            <w:tcW w:w="79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数量</w:t>
            </w:r>
          </w:p>
        </w:tc>
        <w:tc>
          <w:tcPr>
            <w:tcW w:w="947"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1</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便携拉曼光谱仪-785 nm</w:t>
            </w:r>
          </w:p>
        </w:tc>
        <w:tc>
          <w:tcPr>
            <w:tcW w:w="4814" w:type="dxa"/>
            <w:vAlign w:val="center"/>
          </w:tcPr>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激光波长：785nm±0.5nm</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线宽：＜0.1nm</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激光输出功率：最大功率500mW，可调</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光谱范围：200-3200cm-1</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谱图分辨率：~9cm-1@912nm</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检测器类型：线阵CCD阵列</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高稳定性，光谱响应稳定性&lt;2% @2hrs;</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USB电源输入接口：支持</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冷却器：风扇冷却</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电源：5V，2A</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尺寸：16*14*4.5cm</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工作温度：0-40℃</w:t>
            </w:r>
          </w:p>
          <w:p>
            <w:pPr>
              <w:numPr>
                <w:ilvl w:val="0"/>
                <w:numId w:val="5"/>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储存温度：-30-60℃</w:t>
            </w:r>
          </w:p>
          <w:p>
            <w:pPr>
              <w:pStyle w:val="7"/>
              <w:spacing w:before="120" w:beforeLines="50" w:after="120" w:afterLines="50" w:line="240" w:lineRule="auto"/>
              <w:ind w:left="420"/>
              <w:rPr>
                <w:highlight w:val="none"/>
              </w:rPr>
            </w:pPr>
            <w:r>
              <w:rPr>
                <w:rFonts w:hint="eastAsia" w:cs="宋体"/>
                <w:b w:val="0"/>
                <w:bCs w:val="0"/>
                <w:color w:val="000000"/>
                <w:sz w:val="24"/>
                <w:szCs w:val="24"/>
                <w:highlight w:val="none"/>
              </w:rPr>
              <w:t>[</w:t>
            </w:r>
            <w:r>
              <w:rPr>
                <w:rFonts w:cs="宋体"/>
                <w:b w:val="0"/>
                <w:bCs w:val="0"/>
                <w:color w:val="000000"/>
                <w:sz w:val="24"/>
                <w:szCs w:val="24"/>
                <w:highlight w:val="none"/>
              </w:rPr>
              <w:t xml:space="preserve">14] </w:t>
            </w:r>
            <w:r>
              <w:rPr>
                <w:rFonts w:hint="eastAsia" w:cs="宋体"/>
                <w:b w:val="0"/>
                <w:bCs w:val="0"/>
                <w:color w:val="000000"/>
                <w:sz w:val="24"/>
                <w:szCs w:val="24"/>
                <w:highlight w:val="none"/>
              </w:rPr>
              <w:t>具有增强拉曼模块和功能，</w:t>
            </w:r>
            <w:r>
              <w:rPr>
                <w:rFonts w:cs="宋体"/>
                <w:b w:val="0"/>
                <w:bCs w:val="0"/>
                <w:color w:val="000000"/>
                <w:sz w:val="24"/>
                <w:szCs w:val="24"/>
                <w:highlight w:val="none"/>
              </w:rPr>
              <w:t>结合</w:t>
            </w:r>
            <w:r>
              <w:rPr>
                <w:rFonts w:hint="eastAsia" w:cs="宋体"/>
                <w:b w:val="0"/>
                <w:bCs w:val="0"/>
                <w:color w:val="000000"/>
                <w:sz w:val="24"/>
                <w:szCs w:val="24"/>
                <w:highlight w:val="none"/>
              </w:rPr>
              <w:t>增强</w:t>
            </w:r>
            <w:r>
              <w:rPr>
                <w:rFonts w:cs="宋体"/>
                <w:b w:val="0"/>
                <w:bCs w:val="0"/>
                <w:color w:val="000000"/>
                <w:sz w:val="24"/>
                <w:szCs w:val="24"/>
                <w:highlight w:val="none"/>
              </w:rPr>
              <w:t>芯片，</w:t>
            </w:r>
            <w:r>
              <w:rPr>
                <w:rFonts w:hint="eastAsia" w:cs="宋体"/>
                <w:b w:val="0"/>
                <w:bCs w:val="0"/>
                <w:color w:val="000000"/>
                <w:sz w:val="24"/>
                <w:szCs w:val="24"/>
                <w:highlight w:val="none"/>
              </w:rPr>
              <w:t>芬太尼</w:t>
            </w:r>
            <w:r>
              <w:rPr>
                <w:rFonts w:cs="宋体"/>
                <w:b w:val="0"/>
                <w:bCs w:val="0"/>
                <w:color w:val="000000"/>
                <w:sz w:val="24"/>
                <w:szCs w:val="24"/>
                <w:highlight w:val="none"/>
              </w:rPr>
              <w:t xml:space="preserve">检测能力可达10 </w:t>
            </w:r>
            <w:r>
              <w:rPr>
                <w:rFonts w:hint="eastAsia" w:cs="宋体"/>
                <w:b w:val="0"/>
                <w:bCs w:val="0"/>
                <w:color w:val="000000"/>
                <w:sz w:val="24"/>
                <w:szCs w:val="24"/>
                <w:highlight w:val="none"/>
              </w:rPr>
              <w:t>ppb，并提供相关样品检测的光谱数据图。</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79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w:t>
            </w:r>
          </w:p>
        </w:tc>
        <w:tc>
          <w:tcPr>
            <w:tcW w:w="947" w:type="dxa"/>
            <w:vAlign w:val="center"/>
          </w:tcPr>
          <w:p>
            <w:pPr>
              <w:spacing w:before="120" w:beforeLines="50" w:after="120" w:afterLines="50" w:line="240" w:lineRule="auto"/>
              <w:ind w:firstLine="0" w:firstLineChars="0"/>
              <w:jc w:val="center"/>
              <w:rPr>
                <w:rFonts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2</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手持式拉曼光谱仪-785 nm</w:t>
            </w:r>
          </w:p>
        </w:tc>
        <w:tc>
          <w:tcPr>
            <w:tcW w:w="4814" w:type="dxa"/>
            <w:vAlign w:val="center"/>
          </w:tcPr>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使用激光拉曼光谱技术，提供超过1000种物质的普通拉曼数据库和超过</w:t>
            </w:r>
            <w:r>
              <w:rPr>
                <w:rFonts w:cs="宋体"/>
                <w:color w:val="000000"/>
                <w:highlight w:val="none"/>
              </w:rPr>
              <w:t>100</w:t>
            </w:r>
            <w:r>
              <w:rPr>
                <w:rFonts w:hint="eastAsia" w:cs="宋体"/>
                <w:color w:val="000000"/>
                <w:highlight w:val="none"/>
              </w:rPr>
              <w:t>种毒品的增强拉曼数据库，并提供开放的数据库，可供用户自建光谱数据库；</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可透过透明或是半透明的塑料包装袋、小瓶和玻璃小瓶对液体、固体样品进行分析，并能有效排除包装袋对结果的干扰；</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仪器具备颜色报警功能；</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仪器为全中文的操作菜单，配有不小于4英寸的触摸屏；仪器防护等级≧IP65；</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 xml:space="preserve"> 785±0.5nm，激光功率最大为80mW，软件10档可调；</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检测器：硅基CMOS检测器，单个样品检测时间&lt;30s；</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光谱分辨率：优于10cm-1；</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光谱范围：176-2700cm-1；</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灵敏度＞0.15couns/mW/ms</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 xml:space="preserve">规格：手持式式设计，尺寸最长不大于25 mm；重量小于2 kg </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环境温度：使用环境（℃）-20～40；</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电池：持续工作大于 4 小时；</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设备基于Android最新版，并开发仪器控制底层接口及SDK，便于进行后续软件开发；</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仪器支持数据和报告直接导出到U盘而无需经过计算机软件同步；</w:t>
            </w:r>
          </w:p>
          <w:p>
            <w:pPr>
              <w:numPr>
                <w:ilvl w:val="0"/>
                <w:numId w:val="6"/>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具备1300万像素拍照功能，可以对现场样品进行拍照取证;</w:t>
            </w:r>
          </w:p>
          <w:p>
            <w:pPr>
              <w:pStyle w:val="7"/>
              <w:spacing w:before="120" w:beforeLines="50" w:after="120" w:afterLines="50" w:line="240" w:lineRule="auto"/>
              <w:ind w:left="420"/>
              <w:rPr>
                <w:rFonts w:cs="宋体"/>
                <w:b w:val="0"/>
                <w:bCs w:val="0"/>
                <w:color w:val="000000"/>
                <w:sz w:val="24"/>
                <w:szCs w:val="24"/>
                <w:highlight w:val="none"/>
              </w:rPr>
            </w:pPr>
            <w:r>
              <w:rPr>
                <w:rFonts w:hint="eastAsia" w:cs="宋体"/>
                <w:b w:val="0"/>
                <w:bCs w:val="0"/>
                <w:color w:val="000000"/>
                <w:sz w:val="24"/>
                <w:szCs w:val="24"/>
                <w:highlight w:val="none"/>
              </w:rPr>
              <w:t>[</w:t>
            </w:r>
            <w:r>
              <w:rPr>
                <w:rFonts w:cs="宋体"/>
                <w:b w:val="0"/>
                <w:bCs w:val="0"/>
                <w:color w:val="000000"/>
                <w:sz w:val="24"/>
                <w:szCs w:val="24"/>
                <w:highlight w:val="none"/>
              </w:rPr>
              <w:t xml:space="preserve">16] </w:t>
            </w:r>
            <w:r>
              <w:rPr>
                <w:rFonts w:hint="eastAsia" w:cs="宋体"/>
                <w:b w:val="0"/>
                <w:bCs w:val="0"/>
                <w:color w:val="000000"/>
                <w:sz w:val="24"/>
                <w:szCs w:val="24"/>
                <w:highlight w:val="none"/>
              </w:rPr>
              <w:t>具有增强拉曼模块和功能，</w:t>
            </w:r>
            <w:r>
              <w:rPr>
                <w:rFonts w:cs="宋体"/>
                <w:b w:val="0"/>
                <w:bCs w:val="0"/>
                <w:color w:val="000000"/>
                <w:sz w:val="24"/>
                <w:szCs w:val="24"/>
                <w:highlight w:val="none"/>
              </w:rPr>
              <w:t>结合</w:t>
            </w:r>
            <w:r>
              <w:rPr>
                <w:rFonts w:hint="eastAsia" w:cs="宋体"/>
                <w:b w:val="0"/>
                <w:bCs w:val="0"/>
                <w:color w:val="000000"/>
                <w:sz w:val="24"/>
                <w:szCs w:val="24"/>
                <w:highlight w:val="none"/>
              </w:rPr>
              <w:t>增强</w:t>
            </w:r>
            <w:r>
              <w:rPr>
                <w:rFonts w:cs="宋体"/>
                <w:b w:val="0"/>
                <w:bCs w:val="0"/>
                <w:color w:val="000000"/>
                <w:sz w:val="24"/>
                <w:szCs w:val="24"/>
                <w:highlight w:val="none"/>
              </w:rPr>
              <w:t>芯片，</w:t>
            </w:r>
            <w:r>
              <w:rPr>
                <w:rFonts w:hint="eastAsia" w:cs="宋体"/>
                <w:b w:val="0"/>
                <w:bCs w:val="0"/>
                <w:color w:val="000000"/>
                <w:sz w:val="24"/>
                <w:szCs w:val="24"/>
                <w:highlight w:val="none"/>
              </w:rPr>
              <w:t>芬太尼</w:t>
            </w:r>
            <w:r>
              <w:rPr>
                <w:rFonts w:cs="宋体"/>
                <w:b w:val="0"/>
                <w:bCs w:val="0"/>
                <w:color w:val="000000"/>
                <w:sz w:val="24"/>
                <w:szCs w:val="24"/>
                <w:highlight w:val="none"/>
              </w:rPr>
              <w:t xml:space="preserve">检测能力可达10 </w:t>
            </w:r>
            <w:r>
              <w:rPr>
                <w:rFonts w:hint="eastAsia" w:cs="宋体"/>
                <w:b w:val="0"/>
                <w:bCs w:val="0"/>
                <w:color w:val="000000"/>
                <w:sz w:val="24"/>
                <w:szCs w:val="24"/>
                <w:highlight w:val="none"/>
              </w:rPr>
              <w:t>ppb，并提供相关样品检测的光谱数据图。</w:t>
            </w:r>
          </w:p>
          <w:p>
            <w:pPr>
              <w:spacing w:before="120" w:beforeLines="50" w:after="120" w:afterLines="50" w:line="240" w:lineRule="auto"/>
              <w:ind w:left="420" w:firstLine="0" w:firstLineChars="0"/>
              <w:rPr>
                <w:highlight w:val="none"/>
              </w:rPr>
            </w:pPr>
            <w:r>
              <w:rPr>
                <w:rFonts w:hint="eastAsia" w:cs="宋体"/>
                <w:color w:val="000000"/>
                <w:highlight w:val="none"/>
              </w:rPr>
              <w:t>[</w:t>
            </w:r>
            <w:r>
              <w:rPr>
                <w:rFonts w:cs="宋体"/>
                <w:color w:val="000000"/>
                <w:highlight w:val="none"/>
              </w:rPr>
              <w:t xml:space="preserve">17] </w:t>
            </w:r>
            <w:r>
              <w:rPr>
                <w:rFonts w:hint="eastAsia" w:cs="宋体"/>
                <w:color w:val="000000"/>
                <w:highlight w:val="none"/>
              </w:rPr>
              <w:t>软件具备服务器/客户端（C/S）检索功能，实现云端谱图库、测试记录的自动同步，实现多平台，多场景下数据的无缝链接。</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79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w:t>
            </w:r>
          </w:p>
        </w:tc>
        <w:tc>
          <w:tcPr>
            <w:tcW w:w="947" w:type="dxa"/>
            <w:vAlign w:val="center"/>
          </w:tcPr>
          <w:p>
            <w:pPr>
              <w:spacing w:before="120" w:beforeLines="50" w:after="120" w:afterLines="50" w:line="240" w:lineRule="auto"/>
              <w:ind w:firstLine="0" w:firstLineChars="0"/>
              <w:jc w:val="center"/>
              <w:rPr>
                <w:rFonts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3</w:t>
            </w:r>
          </w:p>
        </w:tc>
        <w:tc>
          <w:tcPr>
            <w:tcW w:w="1581" w:type="dxa"/>
            <w:vAlign w:val="center"/>
          </w:tcPr>
          <w:p>
            <w:pPr>
              <w:spacing w:before="120" w:beforeLines="50" w:after="120" w:afterLines="50" w:line="240" w:lineRule="auto"/>
              <w:ind w:firstLine="0" w:firstLineChars="0"/>
              <w:jc w:val="center"/>
              <w:rPr>
                <w:rFonts w:cs="宋体"/>
                <w:highlight w:val="none"/>
              </w:rPr>
            </w:pPr>
            <w:r>
              <w:rPr>
                <w:rFonts w:hint="eastAsia" w:cs="宋体"/>
                <w:highlight w:val="none"/>
              </w:rPr>
              <w:t>手持式拉曼光谱仪-1064nm</w:t>
            </w:r>
          </w:p>
          <w:p>
            <w:pPr>
              <w:spacing w:before="120" w:beforeLines="50" w:after="120" w:afterLines="50" w:line="240" w:lineRule="auto"/>
              <w:ind w:firstLine="0" w:firstLineChars="0"/>
              <w:jc w:val="center"/>
              <w:rPr>
                <w:rFonts w:cs="宋体"/>
                <w:color w:val="000000"/>
                <w:highlight w:val="none"/>
              </w:rPr>
            </w:pPr>
            <w:r>
              <w:rPr>
                <w:rFonts w:hint="eastAsia" w:cs="宋体"/>
                <w:b/>
                <w:bCs/>
                <w:highlight w:val="none"/>
              </w:rPr>
              <w:t>※</w:t>
            </w:r>
          </w:p>
        </w:tc>
        <w:tc>
          <w:tcPr>
            <w:tcW w:w="4814" w:type="dxa"/>
            <w:vAlign w:val="center"/>
          </w:tcPr>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使用激光拉曼光谱技术，提供超过1000种物质的普通拉曼数据库和超过1</w:t>
            </w:r>
            <w:r>
              <w:rPr>
                <w:rFonts w:cs="宋体"/>
                <w:color w:val="000000"/>
                <w:highlight w:val="none"/>
              </w:rPr>
              <w:t>00</w:t>
            </w:r>
            <w:r>
              <w:rPr>
                <w:rFonts w:hint="eastAsia" w:cs="宋体"/>
                <w:color w:val="000000"/>
                <w:highlight w:val="none"/>
              </w:rPr>
              <w:t>种毒品的增强拉曼数据库，并提供开放的数据库，可供用户自建光谱数据库；</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可透过透明或是半透明的塑料包装袋、小瓶和玻璃小瓶对液体、固体样品进行分析，并能有效排除包装袋对结果的干扰；</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仪器具备颜色报警功能；</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仪器为全中文的操作菜单，配有不小于4英寸的触摸屏；仪器防护等级≧IP65，</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1064±0.5nm，Class III B，激光功率最大为200mW，软件10档可调；</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检测器：制冷InGaAs检测器，制冷温度≤0℃，单个样品检测时间&lt;30s；</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光谱分辨率：优于11cm-1；</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光谱范围：176-2500cm-1；</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敏度＞0.15couns/mW/ms</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 xml:space="preserve">规格：手持式式设计，尺寸最长不大于25 mm；重量小于2 kg </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环境温度：使用环境（℃）-20～40；</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电池：持续工作大于 4 小时；</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设备基于Android最新版，并开发仪器控制底层接口及SDK，便于进行后续软件开发；</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仪器支持数据和报告直接导出到U盘而无需经过计算机软件同步；</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具备1300万像素拍照功能</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具有1064波长增强拉曼模块和功能，其中结合增强拉曼芯片，芬太尼检测能力可达</w:t>
            </w:r>
            <w:r>
              <w:rPr>
                <w:rFonts w:cs="宋体"/>
                <w:color w:val="000000"/>
                <w:highlight w:val="none"/>
              </w:rPr>
              <w:t>100 ppb，并提供相关样品检测的光谱数据图。</w:t>
            </w:r>
          </w:p>
          <w:p>
            <w:pPr>
              <w:numPr>
                <w:ilvl w:val="0"/>
                <w:numId w:val="7"/>
              </w:numPr>
              <w:spacing w:before="120" w:beforeLines="50" w:after="120" w:afterLines="50" w:line="240" w:lineRule="auto"/>
              <w:ind w:firstLine="0" w:firstLineChars="0"/>
              <w:rPr>
                <w:rFonts w:cs="宋体"/>
                <w:color w:val="000000"/>
                <w:highlight w:val="none"/>
              </w:rPr>
            </w:pPr>
            <w:r>
              <w:rPr>
                <w:rFonts w:hint="eastAsia" w:cs="宋体"/>
                <w:color w:val="000000"/>
                <w:highlight w:val="none"/>
              </w:rPr>
              <w:t>软件具备服务器/客户端（C/S）检索功能，实现云端谱图库、测试记录的自动同步，实现多平台，多场景下数据的无缝链接。</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79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w:t>
            </w:r>
          </w:p>
        </w:tc>
        <w:tc>
          <w:tcPr>
            <w:tcW w:w="947" w:type="dxa"/>
            <w:vAlign w:val="center"/>
          </w:tcPr>
          <w:p>
            <w:pPr>
              <w:spacing w:before="120" w:beforeLines="50" w:after="120" w:afterLines="50" w:line="240" w:lineRule="auto"/>
              <w:ind w:firstLine="0" w:firstLineChars="0"/>
              <w:jc w:val="center"/>
              <w:rPr>
                <w:rFonts w:cs="宋体"/>
                <w:color w:val="000000"/>
                <w:highlight w:val="none"/>
              </w:rPr>
            </w:pPr>
          </w:p>
        </w:tc>
      </w:tr>
    </w:tbl>
    <w:p>
      <w:pPr>
        <w:ind w:firstLine="0" w:firstLineChars="0"/>
        <w:rPr>
          <w:rFonts w:hint="eastAsia" w:cs="宋体"/>
          <w:b/>
          <w:bCs/>
          <w:highlight w:val="none"/>
        </w:rPr>
      </w:pPr>
    </w:p>
    <w:p>
      <w:pPr>
        <w:ind w:firstLine="0" w:firstLineChars="0"/>
        <w:rPr>
          <w:rFonts w:cs="宋体"/>
          <w:b/>
          <w:bCs/>
          <w:highlight w:val="none"/>
        </w:rPr>
      </w:pPr>
      <w:r>
        <w:rPr>
          <w:rFonts w:hint="eastAsia" w:cs="宋体"/>
          <w:b/>
          <w:bCs/>
          <w:highlight w:val="none"/>
        </w:rPr>
        <w:t>注：以“※”标识的为核心产品。打“※”核心产品的品牌相同的多家投标人按一家投标人</w:t>
      </w:r>
    </w:p>
    <w:p>
      <w:pPr>
        <w:numPr>
          <w:ilvl w:val="0"/>
          <w:numId w:val="0"/>
        </w:numPr>
        <w:rPr>
          <w:rFonts w:hint="eastAsia"/>
          <w:highlight w:val="none"/>
          <w:lang w:val="en-US" w:eastAsia="zh-CN"/>
        </w:rPr>
      </w:pPr>
    </w:p>
    <w:p>
      <w:pPr>
        <w:numPr>
          <w:ilvl w:val="0"/>
          <w:numId w:val="0"/>
        </w:numPr>
        <w:outlineLvl w:val="2"/>
        <w:rPr>
          <w:rFonts w:hint="eastAsia" w:eastAsia="宋体"/>
          <w:highlight w:val="none"/>
          <w:lang w:val="en-US" w:eastAsia="zh-CN"/>
        </w:rPr>
      </w:pPr>
      <w:r>
        <w:rPr>
          <w:rFonts w:hint="eastAsia"/>
          <w:b/>
          <w:bCs/>
          <w:highlight w:val="none"/>
          <w:lang w:val="en-US" w:eastAsia="zh-CN"/>
        </w:rPr>
        <w:t>标项二</w:t>
      </w:r>
      <w:r>
        <w:rPr>
          <w:rFonts w:hint="eastAsia"/>
          <w:highlight w:val="none"/>
          <w:lang w:val="en-US" w:eastAsia="zh-CN"/>
        </w:rPr>
        <w:t>：</w:t>
      </w:r>
      <w:r>
        <w:rPr>
          <w:rFonts w:hint="eastAsia" w:cs="宋体"/>
          <w:b/>
          <w:bCs/>
          <w:highlight w:val="none"/>
        </w:rPr>
        <w:t>单光子探测器</w:t>
      </w:r>
      <w:r>
        <w:rPr>
          <w:rFonts w:hint="eastAsia" w:cs="宋体"/>
          <w:b/>
          <w:bCs/>
          <w:highlight w:val="none"/>
          <w:lang w:val="en-US" w:eastAsia="zh-CN"/>
        </w:rPr>
        <w:t>等设备</w:t>
      </w:r>
    </w:p>
    <w:tbl>
      <w:tblPr>
        <w:tblStyle w:val="4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581"/>
        <w:gridCol w:w="4814"/>
        <w:gridCol w:w="885"/>
        <w:gridCol w:w="81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序号</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名称</w:t>
            </w:r>
          </w:p>
        </w:tc>
        <w:tc>
          <w:tcPr>
            <w:tcW w:w="4814"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技术参数</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单位</w:t>
            </w:r>
          </w:p>
        </w:tc>
        <w:tc>
          <w:tcPr>
            <w:tcW w:w="810"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数量</w:t>
            </w:r>
          </w:p>
        </w:tc>
        <w:tc>
          <w:tcPr>
            <w:tcW w:w="932"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hint="eastAsia" w:eastAsia="宋体" w:cs="宋体"/>
                <w:color w:val="000000"/>
                <w:highlight w:val="none"/>
                <w:lang w:val="en-US" w:eastAsia="zh-CN"/>
              </w:rPr>
            </w:pPr>
            <w:r>
              <w:rPr>
                <w:rFonts w:hint="eastAsia" w:cs="宋体"/>
                <w:color w:val="000000"/>
                <w:highlight w:val="none"/>
                <w:lang w:val="en-US" w:eastAsia="zh-CN"/>
              </w:rPr>
              <w:t>1</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单光子探测器</w:t>
            </w:r>
            <w:r>
              <w:rPr>
                <w:rFonts w:hint="eastAsia" w:cs="宋体"/>
                <w:b/>
                <w:bCs/>
                <w:highlight w:val="none"/>
              </w:rPr>
              <w:t>※</w:t>
            </w:r>
          </w:p>
        </w:tc>
        <w:tc>
          <w:tcPr>
            <w:tcW w:w="4814" w:type="dxa"/>
            <w:vAlign w:val="center"/>
          </w:tcPr>
          <w:p>
            <w:pPr>
              <w:spacing w:before="120" w:beforeLines="50" w:after="120" w:afterLines="50" w:line="240" w:lineRule="auto"/>
              <w:ind w:firstLine="0" w:firstLineChars="0"/>
              <w:rPr>
                <w:rFonts w:cs="宋体"/>
                <w:color w:val="000000"/>
                <w:highlight w:val="none"/>
              </w:rPr>
            </w:pPr>
            <w:r>
              <w:rPr>
                <w:rFonts w:hint="eastAsia" w:cs="宋体"/>
                <w:color w:val="000000"/>
                <w:highlight w:val="none"/>
              </w:rPr>
              <w:t>工作波长：950~1650 nm；暗计数率: &lt;2*10</w:t>
            </w:r>
            <w:r>
              <w:rPr>
                <w:rFonts w:hint="eastAsia" w:cs="宋体"/>
                <w:color w:val="000000"/>
                <w:highlight w:val="none"/>
                <w:vertAlign w:val="superscript"/>
              </w:rPr>
              <w:t>-6</w:t>
            </w:r>
            <w:r>
              <w:rPr>
                <w:rFonts w:hint="eastAsia" w:cs="宋体"/>
                <w:color w:val="000000"/>
                <w:highlight w:val="none"/>
              </w:rPr>
              <w:t>；内部触发延时：0~20 ns；延时分辨率：10 ps；延时温漂：&lt;50 ps；最大触发频率：100 MHz；探测效率：10~25%；探测门宽：1/2/3 ns；死时间：0~100 μs；制冷时间：&lt;6 min；工作温度：5~35 ℃。</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810"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w:t>
            </w:r>
          </w:p>
        </w:tc>
        <w:tc>
          <w:tcPr>
            <w:tcW w:w="932" w:type="dxa"/>
            <w:vAlign w:val="center"/>
          </w:tcPr>
          <w:p>
            <w:pPr>
              <w:spacing w:before="120" w:beforeLines="50" w:after="120" w:afterLines="50" w:line="240" w:lineRule="auto"/>
              <w:ind w:firstLine="0" w:firstLineChars="0"/>
              <w:jc w:val="center"/>
              <w:rPr>
                <w:rFonts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hint="eastAsia" w:eastAsia="宋体" w:cs="宋体"/>
                <w:color w:val="000000"/>
                <w:highlight w:val="none"/>
                <w:lang w:val="en-US" w:eastAsia="zh-CN"/>
              </w:rPr>
            </w:pPr>
            <w:r>
              <w:rPr>
                <w:rFonts w:hint="eastAsia" w:cs="宋体"/>
                <w:color w:val="000000"/>
                <w:highlight w:val="none"/>
                <w:lang w:val="en-US" w:eastAsia="zh-CN"/>
              </w:rPr>
              <w:t>2</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符合计数器</w:t>
            </w:r>
          </w:p>
        </w:tc>
        <w:tc>
          <w:tcPr>
            <w:tcW w:w="4814" w:type="dxa"/>
            <w:vAlign w:val="center"/>
          </w:tcPr>
          <w:p>
            <w:pPr>
              <w:spacing w:before="120" w:beforeLines="50" w:after="120" w:afterLines="50" w:line="240" w:lineRule="auto"/>
              <w:ind w:firstLine="0" w:firstLineChars="0"/>
              <w:rPr>
                <w:rFonts w:cs="宋体"/>
                <w:color w:val="000000"/>
                <w:highlight w:val="none"/>
              </w:rPr>
            </w:pPr>
            <w:r>
              <w:rPr>
                <w:rFonts w:hint="eastAsia" w:cs="宋体"/>
                <w:color w:val="000000"/>
                <w:highlight w:val="none"/>
              </w:rPr>
              <w:t>通道数：1+3；输入信号标准：-5~5 V；内部触发延时：0~20 ns；最小触发脉冲宽度：&gt;1 ns；最大量程：32 ms；时间抖动：&lt;15 ps rms；饱合计数率：10*10</w:t>
            </w:r>
            <w:r>
              <w:rPr>
                <w:rFonts w:hint="eastAsia" w:cs="宋体"/>
                <w:color w:val="000000"/>
                <w:highlight w:val="none"/>
                <w:vertAlign w:val="superscript"/>
              </w:rPr>
              <w:t>6</w:t>
            </w:r>
            <w:r>
              <w:rPr>
                <w:rFonts w:hint="eastAsia" w:cs="宋体"/>
                <w:color w:val="000000"/>
                <w:highlight w:val="none"/>
              </w:rPr>
              <w:t xml:space="preserve"> cps；死时间：20 ns；事件传输总速率：50 M Event/s；参考时钟输入：10 MHz；最大计数值：2</w:t>
            </w:r>
            <w:r>
              <w:rPr>
                <w:rFonts w:hint="eastAsia" w:cs="宋体"/>
                <w:color w:val="000000"/>
                <w:highlight w:val="none"/>
                <w:vertAlign w:val="superscript"/>
              </w:rPr>
              <w:t>32</w:t>
            </w:r>
            <w:r>
              <w:rPr>
                <w:rFonts w:hint="eastAsia" w:cs="宋体"/>
                <w:color w:val="000000"/>
                <w:highlight w:val="none"/>
              </w:rPr>
              <w:t>。</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810"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w:t>
            </w:r>
          </w:p>
        </w:tc>
        <w:tc>
          <w:tcPr>
            <w:tcW w:w="932" w:type="dxa"/>
            <w:vAlign w:val="center"/>
          </w:tcPr>
          <w:p>
            <w:pPr>
              <w:spacing w:before="120" w:beforeLines="50" w:after="120" w:afterLines="50" w:line="240" w:lineRule="auto"/>
              <w:ind w:firstLine="0" w:firstLineChars="0"/>
              <w:jc w:val="center"/>
              <w:rPr>
                <w:rFonts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hint="eastAsia" w:eastAsia="宋体" w:cs="宋体"/>
                <w:color w:val="000000"/>
                <w:highlight w:val="none"/>
                <w:lang w:val="en-US" w:eastAsia="zh-CN"/>
              </w:rPr>
            </w:pPr>
            <w:r>
              <w:rPr>
                <w:rFonts w:hint="eastAsia" w:cs="宋体"/>
                <w:color w:val="000000"/>
                <w:highlight w:val="none"/>
                <w:lang w:val="en-US" w:eastAsia="zh-CN"/>
              </w:rPr>
              <w:t>3</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sCMOS相机</w:t>
            </w:r>
          </w:p>
        </w:tc>
        <w:tc>
          <w:tcPr>
            <w:tcW w:w="4814" w:type="dxa"/>
            <w:vAlign w:val="center"/>
          </w:tcPr>
          <w:p>
            <w:pPr>
              <w:autoSpaceDE w:val="0"/>
              <w:autoSpaceDN w:val="0"/>
              <w:adjustRightInd w:val="0"/>
              <w:spacing w:line="240" w:lineRule="auto"/>
              <w:ind w:firstLine="0" w:firstLineChars="0"/>
              <w:rPr>
                <w:rFonts w:cs="宋体"/>
                <w:kern w:val="0"/>
                <w:highlight w:val="none"/>
              </w:rPr>
            </w:pPr>
            <w:r>
              <w:rPr>
                <w:rFonts w:hint="eastAsia"/>
                <w:highlight w:val="none"/>
              </w:rPr>
              <w:t>★</w:t>
            </w:r>
            <w:r>
              <w:rPr>
                <w:rFonts w:hint="eastAsia" w:cs="宋体"/>
                <w:kern w:val="0"/>
                <w:highlight w:val="none"/>
              </w:rPr>
              <w:t>分辨率：2304*2304</w:t>
            </w:r>
          </w:p>
          <w:p>
            <w:pPr>
              <w:autoSpaceDE w:val="0"/>
              <w:autoSpaceDN w:val="0"/>
              <w:adjustRightInd w:val="0"/>
              <w:spacing w:line="240" w:lineRule="auto"/>
              <w:ind w:firstLine="0" w:firstLineChars="0"/>
              <w:rPr>
                <w:rFonts w:cs="宋体"/>
                <w:kern w:val="0"/>
                <w:highlight w:val="none"/>
              </w:rPr>
            </w:pPr>
            <w:r>
              <w:rPr>
                <w:rFonts w:hint="eastAsia" w:cs="宋体"/>
                <w:kern w:val="0"/>
                <w:highlight w:val="none"/>
              </w:rPr>
              <w:t>像素大小：6.5 um</w:t>
            </w:r>
          </w:p>
          <w:p>
            <w:pPr>
              <w:autoSpaceDE w:val="0"/>
              <w:autoSpaceDN w:val="0"/>
              <w:adjustRightInd w:val="0"/>
              <w:spacing w:line="240" w:lineRule="auto"/>
              <w:ind w:firstLine="0" w:firstLineChars="0"/>
              <w:rPr>
                <w:rFonts w:cs="宋体"/>
                <w:kern w:val="0"/>
                <w:highlight w:val="none"/>
              </w:rPr>
            </w:pPr>
            <w:r>
              <w:rPr>
                <w:rFonts w:hint="eastAsia"/>
                <w:highlight w:val="none"/>
              </w:rPr>
              <w:t>★</w:t>
            </w:r>
            <w:r>
              <w:rPr>
                <w:rFonts w:hint="eastAsia" w:cs="宋体"/>
                <w:kern w:val="0"/>
                <w:highlight w:val="none"/>
              </w:rPr>
              <w:t>帧速：89.1@2304*2304</w:t>
            </w:r>
          </w:p>
          <w:p>
            <w:pPr>
              <w:autoSpaceDE w:val="0"/>
              <w:autoSpaceDN w:val="0"/>
              <w:adjustRightInd w:val="0"/>
              <w:spacing w:line="240" w:lineRule="auto"/>
              <w:ind w:firstLine="0" w:firstLineChars="0"/>
              <w:rPr>
                <w:rFonts w:cs="宋体"/>
                <w:kern w:val="0"/>
                <w:highlight w:val="none"/>
              </w:rPr>
            </w:pPr>
            <w:r>
              <w:rPr>
                <w:rFonts w:hint="eastAsia"/>
                <w:highlight w:val="none"/>
              </w:rPr>
              <w:t>★</w:t>
            </w:r>
            <w:r>
              <w:rPr>
                <w:rFonts w:hint="eastAsia" w:cs="宋体"/>
                <w:kern w:val="0"/>
                <w:highlight w:val="none"/>
              </w:rPr>
              <w:t>QE:95%@550nm，</w:t>
            </w:r>
          </w:p>
          <w:p>
            <w:pPr>
              <w:autoSpaceDE w:val="0"/>
              <w:autoSpaceDN w:val="0"/>
              <w:adjustRightInd w:val="0"/>
              <w:spacing w:line="240" w:lineRule="auto"/>
              <w:ind w:firstLine="0" w:firstLineChars="0"/>
              <w:rPr>
                <w:rFonts w:cs="宋体"/>
                <w:kern w:val="0"/>
                <w:highlight w:val="none"/>
              </w:rPr>
            </w:pPr>
            <w:r>
              <w:rPr>
                <w:rFonts w:hint="eastAsia" w:cs="宋体"/>
                <w:kern w:val="0"/>
                <w:highlight w:val="none"/>
              </w:rPr>
              <w:t>动态范围：21400：1</w:t>
            </w:r>
          </w:p>
          <w:p>
            <w:pPr>
              <w:autoSpaceDE w:val="0"/>
              <w:autoSpaceDN w:val="0"/>
              <w:adjustRightInd w:val="0"/>
              <w:spacing w:line="240" w:lineRule="auto"/>
              <w:ind w:firstLine="0" w:firstLineChars="0"/>
              <w:rPr>
                <w:rFonts w:cs="宋体"/>
                <w:kern w:val="0"/>
                <w:highlight w:val="none"/>
              </w:rPr>
            </w:pPr>
            <w:r>
              <w:rPr>
                <w:rFonts w:hint="eastAsia"/>
                <w:highlight w:val="none"/>
              </w:rPr>
              <w:t>★</w:t>
            </w:r>
            <w:r>
              <w:rPr>
                <w:rFonts w:hint="eastAsia" w:cs="宋体"/>
                <w:kern w:val="0"/>
                <w:highlight w:val="none"/>
              </w:rPr>
              <w:t>读出噪声：0.7e- 制冷-15°</w:t>
            </w:r>
          </w:p>
          <w:p>
            <w:pPr>
              <w:autoSpaceDE w:val="0"/>
              <w:autoSpaceDN w:val="0"/>
              <w:adjustRightInd w:val="0"/>
              <w:spacing w:line="240" w:lineRule="auto"/>
              <w:ind w:firstLine="0" w:firstLineChars="0"/>
              <w:rPr>
                <w:rFonts w:cs="宋体"/>
                <w:kern w:val="0"/>
                <w:highlight w:val="none"/>
              </w:rPr>
            </w:pPr>
            <w:r>
              <w:rPr>
                <w:rFonts w:hint="eastAsia" w:cs="宋体"/>
                <w:kern w:val="0"/>
                <w:highlight w:val="none"/>
              </w:rPr>
              <w:t>USB 3.0 and high speed CoaXPress interfaces</w:t>
            </w:r>
          </w:p>
          <w:p>
            <w:pPr>
              <w:autoSpaceDE w:val="0"/>
              <w:autoSpaceDN w:val="0"/>
              <w:adjustRightInd w:val="0"/>
              <w:spacing w:line="240" w:lineRule="auto"/>
              <w:ind w:firstLine="0" w:firstLineChars="0"/>
              <w:rPr>
                <w:rFonts w:cs="宋体"/>
                <w:kern w:val="0"/>
                <w:highlight w:val="none"/>
              </w:rPr>
            </w:pPr>
            <w:r>
              <w:rPr>
                <w:rFonts w:hint="eastAsia"/>
                <w:highlight w:val="none"/>
              </w:rPr>
              <w:t>★</w:t>
            </w:r>
            <w:r>
              <w:rPr>
                <w:rFonts w:hint="eastAsia" w:cs="宋体"/>
                <w:kern w:val="0"/>
                <w:highlight w:val="none"/>
              </w:rPr>
              <w:t>读出噪声：标准输出：1e rms</w:t>
            </w:r>
          </w:p>
          <w:p>
            <w:pPr>
              <w:autoSpaceDE w:val="0"/>
              <w:autoSpaceDN w:val="0"/>
              <w:adjustRightInd w:val="0"/>
              <w:spacing w:line="240" w:lineRule="auto"/>
              <w:ind w:firstLine="0" w:firstLineChars="0"/>
              <w:rPr>
                <w:rFonts w:cs="宋体"/>
                <w:kern w:val="0"/>
                <w:highlight w:val="none"/>
              </w:rPr>
            </w:pPr>
            <w:r>
              <w:rPr>
                <w:rFonts w:hint="eastAsia" w:cs="宋体"/>
                <w:kern w:val="0"/>
                <w:highlight w:val="none"/>
              </w:rPr>
              <w:t>超净输出：0.7e rms</w:t>
            </w:r>
          </w:p>
          <w:p>
            <w:pPr>
              <w:spacing w:before="120" w:beforeLines="50" w:after="120" w:afterLines="50" w:line="240" w:lineRule="auto"/>
              <w:ind w:firstLine="0" w:firstLineChars="0"/>
              <w:rPr>
                <w:rFonts w:cs="宋体"/>
                <w:color w:val="000000"/>
                <w:highlight w:val="none"/>
              </w:rPr>
            </w:pPr>
            <w:r>
              <w:rPr>
                <w:rFonts w:hint="eastAsia" w:cs="宋体"/>
                <w:kern w:val="0"/>
                <w:highlight w:val="none"/>
              </w:rPr>
              <w:t>相机具有Global Reset功能</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810"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w:t>
            </w:r>
          </w:p>
        </w:tc>
        <w:tc>
          <w:tcPr>
            <w:tcW w:w="932"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hint="eastAsia" w:eastAsia="宋体" w:cs="宋体"/>
                <w:color w:val="000000"/>
                <w:highlight w:val="none"/>
                <w:lang w:val="en-US" w:eastAsia="zh-CN"/>
              </w:rPr>
            </w:pPr>
            <w:r>
              <w:rPr>
                <w:rFonts w:hint="eastAsia" w:cs="宋体"/>
                <w:color w:val="000000"/>
                <w:highlight w:val="none"/>
                <w:lang w:val="en-US" w:eastAsia="zh-CN"/>
              </w:rPr>
              <w:t>4</w:t>
            </w:r>
          </w:p>
        </w:tc>
        <w:tc>
          <w:tcPr>
            <w:tcW w:w="1581"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150mW激光器</w:t>
            </w:r>
          </w:p>
        </w:tc>
        <w:tc>
          <w:tcPr>
            <w:tcW w:w="4814" w:type="dxa"/>
            <w:vAlign w:val="center"/>
          </w:tcPr>
          <w:p>
            <w:pPr>
              <w:spacing w:before="120" w:beforeLines="50" w:after="120" w:afterLines="50" w:line="240" w:lineRule="auto"/>
              <w:ind w:firstLine="0" w:firstLineChars="0"/>
              <w:rPr>
                <w:rFonts w:cs="宋体"/>
                <w:kern w:val="0"/>
                <w:highlight w:val="none"/>
              </w:rPr>
            </w:pPr>
            <w:r>
              <w:rPr>
                <w:rFonts w:cs="宋体"/>
                <w:kern w:val="0"/>
                <w:highlight w:val="none"/>
              </w:rPr>
              <w:t>1.中心波长488±2nm，功率≥150mW</w:t>
            </w:r>
          </w:p>
          <w:p>
            <w:pPr>
              <w:spacing w:before="120" w:beforeLines="50" w:after="120" w:afterLines="50" w:line="240" w:lineRule="auto"/>
              <w:ind w:firstLine="0" w:firstLineChars="0"/>
              <w:rPr>
                <w:rFonts w:cs="宋体"/>
                <w:kern w:val="0"/>
                <w:highlight w:val="none"/>
              </w:rPr>
            </w:pPr>
            <w:r>
              <w:rPr>
                <w:rFonts w:cs="宋体"/>
                <w:kern w:val="0"/>
                <w:highlight w:val="none"/>
              </w:rPr>
              <w:t>2.M2 ≤1.1，光斑椭圆度≤1:1.1</w:t>
            </w:r>
          </w:p>
          <w:p>
            <w:pPr>
              <w:spacing w:before="120" w:beforeLines="50" w:after="120" w:afterLines="50" w:line="240" w:lineRule="auto"/>
              <w:ind w:firstLine="0" w:firstLineChars="0"/>
              <w:rPr>
                <w:rFonts w:cs="宋体"/>
                <w:kern w:val="0"/>
                <w:highlight w:val="none"/>
              </w:rPr>
            </w:pPr>
            <w:r>
              <w:rPr>
                <w:rFonts w:hint="eastAsia"/>
                <w:highlight w:val="none"/>
              </w:rPr>
              <w:t>★</w:t>
            </w:r>
            <w:r>
              <w:rPr>
                <w:rFonts w:cs="宋体"/>
                <w:kern w:val="0"/>
                <w:highlight w:val="none"/>
              </w:rPr>
              <w:t>3</w:t>
            </w:r>
            <w:r>
              <w:rPr>
                <w:rFonts w:cs="宋体"/>
                <w:kern w:val="0"/>
                <w:highlight w:val="none"/>
              </w:rPr>
              <w:tab/>
            </w:r>
            <w:r>
              <w:rPr>
                <w:rFonts w:cs="宋体"/>
                <w:kern w:val="0"/>
                <w:highlight w:val="none"/>
              </w:rPr>
              <w:t>1/e2处光斑直径0.7 ±0.05 mm</w:t>
            </w:r>
          </w:p>
          <w:p>
            <w:pPr>
              <w:spacing w:before="120" w:beforeLines="50" w:after="120" w:afterLines="50" w:line="240" w:lineRule="auto"/>
              <w:ind w:firstLine="0" w:firstLineChars="0"/>
              <w:rPr>
                <w:rFonts w:cs="宋体"/>
                <w:kern w:val="0"/>
                <w:highlight w:val="none"/>
              </w:rPr>
            </w:pPr>
            <w:r>
              <w:rPr>
                <w:rFonts w:cs="宋体"/>
                <w:kern w:val="0"/>
                <w:highlight w:val="none"/>
              </w:rPr>
              <w:t>4</w:t>
            </w:r>
            <w:r>
              <w:rPr>
                <w:rFonts w:cs="宋体"/>
                <w:kern w:val="0"/>
                <w:highlight w:val="none"/>
              </w:rPr>
              <w:tab/>
            </w:r>
            <w:r>
              <w:rPr>
                <w:rFonts w:cs="宋体"/>
                <w:kern w:val="0"/>
                <w:highlight w:val="none"/>
              </w:rPr>
              <w:t>光束发散角&lt;1.2mrad</w:t>
            </w:r>
          </w:p>
          <w:p>
            <w:pPr>
              <w:spacing w:before="120" w:beforeLines="50" w:after="120" w:afterLines="50" w:line="240" w:lineRule="auto"/>
              <w:ind w:firstLine="0" w:firstLineChars="0"/>
              <w:rPr>
                <w:rFonts w:cs="宋体"/>
                <w:kern w:val="0"/>
                <w:highlight w:val="none"/>
              </w:rPr>
            </w:pPr>
            <w:r>
              <w:rPr>
                <w:rFonts w:hint="eastAsia"/>
                <w:highlight w:val="none"/>
              </w:rPr>
              <w:t>★</w:t>
            </w:r>
            <w:r>
              <w:rPr>
                <w:rFonts w:cs="宋体"/>
                <w:kern w:val="0"/>
                <w:highlight w:val="none"/>
              </w:rPr>
              <w:t>5</w:t>
            </w:r>
            <w:r>
              <w:rPr>
                <w:rFonts w:cs="宋体"/>
                <w:kern w:val="0"/>
                <w:highlight w:val="none"/>
              </w:rPr>
              <w:tab/>
            </w:r>
            <w:r>
              <w:rPr>
                <w:rFonts w:cs="宋体"/>
                <w:kern w:val="0"/>
                <w:highlight w:val="none"/>
              </w:rPr>
              <w:t>两小时指向稳定性(温度变化±3°C) &lt;30 μrad</w:t>
            </w:r>
          </w:p>
          <w:p>
            <w:pPr>
              <w:spacing w:before="120" w:beforeLines="50" w:after="120" w:afterLines="50" w:line="240" w:lineRule="auto"/>
              <w:ind w:firstLine="0" w:firstLineChars="0"/>
              <w:rPr>
                <w:rFonts w:cs="宋体"/>
                <w:kern w:val="0"/>
                <w:highlight w:val="none"/>
              </w:rPr>
            </w:pPr>
            <w:r>
              <w:rPr>
                <w:rFonts w:hint="eastAsia"/>
                <w:highlight w:val="none"/>
              </w:rPr>
              <w:t>★</w:t>
            </w:r>
            <w:r>
              <w:rPr>
                <w:rFonts w:cs="宋体"/>
                <w:kern w:val="0"/>
                <w:highlight w:val="none"/>
              </w:rPr>
              <w:t>6</w:t>
            </w:r>
            <w:r>
              <w:rPr>
                <w:rFonts w:cs="宋体"/>
                <w:kern w:val="0"/>
                <w:highlight w:val="none"/>
              </w:rPr>
              <w:tab/>
            </w:r>
            <w:r>
              <w:rPr>
                <w:rFonts w:cs="宋体"/>
                <w:kern w:val="0"/>
                <w:highlight w:val="none"/>
              </w:rPr>
              <w:t>指向随温度变化&lt;5 μrad/°C</w:t>
            </w:r>
          </w:p>
          <w:p>
            <w:pPr>
              <w:spacing w:before="120" w:beforeLines="50" w:after="120" w:afterLines="50" w:line="240" w:lineRule="auto"/>
              <w:ind w:firstLine="0" w:firstLineChars="0"/>
              <w:rPr>
                <w:rFonts w:cs="宋体"/>
                <w:kern w:val="0"/>
                <w:highlight w:val="none"/>
              </w:rPr>
            </w:pPr>
            <w:r>
              <w:rPr>
                <w:rFonts w:cs="宋体"/>
                <w:kern w:val="0"/>
                <w:highlight w:val="none"/>
              </w:rPr>
              <w:t>7</w:t>
            </w:r>
            <w:r>
              <w:rPr>
                <w:rFonts w:cs="宋体"/>
                <w:kern w:val="0"/>
                <w:highlight w:val="none"/>
              </w:rPr>
              <w:tab/>
            </w:r>
            <w:r>
              <w:rPr>
                <w:rFonts w:cs="宋体"/>
                <w:kern w:val="0"/>
                <w:highlight w:val="none"/>
              </w:rPr>
              <w:t>RMS噪声(20HZ到20MHZ) ≤0.25%</w:t>
            </w:r>
          </w:p>
          <w:p>
            <w:pPr>
              <w:spacing w:before="120" w:beforeLines="50" w:after="120" w:afterLines="50" w:line="240" w:lineRule="auto"/>
              <w:ind w:firstLine="0" w:firstLineChars="0"/>
              <w:rPr>
                <w:rFonts w:cs="宋体"/>
                <w:kern w:val="0"/>
                <w:highlight w:val="none"/>
              </w:rPr>
            </w:pPr>
            <w:r>
              <w:rPr>
                <w:rFonts w:hint="eastAsia"/>
                <w:highlight w:val="none"/>
              </w:rPr>
              <w:t>★</w:t>
            </w:r>
            <w:r>
              <w:rPr>
                <w:rFonts w:cs="宋体"/>
                <w:kern w:val="0"/>
                <w:highlight w:val="none"/>
              </w:rPr>
              <w:t>8</w:t>
            </w:r>
            <w:r>
              <w:rPr>
                <w:rFonts w:cs="宋体"/>
                <w:kern w:val="0"/>
                <w:highlight w:val="none"/>
              </w:rPr>
              <w:tab/>
            </w:r>
            <w:r>
              <w:rPr>
                <w:rFonts w:cs="宋体"/>
                <w:kern w:val="0"/>
                <w:highlight w:val="none"/>
              </w:rPr>
              <w:t>峰峰值噪声(20HZ到20MHZ) &lt;1%</w:t>
            </w:r>
          </w:p>
          <w:p>
            <w:pPr>
              <w:spacing w:before="120" w:beforeLines="50" w:after="120" w:afterLines="50" w:line="240" w:lineRule="auto"/>
              <w:ind w:firstLine="0" w:firstLineChars="0"/>
              <w:rPr>
                <w:rFonts w:cs="宋体"/>
                <w:color w:val="000000"/>
                <w:highlight w:val="none"/>
              </w:rPr>
            </w:pPr>
            <w:r>
              <w:rPr>
                <w:rFonts w:hint="eastAsia"/>
                <w:highlight w:val="none"/>
              </w:rPr>
              <w:t>★</w:t>
            </w:r>
            <w:r>
              <w:rPr>
                <w:rFonts w:cs="宋体"/>
                <w:kern w:val="0"/>
                <w:highlight w:val="none"/>
              </w:rPr>
              <w:t>9 大于等于8小时功率稳定性&lt;2%</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810" w:type="dxa"/>
            <w:vAlign w:val="center"/>
          </w:tcPr>
          <w:p>
            <w:pPr>
              <w:spacing w:before="120" w:beforeLines="50" w:after="120" w:afterLines="50" w:line="240" w:lineRule="auto"/>
              <w:ind w:firstLine="0" w:firstLineChars="0"/>
              <w:jc w:val="center"/>
              <w:rPr>
                <w:rFonts w:cs="宋体"/>
                <w:color w:val="000000"/>
                <w:highlight w:val="none"/>
              </w:rPr>
            </w:pPr>
            <w:r>
              <w:rPr>
                <w:rFonts w:cs="宋体"/>
                <w:highlight w:val="none"/>
              </w:rPr>
              <w:t>2</w:t>
            </w:r>
          </w:p>
        </w:tc>
        <w:tc>
          <w:tcPr>
            <w:tcW w:w="932"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before="120" w:beforeLines="50" w:after="120" w:afterLines="50" w:line="240" w:lineRule="auto"/>
              <w:ind w:firstLine="0" w:firstLineChars="0"/>
              <w:jc w:val="center"/>
              <w:rPr>
                <w:rFonts w:hint="eastAsia" w:eastAsia="宋体" w:cs="宋体"/>
                <w:color w:val="000000"/>
                <w:highlight w:val="none"/>
                <w:lang w:val="en-US" w:eastAsia="zh-CN"/>
              </w:rPr>
            </w:pPr>
            <w:r>
              <w:rPr>
                <w:rFonts w:hint="eastAsia" w:cs="宋体"/>
                <w:color w:val="000000"/>
                <w:highlight w:val="none"/>
                <w:lang w:val="en-US" w:eastAsia="zh-CN"/>
              </w:rPr>
              <w:t>5</w:t>
            </w:r>
          </w:p>
        </w:tc>
        <w:tc>
          <w:tcPr>
            <w:tcW w:w="1581" w:type="dxa"/>
            <w:vAlign w:val="center"/>
          </w:tcPr>
          <w:p>
            <w:pPr>
              <w:widowControl/>
              <w:spacing w:line="240" w:lineRule="auto"/>
              <w:ind w:firstLine="0" w:firstLineChars="0"/>
              <w:jc w:val="center"/>
              <w:textAlignment w:val="bottom"/>
              <w:rPr>
                <w:rFonts w:cs="宋体"/>
                <w:color w:val="000000"/>
                <w:highlight w:val="none"/>
              </w:rPr>
            </w:pPr>
            <w:r>
              <w:rPr>
                <w:rFonts w:hint="eastAsia" w:cs="宋体"/>
                <w:highlight w:val="none"/>
              </w:rPr>
              <w:t>1500mW激光器</w:t>
            </w:r>
          </w:p>
        </w:tc>
        <w:tc>
          <w:tcPr>
            <w:tcW w:w="4814" w:type="dxa"/>
            <w:vAlign w:val="center"/>
          </w:tcPr>
          <w:p>
            <w:pPr>
              <w:spacing w:before="120" w:beforeLines="50" w:after="120" w:afterLines="50" w:line="240" w:lineRule="auto"/>
              <w:ind w:firstLine="0" w:firstLineChars="0"/>
              <w:rPr>
                <w:rFonts w:cs="宋体"/>
                <w:kern w:val="0"/>
                <w:highlight w:val="none"/>
              </w:rPr>
            </w:pPr>
            <w:r>
              <w:rPr>
                <w:rFonts w:hint="eastAsia" w:cs="宋体"/>
                <w:kern w:val="0"/>
                <w:highlight w:val="none"/>
              </w:rPr>
              <w:t>1. 光纤激光器</w:t>
            </w:r>
          </w:p>
          <w:p>
            <w:pPr>
              <w:spacing w:before="120" w:beforeLines="50" w:after="120" w:afterLines="50" w:line="240" w:lineRule="auto"/>
              <w:ind w:firstLine="0" w:firstLineChars="0"/>
              <w:rPr>
                <w:rFonts w:cs="宋体"/>
                <w:kern w:val="0"/>
                <w:highlight w:val="none"/>
              </w:rPr>
            </w:pPr>
            <w:r>
              <w:rPr>
                <w:rFonts w:hint="eastAsia" w:cs="宋体"/>
                <w:kern w:val="0"/>
                <w:highlight w:val="none"/>
              </w:rPr>
              <w:t>2.CW激光，准直光束，TEM00模，竖直线偏振</w:t>
            </w:r>
          </w:p>
          <w:p>
            <w:pPr>
              <w:spacing w:before="120" w:beforeLines="50" w:after="120" w:afterLines="50" w:line="240" w:lineRule="auto"/>
              <w:ind w:firstLine="0" w:firstLineChars="0"/>
              <w:rPr>
                <w:rFonts w:cs="宋体"/>
                <w:kern w:val="0"/>
                <w:highlight w:val="none"/>
              </w:rPr>
            </w:pPr>
            <w:r>
              <w:rPr>
                <w:rFonts w:hint="eastAsia" w:cs="宋体"/>
                <w:kern w:val="0"/>
                <w:highlight w:val="none"/>
              </w:rPr>
              <w:t>3.激光波长560 nm，线宽&lt;0.1 nm，长时间波长稳定性&lt;0.02 nm</w:t>
            </w:r>
          </w:p>
          <w:p>
            <w:pPr>
              <w:spacing w:before="120" w:beforeLines="50" w:after="120" w:afterLines="50" w:line="240" w:lineRule="auto"/>
              <w:ind w:firstLine="0" w:firstLineChars="0"/>
              <w:rPr>
                <w:rFonts w:cs="宋体"/>
                <w:kern w:val="0"/>
                <w:highlight w:val="none"/>
              </w:rPr>
            </w:pPr>
            <w:r>
              <w:rPr>
                <w:rFonts w:hint="eastAsia" w:cs="宋体"/>
                <w:kern w:val="0"/>
                <w:highlight w:val="none"/>
              </w:rPr>
              <w:t>4.激光功率1500 mW</w:t>
            </w:r>
          </w:p>
          <w:p>
            <w:pPr>
              <w:spacing w:before="120" w:beforeLines="50" w:after="120" w:afterLines="50" w:line="240" w:lineRule="auto"/>
              <w:ind w:firstLine="0" w:firstLineChars="0"/>
              <w:rPr>
                <w:rFonts w:cs="宋体"/>
                <w:kern w:val="0"/>
                <w:highlight w:val="none"/>
              </w:rPr>
            </w:pPr>
            <w:r>
              <w:rPr>
                <w:rFonts w:hint="eastAsia" w:cs="宋体"/>
                <w:kern w:val="0"/>
                <w:highlight w:val="none"/>
              </w:rPr>
              <w:t>5.光束直径：1 mm</w:t>
            </w:r>
          </w:p>
          <w:p>
            <w:pPr>
              <w:spacing w:before="120" w:beforeLines="50" w:after="120" w:afterLines="50" w:line="240" w:lineRule="auto"/>
              <w:ind w:firstLine="0" w:firstLineChars="0"/>
              <w:rPr>
                <w:rFonts w:cs="宋体"/>
                <w:kern w:val="0"/>
                <w:highlight w:val="none"/>
              </w:rPr>
            </w:pPr>
            <w:r>
              <w:rPr>
                <w:rFonts w:hint="eastAsia" w:cs="宋体"/>
                <w:kern w:val="0"/>
                <w:highlight w:val="none"/>
              </w:rPr>
              <w:t>6.光束质量：M2 &lt;1.1</w:t>
            </w:r>
          </w:p>
          <w:p>
            <w:pPr>
              <w:spacing w:before="120" w:beforeLines="50" w:after="120" w:afterLines="50" w:line="240" w:lineRule="auto"/>
              <w:ind w:firstLine="0" w:firstLineChars="0"/>
              <w:rPr>
                <w:rFonts w:cs="宋体"/>
                <w:kern w:val="0"/>
                <w:highlight w:val="none"/>
              </w:rPr>
            </w:pPr>
            <w:r>
              <w:rPr>
                <w:rFonts w:hint="eastAsia" w:cs="宋体"/>
                <w:kern w:val="0"/>
                <w:highlight w:val="none"/>
              </w:rPr>
              <w:t>7.发散角：&lt;5 mrad</w:t>
            </w:r>
          </w:p>
          <w:p>
            <w:pPr>
              <w:spacing w:before="120" w:beforeLines="50" w:after="120" w:afterLines="50" w:line="240" w:lineRule="auto"/>
              <w:ind w:firstLine="0" w:firstLineChars="0"/>
              <w:rPr>
                <w:rFonts w:cs="宋体"/>
                <w:kern w:val="0"/>
                <w:highlight w:val="none"/>
              </w:rPr>
            </w:pPr>
            <w:r>
              <w:rPr>
                <w:rFonts w:hint="eastAsia" w:cs="宋体"/>
                <w:kern w:val="0"/>
                <w:highlight w:val="none"/>
              </w:rPr>
              <w:t>8.长时间（8小时）功率稳定性：&lt;2%</w:t>
            </w:r>
          </w:p>
          <w:p>
            <w:pPr>
              <w:spacing w:before="120" w:beforeLines="50" w:after="120" w:afterLines="50" w:line="240" w:lineRule="auto"/>
              <w:ind w:firstLine="0" w:firstLineChars="0"/>
              <w:rPr>
                <w:rFonts w:cs="宋体"/>
                <w:kern w:val="0"/>
                <w:highlight w:val="none"/>
              </w:rPr>
            </w:pPr>
            <w:r>
              <w:rPr>
                <w:rFonts w:hint="eastAsia" w:cs="宋体"/>
                <w:kern w:val="0"/>
                <w:highlight w:val="none"/>
              </w:rPr>
              <w:t>9.USB接口，软件控制开关和调节功率</w:t>
            </w:r>
          </w:p>
          <w:p>
            <w:pPr>
              <w:spacing w:before="120" w:beforeLines="50" w:after="120" w:afterLines="50" w:line="240" w:lineRule="auto"/>
              <w:ind w:firstLine="0" w:firstLineChars="0"/>
              <w:rPr>
                <w:rFonts w:cs="宋体"/>
                <w:color w:val="000000"/>
                <w:highlight w:val="none"/>
              </w:rPr>
            </w:pPr>
            <w:r>
              <w:rPr>
                <w:rFonts w:hint="eastAsia" w:cs="宋体"/>
                <w:kern w:val="0"/>
                <w:highlight w:val="none"/>
              </w:rPr>
              <w:t>10.尺寸：激光头154 x 50 x 30 mm，控制器443 x 278 x 86 mm</w:t>
            </w:r>
          </w:p>
        </w:tc>
        <w:tc>
          <w:tcPr>
            <w:tcW w:w="885"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台</w:t>
            </w:r>
          </w:p>
        </w:tc>
        <w:tc>
          <w:tcPr>
            <w:tcW w:w="810"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highlight w:val="none"/>
              </w:rPr>
              <w:t>1</w:t>
            </w:r>
          </w:p>
        </w:tc>
        <w:tc>
          <w:tcPr>
            <w:tcW w:w="932" w:type="dxa"/>
            <w:vAlign w:val="center"/>
          </w:tcPr>
          <w:p>
            <w:pPr>
              <w:spacing w:before="120" w:beforeLines="50" w:after="120" w:afterLines="50" w:line="240" w:lineRule="auto"/>
              <w:ind w:firstLine="0" w:firstLineChars="0"/>
              <w:jc w:val="center"/>
              <w:rPr>
                <w:rFonts w:cs="宋体"/>
                <w:color w:val="000000"/>
                <w:highlight w:val="none"/>
              </w:rPr>
            </w:pPr>
            <w:r>
              <w:rPr>
                <w:rFonts w:hint="eastAsia" w:cs="宋体"/>
                <w:color w:val="000000"/>
                <w:highlight w:val="none"/>
              </w:rPr>
              <w:t>允许进口</w:t>
            </w:r>
          </w:p>
        </w:tc>
      </w:tr>
    </w:tbl>
    <w:p>
      <w:pPr>
        <w:ind w:firstLine="0" w:firstLineChars="0"/>
        <w:rPr>
          <w:rFonts w:hint="eastAsia" w:cs="宋体"/>
          <w:b/>
          <w:bCs/>
          <w:highlight w:val="none"/>
        </w:rPr>
      </w:pPr>
    </w:p>
    <w:p>
      <w:pPr>
        <w:ind w:firstLine="0" w:firstLineChars="0"/>
        <w:rPr>
          <w:rFonts w:cs="宋体"/>
          <w:b/>
          <w:bCs/>
          <w:highlight w:val="none"/>
        </w:rPr>
      </w:pPr>
      <w:r>
        <w:rPr>
          <w:rFonts w:hint="eastAsia" w:cs="宋体"/>
          <w:b/>
          <w:bCs/>
          <w:highlight w:val="none"/>
        </w:rPr>
        <w:t>注：以“※”标识的为核心产品。打“※”核心产品的品牌相同的多家投标人按一家投标人</w:t>
      </w:r>
    </w:p>
    <w:p>
      <w:pPr>
        <w:pStyle w:val="7"/>
        <w:numPr>
          <w:ilvl w:val="0"/>
          <w:numId w:val="8"/>
        </w:numPr>
        <w:rPr>
          <w:rFonts w:hint="eastAsia" w:cs="宋体"/>
          <w:highlight w:val="none"/>
        </w:rPr>
      </w:pPr>
      <w:bookmarkStart w:id="72" w:name="_Toc31119"/>
      <w:r>
        <w:rPr>
          <w:rFonts w:hint="eastAsia" w:cs="宋体"/>
          <w:highlight w:val="none"/>
        </w:rPr>
        <w:t>商务条款</w:t>
      </w:r>
      <w:bookmarkEnd w:id="72"/>
    </w:p>
    <w:p>
      <w:pPr>
        <w:pStyle w:val="8"/>
        <w:numPr>
          <w:ilvl w:val="0"/>
          <w:numId w:val="9"/>
        </w:numPr>
        <w:rPr>
          <w:rFonts w:cs="宋体"/>
          <w:highlight w:val="none"/>
        </w:rPr>
      </w:pPr>
      <w:r>
        <w:rPr>
          <w:rFonts w:hint="eastAsia"/>
          <w:highlight w:val="none"/>
        </w:rPr>
        <w:t>▲</w:t>
      </w:r>
      <w:r>
        <w:rPr>
          <w:rFonts w:hint="eastAsia" w:cs="宋体"/>
          <w:highlight w:val="none"/>
        </w:rPr>
        <w:t>交货时间及地点</w:t>
      </w:r>
    </w:p>
    <w:p>
      <w:pPr>
        <w:numPr>
          <w:ilvl w:val="0"/>
          <w:numId w:val="10"/>
        </w:numPr>
        <w:rPr>
          <w:rFonts w:hint="eastAsia"/>
          <w:highlight w:val="none"/>
        </w:rPr>
      </w:pPr>
      <w:r>
        <w:rPr>
          <w:rFonts w:hint="eastAsia"/>
          <w:highlight w:val="none"/>
        </w:rPr>
        <w:t>国产设备：合同签订以后30日历天内将所供商品按时、安全运至招标人指定地点，安装调试完毕后交招标人验收。</w:t>
      </w:r>
    </w:p>
    <w:p>
      <w:pPr>
        <w:numPr>
          <w:ilvl w:val="0"/>
          <w:numId w:val="10"/>
        </w:numPr>
        <w:rPr>
          <w:highlight w:val="none"/>
        </w:rPr>
      </w:pPr>
      <w:r>
        <w:rPr>
          <w:rFonts w:hint="eastAsia"/>
          <w:highlight w:val="none"/>
        </w:rPr>
        <w:t>进口设备：“进出口货物征免税证明”办理后</w:t>
      </w:r>
      <w:r>
        <w:rPr>
          <w:rFonts w:hint="eastAsia"/>
          <w:highlight w:val="none"/>
          <w:lang w:val="en-US" w:eastAsia="zh-CN"/>
        </w:rPr>
        <w:t>60</w:t>
      </w:r>
      <w:r>
        <w:rPr>
          <w:rFonts w:hint="eastAsia"/>
          <w:highlight w:val="none"/>
        </w:rPr>
        <w:t>日历天内将所供商品按时、安全运至招标人指定地点，安装调试完毕后交招标人验收。</w:t>
      </w:r>
    </w:p>
    <w:p>
      <w:pPr>
        <w:pStyle w:val="8"/>
        <w:numPr>
          <w:ilvl w:val="0"/>
          <w:numId w:val="9"/>
        </w:numPr>
        <w:rPr>
          <w:highlight w:val="none"/>
        </w:rPr>
      </w:pPr>
      <w:r>
        <w:rPr>
          <w:rFonts w:hint="eastAsia"/>
          <w:highlight w:val="none"/>
        </w:rPr>
        <w:t>▲质保期</w:t>
      </w:r>
    </w:p>
    <w:p>
      <w:pPr>
        <w:ind w:firstLine="480"/>
        <w:rPr>
          <w:highlight w:val="none"/>
        </w:rPr>
      </w:pPr>
      <w:r>
        <w:rPr>
          <w:rFonts w:hint="eastAsia"/>
          <w:highlight w:val="none"/>
        </w:rPr>
        <w:t>国产3年原厂质保，进口1年原厂质保，从验收合格第二个月开始算起。</w:t>
      </w:r>
    </w:p>
    <w:p>
      <w:pPr>
        <w:pStyle w:val="8"/>
        <w:numPr>
          <w:ilvl w:val="0"/>
          <w:numId w:val="9"/>
        </w:numPr>
        <w:rPr>
          <w:highlight w:val="none"/>
        </w:rPr>
      </w:pPr>
      <w:r>
        <w:rPr>
          <w:rFonts w:hint="eastAsia"/>
          <w:highlight w:val="none"/>
        </w:rPr>
        <w:t>▲</w:t>
      </w:r>
      <w:r>
        <w:rPr>
          <w:rFonts w:hint="eastAsia"/>
          <w:highlight w:val="none"/>
          <w:lang w:eastAsia="zh-CN"/>
        </w:rPr>
        <w:t>履约</w:t>
      </w:r>
      <w:r>
        <w:rPr>
          <w:rFonts w:hint="eastAsia"/>
          <w:highlight w:val="none"/>
        </w:rPr>
        <w:t>保证金</w:t>
      </w:r>
    </w:p>
    <w:p>
      <w:pPr>
        <w:ind w:firstLine="480"/>
        <w:rPr>
          <w:szCs w:val="22"/>
          <w:highlight w:val="none"/>
        </w:rPr>
      </w:pPr>
      <w:r>
        <w:rPr>
          <w:rFonts w:hint="eastAsia"/>
          <w:szCs w:val="22"/>
          <w:highlight w:val="none"/>
        </w:rPr>
        <w:t>中标人须于合同签订后向采购人支付合同总价5%的履约保证金，履约保证金自货物交付验收合格后12个月内无质量问题索赔和售后服务问题，由采购人无息退回中标供应商。</w:t>
      </w:r>
    </w:p>
    <w:p>
      <w:pPr>
        <w:pStyle w:val="8"/>
        <w:numPr>
          <w:ilvl w:val="0"/>
          <w:numId w:val="9"/>
        </w:numPr>
        <w:rPr>
          <w:highlight w:val="none"/>
        </w:rPr>
      </w:pPr>
      <w:r>
        <w:rPr>
          <w:rFonts w:hint="eastAsia"/>
          <w:highlight w:val="none"/>
        </w:rPr>
        <w:t>▲付款方式</w:t>
      </w:r>
    </w:p>
    <w:p>
      <w:pPr>
        <w:ind w:firstLine="480"/>
        <w:rPr>
          <w:highlight w:val="none"/>
        </w:rPr>
      </w:pPr>
      <w:r>
        <w:rPr>
          <w:rFonts w:hint="eastAsia"/>
          <w:szCs w:val="22"/>
          <w:highlight w:val="none"/>
        </w:rPr>
        <w:t>1.国产产品支付方式：货到安装、调试验收合格后15个工作日内，由中标人提供中标人开具的全额增值税专用发票后，采购人向中标人支付合同总价100%的货款。</w:t>
      </w:r>
    </w:p>
    <w:p>
      <w:pPr>
        <w:ind w:firstLine="480"/>
        <w:rPr>
          <w:szCs w:val="22"/>
          <w:highlight w:val="none"/>
        </w:rPr>
      </w:pPr>
      <w:r>
        <w:rPr>
          <w:rFonts w:hint="eastAsia"/>
          <w:szCs w:val="22"/>
          <w:highlight w:val="none"/>
        </w:rPr>
        <w:t>2.进口产品支付方式：合同签订后办理好“进出口货物征免税证明”后预付30%，由甲方指定的外贸代理公司开具100%不可撤销即期信用证（90%即期，10%凭验收报告），甲方见装运单支付合同金额的60%给外贸代理公司， 10%尾款在验收合格后15个工作日内支付给外贸代理公司。</w:t>
      </w:r>
    </w:p>
    <w:p>
      <w:pPr>
        <w:pStyle w:val="8"/>
        <w:numPr>
          <w:ilvl w:val="0"/>
          <w:numId w:val="9"/>
        </w:numPr>
        <w:rPr>
          <w:highlight w:val="none"/>
        </w:rPr>
      </w:pPr>
      <w:r>
        <w:rPr>
          <w:rFonts w:hint="eastAsia"/>
          <w:highlight w:val="none"/>
        </w:rPr>
        <w:t>售后服务</w:t>
      </w:r>
    </w:p>
    <w:p>
      <w:pPr>
        <w:pStyle w:val="129"/>
        <w:numPr>
          <w:ilvl w:val="1"/>
          <w:numId w:val="11"/>
        </w:numPr>
        <w:ind w:left="629" w:firstLineChars="0"/>
        <w:rPr>
          <w:rFonts w:cs="宋体"/>
          <w:szCs w:val="24"/>
          <w:highlight w:val="none"/>
        </w:rPr>
      </w:pPr>
      <w:r>
        <w:rPr>
          <w:rFonts w:hint="eastAsia" w:cs="宋体"/>
          <w:szCs w:val="24"/>
          <w:highlight w:val="none"/>
        </w:rPr>
        <w:t>质保期内因不能排除的故障而影响工作的情况每发生一次，质保期相应延长60天，质保期内因设备本身缺陷造成各种故障应由卖方免费技术服务和维修，若技术需求中有质保要求，以技术需求为准。</w:t>
      </w:r>
    </w:p>
    <w:p>
      <w:pPr>
        <w:pStyle w:val="129"/>
        <w:numPr>
          <w:ilvl w:val="1"/>
          <w:numId w:val="11"/>
        </w:numPr>
        <w:ind w:left="629" w:firstLineChars="0"/>
        <w:rPr>
          <w:rFonts w:cs="宋体"/>
          <w:szCs w:val="24"/>
          <w:highlight w:val="none"/>
        </w:rPr>
      </w:pPr>
      <w:r>
        <w:rPr>
          <w:rFonts w:hint="eastAsia" w:cs="宋体"/>
          <w:szCs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pStyle w:val="129"/>
        <w:numPr>
          <w:ilvl w:val="1"/>
          <w:numId w:val="11"/>
        </w:numPr>
        <w:ind w:left="629" w:firstLineChars="0"/>
        <w:rPr>
          <w:rFonts w:cs="宋体"/>
          <w:szCs w:val="24"/>
          <w:highlight w:val="none"/>
        </w:rPr>
      </w:pPr>
      <w:r>
        <w:rPr>
          <w:rFonts w:hint="eastAsia" w:cs="宋体"/>
          <w:szCs w:val="24"/>
          <w:highlight w:val="none"/>
        </w:rPr>
        <w:t>货物（设备/软件）发生故障接到用户维修要求后，投标人应承诺在 1小时内响应并提出解决方案，4小时内到现场进行故障处理，维修过程中所需材料在接到通知后应及时提供，最多不超过12小时。若（设备）短期无法修复，应提供相应备件并负责安装调试。</w:t>
      </w:r>
    </w:p>
    <w:p>
      <w:pPr>
        <w:pStyle w:val="129"/>
        <w:numPr>
          <w:ilvl w:val="1"/>
          <w:numId w:val="11"/>
        </w:numPr>
        <w:ind w:left="629" w:firstLineChars="0"/>
        <w:rPr>
          <w:rFonts w:cs="宋体"/>
          <w:szCs w:val="24"/>
          <w:highlight w:val="none"/>
        </w:rPr>
      </w:pPr>
      <w:r>
        <w:rPr>
          <w:rFonts w:hint="eastAsia" w:cs="宋体"/>
          <w:szCs w:val="24"/>
          <w:highlight w:val="none"/>
        </w:rPr>
        <w:t>其它（补充）： 提供原厂商售后服务承诺函原件等；需中标单位在签订合同前提供相应的复印件加盖原厂商公章，以供查验，若无法按要求提供的，则投标结果视为无效。</w:t>
      </w:r>
    </w:p>
    <w:p>
      <w:pPr>
        <w:pStyle w:val="8"/>
        <w:numPr>
          <w:ilvl w:val="0"/>
          <w:numId w:val="9"/>
        </w:numPr>
        <w:rPr>
          <w:highlight w:val="none"/>
        </w:rPr>
      </w:pPr>
      <w:r>
        <w:rPr>
          <w:rFonts w:hint="eastAsia"/>
          <w:highlight w:val="none"/>
        </w:rPr>
        <w:t>备品备件及耗材等要求</w:t>
      </w:r>
    </w:p>
    <w:p>
      <w:pPr>
        <w:ind w:firstLine="480"/>
        <w:rPr>
          <w:highlight w:val="none"/>
        </w:rPr>
      </w:pPr>
      <w:r>
        <w:rPr>
          <w:rFonts w:hint="eastAsia"/>
          <w:highlight w:val="none"/>
        </w:rPr>
        <w:t>投标人应按设计要求及投标承诺，提供与设备配套的在质量保证期内需要的易耗品和用于维修的备品备件。备件应包括那些不易买到的部件，还应包括计算机的备件。备品备件清单应得到招标人的认可，以便在竣工之日在现场得到该备品备件。投标人在投标时应提出备品备件及易耗品清单和单价，并承诺此价格在保修期终止后的二年内不得随意涨价，且遇价格下调时应作同步下调。</w:t>
      </w:r>
    </w:p>
    <w:p>
      <w:pPr>
        <w:pStyle w:val="8"/>
        <w:numPr>
          <w:ilvl w:val="0"/>
          <w:numId w:val="9"/>
        </w:numPr>
        <w:rPr>
          <w:highlight w:val="none"/>
        </w:rPr>
      </w:pPr>
      <w:r>
        <w:rPr>
          <w:rFonts w:hint="eastAsia"/>
          <w:highlight w:val="none"/>
        </w:rPr>
        <w:t>其它</w:t>
      </w:r>
    </w:p>
    <w:p>
      <w:pPr>
        <w:pStyle w:val="190"/>
        <w:spacing w:line="360" w:lineRule="auto"/>
        <w:ind w:firstLine="480"/>
        <w:rPr>
          <w:highlight w:val="none"/>
        </w:rPr>
      </w:pPr>
      <w:r>
        <w:rPr>
          <w:rFonts w:hint="eastAsia" w:ascii="宋体"/>
          <w:kern w:val="2"/>
          <w:szCs w:val="24"/>
          <w:highlight w:val="none"/>
        </w:rPr>
        <w:t>后期采购人因校区搬迁、楼宇搬迁、楼层更换，需要设备拆装搬迁。则中标人必须提供免费拆装及搬迁服务。</w:t>
      </w:r>
    </w:p>
    <w:p>
      <w:pPr>
        <w:pStyle w:val="8"/>
        <w:numPr>
          <w:ilvl w:val="0"/>
          <w:numId w:val="9"/>
        </w:numPr>
        <w:rPr>
          <w:highlight w:val="none"/>
        </w:rPr>
      </w:pPr>
      <w:r>
        <w:rPr>
          <w:rFonts w:hint="eastAsia"/>
          <w:highlight w:val="none"/>
        </w:rPr>
        <w:t>合同履行</w:t>
      </w:r>
    </w:p>
    <w:p>
      <w:pPr>
        <w:bidi w:val="0"/>
        <w:rPr>
          <w:rFonts w:hint="eastAsia"/>
          <w:color w:val="auto"/>
          <w:highlight w:val="none"/>
        </w:rPr>
      </w:pPr>
      <w:r>
        <w:rPr>
          <w:rFonts w:hint="eastAsia"/>
          <w:highlight w:val="none"/>
        </w:rPr>
        <w:t>必须由投标主体履行合同。</w:t>
      </w:r>
    </w:p>
    <w:bookmarkEnd w:id="71"/>
    <w:p>
      <w:pPr>
        <w:pStyle w:val="22"/>
        <w:rPr>
          <w:rFonts w:hint="eastAsia" w:ascii="宋体" w:hAnsi="宋体" w:eastAsia="宋体" w:cs="宋体"/>
          <w:color w:val="auto"/>
          <w:highlight w:val="none"/>
        </w:rPr>
      </w:pPr>
    </w:p>
    <w:bookmarkEnd w:id="65"/>
    <w:bookmarkEnd w:id="66"/>
    <w:bookmarkEnd w:id="67"/>
    <w:p>
      <w:pPr>
        <w:pStyle w:val="17"/>
        <w:rPr>
          <w:rFonts w:hint="eastAsia"/>
          <w:color w:val="auto"/>
          <w:highlight w:val="none"/>
        </w:rPr>
      </w:pPr>
    </w:p>
    <w:p>
      <w:pPr>
        <w:pStyle w:val="6"/>
        <w:bidi w:val="0"/>
        <w:rPr>
          <w:rFonts w:hint="eastAsia" w:ascii="宋体" w:hAnsi="宋体" w:eastAsia="宋体" w:cs="宋体"/>
          <w:color w:val="auto"/>
          <w:sz w:val="36"/>
          <w:szCs w:val="36"/>
          <w:highlight w:val="none"/>
        </w:rPr>
        <w:sectPr>
          <w:pgSz w:w="11906" w:h="16838"/>
          <w:pgMar w:top="1440" w:right="1080" w:bottom="1440" w:left="1080" w:header="850" w:footer="992" w:gutter="0"/>
          <w:pgBorders>
            <w:top w:val="none" w:sz="0" w:space="0"/>
            <w:left w:val="none" w:sz="0" w:space="0"/>
            <w:bottom w:val="none" w:sz="0" w:space="0"/>
            <w:right w:val="none" w:sz="0" w:space="0"/>
          </w:pgBorders>
          <w:cols w:space="720" w:num="1"/>
          <w:docGrid w:linePitch="381" w:charSpace="0"/>
        </w:sectPr>
      </w:pPr>
      <w:bookmarkStart w:id="73" w:name="_Toc24825"/>
    </w:p>
    <w:p>
      <w:pPr>
        <w:pStyle w:val="6"/>
        <w:bidi w:val="0"/>
        <w:rPr>
          <w:rFonts w:hint="eastAsia" w:ascii="宋体" w:hAnsi="宋体" w:eastAsia="宋体" w:cs="宋体"/>
          <w:color w:val="auto"/>
          <w:sz w:val="36"/>
          <w:szCs w:val="36"/>
          <w:highlight w:val="none"/>
        </w:rPr>
      </w:pPr>
      <w:bookmarkStart w:id="74" w:name="_Toc5760"/>
      <w:r>
        <w:rPr>
          <w:rFonts w:hint="eastAsia" w:ascii="宋体" w:hAnsi="宋体" w:eastAsia="宋体" w:cs="宋体"/>
          <w:color w:val="auto"/>
          <w:sz w:val="36"/>
          <w:szCs w:val="36"/>
          <w:highlight w:val="none"/>
        </w:rPr>
        <w:t>第三章 投标人须知</w:t>
      </w:r>
      <w:bookmarkEnd w:id="73"/>
      <w:bookmarkEnd w:id="74"/>
    </w:p>
    <w:p>
      <w:pPr>
        <w:pStyle w:val="7"/>
        <w:bidi w:val="0"/>
        <w:ind w:left="0" w:leftChars="0" w:right="0" w:rightChars="0" w:firstLine="0" w:firstLineChars="0"/>
        <w:jc w:val="center"/>
        <w:rPr>
          <w:rFonts w:hint="eastAsia" w:ascii="宋体" w:hAnsi="宋体" w:eastAsia="宋体" w:cs="宋体"/>
          <w:color w:val="auto"/>
          <w:highlight w:val="none"/>
        </w:rPr>
      </w:pPr>
      <w:bookmarkStart w:id="75" w:name="_Toc12845"/>
      <w:bookmarkStart w:id="76" w:name="_Toc2290"/>
      <w:bookmarkStart w:id="77" w:name="_Toc452457413"/>
      <w:bookmarkStart w:id="78" w:name="_Toc21699"/>
      <w:bookmarkStart w:id="79" w:name="_Toc8778"/>
      <w:r>
        <w:rPr>
          <w:rFonts w:hint="eastAsia" w:ascii="宋体" w:hAnsi="宋体" w:eastAsia="宋体" w:cs="宋体"/>
          <w:color w:val="auto"/>
          <w:highlight w:val="none"/>
        </w:rPr>
        <w:t>前 附 表</w:t>
      </w:r>
      <w:bookmarkEnd w:id="75"/>
      <w:bookmarkEnd w:id="76"/>
      <w:bookmarkEnd w:id="77"/>
      <w:bookmarkEnd w:id="78"/>
      <w:bookmarkEnd w:id="79"/>
    </w:p>
    <w:tbl>
      <w:tblPr>
        <w:tblStyle w:val="4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事项</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项目概况</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招 标 人：中国计量大学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r>
              <w:rPr>
                <w:rFonts w:hint="eastAsia" w:cs="宋体"/>
                <w:color w:val="auto"/>
                <w:highlight w:val="none"/>
                <w:lang w:val="en-US" w:eastAsia="zh-CN"/>
              </w:rPr>
              <w:t>拉曼与量子精密测量实验室设备采购</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招标编号：</w:t>
            </w:r>
            <w:r>
              <w:rPr>
                <w:rFonts w:hint="eastAsia" w:cs="宋体"/>
                <w:color w:val="auto"/>
                <w:highlight w:val="none"/>
                <w:lang w:val="en-US" w:eastAsia="zh-CN"/>
              </w:rPr>
              <w:t>ZJWSBJ-JL-202112G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采购方式及评标办法</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经批准或确认的本次采购方式：公开招标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投标文件形式</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本项目实行电子投标。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供应商应准备两种形式的投标文件：电子加密投标文件、以介质存储的数据电文形式的备份投标文件。</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1.“电子加密投标文件”是指通过“政采云电子交易客户端”完成投标文件编制后生成并加密的数据电文形式的投标文件（后缀格式为.jmbs）</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投标文件的上传和递交</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1.电子加密投标文件：投标文件制作完成并生成加密文件，在投标截止时间前，供应商需将加密的投标文件上传至浙江政府采购网，到达开标时间后，进行解密。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供应商未能在投标截止时间前成功上传电子加密投标文件的投标无效。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2.备份投标文件：投标截止时间前，供应商应将备份投标文件递交至开标地点，以便电子加密投标文件解密异常时应急使用。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收件地址:</w:t>
            </w:r>
            <w:r>
              <w:rPr>
                <w:rFonts w:hint="eastAsia" w:cs="宋体"/>
                <w:color w:val="auto"/>
                <w:highlight w:val="none"/>
                <w:lang w:eastAsia="zh-CN"/>
              </w:rPr>
              <w:t>杭州市天目山路7号1号楼群楼301室</w:t>
            </w:r>
            <w:r>
              <w:rPr>
                <w:rFonts w:hint="eastAsia" w:ascii="宋体" w:hAnsi="宋体" w:eastAsia="宋体" w:cs="宋体"/>
                <w:color w:val="auto"/>
                <w:highlight w:val="none"/>
              </w:rPr>
              <w:t>；接收人:陈工；联系电话：17746802645；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电子加密投标文件的解密和异常情况处理</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投标有效期</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/样品/演示</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highlight w:val="none"/>
              </w:rPr>
            </w:pPr>
            <w:r>
              <w:rPr>
                <w:rFonts w:hint="eastAsia"/>
                <w:color w:val="auto"/>
                <w:highlight w:val="none"/>
              </w:rPr>
              <w:t xml:space="preserve">现场踏勘：□ </w:t>
            </w:r>
            <w:r>
              <w:rPr>
                <w:rFonts w:hint="eastAsia"/>
                <w:color w:val="auto"/>
                <w:highlight w:val="none"/>
                <w:lang w:val="en-US" w:eastAsia="zh-CN"/>
              </w:rPr>
              <w:t>组织；</w:t>
            </w:r>
            <w:r>
              <w:rPr>
                <w:rFonts w:hint="eastAsia"/>
                <w:color w:val="auto"/>
                <w:highlight w:val="none"/>
                <w:lang w:eastAsia="zh-CN"/>
              </w:rPr>
              <w:t>☑</w:t>
            </w:r>
            <w:r>
              <w:rPr>
                <w:rFonts w:hint="eastAsia"/>
                <w:color w:val="auto"/>
                <w:highlight w:val="none"/>
              </w:rPr>
              <w:t xml:space="preserve"> </w:t>
            </w:r>
            <w:r>
              <w:rPr>
                <w:rFonts w:hint="eastAsia"/>
                <w:color w:val="auto"/>
                <w:highlight w:val="none"/>
                <w:lang w:val="en-US" w:eastAsia="zh-CN"/>
              </w:rPr>
              <w:t>不组织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highlight w:val="none"/>
                <w:lang w:val="en-US" w:eastAsia="zh-CN"/>
              </w:rPr>
            </w:pPr>
            <w:r>
              <w:rPr>
                <w:rFonts w:hint="eastAsia"/>
                <w:color w:val="auto"/>
                <w:highlight w:val="none"/>
                <w:lang w:val="en-US" w:eastAsia="zh-CN"/>
              </w:rPr>
              <w:t>演示：</w:t>
            </w:r>
            <w:r>
              <w:rPr>
                <w:rFonts w:hint="eastAsia"/>
                <w:color w:val="auto"/>
                <w:highlight w:val="none"/>
              </w:rPr>
              <w:t xml:space="preserve">□ </w:t>
            </w:r>
            <w:r>
              <w:rPr>
                <w:rFonts w:hint="eastAsia"/>
                <w:color w:val="auto"/>
                <w:highlight w:val="none"/>
                <w:lang w:val="en-US" w:eastAsia="zh-CN"/>
              </w:rPr>
              <w:t>提供；</w:t>
            </w:r>
            <w:r>
              <w:rPr>
                <w:rFonts w:hint="eastAsia"/>
                <w:color w:val="auto"/>
                <w:highlight w:val="none"/>
                <w:lang w:eastAsia="zh-CN"/>
              </w:rPr>
              <w:t>☑</w:t>
            </w:r>
            <w:r>
              <w:rPr>
                <w:rFonts w:hint="eastAsia"/>
                <w:color w:val="auto"/>
                <w:highlight w:val="none"/>
              </w:rPr>
              <w:t xml:space="preserve"> </w:t>
            </w:r>
            <w:r>
              <w:rPr>
                <w:rFonts w:hint="eastAsia"/>
                <w:color w:val="auto"/>
                <w:highlight w:val="none"/>
                <w:lang w:val="en-US" w:eastAsia="zh-CN"/>
              </w:rPr>
              <w:t>不提供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color w:val="auto"/>
                <w:highlight w:val="none"/>
                <w:lang w:val="en-US" w:eastAsia="zh-CN"/>
              </w:rPr>
            </w:pPr>
            <w:r>
              <w:rPr>
                <w:rFonts w:hint="eastAsia"/>
                <w:color w:val="auto"/>
                <w:highlight w:val="none"/>
                <w:lang w:val="en-US" w:eastAsia="zh-CN"/>
              </w:rPr>
              <w:t>样品：</w:t>
            </w:r>
            <w:r>
              <w:rPr>
                <w:rFonts w:hint="eastAsia"/>
                <w:color w:val="auto"/>
                <w:highlight w:val="none"/>
                <w:lang w:eastAsia="zh-CN"/>
              </w:rPr>
              <w:t>□</w:t>
            </w:r>
            <w:r>
              <w:rPr>
                <w:rFonts w:hint="eastAsia"/>
                <w:color w:val="auto"/>
                <w:highlight w:val="none"/>
              </w:rPr>
              <w:t xml:space="preserve">  </w:t>
            </w:r>
            <w:r>
              <w:rPr>
                <w:rFonts w:hint="eastAsia"/>
                <w:color w:val="auto"/>
                <w:highlight w:val="none"/>
                <w:lang w:val="en-US" w:eastAsia="zh-CN"/>
              </w:rPr>
              <w:t>提供；</w:t>
            </w:r>
            <w:r>
              <w:rPr>
                <w:rFonts w:hint="eastAsia"/>
                <w:color w:val="auto"/>
                <w:highlight w:val="none"/>
                <w:lang w:eastAsia="zh-CN"/>
              </w:rPr>
              <w:sym w:font="Wingdings 2" w:char="0052"/>
            </w:r>
            <w:r>
              <w:rPr>
                <w:rFonts w:hint="eastAsia"/>
                <w:color w:val="auto"/>
                <w:highlight w:val="none"/>
              </w:rPr>
              <w:t xml:space="preserve"> </w:t>
            </w:r>
            <w:r>
              <w:rPr>
                <w:rFonts w:hint="eastAsia"/>
                <w:color w:val="auto"/>
                <w:highlight w:val="none"/>
                <w:lang w:val="en-US" w:eastAsia="zh-CN"/>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信息公告及评标结果公告媒体</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浙江政府采购网（https://zfcg.czt.zj.gov.cn/）上发布。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▲报价要求</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val="en-US" w:eastAsia="zh-CN"/>
              </w:rPr>
              <w:t>.</w:t>
            </w:r>
            <w:r>
              <w:rPr>
                <w:rFonts w:hint="eastAsia" w:ascii="宋体" w:hAnsi="宋体" w:eastAsia="宋体" w:cs="宋体"/>
                <w:color w:val="auto"/>
                <w:highlight w:val="none"/>
              </w:rPr>
              <w:t>本项目投标国产设备和进口设备均应以人民币报价。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cs="宋体"/>
                <w:color w:val="auto"/>
                <w:highlight w:val="none"/>
                <w:lang w:val="en-US" w:eastAsia="zh-CN"/>
              </w:rPr>
              <w:t>.</w:t>
            </w:r>
            <w:r>
              <w:rPr>
                <w:rFonts w:hint="eastAsia" w:ascii="宋体" w:hAnsi="宋体" w:eastAsia="宋体" w:cs="宋体"/>
                <w:color w:val="auto"/>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注：（1）国产设备（包括进口设备配套的国产辅助软硬件）和进口设备的供货合同将分开签订，各标项投标设备中的国产设备（包括进口设备配套的国产辅助软硬件）和进口设备必须分开报价，否则作为无效标处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（2）投标人投标时应充分考虑新型冠状病毒肺炎疫情的影响，新型冠状病毒肺炎疫情不能作为不可抗力因素拖延交货时间。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w:t>
            </w:r>
          </w:p>
        </w:tc>
        <w:tc>
          <w:tcPr>
            <w:tcW w:w="6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中标通知书发出后30日内，中标供应商持中标通知书与采购人签订合同</w:t>
            </w:r>
            <w:r>
              <w:rPr>
                <w:rFonts w:hint="eastAsia"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资料归档</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中标人在收到中标通知后7个工作日内提交纸质版投标文件（内容同电子投标文件）一正两副及电子文档（U盘），用于项目资料存档。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采购机构代理费用</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代理服务费收费标准为：按国家计委关于印发《招标代理服务收费管理暂行办法》(计价格[2002]1980号)文件规定收费标准的70%向中标(成交)供应商收取。即服务收费标准(费率)如下：</w:t>
            </w:r>
          </w:p>
          <w:tbl>
            <w:tblPr>
              <w:tblStyle w:val="42"/>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服务类型中标金额（万元）</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1.05%</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0.77%</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0.56%</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0.18%</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0.07%</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服务费缴纳账号：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户名：浙江五石工程咨询有限公司萧山分公司</w:t>
            </w:r>
            <w:r>
              <w:rPr>
                <w:rFonts w:hint="eastAsia" w:ascii="宋体" w:hAnsi="宋体" w:eastAsia="宋体" w:cs="宋体"/>
                <w:color w:val="auto"/>
                <w:highlight w:val="none"/>
              </w:rPr>
              <w:br w:type="textWrapping"/>
            </w:r>
            <w:r>
              <w:rPr>
                <w:rFonts w:hint="eastAsia" w:ascii="宋体" w:hAnsi="宋体" w:eastAsia="宋体" w:cs="宋体"/>
                <w:color w:val="auto"/>
                <w:highlight w:val="none"/>
              </w:rPr>
              <w:t>账号：33020160201000004399</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开户行：浙江泰隆商业银行股份有限公司杭州祥符小微企业专营支行</w:t>
            </w:r>
            <w:r>
              <w:rPr>
                <w:rFonts w:hint="eastAsia" w:ascii="宋体" w:hAnsi="宋体" w:eastAsia="宋体" w:cs="宋体"/>
                <w:color w:val="auto"/>
                <w:highlight w:val="none"/>
              </w:rPr>
              <w:br w:type="textWrapping"/>
            </w:r>
            <w:r>
              <w:rPr>
                <w:rFonts w:hint="eastAsia" w:ascii="宋体" w:hAnsi="宋体" w:eastAsia="宋体" w:cs="宋体"/>
                <w:color w:val="auto"/>
                <w:highlight w:val="none"/>
              </w:rPr>
              <w:t>精确查找祥符支行行号：313331080163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联系人：梁工/17746806483；邮箱：2810140286@qq.com。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中标后注意事项</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1.若中标人未在约定时间内支付招标代理服务费，从逾期之日起按日利率千分之一承担违约金。</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其他说明</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带“</w:t>
            </w:r>
            <w:r>
              <w:rPr>
                <w:rFonts w:hint="eastAsia" w:ascii="宋体" w:hAnsi="宋体" w:eastAsia="宋体" w:cs="宋体"/>
                <w:color w:val="auto"/>
                <w:highlight w:val="none"/>
              </w:rPr>
              <w:t>▲”的条款是实质性条款，投标文件须作出实质性响应，否则作无效投标处理。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为了节约社会资源，所有获取招标文件的潜在投标人如果放弃投标请务必在投标截止时间 48 小时前将盖章的放弃投标函 发至采购代理机构，格式详见附件，谢谢配合。（将扫描件发送至代理机构联系人邮箱：</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"mailto:2971521730@qq.com）。"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rPr>
              <w:t>2810140286@qq.com</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本招标文件解释权属于</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和采购代理机构。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存在下列行为的，招标代理机构将其失信行为上报政府采购主管部门，由主管部门按有关规定对其违法失信行为记录进行公开：</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（1）中标后，拒绝签订政府采购合同的；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（2）投标有效期内撤销投标文件的。</w:t>
            </w:r>
          </w:p>
        </w:tc>
      </w:tr>
    </w:tbl>
    <w:p>
      <w:pPr>
        <w:pStyle w:val="7"/>
        <w:bidi w:val="0"/>
        <w:ind w:left="0" w:leftChars="0" w:right="0" w:rightChars="0" w:firstLine="0" w:firstLineChars="0"/>
        <w:jc w:val="center"/>
        <w:rPr>
          <w:rFonts w:hint="eastAsia" w:ascii="宋体" w:hAnsi="宋体" w:eastAsia="宋体" w:cs="宋体"/>
          <w:color w:val="auto"/>
          <w:highlight w:val="none"/>
        </w:rPr>
        <w:sectPr>
          <w:pgSz w:w="11906" w:h="16838"/>
          <w:pgMar w:top="1440" w:right="1080" w:bottom="1440" w:left="1080" w:header="850" w:footer="992" w:gutter="0"/>
          <w:pgBorders>
            <w:top w:val="none" w:sz="0" w:space="0"/>
            <w:left w:val="none" w:sz="0" w:space="0"/>
            <w:bottom w:val="none" w:sz="0" w:space="0"/>
            <w:right w:val="none" w:sz="0" w:space="0"/>
          </w:pgBorders>
          <w:cols w:space="720" w:num="1"/>
          <w:docGrid w:linePitch="381" w:charSpace="0"/>
        </w:sectPr>
      </w:pPr>
      <w:bookmarkStart w:id="80" w:name="_Toc22147"/>
      <w:bookmarkStart w:id="81" w:name="_Toc2440"/>
      <w:bookmarkStart w:id="82" w:name="_Toc6777"/>
      <w:bookmarkStart w:id="83" w:name="_Toc144974498"/>
      <w:bookmarkStart w:id="84" w:name="_Toc247085690"/>
      <w:bookmarkStart w:id="85" w:name="_Toc152042306"/>
      <w:bookmarkStart w:id="86" w:name="_Toc296602421"/>
      <w:bookmarkStart w:id="87" w:name="_Toc152045530"/>
      <w:bookmarkStart w:id="88" w:name="_Toc179632547"/>
      <w:bookmarkStart w:id="89" w:name="_Toc246996176"/>
      <w:bookmarkStart w:id="90" w:name="_Toc246996919"/>
    </w:p>
    <w:p>
      <w:pPr>
        <w:pStyle w:val="7"/>
        <w:bidi w:val="0"/>
        <w:ind w:left="0" w:leftChars="0" w:right="0" w:rightChars="0" w:firstLine="0" w:firstLineChars="0"/>
        <w:jc w:val="center"/>
        <w:rPr>
          <w:rFonts w:hint="eastAsia" w:ascii="宋体" w:hAnsi="宋体" w:eastAsia="宋体" w:cs="宋体"/>
          <w:color w:val="auto"/>
          <w:highlight w:val="none"/>
        </w:rPr>
      </w:pPr>
      <w:bookmarkStart w:id="91" w:name="_Toc14541"/>
      <w:r>
        <w:rPr>
          <w:rFonts w:hint="eastAsia" w:ascii="宋体" w:hAnsi="宋体" w:eastAsia="宋体" w:cs="宋体"/>
          <w:color w:val="auto"/>
          <w:highlight w:val="none"/>
        </w:rPr>
        <w:t>第一节 总 则</w:t>
      </w:r>
      <w:bookmarkEnd w:id="80"/>
      <w:bookmarkEnd w:id="81"/>
      <w:bookmarkEnd w:id="82"/>
      <w:bookmarkEnd w:id="91"/>
    </w:p>
    <w:p>
      <w:pPr>
        <w:pStyle w:val="8"/>
        <w:bidi w:val="0"/>
        <w:rPr>
          <w:rFonts w:hint="eastAsia" w:ascii="宋体" w:hAnsi="宋体" w:eastAsia="宋体" w:cs="宋体"/>
          <w:color w:val="auto"/>
          <w:highlight w:val="none"/>
        </w:rPr>
      </w:pPr>
      <w:bookmarkStart w:id="92" w:name="_Toc29454"/>
      <w:r>
        <w:rPr>
          <w:rFonts w:hint="eastAsia" w:ascii="宋体" w:hAnsi="宋体" w:eastAsia="宋体" w:cs="宋体"/>
          <w:color w:val="auto"/>
          <w:highlight w:val="none"/>
        </w:rPr>
        <w:t>一、适用范围</w:t>
      </w:r>
      <w:bookmarkEnd w:id="92"/>
    </w:p>
    <w:p>
      <w:pPr>
        <w:bidi w:val="0"/>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本招标文件适用于该项目的招标、投标、开标、资格审查及信用信息查询、评标、定标、合同、验收等行为（法律、法规另有规定的，从其规定）。</w:t>
      </w:r>
    </w:p>
    <w:p>
      <w:pPr>
        <w:pStyle w:val="8"/>
        <w:bidi w:val="0"/>
        <w:rPr>
          <w:rFonts w:hint="eastAsia" w:ascii="宋体" w:hAnsi="宋体" w:eastAsia="宋体" w:cs="宋体"/>
          <w:color w:val="auto"/>
          <w:highlight w:val="none"/>
        </w:rPr>
      </w:pPr>
      <w:bookmarkStart w:id="93" w:name="_Toc1362"/>
      <w:r>
        <w:rPr>
          <w:rFonts w:hint="eastAsia" w:ascii="宋体" w:hAnsi="宋体" w:eastAsia="宋体" w:cs="宋体"/>
          <w:color w:val="auto"/>
          <w:highlight w:val="none"/>
        </w:rPr>
        <w:t>二、定义</w:t>
      </w:r>
      <w:bookmarkEnd w:id="93"/>
    </w:p>
    <w:p>
      <w:pPr>
        <w:bidi w:val="0"/>
        <w:rPr>
          <w:rFonts w:hint="eastAsia"/>
          <w:color w:val="auto"/>
          <w:highlight w:val="none"/>
        </w:rPr>
      </w:pPr>
      <w:r>
        <w:rPr>
          <w:rFonts w:hint="eastAsia"/>
          <w:color w:val="auto"/>
          <w:highlight w:val="none"/>
        </w:rPr>
        <w:t>（一）“采购人”系指中国计量大学。</w:t>
      </w:r>
    </w:p>
    <w:p>
      <w:pPr>
        <w:bidi w:val="0"/>
        <w:rPr>
          <w:rFonts w:hint="eastAsia"/>
          <w:color w:val="auto"/>
          <w:highlight w:val="none"/>
        </w:rPr>
      </w:pPr>
      <w:r>
        <w:rPr>
          <w:rFonts w:hint="eastAsia"/>
          <w:color w:val="auto"/>
          <w:highlight w:val="none"/>
        </w:rPr>
        <w:t>（二）“采购代理机构”系组织本次招标的浙江五石工程咨询有限公司。</w:t>
      </w:r>
    </w:p>
    <w:p>
      <w:pPr>
        <w:bidi w:val="0"/>
        <w:rPr>
          <w:rFonts w:hint="eastAsia"/>
          <w:color w:val="auto"/>
          <w:highlight w:val="none"/>
        </w:rPr>
      </w:pPr>
      <w:r>
        <w:rPr>
          <w:rFonts w:hint="eastAsia"/>
          <w:color w:val="auto"/>
          <w:highlight w:val="none"/>
        </w:rPr>
        <w:t>（三）“投标人”和“投标方”系指参加本次招标活动符合资格条件的供应商。</w:t>
      </w:r>
    </w:p>
    <w:p>
      <w:pPr>
        <w:bidi w:val="0"/>
        <w:rPr>
          <w:rFonts w:hint="eastAsia"/>
          <w:color w:val="auto"/>
          <w:highlight w:val="none"/>
        </w:rPr>
      </w:pPr>
      <w:r>
        <w:rPr>
          <w:rFonts w:hint="eastAsia"/>
          <w:color w:val="auto"/>
          <w:highlight w:val="none"/>
        </w:rPr>
        <w:t>（四）“全权代表”系指参加本次招标活动的授权代表。</w:t>
      </w:r>
    </w:p>
    <w:p>
      <w:pPr>
        <w:bidi w:val="0"/>
        <w:rPr>
          <w:rFonts w:hint="eastAsia"/>
          <w:color w:val="auto"/>
          <w:highlight w:val="none"/>
        </w:rPr>
      </w:pPr>
      <w:r>
        <w:rPr>
          <w:rFonts w:hint="eastAsia"/>
          <w:color w:val="auto"/>
          <w:highlight w:val="none"/>
        </w:rPr>
        <w:t>（五）“▲”系指实质性要求条款，投标人应做出实质性响应；“★”系指重要条款。</w:t>
      </w:r>
    </w:p>
    <w:p>
      <w:pPr>
        <w:bidi w:val="0"/>
        <w:rPr>
          <w:rFonts w:hint="eastAsia"/>
          <w:color w:val="auto"/>
          <w:highlight w:val="none"/>
        </w:rPr>
      </w:pPr>
      <w:r>
        <w:rPr>
          <w:rFonts w:hint="eastAsia"/>
          <w:color w:val="auto"/>
          <w:highlight w:val="none"/>
        </w:rPr>
        <w:t>（六）联合体：</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联合体投标的，应遵守以下规定：</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两个以上供应商可以组成一个联合体，以一个供应商的身份共同参加政府采购；</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组成联合体参加本项目的，须在购买招标文件时做出相关声明，否则不予接受。</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联合体各方签订联合协议后，不得再以自己名义单独在同一项目中参加投标，也不得组成新的联合体参加同一项目投标；</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联合体各方应当共同与采购人签订采购合同，就采购合同约定的事项对采购人承担连带责任；</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投标文件须由主办人盖章及其代表签署。</w:t>
      </w:r>
    </w:p>
    <w:p>
      <w:pPr>
        <w:numPr>
          <w:ilvl w:val="0"/>
          <w:numId w:val="13"/>
        </w:numPr>
        <w:ind w:left="0" w:leftChars="0" w:firstLine="480" w:firstLineChars="200"/>
        <w:rPr>
          <w:rFonts w:hint="eastAsia" w:ascii="宋体" w:hAnsi="宋体" w:eastAsia="宋体"/>
          <w:color w:val="auto"/>
          <w:highlight w:val="none"/>
        </w:rPr>
      </w:pPr>
      <w:r>
        <w:rPr>
          <w:rFonts w:hint="eastAsia" w:ascii="宋体" w:hAnsi="宋体" w:eastAsia="宋体"/>
          <w:color w:val="auto"/>
          <w:highlight w:val="none"/>
        </w:rPr>
        <w:t>联合体投标，投标文件中供应商名称应注明“成员单位名称1和成员单位名称2的联合体”。</w:t>
      </w:r>
    </w:p>
    <w:p>
      <w:pPr>
        <w:pStyle w:val="8"/>
        <w:bidi w:val="0"/>
        <w:rPr>
          <w:rFonts w:hint="eastAsia" w:ascii="宋体" w:hAnsi="宋体" w:eastAsia="宋体" w:cs="宋体"/>
          <w:color w:val="auto"/>
          <w:highlight w:val="none"/>
        </w:rPr>
      </w:pPr>
      <w:bookmarkStart w:id="94" w:name="_Toc18732"/>
      <w:r>
        <w:rPr>
          <w:rFonts w:hint="eastAsia" w:ascii="宋体" w:hAnsi="宋体" w:eastAsia="宋体" w:cs="宋体"/>
          <w:color w:val="auto"/>
          <w:highlight w:val="none"/>
        </w:rPr>
        <w:t>三、合格的投标人</w:t>
      </w:r>
      <w:bookmarkEnd w:id="94"/>
    </w:p>
    <w:p>
      <w:pPr>
        <w:bidi w:val="0"/>
        <w:rPr>
          <w:rFonts w:hint="eastAsia" w:ascii="宋体" w:hAnsi="宋体" w:eastAsia="宋体" w:cs="宋体"/>
          <w:color w:val="auto"/>
          <w:highlight w:val="none"/>
        </w:rPr>
      </w:pPr>
      <w:r>
        <w:rPr>
          <w:rFonts w:hint="eastAsia" w:ascii="宋体" w:hAnsi="宋体" w:eastAsia="宋体" w:cs="宋体"/>
          <w:color w:val="auto"/>
          <w:highlight w:val="none"/>
        </w:rPr>
        <w:t>详见招标公告“投标人资格要求”。</w:t>
      </w:r>
    </w:p>
    <w:p>
      <w:pPr>
        <w:pStyle w:val="8"/>
        <w:bidi w:val="0"/>
        <w:rPr>
          <w:rFonts w:hint="eastAsia" w:ascii="宋体" w:hAnsi="宋体" w:eastAsia="宋体" w:cs="宋体"/>
          <w:color w:val="auto"/>
          <w:highlight w:val="none"/>
        </w:rPr>
      </w:pPr>
      <w:bookmarkStart w:id="95" w:name="_Toc24994"/>
      <w:r>
        <w:rPr>
          <w:rFonts w:hint="eastAsia" w:ascii="宋体" w:hAnsi="宋体" w:eastAsia="宋体" w:cs="宋体"/>
          <w:color w:val="auto"/>
          <w:highlight w:val="none"/>
        </w:rPr>
        <w:t>四、投标费用</w:t>
      </w:r>
      <w:bookmarkEnd w:id="95"/>
    </w:p>
    <w:p>
      <w:pPr>
        <w:bidi w:val="0"/>
        <w:rPr>
          <w:rFonts w:hint="eastAsia" w:ascii="宋体" w:hAnsi="宋体" w:eastAsia="宋体" w:cs="宋体"/>
          <w:color w:val="auto"/>
          <w:highlight w:val="none"/>
        </w:rPr>
      </w:pPr>
      <w:r>
        <w:rPr>
          <w:rFonts w:hint="eastAsia" w:ascii="宋体" w:hAnsi="宋体" w:eastAsia="宋体" w:cs="宋体"/>
          <w:color w:val="auto"/>
          <w:highlight w:val="none"/>
        </w:rPr>
        <w:t>无论投标结果如何，投标人自行承担所有与参加投标有关的全部费用。</w:t>
      </w:r>
    </w:p>
    <w:p>
      <w:pPr>
        <w:pStyle w:val="8"/>
        <w:bidi w:val="0"/>
        <w:rPr>
          <w:rFonts w:hint="eastAsia" w:ascii="宋体" w:hAnsi="宋体" w:eastAsia="宋体" w:cs="宋体"/>
          <w:color w:val="auto"/>
          <w:highlight w:val="none"/>
        </w:rPr>
      </w:pPr>
      <w:bookmarkStart w:id="96" w:name="_Toc12389"/>
      <w:r>
        <w:rPr>
          <w:rFonts w:hint="eastAsia" w:ascii="宋体" w:hAnsi="宋体" w:eastAsia="宋体" w:cs="宋体"/>
          <w:color w:val="auto"/>
          <w:highlight w:val="none"/>
        </w:rPr>
        <w:t>五、采购项目需要落实的政府采购政策</w:t>
      </w:r>
      <w:bookmarkEnd w:id="96"/>
    </w:p>
    <w:p>
      <w:pPr>
        <w:bidi w:val="0"/>
        <w:rPr>
          <w:rFonts w:hint="eastAsia" w:ascii="宋体" w:hAnsi="宋体" w:eastAsia="宋体" w:cs="宋体"/>
          <w:color w:val="auto"/>
          <w:highlight w:val="none"/>
        </w:rPr>
      </w:pPr>
      <w:r>
        <w:rPr>
          <w:rFonts w:hint="eastAsia" w:ascii="宋体" w:hAnsi="宋体" w:eastAsia="宋体" w:cs="宋体"/>
          <w:color w:val="auto"/>
          <w:highlight w:val="none"/>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（二）小型、微型企业价格扣除。</w:t>
      </w:r>
    </w:p>
    <w:p>
      <w:pPr>
        <w:numPr>
          <w:ilvl w:val="0"/>
          <w:numId w:val="14"/>
        </w:numPr>
        <w:ind w:left="0" w:leftChars="0" w:firstLine="482" w:firstLineChars="200"/>
        <w:rPr>
          <w:rFonts w:hint="eastAsia" w:ascii="宋体" w:hAnsi="宋体" w:eastAsia="宋体" w:cs="宋体"/>
          <w:b/>
          <w:bCs/>
          <w:color w:val="auto"/>
          <w:highlight w:val="none"/>
        </w:rPr>
      </w:pPr>
      <w:r>
        <w:rPr>
          <w:rFonts w:hint="eastAsia" w:ascii="宋体" w:hAnsi="宋体" w:eastAsia="宋体"/>
          <w:b/>
          <w:bCs/>
          <w:color w:val="auto"/>
          <w:highlight w:val="none"/>
        </w:rPr>
        <w:t>本次</w:t>
      </w:r>
      <w:r>
        <w:rPr>
          <w:rFonts w:hint="eastAsia" w:ascii="宋体" w:hAnsi="宋体" w:eastAsia="宋体" w:cs="宋体"/>
          <w:b/>
          <w:bCs/>
          <w:color w:val="auto"/>
          <w:highlight w:val="none"/>
        </w:rPr>
        <w:t>采购为非专门面向中小企业预留采购份额的采购项目。</w:t>
      </w:r>
    </w:p>
    <w:p>
      <w:pPr>
        <w:numPr>
          <w:ilvl w:val="0"/>
          <w:numId w:val="14"/>
        </w:numPr>
        <w:ind w:left="0" w:leftChars="0" w:firstLine="480" w:firstLineChars="200"/>
        <w:rPr>
          <w:rFonts w:hint="eastAsia"/>
          <w:color w:val="auto"/>
          <w:highlight w:val="none"/>
        </w:rPr>
      </w:pPr>
      <w:r>
        <w:rPr>
          <w:rFonts w:hint="eastAsia"/>
          <w:color w:val="auto"/>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14"/>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本次采购标的为</w:t>
      </w:r>
      <w:r>
        <w:rPr>
          <w:rFonts w:hint="eastAsia" w:cs="宋体"/>
          <w:color w:val="auto"/>
          <w:kern w:val="0"/>
          <w:highlight w:val="none"/>
          <w:lang w:val="en-US" w:eastAsia="zh-CN"/>
        </w:rPr>
        <w:t>货物</w:t>
      </w:r>
      <w:r>
        <w:rPr>
          <w:rFonts w:hint="eastAsia" w:ascii="宋体" w:hAnsi="宋体" w:eastAsia="宋体" w:cs="宋体"/>
          <w:color w:val="auto"/>
          <w:kern w:val="0"/>
          <w:highlight w:val="none"/>
        </w:rPr>
        <w:t>，对应的中小企业划分标准所属行业是：</w:t>
      </w:r>
      <w:r>
        <w:rPr>
          <w:rFonts w:hint="eastAsia" w:cs="宋体"/>
          <w:color w:val="auto"/>
          <w:kern w:val="0"/>
          <w:highlight w:val="none"/>
          <w:u w:val="single"/>
          <w:lang w:val="en-US" w:eastAsia="zh-CN"/>
        </w:rPr>
        <w:t>工业</w:t>
      </w:r>
    </w:p>
    <w:p>
      <w:pPr>
        <w:numPr>
          <w:ilvl w:val="0"/>
          <w:numId w:val="14"/>
        </w:numPr>
        <w:ind w:left="0" w:leftChars="0" w:firstLine="480" w:firstLineChars="200"/>
        <w:rPr>
          <w:rFonts w:hint="eastAsia"/>
          <w:color w:val="auto"/>
          <w:highlight w:val="none"/>
        </w:rPr>
      </w:pPr>
      <w:r>
        <w:rPr>
          <w:rFonts w:hint="eastAsia"/>
          <w:color w:val="auto"/>
          <w:highlight w:val="none"/>
        </w:rPr>
        <w:t>以</w:t>
      </w:r>
      <w:r>
        <w:rPr>
          <w:rFonts w:hint="eastAsia" w:ascii="宋体" w:hAnsi="宋体" w:eastAsia="宋体" w:cs="宋体"/>
          <w:color w:val="auto"/>
          <w:highlight w:val="none"/>
        </w:rPr>
        <w:t>联合体</w:t>
      </w:r>
      <w:r>
        <w:rPr>
          <w:rFonts w:hint="eastAsia"/>
          <w:color w:val="auto"/>
          <w:highlight w:val="none"/>
        </w:rPr>
        <w:t>形式参加政府采购活动，联合体各方均为小微企业的，联合体视同小微企业。</w:t>
      </w:r>
      <w:r>
        <w:rPr>
          <w:rFonts w:hint="eastAsia"/>
          <w:b/>
          <w:bCs/>
          <w:color w:val="auto"/>
          <w:highlight w:val="none"/>
        </w:rPr>
        <w:t>（本项目不适用）</w:t>
      </w:r>
    </w:p>
    <w:p>
      <w:pPr>
        <w:numPr>
          <w:ilvl w:val="0"/>
          <w:numId w:val="14"/>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参加</w:t>
      </w:r>
      <w:r>
        <w:rPr>
          <w:rFonts w:hint="eastAsia" w:ascii="宋体" w:hAnsi="宋体" w:eastAsia="宋体" w:cs="宋体"/>
          <w:color w:val="auto"/>
          <w:kern w:val="0"/>
          <w:highlight w:val="none"/>
        </w:rPr>
        <w:t>本次采购活动的供应商</w:t>
      </w:r>
      <w:r>
        <w:rPr>
          <w:rFonts w:hint="eastAsia" w:ascii="宋体" w:hAnsi="宋体" w:eastAsia="宋体" w:cs="宋体"/>
          <w:b/>
          <w:color w:val="auto"/>
          <w:kern w:val="0"/>
          <w:highlight w:val="none"/>
          <w:u w:val="single"/>
        </w:rPr>
        <w:t>提供的</w:t>
      </w:r>
      <w:r>
        <w:rPr>
          <w:rFonts w:hint="eastAsia" w:cs="宋体"/>
          <w:b/>
          <w:color w:val="auto"/>
          <w:kern w:val="0"/>
          <w:highlight w:val="none"/>
          <w:u w:val="single"/>
          <w:lang w:val="en-US" w:eastAsia="zh-CN"/>
        </w:rPr>
        <w:t>货物</w:t>
      </w:r>
      <w:r>
        <w:rPr>
          <w:rFonts w:hint="eastAsia" w:ascii="宋体" w:hAnsi="宋体" w:eastAsia="宋体" w:cs="宋体"/>
          <w:b/>
          <w:color w:val="auto"/>
          <w:kern w:val="0"/>
          <w:highlight w:val="none"/>
          <w:u w:val="single"/>
        </w:rPr>
        <w:t>全部由小微企业</w:t>
      </w:r>
      <w:r>
        <w:rPr>
          <w:rFonts w:hint="eastAsia" w:cs="宋体"/>
          <w:b/>
          <w:color w:val="auto"/>
          <w:kern w:val="0"/>
          <w:highlight w:val="none"/>
          <w:u w:val="single"/>
          <w:lang w:val="en-US" w:eastAsia="zh-CN"/>
        </w:rPr>
        <w:t>生产制造</w:t>
      </w:r>
      <w:r>
        <w:rPr>
          <w:rFonts w:hint="eastAsia" w:ascii="宋体" w:hAnsi="宋体" w:eastAsia="宋体" w:cs="宋体"/>
          <w:color w:val="auto"/>
          <w:kern w:val="0"/>
          <w:highlight w:val="none"/>
        </w:rPr>
        <w:t>的，其报价给予</w:t>
      </w:r>
      <w:r>
        <w:rPr>
          <w:rFonts w:hint="eastAsia" w:ascii="宋体" w:hAnsi="宋体" w:eastAsia="宋体" w:cs="宋体"/>
          <w:b/>
          <w:color w:val="auto"/>
          <w:kern w:val="0"/>
          <w:highlight w:val="none"/>
          <w:u w:val="single"/>
        </w:rPr>
        <w:t>6%</w:t>
      </w:r>
      <w:r>
        <w:rPr>
          <w:rFonts w:hint="eastAsia" w:ascii="宋体" w:hAnsi="宋体" w:eastAsia="宋体" w:cs="宋体"/>
          <w:color w:val="auto"/>
          <w:kern w:val="0"/>
          <w:highlight w:val="none"/>
        </w:rPr>
        <w:t>的扣除，用扣除后的价格参加评审。</w:t>
      </w:r>
    </w:p>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符合小微企业划分标准的个体工商户，视同小微企业。</w:t>
      </w:r>
    </w:p>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本项目不接受大中型企业与小微企业组成联合体。</w:t>
      </w:r>
    </w:p>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本项目不允许大中型企业向一家或者多家小微企业分包。</w:t>
      </w:r>
    </w:p>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小微企业参加政府采购活动，应当出具《中小企业声明函》，否则其报价不予扣除。</w:t>
      </w:r>
    </w:p>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pPr>
        <w:numPr>
          <w:ilvl w:val="0"/>
          <w:numId w:val="15"/>
        </w:numPr>
        <w:bidi w:val="0"/>
        <w:rPr>
          <w:rFonts w:hint="eastAsia" w:cs="宋体"/>
          <w:color w:val="auto"/>
          <w:highlight w:val="none"/>
          <w:lang w:val="en-US" w:eastAsia="zh-CN"/>
        </w:rPr>
      </w:pPr>
      <w:r>
        <w:rPr>
          <w:rFonts w:hint="eastAsia" w:cs="宋体"/>
          <w:color w:val="auto"/>
          <w:highlight w:val="none"/>
          <w:lang w:val="en-US" w:eastAsia="zh-CN"/>
        </w:rPr>
        <w:t>节能环保要求</w:t>
      </w:r>
    </w:p>
    <w:p>
      <w:pPr>
        <w:numPr>
          <w:ilvl w:val="0"/>
          <w:numId w:val="16"/>
        </w:numPr>
        <w:ind w:left="0" w:leftChars="0" w:firstLine="403" w:firstLineChars="0"/>
        <w:rPr>
          <w:rFonts w:hint="eastAsia" w:ascii="宋体" w:hAnsi="宋体" w:eastAsia="宋体"/>
          <w:b/>
          <w:bCs/>
          <w:color w:val="auto"/>
          <w:highlight w:val="none"/>
        </w:rPr>
      </w:pPr>
      <w:r>
        <w:rPr>
          <w:rFonts w:hint="eastAsia" w:ascii="宋体" w:hAnsi="宋体" w:eastAsia="宋体"/>
          <w:b/>
          <w:bCs/>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numPr>
          <w:ilvl w:val="0"/>
          <w:numId w:val="16"/>
        </w:numPr>
        <w:ind w:left="0" w:leftChars="0" w:firstLine="403" w:firstLineChars="0"/>
        <w:rPr>
          <w:rFonts w:hint="eastAsia"/>
          <w:color w:val="auto"/>
          <w:highlight w:val="none"/>
        </w:rPr>
      </w:pPr>
      <w:r>
        <w:rPr>
          <w:rFonts w:hint="eastAsia"/>
          <w:color w:val="auto"/>
          <w:highlight w:val="none"/>
        </w:rPr>
        <w:t>▲</w:t>
      </w:r>
      <w:r>
        <w:rPr>
          <w:rFonts w:hint="eastAsia" w:ascii="宋体" w:hAnsi="宋体" w:eastAsia="宋体"/>
          <w:b/>
          <w:bCs/>
          <w:color w:val="auto"/>
          <w:highlight w:val="none"/>
        </w:rPr>
        <w:t>采购人拟采购的产品属于政府强制采购的节能产品品目清单范围的，投标人未按招标文件要求提供国家确定的认证机构出具的、处于有效期之内的节能产品认证证书，投标无效。</w:t>
      </w:r>
    </w:p>
    <w:p>
      <w:pPr>
        <w:pStyle w:val="8"/>
        <w:bidi w:val="0"/>
        <w:rPr>
          <w:rFonts w:hint="eastAsia"/>
          <w:color w:val="auto"/>
          <w:highlight w:val="none"/>
        </w:rPr>
      </w:pPr>
      <w:bookmarkStart w:id="97" w:name="_Toc28441"/>
      <w:r>
        <w:rPr>
          <w:rFonts w:hint="eastAsia"/>
          <w:color w:val="auto"/>
          <w:highlight w:val="none"/>
        </w:rPr>
        <w:t>六、询问、质疑、投诉</w:t>
      </w:r>
      <w:bookmarkEnd w:id="97"/>
    </w:p>
    <w:p>
      <w:pPr>
        <w:bidi w:val="0"/>
        <w:rPr>
          <w:rFonts w:hint="eastAsia"/>
          <w:color w:val="auto"/>
          <w:highlight w:val="none"/>
          <w:lang w:val="zh-CN"/>
        </w:rPr>
      </w:pPr>
      <w:r>
        <w:rPr>
          <w:rFonts w:hint="eastAsia"/>
          <w:color w:val="auto"/>
          <w:highlight w:val="none"/>
          <w:lang w:val="zh-CN"/>
        </w:rPr>
        <w:t>（</w:t>
      </w:r>
      <w:r>
        <w:rPr>
          <w:rFonts w:hint="eastAsia"/>
          <w:color w:val="auto"/>
          <w:highlight w:val="none"/>
        </w:rPr>
        <w:t>一</w:t>
      </w:r>
      <w:r>
        <w:rPr>
          <w:rFonts w:hint="eastAsia"/>
          <w:color w:val="auto"/>
          <w:highlight w:val="none"/>
          <w:lang w:val="zh-CN"/>
        </w:rPr>
        <w:t>）供应商询问</w:t>
      </w:r>
    </w:p>
    <w:p>
      <w:pPr>
        <w:bidi w:val="0"/>
        <w:rPr>
          <w:rFonts w:hint="eastAsia"/>
          <w:color w:val="auto"/>
          <w:highlight w:val="none"/>
        </w:rPr>
      </w:pPr>
      <w:r>
        <w:rPr>
          <w:rFonts w:hint="eastAsia"/>
          <w:color w:val="auto"/>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bidi w:val="0"/>
        <w:rPr>
          <w:rFonts w:hint="eastAsia"/>
          <w:color w:val="auto"/>
          <w:highlight w:val="none"/>
          <w:lang w:val="zh-CN"/>
        </w:rPr>
      </w:pPr>
      <w:r>
        <w:rPr>
          <w:rFonts w:hint="eastAsia"/>
          <w:color w:val="auto"/>
          <w:highlight w:val="none"/>
          <w:lang w:val="zh-CN"/>
        </w:rPr>
        <w:t>（</w:t>
      </w:r>
      <w:r>
        <w:rPr>
          <w:rFonts w:hint="eastAsia"/>
          <w:color w:val="auto"/>
          <w:highlight w:val="none"/>
        </w:rPr>
        <w:t>二</w:t>
      </w:r>
      <w:r>
        <w:rPr>
          <w:rFonts w:hint="eastAsia"/>
          <w:color w:val="auto"/>
          <w:highlight w:val="none"/>
          <w:lang w:val="zh-CN"/>
        </w:rPr>
        <w:t>）供应商质疑（</w:t>
      </w:r>
      <w:r>
        <w:rPr>
          <w:rFonts w:hint="eastAsia"/>
          <w:color w:val="auto"/>
          <w:highlight w:val="none"/>
        </w:rPr>
        <w:t>根据财政部第94号《政府采购质疑和投诉办法》规定）</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提出质疑的供应商应当是参与所质疑项目采购活动的供应商。潜在供应商已依法获取其可质疑的采购文件的，可以对该文件提出质疑。</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供应商提出质疑应当提交质疑函和必要的证明材料。质疑函应当包括下列内容：</w:t>
      </w:r>
    </w:p>
    <w:p>
      <w:pPr>
        <w:numPr>
          <w:ilvl w:val="0"/>
          <w:numId w:val="18"/>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供应商的姓名或者名称、地址、邮编、联系人及联系电话；</w:t>
      </w:r>
    </w:p>
    <w:p>
      <w:pPr>
        <w:numPr>
          <w:ilvl w:val="0"/>
          <w:numId w:val="18"/>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质疑项目的名称、编号；</w:t>
      </w:r>
    </w:p>
    <w:p>
      <w:pPr>
        <w:numPr>
          <w:ilvl w:val="0"/>
          <w:numId w:val="18"/>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具体、明确的质疑事项和与质疑事项相关的请求；</w:t>
      </w:r>
    </w:p>
    <w:p>
      <w:pPr>
        <w:numPr>
          <w:ilvl w:val="0"/>
          <w:numId w:val="18"/>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事实依据；</w:t>
      </w:r>
    </w:p>
    <w:p>
      <w:pPr>
        <w:numPr>
          <w:ilvl w:val="0"/>
          <w:numId w:val="18"/>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必要的法律依据；</w:t>
      </w:r>
    </w:p>
    <w:p>
      <w:pPr>
        <w:numPr>
          <w:ilvl w:val="0"/>
          <w:numId w:val="18"/>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提出质疑的日期。</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询问或者质疑事项可能影响采购结果的，采购人应当暂停签订合同，已经签订合同的，应当中止履行合同。</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w:t>
      </w:r>
      <w:r>
        <w:rPr>
          <w:rFonts w:hint="eastAsia" w:cs="宋体"/>
          <w:color w:val="auto"/>
          <w:highlight w:val="none"/>
          <w:lang w:val="en-US" w:eastAsia="zh-CN"/>
        </w:rPr>
        <w:t>收件</w:t>
      </w:r>
      <w:r>
        <w:rPr>
          <w:rFonts w:hint="eastAsia" w:ascii="宋体" w:hAnsi="宋体" w:eastAsia="宋体" w:cs="宋体"/>
          <w:color w:val="auto"/>
          <w:highlight w:val="none"/>
        </w:rPr>
        <w:t>人：</w:t>
      </w:r>
    </w:p>
    <w:p>
      <w:pPr>
        <w:keepNext w:val="0"/>
        <w:keepLines w:val="0"/>
        <w:pageBreakBefore w:val="0"/>
        <w:widowControl w:val="0"/>
        <w:numPr>
          <w:ilvl w:val="0"/>
          <w:numId w:val="0"/>
        </w:numPr>
        <w:kinsoku/>
        <w:wordWrap/>
        <w:overflowPunct/>
        <w:topLinePunct w:val="0"/>
        <w:autoSpaceDE/>
        <w:autoSpaceDN/>
        <w:bidi w:val="0"/>
        <w:adjustRightInd/>
        <w:snapToGrid/>
        <w:ind w:left="567" w:leftChars="0" w:firstLine="240" w:firstLineChars="100"/>
        <w:textAlignment w:val="auto"/>
        <w:rPr>
          <w:rFonts w:hint="default" w:ascii="宋体" w:hAnsi="宋体" w:eastAsia="宋体"/>
          <w:color w:val="auto"/>
          <w:highlight w:val="none"/>
          <w:lang w:val="en-US"/>
        </w:rPr>
      </w:pPr>
      <w:r>
        <w:rPr>
          <w:rFonts w:hint="eastAsia" w:ascii="宋体" w:hAnsi="宋体" w:eastAsia="宋体"/>
          <w:color w:val="auto"/>
          <w:highlight w:val="none"/>
          <w:lang w:eastAsia="zh-CN"/>
        </w:rPr>
        <w:t>姓</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名：</w:t>
      </w:r>
      <w:r>
        <w:rPr>
          <w:rFonts w:hint="eastAsia"/>
          <w:color w:val="auto"/>
          <w:highlight w:val="none"/>
          <w:lang w:val="en-US" w:eastAsia="zh-CN"/>
        </w:rPr>
        <w:t>梁</w:t>
      </w:r>
      <w:r>
        <w:rPr>
          <w:rFonts w:hint="eastAsia" w:ascii="宋体" w:hAnsi="宋体" w:eastAsia="宋体"/>
          <w:color w:val="auto"/>
          <w:highlight w:val="none"/>
          <w:lang w:eastAsia="zh-CN"/>
        </w:rPr>
        <w:t>工</w:t>
      </w:r>
      <w:r>
        <w:rPr>
          <w:rFonts w:hint="eastAsia"/>
          <w:color w:val="auto"/>
          <w:highlight w:val="none"/>
          <w:lang w:val="en-US" w:eastAsia="zh-CN"/>
        </w:rPr>
        <w:t>；17746806483；</w:t>
      </w:r>
    </w:p>
    <w:p>
      <w:pPr>
        <w:keepNext w:val="0"/>
        <w:keepLines w:val="0"/>
        <w:pageBreakBefore w:val="0"/>
        <w:widowControl w:val="0"/>
        <w:numPr>
          <w:ilvl w:val="0"/>
          <w:numId w:val="0"/>
        </w:numPr>
        <w:kinsoku/>
        <w:wordWrap/>
        <w:overflowPunct/>
        <w:topLinePunct w:val="0"/>
        <w:autoSpaceDE/>
        <w:autoSpaceDN/>
        <w:bidi w:val="0"/>
        <w:adjustRightInd/>
        <w:snapToGrid/>
        <w:ind w:left="567" w:leftChars="0"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地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w:t>
      </w:r>
      <w:r>
        <w:rPr>
          <w:rFonts w:hint="eastAsia" w:cs="宋体"/>
          <w:color w:val="auto"/>
          <w:sz w:val="24"/>
          <w:szCs w:val="24"/>
          <w:highlight w:val="none"/>
          <w:lang w:eastAsia="zh-CN"/>
        </w:rPr>
        <w:t>杭州市滨江区东方通信科技园启迪楼2楼1208室。</w:t>
      </w:r>
    </w:p>
    <w:p>
      <w:pPr>
        <w:bidi w:val="0"/>
        <w:rPr>
          <w:rFonts w:hint="eastAsia"/>
          <w:color w:val="auto"/>
          <w:highlight w:val="none"/>
        </w:rPr>
      </w:pPr>
      <w:r>
        <w:rPr>
          <w:rFonts w:hint="eastAsia"/>
          <w:color w:val="auto"/>
          <w:highlight w:val="none"/>
          <w:lang w:val="zh-CN"/>
        </w:rPr>
        <w:t>（</w:t>
      </w:r>
      <w:r>
        <w:rPr>
          <w:rFonts w:hint="eastAsia"/>
          <w:color w:val="auto"/>
          <w:highlight w:val="none"/>
        </w:rPr>
        <w:t>三</w:t>
      </w:r>
      <w:r>
        <w:rPr>
          <w:rFonts w:hint="eastAsia"/>
          <w:color w:val="auto"/>
          <w:highlight w:val="none"/>
          <w:lang w:val="zh-CN"/>
        </w:rPr>
        <w:t>）供应商投诉（</w:t>
      </w:r>
      <w:r>
        <w:rPr>
          <w:rFonts w:hint="eastAsia"/>
          <w:color w:val="auto"/>
          <w:highlight w:val="none"/>
        </w:rPr>
        <w:t>根据财政部第94号《政府采购质疑和投诉办法》规定）</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质疑供应商对采购人、采购代理机构的答复不满意或者采购人、采购代理机构未在规定的时间内作出答复的，可以在答复期满后十五个工作日内向同级政府采购监督管理部门提出投诉。</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供应商投诉的事项不得超出已质疑事项的范围，基于质疑答复内容提出的投诉事项除外。</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供应商投诉应当有明确的请求和必要的证明材料。</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以联合体形式参加政府采购活动的，其投诉应当由组成联合体的所有供应商共同提出。</w:t>
      </w:r>
    </w:p>
    <w:p>
      <w:pPr>
        <w:pStyle w:val="8"/>
        <w:bidi w:val="0"/>
        <w:rPr>
          <w:rFonts w:hint="eastAsia"/>
          <w:color w:val="auto"/>
          <w:highlight w:val="none"/>
        </w:rPr>
      </w:pPr>
      <w:bookmarkStart w:id="98" w:name="_Toc6069"/>
      <w:r>
        <w:rPr>
          <w:rFonts w:hint="eastAsia"/>
          <w:color w:val="auto"/>
          <w:highlight w:val="none"/>
        </w:rPr>
        <w:t>七、特别说明</w:t>
      </w:r>
      <w:bookmarkEnd w:id="98"/>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投标人投标所使用的资格、信誉、荣誉、业绩与企业认证必须为本法人所拥有。投标人投标所使用的采购项目实施人员必须为本法人员工（指本法人或控股公司正式员工）。</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highlight w:val="none"/>
        </w:rPr>
        <w:tab/>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单位负责人为同一人或者存在直接控股、管理关系的不同供应商，不得参加同一合同项下的政府采购活动。</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为采购项目提供整体设计、规范编制或者项目管理、监理、检测等服务的供应商，不得再参加该采购项目的其他采购活动。</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rPr>
        <w:t>逾期履行合同义务的，</w:t>
      </w:r>
      <w:r>
        <w:rPr>
          <w:rFonts w:hint="eastAsia" w:cs="宋体"/>
          <w:color w:val="auto"/>
          <w:highlight w:val="none"/>
          <w:lang w:val="en-US" w:eastAsia="zh-CN"/>
        </w:rPr>
        <w:t>采购人有权没收履约保证金，并自逾期之日起，中标供应商每天</w:t>
      </w:r>
      <w:r>
        <w:rPr>
          <w:rFonts w:hint="eastAsia" w:ascii="宋体" w:hAnsi="宋体" w:eastAsia="宋体" w:cs="宋体"/>
          <w:color w:val="auto"/>
          <w:highlight w:val="none"/>
        </w:rPr>
        <w:t>按合同总</w:t>
      </w:r>
      <w:r>
        <w:rPr>
          <w:rFonts w:hint="eastAsia" w:cs="宋体"/>
          <w:color w:val="auto"/>
          <w:highlight w:val="none"/>
          <w:lang w:val="en-US" w:eastAsia="zh-CN"/>
        </w:rPr>
        <w:t>金额</w:t>
      </w:r>
      <w:r>
        <w:rPr>
          <w:rFonts w:hint="eastAsia" w:ascii="宋体" w:hAnsi="宋体" w:eastAsia="宋体" w:cs="宋体"/>
          <w:color w:val="auto"/>
          <w:highlight w:val="none"/>
        </w:rPr>
        <w:t>的</w:t>
      </w:r>
      <w:r>
        <w:rPr>
          <w:rFonts w:hint="eastAsia" w:cs="宋体"/>
          <w:color w:val="auto"/>
          <w:highlight w:val="none"/>
          <w:lang w:val="en-US" w:eastAsia="zh-CN"/>
        </w:rPr>
        <w:t>0.2%向采购人偿付违约金</w:t>
      </w:r>
      <w:r>
        <w:rPr>
          <w:rFonts w:hint="eastAsia" w:ascii="宋体" w:hAnsi="宋体" w:eastAsia="宋体" w:cs="宋体"/>
          <w:color w:val="auto"/>
          <w:highlight w:val="none"/>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合同履行期内，任何一方因不可抗力事件不能履行合同的，合同履行期限可相应顺延。不可抗力事件发生后，应立即通知对方，并邮寄或送达有关权威机构出具的证明。</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若供应商存在撤销响应文件和无正当理由放弃成交、不与采购人签订书面合同等情形或被行政部门查实存在违法违规行为，导致采购人重新采购的，</w:t>
      </w:r>
      <w:r>
        <w:rPr>
          <w:rFonts w:hint="eastAsia" w:cs="宋体"/>
          <w:color w:val="auto"/>
          <w:highlight w:val="none"/>
          <w:lang w:eastAsia="zh-CN"/>
        </w:rPr>
        <w:t>除</w:t>
      </w:r>
      <w:r>
        <w:rPr>
          <w:rFonts w:hint="eastAsia" w:cs="宋体"/>
          <w:color w:val="auto"/>
          <w:highlight w:val="none"/>
          <w:lang w:val="en-US" w:eastAsia="zh-CN"/>
        </w:rPr>
        <w:t>中标供应商</w:t>
      </w:r>
      <w:r>
        <w:rPr>
          <w:rFonts w:hint="eastAsia" w:ascii="宋体" w:hAnsi="宋体" w:eastAsia="宋体" w:cs="宋体"/>
          <w:color w:val="auto"/>
          <w:highlight w:val="none"/>
        </w:rPr>
        <w:t>按</w:t>
      </w:r>
      <w:r>
        <w:rPr>
          <w:rFonts w:hint="eastAsia" w:ascii="宋体" w:hAnsi="宋体" w:cs="宋体"/>
          <w:color w:val="auto"/>
          <w:highlight w:val="none"/>
        </w:rPr>
        <w:t>预算金额</w:t>
      </w:r>
      <w:r>
        <w:rPr>
          <w:rFonts w:hint="eastAsia" w:ascii="宋体" w:hAnsi="宋体" w:eastAsia="宋体" w:cs="宋体"/>
          <w:color w:val="auto"/>
          <w:highlight w:val="none"/>
        </w:rPr>
        <w:t>的</w:t>
      </w:r>
      <w:r>
        <w:rPr>
          <w:rFonts w:hint="eastAsia" w:cs="宋体"/>
          <w:color w:val="auto"/>
          <w:highlight w:val="none"/>
          <w:lang w:val="en-US" w:eastAsia="zh-CN"/>
        </w:rPr>
        <w:t>2%向采购人偿付违约金（</w:t>
      </w:r>
      <w:r>
        <w:rPr>
          <w:rFonts w:hint="eastAsia" w:ascii="宋体" w:hAnsi="宋体" w:cs="宋体"/>
          <w:color w:val="auto"/>
          <w:highlight w:val="none"/>
        </w:rPr>
        <w:t>赔偿金额不足以弥补招标人损失的，供应商应继续承担超过部分的损失</w:t>
      </w:r>
      <w:r>
        <w:rPr>
          <w:rFonts w:hint="eastAsia" w:cs="宋体"/>
          <w:color w:val="auto"/>
          <w:highlight w:val="none"/>
          <w:lang w:val="en-US" w:eastAsia="zh-CN"/>
        </w:rPr>
        <w:t>）</w:t>
      </w:r>
      <w:r>
        <w:rPr>
          <w:rFonts w:hint="eastAsia" w:ascii="宋体" w:hAnsi="宋体" w:eastAsia="宋体" w:cs="宋体"/>
          <w:color w:val="auto"/>
          <w:highlight w:val="none"/>
        </w:rPr>
        <w:t>外，采购人将拒绝该供应商再次响应本项目。</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在采购过程中或合同履行过程中存在其他违法行为的，且违法行为严重的，供应商在承担相应的民事责任以外，采购人将有权向相关行政管理部门建议给予供应商限制本项目内容所涉及的市场响应采购的处罚。</w:t>
      </w:r>
    </w:p>
    <w:p>
      <w:pPr>
        <w:bidi w:val="0"/>
        <w:rPr>
          <w:rFonts w:hint="eastAsia"/>
          <w:color w:val="auto"/>
          <w:highlight w:val="none"/>
        </w:rPr>
      </w:pPr>
    </w:p>
    <w:p>
      <w:pPr>
        <w:pStyle w:val="7"/>
        <w:bidi w:val="0"/>
        <w:ind w:left="0" w:leftChars="0" w:right="0" w:rightChars="0" w:firstLine="0" w:firstLineChars="0"/>
        <w:jc w:val="center"/>
        <w:rPr>
          <w:rFonts w:hint="eastAsia"/>
          <w:color w:val="auto"/>
          <w:highlight w:val="none"/>
        </w:rPr>
      </w:pPr>
      <w:bookmarkStart w:id="99" w:name="_Toc91899879"/>
      <w:bookmarkStart w:id="100" w:name="_Toc16985"/>
      <w:bookmarkStart w:id="101" w:name="_Toc32426"/>
      <w:bookmarkStart w:id="102" w:name="_Toc27084"/>
      <w:r>
        <w:rPr>
          <w:rFonts w:hint="eastAsia"/>
          <w:color w:val="auto"/>
          <w:highlight w:val="none"/>
        </w:rPr>
        <w:t>第二节 招标文件</w:t>
      </w:r>
      <w:bookmarkEnd w:id="99"/>
      <w:r>
        <w:rPr>
          <w:rFonts w:hint="eastAsia"/>
          <w:color w:val="auto"/>
          <w:highlight w:val="none"/>
        </w:rPr>
        <w:t>的构成、澄清、修改</w:t>
      </w:r>
      <w:bookmarkEnd w:id="100"/>
      <w:bookmarkEnd w:id="101"/>
      <w:bookmarkEnd w:id="102"/>
    </w:p>
    <w:p>
      <w:pPr>
        <w:pStyle w:val="8"/>
        <w:rPr>
          <w:rFonts w:hint="eastAsia" w:ascii="宋体" w:hAnsi="宋体" w:eastAsia="宋体" w:cs="宋体"/>
          <w:color w:val="auto"/>
          <w:sz w:val="24"/>
          <w:szCs w:val="24"/>
          <w:highlight w:val="none"/>
        </w:rPr>
      </w:pPr>
      <w:bookmarkStart w:id="103" w:name="_Toc91899880"/>
      <w:bookmarkStart w:id="104" w:name="_Toc15003"/>
      <w:bookmarkStart w:id="105" w:name="_Hlt74730307"/>
      <w:r>
        <w:rPr>
          <w:rFonts w:hint="eastAsia" w:ascii="宋体" w:hAnsi="宋体" w:eastAsia="宋体" w:cs="宋体"/>
          <w:color w:val="auto"/>
          <w:sz w:val="24"/>
          <w:szCs w:val="24"/>
          <w:highlight w:val="none"/>
        </w:rPr>
        <w:t>一、招标文件的构成</w:t>
      </w:r>
      <w:bookmarkEnd w:id="103"/>
      <w:bookmarkEnd w:id="104"/>
    </w:p>
    <w:bookmarkEnd w:id="105"/>
    <w:p>
      <w:pPr>
        <w:numPr>
          <w:ilvl w:val="0"/>
          <w:numId w:val="2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招标文件包括下列文件及附件</w:t>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"_Toc32332" </w:instrText>
      </w:r>
      <w:r>
        <w:rPr>
          <w:rFonts w:hint="eastAsia"/>
          <w:color w:val="auto"/>
          <w:highlight w:val="none"/>
        </w:rPr>
        <w:fldChar w:fldCharType="separate"/>
      </w:r>
      <w:r>
        <w:rPr>
          <w:rFonts w:hint="eastAsia"/>
          <w:color w:val="auto"/>
          <w:highlight w:val="none"/>
        </w:rPr>
        <w:t>第一章 招标公告</w:t>
      </w:r>
      <w:r>
        <w:rPr>
          <w:rFonts w:hint="eastAsia"/>
          <w:color w:val="auto"/>
          <w:highlight w:val="none"/>
        </w:rPr>
        <w:fldChar w:fldCharType="end"/>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"_Toc24282" </w:instrText>
      </w:r>
      <w:r>
        <w:rPr>
          <w:rFonts w:hint="eastAsia"/>
          <w:color w:val="auto"/>
          <w:highlight w:val="none"/>
        </w:rPr>
        <w:fldChar w:fldCharType="separate"/>
      </w:r>
      <w:r>
        <w:rPr>
          <w:rFonts w:hint="eastAsia"/>
          <w:color w:val="auto"/>
          <w:highlight w:val="none"/>
        </w:rPr>
        <w:t>第二章 项目需求说明</w:t>
      </w:r>
      <w:r>
        <w:rPr>
          <w:rFonts w:hint="eastAsia"/>
          <w:color w:val="auto"/>
          <w:highlight w:val="none"/>
        </w:rPr>
        <w:fldChar w:fldCharType="end"/>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"_Toc7338" </w:instrText>
      </w:r>
      <w:r>
        <w:rPr>
          <w:rFonts w:hint="eastAsia"/>
          <w:color w:val="auto"/>
          <w:highlight w:val="none"/>
        </w:rPr>
        <w:fldChar w:fldCharType="separate"/>
      </w:r>
      <w:r>
        <w:rPr>
          <w:rFonts w:hint="eastAsia"/>
          <w:color w:val="auto"/>
          <w:highlight w:val="none"/>
        </w:rPr>
        <w:t>第三章 投标人须知</w:t>
      </w:r>
      <w:r>
        <w:rPr>
          <w:rFonts w:hint="eastAsia"/>
          <w:color w:val="auto"/>
          <w:highlight w:val="none"/>
        </w:rPr>
        <w:fldChar w:fldCharType="end"/>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"_Toc22869" </w:instrText>
      </w:r>
      <w:r>
        <w:rPr>
          <w:rFonts w:hint="eastAsia"/>
          <w:color w:val="auto"/>
          <w:highlight w:val="none"/>
        </w:rPr>
        <w:fldChar w:fldCharType="separate"/>
      </w:r>
      <w:r>
        <w:rPr>
          <w:rFonts w:hint="eastAsia"/>
          <w:color w:val="auto"/>
          <w:highlight w:val="none"/>
        </w:rPr>
        <w:t>第四章 评标办法及评分标准</w:t>
      </w:r>
      <w:r>
        <w:rPr>
          <w:rFonts w:hint="eastAsia"/>
          <w:color w:val="auto"/>
          <w:highlight w:val="none"/>
        </w:rPr>
        <w:fldChar w:fldCharType="end"/>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"_Toc7087" </w:instrText>
      </w:r>
      <w:r>
        <w:rPr>
          <w:rFonts w:hint="eastAsia"/>
          <w:color w:val="auto"/>
          <w:highlight w:val="none"/>
        </w:rPr>
        <w:fldChar w:fldCharType="separate"/>
      </w:r>
      <w:r>
        <w:rPr>
          <w:rFonts w:hint="eastAsia"/>
          <w:color w:val="auto"/>
          <w:highlight w:val="none"/>
        </w:rPr>
        <w:t>第五章 合同格式</w:t>
      </w:r>
      <w:r>
        <w:rPr>
          <w:rFonts w:hint="eastAsia"/>
          <w:color w:val="auto"/>
          <w:highlight w:val="none"/>
        </w:rPr>
        <w:fldChar w:fldCharType="end"/>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567" w:firstLineChars="0"/>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"_Toc29638" </w:instrText>
      </w:r>
      <w:r>
        <w:rPr>
          <w:rFonts w:hint="eastAsia"/>
          <w:color w:val="auto"/>
          <w:highlight w:val="none"/>
        </w:rPr>
        <w:fldChar w:fldCharType="separate"/>
      </w:r>
      <w:r>
        <w:rPr>
          <w:rFonts w:hint="eastAsia"/>
          <w:color w:val="auto"/>
          <w:highlight w:val="none"/>
        </w:rPr>
        <w:t>第六章 投标文件格式</w:t>
      </w:r>
      <w:r>
        <w:rPr>
          <w:rFonts w:hint="eastAsia"/>
          <w:color w:val="auto"/>
          <w:highlight w:val="none"/>
        </w:rPr>
        <w:fldChar w:fldCharType="end"/>
      </w:r>
    </w:p>
    <w:p>
      <w:pPr>
        <w:numPr>
          <w:ilvl w:val="0"/>
          <w:numId w:val="2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与本项目有关的澄清或者修改的内容为招标文件的组成部分。</w:t>
      </w:r>
    </w:p>
    <w:p>
      <w:pPr>
        <w:pStyle w:val="8"/>
        <w:rPr>
          <w:rFonts w:hint="eastAsia" w:ascii="宋体" w:hAnsi="宋体" w:eastAsia="宋体" w:cs="宋体"/>
          <w:color w:val="auto"/>
          <w:sz w:val="24"/>
          <w:szCs w:val="24"/>
          <w:highlight w:val="none"/>
        </w:rPr>
      </w:pPr>
      <w:bookmarkStart w:id="106" w:name="_Toc15053"/>
      <w:r>
        <w:rPr>
          <w:rFonts w:hint="eastAsia" w:ascii="宋体" w:hAnsi="宋体" w:eastAsia="宋体" w:cs="宋体"/>
          <w:color w:val="auto"/>
          <w:sz w:val="24"/>
          <w:szCs w:val="24"/>
          <w:highlight w:val="none"/>
        </w:rPr>
        <w:t>二、招标文件的澄清、修改</w:t>
      </w:r>
      <w:bookmarkEnd w:id="106"/>
    </w:p>
    <w:p>
      <w:pPr>
        <w:numPr>
          <w:ilvl w:val="0"/>
          <w:numId w:val="2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已获取招标文件的潜在投标人，若有问题需要澄清，应于投标截止时间前，以书面形式向采购代理机构提出，采购代理机构与采购人研究后，对认为有必要回答的问题，将以书面解答形式</w:t>
      </w:r>
      <w:r>
        <w:rPr>
          <w:rFonts w:hint="eastAsia" w:cs="宋体"/>
          <w:color w:val="auto"/>
          <w:highlight w:val="none"/>
          <w:lang w:eastAsia="zh-CN"/>
        </w:rPr>
        <w:t>答复</w:t>
      </w:r>
      <w:r>
        <w:rPr>
          <w:rFonts w:hint="eastAsia" w:ascii="宋体" w:hAnsi="宋体" w:eastAsia="宋体" w:cs="宋体"/>
          <w:color w:val="auto"/>
          <w:highlight w:val="none"/>
        </w:rPr>
        <w:t>。</w:t>
      </w:r>
    </w:p>
    <w:p>
      <w:pPr>
        <w:numPr>
          <w:ilvl w:val="0"/>
          <w:numId w:val="2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采购人或者采购代理机构可以对已发出的招标文件进行必要的澄清或者修改，澄清或者修改会在原公告发布媒体上发布澄清公告，澄清或者修改的内容为招标文件的组成部分。</w:t>
      </w:r>
    </w:p>
    <w:p>
      <w:pPr>
        <w:numPr>
          <w:ilvl w:val="0"/>
          <w:numId w:val="2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澄清或者修改的内容可能影响投标文件编制的，采购人或者采购代理机构会在投标截止时间至少15日前，以</w:t>
      </w:r>
      <w:r>
        <w:rPr>
          <w:rFonts w:hint="eastAsia" w:cs="宋体"/>
          <w:color w:val="auto"/>
          <w:highlight w:val="none"/>
          <w:lang w:eastAsia="zh-CN"/>
        </w:rPr>
        <w:t>公告</w:t>
      </w:r>
      <w:r>
        <w:rPr>
          <w:rFonts w:hint="eastAsia" w:ascii="宋体" w:hAnsi="宋体" w:eastAsia="宋体" w:cs="宋体"/>
          <w:color w:val="auto"/>
          <w:highlight w:val="none"/>
        </w:rPr>
        <w:t>形式通知所有获取招标文件的潜在投标人；不足15日的，采购人或者采购代理机构会顺延提交投标文件的截止时间。</w:t>
      </w:r>
    </w:p>
    <w:p>
      <w:pPr>
        <w:numPr>
          <w:ilvl w:val="0"/>
          <w:numId w:val="2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招标文件的修改将以</w:t>
      </w:r>
      <w:r>
        <w:rPr>
          <w:rFonts w:hint="eastAsia" w:cs="宋体"/>
          <w:color w:val="auto"/>
          <w:highlight w:val="none"/>
          <w:lang w:eastAsia="zh-CN"/>
        </w:rPr>
        <w:t>公告</w:t>
      </w:r>
      <w:r>
        <w:rPr>
          <w:rFonts w:hint="eastAsia" w:ascii="宋体" w:hAnsi="宋体" w:eastAsia="宋体" w:cs="宋体"/>
          <w:color w:val="auto"/>
          <w:highlight w:val="none"/>
        </w:rPr>
        <w:t>形式通知所有购买招标文件的投标人，并对其具有约束力。若</w:t>
      </w:r>
      <w:r>
        <w:rPr>
          <w:rFonts w:hint="eastAsia" w:cs="宋体"/>
          <w:color w:val="auto"/>
          <w:highlight w:val="none"/>
          <w:lang w:eastAsia="zh-CN"/>
        </w:rPr>
        <w:t>发布更正公告后</w:t>
      </w:r>
      <w:r>
        <w:rPr>
          <w:rFonts w:hint="eastAsia" w:ascii="宋体" w:hAnsi="宋体" w:eastAsia="宋体" w:cs="宋体"/>
          <w:color w:val="auto"/>
          <w:highlight w:val="none"/>
        </w:rPr>
        <w:t>，视同投标人已收到招标文件修改的通知，并受其约束。</w:t>
      </w:r>
    </w:p>
    <w:p>
      <w:pPr>
        <w:bidi w:val="0"/>
        <w:rPr>
          <w:rFonts w:hint="eastAsia"/>
          <w:b/>
          <w:bCs/>
          <w:color w:val="auto"/>
          <w:highlight w:val="none"/>
        </w:rPr>
      </w:pPr>
      <w:r>
        <w:rPr>
          <w:rFonts w:hint="eastAsia"/>
          <w:b/>
          <w:bCs/>
          <w:color w:val="auto"/>
          <w:highlight w:val="none"/>
        </w:rPr>
        <w:t>▲投标文件未按招标文件的澄清、修改的内容编制，又不符合实质性要求的，投标无效。</w:t>
      </w:r>
    </w:p>
    <w:p>
      <w:pPr>
        <w:bidi w:val="0"/>
        <w:rPr>
          <w:rFonts w:hint="eastAsia"/>
          <w:color w:val="auto"/>
          <w:highlight w:val="none"/>
        </w:rPr>
      </w:pPr>
    </w:p>
    <w:p>
      <w:pPr>
        <w:pStyle w:val="7"/>
        <w:bidi w:val="0"/>
        <w:ind w:left="0" w:leftChars="0" w:right="0" w:rightChars="0" w:firstLine="0" w:firstLineChars="0"/>
        <w:jc w:val="center"/>
        <w:rPr>
          <w:rFonts w:hint="eastAsia"/>
          <w:color w:val="auto"/>
          <w:highlight w:val="none"/>
        </w:rPr>
      </w:pPr>
      <w:bookmarkStart w:id="107" w:name="_Toc82338241"/>
      <w:bookmarkStart w:id="108" w:name="_Toc1096"/>
      <w:bookmarkStart w:id="109" w:name="_Toc82873324"/>
      <w:bookmarkStart w:id="110" w:name="_Toc21160"/>
      <w:bookmarkStart w:id="111" w:name="_Toc19164"/>
      <w:bookmarkStart w:id="112" w:name="_Toc450840075"/>
      <w:bookmarkStart w:id="113" w:name="_Toc204"/>
      <w:r>
        <w:rPr>
          <w:rFonts w:hint="eastAsia"/>
          <w:color w:val="auto"/>
          <w:highlight w:val="none"/>
        </w:rPr>
        <w:t>第三节 投标文件</w:t>
      </w:r>
      <w:bookmarkEnd w:id="107"/>
      <w:bookmarkEnd w:id="108"/>
      <w:bookmarkEnd w:id="109"/>
      <w:bookmarkEnd w:id="110"/>
      <w:bookmarkEnd w:id="111"/>
      <w:bookmarkEnd w:id="112"/>
      <w:bookmarkEnd w:id="113"/>
    </w:p>
    <w:p>
      <w:pPr>
        <w:pStyle w:val="8"/>
        <w:bidi w:val="0"/>
        <w:rPr>
          <w:rFonts w:hint="eastAsia"/>
          <w:color w:val="auto"/>
          <w:highlight w:val="none"/>
        </w:rPr>
      </w:pPr>
      <w:bookmarkStart w:id="114" w:name="_Toc8877"/>
      <w:r>
        <w:rPr>
          <w:rFonts w:hint="eastAsia"/>
          <w:color w:val="auto"/>
          <w:highlight w:val="none"/>
        </w:rPr>
        <w:t>一、投标文件语言和计量单位</w:t>
      </w:r>
      <w:bookmarkEnd w:id="114"/>
    </w:p>
    <w:p>
      <w:pPr>
        <w:numPr>
          <w:ilvl w:val="0"/>
          <w:numId w:val="2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投标文件应用中文书写。投标文件中所附或所引用的原件不是中文时，应附中文译本。</w:t>
      </w:r>
    </w:p>
    <w:p>
      <w:pPr>
        <w:numPr>
          <w:ilvl w:val="0"/>
          <w:numId w:val="2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投标文件中所使用的计量单位，除招标文件中有特殊要求外，应采用国家法定计量单位。</w:t>
      </w:r>
    </w:p>
    <w:p>
      <w:pPr>
        <w:pStyle w:val="8"/>
        <w:bidi w:val="0"/>
        <w:rPr>
          <w:rFonts w:hint="eastAsia"/>
          <w:color w:val="auto"/>
          <w:highlight w:val="none"/>
        </w:rPr>
      </w:pPr>
      <w:bookmarkStart w:id="115" w:name="_Toc5487"/>
      <w:r>
        <w:rPr>
          <w:rFonts w:hint="eastAsia"/>
          <w:color w:val="auto"/>
          <w:highlight w:val="none"/>
        </w:rPr>
        <w:t>二、投标文件的组成</w:t>
      </w:r>
      <w:bookmarkEnd w:id="115"/>
    </w:p>
    <w:p>
      <w:pPr>
        <w:ind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（一）资格证明文件：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均须加盖公章</w:t>
      </w:r>
      <w:r>
        <w:rPr>
          <w:rFonts w:hint="eastAsia" w:ascii="宋体" w:hAnsi="宋体" w:eastAsia="宋体" w:cs="宋体"/>
          <w:b/>
          <w:bCs/>
          <w:color w:val="auto"/>
          <w:highlight w:val="none"/>
          <w:lang w:eastAsia="zh-CN"/>
        </w:rPr>
        <w:t>）</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提供有效的经营执照复印件；事业单位的，则提供有效的《事业单位法人证书》副本复印件章；自然人的，则提供有效的身份证复印件并签字；</w:t>
      </w:r>
    </w:p>
    <w:p>
      <w:pPr>
        <w:numPr>
          <w:ilvl w:val="0"/>
          <w:numId w:val="25"/>
        </w:numPr>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提供近一年任意一个月财务报告或开标前三个月内出具的银行资信证明</w:t>
      </w:r>
      <w:r>
        <w:rPr>
          <w:rFonts w:hint="eastAsia" w:cs="宋体"/>
          <w:color w:val="auto"/>
          <w:highlight w:val="none"/>
          <w:lang w:val="en-US" w:eastAsia="zh-CN"/>
        </w:rPr>
        <w:t>；</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依法缴纳税收证明（完税凭证或税务部门出具的证明）；</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依法缴纳社会保障资金证明（缴纳凭证或人社部门出具的证明）；</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具有履行合同所必需的设备和专业技术能力的承诺函</w:t>
      </w:r>
      <w:r>
        <w:rPr>
          <w:rFonts w:hint="eastAsia" w:cs="宋体"/>
          <w:color w:val="auto"/>
          <w:highlight w:val="none"/>
          <w:lang w:val="en-US" w:eastAsia="zh-CN"/>
        </w:rPr>
        <w:t>；</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参加政府采购活动</w:t>
      </w:r>
      <w:r>
        <w:rPr>
          <w:rFonts w:hint="eastAsia" w:ascii="宋体" w:hAnsi="宋体" w:eastAsia="宋体" w:cs="宋体"/>
          <w:color w:val="auto"/>
          <w:highlight w:val="none"/>
        </w:rPr>
        <w:t>前3年内在经营活动中没有重大违法记录的书面声明；</w:t>
      </w:r>
    </w:p>
    <w:p>
      <w:pPr>
        <w:numPr>
          <w:ilvl w:val="0"/>
          <w:numId w:val="2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信用记录：查询信息网站截图：查询渠道：“信用中国”（www.creditchina.gov.cn）、“中国政府采购网”（www.ccgp.gov.cn），最终审查以代理机构在响应截止前一个工作日查询的最新信息为准</w:t>
      </w:r>
      <w:r>
        <w:rPr>
          <w:rFonts w:hint="eastAsia" w:cs="宋体"/>
          <w:color w:val="auto"/>
          <w:highlight w:val="none"/>
          <w:lang w:eastAsia="zh-CN"/>
        </w:rPr>
        <w:t>（</w:t>
      </w:r>
      <w:r>
        <w:rPr>
          <w:rFonts w:hint="eastAsia" w:cs="宋体"/>
          <w:color w:val="auto"/>
          <w:highlight w:val="none"/>
          <w:lang w:val="en-US" w:eastAsia="zh-CN"/>
        </w:rPr>
        <w:t>2个</w:t>
      </w:r>
      <w:r>
        <w:rPr>
          <w:rFonts w:hint="eastAsia" w:cs="宋体"/>
          <w:color w:val="auto"/>
          <w:highlight w:val="none"/>
          <w:lang w:eastAsia="zh-CN"/>
        </w:rPr>
        <w:t>）</w:t>
      </w:r>
      <w:r>
        <w:rPr>
          <w:rFonts w:hint="eastAsia" w:ascii="宋体" w:hAnsi="宋体" w:eastAsia="宋体" w:cs="宋体"/>
          <w:color w:val="auto"/>
          <w:highlight w:val="none"/>
          <w:lang w:eastAsia="zh-CN"/>
        </w:rPr>
        <w:t>。</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投标函；</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投标报价明细表；</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《中小企业声明函》及相关证明材料（非小微企业不需要提供）；</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numPr>
          <w:ilvl w:val="0"/>
          <w:numId w:val="27"/>
        </w:numPr>
        <w:ind w:firstLine="480"/>
        <w:rPr>
          <w:rFonts w:cs="宋体"/>
          <w:highlight w:val="none"/>
        </w:rPr>
      </w:pPr>
      <w:bookmarkStart w:id="116" w:name="_Toc22525"/>
      <w:r>
        <w:rPr>
          <w:rFonts w:hint="eastAsia" w:cs="宋体"/>
          <w:highlight w:val="none"/>
        </w:rPr>
        <w:t>法定代表人资格证明书和法定代表人授权委托书（投标人的代表若为非法定代表人的，必须提交法定代表人授权书；身份证复印件、授权委托人社保证明（近一年任意一个月的社保证明）；</w:t>
      </w:r>
    </w:p>
    <w:p>
      <w:pPr>
        <w:numPr>
          <w:ilvl w:val="0"/>
          <w:numId w:val="27"/>
        </w:numPr>
        <w:ind w:firstLine="480"/>
        <w:rPr>
          <w:rFonts w:cs="宋体"/>
          <w:highlight w:val="none"/>
        </w:rPr>
      </w:pPr>
      <w:r>
        <w:rPr>
          <w:rFonts w:hint="eastAsia" w:cs="宋体"/>
          <w:highlight w:val="none"/>
        </w:rPr>
        <w:t>投标声明书；</w:t>
      </w:r>
    </w:p>
    <w:p>
      <w:pPr>
        <w:numPr>
          <w:ilvl w:val="0"/>
          <w:numId w:val="27"/>
        </w:numPr>
        <w:ind w:firstLine="480"/>
        <w:rPr>
          <w:rFonts w:cs="宋体"/>
          <w:highlight w:val="none"/>
        </w:rPr>
      </w:pPr>
      <w:r>
        <w:rPr>
          <w:rFonts w:hint="eastAsia" w:cs="宋体"/>
          <w:highlight w:val="none"/>
        </w:rPr>
        <w:t>廉政承诺书；</w:t>
      </w:r>
    </w:p>
    <w:p>
      <w:pPr>
        <w:numPr>
          <w:ilvl w:val="0"/>
          <w:numId w:val="27"/>
        </w:numPr>
        <w:ind w:firstLine="480"/>
        <w:rPr>
          <w:rFonts w:cs="宋体"/>
          <w:highlight w:val="none"/>
        </w:rPr>
      </w:pPr>
      <w:r>
        <w:rPr>
          <w:rFonts w:hint="eastAsia" w:cs="宋体"/>
          <w:highlight w:val="none"/>
        </w:rPr>
        <w:t>提供有效的经营执照复印件并加盖公司公章；</w:t>
      </w:r>
    </w:p>
    <w:p>
      <w:pPr>
        <w:numPr>
          <w:ilvl w:val="0"/>
          <w:numId w:val="27"/>
        </w:numPr>
        <w:ind w:firstLine="480"/>
        <w:rPr>
          <w:rFonts w:cs="宋体"/>
          <w:highlight w:val="none"/>
        </w:rPr>
      </w:pPr>
      <w:r>
        <w:rPr>
          <w:rFonts w:hint="eastAsia" w:cs="宋体"/>
          <w:highlight w:val="none"/>
        </w:rPr>
        <w:t>投标人情况表，质量管理体系（如有）、环境管理体系（如有）、职业健康及安全管理体系（如有）等三体系认证证书；（如有）；</w:t>
      </w:r>
    </w:p>
    <w:p>
      <w:pPr>
        <w:numPr>
          <w:ilvl w:val="0"/>
          <w:numId w:val="27"/>
        </w:numPr>
        <w:ind w:firstLine="480"/>
        <w:rPr>
          <w:rFonts w:cs="宋体"/>
          <w:highlight w:val="none"/>
        </w:rPr>
      </w:pPr>
      <w:r>
        <w:rPr>
          <w:rFonts w:hint="eastAsia" w:cs="宋体"/>
          <w:highlight w:val="none"/>
        </w:rPr>
        <w:t>同类项目实施情况一览表：2018年1月（以合同签订时间为准）至今实施的类似项目合同复印件（加盖公章），相关实施经验及成功案例介绍（要求提供有关情况，包括：项目名称、项目基本内容、业主名称、联系人及电话，项目金额、实施日期等）</w:t>
      </w:r>
    </w:p>
    <w:p>
      <w:pPr>
        <w:numPr>
          <w:ilvl w:val="0"/>
          <w:numId w:val="27"/>
        </w:numPr>
        <w:ind w:firstLine="480"/>
        <w:rPr>
          <w:rFonts w:cs="宋体"/>
          <w:highlight w:val="none"/>
        </w:rPr>
      </w:pPr>
      <w:r>
        <w:rPr>
          <w:rFonts w:hint="eastAsia" w:cs="宋体"/>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具体章节及页码。任何含糊不清的表示对评标结果的影响将是投标人的责任</w:t>
      </w:r>
    </w:p>
    <w:p>
      <w:pPr>
        <w:snapToGrid w:val="0"/>
        <w:ind w:firstLine="472" w:firstLineChars="196"/>
        <w:rPr>
          <w:b/>
          <w:highlight w:val="none"/>
        </w:rPr>
      </w:pPr>
      <w:r>
        <w:rPr>
          <w:b/>
          <w:highlight w:val="none"/>
        </w:rPr>
        <w:t>节能产品的相关证明材料：</w:t>
      </w:r>
    </w:p>
    <w:p>
      <w:pPr>
        <w:snapToGrid w:val="0"/>
        <w:ind w:firstLine="472" w:firstLineChars="196"/>
        <w:rPr>
          <w:highlight w:val="none"/>
        </w:rPr>
      </w:pPr>
      <w:r>
        <w:rPr>
          <w:b/>
          <w:kern w:val="0"/>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w:t>
      </w:r>
      <w:r>
        <w:rPr>
          <w:highlight w:val="none"/>
        </w:rPr>
        <w:t xml:space="preserve"> </w:t>
      </w:r>
    </w:p>
    <w:p>
      <w:pPr>
        <w:snapToGrid w:val="0"/>
        <w:ind w:firstLine="472" w:firstLineChars="196"/>
        <w:rPr>
          <w:b/>
          <w:kern w:val="0"/>
          <w:highlight w:val="none"/>
        </w:rPr>
      </w:pPr>
      <w:r>
        <w:rPr>
          <w:b/>
          <w:kern w:val="0"/>
          <w:highlight w:val="none"/>
        </w:rPr>
        <w:t>环境标志产品的相关证明材料：</w:t>
      </w:r>
    </w:p>
    <w:p>
      <w:pPr>
        <w:autoSpaceDE w:val="0"/>
        <w:autoSpaceDN w:val="0"/>
        <w:adjustRightInd w:val="0"/>
        <w:ind w:firstLine="472" w:firstLineChars="196"/>
        <w:rPr>
          <w:highlight w:val="none"/>
        </w:rPr>
      </w:pPr>
      <w:r>
        <w:rPr>
          <w:b/>
          <w:kern w:val="0"/>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numPr>
          <w:ilvl w:val="0"/>
          <w:numId w:val="27"/>
        </w:numPr>
        <w:ind w:firstLine="480"/>
        <w:rPr>
          <w:rFonts w:cs="宋体"/>
          <w:highlight w:val="none"/>
        </w:rPr>
      </w:pPr>
      <w:r>
        <w:rPr>
          <w:rFonts w:hint="eastAsia" w:cs="宋体"/>
          <w:highlight w:val="none"/>
        </w:rPr>
        <w:t>实施方案；</w:t>
      </w:r>
    </w:p>
    <w:p>
      <w:pPr>
        <w:numPr>
          <w:ilvl w:val="0"/>
          <w:numId w:val="27"/>
        </w:numPr>
        <w:ind w:firstLine="480"/>
        <w:rPr>
          <w:rFonts w:cs="宋体"/>
          <w:highlight w:val="none"/>
        </w:rPr>
      </w:pPr>
      <w:r>
        <w:rPr>
          <w:rFonts w:hint="eastAsia" w:cs="宋体"/>
          <w:highlight w:val="none"/>
        </w:rPr>
        <w:t>服务团队；</w:t>
      </w:r>
    </w:p>
    <w:p>
      <w:pPr>
        <w:numPr>
          <w:ilvl w:val="0"/>
          <w:numId w:val="27"/>
        </w:numPr>
        <w:ind w:firstLine="480"/>
        <w:rPr>
          <w:rFonts w:cs="宋体"/>
          <w:highlight w:val="none"/>
        </w:rPr>
      </w:pPr>
      <w:r>
        <w:rPr>
          <w:rFonts w:hint="eastAsia" w:cs="宋体"/>
          <w:highlight w:val="none"/>
        </w:rPr>
        <w:t>实施方案；</w:t>
      </w:r>
    </w:p>
    <w:p>
      <w:pPr>
        <w:numPr>
          <w:ilvl w:val="0"/>
          <w:numId w:val="27"/>
        </w:numPr>
        <w:ind w:firstLine="480"/>
        <w:rPr>
          <w:rFonts w:cs="宋体"/>
          <w:highlight w:val="none"/>
        </w:rPr>
      </w:pPr>
      <w:r>
        <w:rPr>
          <w:rFonts w:hint="eastAsia" w:cs="宋体"/>
          <w:highlight w:val="none"/>
        </w:rPr>
        <w:t>人员配备；</w:t>
      </w:r>
    </w:p>
    <w:p>
      <w:pPr>
        <w:numPr>
          <w:ilvl w:val="0"/>
          <w:numId w:val="27"/>
        </w:numPr>
        <w:ind w:firstLine="480"/>
        <w:rPr>
          <w:rFonts w:cs="宋体"/>
          <w:highlight w:val="none"/>
        </w:rPr>
      </w:pPr>
      <w:r>
        <w:rPr>
          <w:rFonts w:hint="eastAsia" w:cs="宋体"/>
          <w:kern w:val="0"/>
          <w:highlight w:val="none"/>
        </w:rPr>
        <w:t>售后服务</w:t>
      </w:r>
      <w:r>
        <w:rPr>
          <w:rFonts w:hint="eastAsia" w:cs="宋体"/>
          <w:highlight w:val="none"/>
        </w:rPr>
        <w:t>；</w:t>
      </w:r>
    </w:p>
    <w:p>
      <w:pPr>
        <w:numPr>
          <w:ilvl w:val="0"/>
          <w:numId w:val="27"/>
        </w:numPr>
        <w:ind w:firstLine="480"/>
        <w:rPr>
          <w:rFonts w:cs="宋体"/>
          <w:highlight w:val="none"/>
        </w:rPr>
      </w:pPr>
      <w:r>
        <w:rPr>
          <w:rFonts w:hint="eastAsia" w:cs="宋体"/>
          <w:kern w:val="0"/>
          <w:highlight w:val="none"/>
        </w:rPr>
        <w:t>培训方案</w:t>
      </w:r>
      <w:r>
        <w:rPr>
          <w:rFonts w:hint="eastAsia" w:cs="宋体"/>
          <w:highlight w:val="none"/>
        </w:rPr>
        <w:t>；</w:t>
      </w:r>
    </w:p>
    <w:p>
      <w:pPr>
        <w:numPr>
          <w:ilvl w:val="0"/>
          <w:numId w:val="27"/>
        </w:numPr>
        <w:ind w:firstLine="480"/>
        <w:rPr>
          <w:rFonts w:cs="宋体"/>
          <w:highlight w:val="none"/>
        </w:rPr>
      </w:pPr>
      <w:r>
        <w:rPr>
          <w:rFonts w:hint="eastAsia" w:cs="宋体"/>
          <w:highlight w:val="none"/>
        </w:rPr>
        <w:t>优惠承诺；</w:t>
      </w:r>
    </w:p>
    <w:p>
      <w:pPr>
        <w:numPr>
          <w:ilvl w:val="0"/>
          <w:numId w:val="27"/>
        </w:numPr>
        <w:ind w:firstLine="480"/>
        <w:rPr>
          <w:rFonts w:cs="宋体"/>
          <w:highlight w:val="none"/>
        </w:rPr>
      </w:pPr>
      <w:r>
        <w:rPr>
          <w:rFonts w:hint="eastAsia" w:cs="宋体"/>
          <w:highlight w:val="none"/>
        </w:rPr>
        <w:t>其它本招标文件评分表要求提供的材料或投标人认为需要的其他技术文件资料或说明。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、投标报价</w:t>
      </w:r>
      <w:bookmarkEnd w:id="116"/>
    </w:p>
    <w:p>
      <w:pPr>
        <w:snapToGrid w:val="0"/>
        <w:ind w:firstLine="480"/>
        <w:jc w:val="left"/>
        <w:rPr>
          <w:color w:val="auto"/>
          <w:highlight w:val="none"/>
        </w:rPr>
      </w:pPr>
      <w:bookmarkStart w:id="117" w:name="_Toc25476"/>
      <w:bookmarkStart w:id="118" w:name="_Toc12521"/>
      <w:bookmarkStart w:id="119" w:name="_Toc1"/>
      <w:r>
        <w:rPr>
          <w:color w:val="auto"/>
          <w:highlight w:val="none"/>
        </w:rPr>
        <w:t>1.</w:t>
      </w:r>
      <w:r>
        <w:rPr>
          <w:rFonts w:hAnsi="宋体"/>
          <w:color w:val="auto"/>
          <w:highlight w:val="none"/>
        </w:rPr>
        <w:t>投标报价应按电子交易平台有关格式填写。</w:t>
      </w:r>
    </w:p>
    <w:p>
      <w:pPr>
        <w:snapToGrid w:val="0"/>
        <w:ind w:firstLine="422" w:firstLineChars="176"/>
        <w:jc w:val="left"/>
        <w:rPr>
          <w:color w:val="auto"/>
          <w:highlight w:val="none"/>
        </w:rPr>
      </w:pPr>
      <w:r>
        <w:rPr>
          <w:rFonts w:hint="eastAsia"/>
          <w:color w:val="auto"/>
          <w:highlight w:val="none"/>
        </w:rPr>
        <w:t>2</w:t>
      </w:r>
      <w:r>
        <w:rPr>
          <w:color w:val="auto"/>
          <w:highlight w:val="none"/>
        </w:rPr>
        <w:t>.</w:t>
      </w:r>
      <w:r>
        <w:rPr>
          <w:rFonts w:hAnsi="宋体"/>
          <w:color w:val="auto"/>
          <w:highlight w:val="none"/>
        </w:rPr>
        <w:t>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tabs>
          <w:tab w:val="left" w:pos="0"/>
        </w:tabs>
        <w:ind w:firstLine="422" w:firstLineChars="176"/>
        <w:rPr>
          <w:bCs/>
          <w:color w:val="auto"/>
          <w:highlight w:val="none"/>
        </w:rPr>
      </w:pPr>
      <w:r>
        <w:rPr>
          <w:rFonts w:hint="eastAsia"/>
          <w:bCs/>
          <w:color w:val="auto"/>
          <w:highlight w:val="none"/>
        </w:rPr>
        <w:t>3</w:t>
      </w:r>
      <w:r>
        <w:rPr>
          <w:bCs/>
          <w:color w:val="auto"/>
          <w:highlight w:val="none"/>
        </w:rPr>
        <w:t>.</w:t>
      </w:r>
      <w:r>
        <w:rPr>
          <w:rFonts w:hAnsi="宋体"/>
          <w:color w:val="auto"/>
          <w:highlight w:val="none"/>
        </w:rPr>
        <w:t>设备费为用户指定落地价：</w:t>
      </w:r>
    </w:p>
    <w:p>
      <w:pPr>
        <w:tabs>
          <w:tab w:val="left" w:pos="0"/>
        </w:tabs>
        <w:ind w:firstLine="542" w:firstLineChars="226"/>
        <w:rPr>
          <w:bCs/>
          <w:color w:val="auto"/>
          <w:highlight w:val="none"/>
        </w:rPr>
      </w:pPr>
      <w:r>
        <w:rPr>
          <w:rFonts w:hint="eastAsia" w:hAnsi="宋体"/>
          <w:bCs/>
          <w:color w:val="auto"/>
          <w:highlight w:val="none"/>
        </w:rPr>
        <w:t xml:space="preserve">3.1 </w:t>
      </w:r>
      <w:r>
        <w:rPr>
          <w:rFonts w:hAnsi="宋体"/>
          <w:bCs/>
          <w:color w:val="auto"/>
          <w:highlight w:val="none"/>
        </w:rPr>
        <w:t>国产设备：设备费须包含设备（包括主机、标准附件、备品备件、专用工具）价、设备运杂费、保险费、利润、税金等，</w:t>
      </w:r>
      <w:r>
        <w:rPr>
          <w:rFonts w:hint="eastAsia" w:hAnsi="宋体"/>
          <w:b/>
          <w:bCs/>
          <w:color w:val="auto"/>
          <w:highlight w:val="none"/>
        </w:rPr>
        <w:t>应</w:t>
      </w:r>
      <w:r>
        <w:rPr>
          <w:rFonts w:hAnsi="宋体"/>
          <w:b/>
          <w:bCs/>
          <w:color w:val="auto"/>
          <w:highlight w:val="none"/>
        </w:rPr>
        <w:t>以人民币报价。</w:t>
      </w:r>
    </w:p>
    <w:p>
      <w:pPr>
        <w:tabs>
          <w:tab w:val="left" w:pos="0"/>
        </w:tabs>
        <w:ind w:firstLine="542" w:firstLineChars="226"/>
        <w:rPr>
          <w:rFonts w:hint="eastAsia"/>
          <w:b/>
          <w:color w:val="auto"/>
          <w:highlight w:val="none"/>
        </w:rPr>
      </w:pPr>
      <w:r>
        <w:rPr>
          <w:rFonts w:hint="eastAsia" w:hAnsi="宋体"/>
          <w:color w:val="auto"/>
          <w:highlight w:val="none"/>
        </w:rPr>
        <w:t xml:space="preserve">3.2 </w:t>
      </w:r>
      <w:r>
        <w:rPr>
          <w:rFonts w:hAnsi="宋体"/>
          <w:color w:val="auto"/>
          <w:highlight w:val="none"/>
        </w:rPr>
        <w:t>进口设备：设备费须包含设备（包括主机、标准附件、备品备件、专用工具）价、国际运费、国际运输保险费、国内运输保险费、</w:t>
      </w:r>
      <w:r>
        <w:rPr>
          <w:rFonts w:hint="eastAsia" w:hAnsi="宋体"/>
          <w:b/>
          <w:color w:val="auto"/>
          <w:highlight w:val="none"/>
          <w:u w:val="single"/>
        </w:rPr>
        <w:t>因贸易战等产生的</w:t>
      </w:r>
      <w:r>
        <w:rPr>
          <w:rFonts w:hAnsi="宋体"/>
          <w:b/>
          <w:color w:val="auto"/>
          <w:highlight w:val="none"/>
          <w:u w:val="single"/>
        </w:rPr>
        <w:t>加征</w:t>
      </w:r>
      <w:r>
        <w:rPr>
          <w:rFonts w:hint="eastAsia" w:hAnsi="宋体"/>
          <w:b/>
          <w:color w:val="auto"/>
          <w:highlight w:val="none"/>
          <w:u w:val="single"/>
        </w:rPr>
        <w:t>关税（如</w:t>
      </w:r>
      <w:r>
        <w:rPr>
          <w:rFonts w:hAnsi="宋体"/>
          <w:b/>
          <w:color w:val="auto"/>
          <w:highlight w:val="none"/>
          <w:u w:val="single"/>
        </w:rPr>
        <w:t>对原产于美国的进口设备加征的关税费</w:t>
      </w:r>
      <w:r>
        <w:rPr>
          <w:rFonts w:hint="eastAsia" w:hAnsi="宋体"/>
          <w:b/>
          <w:color w:val="auto"/>
          <w:highlight w:val="none"/>
          <w:u w:val="single"/>
        </w:rPr>
        <w:t>等）、</w:t>
      </w:r>
      <w:r>
        <w:rPr>
          <w:rFonts w:hAnsi="宋体"/>
          <w:b/>
          <w:color w:val="auto"/>
          <w:highlight w:val="none"/>
          <w:u w:val="single"/>
        </w:rPr>
        <w:t>外贸代理费</w:t>
      </w:r>
      <w:r>
        <w:rPr>
          <w:rFonts w:hAnsi="宋体"/>
          <w:color w:val="auto"/>
          <w:highlight w:val="none"/>
        </w:rPr>
        <w:t>等；</w:t>
      </w:r>
      <w:r>
        <w:rPr>
          <w:rFonts w:hAnsi="宋体"/>
          <w:b/>
          <w:color w:val="auto"/>
          <w:highlight w:val="none"/>
        </w:rPr>
        <w:t>进口</w:t>
      </w:r>
      <w:r>
        <w:rPr>
          <w:rFonts w:hint="eastAsia" w:hAnsi="宋体"/>
          <w:b/>
          <w:color w:val="auto"/>
          <w:highlight w:val="none"/>
        </w:rPr>
        <w:t>免税</w:t>
      </w:r>
      <w:r>
        <w:rPr>
          <w:rFonts w:hAnsi="宋体"/>
          <w:b/>
          <w:color w:val="auto"/>
          <w:highlight w:val="none"/>
        </w:rPr>
        <w:t>设备</w:t>
      </w:r>
      <w:r>
        <w:rPr>
          <w:rFonts w:hint="eastAsia" w:hAnsi="宋体"/>
          <w:b/>
          <w:color w:val="auto"/>
          <w:highlight w:val="none"/>
        </w:rPr>
        <w:t>应</w:t>
      </w:r>
      <w:r>
        <w:rPr>
          <w:rFonts w:hAnsi="宋体"/>
          <w:b/>
          <w:bCs/>
          <w:color w:val="auto"/>
          <w:highlight w:val="none"/>
        </w:rPr>
        <w:t>以人民币报价</w:t>
      </w:r>
      <w:r>
        <w:rPr>
          <w:rFonts w:hAnsi="宋体"/>
          <w:color w:val="auto"/>
          <w:highlight w:val="none"/>
        </w:rPr>
        <w:t>，报价方式为</w:t>
      </w:r>
      <w:r>
        <w:rPr>
          <w:color w:val="auto"/>
          <w:highlight w:val="none"/>
        </w:rPr>
        <w:t>CIP</w:t>
      </w:r>
      <w:r>
        <w:rPr>
          <w:rFonts w:hint="eastAsia" w:hAnsi="宋体"/>
          <w:color w:val="auto"/>
          <w:highlight w:val="none"/>
        </w:rPr>
        <w:t>中国计量大学</w:t>
      </w:r>
      <w:r>
        <w:rPr>
          <w:rFonts w:hAnsi="宋体"/>
          <w:color w:val="auto"/>
          <w:highlight w:val="none"/>
        </w:rPr>
        <w:t>，</w:t>
      </w:r>
      <w:r>
        <w:rPr>
          <w:rFonts w:hint="eastAsia"/>
          <w:b/>
          <w:color w:val="auto"/>
          <w:highlight w:val="none"/>
        </w:rPr>
        <w:t>中标人委托相关外贸公司（外贸公司由采购人指定）办理免税事宜，采购人予以协助，所需</w:t>
      </w:r>
      <w:r>
        <w:rPr>
          <w:rFonts w:hAnsi="宋体"/>
          <w:b/>
          <w:color w:val="auto"/>
          <w:spacing w:val="-6"/>
          <w:highlight w:val="none"/>
        </w:rPr>
        <w:t>外贸代理费</w:t>
      </w:r>
      <w:r>
        <w:rPr>
          <w:rFonts w:hint="eastAsia"/>
          <w:b/>
          <w:color w:val="auto"/>
          <w:highlight w:val="none"/>
        </w:rPr>
        <w:t>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p>
    <w:p>
      <w:pPr>
        <w:tabs>
          <w:tab w:val="left" w:pos="0"/>
        </w:tabs>
        <w:ind w:firstLine="422" w:firstLineChars="176"/>
        <w:rPr>
          <w:rFonts w:hint="eastAsia"/>
          <w:b/>
          <w:color w:val="auto"/>
          <w:highlight w:val="none"/>
        </w:rPr>
      </w:pPr>
      <w:r>
        <w:rPr>
          <w:rFonts w:hint="eastAsia"/>
          <w:color w:val="auto"/>
          <w:highlight w:val="none"/>
        </w:rPr>
        <w:t>注：（1）根据《财政部 海关总署 国家税务总局关于公布进口科学研究、科技开发和教学用品免税清单的通知》（财关税〔2016〕72号）文件的规定，采购人进口该文件附件“进口科学研究、科技开发和教学用品免税清单”所列产品均可予免征进口关税和进口环节增值税、消费税，</w:t>
      </w:r>
      <w:r>
        <w:rPr>
          <w:rFonts w:hint="eastAsia"/>
          <w:b/>
          <w:color w:val="auto"/>
          <w:highlight w:val="none"/>
        </w:rPr>
        <w:t>投标人的投标报价为</w:t>
      </w:r>
      <w:r>
        <w:rPr>
          <w:b/>
          <w:color w:val="auto"/>
          <w:highlight w:val="none"/>
        </w:rPr>
        <w:t>CIP</w:t>
      </w:r>
      <w:r>
        <w:rPr>
          <w:rFonts w:hint="eastAsia"/>
          <w:b/>
          <w:color w:val="auto"/>
          <w:highlight w:val="none"/>
        </w:rPr>
        <w:t>价，</w:t>
      </w:r>
      <w:r>
        <w:rPr>
          <w:rFonts w:hint="eastAsia"/>
          <w:color w:val="auto"/>
          <w:highlight w:val="none"/>
        </w:rPr>
        <w:t>即</w:t>
      </w:r>
      <w:r>
        <w:rPr>
          <w:rFonts w:hint="eastAsia"/>
          <w:b/>
          <w:color w:val="auto"/>
          <w:highlight w:val="none"/>
        </w:rPr>
        <w:t>投标报价不包含进口关税及进口环节增值税、消费税。</w:t>
      </w:r>
    </w:p>
    <w:p>
      <w:pPr>
        <w:tabs>
          <w:tab w:val="left" w:pos="0"/>
        </w:tabs>
        <w:ind w:firstLine="424" w:firstLineChars="176"/>
        <w:rPr>
          <w:rFonts w:hint="eastAsia"/>
          <w:b/>
          <w:color w:val="auto"/>
          <w:highlight w:val="none"/>
        </w:rPr>
      </w:pPr>
      <w:r>
        <w:rPr>
          <w:rFonts w:hint="eastAsia"/>
          <w:b/>
          <w:color w:val="auto"/>
          <w:highlight w:val="none"/>
        </w:rPr>
        <w:t>（2）合同履行过程中的汇率风险由中标人自行承担，由外贸公司与中标人结算。</w:t>
      </w:r>
    </w:p>
    <w:p>
      <w:pPr>
        <w:tabs>
          <w:tab w:val="left" w:pos="0"/>
        </w:tabs>
        <w:ind w:firstLine="424" w:firstLineChars="176"/>
        <w:rPr>
          <w:b/>
          <w:color w:val="auto"/>
          <w:highlight w:val="none"/>
        </w:rPr>
      </w:pPr>
      <w:r>
        <w:rPr>
          <w:rFonts w:hint="eastAsia"/>
          <w:b/>
          <w:color w:val="auto"/>
          <w:highlight w:val="none"/>
        </w:rPr>
        <w:t>（3）自本项目采购公告发布之日至供货实施完成期间若发生加征关税的情况，加征的关税由中标人承担。</w:t>
      </w:r>
    </w:p>
    <w:p>
      <w:pPr>
        <w:tabs>
          <w:tab w:val="left" w:pos="0"/>
        </w:tabs>
        <w:ind w:firstLine="424" w:firstLineChars="176"/>
        <w:rPr>
          <w:rFonts w:hint="eastAsia"/>
          <w:b/>
          <w:color w:val="auto"/>
          <w:highlight w:val="none"/>
        </w:rPr>
      </w:pPr>
      <w:r>
        <w:rPr>
          <w:rFonts w:hint="eastAsia"/>
          <w:b/>
          <w:color w:val="auto"/>
          <w:highlight w:val="none"/>
        </w:rPr>
        <w:t>（4）进口产品原则上要求从国外直接发货，在中国境内保税区发货的，若产生额外报关等费用由中标人承担。</w:t>
      </w:r>
    </w:p>
    <w:p>
      <w:pPr>
        <w:tabs>
          <w:tab w:val="left" w:pos="0"/>
        </w:tabs>
        <w:ind w:firstLine="482"/>
        <w:rPr>
          <w:b/>
          <w:bCs/>
          <w:color w:val="auto"/>
          <w:highlight w:val="none"/>
        </w:rPr>
      </w:pPr>
      <w:r>
        <w:rPr>
          <w:rFonts w:hint="eastAsia"/>
          <w:b/>
          <w:color w:val="auto"/>
          <w:highlight w:val="none"/>
        </w:rPr>
        <w:t>（5）采购</w:t>
      </w:r>
      <w:r>
        <w:rPr>
          <w:rFonts w:hint="eastAsia"/>
          <w:b/>
          <w:bCs/>
          <w:color w:val="auto"/>
          <w:highlight w:val="none"/>
        </w:rPr>
        <w:t>人指定的外贸公司的</w:t>
      </w:r>
      <w:r>
        <w:rPr>
          <w:b/>
          <w:bCs/>
          <w:color w:val="auto"/>
          <w:highlight w:val="none"/>
        </w:rPr>
        <w:t>外贸代理费</w:t>
      </w:r>
      <w:r>
        <w:rPr>
          <w:rFonts w:hint="eastAsia"/>
          <w:b/>
          <w:bCs/>
          <w:color w:val="auto"/>
          <w:highlight w:val="none"/>
        </w:rPr>
        <w:t>，其收费标准详见下表：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823"/>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 w:type="pct"/>
            <w:noWrap w:val="0"/>
            <w:vAlign w:val="center"/>
          </w:tcPr>
          <w:p>
            <w:pPr>
              <w:ind w:firstLine="0" w:firstLineChars="0"/>
              <w:jc w:val="center"/>
              <w:rPr>
                <w:b/>
                <w:color w:val="auto"/>
                <w:highlight w:val="none"/>
              </w:rPr>
            </w:pPr>
            <w:r>
              <w:rPr>
                <w:rFonts w:hint="eastAsia"/>
                <w:b/>
                <w:color w:val="auto"/>
                <w:highlight w:val="none"/>
              </w:rPr>
              <w:t>外贸公司</w:t>
            </w:r>
          </w:p>
        </w:tc>
        <w:tc>
          <w:tcPr>
            <w:tcW w:w="3939" w:type="pct"/>
            <w:gridSpan w:val="2"/>
            <w:noWrap w:val="0"/>
            <w:vAlign w:val="center"/>
          </w:tcPr>
          <w:p>
            <w:pPr>
              <w:ind w:firstLine="0" w:firstLineChars="0"/>
              <w:jc w:val="center"/>
              <w:rPr>
                <w:rFonts w:hint="eastAsia"/>
                <w:b/>
                <w:color w:val="auto"/>
                <w:highlight w:val="none"/>
              </w:rPr>
            </w:pPr>
            <w:r>
              <w:rPr>
                <w:b/>
                <w:color w:val="auto"/>
                <w:highlight w:val="none"/>
              </w:rPr>
              <w:t>外贸代理费</w:t>
            </w:r>
          </w:p>
          <w:p>
            <w:pPr>
              <w:ind w:firstLine="0" w:firstLineChars="0"/>
              <w:jc w:val="center"/>
              <w:rPr>
                <w:color w:val="auto"/>
                <w:highlight w:val="none"/>
                <w:u w:val="single"/>
              </w:rPr>
            </w:pPr>
            <w:r>
              <w:rPr>
                <w:rFonts w:hint="eastAsia"/>
                <w:color w:val="auto"/>
                <w:highlight w:val="none"/>
                <w:u w:val="single"/>
              </w:rPr>
              <w:t>（美元汇率：1美元=A元人民币，A值</w:t>
            </w:r>
            <w:r>
              <w:rPr>
                <w:color w:val="auto"/>
                <w:highlight w:val="none"/>
                <w:u w:val="single"/>
              </w:rPr>
              <w:t>按开标当日与上午9点30分最接近的时间中国银行总行发布的外币对人民币的</w:t>
            </w:r>
            <w:r>
              <w:rPr>
                <w:rFonts w:hint="eastAsia"/>
                <w:color w:val="auto"/>
                <w:highlight w:val="none"/>
                <w:u w:val="single"/>
              </w:rPr>
              <w:t>美元</w:t>
            </w:r>
            <w:r>
              <w:rPr>
                <w:color w:val="auto"/>
                <w:highlight w:val="none"/>
                <w:u w:val="single"/>
              </w:rPr>
              <w:t>现钞卖出价</w:t>
            </w:r>
            <w:r>
              <w:rPr>
                <w:rFonts w:hint="eastAsia"/>
                <w:color w:val="auto"/>
                <w:highlight w:val="none"/>
                <w:u w:val="singl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1" w:type="pct"/>
            <w:noWrap w:val="0"/>
            <w:vAlign w:val="center"/>
          </w:tcPr>
          <w:p>
            <w:pPr>
              <w:ind w:firstLine="0" w:firstLineChars="0"/>
              <w:jc w:val="center"/>
              <w:rPr>
                <w:color w:val="auto"/>
                <w:highlight w:val="none"/>
              </w:rPr>
            </w:pPr>
            <w:r>
              <w:rPr>
                <w:rFonts w:hAnsi="宋体"/>
                <w:color w:val="auto"/>
                <w:kern w:val="0"/>
                <w:highlight w:val="none"/>
              </w:rPr>
              <w:t>浙江浙科仪器设备有限公司</w:t>
            </w:r>
          </w:p>
        </w:tc>
        <w:tc>
          <w:tcPr>
            <w:tcW w:w="915" w:type="pct"/>
            <w:noWrap w:val="0"/>
            <w:vAlign w:val="center"/>
          </w:tcPr>
          <w:p>
            <w:pPr>
              <w:ind w:firstLine="0" w:firstLineChars="0"/>
              <w:jc w:val="center"/>
              <w:rPr>
                <w:rFonts w:hint="eastAsia"/>
                <w:b/>
                <w:color w:val="auto"/>
                <w:highlight w:val="none"/>
              </w:rPr>
            </w:pPr>
            <w:r>
              <w:rPr>
                <w:rFonts w:hint="eastAsia"/>
                <w:b/>
                <w:color w:val="auto"/>
                <w:highlight w:val="none"/>
              </w:rPr>
              <w:t>0.15个点</w:t>
            </w:r>
          </w:p>
        </w:tc>
        <w:tc>
          <w:tcPr>
            <w:tcW w:w="3024" w:type="pct"/>
            <w:noWrap w:val="0"/>
            <w:vAlign w:val="center"/>
          </w:tcPr>
          <w:p>
            <w:pPr>
              <w:ind w:firstLine="0" w:firstLineChars="0"/>
              <w:jc w:val="left"/>
              <w:rPr>
                <w:b/>
                <w:color w:val="auto"/>
                <w:szCs w:val="21"/>
                <w:highlight w:val="none"/>
              </w:rPr>
            </w:pPr>
            <w:r>
              <w:rPr>
                <w:b/>
                <w:color w:val="auto"/>
                <w:szCs w:val="21"/>
                <w:highlight w:val="none"/>
              </w:rPr>
              <w:t>外贸代理费的计算公式:进口设备中标价</w:t>
            </w:r>
            <w:r>
              <w:rPr>
                <w:rFonts w:hint="eastAsia"/>
                <w:b/>
                <w:color w:val="auto"/>
                <w:szCs w:val="21"/>
                <w:highlight w:val="none"/>
              </w:rPr>
              <w:t>为人民币价，</w:t>
            </w:r>
          </w:p>
          <w:p>
            <w:pPr>
              <w:ind w:firstLine="0" w:firstLineChars="0"/>
              <w:jc w:val="left"/>
              <w:rPr>
                <w:b/>
                <w:color w:val="auto"/>
                <w:highlight w:val="none"/>
              </w:rPr>
            </w:pPr>
            <w:r>
              <w:rPr>
                <w:b/>
                <w:color w:val="auto"/>
                <w:highlight w:val="none"/>
              </w:rPr>
              <w:t>外贸代理费=进口设备中标价×0.15÷（A+0.15）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1" w:type="pct"/>
            <w:noWrap w:val="0"/>
            <w:vAlign w:val="center"/>
          </w:tcPr>
          <w:p>
            <w:pPr>
              <w:ind w:firstLine="0" w:firstLineChars="0"/>
              <w:jc w:val="center"/>
              <w:rPr>
                <w:color w:val="auto"/>
                <w:highlight w:val="none"/>
              </w:rPr>
            </w:pPr>
            <w:r>
              <w:rPr>
                <w:rFonts w:ascii="宋体" w:hAnsi="宋体" w:cs="宋体"/>
                <w:color w:val="auto"/>
                <w:kern w:val="0"/>
                <w:highlight w:val="none"/>
              </w:rPr>
              <w:t>赛尔网络有限公司</w:t>
            </w:r>
          </w:p>
        </w:tc>
        <w:tc>
          <w:tcPr>
            <w:tcW w:w="915" w:type="pct"/>
            <w:noWrap w:val="0"/>
            <w:vAlign w:val="center"/>
          </w:tcPr>
          <w:p>
            <w:pPr>
              <w:ind w:firstLine="0" w:firstLineChars="0"/>
              <w:jc w:val="center"/>
              <w:rPr>
                <w:b/>
                <w:color w:val="auto"/>
                <w:highlight w:val="none"/>
              </w:rPr>
            </w:pPr>
            <w:r>
              <w:rPr>
                <w:rFonts w:hint="eastAsia"/>
                <w:b/>
                <w:color w:val="auto"/>
                <w:highlight w:val="none"/>
              </w:rPr>
              <w:t>0.1个点</w:t>
            </w:r>
          </w:p>
        </w:tc>
        <w:tc>
          <w:tcPr>
            <w:tcW w:w="3024" w:type="pct"/>
            <w:noWrap w:val="0"/>
            <w:vAlign w:val="center"/>
          </w:tcPr>
          <w:p>
            <w:pPr>
              <w:ind w:firstLine="0" w:firstLineChars="0"/>
              <w:jc w:val="left"/>
              <w:rPr>
                <w:b/>
                <w:color w:val="auto"/>
                <w:szCs w:val="21"/>
                <w:highlight w:val="none"/>
              </w:rPr>
            </w:pPr>
            <w:r>
              <w:rPr>
                <w:b/>
                <w:color w:val="auto"/>
                <w:szCs w:val="21"/>
                <w:highlight w:val="none"/>
              </w:rPr>
              <w:t>外贸代理费的计算公式</w:t>
            </w:r>
            <w:r>
              <w:rPr>
                <w:rFonts w:hint="eastAsia"/>
                <w:b/>
                <w:color w:val="auto"/>
                <w:szCs w:val="21"/>
                <w:highlight w:val="none"/>
              </w:rPr>
              <w:t>：</w:t>
            </w:r>
            <w:r>
              <w:rPr>
                <w:b/>
                <w:color w:val="auto"/>
                <w:szCs w:val="21"/>
                <w:highlight w:val="none"/>
              </w:rPr>
              <w:t>进口设备中标价</w:t>
            </w:r>
            <w:r>
              <w:rPr>
                <w:rFonts w:hint="eastAsia"/>
                <w:b/>
                <w:color w:val="auto"/>
                <w:szCs w:val="21"/>
                <w:highlight w:val="none"/>
              </w:rPr>
              <w:t>为人民币价，</w:t>
            </w:r>
          </w:p>
          <w:p>
            <w:pPr>
              <w:ind w:firstLine="0" w:firstLineChars="0"/>
              <w:rPr>
                <w:b/>
                <w:color w:val="auto"/>
                <w:highlight w:val="none"/>
              </w:rPr>
            </w:pPr>
            <w:r>
              <w:rPr>
                <w:b/>
                <w:color w:val="auto"/>
                <w:highlight w:val="none"/>
              </w:rPr>
              <w:t>外贸代理费=进口设备中标价×0.1÷（A+0.1）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noWrap w:val="0"/>
            <w:vAlign w:val="center"/>
          </w:tcPr>
          <w:p>
            <w:pPr>
              <w:ind w:firstLine="0" w:firstLineChars="0"/>
              <w:rPr>
                <w:color w:val="auto"/>
                <w:highlight w:val="none"/>
              </w:rPr>
            </w:pPr>
            <w:r>
              <w:rPr>
                <w:color w:val="auto"/>
                <w:highlight w:val="none"/>
              </w:rPr>
              <w:t>1</w:t>
            </w:r>
            <w:r>
              <w:rPr>
                <w:rFonts w:hint="eastAsia"/>
                <w:color w:val="auto"/>
                <w:highlight w:val="none"/>
              </w:rPr>
              <w:t>、该</w:t>
            </w:r>
            <w:r>
              <w:rPr>
                <w:color w:val="auto"/>
                <w:highlight w:val="none"/>
              </w:rPr>
              <w:t>外贸代理费</w:t>
            </w:r>
            <w:r>
              <w:rPr>
                <w:rFonts w:hint="eastAsia"/>
                <w:color w:val="auto"/>
                <w:spacing w:val="-6"/>
                <w:highlight w:val="none"/>
              </w:rPr>
              <w:t>包含：外贸公司的服务费、银行手续费用、报关费（制单费、录入费、卫生检疫费、保险费、法定商检费、滞报金、换单费等）、海关监管费、仓储费、运输费及进口所需发生的其他必须或可能发生的费用。</w:t>
            </w:r>
          </w:p>
          <w:p>
            <w:pPr>
              <w:ind w:firstLine="0" w:firstLineChars="0"/>
              <w:rPr>
                <w:color w:val="auto"/>
                <w:highlight w:val="none"/>
              </w:rPr>
            </w:pPr>
            <w:r>
              <w:rPr>
                <w:color w:val="auto"/>
                <w:highlight w:val="none"/>
              </w:rPr>
              <w:t>2</w:t>
            </w:r>
            <w:r>
              <w:rPr>
                <w:rFonts w:hint="eastAsia"/>
                <w:color w:val="auto"/>
                <w:highlight w:val="none"/>
              </w:rPr>
              <w:t>、</w:t>
            </w:r>
            <w:r>
              <w:rPr>
                <w:color w:val="auto"/>
                <w:highlight w:val="none"/>
              </w:rPr>
              <w:t>外贸代理费</w:t>
            </w:r>
            <w:r>
              <w:rPr>
                <w:rFonts w:hint="eastAsia"/>
                <w:color w:val="auto"/>
                <w:highlight w:val="none"/>
              </w:rPr>
              <w:t>不包含检测费用等，需由中标人按实际承担。</w:t>
            </w:r>
          </w:p>
          <w:p>
            <w:pPr>
              <w:ind w:firstLine="0" w:firstLineChars="0"/>
              <w:rPr>
                <w:color w:val="auto"/>
                <w:szCs w:val="21"/>
                <w:highlight w:val="none"/>
              </w:rPr>
            </w:pPr>
            <w:r>
              <w:rPr>
                <w:color w:val="auto"/>
                <w:highlight w:val="none"/>
              </w:rPr>
              <w:t>3</w:t>
            </w:r>
            <w:r>
              <w:rPr>
                <w:rFonts w:hint="eastAsia"/>
                <w:color w:val="auto"/>
                <w:highlight w:val="none"/>
              </w:rPr>
              <w:t>、如产品为海运进口，换单费超出空运换单费部分由中标人另行承担。</w:t>
            </w:r>
          </w:p>
        </w:tc>
      </w:tr>
    </w:tbl>
    <w:p>
      <w:pPr>
        <w:tabs>
          <w:tab w:val="left" w:pos="0"/>
        </w:tabs>
        <w:ind w:firstLine="422" w:firstLineChars="176"/>
        <w:rPr>
          <w:rFonts w:hint="eastAsia"/>
          <w:bCs/>
          <w:color w:val="auto"/>
          <w:highlight w:val="none"/>
        </w:rPr>
      </w:pPr>
    </w:p>
    <w:p>
      <w:pPr>
        <w:ind w:firstLine="480"/>
        <w:rPr>
          <w:rFonts w:hint="eastAsia" w:ascii="宋体" w:hAnsi="宋体" w:cs="宋体"/>
          <w:color w:val="auto"/>
          <w:highlight w:val="none"/>
        </w:rPr>
      </w:pPr>
      <w:r>
        <w:rPr>
          <w:rFonts w:hint="eastAsia" w:ascii="宋体" w:hAnsi="宋体" w:cs="宋体"/>
          <w:color w:val="auto"/>
          <w:highlight w:val="none"/>
        </w:rPr>
        <w:t>4.不论采购结果如何，投标人均应自行承担所有与此次投标有关的全部费用。</w:t>
      </w:r>
    </w:p>
    <w:p>
      <w:pPr>
        <w:ind w:firstLine="480"/>
        <w:rPr>
          <w:rFonts w:hint="eastAsia" w:ascii="宋体" w:hAnsi="宋体" w:cs="宋体"/>
          <w:color w:val="auto"/>
          <w:highlight w:val="none"/>
        </w:rPr>
      </w:pPr>
      <w:r>
        <w:rPr>
          <w:rFonts w:hint="eastAsia" w:ascii="宋体" w:hAnsi="宋体" w:cs="宋体"/>
          <w:color w:val="auto"/>
          <w:highlight w:val="none"/>
        </w:rPr>
        <w:t>5.投标报价是指一次性报出不得修改的价格，投标报价应按采购文件中相关附表格式填写。</w:t>
      </w:r>
    </w:p>
    <w:p>
      <w:pPr>
        <w:ind w:firstLine="480"/>
        <w:rPr>
          <w:rFonts w:hint="eastAsia" w:ascii="宋体" w:hAnsi="宋体" w:cs="宋体"/>
          <w:color w:val="auto"/>
          <w:highlight w:val="none"/>
        </w:rPr>
      </w:pPr>
      <w:r>
        <w:rPr>
          <w:rFonts w:hint="eastAsia" w:ascii="宋体" w:hAnsi="宋体" w:cs="宋体"/>
          <w:color w:val="auto"/>
          <w:highlight w:val="none"/>
        </w:rPr>
        <w:t xml:space="preserve">6.投标报价是履行合同的最终价格，应包括完成所有产品供货及履行所有规定服务所产生的全部费用。 </w:t>
      </w:r>
    </w:p>
    <w:p>
      <w:pPr>
        <w:ind w:firstLine="480"/>
        <w:rPr>
          <w:rFonts w:ascii="宋体" w:hAnsi="宋体" w:cs="宋体"/>
          <w:color w:val="auto"/>
          <w:highlight w:val="none"/>
        </w:rPr>
      </w:pPr>
      <w:r>
        <w:rPr>
          <w:rFonts w:hint="eastAsia" w:ascii="宋体" w:hAnsi="宋体" w:cs="宋体"/>
          <w:color w:val="auto"/>
          <w:highlight w:val="none"/>
        </w:rPr>
        <w:t>7.投标文件只允许有一个报价，有选择或有条件的报价将不予接受，其投标无效。</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、投标文件的有效期</w:t>
      </w:r>
      <w:bookmarkEnd w:id="117"/>
    </w:p>
    <w:p>
      <w:pPr>
        <w:numPr>
          <w:ilvl w:val="0"/>
          <w:numId w:val="2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投标文件有效期按“供应商须知前附表”规定，投标文件应在该有效期内保持有效。合同签订后，投标文件作为合同附件，投标文件有效期同合同有效期。</w:t>
      </w:r>
    </w:p>
    <w:p>
      <w:pPr>
        <w:numPr>
          <w:ilvl w:val="0"/>
          <w:numId w:val="2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在特殊情况下，采购人可与供应商协商延长投标文件有效期，这种要求和答复均应以书面形式进行。</w:t>
      </w:r>
    </w:p>
    <w:p>
      <w:pPr>
        <w:numPr>
          <w:ilvl w:val="0"/>
          <w:numId w:val="2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同意延长有效期的供应商不能修改投标文件。</w:t>
      </w:r>
    </w:p>
    <w:p>
      <w:pPr>
        <w:pStyle w:val="7"/>
        <w:bidi w:val="0"/>
        <w:ind w:left="0" w:leftChars="0" w:right="0" w:rightChars="0" w:firstLine="0" w:firstLineChars="0"/>
        <w:jc w:val="center"/>
        <w:rPr>
          <w:rFonts w:hint="eastAsia" w:ascii="宋体" w:hAnsi="宋体" w:eastAsia="宋体"/>
          <w:color w:val="auto"/>
          <w:highlight w:val="none"/>
        </w:rPr>
      </w:pPr>
      <w:bookmarkStart w:id="120" w:name="_Toc22584"/>
      <w:bookmarkStart w:id="121" w:name="_Toc7245"/>
      <w:r>
        <w:rPr>
          <w:rFonts w:hint="eastAsia" w:ascii="宋体" w:hAnsi="宋体" w:eastAsia="宋体"/>
          <w:color w:val="auto"/>
          <w:highlight w:val="none"/>
        </w:rPr>
        <w:t>第四节 投标文件的递交</w:t>
      </w:r>
      <w:bookmarkEnd w:id="118"/>
      <w:bookmarkEnd w:id="119"/>
      <w:bookmarkEnd w:id="120"/>
      <w:bookmarkEnd w:id="121"/>
    </w:p>
    <w:p>
      <w:pPr>
        <w:pStyle w:val="8"/>
        <w:bidi w:val="0"/>
        <w:rPr>
          <w:rFonts w:hint="eastAsia"/>
          <w:color w:val="auto"/>
          <w:highlight w:val="none"/>
        </w:rPr>
      </w:pPr>
      <w:bookmarkStart w:id="122" w:name="_Toc8455"/>
      <w:bookmarkStart w:id="123" w:name="_Toc27893"/>
      <w:bookmarkStart w:id="124" w:name="_Toc20835"/>
      <w:r>
        <w:rPr>
          <w:rFonts w:hint="eastAsia"/>
          <w:color w:val="auto"/>
          <w:highlight w:val="none"/>
        </w:rPr>
        <w:t>一、投标文件的</w:t>
      </w:r>
      <w:r>
        <w:rPr>
          <w:rFonts w:hint="eastAsia"/>
          <w:color w:val="auto"/>
          <w:highlight w:val="none"/>
          <w:lang w:val="en-US" w:eastAsia="zh-CN"/>
        </w:rPr>
        <w:t>形式、</w:t>
      </w:r>
      <w:r>
        <w:rPr>
          <w:rFonts w:hint="eastAsia"/>
          <w:color w:val="auto"/>
          <w:highlight w:val="none"/>
        </w:rPr>
        <w:t>上传和递交</w:t>
      </w:r>
      <w:bookmarkEnd w:id="122"/>
    </w:p>
    <w:p>
      <w:pPr>
        <w:bidi w:val="0"/>
        <w:rPr>
          <w:rFonts w:hint="eastAsia"/>
          <w:color w:val="auto"/>
          <w:highlight w:val="none"/>
        </w:rPr>
      </w:pPr>
      <w:r>
        <w:rPr>
          <w:rFonts w:hint="eastAsia"/>
          <w:color w:val="auto"/>
          <w:highlight w:val="none"/>
          <w:lang w:val="en-US" w:eastAsia="zh-CN"/>
        </w:rPr>
        <w:t>详</w:t>
      </w:r>
      <w:r>
        <w:rPr>
          <w:rFonts w:hint="eastAsia"/>
          <w:color w:val="auto"/>
          <w:highlight w:val="none"/>
        </w:rPr>
        <w:t>见供应商须知前附表。</w:t>
      </w:r>
    </w:p>
    <w:p>
      <w:pPr>
        <w:pStyle w:val="8"/>
        <w:bidi w:val="0"/>
        <w:rPr>
          <w:rFonts w:hint="eastAsia"/>
          <w:color w:val="auto"/>
          <w:highlight w:val="none"/>
        </w:rPr>
      </w:pPr>
      <w:bookmarkStart w:id="125" w:name="_Toc523"/>
      <w:r>
        <w:rPr>
          <w:rFonts w:hint="eastAsia"/>
          <w:color w:val="auto"/>
          <w:highlight w:val="none"/>
        </w:rPr>
        <w:t>二、投标文件的补充、修改或撤回</w:t>
      </w:r>
      <w:bookmarkEnd w:id="125"/>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从投标截止期至供应商在投标函格式中确定的投标有效期期满这段时间内，供应商不得撤回其投标。</w:t>
      </w:r>
    </w:p>
    <w:p>
      <w:pPr>
        <w:pStyle w:val="7"/>
        <w:bidi w:val="0"/>
        <w:ind w:left="0" w:leftChars="0" w:right="0" w:rightChars="0" w:firstLine="0" w:firstLineChars="0"/>
        <w:jc w:val="center"/>
        <w:rPr>
          <w:rFonts w:hint="eastAsia"/>
          <w:color w:val="auto"/>
          <w:highlight w:val="none"/>
        </w:rPr>
      </w:pPr>
      <w:bookmarkStart w:id="126" w:name="_Toc23575"/>
      <w:bookmarkStart w:id="127" w:name="_Toc11276"/>
      <w:r>
        <w:rPr>
          <w:rFonts w:hint="eastAsia"/>
          <w:color w:val="auto"/>
          <w:highlight w:val="none"/>
        </w:rPr>
        <w:t>第五节 开标</w:t>
      </w:r>
      <w:bookmarkEnd w:id="123"/>
      <w:bookmarkEnd w:id="124"/>
      <w:bookmarkEnd w:id="126"/>
      <w:bookmarkEnd w:id="127"/>
    </w:p>
    <w:p>
      <w:pPr>
        <w:pStyle w:val="8"/>
        <w:bidi w:val="0"/>
        <w:rPr>
          <w:rFonts w:hint="eastAsia"/>
          <w:color w:val="auto"/>
          <w:highlight w:val="none"/>
        </w:rPr>
      </w:pPr>
      <w:bookmarkStart w:id="128" w:name="_Toc13980"/>
      <w:bookmarkStart w:id="129" w:name="_Toc13357"/>
      <w:bookmarkStart w:id="130" w:name="_Toc13687"/>
      <w:r>
        <w:rPr>
          <w:rFonts w:hint="eastAsia"/>
          <w:color w:val="auto"/>
          <w:highlight w:val="none"/>
        </w:rPr>
        <w:t>一、开标流程</w:t>
      </w:r>
      <w:bookmarkEnd w:id="128"/>
    </w:p>
    <w:p>
      <w:pPr>
        <w:pStyle w:val="8"/>
        <w:rPr>
          <w:rFonts w:hint="eastAsia" w:ascii="宋体" w:hAnsi="宋体" w:eastAsia="宋体" w:cs="宋体"/>
          <w:color w:val="auto"/>
          <w:sz w:val="24"/>
          <w:szCs w:val="24"/>
          <w:highlight w:val="none"/>
        </w:rPr>
      </w:pPr>
      <w:bookmarkStart w:id="131" w:name="_Toc3392"/>
      <w:r>
        <w:rPr>
          <w:rFonts w:hint="eastAsia" w:ascii="宋体" w:hAnsi="宋体" w:eastAsia="宋体" w:cs="宋体"/>
          <w:color w:val="auto"/>
          <w:sz w:val="24"/>
          <w:szCs w:val="24"/>
          <w:highlight w:val="none"/>
        </w:rPr>
        <w:t>（一）开标准备</w:t>
      </w:r>
      <w:bookmarkEnd w:id="131"/>
    </w:p>
    <w:p>
      <w:pPr>
        <w:bidi w:val="0"/>
        <w:rPr>
          <w:rFonts w:hint="eastAsia" w:ascii="宋体" w:hAnsi="宋体" w:eastAsia="宋体" w:cs="宋体"/>
          <w:b/>
          <w:bCs/>
          <w:color w:val="auto"/>
          <w:highlight w:val="none"/>
        </w:rPr>
      </w:pPr>
      <w:r>
        <w:rPr>
          <w:rFonts w:hint="eastAsia"/>
          <w:color w:val="auto"/>
          <w:highlight w:val="none"/>
        </w:rPr>
        <w:t>采购代理机构将按照采购文件规定的时间通过浙江政府采购网组织开标、开启电子加密投标文件，所有供应商均应当准时在线参加。供应商如不参加开标大会的，</w:t>
      </w:r>
      <w:r>
        <w:rPr>
          <w:rFonts w:hint="eastAsia" w:ascii="宋体" w:hAnsi="宋体" w:eastAsia="宋体" w:cs="宋体"/>
          <w:color w:val="auto"/>
          <w:sz w:val="24"/>
          <w:szCs w:val="24"/>
          <w:highlight w:val="none"/>
        </w:rPr>
        <w:t>视为自动放弃开标监督权利，</w:t>
      </w:r>
      <w:r>
        <w:rPr>
          <w:rFonts w:hint="eastAsia"/>
          <w:color w:val="auto"/>
          <w:highlight w:val="none"/>
        </w:rPr>
        <w:t>认可开标结果，事后不得对采购相关人员、开标过程和开标结果提出异议，同时供应商因未在线参加开标而导致电子加密投标文件无法按时解密等一切后果由供应商自己承担。</w:t>
      </w:r>
    </w:p>
    <w:p>
      <w:pPr>
        <w:pStyle w:val="8"/>
        <w:rPr>
          <w:rFonts w:hint="eastAsia" w:ascii="宋体" w:hAnsi="宋体" w:eastAsia="宋体" w:cs="宋体"/>
          <w:color w:val="auto"/>
          <w:sz w:val="24"/>
          <w:szCs w:val="24"/>
          <w:highlight w:val="none"/>
        </w:rPr>
      </w:pPr>
      <w:bookmarkStart w:id="132" w:name="_Toc13872"/>
      <w:r>
        <w:rPr>
          <w:rFonts w:hint="eastAsia" w:ascii="宋体" w:hAnsi="宋体" w:eastAsia="宋体" w:cs="宋体"/>
          <w:color w:val="auto"/>
          <w:sz w:val="24"/>
          <w:szCs w:val="24"/>
          <w:highlight w:val="none"/>
        </w:rPr>
        <w:t>（二）开标流程（两阶段）</w:t>
      </w:r>
      <w:bookmarkEnd w:id="132"/>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开标第一阶段</w:t>
      </w:r>
    </w:p>
    <w:p>
      <w:pPr>
        <w:numPr>
          <w:ilvl w:val="0"/>
          <w:numId w:val="31"/>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采购代理机构开始解密，供应商在规定的时间内自行进行电子加密投标文件解密。</w:t>
      </w:r>
    </w:p>
    <w:p>
      <w:pPr>
        <w:numPr>
          <w:ilvl w:val="0"/>
          <w:numId w:val="31"/>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解密时间为开标后30分钟内。</w:t>
      </w:r>
    </w:p>
    <w:p>
      <w:pPr>
        <w:numPr>
          <w:ilvl w:val="0"/>
          <w:numId w:val="31"/>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numPr>
          <w:ilvl w:val="0"/>
          <w:numId w:val="31"/>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第一阶段开标结束。</w:t>
      </w:r>
    </w:p>
    <w:p>
      <w:pPr>
        <w:numPr>
          <w:ilvl w:val="0"/>
          <w:numId w:val="31"/>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转入资格文件和商务技术文件评审。</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开标第二阶段</w:t>
      </w:r>
    </w:p>
    <w:p>
      <w:pPr>
        <w:numPr>
          <w:ilvl w:val="0"/>
          <w:numId w:val="32"/>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资格文件和商务技术文件评审结束后，进入开标大会第二阶段。公布无效供应商名称及理由，同时公布有效供应商的商务技术部分得分情况。</w:t>
      </w:r>
    </w:p>
    <w:p>
      <w:pPr>
        <w:numPr>
          <w:ilvl w:val="0"/>
          <w:numId w:val="32"/>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开启有效供应商的报价文件，公布开标一览表有关内容。开标结束后，由评标委员会对报价的合理性、准确性等进行审查核实。</w:t>
      </w:r>
    </w:p>
    <w:p>
      <w:pPr>
        <w:pStyle w:val="8"/>
        <w:bidi w:val="0"/>
        <w:rPr>
          <w:rFonts w:hint="eastAsia"/>
          <w:color w:val="auto"/>
          <w:highlight w:val="none"/>
        </w:rPr>
      </w:pPr>
      <w:bookmarkStart w:id="133" w:name="_Toc22139"/>
      <w:r>
        <w:rPr>
          <w:rFonts w:hint="eastAsia"/>
          <w:color w:val="auto"/>
          <w:highlight w:val="none"/>
        </w:rPr>
        <w:t>（三）投标文件初步评审</w:t>
      </w:r>
      <w:bookmarkEnd w:id="133"/>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采购代理机构或评审专家将首先审查各供应商的资格条件是否满足采购文件的要求。</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评标委员会将首先审查每份投标文件是否实质上响应了采购文件的要求，实质性响应的投标文件是指投标文件符合采购文件规定的实质性内容、条件和规定。</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细微偏离是指投标文件对采购文件的非实质性内容存在不完全响应或不响应。</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初步评审工作内容</w:t>
      </w:r>
    </w:p>
    <w:p>
      <w:pPr>
        <w:numPr>
          <w:ilvl w:val="0"/>
          <w:numId w:val="34"/>
        </w:numPr>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资格性检查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依据法律法规及采购文件的规定，对投标文件中的提供的资格证明材料进行审查，以确定供应商是否具备投标资格。</w:t>
      </w:r>
    </w:p>
    <w:p>
      <w:pPr>
        <w:numPr>
          <w:ilvl w:val="0"/>
          <w:numId w:val="34"/>
        </w:numPr>
        <w:tabs>
          <w:tab w:val="left" w:pos="84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符合性检查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依据采购文件的规定，从投标文件的有效性、完整性和对采购文件的响应程度进行审查，以确定是否对采购文件的实质性要求作出响应。</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评标委员会对投标文件的判定，只依据投标文件内容本身和按采购文件规定提交资料，不依靠开标后的任何外来证明。如供应商提交的资质证明或其他内容不齐全，由此造成的后果由供应商自己负责。</w:t>
      </w:r>
    </w:p>
    <w:p>
      <w:pPr>
        <w:pStyle w:val="8"/>
        <w:rPr>
          <w:rFonts w:hint="eastAsia" w:ascii="宋体" w:hAnsi="宋体" w:eastAsia="宋体" w:cs="宋体"/>
          <w:color w:val="auto"/>
          <w:sz w:val="24"/>
          <w:szCs w:val="24"/>
          <w:highlight w:val="none"/>
        </w:rPr>
      </w:pPr>
      <w:bookmarkStart w:id="134" w:name="_Toc32572"/>
      <w:r>
        <w:rPr>
          <w:rFonts w:hint="eastAsia" w:ascii="宋体" w:hAnsi="宋体" w:eastAsia="宋体" w:cs="宋体"/>
          <w:color w:val="auto"/>
          <w:sz w:val="24"/>
          <w:szCs w:val="24"/>
          <w:highlight w:val="none"/>
        </w:rPr>
        <w:t>二、投标文件鉴定</w:t>
      </w:r>
      <w:bookmarkEnd w:id="134"/>
    </w:p>
    <w:p>
      <w:pPr>
        <w:numPr>
          <w:ilvl w:val="0"/>
          <w:numId w:val="3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开标时，采购代理机构将对投标文件进行初步审查，检查投标书内容是否完整、编排是否有序、文件签署是否规范以及投标人资格是否符合要求等。如投标文件被确认为无效，采购代理机构将及时通知该投标人。</w:t>
      </w:r>
    </w:p>
    <w:p>
      <w:pPr>
        <w:numPr>
          <w:ilvl w:val="0"/>
          <w:numId w:val="3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如果投标文件实质上不响应招标文件的要求，采购代理机构及评标委员会将予以拒绝，并且不允许通过修正或撤消不符合要求的差异或保留，使之成为具有响应性的投标。</w:t>
      </w:r>
    </w:p>
    <w:p>
      <w:pPr>
        <w:numPr>
          <w:ilvl w:val="0"/>
          <w:numId w:val="3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经开标后递交至评标委员会的投标文件，仍需接受相关符合性的检查，并有可能在评标过程中被判断为无效。</w:t>
      </w:r>
    </w:p>
    <w:p>
      <w:pPr>
        <w:bidi w:val="0"/>
        <w:rPr>
          <w:rFonts w:hint="eastAsia"/>
          <w:color w:val="auto"/>
          <w:highlight w:val="none"/>
        </w:rPr>
      </w:pPr>
    </w:p>
    <w:p>
      <w:pPr>
        <w:pStyle w:val="7"/>
        <w:bidi w:val="0"/>
        <w:ind w:left="0" w:leftChars="0" w:right="0" w:rightChars="0" w:firstLine="0" w:firstLineChars="0"/>
        <w:jc w:val="center"/>
        <w:rPr>
          <w:rFonts w:hint="eastAsia"/>
          <w:color w:val="auto"/>
          <w:highlight w:val="none"/>
        </w:rPr>
      </w:pPr>
      <w:bookmarkStart w:id="135" w:name="_Toc5955"/>
      <w:bookmarkStart w:id="136" w:name="_Toc21559"/>
      <w:r>
        <w:rPr>
          <w:rFonts w:hint="eastAsia"/>
          <w:color w:val="auto"/>
          <w:highlight w:val="none"/>
        </w:rPr>
        <w:t>第六节 评标</w:t>
      </w:r>
      <w:bookmarkEnd w:id="129"/>
      <w:bookmarkEnd w:id="130"/>
      <w:bookmarkEnd w:id="135"/>
      <w:bookmarkEnd w:id="136"/>
    </w:p>
    <w:p>
      <w:pPr>
        <w:pStyle w:val="8"/>
        <w:bidi w:val="0"/>
        <w:rPr>
          <w:rFonts w:hint="eastAsia"/>
          <w:color w:val="auto"/>
          <w:highlight w:val="none"/>
        </w:rPr>
      </w:pPr>
      <w:bookmarkStart w:id="137" w:name="_Toc19136"/>
      <w:r>
        <w:rPr>
          <w:rFonts w:hint="eastAsia"/>
          <w:color w:val="auto"/>
          <w:highlight w:val="none"/>
        </w:rPr>
        <w:t>一、组建评标委员会</w:t>
      </w:r>
      <w:bookmarkEnd w:id="137"/>
    </w:p>
    <w:p>
      <w:pPr>
        <w:bidi w:val="0"/>
        <w:rPr>
          <w:rFonts w:hint="eastAsia"/>
          <w:color w:val="auto"/>
          <w:highlight w:val="none"/>
        </w:rPr>
      </w:pPr>
      <w:r>
        <w:rPr>
          <w:rFonts w:hint="eastAsia"/>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8"/>
        <w:rPr>
          <w:rFonts w:hint="eastAsia" w:ascii="宋体" w:hAnsi="宋体" w:eastAsia="宋体" w:cs="宋体"/>
          <w:color w:val="auto"/>
          <w:sz w:val="24"/>
          <w:szCs w:val="24"/>
          <w:highlight w:val="none"/>
        </w:rPr>
      </w:pPr>
      <w:bookmarkStart w:id="138" w:name="_Toc26177"/>
      <w:r>
        <w:rPr>
          <w:rFonts w:hint="eastAsia" w:ascii="宋体" w:hAnsi="宋体" w:eastAsia="宋体" w:cs="宋体"/>
          <w:color w:val="auto"/>
          <w:sz w:val="24"/>
          <w:szCs w:val="24"/>
          <w:highlight w:val="none"/>
        </w:rPr>
        <w:t>二、评标的方式</w:t>
      </w:r>
      <w:bookmarkEnd w:id="13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本项目采用不公开方式评标，评标的依据为招标文件和投标文件。不考虑投标人在开标后提交的任何的补充声明、修正方案。</w:t>
      </w:r>
    </w:p>
    <w:p>
      <w:pPr>
        <w:pStyle w:val="8"/>
        <w:rPr>
          <w:rFonts w:hint="eastAsia" w:ascii="宋体" w:hAnsi="宋体" w:eastAsia="宋体" w:cs="宋体"/>
          <w:color w:val="auto"/>
          <w:sz w:val="24"/>
          <w:szCs w:val="24"/>
          <w:highlight w:val="none"/>
        </w:rPr>
      </w:pPr>
      <w:bookmarkStart w:id="139" w:name="_Toc14276"/>
      <w:r>
        <w:rPr>
          <w:rFonts w:hint="eastAsia" w:ascii="宋体" w:hAnsi="宋体" w:eastAsia="宋体" w:cs="宋体"/>
          <w:color w:val="auto"/>
          <w:sz w:val="24"/>
          <w:szCs w:val="24"/>
          <w:highlight w:val="none"/>
        </w:rPr>
        <w:t>三、评标原则</w:t>
      </w:r>
      <w:bookmarkEnd w:id="139"/>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numPr>
          <w:ilvl w:val="0"/>
          <w:numId w:val="3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价格合理，方案、产品先进、可靠。</w:t>
      </w:r>
    </w:p>
    <w:p>
      <w:pPr>
        <w:numPr>
          <w:ilvl w:val="0"/>
          <w:numId w:val="3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经营信誉。</w:t>
      </w:r>
    </w:p>
    <w:p>
      <w:pPr>
        <w:numPr>
          <w:ilvl w:val="0"/>
          <w:numId w:val="3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反对不正当竞争。</w:t>
      </w:r>
    </w:p>
    <w:p>
      <w:pPr>
        <w:pStyle w:val="8"/>
        <w:rPr>
          <w:rFonts w:hint="eastAsia" w:ascii="宋体" w:hAnsi="宋体" w:eastAsia="宋体" w:cs="宋体"/>
          <w:color w:val="auto"/>
          <w:sz w:val="24"/>
          <w:szCs w:val="24"/>
          <w:highlight w:val="none"/>
        </w:rPr>
      </w:pPr>
      <w:bookmarkStart w:id="140" w:name="_Toc17753"/>
      <w:r>
        <w:rPr>
          <w:rFonts w:hint="eastAsia" w:ascii="宋体" w:hAnsi="宋体" w:eastAsia="宋体" w:cs="宋体"/>
          <w:color w:val="auto"/>
          <w:sz w:val="24"/>
          <w:szCs w:val="24"/>
          <w:highlight w:val="none"/>
        </w:rPr>
        <w:t>四、评标程序</w:t>
      </w:r>
      <w:bookmarkEnd w:id="14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采购代理机构按照招标文件规定的时间、地点及程序组织评审。评审活动一般应按以下程序组织开展：</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开启评审场地的录音录像采集设备，并确保其正常运行。</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核验出席评审活动现场的评标委员会各成员身份，并要求其分别登记、签到，按规定统一收缴、保存其通讯工具，无关人员一律拒绝其进入评审现场。</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介绍评审现场的人员情况，宣布评审工作纪律，告知评标委员会应当回避情形；组织推选评标委员会组长。</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通报报名参加本项目的投标人名单及资格预审情况（如有），宣读最终提交投标文件且通过资格审查的投标人名单，组织评标委员会各位成员签订《政府采购评审人员廉洁自律承诺书》。</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做好评审现场相关记录，协助评标委员会组长做好评审报告起草、有关内容电脑文字录入等工作，并要求评标委员会各成员签字确认。</w:t>
      </w:r>
    </w:p>
    <w:p>
      <w:pPr>
        <w:numPr>
          <w:ilvl w:val="0"/>
          <w:numId w:val="3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评审结束后，采购代理机构交还评审人员及其他现场相关人员的通讯工具。</w:t>
      </w:r>
    </w:p>
    <w:p>
      <w:pPr>
        <w:pStyle w:val="8"/>
        <w:rPr>
          <w:rFonts w:hint="eastAsia" w:ascii="宋体" w:hAnsi="宋体" w:eastAsia="宋体" w:cs="宋体"/>
          <w:color w:val="auto"/>
          <w:sz w:val="24"/>
          <w:szCs w:val="24"/>
          <w:highlight w:val="none"/>
        </w:rPr>
      </w:pPr>
      <w:bookmarkStart w:id="141" w:name="_Toc2991"/>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投标文件的澄清</w:t>
      </w:r>
      <w:bookmarkEnd w:id="14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1.对投标文件审查中发现的投标文件表达含义不明确、同类问题表述不一致或者有明显文字与计算错误的内容，评标委员会可通过询标，要求投标人做出澄清。</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2.</w:t>
      </w:r>
      <w:r>
        <w:rPr>
          <w:rFonts w:hint="eastAsia" w:ascii="宋体" w:hAnsi="宋体" w:eastAsia="宋体" w:cs="宋体"/>
          <w:color w:val="auto"/>
          <w:highlight w:val="none"/>
        </w:rPr>
        <w:t>政采云有关询标</w:t>
      </w:r>
      <w:r>
        <w:rPr>
          <w:rFonts w:hint="eastAsia" w:eastAsia="宋体" w:cs="宋体"/>
          <w:color w:val="auto"/>
          <w:highlight w:val="none"/>
          <w:lang w:eastAsia="zh-CN"/>
        </w:rPr>
        <w:t>（澄清）</w:t>
      </w:r>
      <w:r>
        <w:rPr>
          <w:rFonts w:hint="eastAsia" w:ascii="宋体" w:hAnsi="宋体" w:eastAsia="宋体" w:cs="宋体"/>
          <w:color w:val="auto"/>
          <w:highlight w:val="none"/>
        </w:rPr>
        <w:t>操作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在开标过程中，如评审小组对</w:t>
      </w:r>
      <w:r>
        <w:rPr>
          <w:rFonts w:hint="eastAsia" w:eastAsia="宋体" w:cs="宋体"/>
          <w:color w:val="auto"/>
          <w:highlight w:val="none"/>
          <w:lang w:eastAsia="zh-CN"/>
        </w:rPr>
        <w:t>投标</w:t>
      </w:r>
      <w:r>
        <w:rPr>
          <w:rFonts w:hint="eastAsia" w:ascii="宋体" w:hAnsi="宋体" w:eastAsia="宋体" w:cs="宋体"/>
          <w:color w:val="auto"/>
          <w:highlight w:val="none"/>
        </w:rPr>
        <w:t>文件有疑问，由评审组长将问题汇总后发起询标函，或由采购代理机构代替发起。供应商在截止时间前，根据标项回复询标函。</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路径：用户中心—项目采购—询标澄清</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政采云平台通过待办事项和短信提醒供应商在截止时间前完成澄清。</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4.</w:t>
      </w:r>
      <w:r>
        <w:rPr>
          <w:rFonts w:hint="eastAsia" w:ascii="宋体" w:hAnsi="宋体" w:eastAsia="宋体" w:cs="宋体"/>
          <w:color w:val="auto"/>
          <w:highlight w:val="none"/>
        </w:rPr>
        <w:t>供应商在“询标澄清-待办理”标签页下选择状态为“待澄清”的项目，点击操作栏【澄清】。</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5.</w:t>
      </w:r>
      <w:r>
        <w:rPr>
          <w:rFonts w:hint="eastAsia" w:ascii="宋体" w:hAnsi="宋体" w:eastAsia="宋体" w:cs="宋体"/>
          <w:color w:val="auto"/>
          <w:highlight w:val="none"/>
        </w:rPr>
        <w:t>查看询标函内容，在澄清截止时间前上传澄清文件并对澄清文件进行签章。（注：澄清文件必须以 PDF 格式上传，文件大小：50M。）</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6.</w:t>
      </w:r>
      <w:r>
        <w:rPr>
          <w:rFonts w:hint="eastAsia" w:ascii="宋体" w:hAnsi="宋体" w:eastAsia="宋体" w:cs="宋体"/>
          <w:color w:val="auto"/>
          <w:highlight w:val="none"/>
        </w:rPr>
        <w:t>签章完成，文件名称处显示“已签章”，供应商可“撤回签章”修改澄清函和“查看文件”。</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7.</w:t>
      </w:r>
      <w:r>
        <w:rPr>
          <w:rFonts w:hint="eastAsia" w:ascii="宋体" w:hAnsi="宋体" w:eastAsia="宋体" w:cs="宋体"/>
          <w:color w:val="auto"/>
          <w:highlight w:val="none"/>
        </w:rPr>
        <w:t>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8.</w:t>
      </w:r>
      <w:r>
        <w:rPr>
          <w:rFonts w:hint="eastAsia" w:ascii="宋体" w:hAnsi="宋体" w:eastAsia="宋体" w:cs="宋体"/>
          <w:color w:val="auto"/>
          <w:highlight w:val="none"/>
        </w:rPr>
        <w:t>完成状态：供应商澄清文件提交成功后，在“询标澄清-全部”标签页下显示状态为“已澄清”。</w:t>
      </w:r>
    </w:p>
    <w:p>
      <w:pPr>
        <w:ind w:firstLine="480"/>
        <w:rPr>
          <w:rFonts w:hint="eastAsia" w:ascii="宋体" w:hAnsi="宋体" w:eastAsia="宋体" w:cs="宋体"/>
          <w:color w:val="auto"/>
          <w:highlight w:val="none"/>
        </w:rPr>
      </w:pPr>
      <w:r>
        <w:rPr>
          <w:rFonts w:hint="eastAsia" w:eastAsia="宋体" w:cs="宋体"/>
          <w:color w:val="auto"/>
          <w:highlight w:val="none"/>
          <w:lang w:val="en-US" w:eastAsia="zh-CN"/>
        </w:rPr>
        <w:t>9</w:t>
      </w:r>
      <w:r>
        <w:rPr>
          <w:rFonts w:hint="eastAsia" w:ascii="宋体" w:hAnsi="宋体" w:eastAsia="宋体" w:cs="宋体"/>
          <w:color w:val="auto"/>
          <w:highlight w:val="none"/>
        </w:rPr>
        <w:t>.投标人对投标文件的澄清不得超出投标文件的范围或改变投标价格等投标文件的实质性内容。否则，不予接受。</w:t>
      </w:r>
    </w:p>
    <w:p>
      <w:pPr>
        <w:snapToGrid w:val="0"/>
        <w:spacing w:line="360" w:lineRule="auto"/>
        <w:ind w:firstLine="480" w:firstLineChars="200"/>
        <w:rPr>
          <w:rFonts w:hint="eastAsia" w:ascii="宋体" w:hAnsi="宋体"/>
          <w:color w:val="auto"/>
          <w:kern w:val="0"/>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评审小组发出澄清内容后，供应商应当在</w:t>
      </w:r>
      <w:r>
        <w:rPr>
          <w:rFonts w:hint="eastAsia" w:ascii="宋体" w:hAnsi="宋体"/>
          <w:i/>
          <w:color w:val="auto"/>
          <w:szCs w:val="21"/>
          <w:highlight w:val="none"/>
          <w:u w:val="single"/>
        </w:rPr>
        <w:t>规定的时间</w:t>
      </w:r>
      <w:r>
        <w:rPr>
          <w:rFonts w:hint="eastAsia" w:ascii="宋体" w:hAnsi="宋体"/>
          <w:color w:val="auto"/>
          <w:szCs w:val="21"/>
          <w:highlight w:val="none"/>
        </w:rPr>
        <w:t>内提交澄清说明或补正，否则视为供应商放弃答复，并</w:t>
      </w:r>
      <w:r>
        <w:rPr>
          <w:rFonts w:hint="eastAsia" w:ascii="宋体" w:hAnsi="宋体"/>
          <w:color w:val="auto"/>
          <w:kern w:val="0"/>
          <w:szCs w:val="21"/>
          <w:highlight w:val="none"/>
        </w:rPr>
        <w:t>自行承担因此而产生的不利后果。</w:t>
      </w:r>
    </w:p>
    <w:p>
      <w:pPr>
        <w:numPr>
          <w:ilvl w:val="-1"/>
          <w:numId w:val="0"/>
        </w:numPr>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cs="宋体"/>
          <w:color w:val="auto"/>
          <w:highlight w:val="none"/>
          <w:lang w:val="en-US" w:eastAsia="zh-CN"/>
        </w:rPr>
        <w:t>1</w:t>
      </w:r>
      <w:r>
        <w:rPr>
          <w:rFonts w:hint="eastAsia" w:ascii="宋体" w:hAnsi="宋体" w:eastAsia="宋体" w:cs="宋体"/>
          <w:color w:val="auto"/>
          <w:highlight w:val="none"/>
          <w:lang w:val="en-US" w:eastAsia="zh-CN"/>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8"/>
        <w:rPr>
          <w:rFonts w:hint="eastAsia" w:ascii="宋体" w:hAnsi="宋体" w:eastAsia="宋体" w:cs="宋体"/>
          <w:color w:val="auto"/>
          <w:sz w:val="24"/>
          <w:szCs w:val="24"/>
          <w:highlight w:val="none"/>
          <w:lang w:val="en-US" w:eastAsia="zh-CN"/>
        </w:rPr>
      </w:pPr>
      <w:bookmarkStart w:id="142" w:name="_Toc19231"/>
      <w:r>
        <w:rPr>
          <w:rFonts w:hint="eastAsia" w:ascii="宋体" w:hAnsi="宋体" w:eastAsia="宋体" w:cs="宋体"/>
          <w:color w:val="auto"/>
          <w:sz w:val="24"/>
          <w:szCs w:val="24"/>
          <w:highlight w:val="none"/>
          <w:lang w:val="en-US" w:eastAsia="zh-CN"/>
        </w:rPr>
        <w:t>六、错误修正</w:t>
      </w:r>
      <w:bookmarkEnd w:id="14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评标委员会将对确定为实质上响应采购文件要求的投标文件进行校核，看其在投标报价方面是否有计算、累计或表达上的错误，修正错误的原则及顺序如下：</w:t>
      </w:r>
    </w:p>
    <w:p>
      <w:pPr>
        <w:numPr>
          <w:ilvl w:val="0"/>
          <w:numId w:val="3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投标文件中开标一览表（报价表）内容与投标文件中相应内容不一致的，以开标一览表（报价表）为准；</w:t>
      </w:r>
    </w:p>
    <w:p>
      <w:pPr>
        <w:numPr>
          <w:ilvl w:val="0"/>
          <w:numId w:val="3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大写金额和小写金额不一致的，以大写金额为准；</w:t>
      </w:r>
    </w:p>
    <w:p>
      <w:pPr>
        <w:numPr>
          <w:ilvl w:val="0"/>
          <w:numId w:val="3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单价金额小数点或者百分比有明显错位的，以开标一览表的总价为准，并修改单价；</w:t>
      </w:r>
    </w:p>
    <w:p>
      <w:pPr>
        <w:numPr>
          <w:ilvl w:val="0"/>
          <w:numId w:val="3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总价金额与按单价汇总金额不一致的，以单价金额计算结果为准。</w:t>
      </w:r>
    </w:p>
    <w:p>
      <w:pPr>
        <w:numPr>
          <w:ilvl w:val="0"/>
          <w:numId w:val="3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pPr>
        <w:numPr>
          <w:ilvl w:val="0"/>
          <w:numId w:val="3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同时出现两种以上不一致的，按照前款规定的顺序修正。修正后的报价以澄清方式经供应商确认后产生约束力，供应商不确认的，其投标无效。</w:t>
      </w:r>
    </w:p>
    <w:p>
      <w:pPr>
        <w:pStyle w:val="8"/>
        <w:rPr>
          <w:rFonts w:hint="eastAsia" w:ascii="宋体" w:hAnsi="宋体" w:eastAsia="宋体" w:cs="宋体"/>
          <w:color w:val="auto"/>
          <w:sz w:val="24"/>
          <w:szCs w:val="24"/>
          <w:highlight w:val="none"/>
        </w:rPr>
      </w:pPr>
      <w:bookmarkStart w:id="143" w:name="_Toc30310"/>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、投标无效的情形</w:t>
      </w:r>
      <w:bookmarkEnd w:id="143"/>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（一）在符合性审查、商务和技术评审时，如发现下列情形之一的，投标文件将被视为无效：</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供应商提交两份或两份以上内容不同的投标方案，未声明哪一份有效的；</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投标文件非供应商法定代表人签署的，未提供或提供无效的法定代表人授权书；</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投标文件内容不全或内容字迹模糊辨认不清的等而导致评标活动无法正常进行；</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供应商未按采购文件变更通知更改投标文件的；</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未实质性响应采购文件中带“▲”条款要求的投标文件；</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投标有效期、交货期、质保期等商务条款不能满足招标文件要求的；</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投标文件附有采购人不能接受的条款；</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投标文件中提供了与采购无关的赠品、回扣或者其他商品、服务；</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供应商串通投标，妨碍其他供应商的竞争行为，损害采购人或者其他供应商的合法权益；</w:t>
      </w:r>
    </w:p>
    <w:p>
      <w:pPr>
        <w:numPr>
          <w:ilvl w:val="0"/>
          <w:numId w:val="3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违反国家及政府部门相关法律、法规、文件规定或经评标委员会认定的其他属于重大偏离。</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（二）报价文件评审阶段：</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供应商提交两份或两份以上内容不同的投标报价，未声明哪一份有效的；</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《开标一览表》和《投标价格组成明细表》内容不完整且不接受修正意见或字迹不能辨认的或未提供；</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所投标项的投标报价超过采购文件规定的预算金额或最高限价；</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《开标一览表》投标报价为零的，或其报价（大写）无法按正常书写方式进行报价唱标的或无投标报价的；</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cs="宋体"/>
          <w:color w:val="auto"/>
          <w:sz w:val="24"/>
          <w:szCs w:val="24"/>
          <w:highlight w:val="none"/>
        </w:rPr>
        <w:t>明显低于其他通过符合性审查投标人的报价，有可能影响产品质量或者不能诚信履约的</w:t>
      </w:r>
      <w:r>
        <w:rPr>
          <w:rFonts w:hint="eastAsia" w:ascii="宋体" w:hAnsi="宋体" w:eastAsia="宋体" w:cs="宋体"/>
          <w:color w:val="auto"/>
          <w:highlight w:val="none"/>
        </w:rPr>
        <w:t>，且在规定时间内不能合理说明原因并提供证明材料的；</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投标文件内容不全或内容字迹模糊辨认不清的等而导致评标活动无法正常进行；</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采购人拟采购的产品属于政府强制采购的节能产品品目清单范围的，投标人未按招标文件要求提供国家确定的认证机构出具的、处于有效期之内的节能产品认证证书的；</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投标有效期、交货期、质保期等商务条款不能满足招标文件要求的；</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投标文件附有采购人不能接受的条款；</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投标文件中提供了与采购无关的赠品、回扣或者其他商品、服务；</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供应商串通投标，妨碍其他供应商的竞争行为，损害采购人或者其他供应商的合法权益；</w:t>
      </w:r>
    </w:p>
    <w:p>
      <w:pPr>
        <w:numPr>
          <w:ilvl w:val="0"/>
          <w:numId w:val="4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违反国家及政府部门相关法律、法规、文件规定或经评标委员会认定的其他属于重大偏离。</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（三）有下列情形之一的，视为投标人串通投标，其投标无效，由采购人或采购代理机构上报政府采购监督管理部门，视情列入不良行为记录名单，在一至三年内禁止参加政府采购活动：</w:t>
      </w:r>
    </w:p>
    <w:p>
      <w:pPr>
        <w:numPr>
          <w:ilvl w:val="0"/>
          <w:numId w:val="4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不同投标人的投标文件由同一单位或者个人编制；</w:t>
      </w:r>
    </w:p>
    <w:p>
      <w:pPr>
        <w:numPr>
          <w:ilvl w:val="0"/>
          <w:numId w:val="4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不同投标人委托同一单位或者个人办理投标事宜；</w:t>
      </w:r>
    </w:p>
    <w:p>
      <w:pPr>
        <w:numPr>
          <w:ilvl w:val="0"/>
          <w:numId w:val="4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不同投标人的投标文件载明的项目管理成员或者联系人员为同一人；</w:t>
      </w:r>
    </w:p>
    <w:p>
      <w:pPr>
        <w:numPr>
          <w:ilvl w:val="0"/>
          <w:numId w:val="4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不同投标人的投标文件异常一致或者投标报价呈规律性差异；</w:t>
      </w:r>
    </w:p>
    <w:p>
      <w:pPr>
        <w:numPr>
          <w:ilvl w:val="0"/>
          <w:numId w:val="4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不同投标人的投标文件相互混装；</w:t>
      </w:r>
    </w:p>
    <w:p>
      <w:pPr>
        <w:pStyle w:val="8"/>
        <w:rPr>
          <w:rFonts w:hint="eastAsia" w:ascii="宋体" w:hAnsi="宋体" w:eastAsia="宋体" w:cs="宋体"/>
          <w:color w:val="auto"/>
          <w:sz w:val="24"/>
          <w:szCs w:val="24"/>
          <w:highlight w:val="none"/>
        </w:rPr>
      </w:pPr>
      <w:bookmarkStart w:id="144" w:name="_Toc5376"/>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、投标品牌认定（依据《财政部令第87号》）</w:t>
      </w:r>
      <w:bookmarkEnd w:id="144"/>
    </w:p>
    <w:p>
      <w:pPr>
        <w:numPr>
          <w:ilvl w:val="0"/>
          <w:numId w:val="4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0"/>
          <w:numId w:val="4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cs="宋体"/>
          <w:color w:val="auto"/>
          <w:highlight w:val="none"/>
          <w:lang w:eastAsia="zh-CN"/>
        </w:rPr>
        <w:t>：</w:t>
      </w:r>
      <w:r>
        <w:rPr>
          <w:rFonts w:hint="eastAsia" w:ascii="宋体" w:hAnsi="宋体" w:eastAsia="宋体" w:cs="宋体"/>
          <w:color w:val="auto"/>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4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8"/>
        <w:rPr>
          <w:rFonts w:hint="eastAsia" w:ascii="宋体" w:hAnsi="宋体" w:eastAsia="宋体" w:cs="宋体"/>
          <w:color w:val="auto"/>
          <w:sz w:val="24"/>
          <w:szCs w:val="24"/>
          <w:highlight w:val="none"/>
        </w:rPr>
      </w:pPr>
      <w:bookmarkStart w:id="145" w:name="_Toc85"/>
      <w:r>
        <w:rPr>
          <w:rFonts w:hint="eastAsia" w:ascii="宋体" w:hAnsi="宋体" w:eastAsia="宋体" w:cs="宋体"/>
          <w:color w:val="auto"/>
          <w:sz w:val="24"/>
          <w:szCs w:val="24"/>
          <w:highlight w:val="none"/>
        </w:rPr>
        <w:t>九、评标办法</w:t>
      </w:r>
      <w:bookmarkEnd w:id="14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标准》。</w:t>
      </w:r>
    </w:p>
    <w:p>
      <w:pPr>
        <w:bidi w:val="0"/>
        <w:rPr>
          <w:rFonts w:hint="eastAsia"/>
          <w:color w:val="auto"/>
          <w:highlight w:val="none"/>
        </w:rPr>
      </w:pPr>
    </w:p>
    <w:p>
      <w:pPr>
        <w:pStyle w:val="7"/>
        <w:jc w:val="center"/>
        <w:rPr>
          <w:rFonts w:hint="eastAsia" w:ascii="宋体" w:hAnsi="宋体" w:eastAsia="宋体" w:cs="宋体"/>
          <w:color w:val="auto"/>
          <w:highlight w:val="none"/>
        </w:rPr>
      </w:pPr>
      <w:bookmarkStart w:id="146" w:name="_Toc12192"/>
      <w:bookmarkStart w:id="147" w:name="_Toc15663"/>
      <w:bookmarkStart w:id="148" w:name="_Toc31535"/>
      <w:bookmarkStart w:id="149" w:name="_Toc24239"/>
      <w:r>
        <w:rPr>
          <w:rFonts w:hint="eastAsia" w:ascii="宋体" w:hAnsi="宋体" w:eastAsia="宋体" w:cs="宋体"/>
          <w:color w:val="auto"/>
          <w:highlight w:val="none"/>
        </w:rPr>
        <w:t>第七节 授予合同</w:t>
      </w:r>
      <w:bookmarkEnd w:id="146"/>
      <w:bookmarkEnd w:id="147"/>
      <w:bookmarkEnd w:id="148"/>
      <w:bookmarkEnd w:id="149"/>
    </w:p>
    <w:p>
      <w:pPr>
        <w:pStyle w:val="8"/>
        <w:rPr>
          <w:rFonts w:hint="eastAsia" w:ascii="宋体" w:hAnsi="宋体" w:eastAsia="宋体" w:cs="宋体"/>
          <w:color w:val="auto"/>
          <w:sz w:val="24"/>
          <w:szCs w:val="24"/>
          <w:highlight w:val="none"/>
        </w:rPr>
      </w:pPr>
      <w:bookmarkStart w:id="150" w:name="_Toc14799"/>
      <w:r>
        <w:rPr>
          <w:rFonts w:hint="eastAsia" w:ascii="宋体" w:hAnsi="宋体" w:eastAsia="宋体" w:cs="宋体"/>
          <w:color w:val="auto"/>
          <w:sz w:val="24"/>
          <w:szCs w:val="24"/>
          <w:highlight w:val="none"/>
        </w:rPr>
        <w:t>一、公告及定标</w:t>
      </w:r>
      <w:bookmarkEnd w:id="150"/>
    </w:p>
    <w:p>
      <w:pPr>
        <w:numPr>
          <w:ilvl w:val="0"/>
          <w:numId w:val="4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采购代理机构自评审结束之日起2个工作日内将评审报告送交采购人。采购人收到评审报告之日起5个工作日内在评审报告推荐的中标候选人中按顺序确定中标供应商。</w:t>
      </w:r>
    </w:p>
    <w:p>
      <w:pPr>
        <w:numPr>
          <w:ilvl w:val="0"/>
          <w:numId w:val="4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采购代理机构自中标供应商确定之日起2个工作日内，发出中标通知书，并在浙江政府采购网等相关网站或媒体上公告中标结果。中标公告期限为1个工作日。</w:t>
      </w:r>
    </w:p>
    <w:p>
      <w:pPr>
        <w:pStyle w:val="8"/>
        <w:rPr>
          <w:rFonts w:hint="eastAsia" w:ascii="宋体" w:hAnsi="宋体" w:eastAsia="宋体" w:cs="宋体"/>
          <w:color w:val="auto"/>
          <w:sz w:val="24"/>
          <w:szCs w:val="24"/>
          <w:highlight w:val="none"/>
        </w:rPr>
      </w:pPr>
      <w:bookmarkStart w:id="151" w:name="_Toc20286"/>
      <w:r>
        <w:rPr>
          <w:rFonts w:hint="eastAsia" w:ascii="宋体" w:hAnsi="宋体" w:eastAsia="宋体" w:cs="宋体"/>
          <w:color w:val="auto"/>
          <w:sz w:val="24"/>
          <w:szCs w:val="24"/>
          <w:highlight w:val="none"/>
        </w:rPr>
        <w:t>二、签订合同</w:t>
      </w:r>
      <w:bookmarkEnd w:id="151"/>
    </w:p>
    <w:p>
      <w:pPr>
        <w:numPr>
          <w:ilvl w:val="0"/>
          <w:numId w:val="4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numPr>
          <w:ilvl w:val="0"/>
          <w:numId w:val="4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招标文件，中标人的投标文件及评标过程中有关澄清文件均应作为合同附件。</w:t>
      </w:r>
    </w:p>
    <w:p>
      <w:pPr>
        <w:bidi w:val="0"/>
        <w:rPr>
          <w:rFonts w:hint="eastAsia"/>
          <w:color w:val="auto"/>
          <w:highlight w:val="none"/>
        </w:rPr>
      </w:pPr>
    </w:p>
    <w:p>
      <w:pPr>
        <w:pStyle w:val="7"/>
        <w:bidi w:val="0"/>
        <w:ind w:left="0" w:leftChars="0" w:right="0" w:rightChars="0" w:firstLine="0" w:firstLineChars="0"/>
        <w:jc w:val="center"/>
        <w:rPr>
          <w:rFonts w:hint="eastAsia"/>
          <w:color w:val="auto"/>
          <w:highlight w:val="none"/>
        </w:rPr>
      </w:pPr>
      <w:bookmarkStart w:id="152" w:name="_Toc15220"/>
      <w:bookmarkStart w:id="153" w:name="_Toc15982"/>
      <w:bookmarkStart w:id="154" w:name="_Toc14481"/>
      <w:bookmarkStart w:id="155" w:name="_Toc12481"/>
      <w:r>
        <w:rPr>
          <w:rFonts w:hint="eastAsia"/>
          <w:color w:val="auto"/>
          <w:highlight w:val="none"/>
        </w:rPr>
        <w:t>第八节 例外处理</w:t>
      </w:r>
      <w:bookmarkEnd w:id="152"/>
      <w:bookmarkEnd w:id="153"/>
      <w:bookmarkEnd w:id="154"/>
      <w:bookmarkEnd w:id="15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可将本标项作废标处理，重新组织采购；</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可按财政部门的审批意见采用其他采购方式组织采购。</w:t>
      </w:r>
    </w:p>
    <w:p>
      <w:pPr>
        <w:numPr>
          <w:ilvl w:val="0"/>
          <w:numId w:val="4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出现以下情形，导致电子交易平台无法正常运行，或者无法保证电子交易的公平、公正和安全时，中止电子交易活动：</w:t>
      </w:r>
    </w:p>
    <w:p>
      <w:pPr>
        <w:spacing w:line="360" w:lineRule="auto"/>
        <w:ind w:firstLine="480" w:firstLineChars="200"/>
        <w:rPr>
          <w:rFonts w:hint="eastAsia" w:ascii="宋体" w:hAnsi="宋体"/>
          <w:color w:val="auto"/>
          <w:highlight w:val="none"/>
        </w:rPr>
      </w:pPr>
      <w:r>
        <w:rPr>
          <w:rFonts w:hint="eastAsia"/>
          <w:color w:val="auto"/>
          <w:highlight w:val="none"/>
          <w:lang w:val="en-US" w:eastAsia="zh-CN"/>
        </w:rPr>
        <w:t>a</w:t>
      </w:r>
      <w:r>
        <w:rPr>
          <w:rFonts w:hint="eastAsia" w:ascii="宋体" w:hAnsi="宋体"/>
          <w:color w:val="auto"/>
          <w:highlight w:val="none"/>
        </w:rPr>
        <w:t>.电子交易平台发生故障而无法登录访问的；</w:t>
      </w:r>
    </w:p>
    <w:p>
      <w:pPr>
        <w:spacing w:line="360" w:lineRule="auto"/>
        <w:ind w:firstLine="480" w:firstLineChars="200"/>
        <w:rPr>
          <w:rFonts w:hint="eastAsia" w:ascii="宋体" w:hAnsi="宋体"/>
          <w:color w:val="auto"/>
          <w:highlight w:val="none"/>
        </w:rPr>
      </w:pPr>
      <w:r>
        <w:rPr>
          <w:rFonts w:hint="eastAsia"/>
          <w:color w:val="auto"/>
          <w:highlight w:val="none"/>
          <w:lang w:val="en-US" w:eastAsia="zh-CN"/>
        </w:rPr>
        <w:t>b</w:t>
      </w:r>
      <w:r>
        <w:rPr>
          <w:rFonts w:hint="eastAsia" w:ascii="宋体" w:hAnsi="宋体"/>
          <w:color w:val="auto"/>
          <w:highlight w:val="none"/>
        </w:rPr>
        <w:t>.电子交易平台应用或数据库出现错误，不能进行正常操作的；</w:t>
      </w:r>
    </w:p>
    <w:p>
      <w:pPr>
        <w:spacing w:line="360" w:lineRule="auto"/>
        <w:ind w:firstLine="480" w:firstLineChars="200"/>
        <w:rPr>
          <w:rFonts w:hint="eastAsia" w:ascii="宋体" w:hAnsi="宋体"/>
          <w:color w:val="auto"/>
          <w:highlight w:val="none"/>
        </w:rPr>
      </w:pPr>
      <w:r>
        <w:rPr>
          <w:rFonts w:hint="eastAsia"/>
          <w:color w:val="auto"/>
          <w:highlight w:val="none"/>
          <w:lang w:val="en-US" w:eastAsia="zh-CN"/>
        </w:rPr>
        <w:t>c</w:t>
      </w:r>
      <w:r>
        <w:rPr>
          <w:rFonts w:hint="eastAsia" w:ascii="宋体" w:hAnsi="宋体"/>
          <w:color w:val="auto"/>
          <w:highlight w:val="none"/>
        </w:rPr>
        <w:t>.电子交易平台发现严重安全漏洞，有潜在泄密危险的；</w:t>
      </w:r>
    </w:p>
    <w:p>
      <w:pPr>
        <w:spacing w:line="360" w:lineRule="auto"/>
        <w:ind w:firstLine="480" w:firstLineChars="200"/>
        <w:rPr>
          <w:rFonts w:hint="eastAsia" w:ascii="宋体" w:hAnsi="宋体"/>
          <w:color w:val="auto"/>
          <w:highlight w:val="none"/>
        </w:rPr>
      </w:pPr>
      <w:r>
        <w:rPr>
          <w:rFonts w:hint="eastAsia"/>
          <w:color w:val="auto"/>
          <w:highlight w:val="none"/>
          <w:lang w:val="en-US" w:eastAsia="zh-CN"/>
        </w:rPr>
        <w:t>d</w:t>
      </w:r>
      <w:r>
        <w:rPr>
          <w:rFonts w:hint="eastAsia" w:ascii="宋体" w:hAnsi="宋体"/>
          <w:color w:val="auto"/>
          <w:highlight w:val="none"/>
        </w:rPr>
        <w:t>.病毒发作导致不能进行正常操作的；</w:t>
      </w:r>
    </w:p>
    <w:p>
      <w:pPr>
        <w:spacing w:line="360" w:lineRule="auto"/>
        <w:ind w:firstLine="480" w:firstLineChars="200"/>
        <w:rPr>
          <w:rFonts w:hint="eastAsia" w:ascii="宋体" w:hAnsi="宋体"/>
          <w:color w:val="auto"/>
          <w:highlight w:val="none"/>
        </w:rPr>
      </w:pPr>
      <w:r>
        <w:rPr>
          <w:rFonts w:hint="eastAsia"/>
          <w:color w:val="auto"/>
          <w:highlight w:val="none"/>
          <w:lang w:val="en-US" w:eastAsia="zh-CN"/>
        </w:rPr>
        <w:t>e</w:t>
      </w:r>
      <w:r>
        <w:rPr>
          <w:rFonts w:hint="eastAsia" w:ascii="宋体" w:hAnsi="宋体"/>
          <w:color w:val="auto"/>
          <w:highlight w:val="none"/>
        </w:rPr>
        <w:t>.其他无法保证电子交易的公平、公正和安全的情况。</w:t>
      </w:r>
    </w:p>
    <w:p>
      <w:pPr>
        <w:spacing w:line="360" w:lineRule="auto"/>
        <w:ind w:firstLine="480" w:firstLineChars="200"/>
        <w:rPr>
          <w:rFonts w:hint="eastAsia" w:ascii="宋体" w:hAnsi="宋体"/>
          <w:color w:val="auto"/>
          <w:highlight w:val="none"/>
        </w:rPr>
      </w:pPr>
      <w:r>
        <w:rPr>
          <w:rFonts w:hint="eastAsia"/>
          <w:color w:val="auto"/>
          <w:highlight w:val="none"/>
          <w:lang w:val="en-US" w:eastAsia="zh-CN"/>
        </w:rPr>
        <w:t>f.</w:t>
      </w:r>
      <w:r>
        <w:rPr>
          <w:rFonts w:hint="eastAsia" w:ascii="宋体" w:hAnsi="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6"/>
        <w:rPr>
          <w:rFonts w:hint="eastAsia"/>
          <w:color w:val="auto"/>
          <w:highlight w:val="none"/>
        </w:rPr>
        <w:sectPr>
          <w:pgSz w:w="11906" w:h="16838"/>
          <w:pgMar w:top="1440" w:right="1080" w:bottom="1440" w:left="1080" w:header="850" w:footer="992" w:gutter="0"/>
          <w:pgBorders>
            <w:top w:val="none" w:sz="0" w:space="0"/>
            <w:left w:val="none" w:sz="0" w:space="0"/>
            <w:bottom w:val="none" w:sz="0" w:space="0"/>
            <w:right w:val="none" w:sz="0" w:space="0"/>
          </w:pgBorders>
          <w:cols w:space="720" w:num="1"/>
          <w:docGrid w:linePitch="381" w:charSpace="0"/>
        </w:sectPr>
      </w:pPr>
    </w:p>
    <w:p>
      <w:pPr>
        <w:pStyle w:val="6"/>
        <w:bidi w:val="0"/>
        <w:rPr>
          <w:rFonts w:hint="eastAsia"/>
          <w:color w:val="auto"/>
          <w:highlight w:val="none"/>
        </w:rPr>
      </w:pPr>
      <w:bookmarkStart w:id="156" w:name="_Toc82873316"/>
      <w:bookmarkStart w:id="157" w:name="_Toc82338233"/>
      <w:bookmarkStart w:id="158" w:name="_Toc450840079"/>
      <w:bookmarkStart w:id="159" w:name="_Toc16410"/>
      <w:bookmarkStart w:id="160" w:name="_Toc21368"/>
      <w:r>
        <w:rPr>
          <w:rFonts w:hint="eastAsia"/>
          <w:color w:val="auto"/>
          <w:highlight w:val="none"/>
        </w:rPr>
        <w:t xml:space="preserve">第四章 </w:t>
      </w:r>
      <w:bookmarkEnd w:id="156"/>
      <w:bookmarkEnd w:id="157"/>
      <w:bookmarkEnd w:id="158"/>
      <w:r>
        <w:rPr>
          <w:rFonts w:hint="eastAsia"/>
          <w:color w:val="auto"/>
          <w:highlight w:val="none"/>
        </w:rPr>
        <w:t>评标办法及评分标准</w:t>
      </w:r>
      <w:bookmarkEnd w:id="159"/>
      <w:bookmarkEnd w:id="160"/>
    </w:p>
    <w:p>
      <w:pPr>
        <w:pStyle w:val="7"/>
        <w:bidi w:val="0"/>
        <w:rPr>
          <w:rFonts w:hint="eastAsia"/>
          <w:color w:val="auto"/>
          <w:highlight w:val="none"/>
        </w:rPr>
      </w:pPr>
      <w:bookmarkStart w:id="161" w:name="_Toc29775"/>
      <w:bookmarkStart w:id="162" w:name="_Toc3017"/>
      <w:bookmarkStart w:id="163" w:name="_Toc3811"/>
      <w:bookmarkStart w:id="164" w:name="_Toc11391"/>
      <w:bookmarkStart w:id="165" w:name="OLE_LINK3"/>
      <w:bookmarkStart w:id="166" w:name="_Toc3110"/>
      <w:r>
        <w:rPr>
          <w:rFonts w:hint="eastAsia"/>
          <w:color w:val="auto"/>
          <w:highlight w:val="none"/>
        </w:rPr>
        <w:t>一、评分总则</w:t>
      </w:r>
      <w:bookmarkEnd w:id="161"/>
      <w:bookmarkEnd w:id="162"/>
      <w:r>
        <w:rPr>
          <w:rFonts w:hint="eastAsia"/>
          <w:color w:val="auto"/>
          <w:highlight w:val="none"/>
        </w:rPr>
        <w:t xml:space="preserve">  </w:t>
      </w:r>
    </w:p>
    <w:p>
      <w:pPr>
        <w:bidi w:val="0"/>
        <w:rPr>
          <w:rFonts w:hint="eastAsia"/>
          <w:color w:val="auto"/>
          <w:highlight w:val="none"/>
        </w:rPr>
      </w:pPr>
      <w:r>
        <w:rPr>
          <w:rFonts w:hint="eastAsia"/>
          <w:color w:val="auto"/>
          <w:highlight w:val="none"/>
        </w:rPr>
        <w:t>以招标文件要求为基础，考虑各项相关因素的影响，将相关因素以定量计算的办法转换成分数表示形式，以最高“评标分数”确定评标结果顺序。</w:t>
      </w:r>
    </w:p>
    <w:p>
      <w:pPr>
        <w:bidi w:val="0"/>
        <w:rPr>
          <w:rFonts w:hint="eastAsia"/>
          <w:color w:val="auto"/>
          <w:highlight w:val="none"/>
        </w:rPr>
      </w:pPr>
      <w:r>
        <w:rPr>
          <w:rFonts w:hint="eastAsia"/>
          <w:color w:val="auto"/>
          <w:highlight w:val="none"/>
        </w:rPr>
        <w:t>本次招标的评标采用</w:t>
      </w:r>
      <w:r>
        <w:rPr>
          <w:rFonts w:hint="eastAsia"/>
          <w:b/>
          <w:bCs/>
          <w:color w:val="auto"/>
          <w:highlight w:val="none"/>
        </w:rPr>
        <w:t>综合评分法</w:t>
      </w:r>
      <w:r>
        <w:rPr>
          <w:rFonts w:hint="eastAsia"/>
          <w:color w:val="auto"/>
          <w:highlight w:val="none"/>
        </w:rPr>
        <w:t>。</w:t>
      </w:r>
    </w:p>
    <w:bookmarkEnd w:id="163"/>
    <w:bookmarkEnd w:id="164"/>
    <w:bookmarkEnd w:id="165"/>
    <w:bookmarkEnd w:id="166"/>
    <w:p>
      <w:pPr>
        <w:bidi w:val="0"/>
        <w:rPr>
          <w:rFonts w:hint="eastAsia"/>
          <w:color w:val="auto"/>
          <w:highlight w:val="none"/>
        </w:rPr>
      </w:pPr>
      <w:bookmarkStart w:id="167" w:name="_Toc82873317"/>
      <w:bookmarkStart w:id="168" w:name="_Toc450840083"/>
      <w:bookmarkStart w:id="169" w:name="_Toc82338234"/>
      <w:r>
        <w:rPr>
          <w:rFonts w:hint="eastAsia"/>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bidi w:val="0"/>
        <w:rPr>
          <w:rFonts w:hint="eastAsia"/>
          <w:color w:val="auto"/>
          <w:highlight w:val="none"/>
        </w:rPr>
      </w:pPr>
      <w:r>
        <w:rPr>
          <w:rFonts w:hint="eastAsia"/>
          <w:color w:val="auto"/>
          <w:highlight w:val="none"/>
        </w:rPr>
        <w:t>评分过程中采用四舍五入法，并保留小数2位</w:t>
      </w:r>
    </w:p>
    <w:p>
      <w:pPr>
        <w:bidi w:val="0"/>
        <w:rPr>
          <w:rFonts w:hint="eastAsia"/>
          <w:color w:val="auto"/>
          <w:highlight w:val="none"/>
        </w:rPr>
      </w:pPr>
      <w:r>
        <w:rPr>
          <w:rFonts w:hint="eastAsia"/>
          <w:color w:val="auto"/>
          <w:highlight w:val="none"/>
        </w:rPr>
        <w:t>投标人评标综合得分=商务分+技术分+价格分</w:t>
      </w:r>
    </w:p>
    <w:p>
      <w:pPr>
        <w:bidi w:val="0"/>
        <w:rPr>
          <w:rFonts w:hint="eastAsia"/>
          <w:color w:val="auto"/>
          <w:highlight w:val="none"/>
        </w:rPr>
      </w:pPr>
      <w:r>
        <w:rPr>
          <w:rFonts w:hint="eastAsia"/>
          <w:color w:val="auto"/>
          <w:highlight w:val="none"/>
        </w:rPr>
        <w:t>商务技术分按照评标委员会成员的独立评分结果的算术平均分计算，计算公式为：商务技术分=（评标委员会所有成员评分合计数）/（评标委员会组成人员数）</w:t>
      </w:r>
    </w:p>
    <w:p>
      <w:pPr>
        <w:pStyle w:val="7"/>
        <w:bidi w:val="0"/>
        <w:rPr>
          <w:rFonts w:hint="eastAsia"/>
          <w:color w:val="auto"/>
          <w:highlight w:val="none"/>
        </w:rPr>
      </w:pPr>
      <w:bookmarkStart w:id="170" w:name="_Toc7047"/>
      <w:bookmarkStart w:id="171" w:name="_Toc23140"/>
      <w:bookmarkStart w:id="172" w:name="_Toc7789"/>
      <w:bookmarkStart w:id="173" w:name="_Toc30517"/>
      <w:bookmarkStart w:id="174" w:name="_Toc30520"/>
      <w:r>
        <w:rPr>
          <w:rFonts w:hint="eastAsia"/>
          <w:color w:val="auto"/>
          <w:highlight w:val="none"/>
        </w:rPr>
        <w:t>二、评标程序</w:t>
      </w:r>
      <w:bookmarkEnd w:id="170"/>
      <w:bookmarkEnd w:id="171"/>
    </w:p>
    <w:p>
      <w:pPr>
        <w:ind w:firstLine="482"/>
        <w:rPr>
          <w:rFonts w:hint="eastAsia" w:cs="宋体"/>
          <w:b/>
          <w:color w:val="auto"/>
          <w:highlight w:val="none"/>
        </w:rPr>
      </w:pPr>
      <w:r>
        <w:rPr>
          <w:rFonts w:hint="eastAsia" w:cs="宋体"/>
          <w:b/>
          <w:color w:val="auto"/>
          <w:highlight w:val="none"/>
        </w:rPr>
        <w:t>2.1第一阶段评审</w:t>
      </w:r>
    </w:p>
    <w:p>
      <w:pPr>
        <w:ind w:firstLine="480"/>
        <w:rPr>
          <w:rFonts w:hint="eastAsia" w:cs="宋体"/>
          <w:b/>
          <w:color w:val="auto"/>
          <w:highlight w:val="none"/>
        </w:rPr>
      </w:pPr>
      <w:r>
        <w:rPr>
          <w:rFonts w:hint="eastAsia"/>
          <w:color w:val="auto"/>
          <w:highlight w:val="none"/>
        </w:rPr>
        <w:t>▲</w:t>
      </w:r>
      <w:r>
        <w:rPr>
          <w:rFonts w:hint="eastAsia" w:cs="宋体"/>
          <w:color w:val="auto"/>
          <w:highlight w:val="none"/>
        </w:rPr>
        <w:t>2.1.1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cs="宋体"/>
          <w:b/>
          <w:color w:val="auto"/>
          <w:highlight w:val="none"/>
        </w:rPr>
        <w:t>资格性审查和符合性审查中，有任意一项审查结论不合格的，作无效标处理。</w:t>
      </w:r>
    </w:p>
    <w:p>
      <w:pPr>
        <w:ind w:firstLine="480"/>
        <w:rPr>
          <w:rFonts w:hint="eastAsia" w:cs="宋体"/>
          <w:color w:val="auto"/>
          <w:highlight w:val="none"/>
        </w:rPr>
      </w:pPr>
      <w:r>
        <w:rPr>
          <w:rFonts w:hint="eastAsia" w:cs="宋体"/>
          <w:color w:val="auto"/>
          <w:highlight w:val="none"/>
        </w:rPr>
        <w:t>2.1.2</w:t>
      </w:r>
      <w:r>
        <w:rPr>
          <w:rFonts w:hint="eastAsia" w:cs="宋体"/>
          <w:color w:val="auto"/>
          <w:highlight w:val="none"/>
          <w:lang w:val="zh-CN"/>
        </w:rPr>
        <w:t>比较与评价：</w:t>
      </w:r>
      <w:r>
        <w:rPr>
          <w:rFonts w:hint="eastAsia" w:cs="宋体"/>
          <w:color w:val="auto"/>
          <w:highlight w:val="none"/>
        </w:rPr>
        <w:t>评标委员会根据“附表3评分表（兼评委打分表）”的要求，</w:t>
      </w:r>
      <w:r>
        <w:rPr>
          <w:rFonts w:hint="eastAsia" w:cs="宋体"/>
          <w:color w:val="auto"/>
          <w:highlight w:val="none"/>
          <w:lang w:val="zh-CN"/>
        </w:rPr>
        <w:t>对照投标文件的应答进行比较，判定其偏差性质和程度，</w:t>
      </w:r>
      <w:r>
        <w:rPr>
          <w:rFonts w:hint="eastAsia" w:cs="宋体"/>
          <w:color w:val="auto"/>
          <w:highlight w:val="none"/>
        </w:rPr>
        <w:t>由评标委员会成员在分值范围内自行评分。供应商商务和技术得分为各评标委员会成员有效评分的算术平均值（小数点后保留二位数）。</w:t>
      </w:r>
    </w:p>
    <w:p>
      <w:pPr>
        <w:ind w:firstLine="482"/>
        <w:rPr>
          <w:rFonts w:hint="eastAsia" w:cs="宋体"/>
          <w:b/>
          <w:color w:val="auto"/>
          <w:highlight w:val="none"/>
        </w:rPr>
      </w:pPr>
      <w:r>
        <w:rPr>
          <w:rFonts w:hint="eastAsia" w:cs="宋体"/>
          <w:b/>
          <w:color w:val="auto"/>
          <w:highlight w:val="none"/>
        </w:rPr>
        <w:t>2.2第二阶段评审</w:t>
      </w:r>
    </w:p>
    <w:p>
      <w:pPr>
        <w:ind w:firstLine="480"/>
        <w:rPr>
          <w:rFonts w:hint="eastAsia" w:cs="宋体"/>
          <w:b/>
          <w:color w:val="auto"/>
          <w:highlight w:val="none"/>
        </w:rPr>
      </w:pPr>
      <w:r>
        <w:rPr>
          <w:rFonts w:hint="eastAsia"/>
          <w:color w:val="auto"/>
          <w:highlight w:val="none"/>
        </w:rPr>
        <w:t>▲</w:t>
      </w:r>
      <w:r>
        <w:rPr>
          <w:rFonts w:hint="eastAsia" w:cs="宋体"/>
          <w:color w:val="auto"/>
          <w:highlight w:val="none"/>
        </w:rPr>
        <w:t>2.2.1报价文件审查：投标报价超出最高限价或预算金额的</w:t>
      </w:r>
      <w:r>
        <w:rPr>
          <w:rFonts w:hint="eastAsia" w:cs="宋体"/>
          <w:b/>
          <w:color w:val="auto"/>
          <w:highlight w:val="none"/>
        </w:rPr>
        <w:t>，审查结论不合格的，作无效标处理。</w:t>
      </w:r>
    </w:p>
    <w:p>
      <w:pPr>
        <w:ind w:firstLine="480"/>
        <w:rPr>
          <w:rFonts w:hint="eastAsia" w:cs="宋体"/>
          <w:color w:val="auto"/>
          <w:highlight w:val="none"/>
        </w:rPr>
      </w:pPr>
      <w:r>
        <w:rPr>
          <w:rFonts w:hint="eastAsia" w:cs="宋体"/>
          <w:color w:val="auto"/>
          <w:highlight w:val="none"/>
        </w:rPr>
        <w:t>2.2.2综合评估：供应商的综合得分为商务和技术得分与报价得分之和。</w:t>
      </w:r>
    </w:p>
    <w:p>
      <w:pPr>
        <w:ind w:firstLine="480"/>
        <w:rPr>
          <w:rFonts w:hint="eastAsia" w:cs="宋体"/>
          <w:color w:val="auto"/>
          <w:highlight w:val="none"/>
        </w:rPr>
      </w:pPr>
      <w:r>
        <w:rPr>
          <w:rFonts w:hint="eastAsia" w:cs="宋体"/>
          <w:color w:val="auto"/>
          <w:highlight w:val="none"/>
        </w:rPr>
        <w:t>2.2.3推荐中标候选人：按综合得分由高到低进行排序，推荐综合得分排序第1的供应商为中标候选人。若供应商的综合得分相等，则投标报价低者列前；若投标报价也相同时，采取随机抽签的方式确定排序。</w:t>
      </w:r>
    </w:p>
    <w:p>
      <w:pPr>
        <w:ind w:firstLine="482"/>
        <w:rPr>
          <w:rFonts w:hint="eastAsia" w:cs="宋体"/>
          <w:b/>
          <w:color w:val="auto"/>
          <w:highlight w:val="none"/>
        </w:rPr>
      </w:pPr>
      <w:r>
        <w:rPr>
          <w:rFonts w:hint="eastAsia" w:cs="宋体"/>
          <w:b/>
          <w:color w:val="auto"/>
          <w:highlight w:val="none"/>
        </w:rPr>
        <w:t>2.3确定中标供应商</w:t>
      </w:r>
    </w:p>
    <w:p>
      <w:pPr>
        <w:ind w:firstLine="480"/>
        <w:rPr>
          <w:rFonts w:hint="eastAsia" w:cs="宋体"/>
          <w:color w:val="auto"/>
          <w:highlight w:val="none"/>
        </w:rPr>
      </w:pPr>
      <w:r>
        <w:rPr>
          <w:rFonts w:hint="eastAsia" w:cs="宋体"/>
          <w:color w:val="auto"/>
          <w:highlight w:val="none"/>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w:t>
      </w:r>
      <w:r>
        <w:rPr>
          <w:rFonts w:hint="eastAsia" w:cs="宋体"/>
          <w:color w:val="auto"/>
          <w:highlight w:val="none"/>
          <w:lang w:eastAsia="zh-CN"/>
        </w:rPr>
        <w:t>第一</w:t>
      </w:r>
      <w:r>
        <w:rPr>
          <w:rFonts w:hint="eastAsia" w:cs="宋体"/>
          <w:color w:val="auto"/>
          <w:highlight w:val="none"/>
        </w:rPr>
        <w:t>中标候选人因不可抗力或者自身原因不能履行政府采购合同的，采购人</w:t>
      </w:r>
      <w:r>
        <w:rPr>
          <w:rFonts w:hint="eastAsia" w:cs="宋体"/>
          <w:color w:val="auto"/>
          <w:highlight w:val="none"/>
          <w:lang w:eastAsia="zh-CN"/>
        </w:rPr>
        <w:t>可确定第二</w:t>
      </w:r>
      <w:r>
        <w:rPr>
          <w:rFonts w:hint="eastAsia" w:cs="宋体"/>
          <w:color w:val="auto"/>
          <w:highlight w:val="none"/>
        </w:rPr>
        <w:t>中标候选人</w:t>
      </w:r>
      <w:r>
        <w:rPr>
          <w:rFonts w:hint="eastAsia" w:cs="宋体"/>
          <w:color w:val="auto"/>
          <w:highlight w:val="none"/>
          <w:lang w:eastAsia="zh-CN"/>
        </w:rPr>
        <w:t>为</w:t>
      </w:r>
      <w:r>
        <w:rPr>
          <w:rFonts w:hint="eastAsia" w:cs="宋体"/>
          <w:color w:val="auto"/>
          <w:highlight w:val="none"/>
        </w:rPr>
        <w:t>中标供应商</w:t>
      </w:r>
      <w:r>
        <w:rPr>
          <w:rFonts w:hint="eastAsia" w:cs="宋体"/>
          <w:color w:val="auto"/>
          <w:highlight w:val="none"/>
          <w:lang w:eastAsia="zh-CN"/>
        </w:rPr>
        <w:t>，以此类推，也可以重新招标</w:t>
      </w:r>
      <w:r>
        <w:rPr>
          <w:rFonts w:hint="eastAsia" w:cs="宋体"/>
          <w:color w:val="auto"/>
          <w:highlight w:val="none"/>
        </w:rPr>
        <w:t>。</w:t>
      </w:r>
    </w:p>
    <w:p>
      <w:pPr>
        <w:ind w:firstLine="482"/>
        <w:rPr>
          <w:rFonts w:hint="eastAsia" w:cs="宋体"/>
          <w:b/>
          <w:color w:val="auto"/>
          <w:highlight w:val="none"/>
        </w:rPr>
      </w:pPr>
      <w:r>
        <w:rPr>
          <w:rFonts w:hint="eastAsia" w:cs="宋体"/>
          <w:b/>
          <w:color w:val="auto"/>
          <w:highlight w:val="none"/>
        </w:rPr>
        <w:t>三、投标的澄清</w:t>
      </w:r>
    </w:p>
    <w:p>
      <w:pPr>
        <w:ind w:firstLine="480"/>
        <w:rPr>
          <w:rFonts w:hint="eastAsia" w:cs="宋体"/>
          <w:color w:val="auto"/>
          <w:highlight w:val="none"/>
        </w:rPr>
      </w:pPr>
      <w:r>
        <w:rPr>
          <w:rFonts w:hint="eastAsia" w:cs="宋体"/>
          <w:color w:val="auto"/>
          <w:highlight w:val="none"/>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ind w:firstLine="480"/>
        <w:rPr>
          <w:rFonts w:hint="eastAsia" w:cs="宋体"/>
          <w:color w:val="auto"/>
          <w:highlight w:val="none"/>
        </w:rPr>
      </w:pPr>
      <w:r>
        <w:rPr>
          <w:rFonts w:hint="eastAsia" w:cs="宋体"/>
          <w:color w:val="auto"/>
          <w:highlight w:val="none"/>
        </w:rPr>
        <w:t>3.2供应商应对需要澄清的问题作书面回答，该书面回答应有电子盖章，书面澄清将作为投标内容的一部分。</w:t>
      </w:r>
    </w:p>
    <w:p>
      <w:pPr>
        <w:ind w:firstLine="480"/>
        <w:rPr>
          <w:rFonts w:hint="eastAsia" w:cs="宋体"/>
          <w:color w:val="auto"/>
          <w:highlight w:val="none"/>
        </w:rPr>
      </w:pPr>
      <w:r>
        <w:rPr>
          <w:rFonts w:hint="eastAsia" w:cs="宋体"/>
          <w:color w:val="auto"/>
          <w:highlight w:val="none"/>
        </w:rPr>
        <w:t>3.3供应商对投标文件的澄清不得超出投标文件的范围或改变投标价格等投标文件的实质性内容。</w:t>
      </w:r>
    </w:p>
    <w:p>
      <w:pPr>
        <w:ind w:firstLine="480"/>
        <w:rPr>
          <w:rFonts w:hint="eastAsia" w:cs="宋体"/>
          <w:color w:val="auto"/>
          <w:highlight w:val="none"/>
        </w:rPr>
      </w:pPr>
      <w:r>
        <w:rPr>
          <w:rFonts w:hint="eastAsia" w:cs="宋体"/>
          <w:color w:val="auto"/>
          <w:highlight w:val="none"/>
        </w:rPr>
        <w:t>3.4若供应商未响应澄清安排的通知进行答疑和澄清，将被视作自动放弃。</w:t>
      </w:r>
    </w:p>
    <w:p>
      <w:pPr>
        <w:spacing w:line="400" w:lineRule="exact"/>
        <w:ind w:firstLine="482"/>
        <w:rPr>
          <w:rFonts w:hint="eastAsia" w:cs="宋体"/>
          <w:b/>
          <w:color w:val="auto"/>
          <w:szCs w:val="21"/>
          <w:highlight w:val="none"/>
        </w:rPr>
      </w:pPr>
      <w:r>
        <w:rPr>
          <w:rFonts w:hint="eastAsia" w:cs="宋体"/>
          <w:b/>
          <w:color w:val="auto"/>
          <w:szCs w:val="21"/>
          <w:highlight w:val="none"/>
        </w:rPr>
        <w:t>附表1：</w:t>
      </w:r>
    </w:p>
    <w:p>
      <w:pPr>
        <w:spacing w:line="400" w:lineRule="exact"/>
        <w:ind w:firstLine="482"/>
        <w:jc w:val="center"/>
        <w:rPr>
          <w:rFonts w:hint="eastAsia" w:cs="宋体"/>
          <w:b/>
          <w:color w:val="auto"/>
          <w:szCs w:val="21"/>
          <w:highlight w:val="none"/>
        </w:rPr>
      </w:pPr>
      <w:r>
        <w:rPr>
          <w:rFonts w:hint="eastAsia" w:cs="宋体"/>
          <w:b/>
          <w:color w:val="auto"/>
          <w:szCs w:val="21"/>
          <w:highlight w:val="none"/>
        </w:rPr>
        <w:t>资格审查表</w:t>
      </w:r>
    </w:p>
    <w:tbl>
      <w:tblPr>
        <w:tblStyle w:val="42"/>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营业执照（副本）复印件 </w:t>
            </w:r>
          </w:p>
        </w:tc>
        <w:tc>
          <w:tcPr>
            <w:tcW w:w="5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1）如投标人是企业（包括合伙企业），提供在工商部门注册的有效“企业法人营业执照”或“营业执照”；</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2）如投标人是事业单位，提供有效的“事业单位法人证书”；</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（3）如投标人是非企业专业服务机构的，提供执业许可证等证明文件；</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4）如投标人是个体工商户，提供有效的“个体工商户营业执照”；</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5）如投标人是自然人，提供有效的自然人身份证明。</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具有良好的商业信誉和健全的财务会计制度</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财务报告</w:t>
            </w:r>
          </w:p>
        </w:tc>
        <w:tc>
          <w:tcPr>
            <w:tcW w:w="5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提供近一年任意一个月财务报告或开标前三个月内出具的银行资信证明；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有依法缴纳税收的良好记录</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纳税记录</w:t>
            </w:r>
          </w:p>
        </w:tc>
        <w:tc>
          <w:tcPr>
            <w:tcW w:w="5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近一年任意一个月</w:t>
            </w:r>
            <w:r>
              <w:rPr>
                <w:rFonts w:hint="eastAsia" w:asciiTheme="minorEastAsia" w:hAnsiTheme="minorEastAsia" w:eastAsiaTheme="minorEastAsia" w:cstheme="minorEastAsia"/>
                <w:color w:val="auto"/>
                <w:sz w:val="24"/>
                <w:szCs w:val="24"/>
                <w:highlight w:val="none"/>
              </w:rPr>
              <w:t>依法缴纳税收证明（完税证明或纳税证明或银行电子缴税付款凭证等）；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有依法缴纳社会保障资金的良好记录</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社保记录</w:t>
            </w:r>
          </w:p>
        </w:tc>
        <w:tc>
          <w:tcPr>
            <w:tcW w:w="5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近一年任意一个月</w:t>
            </w:r>
            <w:r>
              <w:rPr>
                <w:rFonts w:hint="eastAsia" w:asciiTheme="minorEastAsia" w:hAnsiTheme="minorEastAsia" w:eastAsiaTheme="minorEastAsia" w:cstheme="minorEastAsia"/>
                <w:color w:val="auto"/>
                <w:sz w:val="24"/>
                <w:szCs w:val="24"/>
                <w:highlight w:val="none"/>
              </w:rPr>
              <w:t>依法缴纳社会保障资金证明（社保缴费专用收据或银行电子缴税付款凭证或社会保险缴纳清单等）；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具有履行合同所必需的设备和专业技术能力</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参加政府采购活动前三年内，在经营活动中没有重大违法记录</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投标人在《无重大违法记录声明函》中承诺参加政府采购活动前三年内，在经营活动中无重大违法记录书面声明</w:t>
            </w:r>
          </w:p>
        </w:tc>
        <w:tc>
          <w:tcPr>
            <w:tcW w:w="5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提供《无重大违法记录声明函》，格式以采购文件附件为准。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提供“信用中国”（www.creditchina.gov.cn）、“中国政府采购网”（www.ccgp.gov.cn）查询信息网站截图</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2个</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w:t>
            </w:r>
          </w:p>
          <w:p>
            <w:pPr>
              <w:pStyle w:val="38"/>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行政处罚较大数额罚款标准认定：按照处罚机关所在地较大金额罚款标准进行认定。</w:t>
            </w:r>
          </w:p>
        </w:tc>
      </w:tr>
    </w:tbl>
    <w:p>
      <w:pPr>
        <w:spacing w:line="400" w:lineRule="exact"/>
        <w:ind w:firstLine="482"/>
        <w:rPr>
          <w:rFonts w:hint="eastAsia" w:cs="宋体"/>
          <w:b/>
          <w:color w:val="auto"/>
          <w:highlight w:val="none"/>
        </w:rPr>
      </w:pPr>
    </w:p>
    <w:p>
      <w:pPr>
        <w:spacing w:line="400" w:lineRule="exact"/>
        <w:ind w:firstLine="482"/>
        <w:rPr>
          <w:rFonts w:hint="eastAsia" w:cs="宋体"/>
          <w:b/>
          <w:bCs/>
          <w:color w:val="auto"/>
          <w:highlight w:val="none"/>
        </w:rPr>
      </w:pPr>
      <w:r>
        <w:rPr>
          <w:rFonts w:hint="eastAsia" w:cs="宋体"/>
          <w:b/>
          <w:color w:val="auto"/>
          <w:highlight w:val="none"/>
        </w:rPr>
        <w:t>注：</w:t>
      </w:r>
      <w:r>
        <w:rPr>
          <w:rFonts w:hint="eastAsia" w:cs="宋体"/>
          <w:b/>
          <w:bCs/>
          <w:color w:val="auto"/>
          <w:highlight w:val="none"/>
        </w:rPr>
        <w:t>1、上述资格证明文件未按招标文件要求附入投标文件中的，资格性审查不合格。</w:t>
      </w:r>
    </w:p>
    <w:p>
      <w:pPr>
        <w:spacing w:line="400" w:lineRule="exact"/>
        <w:ind w:firstLine="482"/>
        <w:rPr>
          <w:rFonts w:hint="eastAsia" w:cs="宋体"/>
          <w:b/>
          <w:bCs/>
          <w:color w:val="auto"/>
          <w:highlight w:val="none"/>
        </w:rPr>
      </w:pPr>
      <w:r>
        <w:rPr>
          <w:rFonts w:hint="eastAsia" w:cs="宋体"/>
          <w:b/>
          <w:bCs/>
          <w:color w:val="auto"/>
          <w:highlight w:val="none"/>
        </w:rPr>
        <w:t>2、上述审查项目中，任意一项不符合的，资格性审查不合格。</w:t>
      </w:r>
    </w:p>
    <w:p>
      <w:pPr>
        <w:spacing w:line="400" w:lineRule="exact"/>
        <w:ind w:firstLine="482"/>
        <w:rPr>
          <w:rFonts w:hint="eastAsia" w:cs="宋体"/>
          <w:b/>
          <w:color w:val="auto"/>
          <w:highlight w:val="none"/>
        </w:rPr>
      </w:pPr>
      <w:r>
        <w:rPr>
          <w:rFonts w:hint="eastAsia" w:cs="宋体"/>
          <w:b/>
          <w:bCs/>
          <w:color w:val="auto"/>
          <w:highlight w:val="none"/>
          <w:lang w:val="en-US" w:eastAsia="zh-CN"/>
        </w:rPr>
        <w:t>3</w:t>
      </w:r>
      <w:r>
        <w:rPr>
          <w:rFonts w:hint="eastAsia" w:cs="宋体"/>
          <w:b/>
          <w:bCs/>
          <w:color w:val="auto"/>
          <w:highlight w:val="none"/>
        </w:rPr>
        <w:t>、依法免税或不需要缴纳社保的供应商，应提供相应文件证明其依法免税或不需要缴纳社保。</w:t>
      </w:r>
    </w:p>
    <w:p>
      <w:pPr>
        <w:spacing w:line="400" w:lineRule="exact"/>
        <w:ind w:firstLine="482"/>
        <w:rPr>
          <w:rFonts w:hint="eastAsia" w:cs="宋体"/>
          <w:b/>
          <w:color w:val="auto"/>
          <w:szCs w:val="21"/>
          <w:highlight w:val="none"/>
        </w:rPr>
      </w:pPr>
      <w:r>
        <w:rPr>
          <w:rFonts w:hint="eastAsia" w:cs="宋体"/>
          <w:b/>
          <w:color w:val="auto"/>
          <w:szCs w:val="21"/>
          <w:highlight w:val="none"/>
        </w:rPr>
        <w:t>附表2：</w:t>
      </w:r>
    </w:p>
    <w:p>
      <w:pPr>
        <w:spacing w:line="400" w:lineRule="exact"/>
        <w:ind w:firstLine="482"/>
        <w:jc w:val="center"/>
        <w:rPr>
          <w:rFonts w:hint="eastAsia" w:cs="宋体"/>
          <w:b/>
          <w:color w:val="auto"/>
          <w:szCs w:val="21"/>
          <w:highlight w:val="none"/>
        </w:rPr>
      </w:pPr>
      <w:r>
        <w:rPr>
          <w:rFonts w:hint="eastAsia" w:cs="宋体"/>
          <w:b/>
          <w:color w:val="auto"/>
          <w:szCs w:val="21"/>
          <w:highlight w:val="none"/>
        </w:rPr>
        <w:t>符合性审查表</w:t>
      </w:r>
    </w:p>
    <w:tbl>
      <w:tblPr>
        <w:tblStyle w:val="4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top"/>
          </w:tcPr>
          <w:p>
            <w:pPr>
              <w:spacing w:line="400" w:lineRule="exact"/>
              <w:ind w:firstLine="0" w:firstLineChars="0"/>
              <w:jc w:val="center"/>
              <w:rPr>
                <w:rFonts w:hint="eastAsia" w:cs="宋体"/>
                <w:b/>
                <w:color w:val="auto"/>
                <w:szCs w:val="21"/>
                <w:highlight w:val="none"/>
              </w:rPr>
            </w:pPr>
            <w:r>
              <w:rPr>
                <w:rFonts w:hint="eastAsia" w:cs="宋体"/>
                <w:b/>
                <w:color w:val="auto"/>
                <w:szCs w:val="21"/>
                <w:highlight w:val="none"/>
              </w:rPr>
              <w:t>序号</w:t>
            </w:r>
          </w:p>
        </w:tc>
        <w:tc>
          <w:tcPr>
            <w:tcW w:w="2174" w:type="dxa"/>
            <w:vAlign w:val="top"/>
          </w:tcPr>
          <w:p>
            <w:pPr>
              <w:spacing w:line="400" w:lineRule="exact"/>
              <w:ind w:firstLine="0" w:firstLineChars="0"/>
              <w:jc w:val="center"/>
              <w:rPr>
                <w:rFonts w:hint="eastAsia" w:cs="宋体"/>
                <w:b/>
                <w:color w:val="auto"/>
                <w:szCs w:val="21"/>
                <w:highlight w:val="none"/>
              </w:rPr>
            </w:pPr>
            <w:r>
              <w:rPr>
                <w:rFonts w:hint="eastAsia" w:cs="宋体"/>
                <w:b/>
                <w:color w:val="auto"/>
                <w:szCs w:val="21"/>
                <w:highlight w:val="none"/>
              </w:rPr>
              <w:t>审查项目</w:t>
            </w:r>
          </w:p>
        </w:tc>
        <w:tc>
          <w:tcPr>
            <w:tcW w:w="6521" w:type="dxa"/>
            <w:vAlign w:val="top"/>
          </w:tcPr>
          <w:p>
            <w:pPr>
              <w:spacing w:line="400" w:lineRule="exact"/>
              <w:ind w:firstLine="0" w:firstLineChars="0"/>
              <w:jc w:val="center"/>
              <w:rPr>
                <w:rFonts w:hint="eastAsia" w:cs="宋体"/>
                <w:b/>
                <w:color w:val="auto"/>
                <w:szCs w:val="21"/>
                <w:highlight w:val="none"/>
              </w:rPr>
            </w:pPr>
            <w:r>
              <w:rPr>
                <w:rFonts w:hint="eastAsia" w:cs="宋体"/>
                <w:b/>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hint="eastAsia" w:eastAsia="宋体" w:cs="宋体"/>
                <w:color w:val="auto"/>
                <w:szCs w:val="21"/>
                <w:highlight w:val="none"/>
                <w:lang w:eastAsia="zh-CN"/>
              </w:rPr>
            </w:pPr>
            <w:r>
              <w:rPr>
                <w:rFonts w:hint="eastAsia" w:cs="宋体"/>
                <w:color w:val="auto"/>
                <w:szCs w:val="21"/>
                <w:highlight w:val="none"/>
                <w:lang w:val="en-US" w:eastAsia="zh-CN"/>
              </w:rPr>
              <w:t>1</w:t>
            </w:r>
          </w:p>
        </w:tc>
        <w:tc>
          <w:tcPr>
            <w:tcW w:w="2174" w:type="dxa"/>
            <w:vAlign w:val="center"/>
          </w:tcPr>
          <w:p>
            <w:pPr>
              <w:spacing w:line="400" w:lineRule="exact"/>
              <w:ind w:firstLine="0" w:firstLineChars="0"/>
              <w:jc w:val="center"/>
              <w:rPr>
                <w:rFonts w:hint="eastAsia" w:cs="宋体"/>
                <w:color w:val="auto"/>
                <w:szCs w:val="21"/>
                <w:highlight w:val="none"/>
              </w:rPr>
            </w:pPr>
            <w:r>
              <w:rPr>
                <w:rFonts w:hint="eastAsia" w:cs="宋体"/>
                <w:color w:val="auto"/>
                <w:szCs w:val="21"/>
                <w:highlight w:val="none"/>
              </w:rPr>
              <w:t>投标文件的签署盖章</w:t>
            </w:r>
          </w:p>
        </w:tc>
        <w:tc>
          <w:tcPr>
            <w:tcW w:w="6521" w:type="dxa"/>
            <w:vAlign w:val="center"/>
          </w:tcPr>
          <w:p>
            <w:pPr>
              <w:spacing w:line="400" w:lineRule="exact"/>
              <w:ind w:firstLine="0" w:firstLineChars="0"/>
              <w:jc w:val="left"/>
              <w:rPr>
                <w:rFonts w:hint="eastAsia" w:cs="宋体"/>
                <w:color w:val="auto"/>
                <w:szCs w:val="21"/>
                <w:highlight w:val="none"/>
              </w:rPr>
            </w:pPr>
            <w:r>
              <w:rPr>
                <w:rFonts w:hint="eastAsia" w:cs="宋体"/>
                <w:color w:val="auto"/>
                <w:highlight w:val="none"/>
              </w:rPr>
              <w:t>按采购文件规定签字或盖章的</w:t>
            </w:r>
            <w:r>
              <w:rPr>
                <w:rFonts w:hint="eastAsia"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400" w:lineRule="exact"/>
              <w:ind w:firstLine="0" w:firstLineChars="0"/>
              <w:jc w:val="center"/>
              <w:rPr>
                <w:rFonts w:hint="eastAsia" w:eastAsia="宋体" w:cs="宋体"/>
                <w:color w:val="auto"/>
                <w:szCs w:val="21"/>
                <w:highlight w:val="none"/>
                <w:lang w:eastAsia="zh-CN"/>
              </w:rPr>
            </w:pPr>
            <w:r>
              <w:rPr>
                <w:rFonts w:hint="eastAsia" w:cs="宋体"/>
                <w:color w:val="auto"/>
                <w:szCs w:val="21"/>
                <w:highlight w:val="none"/>
                <w:lang w:val="en-US" w:eastAsia="zh-CN"/>
              </w:rPr>
              <w:t>2</w:t>
            </w:r>
          </w:p>
        </w:tc>
        <w:tc>
          <w:tcPr>
            <w:tcW w:w="2174" w:type="dxa"/>
            <w:vMerge w:val="restart"/>
            <w:vAlign w:val="center"/>
          </w:tcPr>
          <w:p>
            <w:pPr>
              <w:spacing w:line="400" w:lineRule="exact"/>
              <w:ind w:firstLine="0" w:firstLineChars="0"/>
              <w:jc w:val="center"/>
              <w:rPr>
                <w:rFonts w:hint="eastAsia" w:cs="宋体"/>
                <w:color w:val="auto"/>
                <w:szCs w:val="21"/>
                <w:highlight w:val="none"/>
              </w:rPr>
            </w:pPr>
            <w:r>
              <w:rPr>
                <w:rFonts w:hint="eastAsia" w:cs="宋体"/>
                <w:color w:val="auto"/>
                <w:szCs w:val="21"/>
                <w:highlight w:val="none"/>
              </w:rPr>
              <w:t>其他</w:t>
            </w:r>
          </w:p>
        </w:tc>
        <w:tc>
          <w:tcPr>
            <w:tcW w:w="6521" w:type="dxa"/>
            <w:vAlign w:val="center"/>
          </w:tcPr>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1．供应商提交两份或两份以上内容不同的投标方案，未声明哪一份有效的；</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2．投标文件非供应商法定代表人签署的，未提供或提供无效的法定代表人授权书；</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3．投标文件内容不全或内容字迹模糊辨认不清的等而导致评标活动无法正常进行；</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4．供应商未按采购文件变更通知更改投标文件的；</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5．未实质性响应采购文件中带“▲”条款要求的投标文件；</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6．投标有效期、交货期、质保期等商务条款不能满足招标文件要求的；</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7．投标文件附有采购人不能接受的条款；</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8．投标文件中提供了与采购无关的赠品、回扣或者其他商品、服务；</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9．供应商串通投标，妨碍其他供应商的竞争行为，损害采购人或者其他供应商的合法权益；</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10．违反国家及政府部门相关法律、法规、文件规定或经评标委员会认定的其他属于重大偏离。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hint="eastAsia" w:eastAsia="宋体" w:cs="宋体"/>
                <w:color w:val="auto"/>
                <w:szCs w:val="21"/>
                <w:highlight w:val="none"/>
                <w:lang w:eastAsia="zh-CN"/>
              </w:rPr>
            </w:pPr>
            <w:r>
              <w:rPr>
                <w:rFonts w:hint="eastAsia" w:cs="宋体"/>
                <w:color w:val="auto"/>
                <w:szCs w:val="21"/>
                <w:highlight w:val="none"/>
                <w:lang w:val="en-US" w:eastAsia="zh-CN"/>
              </w:rPr>
              <w:t>3</w:t>
            </w:r>
          </w:p>
        </w:tc>
        <w:tc>
          <w:tcPr>
            <w:tcW w:w="2174" w:type="dxa"/>
            <w:vMerge w:val="continue"/>
            <w:vAlign w:val="center"/>
          </w:tcPr>
          <w:p>
            <w:pPr>
              <w:spacing w:line="400" w:lineRule="exact"/>
              <w:ind w:firstLine="0" w:firstLineChars="0"/>
              <w:jc w:val="center"/>
              <w:rPr>
                <w:rFonts w:hint="eastAsia" w:cs="宋体"/>
                <w:color w:val="auto"/>
                <w:szCs w:val="21"/>
                <w:highlight w:val="none"/>
              </w:rPr>
            </w:pPr>
          </w:p>
        </w:tc>
        <w:tc>
          <w:tcPr>
            <w:tcW w:w="6521" w:type="dxa"/>
            <w:vAlign w:val="center"/>
          </w:tcPr>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评标委员会经过审查，认定供应商虚假应标、串通投标的</w:t>
            </w:r>
          </w:p>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有下列情形之一的，视为供应商串通投标：</w:t>
            </w:r>
          </w:p>
          <w:p>
            <w:pPr>
              <w:numPr>
                <w:ilvl w:val="0"/>
                <w:numId w:val="0"/>
              </w:numPr>
              <w:spacing w:line="400" w:lineRule="exact"/>
              <w:ind w:leftChars="0"/>
              <w:jc w:val="left"/>
              <w:rPr>
                <w:rFonts w:hint="eastAsia" w:cs="宋体"/>
                <w:color w:val="auto"/>
                <w:szCs w:val="21"/>
                <w:highlight w:val="none"/>
              </w:rPr>
            </w:pPr>
            <w:r>
              <w:rPr>
                <w:rFonts w:hint="eastAsia" w:cs="宋体"/>
                <w:color w:val="auto"/>
                <w:szCs w:val="21"/>
                <w:highlight w:val="none"/>
              </w:rPr>
              <w:t>1．不同投标人的投标文件由同一单位或者个人编制；</w:t>
            </w:r>
          </w:p>
          <w:p>
            <w:pPr>
              <w:numPr>
                <w:ilvl w:val="0"/>
                <w:numId w:val="0"/>
              </w:numPr>
              <w:spacing w:line="400" w:lineRule="exact"/>
              <w:ind w:leftChars="0"/>
              <w:jc w:val="left"/>
              <w:rPr>
                <w:rFonts w:hint="eastAsia" w:cs="宋体"/>
                <w:color w:val="auto"/>
                <w:szCs w:val="21"/>
                <w:highlight w:val="none"/>
              </w:rPr>
            </w:pPr>
            <w:r>
              <w:rPr>
                <w:rFonts w:hint="eastAsia" w:cs="宋体"/>
                <w:color w:val="auto"/>
                <w:szCs w:val="21"/>
                <w:highlight w:val="none"/>
              </w:rPr>
              <w:t>2．不同投标人委托同一单位或者个人办理投标事宜；</w:t>
            </w:r>
          </w:p>
          <w:p>
            <w:pPr>
              <w:numPr>
                <w:ilvl w:val="0"/>
                <w:numId w:val="0"/>
              </w:numPr>
              <w:spacing w:line="400" w:lineRule="exact"/>
              <w:ind w:leftChars="0"/>
              <w:jc w:val="left"/>
              <w:rPr>
                <w:rFonts w:hint="eastAsia" w:cs="宋体"/>
                <w:color w:val="auto"/>
                <w:szCs w:val="21"/>
                <w:highlight w:val="none"/>
              </w:rPr>
            </w:pPr>
            <w:r>
              <w:rPr>
                <w:rFonts w:hint="eastAsia" w:cs="宋体"/>
                <w:color w:val="auto"/>
                <w:szCs w:val="21"/>
                <w:highlight w:val="none"/>
              </w:rPr>
              <w:t>3．不同投标人的投标文件载明的项目管理成员或者联系人员为同一人；</w:t>
            </w:r>
          </w:p>
          <w:p>
            <w:pPr>
              <w:numPr>
                <w:ilvl w:val="0"/>
                <w:numId w:val="0"/>
              </w:numPr>
              <w:spacing w:line="400" w:lineRule="exact"/>
              <w:ind w:leftChars="0"/>
              <w:jc w:val="left"/>
              <w:rPr>
                <w:rFonts w:hint="eastAsia" w:cs="宋体"/>
                <w:color w:val="auto"/>
                <w:szCs w:val="21"/>
                <w:highlight w:val="none"/>
              </w:rPr>
            </w:pPr>
            <w:r>
              <w:rPr>
                <w:rFonts w:hint="eastAsia" w:cs="宋体"/>
                <w:color w:val="auto"/>
                <w:szCs w:val="21"/>
                <w:highlight w:val="none"/>
              </w:rPr>
              <w:t>4．不同投标人的投标文件异常一致或者投标报价呈规律性差异；</w:t>
            </w:r>
          </w:p>
          <w:p>
            <w:pPr>
              <w:numPr>
                <w:ilvl w:val="0"/>
                <w:numId w:val="0"/>
              </w:numPr>
              <w:spacing w:line="400" w:lineRule="exact"/>
              <w:ind w:leftChars="0"/>
              <w:jc w:val="left"/>
              <w:rPr>
                <w:rFonts w:hint="eastAsia" w:eastAsia="宋体" w:cs="宋体"/>
                <w:color w:val="auto"/>
                <w:szCs w:val="21"/>
                <w:highlight w:val="none"/>
                <w:lang w:eastAsia="zh-CN"/>
              </w:rPr>
            </w:pPr>
            <w:r>
              <w:rPr>
                <w:rFonts w:hint="eastAsia" w:cs="宋体"/>
                <w:color w:val="auto"/>
                <w:szCs w:val="21"/>
                <w:highlight w:val="none"/>
              </w:rPr>
              <w:t>5．不同投标人的投标文件相互混装</w:t>
            </w:r>
            <w:r>
              <w:rPr>
                <w:rFonts w:hint="eastAsia"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hint="eastAsia" w:eastAsia="宋体" w:cs="宋体"/>
                <w:color w:val="auto"/>
                <w:szCs w:val="21"/>
                <w:highlight w:val="none"/>
                <w:lang w:eastAsia="zh-CN"/>
              </w:rPr>
            </w:pPr>
            <w:r>
              <w:rPr>
                <w:rFonts w:hint="eastAsia" w:cs="宋体"/>
                <w:color w:val="auto"/>
                <w:szCs w:val="21"/>
                <w:highlight w:val="none"/>
                <w:lang w:val="en-US" w:eastAsia="zh-CN"/>
              </w:rPr>
              <w:t>4</w:t>
            </w:r>
          </w:p>
        </w:tc>
        <w:tc>
          <w:tcPr>
            <w:tcW w:w="2174" w:type="dxa"/>
            <w:vMerge w:val="continue"/>
            <w:vAlign w:val="center"/>
          </w:tcPr>
          <w:p>
            <w:pPr>
              <w:spacing w:line="400" w:lineRule="exact"/>
              <w:ind w:firstLine="0" w:firstLineChars="0"/>
              <w:jc w:val="center"/>
              <w:rPr>
                <w:rFonts w:hint="eastAsia" w:cs="宋体"/>
                <w:color w:val="auto"/>
                <w:szCs w:val="21"/>
                <w:highlight w:val="none"/>
              </w:rPr>
            </w:pPr>
          </w:p>
        </w:tc>
        <w:tc>
          <w:tcPr>
            <w:tcW w:w="6521" w:type="dxa"/>
            <w:vAlign w:val="center"/>
          </w:tcPr>
          <w:p>
            <w:pPr>
              <w:spacing w:line="400" w:lineRule="exact"/>
              <w:ind w:firstLine="0" w:firstLineChars="0"/>
              <w:jc w:val="left"/>
              <w:rPr>
                <w:rFonts w:hint="eastAsia" w:cs="宋体"/>
                <w:color w:val="auto"/>
                <w:szCs w:val="21"/>
                <w:highlight w:val="none"/>
              </w:rPr>
            </w:pPr>
            <w:r>
              <w:rPr>
                <w:rFonts w:hint="eastAsia" w:cs="宋体"/>
                <w:color w:val="auto"/>
                <w:szCs w:val="21"/>
                <w:highlight w:val="none"/>
              </w:rPr>
              <w:t>符合法律、法规和</w:t>
            </w:r>
            <w:r>
              <w:rPr>
                <w:rFonts w:hint="eastAsia" w:cs="宋体"/>
                <w:color w:val="auto"/>
                <w:szCs w:val="21"/>
                <w:highlight w:val="none"/>
                <w:lang w:eastAsia="zh-CN"/>
              </w:rPr>
              <w:t>采购</w:t>
            </w:r>
            <w:r>
              <w:rPr>
                <w:rFonts w:hint="eastAsia" w:cs="宋体"/>
                <w:color w:val="auto"/>
                <w:szCs w:val="21"/>
                <w:highlight w:val="none"/>
              </w:rPr>
              <w:t>文件中规定的其他实质性要求（实质性要求</w:t>
            </w:r>
            <w:r>
              <w:rPr>
                <w:rFonts w:hint="eastAsia" w:cs="宋体"/>
                <w:color w:val="auto"/>
                <w:szCs w:val="21"/>
                <w:highlight w:val="none"/>
                <w:lang w:eastAsia="zh-CN"/>
              </w:rPr>
              <w:t>采购</w:t>
            </w:r>
            <w:r>
              <w:rPr>
                <w:rFonts w:hint="eastAsia" w:cs="宋体"/>
                <w:color w:val="auto"/>
                <w:szCs w:val="21"/>
                <w:highlight w:val="none"/>
              </w:rPr>
              <w:t>文件中“</w:t>
            </w:r>
            <w:r>
              <w:rPr>
                <w:rFonts w:hint="eastAsia" w:ascii="宋体" w:hAnsi="宋体" w:eastAsia="宋体" w:cs="宋体"/>
                <w:color w:val="auto"/>
                <w:szCs w:val="21"/>
                <w:highlight w:val="none"/>
              </w:rPr>
              <w:t>▲</w:t>
            </w:r>
            <w:r>
              <w:rPr>
                <w:rFonts w:hint="eastAsia" w:cs="宋体"/>
                <w:color w:val="auto"/>
                <w:szCs w:val="21"/>
                <w:highlight w:val="none"/>
              </w:rPr>
              <w:t>”标记）。</w:t>
            </w:r>
          </w:p>
        </w:tc>
      </w:tr>
    </w:tbl>
    <w:p>
      <w:pPr>
        <w:pStyle w:val="41"/>
        <w:tabs>
          <w:tab w:val="left" w:pos="0"/>
          <w:tab w:val="left" w:pos="1260"/>
          <w:tab w:val="left" w:pos="1365"/>
        </w:tabs>
        <w:ind w:firstLine="482"/>
        <w:rPr>
          <w:rFonts w:hint="eastAsia" w:cs="宋体"/>
          <w:color w:val="auto"/>
          <w:highlight w:val="none"/>
        </w:rPr>
      </w:pPr>
      <w:r>
        <w:rPr>
          <w:rFonts w:hint="eastAsia" w:cs="宋体"/>
          <w:b/>
          <w:color w:val="auto"/>
          <w:highlight w:val="none"/>
        </w:rPr>
        <w:t>注：1、上述审查项目中，任意一项不符合的，符合性审查不合格。</w:t>
      </w:r>
    </w:p>
    <w:p>
      <w:pPr>
        <w:spacing w:line="500" w:lineRule="exact"/>
        <w:ind w:firstLine="482"/>
        <w:rPr>
          <w:rFonts w:hint="eastAsia" w:cs="宋体"/>
          <w:b/>
          <w:color w:val="auto"/>
          <w:highlight w:val="none"/>
        </w:rPr>
      </w:pPr>
      <w:r>
        <w:rPr>
          <w:rFonts w:hint="eastAsia" w:cs="宋体"/>
          <w:b/>
          <w:color w:val="auto"/>
          <w:highlight w:val="none"/>
        </w:rPr>
        <w:t>附表3：</w:t>
      </w:r>
    </w:p>
    <w:p>
      <w:pPr>
        <w:spacing w:line="500" w:lineRule="exact"/>
        <w:ind w:firstLine="482"/>
        <w:jc w:val="left"/>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1.根据《政府采购促进中小企业发展管理办法》（财库〔2020〕46号）的规定，投标人提供的</w:t>
      </w:r>
      <w:r>
        <w:rPr>
          <w:rFonts w:hint="eastAsia" w:cs="宋体"/>
          <w:b/>
          <w:bCs w:val="0"/>
          <w:color w:val="auto"/>
          <w:spacing w:val="0"/>
          <w:sz w:val="24"/>
          <w:szCs w:val="24"/>
          <w:highlight w:val="none"/>
          <w:lang w:val="en-US" w:eastAsia="zh-CN"/>
        </w:rPr>
        <w:t>货物</w:t>
      </w:r>
      <w:r>
        <w:rPr>
          <w:rFonts w:hint="eastAsia" w:ascii="宋体" w:hAnsi="宋体" w:eastAsia="宋体" w:cs="宋体"/>
          <w:b/>
          <w:bCs w:val="0"/>
          <w:color w:val="auto"/>
          <w:spacing w:val="0"/>
          <w:sz w:val="24"/>
          <w:szCs w:val="24"/>
          <w:highlight w:val="none"/>
        </w:rPr>
        <w:t>由符合政策要求的中小企业</w:t>
      </w:r>
      <w:r>
        <w:rPr>
          <w:rFonts w:hint="eastAsia" w:cs="宋体"/>
          <w:b/>
          <w:bCs w:val="0"/>
          <w:color w:val="auto"/>
          <w:spacing w:val="0"/>
          <w:sz w:val="24"/>
          <w:szCs w:val="24"/>
          <w:highlight w:val="none"/>
          <w:lang w:val="en-US" w:eastAsia="zh-CN"/>
        </w:rPr>
        <w:t>生产制造</w:t>
      </w:r>
      <w:r>
        <w:rPr>
          <w:rFonts w:hint="eastAsia" w:ascii="宋体" w:hAnsi="宋体" w:eastAsia="宋体" w:cs="宋体"/>
          <w:b/>
          <w:bCs w:val="0"/>
          <w:color w:val="auto"/>
          <w:spacing w:val="0"/>
          <w:sz w:val="24"/>
          <w:szCs w:val="24"/>
          <w:highlight w:val="none"/>
        </w:rPr>
        <w:t>，并提交《中小企业声明函》的，</w:t>
      </w:r>
      <w:r>
        <w:rPr>
          <w:rFonts w:hint="eastAsia" w:ascii="宋体" w:hAnsi="宋体" w:eastAsia="宋体" w:cs="宋体"/>
          <w:b/>
          <w:color w:val="auto"/>
          <w:sz w:val="24"/>
          <w:szCs w:val="24"/>
          <w:highlight w:val="none"/>
        </w:rPr>
        <w:t>小微企业投标报价扣除6%后参与评审</w:t>
      </w:r>
      <w:r>
        <w:rPr>
          <w:rFonts w:hint="eastAsia" w:ascii="宋体" w:hAnsi="宋体" w:eastAsia="宋体" w:cs="宋体"/>
          <w:b/>
          <w:bCs w:val="0"/>
          <w:color w:val="auto"/>
          <w:spacing w:val="0"/>
          <w:sz w:val="24"/>
          <w:szCs w:val="24"/>
          <w:highlight w:val="none"/>
        </w:rPr>
        <w:t>；</w:t>
      </w:r>
    </w:p>
    <w:p>
      <w:pPr>
        <w:spacing w:line="500" w:lineRule="exact"/>
        <w:ind w:firstLine="482"/>
        <w:jc w:val="left"/>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2.根据《关于政府采购支持监狱企业发展有关问题的通知》（财库[2014]68号）的规定，投标人如为监狱企业并提交相关证明材料的，视同小微企业；</w:t>
      </w:r>
    </w:p>
    <w:p>
      <w:pPr>
        <w:spacing w:line="500" w:lineRule="exact"/>
        <w:ind w:firstLine="482"/>
        <w:jc w:val="left"/>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3.根据《关于促进残疾人就业政府采购政策的通知》（财库[2017]141号）的规定，投标人如为残疾人福利性单位并提交《残疾人福利性单位声明函》的，视同小微企业；</w:t>
      </w:r>
    </w:p>
    <w:p>
      <w:pPr>
        <w:spacing w:line="500" w:lineRule="exact"/>
        <w:ind w:firstLine="482"/>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4.残疾人福利性单位属于小微企业的，不重复享受政策。</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750"/>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spacing w:line="288" w:lineRule="auto"/>
              <w:ind w:firstLine="0" w:firstLineChars="0"/>
              <w:jc w:val="center"/>
              <w:rPr>
                <w:rFonts w:cs="宋体"/>
                <w:b/>
                <w:spacing w:val="-6"/>
                <w:highlight w:val="none"/>
              </w:rPr>
            </w:pPr>
            <w:r>
              <w:rPr>
                <w:rFonts w:hint="eastAsia" w:cs="宋体"/>
                <w:b/>
                <w:spacing w:val="-6"/>
                <w:highlight w:val="none"/>
              </w:rPr>
              <w:t>评审因素</w:t>
            </w:r>
          </w:p>
        </w:tc>
        <w:tc>
          <w:tcPr>
            <w:tcW w:w="750" w:type="dxa"/>
            <w:vAlign w:val="center"/>
          </w:tcPr>
          <w:p>
            <w:pPr>
              <w:spacing w:line="288" w:lineRule="auto"/>
              <w:ind w:firstLine="0" w:firstLineChars="0"/>
              <w:jc w:val="center"/>
              <w:rPr>
                <w:rFonts w:cs="宋体"/>
                <w:b/>
                <w:spacing w:val="-6"/>
                <w:highlight w:val="none"/>
              </w:rPr>
            </w:pPr>
            <w:r>
              <w:rPr>
                <w:rFonts w:hint="eastAsia" w:cs="宋体"/>
                <w:b/>
                <w:spacing w:val="-6"/>
                <w:highlight w:val="none"/>
              </w:rPr>
              <w:t>分值</w:t>
            </w:r>
          </w:p>
        </w:tc>
        <w:tc>
          <w:tcPr>
            <w:tcW w:w="7819" w:type="dxa"/>
            <w:vAlign w:val="center"/>
          </w:tcPr>
          <w:p>
            <w:pPr>
              <w:pStyle w:val="178"/>
              <w:spacing w:line="288" w:lineRule="auto"/>
              <w:rPr>
                <w:rFonts w:ascii="宋体" w:eastAsia="宋体" w:cs="宋体"/>
                <w:b/>
                <w:spacing w:val="-6"/>
                <w:highlight w:val="none"/>
              </w:rPr>
            </w:pPr>
            <w:r>
              <w:rPr>
                <w:rFonts w:hint="eastAsia" w:ascii="宋体" w:eastAsia="宋体" w:cs="宋体"/>
                <w:b/>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gridSpan w:val="3"/>
            <w:vAlign w:val="center"/>
          </w:tcPr>
          <w:p>
            <w:pPr>
              <w:pStyle w:val="178"/>
              <w:spacing w:line="288" w:lineRule="auto"/>
              <w:rPr>
                <w:rFonts w:ascii="宋体" w:eastAsia="宋体" w:cs="宋体"/>
                <w:spacing w:val="-6"/>
                <w:highlight w:val="none"/>
              </w:rPr>
            </w:pPr>
            <w:r>
              <w:rPr>
                <w:rFonts w:hint="eastAsia" w:ascii="宋体" w:eastAsia="宋体" w:cs="宋体"/>
                <w:b/>
                <w:bCs/>
                <w:spacing w:val="-6"/>
                <w:kern w:val="2"/>
                <w:highlight w:val="none"/>
              </w:rPr>
              <w:t>价格分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pStyle w:val="17"/>
              <w:spacing w:line="288" w:lineRule="auto"/>
              <w:ind w:firstLine="0"/>
              <w:jc w:val="center"/>
              <w:rPr>
                <w:rFonts w:cs="宋体"/>
                <w:spacing w:val="-6"/>
                <w:szCs w:val="24"/>
                <w:highlight w:val="none"/>
              </w:rPr>
            </w:pPr>
            <w:r>
              <w:rPr>
                <w:rFonts w:hint="eastAsia" w:cs="宋体"/>
                <w:spacing w:val="-6"/>
                <w:szCs w:val="24"/>
                <w:highlight w:val="none"/>
              </w:rPr>
              <w:t>投标报价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jc w:val="center"/>
              <w:rPr>
                <w:rFonts w:cs="宋体"/>
                <w:spacing w:val="-6"/>
                <w:highlight w:val="none"/>
              </w:rPr>
            </w:pPr>
            <w:r>
              <w:rPr>
                <w:rFonts w:hint="eastAsia" w:cs="宋体"/>
                <w:spacing w:val="-6"/>
                <w:highlight w:val="none"/>
              </w:rPr>
              <w:t>35</w:t>
            </w:r>
          </w:p>
        </w:tc>
        <w:tc>
          <w:tcPr>
            <w:tcW w:w="781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0"/>
              <w:rPr>
                <w:highlight w:val="none"/>
              </w:rPr>
            </w:pPr>
            <w:r>
              <w:rPr>
                <w:rFonts w:hint="eastAsia" w:cs="宋体"/>
                <w:b/>
                <w:bCs/>
                <w:sz w:val="21"/>
                <w:szCs w:val="32"/>
                <w:highlight w:val="none"/>
              </w:rPr>
              <w:t>价格分计算，满足招标文件要求且投标价格最低的投标报价为评标基准价，其他投标单位的价格分按照下列公式计算：</w:t>
            </w:r>
          </w:p>
          <w:p>
            <w:pPr>
              <w:ind w:firstLine="0" w:firstLineChars="0"/>
              <w:rPr>
                <w:rFonts w:cs="宋体"/>
                <w:highlight w:val="none"/>
              </w:rPr>
            </w:pPr>
            <w:r>
              <w:rPr>
                <w:rFonts w:hint="eastAsia" w:cs="宋体"/>
                <w:highlight w:val="none"/>
              </w:rPr>
              <w:t>价格分=（评标基准价/投标报价）×35%×100</w:t>
            </w:r>
          </w:p>
          <w:p>
            <w:pPr>
              <w:pStyle w:val="131"/>
              <w:spacing w:line="360" w:lineRule="auto"/>
              <w:rPr>
                <w:rFonts w:ascii="宋体" w:hAnsi="宋体" w:eastAsia="宋体" w:cs="宋体"/>
                <w:color w:val="auto"/>
                <w:spacing w:val="-6"/>
                <w:szCs w:val="24"/>
                <w:highlight w:val="none"/>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0" w:type="auto"/>
            <w:gridSpan w:val="3"/>
            <w:vAlign w:val="center"/>
          </w:tcPr>
          <w:p>
            <w:pPr>
              <w:pStyle w:val="178"/>
              <w:spacing w:line="288" w:lineRule="auto"/>
              <w:rPr>
                <w:rFonts w:ascii="宋体" w:eastAsia="宋体" w:cs="宋体"/>
                <w:b/>
                <w:spacing w:val="-6"/>
                <w:highlight w:val="none"/>
              </w:rPr>
            </w:pPr>
            <w:r>
              <w:rPr>
                <w:rFonts w:hint="eastAsia" w:ascii="宋体" w:eastAsia="宋体" w:cs="宋体"/>
                <w:b/>
                <w:spacing w:val="-6"/>
                <w:highlight w:val="none"/>
              </w:rPr>
              <w:t>商务分 （12分）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业绩</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5</w:t>
            </w:r>
          </w:p>
        </w:tc>
        <w:tc>
          <w:tcPr>
            <w:tcW w:w="7819" w:type="dxa"/>
            <w:vAlign w:val="center"/>
          </w:tcPr>
          <w:p>
            <w:pPr>
              <w:spacing w:line="288" w:lineRule="auto"/>
              <w:ind w:firstLine="0" w:firstLineChars="0"/>
              <w:rPr>
                <w:rFonts w:cs="宋体"/>
                <w:spacing w:val="-6"/>
                <w:highlight w:val="none"/>
              </w:rPr>
            </w:pPr>
            <w:r>
              <w:rPr>
                <w:rFonts w:hint="eastAsia" w:cs="宋体"/>
                <w:spacing w:val="-6"/>
                <w:highlight w:val="none"/>
              </w:rPr>
              <w:t>投标人自2018年1月份以来类似的采购合同，每个有效业绩得1分，最高得5分；（以合同签订时间为准，需提供合同复印件并加盖公章）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质量、环境管理证书</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2</w:t>
            </w:r>
          </w:p>
        </w:tc>
        <w:tc>
          <w:tcPr>
            <w:tcW w:w="7819" w:type="dxa"/>
            <w:vAlign w:val="center"/>
          </w:tcPr>
          <w:p>
            <w:pPr>
              <w:ind w:firstLine="0" w:firstLineChars="0"/>
              <w:rPr>
                <w:rFonts w:cs="宋体"/>
                <w:spacing w:val="-6"/>
                <w:highlight w:val="none"/>
              </w:rPr>
            </w:pPr>
            <w:r>
              <w:rPr>
                <w:rFonts w:hint="eastAsia" w:cs="宋体"/>
                <w:highlight w:val="none"/>
              </w:rPr>
              <w:t>投标人具有有效的质量管理系统认证、环境管理体系认证证书的，每项得1分，本项最高得2分。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质保期</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3</w:t>
            </w:r>
          </w:p>
        </w:tc>
        <w:tc>
          <w:tcPr>
            <w:tcW w:w="7819" w:type="dxa"/>
            <w:vAlign w:val="center"/>
          </w:tcPr>
          <w:p>
            <w:pPr>
              <w:pStyle w:val="4"/>
              <w:spacing w:line="288" w:lineRule="auto"/>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质保期满足招标文件得1分，每增加十二个月加1分，增加不足十二个月的不加分。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合同条款</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2</w:t>
            </w:r>
          </w:p>
        </w:tc>
        <w:tc>
          <w:tcPr>
            <w:tcW w:w="7819" w:type="dxa"/>
            <w:vAlign w:val="center"/>
          </w:tcPr>
          <w:p>
            <w:pPr>
              <w:pStyle w:val="4"/>
              <w:spacing w:line="288" w:lineRule="auto"/>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满足招标文件《第五章 合同格式》中各条款的得 2 分，有任何负偏离的得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0" w:type="auto"/>
            <w:gridSpan w:val="3"/>
            <w:vAlign w:val="center"/>
          </w:tcPr>
          <w:p>
            <w:pPr>
              <w:pStyle w:val="17"/>
              <w:spacing w:line="288" w:lineRule="auto"/>
              <w:ind w:firstLine="0"/>
              <w:jc w:val="center"/>
              <w:rPr>
                <w:rFonts w:cs="宋体"/>
                <w:spacing w:val="-6"/>
                <w:szCs w:val="24"/>
                <w:highlight w:val="none"/>
              </w:rPr>
            </w:pPr>
            <w:r>
              <w:rPr>
                <w:rFonts w:hint="eastAsia" w:cs="宋体"/>
                <w:b/>
                <w:spacing w:val="-6"/>
                <w:szCs w:val="24"/>
                <w:highlight w:val="none"/>
              </w:rPr>
              <w:t>技术分 （53分）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响应程度</w:t>
            </w:r>
          </w:p>
        </w:tc>
        <w:tc>
          <w:tcPr>
            <w:tcW w:w="750" w:type="dxa"/>
            <w:vAlign w:val="center"/>
          </w:tcPr>
          <w:p>
            <w:pPr>
              <w:spacing w:line="288" w:lineRule="auto"/>
              <w:ind w:firstLine="0" w:firstLineChars="0"/>
              <w:jc w:val="center"/>
              <w:rPr>
                <w:rFonts w:cs="宋体"/>
                <w:highlight w:val="none"/>
              </w:rPr>
            </w:pPr>
            <w:r>
              <w:rPr>
                <w:rFonts w:hint="eastAsia" w:cs="宋体"/>
                <w:highlight w:val="none"/>
              </w:rPr>
              <w:t>24</w:t>
            </w:r>
          </w:p>
        </w:tc>
        <w:tc>
          <w:tcPr>
            <w:tcW w:w="7819" w:type="dxa"/>
            <w:vAlign w:val="center"/>
          </w:tcPr>
          <w:p>
            <w:pPr>
              <w:spacing w:line="288" w:lineRule="auto"/>
              <w:ind w:firstLine="0" w:firstLineChars="0"/>
              <w:rPr>
                <w:rFonts w:cs="宋体"/>
                <w:highlight w:val="none"/>
              </w:rPr>
            </w:pPr>
            <w:r>
              <w:rPr>
                <w:rFonts w:hint="eastAsia" w:cs="宋体"/>
                <w:highlight w:val="none"/>
              </w:rPr>
              <w:t>投标产品的基本功能、技术指标与需求的吻合程度和偏差情况（除▲以外）：包括所投标产品的详细配置、主要技术参数、随机软件等，是否能够满足投标文件要求。全部满足或明显优于招标文件要求得24分；</w:t>
            </w:r>
            <w:r>
              <w:rPr>
                <w:rFonts w:hint="eastAsia"/>
                <w:highlight w:val="none"/>
              </w:rPr>
              <w:t>(非标注“★”技术条款低于技术要求（负偏离）的每条扣2分,标注“★”的技术条款低于技术要求（负偏离）的每条扣</w:t>
            </w:r>
            <w:r>
              <w:rPr>
                <w:rFonts w:hint="eastAsia"/>
                <w:highlight w:val="none"/>
                <w:lang w:val="en-US" w:eastAsia="zh-CN"/>
              </w:rPr>
              <w:t>3</w:t>
            </w:r>
            <w:r>
              <w:rPr>
                <w:rFonts w:hint="eastAsia"/>
                <w:highlight w:val="none"/>
              </w:rPr>
              <w:t>分，扣完为止。</w:t>
            </w:r>
            <w:r>
              <w:rPr>
                <w:rFonts w:hint="eastAsia" w:cs="宋体"/>
                <w:highlight w:val="none"/>
              </w:rPr>
              <w:t>（采购需求偏离表技术要求中响应规格与技术资料不一致的经评标委员会讨论后可被认定为负偏离）。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产品性能</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3</w:t>
            </w:r>
          </w:p>
        </w:tc>
        <w:tc>
          <w:tcPr>
            <w:tcW w:w="7819" w:type="dxa"/>
            <w:vAlign w:val="center"/>
          </w:tcPr>
          <w:p>
            <w:pPr>
              <w:autoSpaceDE w:val="0"/>
              <w:autoSpaceDN w:val="0"/>
              <w:adjustRightInd w:val="0"/>
              <w:snapToGrid w:val="0"/>
              <w:spacing w:line="312" w:lineRule="auto"/>
              <w:ind w:firstLine="0" w:firstLineChars="0"/>
              <w:rPr>
                <w:rFonts w:cs="宋体"/>
                <w:highlight w:val="none"/>
              </w:rPr>
            </w:pPr>
            <w:r>
              <w:rPr>
                <w:rFonts w:hint="eastAsia" w:cs="宋体"/>
                <w:highlight w:val="none"/>
              </w:rPr>
              <w:t>根据投标产品性能及质量优劣和技术规格响应度打分（对产品的性能、市场使用程度、成熟度、可靠性、产品的性价比等内容进行评分）。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技术能力证明</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4</w:t>
            </w:r>
          </w:p>
        </w:tc>
        <w:tc>
          <w:tcPr>
            <w:tcW w:w="7819" w:type="dxa"/>
            <w:vAlign w:val="center"/>
          </w:tcPr>
          <w:p>
            <w:pPr>
              <w:autoSpaceDE w:val="0"/>
              <w:autoSpaceDN w:val="0"/>
              <w:adjustRightInd w:val="0"/>
              <w:snapToGrid w:val="0"/>
              <w:spacing w:line="312" w:lineRule="auto"/>
              <w:ind w:firstLine="0" w:firstLineChars="0"/>
              <w:rPr>
                <w:rFonts w:cs="宋体"/>
                <w:highlight w:val="none"/>
              </w:rPr>
            </w:pPr>
            <w:r>
              <w:rPr>
                <w:rFonts w:hint="eastAsia" w:cs="宋体"/>
                <w:highlight w:val="none"/>
              </w:rPr>
              <w:t>投标产品的技术支持资料数量、技术详尽程度；投标产品的技术支持资料对响应技术指标的佐证程度。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实施方案</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5</w:t>
            </w:r>
          </w:p>
        </w:tc>
        <w:tc>
          <w:tcPr>
            <w:tcW w:w="7819" w:type="dxa"/>
            <w:vAlign w:val="center"/>
          </w:tcPr>
          <w:p>
            <w:pPr>
              <w:autoSpaceDE w:val="0"/>
              <w:autoSpaceDN w:val="0"/>
              <w:adjustRightInd w:val="0"/>
              <w:snapToGrid w:val="0"/>
              <w:spacing w:line="312" w:lineRule="auto"/>
              <w:ind w:firstLine="0" w:firstLineChars="0"/>
              <w:rPr>
                <w:rFonts w:cs="宋体"/>
                <w:highlight w:val="none"/>
              </w:rPr>
            </w:pPr>
            <w:r>
              <w:rPr>
                <w:rFonts w:hint="eastAsia" w:cs="宋体"/>
                <w:highlight w:val="none"/>
              </w:rPr>
              <w:t>根据本项目特点制定的实施组织方案，包括项目实施组织安排、技术人员配备、主要设备工具配备等。按照实施安排的合理性，科学性，专业性及工具的完备程度等进行评分。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服务团队</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4</w:t>
            </w:r>
          </w:p>
        </w:tc>
        <w:tc>
          <w:tcPr>
            <w:tcW w:w="7819" w:type="dxa"/>
            <w:vAlign w:val="center"/>
          </w:tcPr>
          <w:p>
            <w:pPr>
              <w:autoSpaceDE w:val="0"/>
              <w:autoSpaceDN w:val="0"/>
              <w:adjustRightInd w:val="0"/>
              <w:snapToGrid w:val="0"/>
              <w:spacing w:line="312" w:lineRule="auto"/>
              <w:ind w:firstLine="0" w:firstLineChars="0"/>
              <w:rPr>
                <w:rFonts w:cs="宋体"/>
                <w:highlight w:val="none"/>
              </w:rPr>
            </w:pPr>
            <w:r>
              <w:rPr>
                <w:rFonts w:hint="eastAsia" w:cs="宋体"/>
                <w:highlight w:val="none"/>
              </w:rPr>
              <w:t>项目负责人、项目组实施人员专业人员素质、技术能力、专业分布、经验等情况，数量是否充足，配置是否合理等，项目小组认证工程师资质情况和其他有关资质证书等情况。</w:t>
            </w:r>
            <w:r>
              <w:rPr>
                <w:rFonts w:hint="eastAsia" w:cs="宋体"/>
                <w:b/>
                <w:spacing w:val="-6"/>
                <w:highlight w:val="none"/>
              </w:rPr>
              <w:t>（提供在职服务人员社保证明材料）。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售后服务</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5</w:t>
            </w:r>
          </w:p>
        </w:tc>
        <w:tc>
          <w:tcPr>
            <w:tcW w:w="7819" w:type="dxa"/>
            <w:vAlign w:val="center"/>
          </w:tcPr>
          <w:p>
            <w:pPr>
              <w:autoSpaceDE w:val="0"/>
              <w:autoSpaceDN w:val="0"/>
              <w:adjustRightInd w:val="0"/>
              <w:snapToGrid w:val="0"/>
              <w:spacing w:line="312" w:lineRule="auto"/>
              <w:ind w:firstLine="0" w:firstLineChars="0"/>
              <w:rPr>
                <w:rFonts w:cs="宋体"/>
                <w:highlight w:val="none"/>
              </w:rPr>
            </w:pPr>
            <w:r>
              <w:rPr>
                <w:rFonts w:hint="eastAsia" w:cs="宋体"/>
                <w:highlight w:val="none"/>
              </w:rPr>
              <w:t>根据投标人及制造厂商提供的技术支持和售后服务方案（包括售后服务承诺和履约保证、售后服务范围、维修保养具体内容、具体服务标准、</w:t>
            </w:r>
            <w:r>
              <w:rPr>
                <w:rFonts w:hint="eastAsia" w:cs="宋体"/>
                <w:szCs w:val="21"/>
                <w:highlight w:val="none"/>
              </w:rPr>
              <w:t>人员配备，服务网点</w:t>
            </w:r>
            <w:r>
              <w:rPr>
                <w:rFonts w:hint="eastAsia" w:cs="宋体"/>
                <w:highlight w:val="none"/>
              </w:rPr>
              <w:t>）的优劣评价。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培训方案</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4</w:t>
            </w:r>
          </w:p>
        </w:tc>
        <w:tc>
          <w:tcPr>
            <w:tcW w:w="7819" w:type="dxa"/>
            <w:vAlign w:val="center"/>
          </w:tcPr>
          <w:p>
            <w:pPr>
              <w:autoSpaceDE w:val="0"/>
              <w:autoSpaceDN w:val="0"/>
              <w:adjustRightInd w:val="0"/>
              <w:snapToGrid w:val="0"/>
              <w:spacing w:line="312" w:lineRule="auto"/>
              <w:ind w:firstLine="0" w:firstLineChars="0"/>
              <w:rPr>
                <w:rFonts w:cs="宋体"/>
                <w:highlight w:val="none"/>
              </w:rPr>
            </w:pPr>
            <w:r>
              <w:rPr>
                <w:rFonts w:hint="eastAsia" w:cs="宋体"/>
                <w:highlight w:val="none"/>
              </w:rPr>
              <w:t>培训计划内容合理性、详细程度，培训范围，实施计划的针对性。提供针对此项目投标产品详细的培训计划，包含培训内容，课程，时间，地点，培训人数等情况。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88" w:lineRule="auto"/>
              <w:ind w:firstLine="0" w:firstLineChars="0"/>
              <w:jc w:val="center"/>
              <w:rPr>
                <w:rFonts w:cs="宋体"/>
                <w:spacing w:val="-6"/>
                <w:highlight w:val="none"/>
              </w:rPr>
            </w:pPr>
            <w:r>
              <w:rPr>
                <w:rFonts w:hint="eastAsia" w:cs="宋体"/>
                <w:spacing w:val="-6"/>
                <w:highlight w:val="none"/>
              </w:rPr>
              <w:t>优惠承诺</w:t>
            </w:r>
          </w:p>
        </w:tc>
        <w:tc>
          <w:tcPr>
            <w:tcW w:w="750" w:type="dxa"/>
            <w:vAlign w:val="center"/>
          </w:tcPr>
          <w:p>
            <w:pPr>
              <w:spacing w:line="288" w:lineRule="auto"/>
              <w:ind w:firstLine="0" w:firstLineChars="0"/>
              <w:jc w:val="center"/>
              <w:rPr>
                <w:rFonts w:cs="宋体"/>
                <w:spacing w:val="-6"/>
                <w:highlight w:val="none"/>
              </w:rPr>
            </w:pPr>
            <w:r>
              <w:rPr>
                <w:rFonts w:hint="eastAsia" w:cs="宋体"/>
                <w:spacing w:val="-6"/>
                <w:highlight w:val="none"/>
              </w:rPr>
              <w:t>4</w:t>
            </w:r>
          </w:p>
        </w:tc>
        <w:tc>
          <w:tcPr>
            <w:tcW w:w="7819" w:type="dxa"/>
            <w:vAlign w:val="center"/>
          </w:tcPr>
          <w:p>
            <w:pPr>
              <w:pStyle w:val="5"/>
              <w:ind w:left="0"/>
              <w:rPr>
                <w:rFonts w:ascii="宋体" w:hAnsi="宋体" w:cs="宋体"/>
                <w:highlight w:val="none"/>
              </w:rPr>
            </w:pPr>
            <w:r>
              <w:rPr>
                <w:rFonts w:hint="eastAsia" w:ascii="宋体" w:hAnsi="宋体" w:cs="宋体"/>
                <w:kern w:val="2"/>
                <w:sz w:val="24"/>
                <w:szCs w:val="24"/>
                <w:highlight w:val="none"/>
              </w:rPr>
              <w:t>投标人承诺给予采购人的各种优惠折扣率、力度，包括增加产品功能、配置，质保期外重要部件维修、更换及易耗件价格等。</w:t>
            </w:r>
          </w:p>
        </w:tc>
      </w:tr>
    </w:tbl>
    <w:p>
      <w:pPr>
        <w:bidi w:val="0"/>
        <w:rPr>
          <w:rFonts w:hint="eastAsia"/>
          <w:color w:val="auto"/>
          <w:highlight w:val="none"/>
        </w:rPr>
      </w:pPr>
    </w:p>
    <w:p>
      <w:pPr>
        <w:pStyle w:val="4"/>
        <w:rPr>
          <w:rFonts w:hint="eastAsia"/>
          <w:highlight w:val="none"/>
        </w:rPr>
      </w:pPr>
    </w:p>
    <w:bookmarkEnd w:id="172"/>
    <w:bookmarkEnd w:id="173"/>
    <w:bookmarkEnd w:id="174"/>
    <w:p>
      <w:pPr>
        <w:ind w:firstLine="480"/>
        <w:rPr>
          <w:rFonts w:hint="eastAsia" w:ascii="宋体" w:hAnsi="宋体" w:eastAsia="宋体" w:cs="宋体"/>
          <w:color w:val="auto"/>
          <w:highlight w:val="none"/>
        </w:rPr>
      </w:pPr>
    </w:p>
    <w:p>
      <w:pPr>
        <w:pStyle w:val="4"/>
        <w:rPr>
          <w:rFonts w:hint="eastAsia" w:ascii="宋体" w:hAnsi="宋体" w:eastAsia="宋体" w:cs="宋体"/>
          <w:color w:val="auto"/>
          <w:highlight w:val="none"/>
        </w:rPr>
        <w:sectPr>
          <w:footerReference r:id="rId15" w:type="default"/>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bookmarkEnd w:id="167"/>
    <w:bookmarkEnd w:id="168"/>
    <w:bookmarkEnd w:id="169"/>
    <w:p>
      <w:pPr>
        <w:pStyle w:val="6"/>
        <w:bidi w:val="0"/>
        <w:rPr>
          <w:rFonts w:hint="eastAsia"/>
          <w:color w:val="auto"/>
          <w:highlight w:val="none"/>
        </w:rPr>
      </w:pPr>
      <w:bookmarkStart w:id="175" w:name="_Toc28261"/>
      <w:bookmarkStart w:id="176" w:name="_Toc10616"/>
      <w:r>
        <w:rPr>
          <w:rFonts w:hint="eastAsia"/>
          <w:color w:val="auto"/>
          <w:highlight w:val="none"/>
        </w:rPr>
        <w:t>第五章 合同格式</w:t>
      </w:r>
      <w:bookmarkEnd w:id="175"/>
      <w:bookmarkEnd w:id="176"/>
    </w:p>
    <w:p>
      <w:pPr>
        <w:bidi w:val="0"/>
        <w:rPr>
          <w:rFonts w:hint="eastAsia"/>
          <w:color w:val="auto"/>
          <w:highlight w:val="none"/>
        </w:rPr>
      </w:pPr>
      <w:r>
        <w:rPr>
          <w:rFonts w:hint="eastAsia"/>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312"/>
        <w:ind w:firstLine="602"/>
        <w:jc w:val="center"/>
        <w:rPr>
          <w:rFonts w:hint="eastAsia" w:ascii="宋体" w:hAnsi="宋体" w:eastAsia="宋体" w:cs="宋体"/>
          <w:b/>
          <w:color w:val="auto"/>
          <w:sz w:val="44"/>
          <w:highlight w:val="none"/>
        </w:rPr>
      </w:pPr>
      <w:bookmarkStart w:id="177" w:name="_Toc450840088"/>
      <w:r>
        <w:rPr>
          <w:rFonts w:hint="eastAsia" w:ascii="宋体" w:hAnsi="宋体" w:eastAsia="宋体" w:cs="宋体"/>
          <w:b/>
          <w:color w:val="auto"/>
          <w:sz w:val="30"/>
          <w:szCs w:val="30"/>
          <w:highlight w:val="none"/>
        </w:rPr>
        <w:t>中国计量大学国产货物采购合同</w:t>
      </w:r>
    </w:p>
    <w:p>
      <w:pPr>
        <w:snapToGrid w:val="0"/>
        <w:spacing w:line="240" w:lineRule="auto"/>
        <w:ind w:firstLine="48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合同编号：</w:t>
      </w:r>
    </w:p>
    <w:p>
      <w:pPr>
        <w:snapToGrid w:val="0"/>
        <w:spacing w:line="240" w:lineRule="auto"/>
        <w:ind w:firstLine="480"/>
        <w:contextualSpacing/>
        <w:jc w:val="center"/>
        <w:rPr>
          <w:rFonts w:hint="eastAsia" w:cs="宋体"/>
          <w:color w:val="auto"/>
          <w:szCs w:val="21"/>
          <w:highlight w:val="none"/>
          <w:lang w:eastAsia="zh-CN"/>
        </w:rPr>
      </w:pPr>
      <w:r>
        <w:rPr>
          <w:rFonts w:hint="eastAsia" w:ascii="宋体" w:hAnsi="宋体" w:eastAsia="宋体" w:cs="宋体"/>
          <w:color w:val="auto"/>
          <w:szCs w:val="21"/>
          <w:highlight w:val="none"/>
        </w:rPr>
        <w:t xml:space="preserve">                                            确认书编号：浙财采确</w:t>
      </w:r>
      <w:r>
        <w:rPr>
          <w:rFonts w:hint="eastAsia" w:cs="宋体"/>
          <w:color w:val="auto"/>
          <w:szCs w:val="21"/>
          <w:highlight w:val="none"/>
          <w:lang w:eastAsia="zh-CN"/>
        </w:rPr>
        <w:t>[2021]22276号</w:t>
      </w:r>
    </w:p>
    <w:p>
      <w:pPr>
        <w:snapToGrid w:val="0"/>
        <w:spacing w:line="240" w:lineRule="auto"/>
        <w:ind w:firstLine="480"/>
        <w:contextualSpacing/>
        <w:jc w:val="center"/>
        <w:rPr>
          <w:rFonts w:hint="eastAsia" w:ascii="宋体" w:hAnsi="宋体" w:eastAsia="宋体" w:cs="宋体"/>
          <w:color w:val="auto"/>
          <w:szCs w:val="21"/>
          <w:highlight w:val="none"/>
        </w:rPr>
      </w:pPr>
    </w:p>
    <w:p>
      <w:pPr>
        <w:pStyle w:val="17"/>
        <w:spacing w:line="240" w:lineRule="auto"/>
        <w:ind w:left="324" w:leftChars="135" w:firstLine="0"/>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甲方（需方）：</w:t>
      </w:r>
      <w:r>
        <w:rPr>
          <w:rFonts w:hint="eastAsia" w:ascii="宋体" w:hAnsi="宋体" w:eastAsia="宋体" w:cs="宋体"/>
          <w:b/>
          <w:color w:val="auto"/>
          <w:szCs w:val="24"/>
          <w:highlight w:val="none"/>
          <w:u w:val="single"/>
        </w:rPr>
        <w:t xml:space="preserve">     中国计量大学                 </w:t>
      </w:r>
    </w:p>
    <w:p>
      <w:pPr>
        <w:pStyle w:val="17"/>
        <w:spacing w:line="240" w:lineRule="auto"/>
        <w:ind w:firstLine="282" w:firstLineChars="117"/>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乙方（供方）：</w:t>
      </w:r>
      <w:r>
        <w:rPr>
          <w:rFonts w:hint="eastAsia" w:ascii="宋体" w:hAnsi="宋体" w:eastAsia="宋体" w:cs="宋体"/>
          <w:b/>
          <w:color w:val="auto"/>
          <w:szCs w:val="24"/>
          <w:highlight w:val="none"/>
          <w:u w:val="single"/>
        </w:rPr>
        <w:t xml:space="preserve">                                  </w:t>
      </w:r>
    </w:p>
    <w:p>
      <w:pPr>
        <w:pStyle w:val="17"/>
        <w:tabs>
          <w:tab w:val="left" w:pos="6240"/>
        </w:tabs>
        <w:spacing w:after="312"/>
        <w:ind w:left="324" w:leftChars="135" w:firstLine="0"/>
        <w:contextualSpacing/>
        <w:jc w:val="left"/>
        <w:rPr>
          <w:rFonts w:hint="eastAsia" w:ascii="宋体" w:hAnsi="宋体" w:eastAsia="宋体" w:cs="宋体"/>
          <w:color w:val="auto"/>
          <w:sz w:val="21"/>
          <w:szCs w:val="21"/>
          <w:highlight w:val="none"/>
        </w:rPr>
      </w:pPr>
    </w:p>
    <w:p>
      <w:pPr>
        <w:pStyle w:val="17"/>
        <w:spacing w:line="240" w:lineRule="auto"/>
        <w:contextualSpacing/>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依照</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及其他有关法律、行政法规，遵循平等、自愿、公平和诚实信用的原则，双方</w:t>
      </w:r>
      <w:r>
        <w:rPr>
          <w:rFonts w:hint="eastAsia" w:ascii="宋体" w:hAnsi="宋体" w:eastAsia="宋体" w:cs="宋体"/>
          <w:snapToGrid w:val="0"/>
          <w:color w:val="auto"/>
          <w:sz w:val="21"/>
          <w:szCs w:val="21"/>
          <w:highlight w:val="none"/>
        </w:rPr>
        <w:t>根据对</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（项目名称和编号）的公开招标的结果,签署本合同。</w:t>
      </w:r>
    </w:p>
    <w:p>
      <w:pPr>
        <w:snapToGrid w:val="0"/>
        <w:spacing w:line="240" w:lineRule="auto"/>
        <w:ind w:firstLine="458"/>
        <w:contextualSpacing/>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一、采购商品清单及合同价格</w:t>
      </w:r>
    </w:p>
    <w:tbl>
      <w:tblPr>
        <w:tblStyle w:val="4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8" w:type="dxa"/>
            <w:vAlign w:val="center"/>
          </w:tcPr>
          <w:p>
            <w:pPr>
              <w:adjustRightInd w:val="0"/>
              <w:snapToGrid w:val="0"/>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364" w:type="dxa"/>
            <w:vAlign w:val="center"/>
          </w:tcPr>
          <w:p>
            <w:pPr>
              <w:adjustRightInd w:val="0"/>
              <w:snapToGrid w:val="0"/>
              <w:spacing w:line="240" w:lineRule="auto"/>
              <w:ind w:right="-36"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92" w:type="dxa"/>
            <w:vAlign w:val="center"/>
          </w:tcPr>
          <w:p>
            <w:pPr>
              <w:adjustRightInd w:val="0"/>
              <w:snapToGrid w:val="0"/>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品牌/厂家/</w:t>
            </w:r>
          </w:p>
          <w:p>
            <w:pPr>
              <w:adjustRightInd w:val="0"/>
              <w:snapToGrid w:val="0"/>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原产地</w:t>
            </w:r>
          </w:p>
        </w:tc>
        <w:tc>
          <w:tcPr>
            <w:tcW w:w="856" w:type="dxa"/>
            <w:vAlign w:val="center"/>
          </w:tcPr>
          <w:p>
            <w:pPr>
              <w:adjustRightInd w:val="0"/>
              <w:snapToGrid w:val="0"/>
              <w:spacing w:line="240" w:lineRule="auto"/>
              <w:ind w:right="-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计量</w:t>
            </w:r>
          </w:p>
          <w:p>
            <w:pPr>
              <w:adjustRightInd w:val="0"/>
              <w:snapToGrid w:val="0"/>
              <w:spacing w:line="240" w:lineRule="auto"/>
              <w:ind w:right="-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0" w:type="dxa"/>
            <w:vAlign w:val="center"/>
          </w:tcPr>
          <w:p>
            <w:pPr>
              <w:adjustRightInd w:val="0"/>
              <w:snapToGrid w:val="0"/>
              <w:spacing w:line="240" w:lineRule="auto"/>
              <w:ind w:right="-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92" w:type="dxa"/>
            <w:vAlign w:val="center"/>
          </w:tcPr>
          <w:p>
            <w:pPr>
              <w:adjustRightInd w:val="0"/>
              <w:snapToGrid w:val="0"/>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552" w:type="dxa"/>
            <w:vAlign w:val="center"/>
          </w:tcPr>
          <w:p>
            <w:pPr>
              <w:adjustRightInd w:val="0"/>
              <w:snapToGrid w:val="0"/>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8"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1364"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1492"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856"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850"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992"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1552"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68"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1364"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1492"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856"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850"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992"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c>
          <w:tcPr>
            <w:tcW w:w="1552" w:type="dxa"/>
            <w:vAlign w:val="center"/>
          </w:tcPr>
          <w:p>
            <w:pPr>
              <w:adjustRightInd w:val="0"/>
              <w:snapToGrid w:val="0"/>
              <w:spacing w:before="120" w:beforeLines="50" w:after="120" w:afterLines="50" w:line="300" w:lineRule="auto"/>
              <w:ind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24"/>
              <w:adjustRightInd w:val="0"/>
              <w:snapToGrid w:val="0"/>
              <w:spacing w:before="120" w:beforeLines="50" w:after="120" w:afterLines="50" w:line="300"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合同总价：人民币金额（大写）：                                   ¥：</w:t>
            </w:r>
          </w:p>
        </w:tc>
      </w:tr>
    </w:tbl>
    <w:p>
      <w:pPr>
        <w:spacing w:line="240" w:lineRule="auto"/>
        <w:ind w:firstLine="1026" w:firstLineChars="45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注：以上合同总价包括运抵使用单位的运输、安装、调试、验收、税金等费用。</w:t>
      </w:r>
    </w:p>
    <w:p>
      <w:pPr>
        <w:spacing w:line="240" w:lineRule="auto"/>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二、技术资料</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1、乙方应按招标文件规定的时间向甲方提供合同货物的有关技术资料。</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22"/>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三、知识产权</w:t>
      </w:r>
    </w:p>
    <w:p>
      <w:pPr>
        <w:pStyle w:val="22"/>
        <w:ind w:firstLine="490" w:firstLineChars="215"/>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乙方应保证所提供的货物或其任何一部分均不会侵犯任何第三方的知识产权，由此产生的知识产权纠纷由乙方承担全部责任。</w:t>
      </w:r>
    </w:p>
    <w:p>
      <w:pPr>
        <w:spacing w:line="240" w:lineRule="auto"/>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四、履约保证金：</w:t>
      </w:r>
    </w:p>
    <w:p>
      <w:pPr>
        <w:pStyle w:val="22"/>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乙方须于合同签订后七个工作日内向甲方支付合同总价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的履约保证金，共计人民币¥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，履约保证金在交货验收后自动转为质量保证金。质量保证金自</w:t>
      </w:r>
      <w:r>
        <w:rPr>
          <w:rFonts w:hint="eastAsia" w:ascii="宋体" w:hAnsi="宋体" w:eastAsia="宋体" w:cs="宋体"/>
          <w:color w:val="auto"/>
          <w:spacing w:val="-6"/>
          <w:sz w:val="24"/>
          <w:szCs w:val="24"/>
          <w:highlight w:val="none"/>
        </w:rPr>
        <w:t>货物交付验收合格后</w:t>
      </w:r>
      <w:r>
        <w:rPr>
          <w:rFonts w:hint="eastAsia" w:ascii="宋体" w:hAnsi="宋体" w:eastAsia="宋体" w:cs="宋体"/>
          <w:color w:val="auto"/>
          <w:spacing w:val="-6"/>
          <w:sz w:val="24"/>
          <w:szCs w:val="24"/>
          <w:highlight w:val="none"/>
          <w:u w:val="single"/>
        </w:rPr>
        <w:t xml:space="preserve"> 12</w:t>
      </w:r>
      <w:r>
        <w:rPr>
          <w:rFonts w:hint="eastAsia" w:ascii="宋体" w:hAnsi="宋体" w:eastAsia="宋体" w:cs="宋体"/>
          <w:color w:val="auto"/>
          <w:spacing w:val="-6"/>
          <w:sz w:val="24"/>
          <w:szCs w:val="24"/>
          <w:highlight w:val="none"/>
        </w:rPr>
        <w:t>个月内无质量问题索赔和售后服务问题，由甲方无息退回乙方，质量保证金应以银行转账或电汇形式。</w:t>
      </w:r>
    </w:p>
    <w:p>
      <w:pPr>
        <w:spacing w:line="240" w:lineRule="auto"/>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五、交货时间、地点 </w:t>
      </w:r>
    </w:p>
    <w:p>
      <w:pPr>
        <w:pStyle w:val="22"/>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乙方应于合同签订以后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天内将所供商品按时、安全运至甲方指定地点，安装调试完毕后交甲方验收。</w:t>
      </w:r>
    </w:p>
    <w:p>
      <w:pPr>
        <w:spacing w:line="240" w:lineRule="auto"/>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六、调试与验收</w:t>
      </w:r>
    </w:p>
    <w:p>
      <w:pPr>
        <w:spacing w:after="312" w:line="288"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2、到货验收：到货后，甲方对乙方提交的货物依据招标文件上的技术规格要求和国家有关质量标准进行现场到货验收，主要</w:t>
      </w:r>
      <w:r>
        <w:rPr>
          <w:rFonts w:hint="eastAsia" w:ascii="宋体" w:hAnsi="宋体" w:eastAsia="宋体" w:cs="宋体"/>
          <w:color w:val="auto"/>
          <w:sz w:val="24"/>
          <w:szCs w:val="24"/>
          <w:highlight w:val="none"/>
        </w:rPr>
        <w:t>检查货物原产地、规格、型号、配置是否符合要求。</w:t>
      </w:r>
      <w:r>
        <w:rPr>
          <w:rFonts w:hint="eastAsia" w:ascii="宋体" w:hAnsi="宋体" w:eastAsia="宋体" w:cs="宋体"/>
          <w:color w:val="auto"/>
          <w:spacing w:val="-6"/>
          <w:sz w:val="24"/>
          <w:szCs w:val="24"/>
          <w:highlight w:val="none"/>
        </w:rPr>
        <w:t>符合招投标文件技术要求的给予签收，初步验收不合格的不予签收。</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4、对技术复杂的货物，甲方可请国家认可的专业检测机构参与到货验收及交付验收，并由其出具质量检测报告。验收费用由乙方承担。</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5、如发现有重大的质量问题：</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（1）甲乙双方可协商，</w:t>
      </w:r>
      <w:r>
        <w:rPr>
          <w:rFonts w:hint="eastAsia" w:ascii="宋体" w:hAnsi="宋体" w:eastAsia="宋体" w:cs="宋体"/>
          <w:color w:val="auto"/>
          <w:sz w:val="24"/>
          <w:szCs w:val="24"/>
          <w:highlight w:val="none"/>
        </w:rPr>
        <w:t>应在合理的期限内负责更换直至符合质量要求；</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ascii="宋体" w:hAnsi="宋体" w:eastAsia="宋体" w:cs="宋体"/>
          <w:color w:val="auto"/>
          <w:spacing w:val="-6"/>
          <w:sz w:val="24"/>
          <w:szCs w:val="24"/>
          <w:highlight w:val="none"/>
          <w:u w:val="single"/>
        </w:rPr>
        <w:t xml:space="preserve"> 10％ </w:t>
      </w:r>
      <w:r>
        <w:rPr>
          <w:rFonts w:hint="eastAsia" w:ascii="宋体" w:hAnsi="宋体" w:eastAsia="宋体" w:cs="宋体"/>
          <w:color w:val="auto"/>
          <w:spacing w:val="-6"/>
          <w:sz w:val="24"/>
          <w:szCs w:val="24"/>
          <w:highlight w:val="none"/>
        </w:rPr>
        <w:t>的赔偿金。</w:t>
      </w:r>
    </w:p>
    <w:p>
      <w:pPr>
        <w:spacing w:line="240" w:lineRule="auto"/>
        <w:ind w:firstLine="482"/>
        <w:contextualSpacing/>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七、货款的支付</w:t>
      </w:r>
    </w:p>
    <w:p>
      <w:pPr>
        <w:pStyle w:val="22"/>
        <w:ind w:firstLine="42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货物验收合格之日起</w:t>
      </w:r>
      <w:r>
        <w:rPr>
          <w:rFonts w:hint="eastAsia" w:ascii="宋体" w:hAnsi="宋体" w:eastAsia="宋体" w:cs="宋体"/>
          <w:color w:val="auto"/>
          <w:sz w:val="24"/>
          <w:szCs w:val="24"/>
          <w:highlight w:val="none"/>
          <w:u w:val="single"/>
        </w:rPr>
        <w:t xml:space="preserve"> 15</w:t>
      </w:r>
      <w:r>
        <w:rPr>
          <w:rFonts w:hint="eastAsia" w:ascii="宋体" w:hAnsi="宋体" w:eastAsia="宋体" w:cs="宋体"/>
          <w:color w:val="auto"/>
          <w:sz w:val="24"/>
          <w:szCs w:val="24"/>
          <w:highlight w:val="none"/>
        </w:rPr>
        <w:t>个工作日，甲方收到乙方开具的增值税专用发票后，甲方向乙方全额支付合同总额，即¥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 </w:t>
      </w:r>
    </w:p>
    <w:p>
      <w:pPr>
        <w:spacing w:line="240" w:lineRule="auto"/>
        <w:ind w:firstLine="482"/>
        <w:contextualSpacing/>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八、质量保证与售后服务</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1、乙方应按招标文件规定的货物性能、技术要求、质量标准向甲方提供未经使用的全新产品。</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2、产品质量保修期为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年，质保期从验收合格后开始计算。</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如在使用过程中发生故障，无法正常使用时，乙方在接到甲方通知后，保修响应时间2小时以内，电话技术支持4小时内解决问题；若需上门维修，则8小时内到达现场并进行维修，最迟在2个工作日内修复。保修期内出现无法排除的故障，乙方需无条件为甲方更换同型号产品，以确保甲方的正常使用。</w:t>
      </w:r>
    </w:p>
    <w:p>
      <w:pPr>
        <w:spacing w:line="240" w:lineRule="auto"/>
        <w:ind w:firstLine="48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九、违约责任</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1、乙方逾期履行合同的，甲方有权没收履约保证金，并自逾期之日起，乙方每天按合同总金额0.2%向甲方偿付违约金。</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2、乙方逾期交货超过</w:t>
      </w:r>
      <w:r>
        <w:rPr>
          <w:rFonts w:hint="eastAsia" w:ascii="宋体" w:hAnsi="宋体" w:eastAsia="宋体" w:cs="宋体"/>
          <w:color w:val="auto"/>
          <w:spacing w:val="-6"/>
          <w:sz w:val="24"/>
          <w:szCs w:val="24"/>
          <w:highlight w:val="none"/>
          <w:u w:val="single"/>
        </w:rPr>
        <w:t>30</w:t>
      </w:r>
      <w:r>
        <w:rPr>
          <w:rFonts w:hint="eastAsia" w:ascii="宋体" w:hAnsi="宋体" w:eastAsia="宋体" w:cs="宋体"/>
          <w:color w:val="auto"/>
          <w:spacing w:val="-6"/>
          <w:sz w:val="24"/>
          <w:szCs w:val="24"/>
          <w:highlight w:val="none"/>
        </w:rPr>
        <w:t>天，甲方有权终止合同，且乙方仍须支付相应的违约金；如造成甲方损失超过违约金的，超出部分由乙方继续承担赔偿责任。</w:t>
      </w:r>
    </w:p>
    <w:p>
      <w:pPr>
        <w:spacing w:line="240" w:lineRule="auto"/>
        <w:ind w:firstLine="48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十、不可抗力事件处理</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 在合同有效期内，任何一方因不可抗力事件导致不能履行合同，则合同履行期可延长，其延长期与不可抗力影响期相同。</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2、不可抗力事件发生后，应立即通知对方，并寄送有关权威机构出具的证明。</w:t>
      </w:r>
    </w:p>
    <w:p>
      <w:pPr>
        <w:spacing w:line="240" w:lineRule="auto"/>
        <w:ind w:firstLine="456"/>
        <w:contextualSpacing/>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3、不可抗力事件延续120天以上，双方应通过友好协商，确定是否继续履行合同。</w:t>
      </w:r>
    </w:p>
    <w:p>
      <w:pPr>
        <w:spacing w:line="240" w:lineRule="auto"/>
        <w:ind w:firstLine="48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十一、争议解决</w:t>
      </w:r>
    </w:p>
    <w:p>
      <w:pPr>
        <w:spacing w:line="240" w:lineRule="auto"/>
        <w:ind w:left="485" w:leftChars="202"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rPr>
        <w:t>双方在执行合同过程中所发生的一切争议，应首先通过协商解决，协商不成，应向甲方所在地人民法院起诉。</w:t>
      </w:r>
    </w:p>
    <w:p>
      <w:pPr>
        <w:spacing w:line="240" w:lineRule="auto"/>
        <w:ind w:firstLine="48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十二、合同生效</w:t>
      </w:r>
    </w:p>
    <w:p>
      <w:pPr>
        <w:numPr>
          <w:ilvl w:val="0"/>
          <w:numId w:val="46"/>
        </w:numPr>
        <w:spacing w:line="24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本合同经甲、乙双方法定代表人或授权代表签字并加盖单位公章后生效。</w:t>
      </w:r>
    </w:p>
    <w:p>
      <w:pPr>
        <w:spacing w:line="240" w:lineRule="auto"/>
        <w:ind w:left="315" w:firstLine="0"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2、本合同未尽事宜，遵照《中华人民共和国民法典》的有关规定执行。</w:t>
      </w:r>
    </w:p>
    <w:p>
      <w:pPr>
        <w:spacing w:line="240" w:lineRule="auto"/>
        <w:ind w:firstLine="342" w:firstLineChars="150"/>
        <w:contextualSpacing/>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3、本合同一式</w:t>
      </w:r>
      <w:r>
        <w:rPr>
          <w:rFonts w:hint="eastAsia" w:cs="宋体"/>
          <w:color w:val="auto"/>
          <w:spacing w:val="-6"/>
          <w:szCs w:val="21"/>
          <w:highlight w:val="none"/>
          <w:lang w:val="en-US" w:eastAsia="zh-CN"/>
        </w:rPr>
        <w:t>陆</w:t>
      </w:r>
      <w:r>
        <w:rPr>
          <w:rFonts w:hint="eastAsia" w:ascii="宋体" w:hAnsi="宋体" w:eastAsia="宋体" w:cs="宋体"/>
          <w:color w:val="auto"/>
          <w:spacing w:val="-6"/>
          <w:szCs w:val="21"/>
          <w:highlight w:val="none"/>
        </w:rPr>
        <w:t>份，甲方执</w:t>
      </w:r>
      <w:r>
        <w:rPr>
          <w:rFonts w:hint="eastAsia" w:cs="宋体"/>
          <w:color w:val="auto"/>
          <w:spacing w:val="-6"/>
          <w:szCs w:val="21"/>
          <w:highlight w:val="none"/>
          <w:lang w:val="en-US" w:eastAsia="zh-CN"/>
        </w:rPr>
        <w:t>伍</w:t>
      </w:r>
      <w:r>
        <w:rPr>
          <w:rFonts w:hint="eastAsia" w:ascii="宋体" w:hAnsi="宋体" w:eastAsia="宋体" w:cs="宋体"/>
          <w:color w:val="auto"/>
          <w:spacing w:val="-6"/>
          <w:szCs w:val="21"/>
          <w:highlight w:val="none"/>
        </w:rPr>
        <w:t>份，乙方执壹份。</w:t>
      </w:r>
    </w:p>
    <w:p>
      <w:pPr>
        <w:spacing w:line="240" w:lineRule="auto"/>
        <w:ind w:firstLine="342" w:firstLineChars="150"/>
        <w:contextualSpacing/>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4、与本合同有关的招投标文件及相关承诺系本合同的组成部分。</w:t>
      </w:r>
    </w:p>
    <w:tbl>
      <w:tblPr>
        <w:tblStyle w:val="42"/>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  方（需方）</w:t>
            </w:r>
          </w:p>
        </w:tc>
        <w:tc>
          <w:tcPr>
            <w:tcW w:w="4644" w:type="dxa"/>
            <w:vAlign w:val="bottom"/>
          </w:tcPr>
          <w:p>
            <w:pPr>
              <w:spacing w:line="240" w:lineRule="auto"/>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单位名称（章）：中国计量大学</w:t>
            </w:r>
          </w:p>
        </w:tc>
        <w:tc>
          <w:tcPr>
            <w:tcW w:w="4644" w:type="dxa"/>
            <w:vAlign w:val="center"/>
          </w:tcPr>
          <w:p>
            <w:pPr>
              <w:spacing w:line="24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单位地址：杭州市下沙高教园区学源街258号</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电话：0571-            传真：0571-86875640</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开户银行：工行高新支行</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账号：1202026209008932114</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纳税人识别号：123300004700090698</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邮政编号：310018                                                                                                                                                                                                                                         </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签约时间：</w:t>
            </w:r>
          </w:p>
        </w:tc>
        <w:tc>
          <w:tcPr>
            <w:tcW w:w="4644" w:type="dxa"/>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签约地点：杭州</w:t>
            </w:r>
          </w:p>
        </w:tc>
      </w:tr>
    </w:tbl>
    <w:p>
      <w:pPr>
        <w:tabs>
          <w:tab w:val="left" w:pos="525"/>
        </w:tabs>
        <w:spacing w:after="312" w:line="240" w:lineRule="auto"/>
        <w:ind w:firstLine="0" w:firstLineChars="0"/>
        <w:rPr>
          <w:rFonts w:hint="eastAsia" w:ascii="宋体" w:hAnsi="宋体" w:eastAsia="宋体" w:cs="宋体"/>
          <w:b/>
          <w:bCs/>
          <w:color w:val="auto"/>
          <w:szCs w:val="21"/>
          <w:highlight w:val="none"/>
        </w:rPr>
      </w:pPr>
    </w:p>
    <w:p>
      <w:pPr>
        <w:tabs>
          <w:tab w:val="left" w:pos="525"/>
        </w:tabs>
        <w:spacing w:after="312" w:line="240" w:lineRule="auto"/>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合同附件：</w:t>
      </w:r>
    </w:p>
    <w:p>
      <w:pPr>
        <w:tabs>
          <w:tab w:val="left" w:pos="525"/>
        </w:tabs>
        <w:spacing w:after="312" w:line="240" w:lineRule="auto"/>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配置清单：</w:t>
      </w:r>
    </w:p>
    <w:tbl>
      <w:tblPr>
        <w:tblStyle w:val="42"/>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79" w:type="dxa"/>
            <w:vAlign w:val="center"/>
          </w:tcPr>
          <w:p>
            <w:pPr>
              <w:spacing w:line="300" w:lineRule="exact"/>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2329" w:type="dxa"/>
            <w:vAlign w:val="center"/>
          </w:tcPr>
          <w:p>
            <w:pPr>
              <w:spacing w:line="300" w:lineRule="exact"/>
              <w:ind w:left="102" w:right="-36" w:hanging="102"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985" w:type="dxa"/>
            <w:vAlign w:val="top"/>
          </w:tcPr>
          <w:p>
            <w:pPr>
              <w:spacing w:line="300" w:lineRule="exact"/>
              <w:ind w:left="102" w:right="-36" w:hanging="102"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品牌/厂家/</w:t>
            </w:r>
          </w:p>
          <w:p>
            <w:pPr>
              <w:spacing w:line="300" w:lineRule="exact"/>
              <w:ind w:left="102" w:right="-36" w:hanging="102"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原产地</w:t>
            </w:r>
          </w:p>
        </w:tc>
        <w:tc>
          <w:tcPr>
            <w:tcW w:w="1417" w:type="dxa"/>
            <w:vAlign w:val="center"/>
          </w:tcPr>
          <w:p>
            <w:pPr>
              <w:spacing w:line="300" w:lineRule="exact"/>
              <w:ind w:right="-3"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073" w:type="dxa"/>
            <w:vAlign w:val="center"/>
          </w:tcPr>
          <w:p>
            <w:pPr>
              <w:spacing w:line="300" w:lineRule="exact"/>
              <w:ind w:right="-3"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单价（元）</w:t>
            </w:r>
          </w:p>
        </w:tc>
        <w:tc>
          <w:tcPr>
            <w:tcW w:w="1418" w:type="dxa"/>
            <w:vAlign w:val="center"/>
          </w:tcPr>
          <w:p>
            <w:pPr>
              <w:spacing w:line="300" w:lineRule="exact"/>
              <w:ind w:right="-3"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232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1985"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417"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073" w:type="dxa"/>
            <w:vAlign w:val="center"/>
          </w:tcPr>
          <w:p>
            <w:pPr>
              <w:spacing w:line="300" w:lineRule="exact"/>
              <w:ind w:firstLine="0" w:firstLineChars="0"/>
              <w:jc w:val="center"/>
              <w:rPr>
                <w:rFonts w:hint="eastAsia" w:ascii="宋体" w:hAnsi="宋体" w:eastAsia="宋体" w:cs="宋体"/>
                <w:color w:val="auto"/>
                <w:szCs w:val="21"/>
                <w:highlight w:val="none"/>
              </w:rPr>
            </w:pPr>
          </w:p>
        </w:tc>
        <w:tc>
          <w:tcPr>
            <w:tcW w:w="1418" w:type="dxa"/>
            <w:vAlign w:val="top"/>
          </w:tcPr>
          <w:p>
            <w:pPr>
              <w:spacing w:line="300" w:lineRule="exact"/>
              <w:ind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232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1985"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417"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073" w:type="dxa"/>
            <w:vAlign w:val="center"/>
          </w:tcPr>
          <w:p>
            <w:pPr>
              <w:spacing w:line="300" w:lineRule="exact"/>
              <w:ind w:firstLine="0" w:firstLineChars="0"/>
              <w:jc w:val="center"/>
              <w:rPr>
                <w:rFonts w:hint="eastAsia" w:ascii="宋体" w:hAnsi="宋体" w:eastAsia="宋体" w:cs="宋体"/>
                <w:color w:val="auto"/>
                <w:szCs w:val="21"/>
                <w:highlight w:val="none"/>
              </w:rPr>
            </w:pPr>
          </w:p>
        </w:tc>
        <w:tc>
          <w:tcPr>
            <w:tcW w:w="1418" w:type="dxa"/>
            <w:vAlign w:val="top"/>
          </w:tcPr>
          <w:p>
            <w:pPr>
              <w:spacing w:line="300" w:lineRule="exact"/>
              <w:ind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2329" w:type="dxa"/>
            <w:vAlign w:val="center"/>
          </w:tcPr>
          <w:p>
            <w:pPr>
              <w:spacing w:line="240" w:lineRule="auto"/>
              <w:ind w:left="120" w:hanging="120" w:hangingChars="50"/>
              <w:jc w:val="center"/>
              <w:rPr>
                <w:rFonts w:hint="eastAsia" w:ascii="宋体" w:hAnsi="宋体" w:eastAsia="宋体" w:cs="宋体"/>
                <w:color w:val="auto"/>
                <w:szCs w:val="21"/>
                <w:highlight w:val="none"/>
              </w:rPr>
            </w:pPr>
          </w:p>
        </w:tc>
        <w:tc>
          <w:tcPr>
            <w:tcW w:w="1985"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417"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073" w:type="dxa"/>
            <w:vAlign w:val="center"/>
          </w:tcPr>
          <w:p>
            <w:pPr>
              <w:spacing w:line="300" w:lineRule="exact"/>
              <w:ind w:firstLine="0" w:firstLineChars="0"/>
              <w:jc w:val="center"/>
              <w:rPr>
                <w:rFonts w:hint="eastAsia" w:ascii="宋体" w:hAnsi="宋体" w:eastAsia="宋体" w:cs="宋体"/>
                <w:color w:val="auto"/>
                <w:szCs w:val="21"/>
                <w:highlight w:val="none"/>
              </w:rPr>
            </w:pPr>
          </w:p>
        </w:tc>
        <w:tc>
          <w:tcPr>
            <w:tcW w:w="1418" w:type="dxa"/>
            <w:vAlign w:val="top"/>
          </w:tcPr>
          <w:p>
            <w:pPr>
              <w:spacing w:line="300" w:lineRule="exact"/>
              <w:ind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7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232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1985"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417"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073" w:type="dxa"/>
            <w:vAlign w:val="center"/>
          </w:tcPr>
          <w:p>
            <w:pPr>
              <w:spacing w:line="300" w:lineRule="exact"/>
              <w:ind w:firstLine="0" w:firstLineChars="0"/>
              <w:jc w:val="center"/>
              <w:rPr>
                <w:rFonts w:hint="eastAsia" w:ascii="宋体" w:hAnsi="宋体" w:eastAsia="宋体" w:cs="宋体"/>
                <w:color w:val="auto"/>
                <w:szCs w:val="21"/>
                <w:highlight w:val="none"/>
              </w:rPr>
            </w:pPr>
          </w:p>
        </w:tc>
        <w:tc>
          <w:tcPr>
            <w:tcW w:w="1418" w:type="dxa"/>
            <w:vAlign w:val="top"/>
          </w:tcPr>
          <w:p>
            <w:pPr>
              <w:spacing w:line="300" w:lineRule="exact"/>
              <w:ind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7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232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1985"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417"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073" w:type="dxa"/>
            <w:vAlign w:val="center"/>
          </w:tcPr>
          <w:p>
            <w:pPr>
              <w:spacing w:line="300" w:lineRule="exact"/>
              <w:ind w:firstLine="0" w:firstLineChars="0"/>
              <w:jc w:val="center"/>
              <w:rPr>
                <w:rFonts w:hint="eastAsia" w:ascii="宋体" w:hAnsi="宋体" w:eastAsia="宋体" w:cs="宋体"/>
                <w:color w:val="auto"/>
                <w:szCs w:val="21"/>
                <w:highlight w:val="none"/>
              </w:rPr>
            </w:pPr>
          </w:p>
        </w:tc>
        <w:tc>
          <w:tcPr>
            <w:tcW w:w="1418" w:type="dxa"/>
            <w:vAlign w:val="top"/>
          </w:tcPr>
          <w:p>
            <w:pPr>
              <w:spacing w:line="300" w:lineRule="exact"/>
              <w:ind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7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2329" w:type="dxa"/>
            <w:vAlign w:val="center"/>
          </w:tcPr>
          <w:p>
            <w:pPr>
              <w:spacing w:line="240" w:lineRule="auto"/>
              <w:ind w:firstLine="0" w:firstLineChars="0"/>
              <w:jc w:val="center"/>
              <w:rPr>
                <w:rFonts w:hint="eastAsia" w:ascii="宋体" w:hAnsi="宋体" w:eastAsia="宋体" w:cs="宋体"/>
                <w:color w:val="auto"/>
                <w:szCs w:val="21"/>
                <w:highlight w:val="none"/>
              </w:rPr>
            </w:pPr>
          </w:p>
        </w:tc>
        <w:tc>
          <w:tcPr>
            <w:tcW w:w="1985"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417" w:type="dxa"/>
            <w:vAlign w:val="top"/>
          </w:tcPr>
          <w:p>
            <w:pPr>
              <w:spacing w:line="300" w:lineRule="exact"/>
              <w:ind w:firstLine="0" w:firstLineChars="0"/>
              <w:jc w:val="center"/>
              <w:rPr>
                <w:rFonts w:hint="eastAsia" w:ascii="宋体" w:hAnsi="宋体" w:eastAsia="宋体" w:cs="宋体"/>
                <w:color w:val="auto"/>
                <w:szCs w:val="21"/>
                <w:highlight w:val="none"/>
              </w:rPr>
            </w:pPr>
          </w:p>
        </w:tc>
        <w:tc>
          <w:tcPr>
            <w:tcW w:w="1073" w:type="dxa"/>
            <w:vAlign w:val="center"/>
          </w:tcPr>
          <w:p>
            <w:pPr>
              <w:spacing w:line="300" w:lineRule="exact"/>
              <w:ind w:firstLine="0" w:firstLineChars="0"/>
              <w:jc w:val="center"/>
              <w:rPr>
                <w:rFonts w:hint="eastAsia" w:ascii="宋体" w:hAnsi="宋体" w:eastAsia="宋体" w:cs="宋体"/>
                <w:color w:val="auto"/>
                <w:szCs w:val="21"/>
                <w:highlight w:val="none"/>
              </w:rPr>
            </w:pPr>
          </w:p>
        </w:tc>
        <w:tc>
          <w:tcPr>
            <w:tcW w:w="1418" w:type="dxa"/>
            <w:vAlign w:val="top"/>
          </w:tcPr>
          <w:p>
            <w:pPr>
              <w:spacing w:line="300" w:lineRule="exact"/>
              <w:ind w:firstLine="0" w:firstLineChars="0"/>
              <w:jc w:val="center"/>
              <w:rPr>
                <w:rFonts w:hint="eastAsia" w:ascii="宋体" w:hAnsi="宋体" w:eastAsia="宋体" w:cs="宋体"/>
                <w:color w:val="auto"/>
                <w:szCs w:val="21"/>
                <w:highlight w:val="none"/>
              </w:rPr>
            </w:pPr>
          </w:p>
        </w:tc>
      </w:tr>
    </w:tbl>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after="240" w:afterLines="100" w:line="420" w:lineRule="exact"/>
        <w:ind w:firstLine="602"/>
        <w:jc w:val="center"/>
        <w:rPr>
          <w:b/>
          <w:sz w:val="30"/>
          <w:szCs w:val="30"/>
          <w:highlight w:val="none"/>
        </w:rPr>
      </w:pPr>
      <w:r>
        <w:rPr>
          <w:rFonts w:hint="eastAsia"/>
          <w:b/>
          <w:sz w:val="30"/>
          <w:szCs w:val="30"/>
          <w:highlight w:val="none"/>
        </w:rPr>
        <w:t>中国计量大学进口货物技术协议书</w:t>
      </w:r>
    </w:p>
    <w:p>
      <w:pPr>
        <w:snapToGrid w:val="0"/>
        <w:spacing w:line="240" w:lineRule="auto"/>
        <w:ind w:firstLine="420"/>
        <w:contextualSpacing/>
        <w:jc w:val="center"/>
        <w:rPr>
          <w:sz w:val="21"/>
          <w:szCs w:val="21"/>
          <w:highlight w:val="none"/>
        </w:rPr>
      </w:pPr>
      <w:r>
        <w:rPr>
          <w:rFonts w:hint="eastAsia"/>
          <w:sz w:val="21"/>
          <w:szCs w:val="21"/>
          <w:highlight w:val="none"/>
        </w:rPr>
        <w:t xml:space="preserve">                     合同编号：</w:t>
      </w:r>
    </w:p>
    <w:p>
      <w:pPr>
        <w:snapToGrid w:val="0"/>
        <w:spacing w:line="240" w:lineRule="auto"/>
        <w:ind w:firstLine="420"/>
        <w:contextualSpacing/>
        <w:jc w:val="center"/>
        <w:rPr>
          <w:sz w:val="21"/>
          <w:szCs w:val="21"/>
          <w:highlight w:val="none"/>
        </w:rPr>
      </w:pPr>
      <w:r>
        <w:rPr>
          <w:rFonts w:hint="eastAsia"/>
          <w:sz w:val="21"/>
          <w:szCs w:val="21"/>
          <w:highlight w:val="none"/>
        </w:rPr>
        <w:t xml:space="preserve">                                            确认书编号：浙财采确[2021]22276号</w:t>
      </w:r>
    </w:p>
    <w:p>
      <w:pPr>
        <w:spacing w:line="240" w:lineRule="auto"/>
        <w:ind w:firstLine="0" w:firstLineChars="0"/>
        <w:rPr>
          <w:b/>
          <w:bCs/>
          <w:highlight w:val="none"/>
        </w:rPr>
      </w:pPr>
      <w:r>
        <w:rPr>
          <w:rFonts w:hint="eastAsia"/>
          <w:b/>
          <w:bCs/>
          <w:highlight w:val="none"/>
        </w:rPr>
        <w:t>甲方（需方）：</w:t>
      </w:r>
      <w:r>
        <w:rPr>
          <w:rFonts w:hint="eastAsia"/>
          <w:b/>
          <w:bCs/>
          <w:highlight w:val="none"/>
          <w:u w:val="single"/>
        </w:rPr>
        <w:t xml:space="preserve">     中国计量大学             </w:t>
      </w:r>
      <w:r>
        <w:rPr>
          <w:rFonts w:hint="eastAsia"/>
          <w:b/>
          <w:bCs/>
          <w:highlight w:val="none"/>
        </w:rPr>
        <w:t xml:space="preserve"> </w:t>
      </w:r>
    </w:p>
    <w:p>
      <w:pPr>
        <w:spacing w:line="240" w:lineRule="auto"/>
        <w:ind w:firstLine="0" w:firstLineChars="0"/>
        <w:rPr>
          <w:b/>
          <w:bCs/>
          <w:highlight w:val="none"/>
        </w:rPr>
      </w:pPr>
      <w:r>
        <w:rPr>
          <w:rFonts w:hint="eastAsia"/>
          <w:b/>
          <w:bCs/>
          <w:highlight w:val="none"/>
        </w:rPr>
        <w:t>乙方（供方）：</w:t>
      </w:r>
      <w:r>
        <w:rPr>
          <w:rFonts w:hint="eastAsia"/>
          <w:b/>
          <w:bCs/>
          <w:highlight w:val="none"/>
          <w:u w:val="single"/>
        </w:rPr>
        <w:t xml:space="preserve">                              </w:t>
      </w:r>
      <w:r>
        <w:rPr>
          <w:rFonts w:hint="eastAsia"/>
          <w:b/>
          <w:bCs/>
          <w:highlight w:val="none"/>
        </w:rPr>
        <w:t xml:space="preserve"> </w:t>
      </w:r>
    </w:p>
    <w:p>
      <w:pPr>
        <w:spacing w:line="240" w:lineRule="auto"/>
        <w:ind w:firstLine="420"/>
        <w:rPr>
          <w:sz w:val="21"/>
          <w:szCs w:val="21"/>
          <w:highlight w:val="none"/>
        </w:rPr>
      </w:pPr>
    </w:p>
    <w:p>
      <w:pPr>
        <w:spacing w:line="240" w:lineRule="auto"/>
        <w:ind w:firstLine="420"/>
        <w:rPr>
          <w:snapToGrid w:val="0"/>
          <w:kern w:val="0"/>
          <w:highlight w:val="none"/>
        </w:rPr>
      </w:pPr>
      <w:r>
        <w:rPr>
          <w:rFonts w:hint="eastAsia"/>
          <w:sz w:val="21"/>
          <w:szCs w:val="21"/>
          <w:highlight w:val="none"/>
        </w:rPr>
        <w:t>依照《中华人民共和国民法典》及其他有关法律、行政</w:t>
      </w:r>
      <w:r>
        <w:rPr>
          <w:rFonts w:hint="eastAsia" w:cs="Times New Roman"/>
          <w:sz w:val="21"/>
          <w:szCs w:val="21"/>
          <w:highlight w:val="none"/>
        </w:rPr>
        <w:t>法规，遵循平等、自愿、公平和诚实信用的原则，双方根据对                             （项目名称和编号）的公开招标的结果,就甲方向乙方购买进口                     设备达成以下协议：</w:t>
      </w:r>
    </w:p>
    <w:p>
      <w:pPr>
        <w:spacing w:line="240" w:lineRule="auto"/>
        <w:ind w:firstLine="0" w:firstLineChars="0"/>
        <w:rPr>
          <w:rFonts w:cs="宋体"/>
          <w:b/>
          <w:bCs/>
          <w:spacing w:val="-6"/>
          <w:sz w:val="21"/>
          <w:szCs w:val="21"/>
          <w:highlight w:val="none"/>
        </w:rPr>
      </w:pPr>
    </w:p>
    <w:p>
      <w:pPr>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一、采购商品清单及合同价格</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rFonts w:cs="宋体"/>
                <w:szCs w:val="21"/>
                <w:highlight w:val="none"/>
              </w:rPr>
            </w:pPr>
            <w:r>
              <w:rPr>
                <w:rFonts w:hint="eastAsia" w:cs="宋体"/>
                <w:szCs w:val="21"/>
                <w:highlight w:val="none"/>
              </w:rPr>
              <w:t>序号</w:t>
            </w:r>
          </w:p>
        </w:tc>
        <w:tc>
          <w:tcPr>
            <w:tcW w:w="1068" w:type="dxa"/>
            <w:vAlign w:val="center"/>
          </w:tcPr>
          <w:p>
            <w:pPr>
              <w:adjustRightInd w:val="0"/>
              <w:snapToGrid w:val="0"/>
              <w:spacing w:line="240" w:lineRule="auto"/>
              <w:ind w:firstLine="0" w:firstLineChars="0"/>
              <w:jc w:val="center"/>
              <w:rPr>
                <w:rFonts w:cs="宋体"/>
                <w:szCs w:val="21"/>
                <w:highlight w:val="none"/>
              </w:rPr>
            </w:pPr>
            <w:r>
              <w:rPr>
                <w:rFonts w:hint="eastAsia" w:cs="宋体"/>
                <w:szCs w:val="21"/>
                <w:highlight w:val="none"/>
              </w:rPr>
              <w:t>货物名称</w:t>
            </w:r>
          </w:p>
        </w:tc>
        <w:tc>
          <w:tcPr>
            <w:tcW w:w="1364" w:type="dxa"/>
            <w:vAlign w:val="center"/>
          </w:tcPr>
          <w:p>
            <w:pPr>
              <w:adjustRightInd w:val="0"/>
              <w:snapToGrid w:val="0"/>
              <w:spacing w:line="240" w:lineRule="auto"/>
              <w:ind w:right="-36" w:firstLine="0" w:firstLineChars="0"/>
              <w:jc w:val="center"/>
              <w:rPr>
                <w:rFonts w:cs="宋体"/>
                <w:szCs w:val="21"/>
                <w:highlight w:val="none"/>
              </w:rPr>
            </w:pPr>
            <w:r>
              <w:rPr>
                <w:rFonts w:hint="eastAsia" w:cs="宋体"/>
                <w:szCs w:val="21"/>
                <w:highlight w:val="none"/>
              </w:rPr>
              <w:t>规格型号</w:t>
            </w:r>
          </w:p>
        </w:tc>
        <w:tc>
          <w:tcPr>
            <w:tcW w:w="1492" w:type="dxa"/>
            <w:vAlign w:val="center"/>
          </w:tcPr>
          <w:p>
            <w:pPr>
              <w:adjustRightInd w:val="0"/>
              <w:snapToGrid w:val="0"/>
              <w:spacing w:line="240" w:lineRule="auto"/>
              <w:ind w:firstLine="0" w:firstLineChars="0"/>
              <w:jc w:val="center"/>
              <w:rPr>
                <w:rFonts w:cs="宋体"/>
                <w:szCs w:val="21"/>
                <w:highlight w:val="none"/>
              </w:rPr>
            </w:pPr>
            <w:r>
              <w:rPr>
                <w:rFonts w:hint="eastAsia" w:cs="宋体"/>
                <w:szCs w:val="21"/>
                <w:highlight w:val="none"/>
              </w:rPr>
              <w:t>品牌/厂家/</w:t>
            </w:r>
          </w:p>
          <w:p>
            <w:pPr>
              <w:adjustRightInd w:val="0"/>
              <w:snapToGrid w:val="0"/>
              <w:spacing w:line="240" w:lineRule="auto"/>
              <w:ind w:firstLine="0" w:firstLineChars="0"/>
              <w:jc w:val="center"/>
              <w:rPr>
                <w:rFonts w:cs="宋体"/>
                <w:szCs w:val="21"/>
                <w:highlight w:val="none"/>
              </w:rPr>
            </w:pPr>
            <w:r>
              <w:rPr>
                <w:rFonts w:hint="eastAsia" w:cs="宋体"/>
                <w:szCs w:val="21"/>
                <w:highlight w:val="none"/>
              </w:rPr>
              <w:t>原产地</w:t>
            </w:r>
          </w:p>
        </w:tc>
        <w:tc>
          <w:tcPr>
            <w:tcW w:w="856" w:type="dxa"/>
            <w:vAlign w:val="center"/>
          </w:tcPr>
          <w:p>
            <w:pPr>
              <w:adjustRightInd w:val="0"/>
              <w:snapToGrid w:val="0"/>
              <w:spacing w:line="240" w:lineRule="auto"/>
              <w:ind w:right="-3" w:firstLine="0" w:firstLineChars="0"/>
              <w:jc w:val="center"/>
              <w:rPr>
                <w:rFonts w:cs="宋体"/>
                <w:szCs w:val="21"/>
                <w:highlight w:val="none"/>
              </w:rPr>
            </w:pPr>
            <w:r>
              <w:rPr>
                <w:rFonts w:hint="eastAsia" w:cs="宋体"/>
                <w:szCs w:val="21"/>
                <w:highlight w:val="none"/>
              </w:rPr>
              <w:t>计量</w:t>
            </w:r>
          </w:p>
          <w:p>
            <w:pPr>
              <w:adjustRightInd w:val="0"/>
              <w:snapToGrid w:val="0"/>
              <w:spacing w:line="240" w:lineRule="auto"/>
              <w:ind w:right="-3" w:firstLine="0" w:firstLineChars="0"/>
              <w:jc w:val="center"/>
              <w:rPr>
                <w:rFonts w:cs="宋体"/>
                <w:szCs w:val="21"/>
                <w:highlight w:val="none"/>
              </w:rPr>
            </w:pPr>
            <w:r>
              <w:rPr>
                <w:rFonts w:hint="eastAsia" w:cs="宋体"/>
                <w:szCs w:val="21"/>
                <w:highlight w:val="none"/>
              </w:rPr>
              <w:t>单位</w:t>
            </w:r>
          </w:p>
        </w:tc>
        <w:tc>
          <w:tcPr>
            <w:tcW w:w="850" w:type="dxa"/>
            <w:vAlign w:val="center"/>
          </w:tcPr>
          <w:p>
            <w:pPr>
              <w:adjustRightInd w:val="0"/>
              <w:snapToGrid w:val="0"/>
              <w:spacing w:line="240" w:lineRule="auto"/>
              <w:ind w:right="-3" w:firstLine="0" w:firstLineChars="0"/>
              <w:jc w:val="center"/>
              <w:rPr>
                <w:rFonts w:cs="宋体"/>
                <w:szCs w:val="21"/>
                <w:highlight w:val="none"/>
              </w:rPr>
            </w:pPr>
            <w:r>
              <w:rPr>
                <w:rFonts w:hint="eastAsia" w:cs="宋体"/>
                <w:szCs w:val="21"/>
                <w:highlight w:val="none"/>
              </w:rPr>
              <w:t>数量</w:t>
            </w:r>
          </w:p>
        </w:tc>
        <w:tc>
          <w:tcPr>
            <w:tcW w:w="992" w:type="dxa"/>
            <w:vAlign w:val="center"/>
          </w:tcPr>
          <w:p>
            <w:pPr>
              <w:adjustRightInd w:val="0"/>
              <w:snapToGrid w:val="0"/>
              <w:spacing w:line="240" w:lineRule="auto"/>
              <w:ind w:firstLine="0" w:firstLineChars="0"/>
              <w:jc w:val="center"/>
              <w:rPr>
                <w:rFonts w:cs="宋体"/>
                <w:szCs w:val="21"/>
                <w:highlight w:val="none"/>
              </w:rPr>
            </w:pPr>
            <w:r>
              <w:rPr>
                <w:rFonts w:hint="eastAsia" w:cs="宋体"/>
                <w:szCs w:val="21"/>
                <w:highlight w:val="none"/>
              </w:rPr>
              <w:t>单价(元)</w:t>
            </w:r>
          </w:p>
        </w:tc>
        <w:tc>
          <w:tcPr>
            <w:tcW w:w="1552" w:type="dxa"/>
            <w:vAlign w:val="center"/>
          </w:tcPr>
          <w:p>
            <w:pPr>
              <w:adjustRightInd w:val="0"/>
              <w:snapToGrid w:val="0"/>
              <w:spacing w:line="240" w:lineRule="auto"/>
              <w:ind w:firstLine="0" w:firstLineChars="0"/>
              <w:jc w:val="center"/>
              <w:rPr>
                <w:rFonts w:cs="宋体"/>
                <w:szCs w:val="21"/>
                <w:highlight w:val="none"/>
              </w:rPr>
            </w:pPr>
            <w:r>
              <w:rPr>
                <w:rFonts w:hint="eastAsia" w:cs="宋体"/>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r>
              <w:rPr>
                <w:rFonts w:hint="eastAsia" w:cs="宋体"/>
                <w:szCs w:val="21"/>
                <w:highlight w:val="none"/>
              </w:rPr>
              <w:t>1</w:t>
            </w:r>
          </w:p>
        </w:tc>
        <w:tc>
          <w:tcPr>
            <w:tcW w:w="1068"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1364"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1492"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856"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850"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992"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1552"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r>
              <w:rPr>
                <w:rFonts w:hint="eastAsia" w:cs="宋体"/>
                <w:szCs w:val="21"/>
                <w:highlight w:val="none"/>
              </w:rPr>
              <w:t>2</w:t>
            </w:r>
          </w:p>
        </w:tc>
        <w:tc>
          <w:tcPr>
            <w:tcW w:w="1068"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1364"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1492"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856"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850"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992"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c>
          <w:tcPr>
            <w:tcW w:w="1552" w:type="dxa"/>
            <w:vAlign w:val="center"/>
          </w:tcPr>
          <w:p>
            <w:pPr>
              <w:adjustRightInd w:val="0"/>
              <w:snapToGrid w:val="0"/>
              <w:spacing w:before="120" w:beforeLines="50" w:after="120" w:afterLines="50" w:line="300" w:lineRule="auto"/>
              <w:ind w:firstLine="0" w:firstLineChars="0"/>
              <w:jc w:val="center"/>
              <w:rPr>
                <w:rFonts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24"/>
              <w:adjustRightInd w:val="0"/>
              <w:snapToGrid w:val="0"/>
              <w:spacing w:before="120" w:beforeLines="50" w:after="120" w:afterLines="50" w:line="300" w:lineRule="auto"/>
              <w:ind w:left="0" w:leftChars="0"/>
              <w:rPr>
                <w:rFonts w:cs="宋体"/>
                <w:color w:val="auto"/>
                <w:sz w:val="21"/>
                <w:szCs w:val="21"/>
                <w:highlight w:val="none"/>
              </w:rPr>
            </w:pPr>
            <w:r>
              <w:rPr>
                <w:rFonts w:hint="eastAsia" w:cs="宋体"/>
                <w:color w:val="auto"/>
                <w:sz w:val="21"/>
                <w:szCs w:val="21"/>
                <w:highlight w:val="none"/>
              </w:rPr>
              <w:t>合同总价：人民币金额（大写）：                                   ¥：</w:t>
            </w:r>
          </w:p>
        </w:tc>
      </w:tr>
    </w:tbl>
    <w:p>
      <w:pPr>
        <w:spacing w:line="240" w:lineRule="auto"/>
        <w:ind w:firstLine="0" w:firstLineChars="0"/>
        <w:rPr>
          <w:rFonts w:cs="宋体"/>
          <w:spacing w:val="-6"/>
          <w:sz w:val="21"/>
          <w:szCs w:val="21"/>
          <w:highlight w:val="none"/>
        </w:rPr>
      </w:pPr>
      <w:r>
        <w:rPr>
          <w:rFonts w:hint="eastAsia" w:cs="宋体"/>
          <w:spacing w:val="-6"/>
          <w:sz w:val="21"/>
          <w:szCs w:val="21"/>
          <w:highlight w:val="none"/>
        </w:rPr>
        <w:t>注：</w:t>
      </w:r>
      <w:r>
        <w:rPr>
          <w:rFonts w:cs="宋体"/>
          <w:spacing w:val="-6"/>
          <w:sz w:val="21"/>
          <w:szCs w:val="21"/>
          <w:highlight w:val="none"/>
        </w:rPr>
        <w:t>1</w:t>
      </w:r>
      <w:r>
        <w:rPr>
          <w:rFonts w:hint="eastAsia" w:cs="宋体"/>
          <w:spacing w:val="-6"/>
          <w:sz w:val="21"/>
          <w:szCs w:val="21"/>
          <w:highlight w:val="none"/>
        </w:rPr>
        <w:t>、本协议涉及货物委托外贸代理公司</w:t>
      </w:r>
      <w:r>
        <w:rPr>
          <w:rFonts w:hint="eastAsia" w:cs="宋体"/>
          <w:spacing w:val="-6"/>
          <w:sz w:val="21"/>
          <w:szCs w:val="21"/>
          <w:highlight w:val="none"/>
          <w:u w:val="single"/>
        </w:rPr>
        <w:t xml:space="preserve">                     </w:t>
      </w:r>
      <w:r>
        <w:rPr>
          <w:rFonts w:hint="eastAsia" w:cs="宋体"/>
          <w:spacing w:val="-6"/>
          <w:sz w:val="21"/>
          <w:szCs w:val="21"/>
          <w:highlight w:val="none"/>
        </w:rPr>
        <w:t>代理设备进口有关的业务。外贸代理公司根据本合同中规定的设备名称、规格型号、配置配件、技术要求、价格、厂家/生产国别、售后服务等相关书面资料，及时对外签订进口合同。</w:t>
      </w:r>
    </w:p>
    <w:p>
      <w:pPr>
        <w:spacing w:line="240" w:lineRule="auto"/>
        <w:ind w:firstLine="396"/>
        <w:rPr>
          <w:rFonts w:cs="宋体"/>
          <w:spacing w:val="-6"/>
          <w:sz w:val="21"/>
          <w:szCs w:val="21"/>
          <w:highlight w:val="none"/>
        </w:rPr>
      </w:pPr>
      <w:r>
        <w:rPr>
          <w:rFonts w:hint="eastAsia" w:cs="宋体"/>
          <w:spacing w:val="-6"/>
          <w:sz w:val="21"/>
          <w:szCs w:val="21"/>
          <w:highlight w:val="none"/>
        </w:rPr>
        <w:t xml:space="preserve">2、本项目开标当日（ </w:t>
      </w:r>
      <w:r>
        <w:rPr>
          <w:rFonts w:hint="eastAsia" w:cs="宋体"/>
          <w:spacing w:val="-6"/>
          <w:sz w:val="21"/>
          <w:szCs w:val="21"/>
          <w:highlight w:val="none"/>
          <w:u w:val="single"/>
        </w:rPr>
        <w:t xml:space="preserve">    </w:t>
      </w:r>
      <w:r>
        <w:rPr>
          <w:rFonts w:hint="eastAsia" w:cs="宋体"/>
          <w:spacing w:val="-6"/>
          <w:sz w:val="21"/>
          <w:szCs w:val="21"/>
          <w:highlight w:val="none"/>
        </w:rPr>
        <w:t>年</w:t>
      </w:r>
      <w:r>
        <w:rPr>
          <w:rFonts w:hint="eastAsia" w:cs="宋体"/>
          <w:spacing w:val="-6"/>
          <w:sz w:val="21"/>
          <w:szCs w:val="21"/>
          <w:highlight w:val="none"/>
          <w:u w:val="single"/>
        </w:rPr>
        <w:t xml:space="preserve">   </w:t>
      </w:r>
      <w:r>
        <w:rPr>
          <w:rFonts w:hint="eastAsia" w:cs="宋体"/>
          <w:spacing w:val="-6"/>
          <w:sz w:val="21"/>
          <w:szCs w:val="21"/>
          <w:highlight w:val="none"/>
        </w:rPr>
        <w:t>月</w:t>
      </w:r>
      <w:r>
        <w:rPr>
          <w:rFonts w:hint="eastAsia" w:cs="宋体"/>
          <w:spacing w:val="-6"/>
          <w:sz w:val="21"/>
          <w:szCs w:val="21"/>
          <w:highlight w:val="none"/>
          <w:u w:val="single"/>
        </w:rPr>
        <w:t xml:space="preserve">    </w:t>
      </w:r>
      <w:r>
        <w:rPr>
          <w:rFonts w:hint="eastAsia" w:cs="宋体"/>
          <w:spacing w:val="-6"/>
          <w:sz w:val="21"/>
          <w:szCs w:val="21"/>
          <w:highlight w:val="none"/>
        </w:rPr>
        <w:t>日）美元外汇牌价为</w:t>
      </w:r>
      <w:r>
        <w:rPr>
          <w:rFonts w:hint="eastAsia" w:cs="宋体"/>
          <w:spacing w:val="-6"/>
          <w:sz w:val="21"/>
          <w:szCs w:val="21"/>
          <w:highlight w:val="none"/>
          <w:u w:val="single"/>
        </w:rPr>
        <w:t xml:space="preserve">        </w:t>
      </w:r>
      <w:r>
        <w:rPr>
          <w:rFonts w:hint="eastAsia" w:cs="宋体"/>
          <w:spacing w:val="-6"/>
          <w:sz w:val="21"/>
          <w:szCs w:val="21"/>
          <w:highlight w:val="none"/>
        </w:rPr>
        <w:t>，乙方以美元外汇牌价加外贸代理费</w:t>
      </w:r>
      <w:r>
        <w:rPr>
          <w:rFonts w:hint="eastAsia" w:cs="宋体"/>
          <w:spacing w:val="-6"/>
          <w:sz w:val="21"/>
          <w:szCs w:val="21"/>
          <w:highlight w:val="none"/>
          <w:u w:val="single"/>
        </w:rPr>
        <w:t xml:space="preserve">     </w:t>
      </w:r>
      <w:r>
        <w:rPr>
          <w:rFonts w:hint="eastAsia" w:cs="宋体"/>
          <w:spacing w:val="-6"/>
          <w:sz w:val="21"/>
          <w:szCs w:val="21"/>
          <w:highlight w:val="none"/>
        </w:rPr>
        <w:t>个点进行结算，外贸代理费共计人民币¥</w:t>
      </w:r>
      <w:r>
        <w:rPr>
          <w:rFonts w:hint="eastAsia" w:cs="宋体"/>
          <w:spacing w:val="-6"/>
          <w:sz w:val="21"/>
          <w:szCs w:val="21"/>
          <w:highlight w:val="none"/>
          <w:u w:val="single"/>
        </w:rPr>
        <w:t xml:space="preserve">        </w:t>
      </w:r>
      <w:r>
        <w:rPr>
          <w:rFonts w:hint="eastAsia" w:cs="宋体"/>
          <w:spacing w:val="-6"/>
          <w:sz w:val="21"/>
          <w:szCs w:val="21"/>
          <w:highlight w:val="none"/>
        </w:rPr>
        <w:t>元，外贸代理费包含在合同总价内。不能享受国家的减免税政策的设备，其税金由乙方承担。自本项目采购公告发布之日至供货实施完成期间若发生加征关税的情况，加征的关税由乙方承担。</w:t>
      </w:r>
    </w:p>
    <w:p>
      <w:pPr>
        <w:spacing w:line="240" w:lineRule="auto"/>
        <w:ind w:firstLine="396"/>
        <w:rPr>
          <w:rFonts w:cs="宋体"/>
          <w:spacing w:val="-6"/>
          <w:sz w:val="21"/>
          <w:szCs w:val="21"/>
          <w:highlight w:val="none"/>
        </w:rPr>
      </w:pPr>
      <w:r>
        <w:rPr>
          <w:rFonts w:hint="eastAsia" w:cs="宋体"/>
          <w:spacing w:val="-6"/>
          <w:sz w:val="21"/>
          <w:szCs w:val="21"/>
          <w:highlight w:val="none"/>
        </w:rPr>
        <w:t>3、合同履行过程中的汇率风险由乙方承担，由乙方与外贸代理公司结算。</w:t>
      </w:r>
    </w:p>
    <w:p>
      <w:pPr>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二、技术资料</w:t>
      </w:r>
    </w:p>
    <w:p>
      <w:pPr>
        <w:snapToGrid w:val="0"/>
        <w:spacing w:line="240" w:lineRule="auto"/>
        <w:ind w:firstLine="396"/>
        <w:rPr>
          <w:spacing w:val="-6"/>
          <w:sz w:val="21"/>
          <w:szCs w:val="21"/>
          <w:highlight w:val="none"/>
        </w:rPr>
      </w:pPr>
      <w:r>
        <w:rPr>
          <w:spacing w:val="-6"/>
          <w:sz w:val="21"/>
          <w:szCs w:val="21"/>
          <w:highlight w:val="none"/>
        </w:rPr>
        <w:t>1</w:t>
      </w:r>
      <w:r>
        <w:rPr>
          <w:rFonts w:hint="eastAsia"/>
          <w:spacing w:val="-6"/>
          <w:sz w:val="21"/>
          <w:szCs w:val="21"/>
          <w:highlight w:val="none"/>
        </w:rPr>
        <w:t>、</w:t>
      </w:r>
      <w:r>
        <w:rPr>
          <w:rFonts w:hint="eastAsia" w:cs="宋体"/>
          <w:spacing w:val="-6"/>
          <w:sz w:val="21"/>
          <w:szCs w:val="21"/>
          <w:highlight w:val="none"/>
        </w:rPr>
        <w:t>乙方应按招标文件规定的时间向甲方提供合同货物有关全套中英文对照的技术资料和必备的附件。</w:t>
      </w:r>
    </w:p>
    <w:p>
      <w:pPr>
        <w:snapToGrid w:val="0"/>
        <w:spacing w:line="240" w:lineRule="auto"/>
        <w:ind w:firstLine="396"/>
        <w:rPr>
          <w:spacing w:val="-6"/>
          <w:sz w:val="21"/>
          <w:szCs w:val="21"/>
          <w:highlight w:val="none"/>
        </w:rPr>
      </w:pPr>
      <w:r>
        <w:rPr>
          <w:spacing w:val="-6"/>
          <w:sz w:val="21"/>
          <w:szCs w:val="21"/>
          <w:highlight w:val="none"/>
        </w:rPr>
        <w:t>2</w:t>
      </w:r>
      <w:r>
        <w:rPr>
          <w:rFonts w:hint="eastAsia"/>
          <w:spacing w:val="-6"/>
          <w:sz w:val="21"/>
          <w:szCs w:val="21"/>
          <w:highlight w:val="none"/>
        </w:rPr>
        <w:t>、</w:t>
      </w:r>
      <w:r>
        <w:rPr>
          <w:rFonts w:hint="eastAsia" w:cs="宋体"/>
          <w:spacing w:val="-6"/>
          <w:sz w:val="21"/>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三、知识产权</w:t>
      </w:r>
    </w:p>
    <w:p>
      <w:pPr>
        <w:snapToGrid w:val="0"/>
        <w:ind w:firstLine="425" w:firstLineChars="215"/>
        <w:rPr>
          <w:rFonts w:hAnsi="Courier New" w:cs="宋体"/>
          <w:spacing w:val="-6"/>
          <w:sz w:val="21"/>
          <w:szCs w:val="21"/>
          <w:highlight w:val="none"/>
        </w:rPr>
      </w:pPr>
      <w:r>
        <w:rPr>
          <w:rFonts w:hint="eastAsia" w:hAnsi="Courier New" w:cs="宋体"/>
          <w:spacing w:val="-6"/>
          <w:sz w:val="21"/>
          <w:szCs w:val="21"/>
          <w:highlight w:val="none"/>
        </w:rPr>
        <w:t>乙方应保证所提供的货物或其任何一部分均不会侵犯任何第三方的知识产权，由此产生的知识产权纠纷由乙方承担全部责任。</w:t>
      </w:r>
    </w:p>
    <w:p>
      <w:pPr>
        <w:spacing w:line="240" w:lineRule="auto"/>
        <w:ind w:firstLine="0" w:firstLineChars="0"/>
        <w:rPr>
          <w:b/>
          <w:sz w:val="21"/>
          <w:szCs w:val="21"/>
          <w:highlight w:val="none"/>
        </w:rPr>
      </w:pPr>
      <w:r>
        <w:rPr>
          <w:rFonts w:hint="eastAsia"/>
          <w:b/>
          <w:sz w:val="21"/>
          <w:szCs w:val="21"/>
          <w:highlight w:val="none"/>
        </w:rPr>
        <w:t>四、质量保证金：</w:t>
      </w:r>
    </w:p>
    <w:p>
      <w:pPr>
        <w:snapToGrid w:val="0"/>
        <w:ind w:firstLine="420"/>
        <w:rPr>
          <w:sz w:val="21"/>
          <w:szCs w:val="21"/>
          <w:highlight w:val="none"/>
        </w:rPr>
      </w:pPr>
      <w:r>
        <w:rPr>
          <w:rFonts w:hint="eastAsia"/>
          <w:sz w:val="21"/>
          <w:szCs w:val="21"/>
          <w:highlight w:val="none"/>
        </w:rPr>
        <w:t>乙方须于货到验收合格后七个工作日内向甲方支付合同总价5%的质量保证金，共计人民币¥</w:t>
      </w:r>
      <w:r>
        <w:rPr>
          <w:rFonts w:hint="eastAsia"/>
          <w:sz w:val="21"/>
          <w:szCs w:val="21"/>
          <w:highlight w:val="none"/>
          <w:u w:val="single"/>
        </w:rPr>
        <w:t xml:space="preserve">        </w:t>
      </w:r>
      <w:r>
        <w:rPr>
          <w:rFonts w:hint="eastAsia"/>
          <w:sz w:val="21"/>
          <w:szCs w:val="21"/>
          <w:highlight w:val="none"/>
        </w:rPr>
        <w:t>元 ，质量保证金自</w:t>
      </w:r>
      <w:r>
        <w:rPr>
          <w:rFonts w:hint="eastAsia" w:hAnsi="Courier New" w:cs="宋体"/>
          <w:spacing w:val="-6"/>
          <w:sz w:val="21"/>
          <w:szCs w:val="21"/>
          <w:highlight w:val="none"/>
        </w:rPr>
        <w:t>货物交付验收合格后</w:t>
      </w:r>
      <w:r>
        <w:rPr>
          <w:rFonts w:hAnsi="Courier New"/>
          <w:spacing w:val="-6"/>
          <w:sz w:val="21"/>
          <w:szCs w:val="21"/>
          <w:highlight w:val="none"/>
          <w:u w:val="single"/>
        </w:rPr>
        <w:t>12</w:t>
      </w:r>
      <w:r>
        <w:rPr>
          <w:rFonts w:hint="eastAsia" w:hAnsi="Courier New" w:cs="宋体"/>
          <w:spacing w:val="-6"/>
          <w:sz w:val="21"/>
          <w:szCs w:val="21"/>
          <w:highlight w:val="none"/>
        </w:rPr>
        <w:t>个月内无质量问题索赔和售后服务问题，由甲方无息退回乙方。</w:t>
      </w:r>
    </w:p>
    <w:p>
      <w:pPr>
        <w:snapToGrid w:val="0"/>
        <w:ind w:firstLine="398"/>
        <w:rPr>
          <w:rFonts w:cs="宋体"/>
          <w:b/>
          <w:bCs/>
          <w:spacing w:val="-6"/>
          <w:sz w:val="21"/>
          <w:szCs w:val="21"/>
          <w:highlight w:val="none"/>
        </w:rPr>
      </w:pPr>
      <w:r>
        <w:rPr>
          <w:rFonts w:hint="eastAsia" w:cs="宋体"/>
          <w:b/>
          <w:bCs/>
          <w:spacing w:val="-6"/>
          <w:sz w:val="21"/>
          <w:szCs w:val="21"/>
          <w:highlight w:val="none"/>
        </w:rPr>
        <w:t>五、交货时间、地点</w:t>
      </w:r>
    </w:p>
    <w:p>
      <w:pPr>
        <w:snapToGrid w:val="0"/>
        <w:ind w:firstLine="420"/>
        <w:rPr>
          <w:sz w:val="21"/>
          <w:szCs w:val="21"/>
          <w:highlight w:val="none"/>
        </w:rPr>
      </w:pPr>
      <w:r>
        <w:rPr>
          <w:rFonts w:hint="eastAsia"/>
          <w:sz w:val="21"/>
          <w:szCs w:val="21"/>
          <w:highlight w:val="none"/>
        </w:rPr>
        <w:t>乙方应于“进出口货物征免税证明”办理后      天内将所供商品按时、安全运至甲方指定地点，安装调试完毕后交甲方验收。</w:t>
      </w:r>
    </w:p>
    <w:p>
      <w:pPr>
        <w:snapToGrid w:val="0"/>
        <w:ind w:firstLine="398"/>
        <w:rPr>
          <w:rFonts w:cs="宋体"/>
          <w:b/>
          <w:bCs/>
          <w:spacing w:val="-6"/>
          <w:sz w:val="21"/>
          <w:szCs w:val="21"/>
          <w:highlight w:val="none"/>
        </w:rPr>
      </w:pPr>
      <w:r>
        <w:rPr>
          <w:rFonts w:hint="eastAsia" w:cs="宋体"/>
          <w:b/>
          <w:bCs/>
          <w:spacing w:val="-6"/>
          <w:sz w:val="21"/>
          <w:szCs w:val="21"/>
          <w:highlight w:val="none"/>
        </w:rPr>
        <w:t>六、调试与验收</w:t>
      </w:r>
    </w:p>
    <w:p>
      <w:pPr>
        <w:spacing w:line="288" w:lineRule="auto"/>
        <w:ind w:firstLine="396"/>
        <w:contextualSpacing/>
        <w:rPr>
          <w:rFonts w:cs="宋体"/>
          <w:spacing w:val="-6"/>
          <w:sz w:val="21"/>
          <w:szCs w:val="21"/>
          <w:highlight w:val="none"/>
        </w:rPr>
      </w:pPr>
      <w:r>
        <w:rPr>
          <w:spacing w:val="-6"/>
          <w:sz w:val="21"/>
          <w:szCs w:val="21"/>
          <w:highlight w:val="none"/>
        </w:rPr>
        <w:t>1</w:t>
      </w:r>
      <w:r>
        <w:rPr>
          <w:rFonts w:hint="eastAsia"/>
          <w:spacing w:val="-6"/>
          <w:sz w:val="21"/>
          <w:szCs w:val="21"/>
          <w:highlight w:val="none"/>
        </w:rPr>
        <w:t>、乙方交货前应对产品做出全面检查和对验收文件进行整理，并列出清单，作为甲方收货验收和使用的技术条件依据，检验的结果和相关文件、资料等应随货物交甲方。</w:t>
      </w:r>
    </w:p>
    <w:p>
      <w:pPr>
        <w:spacing w:line="240" w:lineRule="auto"/>
        <w:ind w:firstLine="396"/>
        <w:contextualSpacing/>
        <w:rPr>
          <w:spacing w:val="-6"/>
          <w:sz w:val="21"/>
          <w:szCs w:val="21"/>
          <w:highlight w:val="none"/>
        </w:rPr>
      </w:pPr>
      <w:r>
        <w:rPr>
          <w:rFonts w:hint="eastAsia"/>
          <w:spacing w:val="-6"/>
          <w:sz w:val="21"/>
          <w:szCs w:val="21"/>
          <w:highlight w:val="none"/>
        </w:rPr>
        <w:t>2、到货验收：到货后，甲方对乙方提交的货物依据招标文件上的技术规格要求和国家有关质量标准进行现场到货验收，主要</w:t>
      </w:r>
      <w:r>
        <w:rPr>
          <w:rFonts w:hint="eastAsia"/>
          <w:sz w:val="21"/>
          <w:szCs w:val="21"/>
          <w:highlight w:val="none"/>
        </w:rPr>
        <w:t>检查货物原产地、规格、型号、配置是否符合要求。</w:t>
      </w:r>
      <w:r>
        <w:rPr>
          <w:rFonts w:hint="eastAsia"/>
          <w:spacing w:val="-6"/>
          <w:sz w:val="21"/>
          <w:szCs w:val="21"/>
          <w:highlight w:val="none"/>
        </w:rPr>
        <w:t>符合招投标文件技术要求的给予签收，初步验收不合格的不予签收。</w:t>
      </w:r>
    </w:p>
    <w:p>
      <w:pPr>
        <w:spacing w:line="240" w:lineRule="auto"/>
        <w:ind w:firstLine="396"/>
        <w:contextualSpacing/>
        <w:rPr>
          <w:spacing w:val="-6"/>
          <w:sz w:val="21"/>
          <w:szCs w:val="21"/>
          <w:highlight w:val="none"/>
        </w:rPr>
      </w:pPr>
      <w:r>
        <w:rPr>
          <w:rFonts w:hint="eastAsia"/>
          <w:spacing w:val="-6"/>
          <w:sz w:val="21"/>
          <w:szCs w:val="21"/>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396"/>
        <w:contextualSpacing/>
        <w:rPr>
          <w:spacing w:val="-6"/>
          <w:sz w:val="21"/>
          <w:szCs w:val="21"/>
          <w:highlight w:val="none"/>
        </w:rPr>
      </w:pPr>
      <w:r>
        <w:rPr>
          <w:rFonts w:hint="eastAsia"/>
          <w:spacing w:val="-6"/>
          <w:sz w:val="21"/>
          <w:szCs w:val="21"/>
          <w:highlight w:val="none"/>
        </w:rPr>
        <w:t>4、对技术复杂的货物，甲方可请国家认可的专业检测机构参与到货验收及交付验收，并由其出具质量检测报告。验收费用由乙方承担。</w:t>
      </w:r>
    </w:p>
    <w:p>
      <w:pPr>
        <w:spacing w:line="240" w:lineRule="auto"/>
        <w:ind w:firstLine="396"/>
        <w:contextualSpacing/>
        <w:rPr>
          <w:spacing w:val="-6"/>
          <w:sz w:val="21"/>
          <w:szCs w:val="21"/>
          <w:highlight w:val="none"/>
        </w:rPr>
      </w:pPr>
      <w:r>
        <w:rPr>
          <w:rFonts w:hint="eastAsia"/>
          <w:spacing w:val="-6"/>
          <w:sz w:val="21"/>
          <w:szCs w:val="21"/>
          <w:highlight w:val="none"/>
        </w:rPr>
        <w:t>5、如发现有重大的质量问题：</w:t>
      </w:r>
    </w:p>
    <w:p>
      <w:pPr>
        <w:spacing w:line="240" w:lineRule="auto"/>
        <w:ind w:firstLine="396"/>
        <w:contextualSpacing/>
        <w:rPr>
          <w:spacing w:val="-6"/>
          <w:sz w:val="21"/>
          <w:szCs w:val="21"/>
          <w:highlight w:val="none"/>
        </w:rPr>
      </w:pPr>
      <w:r>
        <w:rPr>
          <w:rFonts w:hint="eastAsia"/>
          <w:spacing w:val="-6"/>
          <w:sz w:val="21"/>
          <w:szCs w:val="21"/>
          <w:highlight w:val="none"/>
        </w:rPr>
        <w:t>（1）甲乙双方可协商，</w:t>
      </w:r>
      <w:r>
        <w:rPr>
          <w:rFonts w:hint="eastAsia"/>
          <w:sz w:val="21"/>
          <w:szCs w:val="21"/>
          <w:highlight w:val="none"/>
        </w:rPr>
        <w:t>应在合理的期限内负责更换直至符合质量要求；</w:t>
      </w:r>
    </w:p>
    <w:p>
      <w:pPr>
        <w:spacing w:line="240" w:lineRule="auto"/>
        <w:ind w:firstLine="396" w:firstLineChars="0"/>
        <w:contextualSpacing/>
        <w:rPr>
          <w:spacing w:val="-6"/>
          <w:sz w:val="21"/>
          <w:szCs w:val="21"/>
          <w:highlight w:val="none"/>
        </w:rPr>
      </w:pPr>
      <w:r>
        <w:rPr>
          <w:rFonts w:hint="eastAsia"/>
          <w:spacing w:val="-6"/>
          <w:sz w:val="21"/>
          <w:szCs w:val="21"/>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spacing w:val="-6"/>
          <w:sz w:val="21"/>
          <w:szCs w:val="21"/>
          <w:highlight w:val="none"/>
          <w:u w:val="single"/>
        </w:rPr>
        <w:t xml:space="preserve"> </w:t>
      </w:r>
      <w:r>
        <w:rPr>
          <w:spacing w:val="-6"/>
          <w:sz w:val="21"/>
          <w:szCs w:val="21"/>
          <w:highlight w:val="none"/>
          <w:u w:val="single"/>
        </w:rPr>
        <w:t>10</w:t>
      </w:r>
      <w:r>
        <w:rPr>
          <w:rFonts w:hint="eastAsia"/>
          <w:spacing w:val="-6"/>
          <w:sz w:val="21"/>
          <w:szCs w:val="21"/>
          <w:highlight w:val="none"/>
          <w:u w:val="single"/>
        </w:rPr>
        <w:t xml:space="preserve">％ </w:t>
      </w:r>
      <w:r>
        <w:rPr>
          <w:rFonts w:hint="eastAsia"/>
          <w:spacing w:val="-6"/>
          <w:sz w:val="21"/>
          <w:szCs w:val="21"/>
          <w:highlight w:val="none"/>
        </w:rPr>
        <w:t>的赔偿金。</w:t>
      </w:r>
    </w:p>
    <w:p>
      <w:pPr>
        <w:snapToGrid w:val="0"/>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七、货款的支付</w:t>
      </w:r>
    </w:p>
    <w:p>
      <w:pPr>
        <w:snapToGrid w:val="0"/>
        <w:spacing w:line="240" w:lineRule="auto"/>
        <w:ind w:firstLine="396"/>
        <w:rPr>
          <w:rFonts w:cs="宋体"/>
          <w:spacing w:val="-6"/>
          <w:sz w:val="21"/>
          <w:szCs w:val="21"/>
          <w:highlight w:val="none"/>
        </w:rPr>
      </w:pPr>
      <w:r>
        <w:rPr>
          <w:rFonts w:hint="eastAsia" w:cs="宋体"/>
          <w:spacing w:val="-6"/>
          <w:sz w:val="21"/>
          <w:szCs w:val="21"/>
          <w:highlight w:val="none"/>
        </w:rPr>
        <w:t>合同签订后办理好“进出口货物征免税证明”后预付30%，由甲方指定的外贸代理公司开具100%不可撤销即期信用证（90%即期，10%凭验收报告），甲方见装运单支付合同金额的60%给外贸代理公司， 10%尾款在验收合格后</w:t>
      </w:r>
      <w:r>
        <w:rPr>
          <w:rFonts w:hint="eastAsia" w:cs="宋体"/>
          <w:spacing w:val="-6"/>
          <w:sz w:val="21"/>
          <w:szCs w:val="21"/>
          <w:highlight w:val="none"/>
          <w:u w:val="single"/>
        </w:rPr>
        <w:t>15</w:t>
      </w:r>
      <w:r>
        <w:rPr>
          <w:rFonts w:hint="eastAsia" w:cs="宋体"/>
          <w:spacing w:val="-6"/>
          <w:sz w:val="21"/>
          <w:szCs w:val="21"/>
          <w:highlight w:val="none"/>
        </w:rPr>
        <w:t>个工作日内支付给外贸代理公司。</w:t>
      </w:r>
    </w:p>
    <w:p>
      <w:pPr>
        <w:snapToGrid w:val="0"/>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八、质量保证与售后服务</w:t>
      </w:r>
    </w:p>
    <w:p>
      <w:pPr>
        <w:spacing w:line="240" w:lineRule="auto"/>
        <w:ind w:firstLine="396" w:firstLineChars="0"/>
        <w:contextualSpacing/>
        <w:rPr>
          <w:spacing w:val="-6"/>
          <w:sz w:val="21"/>
          <w:szCs w:val="21"/>
          <w:highlight w:val="none"/>
        </w:rPr>
      </w:pPr>
      <w:r>
        <w:rPr>
          <w:spacing w:val="-6"/>
          <w:sz w:val="21"/>
          <w:szCs w:val="21"/>
          <w:highlight w:val="none"/>
        </w:rPr>
        <w:t>1</w:t>
      </w:r>
      <w:r>
        <w:rPr>
          <w:rFonts w:hint="eastAsia"/>
          <w:spacing w:val="-6"/>
          <w:sz w:val="21"/>
          <w:szCs w:val="21"/>
          <w:highlight w:val="none"/>
        </w:rPr>
        <w:t>、乙方应按招标文件规定的货物性能、技术要求、质量标准向甲方提供未经使用的全新产品。</w:t>
      </w:r>
    </w:p>
    <w:p>
      <w:pPr>
        <w:snapToGrid w:val="0"/>
        <w:ind w:firstLine="425" w:firstLineChars="215"/>
        <w:rPr>
          <w:rFonts w:hAnsi="Courier New" w:cs="宋体"/>
          <w:spacing w:val="-6"/>
          <w:sz w:val="21"/>
          <w:szCs w:val="21"/>
          <w:highlight w:val="none"/>
        </w:rPr>
      </w:pPr>
      <w:r>
        <w:rPr>
          <w:rFonts w:hint="eastAsia" w:hAnsi="Courier New"/>
          <w:spacing w:val="-6"/>
          <w:sz w:val="21"/>
          <w:szCs w:val="21"/>
          <w:highlight w:val="none"/>
        </w:rPr>
        <w:t>2、</w:t>
      </w:r>
      <w:r>
        <w:rPr>
          <w:rFonts w:hint="eastAsia" w:hAnsi="Courier New" w:cs="宋体"/>
          <w:spacing w:val="-6"/>
          <w:sz w:val="21"/>
          <w:szCs w:val="21"/>
          <w:highlight w:val="none"/>
        </w:rPr>
        <w:t>产品质量保修期为</w:t>
      </w:r>
      <w:r>
        <w:rPr>
          <w:rFonts w:hint="eastAsia" w:hAnsi="Courier New" w:cs="宋体"/>
          <w:spacing w:val="-6"/>
          <w:sz w:val="21"/>
          <w:szCs w:val="21"/>
          <w:highlight w:val="none"/>
          <w:u w:val="single"/>
        </w:rPr>
        <w:t xml:space="preserve">    </w:t>
      </w:r>
      <w:r>
        <w:rPr>
          <w:rFonts w:hint="eastAsia" w:hAnsi="Courier New" w:cs="宋体"/>
          <w:spacing w:val="-6"/>
          <w:sz w:val="21"/>
          <w:szCs w:val="21"/>
          <w:highlight w:val="none"/>
        </w:rPr>
        <w:t>年，保修期从验收合格后开始计算。</w:t>
      </w:r>
    </w:p>
    <w:p>
      <w:pPr>
        <w:snapToGrid w:val="0"/>
        <w:ind w:firstLine="425" w:firstLineChars="215"/>
        <w:rPr>
          <w:rFonts w:cs="宋体"/>
          <w:spacing w:val="-6"/>
          <w:sz w:val="21"/>
          <w:szCs w:val="21"/>
          <w:highlight w:val="none"/>
        </w:rPr>
      </w:pPr>
      <w:r>
        <w:rPr>
          <w:rFonts w:hint="eastAsia" w:hAnsi="Courier New"/>
          <w:spacing w:val="-6"/>
          <w:sz w:val="21"/>
          <w:szCs w:val="21"/>
          <w:highlight w:val="none"/>
        </w:rPr>
        <w:t>3、</w:t>
      </w:r>
      <w:r>
        <w:rPr>
          <w:rFonts w:hint="eastAsia" w:hAnsi="Courier New" w:cs="宋体"/>
          <w:spacing w:val="-6"/>
          <w:sz w:val="21"/>
          <w:szCs w:val="21"/>
          <w:highlight w:val="none"/>
        </w:rPr>
        <w:t>在质保期内，乙方应对货物出现的质量及安全问题负责处理解决并承担一切费用。质保期后，乙方应继续为甲方服务，仅收取零配件成本费，免人工费和差旅费，</w:t>
      </w:r>
      <w:r>
        <w:rPr>
          <w:rFonts w:hint="eastAsia"/>
          <w:spacing w:val="-6"/>
          <w:sz w:val="21"/>
          <w:szCs w:val="21"/>
          <w:highlight w:val="none"/>
        </w:rPr>
        <w:t>所涉及软件终身免费升级</w:t>
      </w:r>
      <w:r>
        <w:rPr>
          <w:rFonts w:hint="eastAsia" w:hAnsi="Courier New" w:cs="宋体"/>
          <w:spacing w:val="-6"/>
          <w:sz w:val="21"/>
          <w:szCs w:val="21"/>
          <w:highlight w:val="none"/>
        </w:rPr>
        <w:t>。</w:t>
      </w:r>
    </w:p>
    <w:p>
      <w:pPr>
        <w:snapToGrid w:val="0"/>
        <w:ind w:firstLine="425" w:firstLineChars="215"/>
        <w:rPr>
          <w:rFonts w:hAnsi="Courier New"/>
          <w:spacing w:val="-6"/>
          <w:sz w:val="21"/>
          <w:szCs w:val="21"/>
          <w:highlight w:val="none"/>
        </w:rPr>
      </w:pPr>
      <w:r>
        <w:rPr>
          <w:rFonts w:hint="eastAsia" w:hAnsi="Courier New" w:cs="宋体"/>
          <w:spacing w:val="-6"/>
          <w:sz w:val="21"/>
          <w:szCs w:val="21"/>
          <w:highlight w:val="none"/>
        </w:rPr>
        <w:t>4、乙方提供的货物在质保期内因货物本身的质量问题发生故障，乙方应负责免费更换。对达不到技术要求者，根据实际情况，经双方协商，可按以下办法处理：</w:t>
      </w:r>
    </w:p>
    <w:p>
      <w:pPr>
        <w:snapToGrid w:val="0"/>
        <w:spacing w:line="240" w:lineRule="auto"/>
        <w:ind w:firstLine="297" w:firstLineChars="150"/>
        <w:rPr>
          <w:spacing w:val="-6"/>
          <w:sz w:val="21"/>
          <w:szCs w:val="21"/>
          <w:highlight w:val="none"/>
        </w:rPr>
      </w:pPr>
      <w:r>
        <w:rPr>
          <w:rFonts w:hint="eastAsia" w:cs="宋体"/>
          <w:spacing w:val="-6"/>
          <w:sz w:val="21"/>
          <w:szCs w:val="21"/>
          <w:highlight w:val="none"/>
        </w:rPr>
        <w:t>（1）更换：由乙方承担所发生的全部费用。</w:t>
      </w:r>
    </w:p>
    <w:p>
      <w:pPr>
        <w:snapToGrid w:val="0"/>
        <w:spacing w:line="240" w:lineRule="auto"/>
        <w:ind w:firstLine="297" w:firstLineChars="150"/>
        <w:rPr>
          <w:spacing w:val="-6"/>
          <w:sz w:val="21"/>
          <w:szCs w:val="21"/>
          <w:highlight w:val="none"/>
        </w:rPr>
      </w:pPr>
      <w:r>
        <w:rPr>
          <w:rFonts w:hint="eastAsia" w:cs="宋体"/>
          <w:spacing w:val="-6"/>
          <w:sz w:val="21"/>
          <w:szCs w:val="21"/>
          <w:highlight w:val="none"/>
        </w:rPr>
        <w:t>（2）退货：乙方应退还甲方支付的合同款，同时应承担该货物的直接费用（运输、保险、检验、清关及银行手续费等）。</w:t>
      </w:r>
    </w:p>
    <w:p>
      <w:pPr>
        <w:snapToGrid w:val="0"/>
        <w:spacing w:line="240" w:lineRule="auto"/>
        <w:ind w:firstLine="396"/>
        <w:rPr>
          <w:rFonts w:cs="宋体"/>
          <w:spacing w:val="-6"/>
          <w:sz w:val="21"/>
          <w:szCs w:val="21"/>
          <w:highlight w:val="none"/>
        </w:rPr>
      </w:pPr>
      <w:r>
        <w:rPr>
          <w:rFonts w:hint="eastAsia"/>
          <w:spacing w:val="-6"/>
          <w:sz w:val="21"/>
          <w:szCs w:val="21"/>
          <w:highlight w:val="none"/>
        </w:rPr>
        <w:t>5、</w:t>
      </w:r>
      <w:r>
        <w:rPr>
          <w:rFonts w:hint="eastAsia" w:cs="宋体"/>
          <w:spacing w:val="-6"/>
          <w:sz w:val="21"/>
          <w:szCs w:val="21"/>
          <w:highlight w:val="none"/>
        </w:rPr>
        <w:t>如在使用过程中发生故障，无法正常使用时，乙方在接到甲方通知后</w:t>
      </w:r>
      <w:r>
        <w:rPr>
          <w:rFonts w:hint="eastAsia"/>
          <w:spacing w:val="-6"/>
          <w:sz w:val="21"/>
          <w:szCs w:val="21"/>
          <w:highlight w:val="none"/>
        </w:rPr>
        <w:t>，保</w:t>
      </w:r>
      <w:r>
        <w:rPr>
          <w:rFonts w:hint="eastAsia" w:cs="宋体"/>
          <w:spacing w:val="-6"/>
          <w:sz w:val="21"/>
          <w:szCs w:val="21"/>
          <w:highlight w:val="none"/>
        </w:rPr>
        <w:t>修响应时间</w:t>
      </w:r>
      <w:r>
        <w:rPr>
          <w:rFonts w:hint="eastAsia"/>
          <w:spacing w:val="-6"/>
          <w:sz w:val="21"/>
          <w:szCs w:val="21"/>
          <w:highlight w:val="none"/>
          <w:u w:val="single"/>
        </w:rPr>
        <w:t>2</w:t>
      </w:r>
      <w:r>
        <w:rPr>
          <w:rFonts w:hint="eastAsia" w:cs="宋体"/>
          <w:spacing w:val="-6"/>
          <w:sz w:val="21"/>
          <w:szCs w:val="21"/>
          <w:highlight w:val="none"/>
        </w:rPr>
        <w:t>小时以内，电话技术支持</w:t>
      </w:r>
      <w:r>
        <w:rPr>
          <w:rFonts w:hint="eastAsia" w:cs="宋体"/>
          <w:spacing w:val="-6"/>
          <w:sz w:val="21"/>
          <w:szCs w:val="21"/>
          <w:highlight w:val="none"/>
          <w:u w:val="single"/>
        </w:rPr>
        <w:t>4</w:t>
      </w:r>
      <w:r>
        <w:rPr>
          <w:rFonts w:hint="eastAsia" w:cs="宋体"/>
          <w:spacing w:val="-6"/>
          <w:sz w:val="21"/>
          <w:szCs w:val="21"/>
          <w:highlight w:val="none"/>
        </w:rPr>
        <w:t>小时内解决问题；若需上门维修，则</w:t>
      </w:r>
      <w:r>
        <w:rPr>
          <w:spacing w:val="-6"/>
          <w:sz w:val="21"/>
          <w:szCs w:val="21"/>
          <w:highlight w:val="none"/>
          <w:u w:val="single"/>
        </w:rPr>
        <w:t>8</w:t>
      </w:r>
      <w:r>
        <w:rPr>
          <w:rFonts w:hint="eastAsia" w:cs="宋体"/>
          <w:spacing w:val="-6"/>
          <w:sz w:val="21"/>
          <w:szCs w:val="21"/>
          <w:highlight w:val="none"/>
        </w:rPr>
        <w:t>小时内到达现场并进行维修，最迟在</w:t>
      </w:r>
      <w:r>
        <w:rPr>
          <w:spacing w:val="-6"/>
          <w:sz w:val="21"/>
          <w:szCs w:val="21"/>
          <w:highlight w:val="none"/>
          <w:u w:val="single"/>
        </w:rPr>
        <w:t>2</w:t>
      </w:r>
      <w:r>
        <w:rPr>
          <w:rFonts w:hint="eastAsia" w:cs="宋体"/>
          <w:spacing w:val="-6"/>
          <w:sz w:val="21"/>
          <w:szCs w:val="21"/>
          <w:highlight w:val="none"/>
        </w:rPr>
        <w:t>个工作日内修复。保修内出现无法排除的故障，乙方需无条件为甲方更换同型号产品，以确保甲方的正常使用。</w:t>
      </w:r>
    </w:p>
    <w:p>
      <w:pPr>
        <w:snapToGrid w:val="0"/>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九、违约责任</w:t>
      </w:r>
    </w:p>
    <w:p>
      <w:pPr>
        <w:snapToGrid w:val="0"/>
        <w:spacing w:line="240" w:lineRule="auto"/>
        <w:ind w:firstLine="396"/>
        <w:rPr>
          <w:spacing w:val="-6"/>
          <w:sz w:val="21"/>
          <w:szCs w:val="21"/>
          <w:highlight w:val="none"/>
        </w:rPr>
      </w:pPr>
      <w:r>
        <w:rPr>
          <w:spacing w:val="-6"/>
          <w:sz w:val="21"/>
          <w:szCs w:val="21"/>
          <w:highlight w:val="none"/>
        </w:rPr>
        <w:t>1</w:t>
      </w:r>
      <w:r>
        <w:rPr>
          <w:rFonts w:hint="eastAsia"/>
          <w:spacing w:val="-6"/>
          <w:sz w:val="21"/>
          <w:szCs w:val="21"/>
          <w:highlight w:val="none"/>
        </w:rPr>
        <w:t>、</w:t>
      </w:r>
      <w:r>
        <w:rPr>
          <w:rFonts w:hint="eastAsia" w:cs="宋体"/>
          <w:spacing w:val="-6"/>
          <w:sz w:val="21"/>
          <w:szCs w:val="21"/>
          <w:highlight w:val="none"/>
        </w:rPr>
        <w:t>乙方逾期履行合同的，自逾期之日起，乙方向甲方每日偿付合同总价</w:t>
      </w:r>
      <w:r>
        <w:rPr>
          <w:rFonts w:hint="eastAsia" w:cs="宋体"/>
          <w:spacing w:val="-6"/>
          <w:sz w:val="21"/>
          <w:szCs w:val="21"/>
          <w:highlight w:val="none"/>
          <w:u w:val="single"/>
        </w:rPr>
        <w:t>0.2%</w:t>
      </w:r>
      <w:r>
        <w:rPr>
          <w:rFonts w:hint="eastAsia" w:cs="宋体"/>
          <w:spacing w:val="-6"/>
          <w:sz w:val="21"/>
          <w:szCs w:val="21"/>
          <w:highlight w:val="none"/>
        </w:rPr>
        <w:t>的违约金。</w:t>
      </w:r>
    </w:p>
    <w:p>
      <w:pPr>
        <w:snapToGrid w:val="0"/>
        <w:spacing w:line="240" w:lineRule="auto"/>
        <w:ind w:firstLine="396"/>
        <w:rPr>
          <w:rFonts w:cs="宋体"/>
          <w:spacing w:val="-6"/>
          <w:sz w:val="21"/>
          <w:szCs w:val="21"/>
          <w:highlight w:val="none"/>
        </w:rPr>
      </w:pPr>
      <w:r>
        <w:rPr>
          <w:spacing w:val="-6"/>
          <w:sz w:val="21"/>
          <w:szCs w:val="21"/>
          <w:highlight w:val="none"/>
        </w:rPr>
        <w:t>2</w:t>
      </w:r>
      <w:r>
        <w:rPr>
          <w:rFonts w:hint="eastAsia"/>
          <w:spacing w:val="-6"/>
          <w:sz w:val="21"/>
          <w:szCs w:val="21"/>
          <w:highlight w:val="none"/>
        </w:rPr>
        <w:t>、</w:t>
      </w:r>
      <w:r>
        <w:rPr>
          <w:rFonts w:hint="eastAsia" w:cs="宋体"/>
          <w:spacing w:val="-6"/>
          <w:sz w:val="21"/>
          <w:szCs w:val="21"/>
          <w:highlight w:val="none"/>
        </w:rPr>
        <w:t>乙方逾期交货超过</w:t>
      </w:r>
      <w:r>
        <w:rPr>
          <w:rFonts w:hint="eastAsia" w:cs="宋体"/>
          <w:spacing w:val="-6"/>
          <w:sz w:val="21"/>
          <w:szCs w:val="21"/>
          <w:highlight w:val="none"/>
          <w:u w:val="single"/>
        </w:rPr>
        <w:t>3</w:t>
      </w:r>
      <w:r>
        <w:rPr>
          <w:rFonts w:hint="eastAsia" w:cs="宋体"/>
          <w:spacing w:val="-6"/>
          <w:sz w:val="21"/>
          <w:szCs w:val="21"/>
          <w:highlight w:val="none"/>
        </w:rPr>
        <w:t>个月，则甲方有权单方面终止合同，并要求乙方承付上述的违约金。</w:t>
      </w:r>
      <w:r>
        <w:rPr>
          <w:rFonts w:hint="eastAsia"/>
          <w:spacing w:val="-6"/>
          <w:sz w:val="21"/>
          <w:szCs w:val="21"/>
          <w:highlight w:val="none"/>
        </w:rPr>
        <w:t>如造成甲方损失超过违约金的，超出部分由乙方继续承担赔偿责任。</w:t>
      </w:r>
    </w:p>
    <w:p>
      <w:pPr>
        <w:snapToGrid w:val="0"/>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十、不可抗力事件处理</w:t>
      </w:r>
    </w:p>
    <w:p>
      <w:pPr>
        <w:snapToGrid w:val="0"/>
        <w:spacing w:line="240" w:lineRule="auto"/>
        <w:ind w:firstLine="396"/>
        <w:rPr>
          <w:spacing w:val="-6"/>
          <w:sz w:val="21"/>
          <w:szCs w:val="21"/>
          <w:highlight w:val="none"/>
        </w:rPr>
      </w:pPr>
      <w:r>
        <w:rPr>
          <w:spacing w:val="-6"/>
          <w:sz w:val="21"/>
          <w:szCs w:val="21"/>
          <w:highlight w:val="none"/>
        </w:rPr>
        <w:t>1</w:t>
      </w:r>
      <w:r>
        <w:rPr>
          <w:rFonts w:hint="eastAsia"/>
          <w:spacing w:val="-6"/>
          <w:sz w:val="21"/>
          <w:szCs w:val="21"/>
          <w:highlight w:val="none"/>
        </w:rPr>
        <w:t>、</w:t>
      </w:r>
      <w:r>
        <w:rPr>
          <w:spacing w:val="-6"/>
          <w:sz w:val="21"/>
          <w:szCs w:val="21"/>
          <w:highlight w:val="none"/>
        </w:rPr>
        <w:t xml:space="preserve"> </w:t>
      </w:r>
      <w:r>
        <w:rPr>
          <w:rFonts w:hint="eastAsia" w:cs="宋体"/>
          <w:spacing w:val="-6"/>
          <w:sz w:val="21"/>
          <w:szCs w:val="21"/>
          <w:highlight w:val="none"/>
        </w:rPr>
        <w:t>在合同有效期内，任何一方因不可抗力事件导致不能履行合同，则合同履行期可延长，其延长期与不可抗力影响期相同。</w:t>
      </w:r>
    </w:p>
    <w:p>
      <w:pPr>
        <w:snapToGrid w:val="0"/>
        <w:spacing w:line="240" w:lineRule="auto"/>
        <w:ind w:firstLine="396"/>
        <w:rPr>
          <w:spacing w:val="-6"/>
          <w:sz w:val="21"/>
          <w:szCs w:val="21"/>
          <w:highlight w:val="none"/>
        </w:rPr>
      </w:pPr>
      <w:r>
        <w:rPr>
          <w:spacing w:val="-6"/>
          <w:sz w:val="21"/>
          <w:szCs w:val="21"/>
          <w:highlight w:val="none"/>
        </w:rPr>
        <w:t>2</w:t>
      </w:r>
      <w:r>
        <w:rPr>
          <w:rFonts w:hint="eastAsia"/>
          <w:spacing w:val="-6"/>
          <w:sz w:val="21"/>
          <w:szCs w:val="21"/>
          <w:highlight w:val="none"/>
        </w:rPr>
        <w:t>、</w:t>
      </w:r>
      <w:r>
        <w:rPr>
          <w:rFonts w:hint="eastAsia" w:cs="宋体"/>
          <w:spacing w:val="-6"/>
          <w:sz w:val="21"/>
          <w:szCs w:val="21"/>
          <w:highlight w:val="none"/>
        </w:rPr>
        <w:t>不可抗力事件发生后，应立即通知对方，并寄送有关权威机构出具的证明。</w:t>
      </w:r>
    </w:p>
    <w:p>
      <w:pPr>
        <w:snapToGrid w:val="0"/>
        <w:spacing w:line="240" w:lineRule="auto"/>
        <w:ind w:firstLine="396"/>
        <w:rPr>
          <w:rFonts w:cs="宋体"/>
          <w:spacing w:val="-6"/>
          <w:sz w:val="21"/>
          <w:szCs w:val="21"/>
          <w:highlight w:val="none"/>
        </w:rPr>
      </w:pPr>
      <w:r>
        <w:rPr>
          <w:spacing w:val="-6"/>
          <w:sz w:val="21"/>
          <w:szCs w:val="21"/>
          <w:highlight w:val="none"/>
        </w:rPr>
        <w:t>3</w:t>
      </w:r>
      <w:r>
        <w:rPr>
          <w:rFonts w:hint="eastAsia"/>
          <w:spacing w:val="-6"/>
          <w:sz w:val="21"/>
          <w:szCs w:val="21"/>
          <w:highlight w:val="none"/>
        </w:rPr>
        <w:t>、</w:t>
      </w:r>
      <w:r>
        <w:rPr>
          <w:rFonts w:hint="eastAsia" w:cs="宋体"/>
          <w:spacing w:val="-6"/>
          <w:sz w:val="21"/>
          <w:szCs w:val="21"/>
          <w:highlight w:val="none"/>
        </w:rPr>
        <w:t>不可抗力事件延续</w:t>
      </w:r>
      <w:r>
        <w:rPr>
          <w:spacing w:val="-6"/>
          <w:sz w:val="21"/>
          <w:szCs w:val="21"/>
          <w:highlight w:val="none"/>
        </w:rPr>
        <w:t>120</w:t>
      </w:r>
      <w:r>
        <w:rPr>
          <w:rFonts w:hint="eastAsia" w:cs="宋体"/>
          <w:spacing w:val="-6"/>
          <w:sz w:val="21"/>
          <w:szCs w:val="21"/>
          <w:highlight w:val="none"/>
        </w:rPr>
        <w:t>天以上，双方应通过友好协商，确定是否继续履行合同。</w:t>
      </w:r>
    </w:p>
    <w:p>
      <w:pPr>
        <w:snapToGrid w:val="0"/>
        <w:spacing w:line="240" w:lineRule="auto"/>
        <w:ind w:firstLine="0" w:firstLineChars="0"/>
        <w:rPr>
          <w:rFonts w:cs="宋体"/>
          <w:b/>
          <w:bCs/>
          <w:spacing w:val="-6"/>
          <w:sz w:val="21"/>
          <w:szCs w:val="21"/>
          <w:highlight w:val="none"/>
        </w:rPr>
      </w:pPr>
      <w:r>
        <w:rPr>
          <w:rFonts w:hint="eastAsia" w:cs="宋体"/>
          <w:b/>
          <w:bCs/>
          <w:spacing w:val="-6"/>
          <w:sz w:val="21"/>
          <w:szCs w:val="21"/>
          <w:highlight w:val="none"/>
        </w:rPr>
        <w:t>十一、争议解决</w:t>
      </w:r>
    </w:p>
    <w:p>
      <w:pPr>
        <w:adjustRightInd w:val="0"/>
        <w:snapToGrid w:val="0"/>
        <w:ind w:firstLine="415" w:firstLineChars="210"/>
        <w:rPr>
          <w:rFonts w:cs="宋体"/>
          <w:spacing w:val="-6"/>
          <w:sz w:val="21"/>
          <w:szCs w:val="21"/>
          <w:highlight w:val="none"/>
        </w:rPr>
      </w:pPr>
      <w:r>
        <w:rPr>
          <w:rFonts w:hint="eastAsia" w:cs="宋体"/>
          <w:spacing w:val="-6"/>
          <w:sz w:val="21"/>
          <w:szCs w:val="21"/>
          <w:highlight w:val="none"/>
        </w:rPr>
        <w:t>双方在执行合同过程中所发生的一切争议，应首先通过协商解决。如协商不成，甲乙双方同意将本合同引起的争议提交中国杭州法定仲裁委员会仲裁解决，并适用中华人民共和国法律。</w:t>
      </w:r>
    </w:p>
    <w:p>
      <w:pPr>
        <w:adjustRightInd w:val="0"/>
        <w:snapToGrid w:val="0"/>
        <w:ind w:firstLine="0" w:firstLineChars="0"/>
        <w:rPr>
          <w:rFonts w:cs="宋体"/>
          <w:b/>
          <w:bCs/>
          <w:spacing w:val="-6"/>
          <w:sz w:val="21"/>
          <w:szCs w:val="21"/>
          <w:highlight w:val="none"/>
        </w:rPr>
      </w:pPr>
      <w:r>
        <w:rPr>
          <w:rFonts w:hint="eastAsia" w:cs="宋体"/>
          <w:b/>
          <w:bCs/>
          <w:spacing w:val="-6"/>
          <w:sz w:val="21"/>
          <w:szCs w:val="21"/>
          <w:highlight w:val="none"/>
        </w:rPr>
        <w:t>十二、合同生效</w:t>
      </w:r>
    </w:p>
    <w:p>
      <w:pPr>
        <w:snapToGrid w:val="0"/>
        <w:spacing w:line="240" w:lineRule="auto"/>
        <w:ind w:firstLine="396"/>
        <w:rPr>
          <w:spacing w:val="-6"/>
          <w:sz w:val="21"/>
          <w:szCs w:val="21"/>
          <w:highlight w:val="none"/>
        </w:rPr>
      </w:pPr>
      <w:r>
        <w:rPr>
          <w:spacing w:val="-6"/>
          <w:sz w:val="21"/>
          <w:szCs w:val="21"/>
          <w:highlight w:val="none"/>
        </w:rPr>
        <w:t>1</w:t>
      </w:r>
      <w:r>
        <w:rPr>
          <w:rFonts w:hint="eastAsia"/>
          <w:spacing w:val="-6"/>
          <w:sz w:val="21"/>
          <w:szCs w:val="21"/>
          <w:highlight w:val="none"/>
        </w:rPr>
        <w:t>、本</w:t>
      </w:r>
      <w:r>
        <w:rPr>
          <w:rFonts w:hint="eastAsia" w:cs="宋体"/>
          <w:spacing w:val="-6"/>
          <w:sz w:val="21"/>
          <w:szCs w:val="21"/>
          <w:highlight w:val="none"/>
        </w:rPr>
        <w:t>合同经甲、乙双方法定代表人或授权代表签字并加盖单位公章后生效。</w:t>
      </w:r>
    </w:p>
    <w:p>
      <w:pPr>
        <w:snapToGrid w:val="0"/>
        <w:spacing w:line="240" w:lineRule="auto"/>
        <w:ind w:firstLine="396"/>
        <w:rPr>
          <w:spacing w:val="-6"/>
          <w:sz w:val="21"/>
          <w:szCs w:val="21"/>
          <w:highlight w:val="none"/>
        </w:rPr>
      </w:pPr>
      <w:r>
        <w:rPr>
          <w:rFonts w:hint="eastAsia"/>
          <w:spacing w:val="-6"/>
          <w:sz w:val="21"/>
          <w:szCs w:val="21"/>
          <w:highlight w:val="none"/>
        </w:rPr>
        <w:t>2、</w:t>
      </w:r>
      <w:r>
        <w:rPr>
          <w:rFonts w:hint="eastAsia" w:cs="宋体"/>
          <w:spacing w:val="-6"/>
          <w:sz w:val="21"/>
          <w:szCs w:val="21"/>
          <w:highlight w:val="none"/>
        </w:rPr>
        <w:t>本合同未尽事宜，遵照《中华人民共和国民法典》有关规定执行。</w:t>
      </w:r>
    </w:p>
    <w:p>
      <w:pPr>
        <w:snapToGrid w:val="0"/>
        <w:spacing w:line="240" w:lineRule="auto"/>
        <w:ind w:firstLine="396"/>
        <w:rPr>
          <w:spacing w:val="-6"/>
          <w:sz w:val="21"/>
          <w:szCs w:val="21"/>
          <w:highlight w:val="none"/>
        </w:rPr>
      </w:pPr>
      <w:r>
        <w:rPr>
          <w:rFonts w:hint="eastAsia"/>
          <w:spacing w:val="-6"/>
          <w:sz w:val="21"/>
          <w:szCs w:val="21"/>
          <w:highlight w:val="none"/>
        </w:rPr>
        <w:t>3、</w:t>
      </w:r>
      <w:r>
        <w:rPr>
          <w:rFonts w:hint="eastAsia" w:cs="宋体"/>
          <w:spacing w:val="-6"/>
          <w:sz w:val="21"/>
          <w:szCs w:val="21"/>
          <w:highlight w:val="none"/>
        </w:rPr>
        <w:t>本合同一式</w:t>
      </w:r>
      <w:r>
        <w:rPr>
          <w:rFonts w:hint="eastAsia" w:cs="宋体"/>
          <w:spacing w:val="-6"/>
          <w:sz w:val="21"/>
          <w:szCs w:val="21"/>
          <w:highlight w:val="none"/>
          <w:lang w:eastAsia="zh-CN"/>
        </w:rPr>
        <w:t>柒</w:t>
      </w:r>
      <w:r>
        <w:rPr>
          <w:rFonts w:hint="eastAsia" w:cs="宋体"/>
          <w:spacing w:val="-6"/>
          <w:sz w:val="21"/>
          <w:szCs w:val="21"/>
          <w:highlight w:val="none"/>
        </w:rPr>
        <w:t>份，甲方执</w:t>
      </w:r>
      <w:r>
        <w:rPr>
          <w:rFonts w:hint="eastAsia" w:cs="宋体"/>
          <w:spacing w:val="-6"/>
          <w:sz w:val="21"/>
          <w:szCs w:val="21"/>
          <w:highlight w:val="none"/>
          <w:lang w:eastAsia="zh-CN"/>
        </w:rPr>
        <w:t>陆</w:t>
      </w:r>
      <w:r>
        <w:rPr>
          <w:rFonts w:hint="eastAsia" w:cs="宋体"/>
          <w:spacing w:val="-6"/>
          <w:sz w:val="21"/>
          <w:szCs w:val="21"/>
          <w:highlight w:val="none"/>
        </w:rPr>
        <w:t>份，乙方壹份。</w:t>
      </w:r>
    </w:p>
    <w:p>
      <w:pPr>
        <w:snapToGrid w:val="0"/>
        <w:spacing w:line="240" w:lineRule="auto"/>
        <w:ind w:firstLine="396"/>
        <w:rPr>
          <w:rFonts w:cs="宋体"/>
          <w:spacing w:val="-6"/>
          <w:sz w:val="21"/>
          <w:szCs w:val="21"/>
          <w:highlight w:val="none"/>
        </w:rPr>
      </w:pPr>
      <w:r>
        <w:rPr>
          <w:rFonts w:hint="eastAsia" w:cs="宋体"/>
          <w:spacing w:val="-6"/>
          <w:sz w:val="21"/>
          <w:szCs w:val="21"/>
          <w:highlight w:val="none"/>
        </w:rPr>
        <w:t>4、相关招投标文件及相关承诺与本合同具有同等法律效力。</w:t>
      </w:r>
    </w:p>
    <w:p>
      <w:pPr>
        <w:snapToGrid w:val="0"/>
        <w:spacing w:line="240" w:lineRule="auto"/>
        <w:ind w:firstLine="396"/>
        <w:rPr>
          <w:rFonts w:cs="宋体"/>
          <w:spacing w:val="-6"/>
          <w:sz w:val="21"/>
          <w:szCs w:val="21"/>
          <w:highlight w:val="none"/>
        </w:rPr>
      </w:pPr>
    </w:p>
    <w:tbl>
      <w:tblPr>
        <w:tblStyle w:val="42"/>
        <w:tblpPr w:leftFromText="180" w:rightFromText="180" w:vertAnchor="text" w:horzAnchor="margin" w:tblpXSpec="center" w:tblpY="2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sz w:val="21"/>
                <w:szCs w:val="21"/>
                <w:highlight w:val="none"/>
              </w:rPr>
            </w:pPr>
            <w:r>
              <w:rPr>
                <w:rFonts w:hint="eastAsia"/>
                <w:b/>
                <w:sz w:val="21"/>
                <w:szCs w:val="21"/>
                <w:highlight w:val="none"/>
              </w:rPr>
              <w:t>甲  方（需方）</w:t>
            </w:r>
          </w:p>
        </w:tc>
        <w:tc>
          <w:tcPr>
            <w:tcW w:w="4644" w:type="dxa"/>
            <w:vAlign w:val="bottom"/>
          </w:tcPr>
          <w:p>
            <w:pPr>
              <w:spacing w:line="240" w:lineRule="auto"/>
              <w:ind w:firstLine="0" w:firstLineChars="0"/>
              <w:jc w:val="center"/>
              <w:rPr>
                <w:b/>
                <w:sz w:val="21"/>
                <w:szCs w:val="21"/>
                <w:highlight w:val="none"/>
              </w:rPr>
            </w:pPr>
            <w:r>
              <w:rPr>
                <w:rFonts w:hint="eastAsia"/>
                <w:b/>
                <w:sz w:val="21"/>
                <w:szCs w:val="21"/>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sz w:val="21"/>
                <w:szCs w:val="21"/>
                <w:highlight w:val="none"/>
              </w:rPr>
            </w:pPr>
            <w:r>
              <w:rPr>
                <w:rFonts w:hint="eastAsia"/>
                <w:b/>
                <w:sz w:val="21"/>
                <w:szCs w:val="21"/>
                <w:highlight w:val="none"/>
              </w:rPr>
              <w:t>单位名称（章）：中国计量大学</w:t>
            </w:r>
          </w:p>
        </w:tc>
        <w:tc>
          <w:tcPr>
            <w:tcW w:w="4644" w:type="dxa"/>
            <w:vAlign w:val="center"/>
          </w:tcPr>
          <w:p>
            <w:pPr>
              <w:spacing w:line="240" w:lineRule="auto"/>
              <w:ind w:firstLine="0" w:firstLineChars="0"/>
              <w:rPr>
                <w:b/>
                <w:sz w:val="21"/>
                <w:szCs w:val="21"/>
                <w:highlight w:val="none"/>
              </w:rPr>
            </w:pPr>
            <w:r>
              <w:rPr>
                <w:rFonts w:hint="eastAsia"/>
                <w:b/>
                <w:sz w:val="21"/>
                <w:szCs w:val="21"/>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单位地址：杭州市下沙高教园区学源街258号</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法定代表人：</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委托代理人：</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电话：0571-            传真：0571-86875640</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开户银行：工行高新支行</w:t>
            </w:r>
          </w:p>
        </w:tc>
        <w:tc>
          <w:tcPr>
            <w:tcW w:w="4644" w:type="dxa"/>
            <w:vAlign w:val="center"/>
          </w:tcPr>
          <w:p>
            <w:pPr>
              <w:ind w:firstLine="420"/>
              <w:rPr>
                <w:sz w:val="21"/>
                <w:szCs w:val="21"/>
                <w:highlight w:val="none"/>
              </w:rPr>
            </w:pPr>
            <w:r>
              <w:rPr>
                <w:rFonts w:hint="eastAsia"/>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账号：  1202026209008932114</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纳税人识别号：123300004700090698</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 xml:space="preserve">邮政编号：310018                                                                                                                                                                                                                                         </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sz w:val="21"/>
                <w:szCs w:val="21"/>
                <w:highlight w:val="none"/>
              </w:rPr>
            </w:pPr>
            <w:r>
              <w:rPr>
                <w:rFonts w:hint="eastAsia"/>
                <w:sz w:val="21"/>
                <w:szCs w:val="21"/>
                <w:highlight w:val="none"/>
              </w:rPr>
              <w:t>签约时间：</w:t>
            </w:r>
          </w:p>
        </w:tc>
        <w:tc>
          <w:tcPr>
            <w:tcW w:w="4644" w:type="dxa"/>
            <w:vAlign w:val="center"/>
          </w:tcPr>
          <w:p>
            <w:pPr>
              <w:spacing w:line="240" w:lineRule="auto"/>
              <w:ind w:firstLine="0" w:firstLineChars="0"/>
              <w:rPr>
                <w:sz w:val="21"/>
                <w:szCs w:val="21"/>
                <w:highlight w:val="none"/>
              </w:rPr>
            </w:pPr>
            <w:r>
              <w:rPr>
                <w:rFonts w:hint="eastAsia"/>
                <w:sz w:val="21"/>
                <w:szCs w:val="21"/>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sz w:val="21"/>
                <w:szCs w:val="21"/>
                <w:highlight w:val="none"/>
              </w:rPr>
            </w:pPr>
            <w:r>
              <w:rPr>
                <w:rFonts w:hint="eastAsia"/>
                <w:sz w:val="21"/>
                <w:szCs w:val="21"/>
                <w:highlight w:val="none"/>
              </w:rPr>
              <w:t>签约地点：杭州</w:t>
            </w:r>
          </w:p>
        </w:tc>
      </w:tr>
    </w:tbl>
    <w:p>
      <w:pPr>
        <w:tabs>
          <w:tab w:val="left" w:pos="525"/>
        </w:tabs>
        <w:ind w:firstLine="0" w:firstLineChars="0"/>
        <w:rPr>
          <w:b/>
          <w:bCs/>
          <w:sz w:val="21"/>
          <w:szCs w:val="21"/>
          <w:highlight w:val="none"/>
        </w:rPr>
      </w:pPr>
    </w:p>
    <w:p>
      <w:pPr>
        <w:tabs>
          <w:tab w:val="left" w:pos="525"/>
        </w:tabs>
        <w:ind w:firstLine="0" w:firstLineChars="0"/>
        <w:rPr>
          <w:b/>
          <w:bCs/>
          <w:sz w:val="21"/>
          <w:szCs w:val="21"/>
          <w:highlight w:val="none"/>
        </w:rPr>
      </w:pPr>
      <w:r>
        <w:rPr>
          <w:rFonts w:hint="eastAsia"/>
          <w:b/>
          <w:bCs/>
          <w:sz w:val="21"/>
          <w:szCs w:val="21"/>
          <w:highlight w:val="none"/>
        </w:rPr>
        <w:t>合同附件：</w:t>
      </w:r>
    </w:p>
    <w:p>
      <w:pPr>
        <w:tabs>
          <w:tab w:val="left" w:pos="525"/>
        </w:tabs>
        <w:ind w:firstLine="0" w:firstLineChars="0"/>
        <w:rPr>
          <w:b/>
          <w:bCs/>
          <w:sz w:val="21"/>
          <w:szCs w:val="21"/>
          <w:highlight w:val="none"/>
        </w:rPr>
      </w:pPr>
      <w:r>
        <w:rPr>
          <w:b/>
          <w:bCs/>
          <w:sz w:val="21"/>
          <w:szCs w:val="21"/>
          <w:highlight w:val="none"/>
        </w:rPr>
        <w:t>配置清单：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5"/>
        <w:gridCol w:w="1454"/>
        <w:gridCol w:w="1587"/>
        <w:gridCol w:w="992"/>
        <w:gridCol w:w="99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sz w:val="21"/>
                <w:szCs w:val="21"/>
                <w:highlight w:val="none"/>
              </w:rPr>
            </w:pPr>
            <w:r>
              <w:rPr>
                <w:b/>
                <w:sz w:val="21"/>
                <w:szCs w:val="21"/>
                <w:highlight w:val="none"/>
              </w:rPr>
              <w:t>序号</w:t>
            </w:r>
          </w:p>
        </w:tc>
        <w:tc>
          <w:tcPr>
            <w:tcW w:w="1375" w:type="dxa"/>
            <w:vAlign w:val="center"/>
          </w:tcPr>
          <w:p>
            <w:pPr>
              <w:spacing w:line="300" w:lineRule="exact"/>
              <w:ind w:firstLine="0" w:firstLineChars="0"/>
              <w:jc w:val="center"/>
              <w:rPr>
                <w:b/>
                <w:sz w:val="21"/>
                <w:szCs w:val="21"/>
                <w:highlight w:val="none"/>
              </w:rPr>
            </w:pPr>
            <w:r>
              <w:rPr>
                <w:b/>
                <w:sz w:val="21"/>
                <w:szCs w:val="21"/>
                <w:highlight w:val="none"/>
              </w:rPr>
              <w:t>名称</w:t>
            </w:r>
          </w:p>
        </w:tc>
        <w:tc>
          <w:tcPr>
            <w:tcW w:w="1454" w:type="dxa"/>
            <w:vAlign w:val="center"/>
          </w:tcPr>
          <w:p>
            <w:pPr>
              <w:spacing w:line="300" w:lineRule="exact"/>
              <w:ind w:left="102" w:right="-36" w:hanging="102" w:firstLineChars="0"/>
              <w:jc w:val="center"/>
              <w:rPr>
                <w:b/>
                <w:sz w:val="21"/>
                <w:szCs w:val="21"/>
                <w:highlight w:val="none"/>
              </w:rPr>
            </w:pPr>
            <w:r>
              <w:rPr>
                <w:b/>
                <w:sz w:val="21"/>
                <w:szCs w:val="21"/>
                <w:highlight w:val="none"/>
              </w:rPr>
              <w:t>规格/型号</w:t>
            </w:r>
          </w:p>
        </w:tc>
        <w:tc>
          <w:tcPr>
            <w:tcW w:w="1587" w:type="dxa"/>
          </w:tcPr>
          <w:p>
            <w:pPr>
              <w:spacing w:line="300" w:lineRule="exact"/>
              <w:ind w:left="102" w:right="-36" w:hanging="102" w:firstLineChars="0"/>
              <w:jc w:val="center"/>
              <w:rPr>
                <w:b/>
                <w:sz w:val="21"/>
                <w:szCs w:val="21"/>
                <w:highlight w:val="none"/>
              </w:rPr>
            </w:pPr>
            <w:r>
              <w:rPr>
                <w:rFonts w:hint="eastAsia"/>
                <w:b/>
                <w:sz w:val="21"/>
                <w:szCs w:val="21"/>
                <w:highlight w:val="none"/>
              </w:rPr>
              <w:t>品牌/厂家/</w:t>
            </w:r>
          </w:p>
          <w:p>
            <w:pPr>
              <w:spacing w:line="300" w:lineRule="exact"/>
              <w:ind w:right="-3" w:firstLine="0" w:firstLineChars="0"/>
              <w:jc w:val="center"/>
              <w:rPr>
                <w:b/>
                <w:sz w:val="21"/>
                <w:szCs w:val="21"/>
                <w:highlight w:val="none"/>
              </w:rPr>
            </w:pPr>
            <w:r>
              <w:rPr>
                <w:rFonts w:hint="eastAsia"/>
                <w:b/>
                <w:sz w:val="21"/>
                <w:szCs w:val="21"/>
                <w:highlight w:val="none"/>
              </w:rPr>
              <w:t>原产地</w:t>
            </w:r>
          </w:p>
        </w:tc>
        <w:tc>
          <w:tcPr>
            <w:tcW w:w="992" w:type="dxa"/>
            <w:vAlign w:val="center"/>
          </w:tcPr>
          <w:p>
            <w:pPr>
              <w:spacing w:line="300" w:lineRule="exact"/>
              <w:ind w:right="-3" w:firstLine="0" w:firstLineChars="0"/>
              <w:jc w:val="center"/>
              <w:rPr>
                <w:b/>
                <w:sz w:val="21"/>
                <w:szCs w:val="21"/>
                <w:highlight w:val="none"/>
              </w:rPr>
            </w:pPr>
            <w:r>
              <w:rPr>
                <w:b/>
                <w:sz w:val="21"/>
                <w:szCs w:val="21"/>
                <w:highlight w:val="none"/>
              </w:rPr>
              <w:t>数量</w:t>
            </w:r>
          </w:p>
        </w:tc>
        <w:tc>
          <w:tcPr>
            <w:tcW w:w="992" w:type="dxa"/>
            <w:vAlign w:val="center"/>
          </w:tcPr>
          <w:p>
            <w:pPr>
              <w:spacing w:line="300" w:lineRule="exact"/>
              <w:ind w:right="-3" w:firstLine="0" w:firstLineChars="0"/>
              <w:jc w:val="center"/>
              <w:rPr>
                <w:b/>
                <w:sz w:val="21"/>
                <w:szCs w:val="21"/>
                <w:highlight w:val="none"/>
              </w:rPr>
            </w:pPr>
            <w:r>
              <w:rPr>
                <w:rFonts w:hint="eastAsia"/>
                <w:b/>
                <w:sz w:val="21"/>
                <w:szCs w:val="21"/>
                <w:highlight w:val="none"/>
              </w:rPr>
              <w:t>单价（人民币）</w:t>
            </w:r>
          </w:p>
        </w:tc>
        <w:tc>
          <w:tcPr>
            <w:tcW w:w="983" w:type="dxa"/>
          </w:tcPr>
          <w:p>
            <w:pPr>
              <w:spacing w:line="300" w:lineRule="exact"/>
              <w:ind w:right="-3" w:firstLine="0" w:firstLineChars="0"/>
              <w:jc w:val="center"/>
              <w:rPr>
                <w:b/>
                <w:sz w:val="21"/>
                <w:szCs w:val="21"/>
                <w:highlight w:val="none"/>
              </w:rPr>
            </w:pPr>
            <w:r>
              <w:rPr>
                <w:rFonts w:hint="eastAsia"/>
                <w:b/>
                <w:sz w:val="21"/>
                <w:szCs w:val="21"/>
                <w:highlight w:val="none"/>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 w:val="21"/>
                <w:szCs w:val="21"/>
                <w:highlight w:val="none"/>
              </w:rPr>
            </w:pPr>
            <w:r>
              <w:rPr>
                <w:sz w:val="21"/>
                <w:szCs w:val="21"/>
                <w:highlight w:val="none"/>
              </w:rPr>
              <w:t>1</w:t>
            </w:r>
          </w:p>
        </w:tc>
        <w:tc>
          <w:tcPr>
            <w:tcW w:w="1375" w:type="dxa"/>
            <w:vAlign w:val="center"/>
          </w:tcPr>
          <w:p>
            <w:pPr>
              <w:spacing w:line="240" w:lineRule="auto"/>
              <w:ind w:firstLine="0" w:firstLineChars="0"/>
              <w:jc w:val="center"/>
              <w:rPr>
                <w:rFonts w:cs="Arial"/>
                <w:sz w:val="21"/>
                <w:szCs w:val="21"/>
                <w:highlight w:val="none"/>
              </w:rPr>
            </w:pPr>
          </w:p>
        </w:tc>
        <w:tc>
          <w:tcPr>
            <w:tcW w:w="1454" w:type="dxa"/>
            <w:vAlign w:val="center"/>
          </w:tcPr>
          <w:p>
            <w:pPr>
              <w:spacing w:line="240" w:lineRule="auto"/>
              <w:ind w:firstLine="0" w:firstLineChars="0"/>
              <w:jc w:val="center"/>
              <w:rPr>
                <w:rFonts w:cs="Arial"/>
                <w:sz w:val="21"/>
                <w:szCs w:val="21"/>
                <w:highlight w:val="none"/>
              </w:rPr>
            </w:pPr>
          </w:p>
        </w:tc>
        <w:tc>
          <w:tcPr>
            <w:tcW w:w="1587" w:type="dxa"/>
          </w:tcPr>
          <w:p>
            <w:pPr>
              <w:spacing w:line="300" w:lineRule="exact"/>
              <w:ind w:firstLine="0" w:firstLineChars="0"/>
              <w:jc w:val="center"/>
              <w:rPr>
                <w:sz w:val="21"/>
                <w:szCs w:val="21"/>
                <w:highlight w:val="none"/>
              </w:rPr>
            </w:pPr>
          </w:p>
        </w:tc>
        <w:tc>
          <w:tcPr>
            <w:tcW w:w="992" w:type="dxa"/>
          </w:tcPr>
          <w:p>
            <w:pPr>
              <w:spacing w:line="300" w:lineRule="exact"/>
              <w:ind w:firstLine="0" w:firstLineChars="0"/>
              <w:jc w:val="center"/>
              <w:rPr>
                <w:sz w:val="21"/>
                <w:szCs w:val="21"/>
                <w:highlight w:val="none"/>
              </w:rPr>
            </w:pPr>
          </w:p>
        </w:tc>
        <w:tc>
          <w:tcPr>
            <w:tcW w:w="992" w:type="dxa"/>
            <w:vAlign w:val="center"/>
          </w:tcPr>
          <w:p>
            <w:pPr>
              <w:spacing w:line="300" w:lineRule="exact"/>
              <w:ind w:firstLine="0" w:firstLineChars="0"/>
              <w:jc w:val="center"/>
              <w:rPr>
                <w:sz w:val="21"/>
                <w:szCs w:val="21"/>
                <w:highlight w:val="none"/>
              </w:rPr>
            </w:pPr>
          </w:p>
        </w:tc>
        <w:tc>
          <w:tcPr>
            <w:tcW w:w="983" w:type="dxa"/>
          </w:tcPr>
          <w:p>
            <w:pPr>
              <w:spacing w:line="300" w:lineRule="exact"/>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 w:val="21"/>
                <w:szCs w:val="21"/>
                <w:highlight w:val="none"/>
              </w:rPr>
            </w:pPr>
            <w:r>
              <w:rPr>
                <w:sz w:val="21"/>
                <w:szCs w:val="21"/>
                <w:highlight w:val="none"/>
              </w:rPr>
              <w:t>2</w:t>
            </w:r>
          </w:p>
        </w:tc>
        <w:tc>
          <w:tcPr>
            <w:tcW w:w="1375" w:type="dxa"/>
            <w:vAlign w:val="center"/>
          </w:tcPr>
          <w:p>
            <w:pPr>
              <w:spacing w:line="240" w:lineRule="auto"/>
              <w:ind w:firstLine="0" w:firstLineChars="0"/>
              <w:jc w:val="center"/>
              <w:rPr>
                <w:rFonts w:cs="Arial"/>
                <w:sz w:val="21"/>
                <w:szCs w:val="21"/>
                <w:highlight w:val="none"/>
              </w:rPr>
            </w:pPr>
          </w:p>
        </w:tc>
        <w:tc>
          <w:tcPr>
            <w:tcW w:w="1454" w:type="dxa"/>
            <w:vAlign w:val="center"/>
          </w:tcPr>
          <w:p>
            <w:pPr>
              <w:spacing w:line="240" w:lineRule="auto"/>
              <w:ind w:firstLine="0" w:firstLineChars="0"/>
              <w:jc w:val="center"/>
              <w:rPr>
                <w:rFonts w:cs="Arial"/>
                <w:sz w:val="21"/>
                <w:szCs w:val="21"/>
                <w:highlight w:val="none"/>
              </w:rPr>
            </w:pPr>
          </w:p>
        </w:tc>
        <w:tc>
          <w:tcPr>
            <w:tcW w:w="1587" w:type="dxa"/>
          </w:tcPr>
          <w:p>
            <w:pPr>
              <w:spacing w:line="300" w:lineRule="exact"/>
              <w:ind w:firstLine="0" w:firstLineChars="0"/>
              <w:jc w:val="center"/>
              <w:rPr>
                <w:sz w:val="21"/>
                <w:szCs w:val="21"/>
                <w:highlight w:val="none"/>
              </w:rPr>
            </w:pPr>
          </w:p>
        </w:tc>
        <w:tc>
          <w:tcPr>
            <w:tcW w:w="992" w:type="dxa"/>
          </w:tcPr>
          <w:p>
            <w:pPr>
              <w:spacing w:line="300" w:lineRule="exact"/>
              <w:ind w:firstLine="0" w:firstLineChars="0"/>
              <w:jc w:val="center"/>
              <w:rPr>
                <w:sz w:val="21"/>
                <w:szCs w:val="21"/>
                <w:highlight w:val="none"/>
              </w:rPr>
            </w:pPr>
          </w:p>
        </w:tc>
        <w:tc>
          <w:tcPr>
            <w:tcW w:w="992" w:type="dxa"/>
            <w:vAlign w:val="center"/>
          </w:tcPr>
          <w:p>
            <w:pPr>
              <w:spacing w:line="300" w:lineRule="exact"/>
              <w:ind w:firstLine="0" w:firstLineChars="0"/>
              <w:jc w:val="center"/>
              <w:rPr>
                <w:sz w:val="21"/>
                <w:szCs w:val="21"/>
                <w:highlight w:val="none"/>
              </w:rPr>
            </w:pPr>
          </w:p>
        </w:tc>
        <w:tc>
          <w:tcPr>
            <w:tcW w:w="983" w:type="dxa"/>
          </w:tcPr>
          <w:p>
            <w:pPr>
              <w:spacing w:line="300" w:lineRule="exact"/>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 w:val="21"/>
                <w:szCs w:val="21"/>
                <w:highlight w:val="none"/>
              </w:rPr>
            </w:pPr>
            <w:r>
              <w:rPr>
                <w:sz w:val="21"/>
                <w:szCs w:val="21"/>
                <w:highlight w:val="none"/>
              </w:rPr>
              <w:t>3</w:t>
            </w:r>
          </w:p>
        </w:tc>
        <w:tc>
          <w:tcPr>
            <w:tcW w:w="1375" w:type="dxa"/>
            <w:vAlign w:val="center"/>
          </w:tcPr>
          <w:p>
            <w:pPr>
              <w:spacing w:line="240" w:lineRule="auto"/>
              <w:ind w:firstLine="0" w:firstLineChars="0"/>
              <w:jc w:val="center"/>
              <w:rPr>
                <w:rFonts w:cs="Arial"/>
                <w:sz w:val="21"/>
                <w:szCs w:val="21"/>
                <w:highlight w:val="none"/>
              </w:rPr>
            </w:pPr>
          </w:p>
        </w:tc>
        <w:tc>
          <w:tcPr>
            <w:tcW w:w="1454" w:type="dxa"/>
            <w:vAlign w:val="center"/>
          </w:tcPr>
          <w:p>
            <w:pPr>
              <w:spacing w:line="240" w:lineRule="auto"/>
              <w:ind w:left="105" w:hanging="105" w:hangingChars="50"/>
              <w:jc w:val="center"/>
              <w:rPr>
                <w:rFonts w:cs="Arial"/>
                <w:sz w:val="21"/>
                <w:szCs w:val="21"/>
                <w:highlight w:val="none"/>
              </w:rPr>
            </w:pPr>
          </w:p>
        </w:tc>
        <w:tc>
          <w:tcPr>
            <w:tcW w:w="1587" w:type="dxa"/>
          </w:tcPr>
          <w:p>
            <w:pPr>
              <w:spacing w:line="300" w:lineRule="exact"/>
              <w:ind w:firstLine="0" w:firstLineChars="0"/>
              <w:jc w:val="center"/>
              <w:rPr>
                <w:sz w:val="21"/>
                <w:szCs w:val="21"/>
                <w:highlight w:val="none"/>
              </w:rPr>
            </w:pPr>
          </w:p>
        </w:tc>
        <w:tc>
          <w:tcPr>
            <w:tcW w:w="992" w:type="dxa"/>
          </w:tcPr>
          <w:p>
            <w:pPr>
              <w:spacing w:line="300" w:lineRule="exact"/>
              <w:ind w:firstLine="0" w:firstLineChars="0"/>
              <w:jc w:val="center"/>
              <w:rPr>
                <w:sz w:val="21"/>
                <w:szCs w:val="21"/>
                <w:highlight w:val="none"/>
              </w:rPr>
            </w:pPr>
          </w:p>
        </w:tc>
        <w:tc>
          <w:tcPr>
            <w:tcW w:w="992" w:type="dxa"/>
            <w:vAlign w:val="center"/>
          </w:tcPr>
          <w:p>
            <w:pPr>
              <w:spacing w:line="300" w:lineRule="exact"/>
              <w:ind w:firstLine="0" w:firstLineChars="0"/>
              <w:jc w:val="center"/>
              <w:rPr>
                <w:sz w:val="21"/>
                <w:szCs w:val="21"/>
                <w:highlight w:val="none"/>
              </w:rPr>
            </w:pPr>
          </w:p>
        </w:tc>
        <w:tc>
          <w:tcPr>
            <w:tcW w:w="983" w:type="dxa"/>
          </w:tcPr>
          <w:p>
            <w:pPr>
              <w:spacing w:line="300" w:lineRule="exact"/>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 w:val="21"/>
                <w:szCs w:val="21"/>
                <w:highlight w:val="none"/>
              </w:rPr>
            </w:pPr>
            <w:r>
              <w:rPr>
                <w:rFonts w:hint="eastAsia"/>
                <w:sz w:val="21"/>
                <w:szCs w:val="21"/>
                <w:highlight w:val="none"/>
              </w:rPr>
              <w:t>4</w:t>
            </w:r>
          </w:p>
        </w:tc>
        <w:tc>
          <w:tcPr>
            <w:tcW w:w="1375" w:type="dxa"/>
            <w:vAlign w:val="center"/>
          </w:tcPr>
          <w:p>
            <w:pPr>
              <w:spacing w:line="240" w:lineRule="auto"/>
              <w:ind w:firstLine="0" w:firstLineChars="0"/>
              <w:jc w:val="center"/>
              <w:rPr>
                <w:rFonts w:cs="Arial"/>
                <w:sz w:val="21"/>
                <w:szCs w:val="21"/>
                <w:highlight w:val="none"/>
              </w:rPr>
            </w:pPr>
          </w:p>
        </w:tc>
        <w:tc>
          <w:tcPr>
            <w:tcW w:w="1454" w:type="dxa"/>
            <w:vAlign w:val="center"/>
          </w:tcPr>
          <w:p>
            <w:pPr>
              <w:spacing w:line="240" w:lineRule="auto"/>
              <w:ind w:firstLine="0" w:firstLineChars="0"/>
              <w:jc w:val="center"/>
              <w:rPr>
                <w:rFonts w:cs="Arial"/>
                <w:sz w:val="21"/>
                <w:szCs w:val="21"/>
                <w:highlight w:val="none"/>
              </w:rPr>
            </w:pPr>
          </w:p>
        </w:tc>
        <w:tc>
          <w:tcPr>
            <w:tcW w:w="1587" w:type="dxa"/>
          </w:tcPr>
          <w:p>
            <w:pPr>
              <w:spacing w:line="300" w:lineRule="exact"/>
              <w:ind w:firstLine="0" w:firstLineChars="0"/>
              <w:jc w:val="center"/>
              <w:rPr>
                <w:sz w:val="21"/>
                <w:szCs w:val="21"/>
                <w:highlight w:val="none"/>
              </w:rPr>
            </w:pPr>
          </w:p>
        </w:tc>
        <w:tc>
          <w:tcPr>
            <w:tcW w:w="992" w:type="dxa"/>
          </w:tcPr>
          <w:p>
            <w:pPr>
              <w:spacing w:line="300" w:lineRule="exact"/>
              <w:ind w:firstLine="0" w:firstLineChars="0"/>
              <w:jc w:val="center"/>
              <w:rPr>
                <w:sz w:val="21"/>
                <w:szCs w:val="21"/>
                <w:highlight w:val="none"/>
              </w:rPr>
            </w:pPr>
          </w:p>
        </w:tc>
        <w:tc>
          <w:tcPr>
            <w:tcW w:w="992" w:type="dxa"/>
            <w:vAlign w:val="center"/>
          </w:tcPr>
          <w:p>
            <w:pPr>
              <w:spacing w:line="300" w:lineRule="exact"/>
              <w:ind w:firstLine="0" w:firstLineChars="0"/>
              <w:jc w:val="center"/>
              <w:rPr>
                <w:sz w:val="21"/>
                <w:szCs w:val="21"/>
                <w:highlight w:val="none"/>
              </w:rPr>
            </w:pPr>
          </w:p>
        </w:tc>
        <w:tc>
          <w:tcPr>
            <w:tcW w:w="983" w:type="dxa"/>
          </w:tcPr>
          <w:p>
            <w:pPr>
              <w:spacing w:line="300" w:lineRule="exact"/>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 w:val="21"/>
                <w:szCs w:val="21"/>
                <w:highlight w:val="none"/>
              </w:rPr>
            </w:pPr>
            <w:r>
              <w:rPr>
                <w:rFonts w:hint="eastAsia"/>
                <w:sz w:val="21"/>
                <w:szCs w:val="21"/>
                <w:highlight w:val="none"/>
              </w:rPr>
              <w:t>5</w:t>
            </w:r>
          </w:p>
        </w:tc>
        <w:tc>
          <w:tcPr>
            <w:tcW w:w="1375" w:type="dxa"/>
            <w:vAlign w:val="center"/>
          </w:tcPr>
          <w:p>
            <w:pPr>
              <w:spacing w:line="240" w:lineRule="auto"/>
              <w:ind w:firstLine="0" w:firstLineChars="0"/>
              <w:jc w:val="center"/>
              <w:rPr>
                <w:rFonts w:cs="Arial"/>
                <w:sz w:val="21"/>
                <w:szCs w:val="21"/>
                <w:highlight w:val="none"/>
              </w:rPr>
            </w:pPr>
          </w:p>
        </w:tc>
        <w:tc>
          <w:tcPr>
            <w:tcW w:w="1454" w:type="dxa"/>
            <w:vAlign w:val="center"/>
          </w:tcPr>
          <w:p>
            <w:pPr>
              <w:spacing w:line="240" w:lineRule="auto"/>
              <w:ind w:firstLine="0" w:firstLineChars="0"/>
              <w:jc w:val="center"/>
              <w:rPr>
                <w:rFonts w:cs="Arial"/>
                <w:sz w:val="21"/>
                <w:szCs w:val="21"/>
                <w:highlight w:val="none"/>
              </w:rPr>
            </w:pPr>
          </w:p>
        </w:tc>
        <w:tc>
          <w:tcPr>
            <w:tcW w:w="1587" w:type="dxa"/>
          </w:tcPr>
          <w:p>
            <w:pPr>
              <w:spacing w:line="300" w:lineRule="exact"/>
              <w:ind w:firstLine="0" w:firstLineChars="0"/>
              <w:jc w:val="center"/>
              <w:rPr>
                <w:sz w:val="21"/>
                <w:szCs w:val="21"/>
                <w:highlight w:val="none"/>
              </w:rPr>
            </w:pPr>
          </w:p>
        </w:tc>
        <w:tc>
          <w:tcPr>
            <w:tcW w:w="992" w:type="dxa"/>
          </w:tcPr>
          <w:p>
            <w:pPr>
              <w:spacing w:line="300" w:lineRule="exact"/>
              <w:ind w:firstLine="0" w:firstLineChars="0"/>
              <w:jc w:val="center"/>
              <w:rPr>
                <w:sz w:val="21"/>
                <w:szCs w:val="21"/>
                <w:highlight w:val="none"/>
              </w:rPr>
            </w:pPr>
          </w:p>
        </w:tc>
        <w:tc>
          <w:tcPr>
            <w:tcW w:w="992" w:type="dxa"/>
            <w:vAlign w:val="center"/>
          </w:tcPr>
          <w:p>
            <w:pPr>
              <w:spacing w:line="300" w:lineRule="exact"/>
              <w:ind w:firstLine="0" w:firstLineChars="0"/>
              <w:jc w:val="center"/>
              <w:rPr>
                <w:sz w:val="21"/>
                <w:szCs w:val="21"/>
                <w:highlight w:val="none"/>
              </w:rPr>
            </w:pPr>
          </w:p>
        </w:tc>
        <w:tc>
          <w:tcPr>
            <w:tcW w:w="983" w:type="dxa"/>
          </w:tcPr>
          <w:p>
            <w:pPr>
              <w:spacing w:line="300" w:lineRule="exact"/>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sz w:val="21"/>
                <w:szCs w:val="21"/>
                <w:highlight w:val="none"/>
              </w:rPr>
            </w:pPr>
            <w:r>
              <w:rPr>
                <w:rFonts w:hint="eastAsia"/>
                <w:sz w:val="21"/>
                <w:szCs w:val="21"/>
                <w:highlight w:val="none"/>
              </w:rPr>
              <w:t>6</w:t>
            </w:r>
          </w:p>
        </w:tc>
        <w:tc>
          <w:tcPr>
            <w:tcW w:w="1375" w:type="dxa"/>
            <w:vAlign w:val="center"/>
          </w:tcPr>
          <w:p>
            <w:pPr>
              <w:spacing w:line="240" w:lineRule="auto"/>
              <w:ind w:firstLine="0" w:firstLineChars="0"/>
              <w:jc w:val="center"/>
              <w:rPr>
                <w:rFonts w:cs="Arial"/>
                <w:sz w:val="21"/>
                <w:szCs w:val="21"/>
                <w:highlight w:val="none"/>
              </w:rPr>
            </w:pPr>
          </w:p>
        </w:tc>
        <w:tc>
          <w:tcPr>
            <w:tcW w:w="1454" w:type="dxa"/>
            <w:vAlign w:val="center"/>
          </w:tcPr>
          <w:p>
            <w:pPr>
              <w:spacing w:line="240" w:lineRule="auto"/>
              <w:ind w:firstLine="0" w:firstLineChars="0"/>
              <w:jc w:val="center"/>
              <w:rPr>
                <w:rFonts w:cs="Arial"/>
                <w:sz w:val="21"/>
                <w:szCs w:val="21"/>
                <w:highlight w:val="none"/>
              </w:rPr>
            </w:pPr>
          </w:p>
        </w:tc>
        <w:tc>
          <w:tcPr>
            <w:tcW w:w="1587" w:type="dxa"/>
          </w:tcPr>
          <w:p>
            <w:pPr>
              <w:spacing w:line="300" w:lineRule="exact"/>
              <w:ind w:firstLine="0" w:firstLineChars="0"/>
              <w:jc w:val="center"/>
              <w:rPr>
                <w:sz w:val="21"/>
                <w:szCs w:val="21"/>
                <w:highlight w:val="none"/>
              </w:rPr>
            </w:pPr>
          </w:p>
        </w:tc>
        <w:tc>
          <w:tcPr>
            <w:tcW w:w="992" w:type="dxa"/>
          </w:tcPr>
          <w:p>
            <w:pPr>
              <w:spacing w:line="300" w:lineRule="exact"/>
              <w:ind w:firstLine="0" w:firstLineChars="0"/>
              <w:jc w:val="center"/>
              <w:rPr>
                <w:sz w:val="21"/>
                <w:szCs w:val="21"/>
                <w:highlight w:val="none"/>
              </w:rPr>
            </w:pPr>
          </w:p>
        </w:tc>
        <w:tc>
          <w:tcPr>
            <w:tcW w:w="992" w:type="dxa"/>
            <w:vAlign w:val="center"/>
          </w:tcPr>
          <w:p>
            <w:pPr>
              <w:spacing w:line="300" w:lineRule="exact"/>
              <w:ind w:firstLine="0" w:firstLineChars="0"/>
              <w:jc w:val="center"/>
              <w:rPr>
                <w:sz w:val="21"/>
                <w:szCs w:val="21"/>
                <w:highlight w:val="none"/>
              </w:rPr>
            </w:pPr>
          </w:p>
        </w:tc>
        <w:tc>
          <w:tcPr>
            <w:tcW w:w="983" w:type="dxa"/>
          </w:tcPr>
          <w:p>
            <w:pPr>
              <w:spacing w:line="300" w:lineRule="exact"/>
              <w:ind w:firstLine="0" w:firstLineChars="0"/>
              <w:jc w:val="center"/>
              <w:rPr>
                <w:sz w:val="21"/>
                <w:szCs w:val="21"/>
                <w:highlight w:val="none"/>
              </w:rPr>
            </w:pPr>
          </w:p>
        </w:tc>
      </w:tr>
    </w:tbl>
    <w:p>
      <w:pPr>
        <w:spacing w:line="240" w:lineRule="auto"/>
        <w:ind w:firstLine="0" w:firstLineChars="0"/>
        <w:rPr>
          <w:sz w:val="21"/>
          <w:szCs w:val="21"/>
          <w:highlight w:val="none"/>
        </w:rPr>
      </w:pPr>
    </w:p>
    <w:p>
      <w:pPr>
        <w:adjustRightInd w:val="0"/>
        <w:snapToGrid w:val="0"/>
        <w:spacing w:line="300" w:lineRule="exact"/>
        <w:ind w:firstLine="0" w:firstLineChars="0"/>
        <w:rPr>
          <w:snapToGrid w:val="0"/>
          <w:kern w:val="0"/>
          <w:highlight w:val="none"/>
        </w:rPr>
      </w:pPr>
    </w:p>
    <w:p>
      <w:pPr>
        <w:pStyle w:val="4"/>
        <w:rPr>
          <w:rFonts w:hint="eastAsia"/>
          <w:highlight w:val="none"/>
        </w:rPr>
      </w:pPr>
    </w:p>
    <w:p>
      <w:pPr>
        <w:pStyle w:val="50"/>
        <w:rPr>
          <w:rFonts w:hint="eastAsia"/>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6"/>
        <w:bidi w:val="0"/>
        <w:rPr>
          <w:rFonts w:hint="eastAsia"/>
          <w:color w:val="auto"/>
          <w:highlight w:val="none"/>
        </w:rPr>
      </w:pPr>
      <w:bookmarkStart w:id="178" w:name="_Toc24575"/>
      <w:bookmarkStart w:id="179" w:name="_Toc11745"/>
      <w:r>
        <w:rPr>
          <w:rFonts w:hint="eastAsia"/>
          <w:color w:val="auto"/>
          <w:highlight w:val="none"/>
        </w:rPr>
        <w:t>第六章 投标文件格式</w:t>
      </w:r>
      <w:bookmarkEnd w:id="177"/>
      <w:bookmarkEnd w:id="178"/>
      <w:bookmarkEnd w:id="179"/>
    </w:p>
    <w:p>
      <w:pPr>
        <w:pStyle w:val="22"/>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7"/>
        <w:bidi w:val="0"/>
        <w:rPr>
          <w:rFonts w:hint="eastAsia"/>
          <w:color w:val="auto"/>
          <w:highlight w:val="none"/>
        </w:rPr>
      </w:pPr>
      <w:bookmarkStart w:id="180" w:name="_Toc5063"/>
      <w:bookmarkStart w:id="181" w:name="_Toc21050"/>
      <w:r>
        <w:rPr>
          <w:rFonts w:hint="eastAsia"/>
          <w:color w:val="auto"/>
          <w:highlight w:val="none"/>
        </w:rPr>
        <w:t>外层包装</w:t>
      </w:r>
      <w:bookmarkEnd w:id="180"/>
      <w:bookmarkEnd w:id="181"/>
    </w:p>
    <w:p>
      <w:pPr>
        <w:ind w:firstLine="456"/>
        <w:rPr>
          <w:rFonts w:hint="eastAsia" w:ascii="宋体" w:hAnsi="宋体" w:eastAsia="宋体" w:cs="宋体"/>
          <w:color w:val="auto"/>
          <w:spacing w:val="-6"/>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中国计量大学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拉曼与量子精密测量实验室设备采购</w:t>
      </w: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件（电子备份文件）</w:t>
      </w:r>
    </w:p>
    <w:p>
      <w:pPr>
        <w:ind w:firstLine="0" w:firstLineChars="0"/>
        <w:rPr>
          <w:rFonts w:hint="eastAsia" w:ascii="宋体" w:hAnsi="宋体" w:eastAsia="宋体" w:cs="宋体"/>
          <w:bCs/>
          <w:color w:val="auto"/>
          <w:spacing w:val="-6"/>
          <w:highlight w:val="none"/>
        </w:rPr>
      </w:pPr>
    </w:p>
    <w:p>
      <w:pPr>
        <w:pStyle w:val="3"/>
        <w:rPr>
          <w:rFonts w:hint="eastAsia" w:ascii="宋体" w:hAnsi="宋体" w:eastAsia="宋体" w:cs="宋体"/>
          <w:bCs/>
          <w:color w:val="auto"/>
          <w:spacing w:val="-6"/>
          <w:highlight w:val="none"/>
        </w:rPr>
      </w:pPr>
    </w:p>
    <w:p>
      <w:pPr>
        <w:pStyle w:val="3"/>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cs="宋体"/>
          <w:bCs/>
          <w:color w:val="auto"/>
          <w:spacing w:val="-6"/>
          <w:sz w:val="30"/>
          <w:szCs w:val="30"/>
          <w:highlight w:val="none"/>
          <w:lang w:val="en-US" w:eastAsia="zh-CN"/>
        </w:rPr>
        <w:t>标项</w:t>
      </w:r>
      <w:r>
        <w:rPr>
          <w:rFonts w:hint="eastAsia" w:ascii="宋体" w:hAnsi="宋体" w:eastAsia="宋体" w:cs="宋体"/>
          <w:bCs/>
          <w:color w:val="auto"/>
          <w:spacing w:val="-6"/>
          <w:sz w:val="30"/>
          <w:szCs w:val="30"/>
          <w:highlight w:val="none"/>
        </w:rPr>
        <w:t>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授权代表姓名：       手机号：</w:t>
      </w:r>
    </w:p>
    <w:p>
      <w:pPr>
        <w:pStyle w:val="3"/>
        <w:rPr>
          <w:rFonts w:hint="eastAsia" w:ascii="宋体" w:hAnsi="宋体" w:eastAsia="宋体" w:cs="宋体"/>
          <w:color w:val="auto"/>
          <w:highlight w:val="none"/>
        </w:rPr>
      </w:pPr>
    </w:p>
    <w:p>
      <w:pPr>
        <w:ind w:firstLine="576"/>
        <w:rPr>
          <w:rFonts w:hint="eastAsia" w:ascii="宋体" w:hAnsi="宋体" w:eastAsia="宋体" w:cs="宋体"/>
          <w:bCs/>
          <w:color w:val="auto"/>
          <w:spacing w:val="-6"/>
          <w:sz w:val="30"/>
          <w:szCs w:val="30"/>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bCs/>
          <w:color w:val="auto"/>
          <w:spacing w:val="-6"/>
          <w:sz w:val="30"/>
          <w:szCs w:val="30"/>
          <w:highlight w:val="none"/>
        </w:rPr>
        <w:t>日期：    年  月  日</w:t>
      </w:r>
    </w:p>
    <w:p>
      <w:pPr>
        <w:ind w:firstLine="576"/>
        <w:rPr>
          <w:rFonts w:hint="eastAsia" w:ascii="宋体" w:hAnsi="宋体" w:eastAsia="宋体" w:cs="宋体"/>
          <w:color w:val="auto"/>
          <w:szCs w:val="22"/>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4622800</wp:posOffset>
                </wp:positionH>
                <wp:positionV relativeFrom="paragraph">
                  <wp:posOffset>243205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64pt;margin-top:19.15pt;height:39.95pt;width:110.5pt;z-index:-251655168;mso-width-relative:page;mso-height-relative:page;" fillcolor="#FFFFFF" filled="t" stroked="t" coordsize="21600,21600" o:gfxdata="UEsDBAoAAAAAAIdO4kAAAAAAAAAAAAAAAAAEAAAAZHJzL1BLAwQUAAAACACHTuJAkKba99kAAAAK&#10;AQAADwAAAGRycy9kb3ducmV2LnhtbE2Py07DMBBF90j8gzVIbBB1HlXrhDhdIIFgRwuCrRu7SYQ9&#10;Drablr9nWMFyZo7unNtszs6y2YQ4epSQLzJgBjuvR+wlvL0+3ApgMSnUyno0Er5NhE17edGoWvsT&#10;bs28Sz2jEIy1kjCkNNWcx24wTsWFnwzS7eCDU4nG0HMd1InCneVFlq24UyPSh0FN5n4w3efu6CSI&#10;5dP8EZ/Ll/dudbBVulnPj19ByuurPLsDlsw5/cHwq0/q0JLT3h9RR2YlrAtBXZKEUpTACKiWFS32&#10;ROaiAN42/H+F9gdQSwMEFAAAAAgAh07iQNVDqEMIAgAANgQAAA4AAABkcnMvZTJvRG9jLnhtbK1T&#10;Ta7TMBDeI3EHy3uavJY8IGr6JChlgwDpwQFc20ks+U8et0kvADdgxYY95+o5GDul7wcWXZCFM/Z8&#10;/mbmm/HyZjSa7GUA5WxDr2YlJdJyJ5TtGvrl8+bZS0ogMiuYdlY29CCB3qyePlkOvpZz1zstZCBI&#10;YqEefEP7GH1dFMB7aRjMnJcWna0LhkXchq4QgQ3IbnQxL8vrYnBB+OC4BMDT9eSkJ8ZwCaFrW8Xl&#10;2vGdkTZOrEFqFrEk6JUHusrZtq3k8WPbgoxENxQrjXnFIGhv01qslqzuAvO94qcU2CUpPKrJMGUx&#10;6JlqzSIju6D+ojKKBweujTPuTDEVkhXBKq7KR9rc9szLXAtKDf4sOvw/Wv5h/ykQJXASKLHMYMOP&#10;378df/w6/vxK5kmewUONqFuPuDi+dmOCns4BD1PVYxtM+mM9BP0o7uEsrhwj4enS83KxqNDF0VeV&#10;LxbXVaIp7m77APGddIYko6EBm5c1Zfv3ECfoH0gKBk4rsVFa503otm90IHuGjd7k78T+AKYtGRr6&#10;qppXmAfD6W1xatA0HhUA2+V4D27AfeIyf/8iTomtGfRTApkhwVhtVJQhW71k4q0VJB48qmzxcdGU&#10;jJGCEi3xLSYrIyNT+hIkaqctSphaNLUiWXHcjkiTzK0TB2zbzgfV9ShpblyG4zhl7U+jn+b1/j6T&#10;3j33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ptr32QAAAAoBAAAPAAAAAAAAAAEAIAAAACIA&#10;AABkcnMvZG93bnJldi54bWxQSwECFAAUAAAACACHTuJA1UOoQwgCAAA2BAAADgAAAAAAAAABACAA&#10;AAAoAQAAZHJzL2Uyb0RvYy54bWxQSwUGAAAAAAYABgBZAQAAo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bCs/>
          <w:color w:val="auto"/>
          <w:spacing w:val="-6"/>
          <w:highlight w:val="none"/>
        </w:rPr>
        <w:t xml:space="preserve"> </w:t>
      </w:r>
    </w:p>
    <w:p>
      <w:pPr>
        <w:pStyle w:val="7"/>
        <w:bidi w:val="0"/>
        <w:rPr>
          <w:rFonts w:hint="eastAsia"/>
          <w:color w:val="auto"/>
          <w:highlight w:val="none"/>
        </w:rPr>
      </w:pPr>
      <w:bookmarkStart w:id="182" w:name="_Toc1784"/>
      <w:bookmarkStart w:id="183" w:name="_Toc29893"/>
      <w:r>
        <w:rPr>
          <w:rFonts w:hint="eastAsia"/>
          <w:color w:val="auto"/>
          <w:highlight w:val="none"/>
        </w:rPr>
        <w:t>资格证明文件封面</w:t>
      </w:r>
      <w:bookmarkEnd w:id="182"/>
      <w:bookmarkEnd w:id="183"/>
    </w:p>
    <w:p>
      <w:pPr>
        <w:ind w:firstLine="880"/>
        <w:rPr>
          <w:rFonts w:hint="eastAsia" w:ascii="宋体" w:hAnsi="宋体" w:eastAsia="宋体" w:cs="宋体"/>
          <w:color w:val="auto"/>
          <w:sz w:val="44"/>
          <w:szCs w:val="32"/>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中国计量大学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拉曼与量子精密测量实验室设备采购</w:t>
      </w:r>
    </w:p>
    <w:p>
      <w:pPr>
        <w:ind w:left="0" w:leftChars="0" w:right="0" w:rightChars="0" w:firstLine="0" w:firstLineChars="0"/>
        <w:jc w:val="center"/>
        <w:rPr>
          <w:rFonts w:hint="eastAsia" w:ascii="宋体" w:hAnsi="宋体" w:eastAsia="宋体" w:cs="宋体"/>
          <w:b/>
          <w:bCs/>
          <w:color w:val="auto"/>
          <w:sz w:val="30"/>
          <w:szCs w:val="30"/>
          <w:highlight w:val="none"/>
        </w:rPr>
      </w:pPr>
    </w:p>
    <w:p>
      <w:pPr>
        <w:ind w:left="0" w:leftChars="0" w:right="0" w:rightChars="0" w:firstLine="0" w:firstLineChars="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cs="宋体"/>
          <w:bCs/>
          <w:color w:val="auto"/>
          <w:spacing w:val="-6"/>
          <w:sz w:val="30"/>
          <w:szCs w:val="30"/>
          <w:highlight w:val="none"/>
          <w:lang w:val="en-US" w:eastAsia="zh-CN"/>
        </w:rPr>
        <w:t>标项</w:t>
      </w:r>
      <w:r>
        <w:rPr>
          <w:rFonts w:hint="eastAsia" w:ascii="宋体" w:hAnsi="宋体" w:eastAsia="宋体" w:cs="宋体"/>
          <w:color w:val="auto"/>
          <w:sz w:val="30"/>
          <w:szCs w:val="30"/>
          <w:highlight w:val="none"/>
        </w:rPr>
        <w:t>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日期：    年  月  日</w:t>
      </w:r>
    </w:p>
    <w:p>
      <w:pPr>
        <w:ind w:firstLine="576"/>
        <w:rPr>
          <w:rFonts w:hint="eastAsia" w:ascii="宋体" w:hAnsi="宋体" w:eastAsia="宋体" w:cs="宋体"/>
          <w:bCs/>
          <w:color w:val="auto"/>
          <w:spacing w:val="-6"/>
          <w:sz w:val="30"/>
          <w:szCs w:val="30"/>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bCs/>
          <w:color w:val="auto"/>
          <w:spacing w:val="-6"/>
          <w:sz w:val="30"/>
          <w:szCs w:val="30"/>
          <w:highlight w:val="none"/>
        </w:rPr>
        <w:t>授权代表姓名：       手机号：</w:t>
      </w:r>
    </w:p>
    <w:p>
      <w:pPr>
        <w:pStyle w:val="7"/>
        <w:bidi w:val="0"/>
        <w:ind w:left="0" w:leftChars="0" w:right="0" w:rightChars="0" w:firstLine="0" w:firstLineChars="0"/>
        <w:jc w:val="center"/>
        <w:rPr>
          <w:rFonts w:hint="eastAsia"/>
          <w:color w:val="auto"/>
          <w:highlight w:val="none"/>
        </w:rPr>
      </w:pPr>
      <w:bookmarkStart w:id="184" w:name="_Toc5498"/>
      <w:r>
        <w:rPr>
          <w:rFonts w:hint="eastAsia"/>
          <w:color w:val="auto"/>
          <w:highlight w:val="none"/>
        </w:rPr>
        <w:t>资格证明文件目录</w:t>
      </w:r>
      <w:bookmarkEnd w:id="184"/>
    </w:p>
    <w:p>
      <w:pPr>
        <w:bidi w:val="0"/>
        <w:rPr>
          <w:rFonts w:hint="eastAsia"/>
          <w:color w:val="auto"/>
          <w:highlight w:val="none"/>
        </w:rPr>
      </w:pPr>
    </w:p>
    <w:tbl>
      <w:tblPr>
        <w:tblStyle w:val="4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716"/>
        <w:gridCol w:w="2553"/>
        <w:gridCol w:w="405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审查因素</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审查内容</w:t>
            </w:r>
          </w:p>
        </w:tc>
        <w:tc>
          <w:tcPr>
            <w:tcW w:w="2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审查标准</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具有独立承担民事责任的能力</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营业执照（副本）复印件</w:t>
            </w:r>
          </w:p>
        </w:tc>
        <w:tc>
          <w:tcPr>
            <w:tcW w:w="2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1）如投标人是企业（包括合伙企业），提供在工商部门注册的有效“企业法人营业执照”或“营业执照”；</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2）如投标人是事业单位，提供有效的“事业单位法人证书”；</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（3）如投标人是非企业专业服务机构的，提供执业许可证等证明文件；</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4）如投标人是个体工商户，提供有效的“个体工商户营业执照”；</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5）如投标人是自然人，提供有效的自然人身份证明。</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注：以上材料需要复印件加盖公章（自然人则签字）。</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具有良好的商业信誉和健全的财务会计制度</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财务报告</w:t>
            </w:r>
          </w:p>
        </w:tc>
        <w:tc>
          <w:tcPr>
            <w:tcW w:w="2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提供近一年任意一个月财务报告或开标前三个月内出具的银行资信证明；</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有依法缴纳税收的良好记录</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纳税记录</w:t>
            </w:r>
          </w:p>
        </w:tc>
        <w:tc>
          <w:tcPr>
            <w:tcW w:w="2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近一年任意一个月</w:t>
            </w:r>
            <w:r>
              <w:rPr>
                <w:rFonts w:hint="eastAsia" w:asciiTheme="minorEastAsia" w:hAnsiTheme="minorEastAsia" w:eastAsiaTheme="minorEastAsia" w:cstheme="minorEastAsia"/>
                <w:color w:val="auto"/>
                <w:sz w:val="24"/>
                <w:szCs w:val="24"/>
                <w:highlight w:val="none"/>
              </w:rPr>
              <w:t>依法缴纳税收证明（完税证明或纳税证明或银行电子缴税付款凭证等）；</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有依法缴纳社会保障资金的良好记录</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社保记录</w:t>
            </w:r>
          </w:p>
        </w:tc>
        <w:tc>
          <w:tcPr>
            <w:tcW w:w="2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近一年任意一个月</w:t>
            </w:r>
            <w:r>
              <w:rPr>
                <w:rFonts w:hint="eastAsia" w:asciiTheme="minorEastAsia" w:hAnsiTheme="minorEastAsia" w:eastAsiaTheme="minorEastAsia" w:cstheme="minorEastAsia"/>
                <w:color w:val="auto"/>
                <w:sz w:val="24"/>
                <w:szCs w:val="24"/>
                <w:highlight w:val="none"/>
              </w:rPr>
              <w:t>依法缴纳社会保障资金证明（社保缴费专用收据或银行电子缴税付款凭证或社会保险缴纳清单等）；</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具有履行合同所必需的设备和专业技术能力</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承诺函</w:t>
            </w:r>
          </w:p>
        </w:tc>
        <w:tc>
          <w:tcPr>
            <w:tcW w:w="2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提供承诺函，格式附后。</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参加政府采购活动前三年内，在经营活动中没有重大违法记录</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投标人在《无重大违法记录声明函》中承诺参加政府采购活动前三年内，在经营活动中无重大违法记录书面声明</w:t>
            </w:r>
          </w:p>
        </w:tc>
        <w:tc>
          <w:tcPr>
            <w:tcW w:w="2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提供《无重大违法记录声明函》，格式以采购文件附件为准。</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诚信记录</w:t>
            </w:r>
          </w:p>
        </w:tc>
        <w:tc>
          <w:tcPr>
            <w:tcW w:w="1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投标人“信用中国”网站（www.creditchina.gov.cn）、中国政府采购网（www.ccgp.gov.cn）信用记录情况无不良记录。</w:t>
            </w:r>
          </w:p>
        </w:tc>
        <w:tc>
          <w:tcPr>
            <w:tcW w:w="2037" w:type="pct"/>
            <w:tcBorders>
              <w:top w:val="single" w:color="auto" w:sz="4" w:space="0"/>
              <w:left w:val="single" w:color="auto" w:sz="4" w:space="0"/>
              <w:bottom w:val="single" w:color="auto" w:sz="4" w:space="0"/>
              <w:right w:val="single" w:color="auto" w:sz="4" w:space="0"/>
            </w:tcBorders>
            <w:vAlign w:val="center"/>
          </w:tcPr>
          <w:p>
            <w:pPr>
              <w:pStyle w:val="38"/>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提供“信用中国”（www.creditchina.gov.cn）、“中国政府采购网”（www.ccgp.gov.cn）查询信息网站截图</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2个</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w:t>
            </w:r>
          </w:p>
          <w:p>
            <w:pPr>
              <w:pStyle w:val="38"/>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行政处罚较大数额罚款标准认定：按照处罚机关所在地较大金额罚款标准进行认定。</w:t>
            </w:r>
          </w:p>
        </w:tc>
        <w:tc>
          <w:tcPr>
            <w:tcW w:w="5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kern w:val="2"/>
                <w:sz w:val="24"/>
                <w:szCs w:val="24"/>
                <w:highlight w:val="none"/>
              </w:rPr>
            </w:pPr>
          </w:p>
        </w:tc>
      </w:tr>
    </w:tbl>
    <w:p>
      <w:pPr>
        <w:bidi w:val="0"/>
        <w:rPr>
          <w:rFonts w:hint="eastAsia"/>
          <w:color w:val="auto"/>
          <w:highlight w:val="none"/>
        </w:rPr>
      </w:pPr>
    </w:p>
    <w:p>
      <w:pPr>
        <w:bidi w:val="0"/>
        <w:rPr>
          <w:rFonts w:hint="eastAsia"/>
          <w:color w:val="auto"/>
          <w:highlight w:val="none"/>
        </w:rPr>
      </w:pPr>
    </w:p>
    <w:p>
      <w:pPr>
        <w:pStyle w:val="2"/>
        <w:outlineLvl w:val="2"/>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bookmarkStart w:id="185" w:name="_Toc25810"/>
    </w:p>
    <w:bookmarkEnd w:id="185"/>
    <w:p>
      <w:pPr>
        <w:pStyle w:val="8"/>
        <w:numPr>
          <w:ilvl w:val="0"/>
          <w:numId w:val="0"/>
        </w:numPr>
        <w:bidi w:val="0"/>
        <w:ind w:leftChars="200"/>
        <w:rPr>
          <w:rFonts w:hint="eastAsia" w:ascii="宋体" w:hAnsi="宋体" w:eastAsia="宋体" w:cs="宋体"/>
          <w:color w:val="auto"/>
          <w:highlight w:val="none"/>
        </w:rPr>
      </w:pPr>
      <w:bookmarkStart w:id="186" w:name="_Toc30017"/>
      <w:r>
        <w:rPr>
          <w:rFonts w:hint="eastAsia" w:ascii="宋体" w:hAnsi="宋体" w:eastAsia="宋体" w:cs="宋体"/>
          <w:color w:val="auto"/>
          <w:highlight w:val="none"/>
        </w:rPr>
        <w:t>具有履行合同所必需的设备和专业技术能力的承诺函</w:t>
      </w:r>
      <w:bookmarkEnd w:id="186"/>
    </w:p>
    <w:p>
      <w:pPr>
        <w:bidi w:val="0"/>
        <w:rPr>
          <w:rFonts w:hint="eastAsia"/>
          <w:color w:val="auto"/>
          <w:highlight w:val="none"/>
        </w:rPr>
      </w:pP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中国计量大学</w:t>
      </w: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我方郑重承诺，我方具有履行</w:t>
      </w:r>
      <w:r>
        <w:rPr>
          <w:rFonts w:hint="eastAsia" w:ascii="宋体" w:hAnsi="宋体" w:eastAsia="宋体" w:cs="宋体"/>
          <w:color w:val="auto"/>
          <w:highlight w:val="none"/>
          <w:u w:val="single"/>
        </w:rPr>
        <w:t>（项目名称：           ）（项目编号：            ）</w:t>
      </w:r>
      <w:r>
        <w:rPr>
          <w:rFonts w:hint="eastAsia" w:ascii="宋体" w:hAnsi="宋体" w:eastAsia="宋体" w:cs="宋体"/>
          <w:color w:val="auto"/>
          <w:highlight w:val="none"/>
        </w:rPr>
        <w:t>合同所必需的设备和专业技术能力。如中标，我方将保证合同顺利履行。</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投标人名称(公章)：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法定代表人或其授权代表(签字或盖章)：</w:t>
      </w:r>
    </w:p>
    <w:p>
      <w:pPr>
        <w:snapToGrid w:val="0"/>
        <w:ind w:firstLine="480"/>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rPr>
          <w:rFonts w:hint="eastAsia" w:ascii="宋体" w:hAnsi="宋体" w:eastAsia="宋体" w:cs="宋体"/>
          <w:color w:val="auto"/>
          <w:highlight w:val="none"/>
          <w:lang w:val="en-US" w:eastAsia="zh-CN"/>
        </w:rPr>
      </w:pPr>
    </w:p>
    <w:p>
      <w:pPr>
        <w:bidi w:val="0"/>
        <w:rPr>
          <w:rFonts w:hint="eastAsia"/>
          <w:color w:val="auto"/>
          <w:highlight w:val="none"/>
          <w:lang w:val="en-US" w:eastAsia="zh-CN"/>
        </w:rPr>
      </w:pPr>
    </w:p>
    <w:p>
      <w:pPr>
        <w:pStyle w:val="8"/>
        <w:numPr>
          <w:ilvl w:val="0"/>
          <w:numId w:val="0"/>
        </w:numPr>
        <w:bidi w:val="0"/>
        <w:ind w:leftChars="200"/>
        <w:rPr>
          <w:rFonts w:hint="eastAsia"/>
          <w:color w:val="auto"/>
          <w:highlight w:val="none"/>
        </w:rPr>
      </w:pPr>
      <w:bookmarkStart w:id="187" w:name="_Toc26770"/>
      <w:r>
        <w:rPr>
          <w:rFonts w:hint="eastAsia"/>
          <w:color w:val="auto"/>
          <w:highlight w:val="none"/>
          <w:lang w:val="en-US" w:eastAsia="zh-CN"/>
        </w:rPr>
        <w:t>参加政府采购活动</w:t>
      </w:r>
      <w:r>
        <w:rPr>
          <w:rFonts w:hint="eastAsia"/>
          <w:color w:val="auto"/>
          <w:highlight w:val="none"/>
        </w:rPr>
        <w:t>前3年内在经营活动中没有重大违法记录的书面声明；</w:t>
      </w:r>
      <w:bookmarkEnd w:id="187"/>
    </w:p>
    <w:p>
      <w:pPr>
        <w:snapToGrid w:val="0"/>
        <w:ind w:firstLine="0" w:firstLineChars="0"/>
        <w:rPr>
          <w:rFonts w:hint="eastAsia" w:ascii="宋体" w:hAnsi="宋体" w:eastAsia="宋体" w:cs="宋体"/>
          <w:color w:val="auto"/>
          <w:highlight w:val="none"/>
          <w:lang w:val="en-US" w:eastAsia="zh-CN"/>
        </w:rPr>
      </w:pP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中国计量大学</w:t>
      </w:r>
      <w:r>
        <w:rPr>
          <w:rFonts w:hint="eastAsia" w:ascii="宋体" w:hAnsi="宋体" w:eastAsia="宋体" w:cs="宋体"/>
          <w:color w:val="auto"/>
          <w:highlight w:val="none"/>
        </w:rPr>
        <w:t>、浙江五石工程咨询有限公司：</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w:t>
      </w:r>
      <w:r>
        <w:rPr>
          <w:rFonts w:hint="eastAsia" w:ascii="宋体" w:hAnsi="宋体" w:eastAsia="宋体" w:cs="宋体"/>
          <w:color w:val="auto"/>
          <w:highlight w:val="none"/>
        </w:rPr>
        <w:t>声明截止投标时间近三年以来，在政府采购领域中，在项目招标、投标和合同履约期间无任何不良行为记录和违法、违规行为</w:t>
      </w:r>
      <w:r>
        <w:rPr>
          <w:rFonts w:hint="eastAsia" w:ascii="宋体" w:hAnsi="宋体" w:eastAsia="宋体" w:cs="宋体"/>
          <w:color w:val="auto"/>
          <w:highlight w:val="none"/>
          <w:lang w:val="zh-CN"/>
        </w:rPr>
        <w:t>。</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我公司自愿参加（</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的投标，并保证投标文件中所列举的投标报价文件及相关资料和公司基本情况资料是真实的、合法的。</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我公司理解并接受招标文件的各项规定和要求，同意此次招标文件中的各项内容，</w:t>
      </w:r>
      <w:r>
        <w:rPr>
          <w:rFonts w:hint="eastAsia" w:ascii="宋体" w:hAnsi="宋体" w:eastAsia="宋体" w:cs="宋体"/>
          <w:color w:val="auto"/>
          <w:highlight w:val="none"/>
        </w:rPr>
        <w:t>并</w:t>
      </w:r>
      <w:r>
        <w:rPr>
          <w:rFonts w:hint="eastAsia" w:ascii="宋体" w:hAnsi="宋体" w:eastAsia="宋体" w:cs="宋体"/>
          <w:color w:val="auto"/>
          <w:highlight w:val="none"/>
          <w:lang w:val="zh-CN"/>
        </w:rPr>
        <w:t>同意提供按照贵方可能要求的与投标有关的一切数据或资料等。</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本公司如中标，保证按照投标文件的承诺与贵方签订合同，保证履行合同条款并缴纳履约保证金。</w:t>
      </w:r>
    </w:p>
    <w:p>
      <w:pPr>
        <w:snapToGrid w:val="0"/>
        <w:ind w:firstLine="480"/>
        <w:rPr>
          <w:rFonts w:hint="eastAsia" w:ascii="宋体" w:hAnsi="宋体" w:eastAsia="宋体" w:cs="宋体"/>
          <w:color w:val="auto"/>
          <w:highlight w:val="none"/>
        </w:rPr>
      </w:pP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投标人名称(公章)：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法定代表人或其授权代表(签字或盖章)：</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pStyle w:val="4"/>
        <w:rPr>
          <w:rFonts w:hint="eastAsia" w:ascii="宋体" w:hAnsi="宋体" w:eastAsia="宋体" w:cs="宋体"/>
          <w:color w:val="auto"/>
          <w:sz w:val="30"/>
          <w:szCs w:val="30"/>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7"/>
        <w:bidi w:val="0"/>
        <w:rPr>
          <w:rFonts w:hint="eastAsia" w:ascii="宋体" w:hAnsi="宋体" w:eastAsia="宋体" w:cs="宋体"/>
          <w:color w:val="auto"/>
          <w:highlight w:val="none"/>
        </w:rPr>
      </w:pPr>
      <w:bookmarkStart w:id="188" w:name="_Toc2451"/>
      <w:bookmarkStart w:id="189" w:name="_Toc32324"/>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6233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XVhvYLAgAANgQAAA4AAABkcnMvZTJvRG9jLnhtbK1T&#10;zY7TMBC+I/EOlu80adkubNR0JSjlggBp4QFc20ks+U8et0lfAN6AExfuPFefg7HT7f6whx42B2fs&#10;+fzNzDfjxfVgNNnJAMrZmk4nJSXScieUbWv6/dv61VtKIDIrmHZW1nQvgV4vX75Y9L6SM9c5LWQg&#10;SGKh6n1Nuxh9VRTAO2kYTJyXFp2NC4ZF3Ia2EIH1yG50MSvLy6J3QfjguATA09XopEfGcA6haxrF&#10;5crxrZE2jqxBahaxJOiUB7rM2TaN5PFL04CMRNcUK415xSBob9JaLBesagPzneLHFNg5KTyqyTBl&#10;MeiJasUiI9ug/qMyigcHrokT7kwxFpIVwSqm5SNtbjrmZa4FpQZ/Eh2ej5Z/3n0NRImaziixzGDD&#10;D79+Hn7/Pfz5Qd4keXoPFaJuPOLi8M4NODS354CHqeqhCSb9sR6CfhR3fxJXDpHwdOn1xSX2nxKO&#10;votyejWfJ5ri7rYPED9KZ0gyahqweVlTtvsEcYTeQlIwcFqJtdI6b0K7ea8D2TFs9Dp/R/YHMG1J&#10;X9Or+WyOeTCc3ganBk3jUQGwbY734AbcJy7z9xRxSmzFoBsTyAwJxiqjogzZ6iQTH6wgce9RZYuP&#10;i6ZkjBSUaIlvMVkZGZnS5yBRO21RwtSisRXJisNmQJpkbpzYY9u2Pqi2Q0lz4zIcxylrfxz9NK/3&#10;95n07rk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e+yw2QAAAAkBAAAPAAAAAAAAAAEAIAAA&#10;ACIAAABkcnMvZG93bnJldi54bWxQSwECFAAUAAAACACHTuJABdWG9gsCAAA2BAAADgAAAAAAAAAB&#10;ACAAAAAoAQAAZHJzL2Uyb0RvYy54bWxQSwUGAAAAAAYABgBZAQAApQ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color w:val="auto"/>
          <w:szCs w:val="40"/>
          <w:highlight w:val="none"/>
        </w:rPr>
        <w:t>报价</w:t>
      </w:r>
      <w:r>
        <w:rPr>
          <w:rFonts w:hint="eastAsia" w:ascii="宋体" w:hAnsi="宋体" w:eastAsia="宋体" w:cs="宋体"/>
          <w:color w:val="auto"/>
          <w:highlight w:val="none"/>
        </w:rPr>
        <w:t>文件封面</w:t>
      </w:r>
      <w:bookmarkEnd w:id="188"/>
      <w:bookmarkEnd w:id="189"/>
    </w:p>
    <w:p>
      <w:pPr>
        <w:ind w:firstLine="880"/>
        <w:rPr>
          <w:rFonts w:hint="eastAsia" w:ascii="宋体" w:hAnsi="宋体" w:eastAsia="宋体" w:cs="宋体"/>
          <w:color w:val="auto"/>
          <w:sz w:val="44"/>
          <w:szCs w:val="32"/>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中国计量大学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拉曼与量子精密测量实验室设备采购</w:t>
      </w:r>
    </w:p>
    <w:p>
      <w:pPr>
        <w:ind w:firstLine="880"/>
        <w:rPr>
          <w:rFonts w:hint="eastAsia" w:ascii="宋体" w:hAnsi="宋体" w:eastAsia="宋体" w:cs="宋体"/>
          <w:color w:val="auto"/>
          <w:sz w:val="44"/>
          <w:szCs w:val="32"/>
          <w:highlight w:val="none"/>
        </w:rPr>
      </w:pPr>
    </w:p>
    <w:p>
      <w:pPr>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报价文件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cs="宋体"/>
          <w:bCs/>
          <w:color w:val="auto"/>
          <w:spacing w:val="-6"/>
          <w:sz w:val="30"/>
          <w:szCs w:val="30"/>
          <w:highlight w:val="none"/>
          <w:lang w:val="en-US" w:eastAsia="zh-CN"/>
        </w:rPr>
        <w:t>标项</w:t>
      </w:r>
      <w:r>
        <w:rPr>
          <w:rFonts w:hint="eastAsia" w:ascii="宋体" w:hAnsi="宋体" w:eastAsia="宋体" w:cs="宋体"/>
          <w:color w:val="auto"/>
          <w:sz w:val="30"/>
          <w:szCs w:val="30"/>
          <w:highlight w:val="none"/>
        </w:rPr>
        <w:t>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日期：    年  月  日</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授权代表姓名：               手机号：</w:t>
      </w:r>
    </w:p>
    <w:p>
      <w:pPr>
        <w:pStyle w:val="4"/>
        <w:rPr>
          <w:rFonts w:hint="eastAsia" w:ascii="宋体" w:hAnsi="宋体" w:eastAsia="宋体" w:cs="宋体"/>
          <w:color w:val="auto"/>
          <w:highlight w:val="none"/>
        </w:rPr>
      </w:pPr>
    </w:p>
    <w:p>
      <w:pPr>
        <w:pStyle w:val="4"/>
        <w:rPr>
          <w:rFonts w:hint="eastAsia" w:ascii="宋体" w:hAnsi="宋体" w:eastAsia="宋体" w:cs="宋体"/>
          <w:color w:val="auto"/>
          <w:sz w:val="30"/>
          <w:szCs w:val="30"/>
          <w:highlight w:val="none"/>
        </w:rPr>
      </w:pPr>
    </w:p>
    <w:p>
      <w:pPr>
        <w:pStyle w:val="5"/>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7"/>
        <w:bidi w:val="0"/>
        <w:ind w:left="0" w:leftChars="0" w:right="0" w:rightChars="0" w:firstLine="0" w:firstLineChars="0"/>
        <w:jc w:val="center"/>
        <w:rPr>
          <w:rFonts w:hint="eastAsia"/>
          <w:color w:val="auto"/>
          <w:highlight w:val="none"/>
        </w:rPr>
      </w:pPr>
      <w:bookmarkStart w:id="190" w:name="_Toc24920"/>
      <w:bookmarkStart w:id="191" w:name="_Toc6136"/>
      <w:r>
        <w:rPr>
          <w:rFonts w:hint="eastAsia"/>
          <w:color w:val="auto"/>
          <w:highlight w:val="none"/>
        </w:rPr>
        <w:t>报价文件目录</w:t>
      </w:r>
      <w:bookmarkEnd w:id="190"/>
      <w:bookmarkEnd w:id="191"/>
    </w:p>
    <w:p>
      <w:pPr>
        <w:bidi w:val="0"/>
        <w:rPr>
          <w:rFonts w:hint="eastAsia"/>
          <w:color w:val="auto"/>
          <w:highlight w:val="none"/>
        </w:rPr>
      </w:pPr>
    </w:p>
    <w:p>
      <w:pPr>
        <w:keepNext w:val="0"/>
        <w:keepLines w:val="0"/>
        <w:pageBreakBefore w:val="0"/>
        <w:widowControl w:val="0"/>
        <w:numPr>
          <w:ilvl w:val="0"/>
          <w:numId w:val="4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olor w:val="auto"/>
          <w:highlight w:val="none"/>
        </w:rPr>
      </w:pPr>
      <w:bookmarkStart w:id="192" w:name="_Toc16666"/>
      <w:r>
        <w:rPr>
          <w:rFonts w:hint="eastAsia" w:ascii="宋体" w:hAnsi="宋体" w:eastAsia="宋体"/>
          <w:color w:val="auto"/>
          <w:highlight w:val="none"/>
        </w:rPr>
        <w:t>投标响应函………………………………………………………………………（页码）</w:t>
      </w:r>
      <w:bookmarkEnd w:id="192"/>
    </w:p>
    <w:p>
      <w:pPr>
        <w:keepNext w:val="0"/>
        <w:keepLines w:val="0"/>
        <w:pageBreakBefore w:val="0"/>
        <w:widowControl w:val="0"/>
        <w:numPr>
          <w:ilvl w:val="0"/>
          <w:numId w:val="4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olor w:val="auto"/>
          <w:highlight w:val="none"/>
        </w:rPr>
      </w:pPr>
      <w:bookmarkStart w:id="193" w:name="_Toc9814"/>
      <w:r>
        <w:rPr>
          <w:rFonts w:hint="eastAsia" w:ascii="宋体" w:hAnsi="宋体" w:eastAsia="宋体"/>
          <w:color w:val="auto"/>
          <w:highlight w:val="none"/>
        </w:rPr>
        <w:t>开标一览表………………………………………………………………………（页码）</w:t>
      </w:r>
      <w:bookmarkEnd w:id="193"/>
    </w:p>
    <w:p>
      <w:pPr>
        <w:keepNext w:val="0"/>
        <w:keepLines w:val="0"/>
        <w:pageBreakBefore w:val="0"/>
        <w:widowControl w:val="0"/>
        <w:numPr>
          <w:ilvl w:val="0"/>
          <w:numId w:val="4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olor w:val="auto"/>
          <w:highlight w:val="none"/>
        </w:rPr>
      </w:pPr>
      <w:bookmarkStart w:id="194" w:name="_Toc10349"/>
      <w:r>
        <w:rPr>
          <w:rFonts w:hint="eastAsia" w:ascii="宋体" w:hAnsi="宋体" w:eastAsia="宋体"/>
          <w:color w:val="auto"/>
          <w:highlight w:val="none"/>
        </w:rPr>
        <w:t>投标报价明细表…………………………………………………………………（页码）</w:t>
      </w:r>
      <w:bookmarkEnd w:id="194"/>
    </w:p>
    <w:p>
      <w:pPr>
        <w:keepNext w:val="0"/>
        <w:keepLines w:val="0"/>
        <w:pageBreakBefore w:val="0"/>
        <w:widowControl w:val="0"/>
        <w:numPr>
          <w:ilvl w:val="0"/>
          <w:numId w:val="4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olor w:val="auto"/>
          <w:highlight w:val="none"/>
        </w:rPr>
      </w:pPr>
      <w:bookmarkStart w:id="195" w:name="_Toc20916"/>
      <w:r>
        <w:rPr>
          <w:rFonts w:hint="eastAsia" w:ascii="宋体" w:hAnsi="宋体" w:eastAsia="宋体"/>
          <w:color w:val="auto"/>
          <w:highlight w:val="none"/>
        </w:rPr>
        <w:t>《中小企业声明函》、监狱企业资格证明材料、《残疾人福利性单位声明函》（如果有）</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………………………………………………………………………………………（页码）</w:t>
      </w:r>
      <w:bookmarkEnd w:id="195"/>
    </w:p>
    <w:p>
      <w:pPr>
        <w:pStyle w:val="2"/>
        <w:rPr>
          <w:rFonts w:hint="eastAsia"/>
          <w:color w:val="auto"/>
          <w:highlight w:val="none"/>
        </w:rPr>
      </w:pPr>
    </w:p>
    <w:p>
      <w:pPr>
        <w:pStyle w:val="8"/>
        <w:outlineLvl w:val="9"/>
        <w:rPr>
          <w:rFonts w:hint="eastAsia" w:ascii="宋体" w:hAnsi="宋体" w:eastAsia="宋体" w:cs="宋体"/>
          <w:color w:val="auto"/>
          <w:highlight w:val="none"/>
        </w:rPr>
        <w:sectPr>
          <w:footerReference r:id="rId16" w:type="default"/>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8"/>
        <w:numPr>
          <w:ilvl w:val="0"/>
          <w:numId w:val="48"/>
        </w:numPr>
        <w:bidi w:val="0"/>
        <w:rPr>
          <w:rFonts w:hint="eastAsia"/>
          <w:color w:val="auto"/>
          <w:highlight w:val="none"/>
        </w:rPr>
      </w:pPr>
      <w:bookmarkStart w:id="196" w:name="_Toc25141"/>
      <w:r>
        <w:rPr>
          <w:rFonts w:hint="eastAsia"/>
          <w:color w:val="auto"/>
          <w:highlight w:val="none"/>
        </w:rPr>
        <w:t>投标响应函</w:t>
      </w:r>
      <w:bookmarkEnd w:id="196"/>
    </w:p>
    <w:p>
      <w:pPr>
        <w:snapToGrid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highlight w:val="none"/>
        </w:rPr>
        <w:t>投标响应</w:t>
      </w:r>
      <w:r>
        <w:rPr>
          <w:rFonts w:hint="eastAsia" w:ascii="宋体" w:hAnsi="宋体" w:eastAsia="宋体" w:cs="宋体"/>
          <w:b/>
          <w:color w:val="auto"/>
          <w:sz w:val="32"/>
          <w:highlight w:val="none"/>
        </w:rPr>
        <w:t>函</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中国计量大学、浙江五石工程咨询有限公司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bidi w:val="0"/>
        <w:rPr>
          <w:rFonts w:hint="eastAsia"/>
          <w:color w:val="auto"/>
          <w:highlight w:val="none"/>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(投标人全称)授权</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招标的有关活动，并对</w:t>
      </w:r>
      <w:r>
        <w:rPr>
          <w:rFonts w:hint="eastAsia"/>
          <w:color w:val="auto"/>
          <w:highlight w:val="none"/>
        </w:rPr>
        <w:t>此项目进行投标。为此：</w:t>
      </w:r>
    </w:p>
    <w:p>
      <w:pPr>
        <w:bidi w:val="0"/>
        <w:rPr>
          <w:rFonts w:hint="eastAsia"/>
          <w:color w:val="auto"/>
          <w:highlight w:val="none"/>
        </w:rPr>
      </w:pPr>
      <w:r>
        <w:rPr>
          <w:rFonts w:hint="eastAsia"/>
          <w:color w:val="auto"/>
          <w:highlight w:val="none"/>
        </w:rPr>
        <w:t>1、我方同意在投标人编制和提交采购响应文件须知规定的开标日期起遵守本投标文件中的承诺且在投标有效期满之前均具有约束力。</w:t>
      </w:r>
    </w:p>
    <w:p>
      <w:pPr>
        <w:bidi w:val="0"/>
        <w:rPr>
          <w:rFonts w:hint="eastAsia"/>
          <w:color w:val="auto"/>
          <w:highlight w:val="none"/>
        </w:rPr>
      </w:pPr>
      <w:r>
        <w:rPr>
          <w:rFonts w:hint="eastAsia"/>
          <w:color w:val="auto"/>
          <w:highlight w:val="none"/>
        </w:rPr>
        <w:t>2、我方承诺已经具备《中华人民共和国政府采购法》中规定的参加政府采购活动的供应商应当具备的条件：</w:t>
      </w:r>
    </w:p>
    <w:p>
      <w:pPr>
        <w:bidi w:val="0"/>
        <w:rPr>
          <w:rFonts w:hint="eastAsia"/>
          <w:color w:val="auto"/>
          <w:highlight w:val="none"/>
        </w:rPr>
      </w:pPr>
      <w:r>
        <w:rPr>
          <w:rFonts w:hint="eastAsia"/>
          <w:color w:val="auto"/>
          <w:highlight w:val="none"/>
        </w:rPr>
        <w:t>(1)具有独立承担民事责任的能力；</w:t>
      </w:r>
    </w:p>
    <w:p>
      <w:pPr>
        <w:bidi w:val="0"/>
        <w:rPr>
          <w:rFonts w:hint="eastAsia"/>
          <w:color w:val="auto"/>
          <w:highlight w:val="none"/>
        </w:rPr>
      </w:pPr>
      <w:r>
        <w:rPr>
          <w:rFonts w:hint="eastAsia"/>
          <w:color w:val="auto"/>
          <w:highlight w:val="none"/>
        </w:rPr>
        <w:t>(2)遵守国家法律、行政法规，具有良好的信誉和商业道德；</w:t>
      </w:r>
    </w:p>
    <w:p>
      <w:pPr>
        <w:bidi w:val="0"/>
        <w:rPr>
          <w:rFonts w:hint="eastAsia"/>
          <w:color w:val="auto"/>
          <w:highlight w:val="none"/>
        </w:rPr>
      </w:pPr>
      <w:r>
        <w:rPr>
          <w:rFonts w:hint="eastAsia"/>
          <w:color w:val="auto"/>
          <w:highlight w:val="none"/>
        </w:rPr>
        <w:t>(3)具有履行合同的能力和良好的履行合同记录；</w:t>
      </w:r>
    </w:p>
    <w:p>
      <w:pPr>
        <w:bidi w:val="0"/>
        <w:rPr>
          <w:rFonts w:hint="eastAsia"/>
          <w:color w:val="auto"/>
          <w:highlight w:val="none"/>
        </w:rPr>
      </w:pPr>
      <w:r>
        <w:rPr>
          <w:rFonts w:hint="eastAsia"/>
          <w:color w:val="auto"/>
          <w:highlight w:val="none"/>
        </w:rPr>
        <w:t>(4)良好的资金、财务状况；</w:t>
      </w:r>
    </w:p>
    <w:p>
      <w:pPr>
        <w:bidi w:val="0"/>
        <w:rPr>
          <w:rFonts w:hint="eastAsia"/>
          <w:color w:val="auto"/>
          <w:highlight w:val="none"/>
        </w:rPr>
      </w:pPr>
      <w:r>
        <w:rPr>
          <w:rFonts w:hint="eastAsia"/>
          <w:color w:val="auto"/>
          <w:highlight w:val="none"/>
        </w:rPr>
        <w:t>(5)产品及生产所需装备符合中国政府规定的相应技术标准和环保标准；</w:t>
      </w:r>
    </w:p>
    <w:p>
      <w:pPr>
        <w:bidi w:val="0"/>
        <w:rPr>
          <w:rFonts w:hint="eastAsia"/>
          <w:color w:val="auto"/>
          <w:highlight w:val="none"/>
        </w:rPr>
      </w:pPr>
      <w:r>
        <w:rPr>
          <w:rFonts w:hint="eastAsia"/>
          <w:color w:val="auto"/>
          <w:highlight w:val="none"/>
        </w:rPr>
        <w:t>(6)没有违反政府采购法规、政策的记录；</w:t>
      </w:r>
    </w:p>
    <w:p>
      <w:pPr>
        <w:bidi w:val="0"/>
        <w:rPr>
          <w:rFonts w:hint="eastAsia"/>
          <w:color w:val="auto"/>
          <w:highlight w:val="none"/>
        </w:rPr>
      </w:pPr>
      <w:r>
        <w:rPr>
          <w:rFonts w:hint="eastAsia"/>
          <w:color w:val="auto"/>
          <w:highlight w:val="none"/>
        </w:rPr>
        <w:t>(7)没有发生重大经济纠纷和走私犯罪记录。</w:t>
      </w:r>
    </w:p>
    <w:p>
      <w:pPr>
        <w:bidi w:val="0"/>
        <w:rPr>
          <w:rFonts w:hint="eastAsia"/>
          <w:color w:val="auto"/>
          <w:highlight w:val="none"/>
        </w:rPr>
      </w:pPr>
      <w:r>
        <w:rPr>
          <w:rFonts w:hint="eastAsia"/>
          <w:color w:val="auto"/>
          <w:highlight w:val="none"/>
        </w:rPr>
        <w:t>3、提供编制和提交采购响应文件须知规定的全部投标文件。具体内容为：</w:t>
      </w:r>
    </w:p>
    <w:p>
      <w:pPr>
        <w:bidi w:val="0"/>
        <w:rPr>
          <w:rFonts w:hint="eastAsia"/>
          <w:color w:val="auto"/>
          <w:highlight w:val="none"/>
        </w:rPr>
      </w:pPr>
      <w:r>
        <w:rPr>
          <w:rFonts w:hint="eastAsia"/>
          <w:color w:val="auto"/>
          <w:highlight w:val="none"/>
        </w:rPr>
        <w:t>(1)开标一览表及投标报价明细清单；</w:t>
      </w:r>
    </w:p>
    <w:p>
      <w:pPr>
        <w:bidi w:val="0"/>
        <w:rPr>
          <w:rFonts w:hint="eastAsia"/>
          <w:color w:val="auto"/>
          <w:highlight w:val="none"/>
        </w:rPr>
      </w:pPr>
      <w:r>
        <w:rPr>
          <w:rFonts w:hint="eastAsia"/>
          <w:color w:val="auto"/>
          <w:highlight w:val="none"/>
        </w:rPr>
        <w:t>(2)投标商务</w:t>
      </w:r>
      <w:r>
        <w:rPr>
          <w:rFonts w:hint="eastAsia"/>
          <w:color w:val="auto"/>
          <w:highlight w:val="none"/>
          <w:lang w:val="zh-CN"/>
        </w:rPr>
        <w:t>技术文件和资格文件</w:t>
      </w:r>
      <w:r>
        <w:rPr>
          <w:rFonts w:hint="eastAsia"/>
          <w:color w:val="auto"/>
          <w:highlight w:val="none"/>
        </w:rPr>
        <w:t>；</w:t>
      </w:r>
    </w:p>
    <w:p>
      <w:pPr>
        <w:bidi w:val="0"/>
        <w:rPr>
          <w:rFonts w:hint="eastAsia"/>
          <w:color w:val="auto"/>
          <w:highlight w:val="none"/>
        </w:rPr>
      </w:pPr>
      <w:r>
        <w:rPr>
          <w:rFonts w:hint="eastAsia"/>
          <w:color w:val="auto"/>
          <w:highlight w:val="none"/>
        </w:rPr>
        <w:t>(3)编制和提交采购响应文件须知要求投标人提交的全部文件；</w:t>
      </w:r>
    </w:p>
    <w:p>
      <w:pPr>
        <w:bidi w:val="0"/>
        <w:rPr>
          <w:rFonts w:hint="eastAsia"/>
          <w:color w:val="auto"/>
          <w:highlight w:val="none"/>
        </w:rPr>
      </w:pPr>
      <w:r>
        <w:rPr>
          <w:rFonts w:hint="eastAsia"/>
          <w:color w:val="auto"/>
          <w:highlight w:val="none"/>
        </w:rPr>
        <w:t>(4)按招标文件要求提供和交付的货物和服务的投标报价详见投标(开标)一览表；</w:t>
      </w:r>
    </w:p>
    <w:p>
      <w:pPr>
        <w:bidi w:val="0"/>
        <w:rPr>
          <w:rFonts w:hint="eastAsia"/>
          <w:color w:val="auto"/>
          <w:highlight w:val="none"/>
        </w:rPr>
      </w:pPr>
      <w:r>
        <w:rPr>
          <w:rFonts w:hint="eastAsia"/>
          <w:color w:val="auto"/>
          <w:highlight w:val="none"/>
        </w:rPr>
        <w:t>(5)保证忠实地执行双方所签订的合同，并承担合同规定的责任和义务；</w:t>
      </w:r>
    </w:p>
    <w:p>
      <w:pPr>
        <w:bidi w:val="0"/>
        <w:rPr>
          <w:rFonts w:hint="eastAsia"/>
          <w:color w:val="auto"/>
          <w:highlight w:val="none"/>
        </w:rPr>
      </w:pPr>
      <w:r>
        <w:rPr>
          <w:rFonts w:hint="eastAsia"/>
          <w:color w:val="auto"/>
          <w:highlight w:val="none"/>
        </w:rPr>
        <w:t>(6)保证遵守招标文件中的其他有关规定。</w:t>
      </w:r>
    </w:p>
    <w:p>
      <w:pPr>
        <w:bidi w:val="0"/>
        <w:rPr>
          <w:rFonts w:hint="eastAsia"/>
          <w:color w:val="auto"/>
          <w:highlight w:val="none"/>
        </w:rPr>
      </w:pPr>
      <w:r>
        <w:rPr>
          <w:rFonts w:hint="eastAsia"/>
          <w:color w:val="auto"/>
          <w:highlight w:val="none"/>
        </w:rPr>
        <w:t>4、我方承诺投标有效期从提交投标文件的截止之日起 90 天，不少于招标文件中载明的投标有效期（从提交投标文件的截止之日起90天）。</w:t>
      </w:r>
    </w:p>
    <w:p>
      <w:pPr>
        <w:bidi w:val="0"/>
        <w:rPr>
          <w:rFonts w:hint="eastAsia"/>
          <w:color w:val="auto"/>
          <w:highlight w:val="none"/>
        </w:rPr>
      </w:pPr>
      <w:r>
        <w:rPr>
          <w:rFonts w:hint="eastAsia"/>
          <w:color w:val="auto"/>
          <w:highlight w:val="none"/>
        </w:rPr>
        <w:t>5、我方完全理解贵方不一定要接受最低价的投标。</w:t>
      </w:r>
    </w:p>
    <w:p>
      <w:pPr>
        <w:bidi w:val="0"/>
        <w:rPr>
          <w:rFonts w:hint="eastAsia"/>
          <w:color w:val="auto"/>
          <w:highlight w:val="none"/>
        </w:rPr>
      </w:pPr>
      <w:r>
        <w:rPr>
          <w:rFonts w:hint="eastAsia"/>
          <w:color w:val="auto"/>
          <w:highlight w:val="none"/>
        </w:rPr>
        <w:t>6、我方愿意向贵方提供任何与该项投标有关的数据、情况和技术资料。若贵方需要，我方愿意提供我方作出的一切承诺的证明材料。</w:t>
      </w:r>
    </w:p>
    <w:p>
      <w:pPr>
        <w:bidi w:val="0"/>
        <w:rPr>
          <w:rFonts w:hint="eastAsia"/>
          <w:color w:val="auto"/>
          <w:highlight w:val="none"/>
        </w:rPr>
      </w:pPr>
      <w:r>
        <w:rPr>
          <w:rFonts w:hint="eastAsia"/>
          <w:color w:val="auto"/>
          <w:highlight w:val="none"/>
        </w:rPr>
        <w:t>7、我方已详细审核全部招标文件，包括招标文件修改书(如果有)、参考资料及有关附件，确认无误。</w:t>
      </w:r>
    </w:p>
    <w:p>
      <w:pPr>
        <w:bidi w:val="0"/>
        <w:rPr>
          <w:rFonts w:hint="eastAsia"/>
          <w:color w:val="auto"/>
          <w:highlight w:val="none"/>
        </w:rPr>
      </w:pPr>
      <w:r>
        <w:rPr>
          <w:rFonts w:hint="eastAsia"/>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bidi w:val="0"/>
        <w:rPr>
          <w:rFonts w:hint="eastAsia"/>
          <w:color w:val="auto"/>
          <w:highlight w:val="none"/>
        </w:rPr>
      </w:pPr>
      <w:r>
        <w:rPr>
          <w:rFonts w:hint="eastAsia"/>
          <w:color w:val="auto"/>
          <w:highlight w:val="none"/>
        </w:rPr>
        <w:t>a)提供虚假材料谋取中标、成交的；</w:t>
      </w:r>
    </w:p>
    <w:p>
      <w:pPr>
        <w:bidi w:val="0"/>
        <w:rPr>
          <w:rFonts w:hint="eastAsia"/>
          <w:color w:val="auto"/>
          <w:highlight w:val="none"/>
        </w:rPr>
      </w:pPr>
      <w:r>
        <w:rPr>
          <w:rFonts w:hint="eastAsia"/>
          <w:color w:val="auto"/>
          <w:highlight w:val="none"/>
        </w:rPr>
        <w:t>b)采取不正当手段诋毁、排挤其他供应商的；</w:t>
      </w:r>
    </w:p>
    <w:p>
      <w:pPr>
        <w:bidi w:val="0"/>
        <w:rPr>
          <w:rFonts w:hint="eastAsia"/>
          <w:color w:val="auto"/>
          <w:highlight w:val="none"/>
        </w:rPr>
      </w:pPr>
      <w:r>
        <w:rPr>
          <w:rFonts w:hint="eastAsia"/>
          <w:color w:val="auto"/>
          <w:highlight w:val="none"/>
        </w:rPr>
        <w:t>c)与采购人、其它供应商或者采购代理机构恶意串通的；</w:t>
      </w:r>
    </w:p>
    <w:p>
      <w:pPr>
        <w:bidi w:val="0"/>
        <w:rPr>
          <w:rFonts w:hint="eastAsia"/>
          <w:color w:val="auto"/>
          <w:highlight w:val="none"/>
        </w:rPr>
      </w:pPr>
      <w:r>
        <w:rPr>
          <w:rFonts w:hint="eastAsia"/>
          <w:color w:val="auto"/>
          <w:highlight w:val="none"/>
        </w:rPr>
        <w:t>d)向采购人、采购代理机构行贿或者提供其他不正当利益的；</w:t>
      </w:r>
    </w:p>
    <w:p>
      <w:pPr>
        <w:bidi w:val="0"/>
        <w:rPr>
          <w:rFonts w:hint="eastAsia"/>
          <w:color w:val="auto"/>
          <w:highlight w:val="none"/>
        </w:rPr>
      </w:pPr>
      <w:r>
        <w:rPr>
          <w:rFonts w:hint="eastAsia"/>
          <w:color w:val="auto"/>
          <w:highlight w:val="none"/>
        </w:rPr>
        <w:t>e)在招标采购过程中与采购人进行协商谈判的；</w:t>
      </w:r>
    </w:p>
    <w:p>
      <w:pPr>
        <w:bidi w:val="0"/>
        <w:rPr>
          <w:rFonts w:hint="eastAsia"/>
          <w:color w:val="auto"/>
          <w:highlight w:val="none"/>
        </w:rPr>
      </w:pPr>
      <w:r>
        <w:rPr>
          <w:rFonts w:hint="eastAsia"/>
          <w:color w:val="auto"/>
          <w:highlight w:val="none"/>
        </w:rPr>
        <w:t>f)拒绝有关部门监督检查或提供虚假情况的。</w:t>
      </w:r>
    </w:p>
    <w:p>
      <w:pPr>
        <w:bidi w:val="0"/>
        <w:rPr>
          <w:rFonts w:hint="eastAsia"/>
          <w:color w:val="auto"/>
          <w:highlight w:val="none"/>
        </w:rPr>
      </w:pPr>
      <w:r>
        <w:rPr>
          <w:rFonts w:hint="eastAsia"/>
          <w:color w:val="auto"/>
          <w:highlight w:val="none"/>
        </w:rPr>
        <w:t>供应商有前款第a)至e)项情形之一的，中标、成交无效。</w:t>
      </w:r>
    </w:p>
    <w:p>
      <w:pPr>
        <w:ind w:firstLine="3600" w:firstLineChars="1500"/>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bidi w:val="0"/>
        <w:rPr>
          <w:rFonts w:hint="eastAsia"/>
          <w:color w:val="auto"/>
          <w:highlight w:val="none"/>
        </w:rPr>
      </w:pPr>
      <w:r>
        <w:rPr>
          <w:rFonts w:hint="eastAsia"/>
          <w:color w:val="auto"/>
          <w:highlight w:val="none"/>
        </w:rPr>
        <w:t>投标人名称（公章）：</w:t>
      </w:r>
    </w:p>
    <w:p>
      <w:pPr>
        <w:bidi w:val="0"/>
        <w:rPr>
          <w:rFonts w:hint="eastAsia"/>
          <w:color w:val="auto"/>
          <w:highlight w:val="none"/>
        </w:rPr>
      </w:pPr>
      <w:r>
        <w:rPr>
          <w:rFonts w:hint="eastAsia"/>
          <w:color w:val="auto"/>
          <w:highlight w:val="none"/>
        </w:rPr>
        <w:t>法定代表人或其授权代表（签字或盖章）：</w:t>
      </w:r>
    </w:p>
    <w:p>
      <w:pPr>
        <w:bidi w:val="0"/>
        <w:rPr>
          <w:rFonts w:hint="eastAsia"/>
          <w:color w:val="auto"/>
          <w:highlight w:val="none"/>
        </w:rPr>
      </w:pPr>
      <w:r>
        <w:rPr>
          <w:rFonts w:hint="eastAsia"/>
          <w:color w:val="auto"/>
          <w:highlight w:val="none"/>
        </w:rPr>
        <w:t>日期：  年   月   日</w:t>
      </w:r>
    </w:p>
    <w:p>
      <w:pPr>
        <w:snapToGrid w:val="0"/>
        <w:ind w:left="480" w:leftChars="200" w:firstLine="4200" w:firstLineChars="1750"/>
        <w:rPr>
          <w:rFonts w:hint="eastAsia" w:ascii="宋体" w:hAnsi="宋体" w:eastAsia="宋体" w:cs="宋体"/>
          <w:color w:val="auto"/>
          <w:kern w:val="0"/>
          <w:highlight w:val="none"/>
          <w:u w:val="single"/>
          <w:lang w:val="zh-CN"/>
        </w:rPr>
      </w:pPr>
    </w:p>
    <w:p>
      <w:pPr>
        <w:bidi w:val="0"/>
        <w:rPr>
          <w:rFonts w:hint="eastAsia"/>
          <w:color w:val="auto"/>
          <w:highlight w:val="none"/>
        </w:rPr>
      </w:pPr>
      <w:r>
        <w:rPr>
          <w:rFonts w:hint="eastAsia"/>
          <w:color w:val="auto"/>
          <w:highlight w:val="none"/>
          <w:lang w:val="zh-CN"/>
        </w:rPr>
        <w:t xml:space="preserve">联系人：                           联系电话：                 </w:t>
      </w:r>
    </w:p>
    <w:p>
      <w:pPr>
        <w:bidi w:val="0"/>
        <w:rPr>
          <w:rFonts w:hint="eastAsia"/>
          <w:color w:val="auto"/>
          <w:highlight w:val="none"/>
        </w:rPr>
      </w:pPr>
      <w:r>
        <w:rPr>
          <w:rFonts w:hint="eastAsia"/>
          <w:color w:val="auto"/>
          <w:highlight w:val="none"/>
          <w:lang w:val="zh-CN"/>
        </w:rPr>
        <w:t xml:space="preserve">联系地址：                                                    </w:t>
      </w:r>
    </w:p>
    <w:p>
      <w:pPr>
        <w:bidi w:val="0"/>
        <w:rPr>
          <w:rFonts w:hint="eastAsia"/>
          <w:color w:val="auto"/>
          <w:highlight w:val="none"/>
        </w:rPr>
      </w:pPr>
      <w:r>
        <w:rPr>
          <w:rFonts w:hint="eastAsia"/>
          <w:color w:val="auto"/>
          <w:highlight w:val="none"/>
          <w:lang w:val="zh-CN"/>
        </w:rPr>
        <w:t xml:space="preserve">邮政编码：                     传真号码：                     </w:t>
      </w:r>
    </w:p>
    <w:p>
      <w:pPr>
        <w:ind w:firstLine="482"/>
        <w:rPr>
          <w:rFonts w:hint="eastAsia" w:ascii="宋体" w:hAnsi="宋体" w:eastAsia="宋体" w:cs="宋体"/>
          <w:b/>
          <w:bCs/>
          <w:color w:val="auto"/>
          <w:highlight w:val="none"/>
          <w:lang w:val="zh-CN"/>
        </w:rPr>
      </w:pPr>
    </w:p>
    <w:p>
      <w:pPr>
        <w:bidi w:val="0"/>
        <w:rPr>
          <w:rFonts w:hint="eastAsia"/>
          <w:color w:val="auto"/>
          <w:highlight w:val="none"/>
          <w:lang w:val="zh-CN"/>
        </w:rPr>
      </w:pPr>
      <w:r>
        <w:rPr>
          <w:rFonts w:hint="eastAsia" w:ascii="宋体" w:hAnsi="宋体" w:eastAsia="宋体" w:cs="宋体"/>
          <w:b/>
          <w:bCs/>
          <w:color w:val="auto"/>
          <w:highlight w:val="none"/>
          <w:lang w:val="zh-CN"/>
        </w:rPr>
        <w:t>注：未按照本投标响应函要求填报的将被视为非实质性响应投标，从而可能导致该投标被拒绝。</w:t>
      </w:r>
    </w:p>
    <w:p>
      <w:pPr>
        <w:bidi w:val="0"/>
        <w:rPr>
          <w:rFonts w:hint="eastAsia"/>
          <w:color w:val="auto"/>
          <w:highlight w:val="none"/>
        </w:rPr>
        <w:sectPr>
          <w:footerReference r:id="rId17" w:type="default"/>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bookmarkStart w:id="197" w:name="_Toc2416"/>
    </w:p>
    <w:bookmarkEnd w:id="197"/>
    <w:p>
      <w:pPr>
        <w:pStyle w:val="8"/>
        <w:numPr>
          <w:ilvl w:val="0"/>
          <w:numId w:val="48"/>
        </w:numPr>
        <w:rPr>
          <w:color w:val="0000FF"/>
          <w:highlight w:val="none"/>
        </w:rPr>
      </w:pPr>
      <w:r>
        <w:rPr>
          <w:rFonts w:hint="eastAsia"/>
          <w:color w:val="0000FF"/>
          <w:highlight w:val="none"/>
          <w:lang w:val="en-US" w:eastAsia="zh-CN"/>
        </w:rPr>
        <w:t>开标一览表</w:t>
      </w:r>
    </w:p>
    <w:p>
      <w:pPr>
        <w:snapToGrid w:val="0"/>
        <w:ind w:firstLine="0" w:firstLineChars="0"/>
        <w:jc w:val="center"/>
        <w:rPr>
          <w:rFonts w:cs="宋体"/>
          <w:b/>
          <w:color w:val="0000FF"/>
          <w:kern w:val="0"/>
          <w:sz w:val="32"/>
          <w:highlight w:val="none"/>
        </w:rPr>
      </w:pPr>
      <w:r>
        <w:rPr>
          <w:rFonts w:hint="eastAsia" w:cs="宋体"/>
          <w:b/>
          <w:color w:val="0000FF"/>
          <w:kern w:val="0"/>
          <w:sz w:val="32"/>
          <w:highlight w:val="none"/>
        </w:rPr>
        <w:t>开标一览表</w:t>
      </w:r>
      <w:bookmarkStart w:id="231" w:name="_GoBack"/>
      <w:bookmarkEnd w:id="231"/>
    </w:p>
    <w:tbl>
      <w:tblPr>
        <w:tblStyle w:val="42"/>
        <w:tblW w:w="12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894"/>
        <w:gridCol w:w="1729"/>
        <w:gridCol w:w="392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559"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投标总报价</w:t>
            </w:r>
          </w:p>
        </w:tc>
        <w:tc>
          <w:tcPr>
            <w:tcW w:w="2894"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其中投标报价</w:t>
            </w:r>
          </w:p>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（国产设备）</w:t>
            </w:r>
          </w:p>
        </w:tc>
        <w:tc>
          <w:tcPr>
            <w:tcW w:w="1729"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其中投标报价（进口设备）</w:t>
            </w:r>
          </w:p>
        </w:tc>
        <w:tc>
          <w:tcPr>
            <w:tcW w:w="3922"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交货时间</w:t>
            </w:r>
          </w:p>
        </w:tc>
        <w:tc>
          <w:tcPr>
            <w:tcW w:w="1351"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2559"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人民币</w:t>
            </w:r>
            <w:r>
              <w:rPr>
                <w:rFonts w:hint="eastAsia" w:ascii="Times New Roman" w:hAnsi="Times New Roman"/>
                <w:b/>
                <w:color w:val="0000FF"/>
                <w:highlight w:val="none"/>
                <w:u w:val="single"/>
              </w:rPr>
              <w:t xml:space="preserve">   </w:t>
            </w:r>
            <w:r>
              <w:rPr>
                <w:rFonts w:hint="eastAsia" w:ascii="Times New Roman" w:hAnsi="Times New Roman"/>
                <w:b/>
                <w:color w:val="0000FF"/>
                <w:highlight w:val="none"/>
              </w:rPr>
              <w:t>元</w:t>
            </w:r>
          </w:p>
        </w:tc>
        <w:tc>
          <w:tcPr>
            <w:tcW w:w="2894"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人民币</w:t>
            </w:r>
            <w:r>
              <w:rPr>
                <w:rFonts w:hint="eastAsia" w:ascii="Times New Roman" w:hAnsi="Times New Roman"/>
                <w:b/>
                <w:color w:val="0000FF"/>
                <w:highlight w:val="none"/>
                <w:u w:val="single"/>
              </w:rPr>
              <w:t xml:space="preserve">   </w:t>
            </w:r>
            <w:r>
              <w:rPr>
                <w:rFonts w:hint="eastAsia" w:ascii="Times New Roman" w:hAnsi="Times New Roman"/>
                <w:b/>
                <w:color w:val="0000FF"/>
                <w:highlight w:val="none"/>
              </w:rPr>
              <w:t>元</w:t>
            </w:r>
          </w:p>
        </w:tc>
        <w:tc>
          <w:tcPr>
            <w:tcW w:w="1729" w:type="dxa"/>
            <w:noWrap w:val="0"/>
            <w:vAlign w:val="center"/>
          </w:tcPr>
          <w:p>
            <w:pPr>
              <w:pStyle w:val="22"/>
              <w:snapToGrid w:val="0"/>
              <w:spacing w:line="360" w:lineRule="auto"/>
              <w:jc w:val="center"/>
              <w:rPr>
                <w:rFonts w:hint="eastAsia" w:ascii="Times New Roman" w:hAnsi="Times New Roman"/>
                <w:b/>
                <w:color w:val="0000FF"/>
                <w:highlight w:val="none"/>
              </w:rPr>
            </w:pPr>
            <w:r>
              <w:rPr>
                <w:rFonts w:hint="eastAsia" w:ascii="Times New Roman" w:hAnsi="Times New Roman"/>
                <w:b/>
                <w:color w:val="0000FF"/>
                <w:highlight w:val="none"/>
              </w:rPr>
              <w:t>人民币</w:t>
            </w:r>
            <w:r>
              <w:rPr>
                <w:rFonts w:hint="eastAsia" w:ascii="Times New Roman" w:hAnsi="Times New Roman"/>
                <w:b/>
                <w:color w:val="0000FF"/>
                <w:highlight w:val="none"/>
                <w:u w:val="single"/>
              </w:rPr>
              <w:t xml:space="preserve">   </w:t>
            </w:r>
            <w:r>
              <w:rPr>
                <w:rFonts w:hint="eastAsia" w:ascii="Times New Roman" w:hAnsi="Times New Roman"/>
                <w:b/>
                <w:color w:val="0000FF"/>
                <w:highlight w:val="none"/>
              </w:rPr>
              <w:t>元</w:t>
            </w:r>
          </w:p>
        </w:tc>
        <w:tc>
          <w:tcPr>
            <w:tcW w:w="3922" w:type="dxa"/>
            <w:noWrap w:val="0"/>
            <w:vAlign w:val="center"/>
          </w:tcPr>
          <w:p>
            <w:pPr>
              <w:pStyle w:val="22"/>
              <w:snapToGrid w:val="0"/>
              <w:spacing w:before="156" w:after="156"/>
              <w:jc w:val="left"/>
              <w:rPr>
                <w:rFonts w:hint="eastAsia" w:hAnsi="宋体"/>
                <w:b/>
                <w:color w:val="0000FF"/>
                <w:highlight w:val="none"/>
              </w:rPr>
            </w:pPr>
            <w:r>
              <w:rPr>
                <w:rFonts w:hint="eastAsia" w:ascii="宋体" w:hAnsi="宋体" w:eastAsia="宋体" w:cs="Times New Roman"/>
                <w:b/>
                <w:color w:val="0000FF"/>
                <w:sz w:val="21"/>
                <w:szCs w:val="20"/>
                <w:highlight w:val="none"/>
              </w:rPr>
              <w:t>国产设备：合同签订以后</w:t>
            </w:r>
            <w:r>
              <w:rPr>
                <w:rFonts w:hint="eastAsia" w:hAnsi="宋体" w:cs="Times New Roman"/>
                <w:b/>
                <w:color w:val="0000FF"/>
                <w:sz w:val="21"/>
                <w:szCs w:val="20"/>
                <w:highlight w:val="none"/>
                <w:u w:val="single"/>
                <w:lang w:val="en-US" w:eastAsia="zh-CN"/>
              </w:rPr>
              <w:t xml:space="preserve">   </w:t>
            </w:r>
            <w:r>
              <w:rPr>
                <w:rFonts w:hint="eastAsia" w:ascii="宋体" w:hAnsi="宋体" w:eastAsia="宋体" w:cs="Times New Roman"/>
                <w:b/>
                <w:color w:val="0000FF"/>
                <w:sz w:val="21"/>
                <w:szCs w:val="20"/>
                <w:highlight w:val="none"/>
              </w:rPr>
              <w:t>日历天内将所供商品按时、安全运至招标人指定地点，安装调试完毕后交招标人验收。</w:t>
            </w:r>
            <w:r>
              <w:rPr>
                <w:rFonts w:hint="eastAsia" w:ascii="宋体" w:hAnsi="宋体" w:eastAsia="宋体" w:cs="Times New Roman"/>
                <w:b/>
                <w:color w:val="0000FF"/>
                <w:sz w:val="21"/>
                <w:szCs w:val="20"/>
                <w:highlight w:val="none"/>
              </w:rPr>
              <w:br w:type="textWrapping"/>
            </w:r>
            <w:r>
              <w:rPr>
                <w:rFonts w:hint="eastAsia" w:ascii="宋体" w:hAnsi="宋体" w:eastAsia="宋体" w:cs="Times New Roman"/>
                <w:b/>
                <w:color w:val="0000FF"/>
                <w:sz w:val="21"/>
                <w:szCs w:val="20"/>
                <w:highlight w:val="none"/>
              </w:rPr>
              <w:t>进口设备：“进出口货物征免税证明”办理后</w:t>
            </w:r>
            <w:r>
              <w:rPr>
                <w:rFonts w:hint="eastAsia" w:hAnsi="宋体" w:cs="Times New Roman"/>
                <w:b/>
                <w:color w:val="0000FF"/>
                <w:sz w:val="21"/>
                <w:szCs w:val="20"/>
                <w:highlight w:val="none"/>
                <w:u w:val="single"/>
                <w:lang w:val="en-US" w:eastAsia="zh-CN"/>
              </w:rPr>
              <w:t xml:space="preserve">    </w:t>
            </w:r>
            <w:r>
              <w:rPr>
                <w:rFonts w:hint="eastAsia" w:ascii="宋体" w:hAnsi="宋体" w:eastAsia="宋体" w:cs="Times New Roman"/>
                <w:b/>
                <w:color w:val="0000FF"/>
                <w:sz w:val="21"/>
                <w:szCs w:val="20"/>
                <w:highlight w:val="none"/>
              </w:rPr>
              <w:t>日历天内将所供商品按时、安全运至招标人指定地点，安装调试完毕后交招标人验收。</w:t>
            </w:r>
          </w:p>
          <w:p>
            <w:pPr>
              <w:pStyle w:val="22"/>
              <w:snapToGrid w:val="0"/>
              <w:spacing w:before="156" w:after="156"/>
              <w:jc w:val="left"/>
              <w:rPr>
                <w:rFonts w:hint="eastAsia" w:ascii="Times New Roman" w:hAnsi="Times New Roman"/>
                <w:b/>
                <w:color w:val="0000FF"/>
                <w:highlight w:val="none"/>
              </w:rPr>
            </w:pPr>
            <w:r>
              <w:rPr>
                <w:rFonts w:hint="eastAsia" w:hAnsi="宋体"/>
                <w:b/>
                <w:color w:val="0000FF"/>
                <w:highlight w:val="none"/>
              </w:rPr>
              <w:t>我方投标时已充分考虑新型冠状病毒肺炎疫情的影响，我方不会将</w:t>
            </w:r>
            <w:r>
              <w:rPr>
                <w:rFonts w:hAnsi="宋体"/>
                <w:b/>
                <w:color w:val="0000FF"/>
                <w:highlight w:val="none"/>
              </w:rPr>
              <w:t>新型冠状病毒肺炎疫情</w:t>
            </w:r>
            <w:r>
              <w:rPr>
                <w:rFonts w:hint="eastAsia" w:hAnsi="宋体"/>
                <w:b/>
                <w:color w:val="0000FF"/>
                <w:highlight w:val="none"/>
              </w:rPr>
              <w:t>作为不可抗力因素拖延交货时间。</w:t>
            </w:r>
          </w:p>
        </w:tc>
        <w:tc>
          <w:tcPr>
            <w:tcW w:w="1351" w:type="dxa"/>
            <w:noWrap w:val="0"/>
            <w:vAlign w:val="center"/>
          </w:tcPr>
          <w:p>
            <w:pPr>
              <w:pStyle w:val="22"/>
              <w:snapToGrid w:val="0"/>
              <w:spacing w:line="360" w:lineRule="auto"/>
              <w:jc w:val="center"/>
              <w:rPr>
                <w:rFonts w:hint="eastAsia" w:ascii="Times New Roman" w:hAnsi="Times New Roman"/>
                <w:b/>
                <w:color w:val="0000FF"/>
                <w:highlight w:val="none"/>
              </w:rPr>
            </w:pPr>
          </w:p>
        </w:tc>
      </w:tr>
    </w:tbl>
    <w:p>
      <w:pPr>
        <w:pStyle w:val="4"/>
        <w:rPr>
          <w:color w:val="0000FF"/>
          <w:lang w:val="zh-CN"/>
        </w:rPr>
      </w:pPr>
    </w:p>
    <w:p>
      <w:pPr>
        <w:snapToGrid w:val="0"/>
        <w:ind w:firstLine="0" w:firstLineChars="0"/>
        <w:rPr>
          <w:rFonts w:cs="宋体"/>
          <w:color w:val="0000FF"/>
          <w:kern w:val="0"/>
          <w:highlight w:val="none"/>
          <w:lang w:val="zh-CN"/>
        </w:rPr>
      </w:pPr>
      <w:r>
        <w:rPr>
          <w:rFonts w:hint="eastAsia" w:cs="宋体"/>
          <w:b/>
          <w:color w:val="0000FF"/>
          <w:kern w:val="0"/>
          <w:highlight w:val="none"/>
          <w:lang w:val="zh-CN"/>
        </w:rPr>
        <w:t>注：</w:t>
      </w:r>
    </w:p>
    <w:p>
      <w:pPr>
        <w:snapToGrid w:val="0"/>
        <w:ind w:firstLine="480"/>
        <w:rPr>
          <w:rFonts w:cs="宋体"/>
          <w:color w:val="0000FF"/>
          <w:kern w:val="0"/>
          <w:highlight w:val="none"/>
          <w:lang w:val="zh-CN"/>
        </w:rPr>
      </w:pPr>
      <w:r>
        <w:rPr>
          <w:rFonts w:hint="eastAsia" w:cs="宋体"/>
          <w:color w:val="0000FF"/>
          <w:kern w:val="0"/>
          <w:highlight w:val="none"/>
        </w:rPr>
        <w:t>1.</w:t>
      </w:r>
      <w:r>
        <w:rPr>
          <w:rFonts w:hint="eastAsia" w:cs="宋体"/>
          <w:color w:val="0000FF"/>
          <w:kern w:val="0"/>
          <w:highlight w:val="none"/>
          <w:lang w:val="zh-CN"/>
        </w:rPr>
        <w:t>有关本项目实施所涉及的一切费用（详见前附表）均计入报价。</w:t>
      </w:r>
    </w:p>
    <w:p>
      <w:pPr>
        <w:snapToGrid w:val="0"/>
        <w:ind w:firstLine="480"/>
        <w:rPr>
          <w:rFonts w:cs="宋体"/>
          <w:color w:val="0000FF"/>
          <w:kern w:val="0"/>
          <w:highlight w:val="none"/>
          <w:lang w:val="zh-CN"/>
        </w:rPr>
      </w:pPr>
      <w:r>
        <w:rPr>
          <w:rFonts w:hint="eastAsia" w:cs="宋体"/>
          <w:color w:val="0000FF"/>
          <w:kern w:val="0"/>
          <w:highlight w:val="none"/>
        </w:rPr>
        <w:t>2.</w:t>
      </w:r>
      <w:r>
        <w:rPr>
          <w:rFonts w:hint="eastAsia" w:cs="宋体"/>
          <w:color w:val="0000FF"/>
          <w:kern w:val="0"/>
          <w:highlight w:val="none"/>
          <w:lang w:val="zh-CN"/>
        </w:rPr>
        <w:t>以上表格要求细分项目及报价。</w:t>
      </w:r>
    </w:p>
    <w:p>
      <w:pPr>
        <w:pStyle w:val="22"/>
        <w:rPr>
          <w:rFonts w:hAnsi="宋体" w:cs="宋体"/>
          <w:color w:val="0000FF"/>
          <w:highlight w:val="none"/>
          <w:lang w:val="zh-CN"/>
        </w:rPr>
      </w:pPr>
    </w:p>
    <w:p>
      <w:pPr>
        <w:ind w:firstLine="480"/>
        <w:rPr>
          <w:color w:val="0000FF"/>
          <w:highlight w:val="none"/>
        </w:rPr>
      </w:pPr>
      <w:r>
        <w:rPr>
          <w:rFonts w:hint="eastAsia"/>
          <w:color w:val="0000FF"/>
          <w:highlight w:val="none"/>
        </w:rPr>
        <w:t>投标人名称（公章）：</w:t>
      </w:r>
    </w:p>
    <w:p>
      <w:pPr>
        <w:ind w:firstLine="480"/>
        <w:rPr>
          <w:rFonts w:hint="eastAsia"/>
          <w:color w:val="0000FF"/>
          <w:highlight w:val="none"/>
        </w:rPr>
      </w:pPr>
      <w:r>
        <w:rPr>
          <w:rFonts w:hint="eastAsia"/>
          <w:color w:val="0000FF"/>
          <w:highlight w:val="none"/>
        </w:rPr>
        <w:t>日期：  年   月   日</w:t>
      </w:r>
    </w:p>
    <w:p>
      <w:pPr>
        <w:ind w:firstLine="480"/>
        <w:rPr>
          <w:rFonts w:hint="eastAsia" w:ascii="宋体" w:hAnsi="宋体" w:eastAsia="宋体" w:cs="宋体"/>
          <w:color w:val="0000FF"/>
          <w:highlight w:val="none"/>
          <w:lang w:val="zh-CN"/>
        </w:rPr>
      </w:pPr>
    </w:p>
    <w:p>
      <w:pPr>
        <w:adjustRightInd w:val="0"/>
        <w:snapToGrid w:val="0"/>
        <w:ind w:firstLine="0" w:firstLineChars="0"/>
        <w:rPr>
          <w:rFonts w:hint="eastAsia" w:ascii="宋体" w:hAnsi="宋体" w:eastAsia="宋体" w:cs="宋体"/>
          <w:color w:val="0000FF"/>
          <w:szCs w:val="22"/>
          <w:highlight w:val="none"/>
        </w:rPr>
      </w:pPr>
    </w:p>
    <w:p>
      <w:pPr>
        <w:ind w:firstLine="0" w:firstLineChars="0"/>
        <w:rPr>
          <w:rFonts w:hint="eastAsia" w:ascii="宋体" w:hAnsi="宋体" w:eastAsia="宋体" w:cs="宋体"/>
          <w:color w:val="0000FF"/>
          <w:szCs w:val="22"/>
          <w:highlight w:val="none"/>
        </w:rPr>
        <w:sectPr>
          <w:pgSz w:w="16840" w:h="11907" w:orient="landscape"/>
          <w:pgMar w:top="1080" w:right="1440" w:bottom="1080" w:left="1440" w:header="850" w:footer="992" w:gutter="0"/>
          <w:pgBorders>
            <w:top w:val="none" w:sz="0" w:space="0"/>
            <w:left w:val="none" w:sz="0" w:space="0"/>
            <w:bottom w:val="none" w:sz="0" w:space="0"/>
            <w:right w:val="none" w:sz="0" w:space="0"/>
          </w:pgBorders>
          <w:cols w:space="720" w:num="1"/>
          <w:docGrid w:linePitch="286" w:charSpace="0"/>
        </w:sectPr>
      </w:pPr>
    </w:p>
    <w:p>
      <w:pPr>
        <w:pStyle w:val="8"/>
        <w:pageBreakBefore w:val="0"/>
        <w:numPr>
          <w:ilvl w:val="0"/>
          <w:numId w:val="48"/>
        </w:numPr>
        <w:kinsoku/>
        <w:overflowPunct/>
        <w:topLinePunct w:val="0"/>
        <w:autoSpaceDE/>
        <w:autoSpaceDN/>
        <w:bidi w:val="0"/>
        <w:spacing w:line="240" w:lineRule="auto"/>
        <w:textAlignment w:val="auto"/>
        <w:rPr>
          <w:color w:val="0000FF"/>
          <w:highlight w:val="none"/>
        </w:rPr>
      </w:pPr>
      <w:r>
        <w:rPr>
          <w:rFonts w:hint="eastAsia"/>
          <w:color w:val="0000FF"/>
          <w:highlight w:val="none"/>
        </w:rPr>
        <w:t>投标报价明细表</w:t>
      </w:r>
    </w:p>
    <w:p>
      <w:pPr>
        <w:pageBreakBefore w:val="0"/>
        <w:kinsoku/>
        <w:overflowPunct/>
        <w:topLinePunct w:val="0"/>
        <w:autoSpaceDE/>
        <w:autoSpaceDN/>
        <w:bidi w:val="0"/>
        <w:spacing w:line="240" w:lineRule="auto"/>
        <w:ind w:firstLine="0" w:firstLineChars="0"/>
        <w:jc w:val="center"/>
        <w:textAlignment w:val="auto"/>
        <w:rPr>
          <w:b/>
          <w:bCs/>
          <w:color w:val="0000FF"/>
          <w:sz w:val="32"/>
          <w:szCs w:val="32"/>
          <w:highlight w:val="none"/>
        </w:rPr>
      </w:pPr>
      <w:r>
        <w:rPr>
          <w:rFonts w:hint="eastAsia"/>
          <w:b/>
          <w:bCs/>
          <w:color w:val="0000FF"/>
          <w:sz w:val="32"/>
          <w:szCs w:val="32"/>
          <w:highlight w:val="none"/>
        </w:rPr>
        <w:t>投标报价明细表</w:t>
      </w:r>
    </w:p>
    <w:p>
      <w:pPr>
        <w:pStyle w:val="50"/>
        <w:pageBreakBefore w:val="0"/>
        <w:kinsoku/>
        <w:overflowPunct/>
        <w:topLinePunct w:val="0"/>
        <w:autoSpaceDE/>
        <w:autoSpaceDN/>
        <w:bidi w:val="0"/>
        <w:spacing w:line="240" w:lineRule="auto"/>
        <w:textAlignment w:val="auto"/>
        <w:rPr>
          <w:color w:val="0000FF"/>
          <w:lang w:val="zh-CN"/>
        </w:rPr>
      </w:pPr>
    </w:p>
    <w:p>
      <w:pPr>
        <w:pageBreakBefore w:val="0"/>
        <w:kinsoku/>
        <w:overflowPunct/>
        <w:topLinePunct w:val="0"/>
        <w:autoSpaceDE/>
        <w:autoSpaceDN/>
        <w:bidi w:val="0"/>
        <w:spacing w:line="240" w:lineRule="auto"/>
        <w:ind w:firstLine="720" w:firstLineChars="300"/>
        <w:textAlignment w:val="auto"/>
        <w:rPr>
          <w:rFonts w:cs="宋体"/>
          <w:color w:val="0000FF"/>
          <w:highlight w:val="none"/>
        </w:rPr>
      </w:pPr>
      <w:r>
        <w:rPr>
          <w:rFonts w:hint="eastAsia" w:cs="宋体"/>
          <w:color w:val="0000FF"/>
          <w:highlight w:val="none"/>
          <w:lang w:eastAsia="zh-CN"/>
        </w:rPr>
        <w:t>标项：</w:t>
      </w:r>
      <w:r>
        <w:rPr>
          <w:rFonts w:hint="eastAsia" w:cs="宋体"/>
          <w:color w:val="0000FF"/>
          <w:highlight w:val="none"/>
          <w:u w:val="single"/>
        </w:rPr>
        <w:t xml:space="preserve">              </w:t>
      </w:r>
      <w:r>
        <w:rPr>
          <w:rFonts w:hint="eastAsia" w:cs="宋体"/>
          <w:color w:val="0000FF"/>
          <w:highlight w:val="none"/>
        </w:rPr>
        <w:t xml:space="preserve"> </w:t>
      </w:r>
      <w:r>
        <w:rPr>
          <w:rFonts w:hint="eastAsia" w:cs="宋体"/>
          <w:color w:val="0000FF"/>
          <w:highlight w:val="none"/>
          <w:lang w:val="en-US" w:eastAsia="zh-CN"/>
        </w:rPr>
        <w:t xml:space="preserve">     </w:t>
      </w:r>
      <w:r>
        <w:rPr>
          <w:rFonts w:hint="eastAsia" w:cs="宋体"/>
          <w:color w:val="0000FF"/>
          <w:highlight w:val="none"/>
          <w:lang w:eastAsia="zh-CN"/>
        </w:rPr>
        <w:t>标项</w:t>
      </w:r>
      <w:r>
        <w:rPr>
          <w:rFonts w:hint="eastAsia" w:cs="宋体"/>
          <w:color w:val="0000FF"/>
          <w:highlight w:val="none"/>
        </w:rPr>
        <w:t>名称：</w:t>
      </w:r>
      <w:r>
        <w:rPr>
          <w:rFonts w:hint="eastAsia" w:cs="宋体"/>
          <w:color w:val="0000FF"/>
          <w:highlight w:val="none"/>
          <w:u w:val="single"/>
        </w:rPr>
        <w:t xml:space="preserve">              </w:t>
      </w:r>
      <w:r>
        <w:rPr>
          <w:rFonts w:hint="eastAsia" w:cs="宋体"/>
          <w:color w:val="0000FF"/>
          <w:highlight w:val="none"/>
        </w:rPr>
        <w:t xml:space="preserve">           项目编号：</w:t>
      </w:r>
      <w:r>
        <w:rPr>
          <w:rFonts w:hint="eastAsia" w:cs="宋体"/>
          <w:color w:val="0000FF"/>
          <w:highlight w:val="none"/>
          <w:lang w:val="en-US" w:eastAsia="zh-CN"/>
        </w:rPr>
        <w:t>______________</w:t>
      </w:r>
      <w:r>
        <w:rPr>
          <w:rFonts w:hint="eastAsia" w:cs="宋体"/>
          <w:color w:val="0000FF"/>
          <w:highlight w:val="none"/>
          <w:u w:val="single"/>
        </w:rPr>
        <w:t xml:space="preserve">                            </w:t>
      </w:r>
      <w:r>
        <w:rPr>
          <w:rFonts w:hint="eastAsia" w:cs="宋体"/>
          <w:color w:val="0000FF"/>
          <w:highlight w:val="none"/>
        </w:rPr>
        <w:t xml:space="preserve">                 </w:t>
      </w:r>
      <w:r>
        <w:rPr>
          <w:rFonts w:hint="eastAsia" w:cs="宋体"/>
          <w:color w:val="0000FF"/>
          <w:highlight w:val="none"/>
          <w:u w:val="single"/>
        </w:rPr>
        <w:t xml:space="preserve">            </w:t>
      </w:r>
      <w:r>
        <w:rPr>
          <w:rFonts w:hint="eastAsia" w:cs="宋体"/>
          <w:color w:val="0000FF"/>
          <w:highlight w:val="none"/>
        </w:rPr>
        <w:t xml:space="preserve">    </w:t>
      </w:r>
    </w:p>
    <w:p>
      <w:pPr>
        <w:ind w:firstLine="480"/>
        <w:jc w:val="right"/>
        <w:rPr>
          <w:color w:val="0000FF"/>
          <w:highlight w:val="none"/>
        </w:rPr>
      </w:pPr>
      <w:r>
        <w:rPr>
          <w:rFonts w:hint="eastAsia"/>
          <w:color w:val="0000FF"/>
          <w:highlight w:val="none"/>
        </w:rPr>
        <w:t xml:space="preserve">                                                            </w:t>
      </w:r>
      <w:r>
        <w:rPr>
          <w:rFonts w:hint="eastAsia"/>
          <w:color w:val="0000FF"/>
          <w:highlight w:val="none"/>
          <w:lang w:val="en-US" w:eastAsia="zh-CN"/>
        </w:rPr>
        <w:t>金额</w:t>
      </w:r>
      <w:r>
        <w:rPr>
          <w:rFonts w:hint="eastAsia"/>
          <w:color w:val="0000FF"/>
          <w:highlight w:val="none"/>
        </w:rPr>
        <w:t>单位：</w:t>
      </w:r>
      <w:r>
        <w:rPr>
          <w:rFonts w:hint="eastAsia"/>
          <w:color w:val="0000FF"/>
          <w:highlight w:val="none"/>
          <w:lang w:val="en-US" w:eastAsia="zh-CN"/>
        </w:rPr>
        <w:t>人民币</w:t>
      </w:r>
      <w:r>
        <w:rPr>
          <w:rFonts w:hint="eastAsia"/>
          <w:color w:val="0000FF"/>
          <w:highlight w:val="none"/>
        </w:rPr>
        <w:t>元</w:t>
      </w:r>
    </w:p>
    <w:tbl>
      <w:tblPr>
        <w:tblStyle w:val="42"/>
        <w:tblW w:w="127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87"/>
        <w:gridCol w:w="1683"/>
        <w:gridCol w:w="1683"/>
        <w:gridCol w:w="1627"/>
        <w:gridCol w:w="1106"/>
        <w:gridCol w:w="969"/>
        <w:gridCol w:w="1472"/>
        <w:gridCol w:w="14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cs="宋体"/>
                <w:color w:val="0000FF"/>
                <w:spacing w:val="20"/>
                <w:highlight w:val="none"/>
              </w:rPr>
            </w:pPr>
            <w:r>
              <w:rPr>
                <w:rFonts w:hint="eastAsia" w:cs="宋体"/>
                <w:color w:val="0000FF"/>
                <w:spacing w:val="20"/>
                <w:highlight w:val="none"/>
              </w:rPr>
              <w:t>序号</w:t>
            </w:r>
          </w:p>
        </w:tc>
        <w:tc>
          <w:tcPr>
            <w:tcW w:w="188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0000FF"/>
                <w:spacing w:val="20"/>
                <w:highlight w:val="none"/>
              </w:rPr>
            </w:pPr>
            <w:r>
              <w:rPr>
                <w:rFonts w:hint="eastAsia" w:cs="宋体"/>
                <w:color w:val="0000FF"/>
                <w:spacing w:val="20"/>
                <w:highlight w:val="none"/>
              </w:rPr>
              <w:t>名   称</w:t>
            </w:r>
          </w:p>
        </w:tc>
        <w:tc>
          <w:tcPr>
            <w:tcW w:w="1683"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宋体" w:cs="宋体"/>
                <w:color w:val="0000FF"/>
                <w:spacing w:val="20"/>
                <w:highlight w:val="none"/>
                <w:lang w:val="en-US" w:eastAsia="zh-CN"/>
              </w:rPr>
            </w:pPr>
            <w:r>
              <w:rPr>
                <w:rFonts w:hint="eastAsia" w:cs="宋体"/>
                <w:color w:val="0000FF"/>
                <w:spacing w:val="20"/>
                <w:highlight w:val="none"/>
                <w:lang w:val="en-US" w:eastAsia="zh-CN"/>
              </w:rPr>
              <w:t>国产或进口</w:t>
            </w:r>
          </w:p>
        </w:tc>
        <w:tc>
          <w:tcPr>
            <w:tcW w:w="1683"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宋体" w:cs="宋体"/>
                <w:color w:val="0000FF"/>
                <w:spacing w:val="20"/>
                <w:highlight w:val="none"/>
                <w:lang w:val="en-US" w:eastAsia="zh-CN"/>
              </w:rPr>
            </w:pPr>
            <w:r>
              <w:rPr>
                <w:rFonts w:hint="eastAsia" w:cs="宋体"/>
                <w:color w:val="0000FF"/>
                <w:spacing w:val="20"/>
                <w:highlight w:val="none"/>
              </w:rPr>
              <w:t>品牌</w:t>
            </w:r>
            <w:r>
              <w:rPr>
                <w:rFonts w:hint="eastAsia" w:cs="宋体"/>
                <w:color w:val="0000FF"/>
                <w:spacing w:val="20"/>
                <w:highlight w:val="none"/>
                <w:lang w:val="en-US" w:eastAsia="zh-CN"/>
              </w:rPr>
              <w:t>/厂家/原产地</w:t>
            </w:r>
          </w:p>
        </w:tc>
        <w:tc>
          <w:tcPr>
            <w:tcW w:w="162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color w:val="0000FF"/>
                <w:spacing w:val="20"/>
                <w:highlight w:val="none"/>
              </w:rPr>
            </w:pPr>
            <w:r>
              <w:rPr>
                <w:rFonts w:hint="eastAsia" w:cs="宋体"/>
                <w:color w:val="0000FF"/>
                <w:spacing w:val="20"/>
                <w:highlight w:val="none"/>
              </w:rPr>
              <w:t>规格型号</w:t>
            </w:r>
          </w:p>
        </w:tc>
        <w:tc>
          <w:tcPr>
            <w:tcW w:w="110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eastAsia="宋体" w:cs="宋体"/>
                <w:color w:val="0000FF"/>
                <w:spacing w:val="20"/>
                <w:highlight w:val="none"/>
                <w:lang w:val="en-US" w:eastAsia="zh-CN"/>
              </w:rPr>
            </w:pPr>
            <w:r>
              <w:rPr>
                <w:rFonts w:hint="eastAsia" w:cs="宋体"/>
                <w:color w:val="0000FF"/>
                <w:spacing w:val="20"/>
                <w:highlight w:val="none"/>
                <w:lang w:val="en-US" w:eastAsia="zh-CN"/>
              </w:rPr>
              <w:t>单位及数量</w:t>
            </w:r>
          </w:p>
        </w:tc>
        <w:tc>
          <w:tcPr>
            <w:tcW w:w="969"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color w:val="0000FF"/>
                <w:spacing w:val="20"/>
                <w:highlight w:val="none"/>
              </w:rPr>
            </w:pPr>
            <w:r>
              <w:rPr>
                <w:rFonts w:hint="eastAsia" w:cs="宋体"/>
                <w:color w:val="0000FF"/>
                <w:spacing w:val="20"/>
                <w:highlight w:val="none"/>
              </w:rPr>
              <w:t>单价</w:t>
            </w:r>
          </w:p>
        </w:tc>
        <w:tc>
          <w:tcPr>
            <w:tcW w:w="1472"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hint="default" w:cs="宋体"/>
                <w:color w:val="0000FF"/>
                <w:spacing w:val="20"/>
                <w:highlight w:val="none"/>
                <w:lang w:val="en-US"/>
              </w:rPr>
            </w:pPr>
            <w:r>
              <w:rPr>
                <w:rFonts w:hint="eastAsia" w:cs="宋体"/>
                <w:color w:val="0000FF"/>
                <w:spacing w:val="20"/>
                <w:highlight w:val="none"/>
                <w:lang w:val="en-US" w:eastAsia="zh-CN"/>
              </w:rPr>
              <w:t>合计金额</w:t>
            </w:r>
          </w:p>
        </w:tc>
        <w:tc>
          <w:tcPr>
            <w:tcW w:w="1472"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hint="default" w:cs="宋体"/>
                <w:color w:val="0000FF"/>
                <w:spacing w:val="20"/>
                <w:highlight w:val="none"/>
                <w:lang w:val="en-US" w:eastAsia="zh-CN"/>
              </w:rPr>
            </w:pPr>
            <w:r>
              <w:rPr>
                <w:rFonts w:hint="eastAsia" w:cs="宋体"/>
                <w:color w:val="0000FF"/>
                <w:spacing w:val="20"/>
                <w:highlight w:val="none"/>
                <w:lang w:val="en-US" w:eastAsia="zh-CN"/>
              </w:rPr>
              <w:t>备注（是否与其他设备组成一个整体交货）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cs="宋体"/>
                <w:color w:val="0000FF"/>
                <w:spacing w:val="20"/>
                <w:highlight w:val="none"/>
              </w:rPr>
            </w:pPr>
            <w:r>
              <w:rPr>
                <w:rFonts w:hint="eastAsia" w:cs="宋体"/>
                <w:color w:val="0000FF"/>
                <w:spacing w:val="20"/>
                <w:highlight w:val="none"/>
              </w:rPr>
              <w:t>1</w:t>
            </w:r>
          </w:p>
        </w:tc>
        <w:tc>
          <w:tcPr>
            <w:tcW w:w="188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0000FF"/>
                <w:spacing w:val="20"/>
                <w:highlight w:val="none"/>
              </w:rPr>
            </w:pPr>
          </w:p>
        </w:tc>
        <w:tc>
          <w:tcPr>
            <w:tcW w:w="168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68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62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10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969"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472"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cs="宋体"/>
                <w:color w:val="0000FF"/>
                <w:spacing w:val="20"/>
                <w:highlight w:val="none"/>
              </w:rPr>
            </w:pPr>
          </w:p>
        </w:tc>
        <w:tc>
          <w:tcPr>
            <w:tcW w:w="1472"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cs="宋体"/>
                <w:color w:val="0000FF"/>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cs="宋体"/>
                <w:color w:val="0000FF"/>
                <w:spacing w:val="20"/>
                <w:highlight w:val="none"/>
              </w:rPr>
            </w:pPr>
            <w:r>
              <w:rPr>
                <w:rFonts w:hint="eastAsia" w:cs="宋体"/>
                <w:color w:val="0000FF"/>
                <w:spacing w:val="20"/>
                <w:highlight w:val="none"/>
              </w:rPr>
              <w:t>2</w:t>
            </w:r>
          </w:p>
        </w:tc>
        <w:tc>
          <w:tcPr>
            <w:tcW w:w="188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0000FF"/>
                <w:spacing w:val="20"/>
                <w:highlight w:val="none"/>
              </w:rPr>
            </w:pPr>
          </w:p>
        </w:tc>
        <w:tc>
          <w:tcPr>
            <w:tcW w:w="168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68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62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10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969"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472"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cs="宋体"/>
                <w:color w:val="0000FF"/>
                <w:spacing w:val="20"/>
                <w:highlight w:val="none"/>
              </w:rPr>
            </w:pPr>
          </w:p>
        </w:tc>
        <w:tc>
          <w:tcPr>
            <w:tcW w:w="1472"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cs="宋体"/>
                <w:color w:val="0000FF"/>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31"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cs="宋体"/>
                <w:color w:val="0000FF"/>
                <w:spacing w:val="20"/>
                <w:highlight w:val="none"/>
              </w:rPr>
            </w:pPr>
            <w:r>
              <w:rPr>
                <w:rFonts w:hint="eastAsia" w:cs="宋体"/>
                <w:color w:val="0000FF"/>
                <w:spacing w:val="20"/>
                <w:highlight w:val="none"/>
              </w:rPr>
              <w:t>3</w:t>
            </w:r>
          </w:p>
        </w:tc>
        <w:tc>
          <w:tcPr>
            <w:tcW w:w="188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0000FF"/>
                <w:spacing w:val="20"/>
                <w:highlight w:val="none"/>
              </w:rPr>
            </w:pPr>
          </w:p>
        </w:tc>
        <w:tc>
          <w:tcPr>
            <w:tcW w:w="168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68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62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10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969" w:type="dxa"/>
            <w:tcBorders>
              <w:top w:val="double" w:color="auto" w:sz="4" w:space="0"/>
              <w:left w:val="single" w:color="auto" w:sz="4" w:space="0"/>
              <w:bottom w:val="single" w:color="auto" w:sz="4" w:space="0"/>
              <w:right w:val="single" w:color="auto" w:sz="4" w:space="0"/>
            </w:tcBorders>
            <w:vAlign w:val="center"/>
          </w:tcPr>
          <w:p>
            <w:pPr>
              <w:ind w:firstLine="0" w:firstLineChars="0"/>
              <w:rPr>
                <w:rFonts w:cs="宋体"/>
                <w:color w:val="0000FF"/>
                <w:spacing w:val="20"/>
                <w:highlight w:val="none"/>
              </w:rPr>
            </w:pPr>
          </w:p>
        </w:tc>
        <w:tc>
          <w:tcPr>
            <w:tcW w:w="1472"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cs="宋体"/>
                <w:color w:val="0000FF"/>
                <w:spacing w:val="20"/>
                <w:highlight w:val="none"/>
              </w:rPr>
            </w:pPr>
          </w:p>
        </w:tc>
        <w:tc>
          <w:tcPr>
            <w:tcW w:w="1472"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cs="宋体"/>
                <w:color w:val="0000FF"/>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401" w:type="dxa"/>
            <w:gridSpan w:val="3"/>
            <w:vAlign w:val="center"/>
          </w:tcPr>
          <w:p>
            <w:pPr>
              <w:ind w:firstLine="0" w:firstLineChars="0"/>
              <w:rPr>
                <w:rFonts w:hint="eastAsia" w:cs="宋体"/>
                <w:color w:val="0000FF"/>
                <w:highlight w:val="none"/>
              </w:rPr>
            </w:pPr>
            <w:r>
              <w:rPr>
                <w:rFonts w:hint="eastAsia" w:cs="宋体"/>
                <w:color w:val="0000FF"/>
                <w:highlight w:val="none"/>
              </w:rPr>
              <w:t>投标报价</w:t>
            </w:r>
          </w:p>
        </w:tc>
        <w:tc>
          <w:tcPr>
            <w:tcW w:w="8329" w:type="dxa"/>
            <w:gridSpan w:val="6"/>
            <w:vAlign w:val="center"/>
          </w:tcPr>
          <w:p>
            <w:pPr>
              <w:ind w:firstLine="0" w:firstLineChars="0"/>
              <w:rPr>
                <w:rFonts w:cs="宋体"/>
                <w:color w:val="0000FF"/>
                <w:highlight w:val="none"/>
              </w:rPr>
            </w:pPr>
            <w:r>
              <w:rPr>
                <w:rFonts w:hint="eastAsia" w:cs="宋体"/>
                <w:color w:val="0000FF"/>
                <w:highlight w:val="none"/>
              </w:rPr>
              <w:t>大写：</w:t>
            </w:r>
          </w:p>
          <w:p>
            <w:pPr>
              <w:ind w:firstLine="0" w:firstLineChars="0"/>
              <w:rPr>
                <w:rFonts w:hint="eastAsia" w:cs="宋体"/>
                <w:color w:val="0000FF"/>
                <w:highlight w:val="none"/>
              </w:rPr>
            </w:pPr>
            <w:r>
              <w:rPr>
                <w:rFonts w:hint="eastAsia" w:cs="宋体"/>
                <w:color w:val="0000FF"/>
                <w:highlight w:val="none"/>
              </w:rPr>
              <w:t>小写：</w:t>
            </w:r>
          </w:p>
        </w:tc>
      </w:tr>
    </w:tbl>
    <w:p>
      <w:pPr>
        <w:pStyle w:val="22"/>
        <w:keepNext w:val="0"/>
        <w:keepLines w:val="0"/>
        <w:pageBreakBefore w:val="0"/>
        <w:widowControl w:val="0"/>
        <w:kinsoku/>
        <w:wordWrap/>
        <w:overflowPunct/>
        <w:topLinePunct w:val="0"/>
        <w:autoSpaceDE/>
        <w:autoSpaceDN/>
        <w:bidi w:val="0"/>
        <w:adjustRightInd/>
        <w:snapToGrid w:val="0"/>
        <w:spacing w:line="240" w:lineRule="auto"/>
        <w:textAlignment w:val="auto"/>
        <w:rPr>
          <w:rFonts w:hAnsi="宋体" w:cs="宋体"/>
          <w:color w:val="0000FF"/>
          <w:sz w:val="22"/>
          <w:szCs w:val="22"/>
          <w:highlight w:val="none"/>
        </w:rPr>
      </w:pPr>
    </w:p>
    <w:p>
      <w:pPr>
        <w:pStyle w:val="22"/>
        <w:keepNext w:val="0"/>
        <w:keepLines w:val="0"/>
        <w:pageBreakBefore w:val="0"/>
        <w:widowControl w:val="0"/>
        <w:kinsoku/>
        <w:wordWrap/>
        <w:overflowPunct/>
        <w:topLinePunct w:val="0"/>
        <w:autoSpaceDE/>
        <w:autoSpaceDN/>
        <w:bidi w:val="0"/>
        <w:adjustRightInd/>
        <w:snapToGrid w:val="0"/>
        <w:spacing w:line="240" w:lineRule="auto"/>
        <w:textAlignment w:val="auto"/>
        <w:rPr>
          <w:rFonts w:hAnsi="宋体" w:cs="宋体"/>
          <w:color w:val="0000FF"/>
          <w:sz w:val="22"/>
          <w:szCs w:val="22"/>
          <w:highlight w:val="none"/>
        </w:rPr>
      </w:pPr>
      <w:r>
        <w:rPr>
          <w:rFonts w:hint="eastAsia" w:hAnsi="宋体" w:cs="宋体"/>
          <w:color w:val="0000FF"/>
          <w:sz w:val="22"/>
          <w:szCs w:val="22"/>
          <w:highlight w:val="none"/>
        </w:rPr>
        <w:t>注：投标人应在投标报价明细表中列明各货物的“品牌/厂家/原产地”、“规格型号”等规定的内容。合同供货货物必须与投标报价明细表列明的货物一致。投标报价明细表中，若多个投标设备是组合成一个整体交货的，则投标人应在《投标报价明细表》的备注栏中注明（列如：设备A 和B 是组合成一个整体交货的，则A 的备注栏中应注明“与B 组合成一个整体交货”，B 的备注栏中应注明“与A 组合成一个整体交货”）。</w:t>
      </w:r>
    </w:p>
    <w:p>
      <w:pPr>
        <w:ind w:firstLine="480"/>
        <w:rPr>
          <w:rFonts w:hint="eastAsia"/>
          <w:color w:val="0000FF"/>
          <w:highlight w:val="none"/>
        </w:rPr>
      </w:pPr>
    </w:p>
    <w:p>
      <w:pPr>
        <w:ind w:firstLine="480"/>
        <w:rPr>
          <w:color w:val="0000FF"/>
          <w:highlight w:val="none"/>
        </w:rPr>
      </w:pPr>
      <w:r>
        <w:rPr>
          <w:rFonts w:hint="eastAsia"/>
          <w:color w:val="0000FF"/>
          <w:highlight w:val="none"/>
        </w:rPr>
        <w:t>投标人名称（公章）：</w:t>
      </w:r>
    </w:p>
    <w:p>
      <w:pPr>
        <w:ind w:firstLine="480"/>
        <w:rPr>
          <w:color w:val="0000FF"/>
          <w:lang w:val="zh-CN"/>
        </w:rPr>
      </w:pPr>
      <w:r>
        <w:rPr>
          <w:rFonts w:hint="eastAsia"/>
          <w:color w:val="0000FF"/>
          <w:highlight w:val="none"/>
        </w:rPr>
        <w:t xml:space="preserve">日期：  年   月   </w:t>
      </w:r>
      <w:r>
        <w:rPr>
          <w:rFonts w:hint="eastAsia"/>
          <w:color w:val="0000FF"/>
          <w:highlight w:val="none"/>
          <w:lang w:val="en-US" w:eastAsia="zh-CN"/>
        </w:rPr>
        <w:t>日</w:t>
      </w:r>
    </w:p>
    <w:p>
      <w:pPr>
        <w:ind w:firstLine="480"/>
        <w:rPr>
          <w:rFonts w:hint="eastAsia" w:ascii="宋体" w:hAnsi="宋体" w:eastAsia="宋体" w:cs="宋体"/>
          <w:color w:val="auto"/>
          <w:highlight w:val="none"/>
        </w:rPr>
        <w:sectPr>
          <w:footerReference r:id="rId18" w:type="default"/>
          <w:pgSz w:w="16838" w:h="11906" w:orient="landscape"/>
          <w:pgMar w:top="1080" w:right="1440" w:bottom="1080" w:left="1440" w:header="851" w:footer="992" w:gutter="0"/>
          <w:pgBorders>
            <w:top w:val="none" w:sz="0" w:space="0"/>
            <w:left w:val="none" w:sz="0" w:space="0"/>
            <w:bottom w:val="none" w:sz="0" w:space="0"/>
            <w:right w:val="none" w:sz="0" w:space="0"/>
          </w:pgBorders>
          <w:cols w:space="720" w:num="1"/>
          <w:docGrid w:linePitch="312" w:charSpace="0"/>
        </w:sectPr>
      </w:pPr>
    </w:p>
    <w:p>
      <w:pPr>
        <w:pStyle w:val="8"/>
        <w:numPr>
          <w:ilvl w:val="0"/>
          <w:numId w:val="48"/>
        </w:numPr>
        <w:bidi w:val="0"/>
        <w:rPr>
          <w:rFonts w:hint="eastAsia"/>
          <w:color w:val="auto"/>
          <w:highlight w:val="none"/>
        </w:rPr>
      </w:pPr>
      <w:bookmarkStart w:id="198" w:name="_Toc21349"/>
      <w:r>
        <w:rPr>
          <w:rFonts w:hint="eastAsia"/>
          <w:color w:val="auto"/>
          <w:highlight w:val="none"/>
        </w:rPr>
        <w:t>《中小企业声明函》、监狱企业资格证明材料、《残疾人福利性单位声明函》（如果有）</w:t>
      </w:r>
      <w:bookmarkEnd w:id="198"/>
    </w:p>
    <w:p>
      <w:pPr>
        <w:ind w:firstLine="480"/>
        <w:rPr>
          <w:rFonts w:hint="eastAsia" w:ascii="宋体" w:hAnsi="宋体" w:eastAsia="宋体" w:cs="宋体"/>
          <w:color w:val="auto"/>
          <w:highlight w:val="none"/>
        </w:rPr>
      </w:pPr>
    </w:p>
    <w:p>
      <w:pPr>
        <w:bidi w:val="0"/>
        <w:ind w:left="0" w:leftChars="0" w:right="0" w:rightChars="0" w:firstLine="0" w:firstLineChars="0"/>
        <w:jc w:val="center"/>
        <w:rPr>
          <w:rFonts w:hint="eastAsia"/>
          <w:b/>
          <w:bCs/>
          <w:color w:val="auto"/>
          <w:sz w:val="32"/>
          <w:szCs w:val="32"/>
          <w:highlight w:val="none"/>
          <w:lang w:val="en-US" w:eastAsia="zh-CN"/>
        </w:rPr>
      </w:pPr>
      <w:bookmarkStart w:id="199" w:name="_Toc20051"/>
      <w:r>
        <w:rPr>
          <w:rFonts w:hint="eastAsia"/>
          <w:b/>
          <w:bCs/>
          <w:color w:val="auto"/>
          <w:sz w:val="32"/>
          <w:szCs w:val="32"/>
          <w:highlight w:val="none"/>
          <w:lang w:val="en-US" w:eastAsia="zh-CN"/>
        </w:rPr>
        <w:t>中小企业声明函</w:t>
      </w:r>
      <w:bookmarkEnd w:id="199"/>
    </w:p>
    <w:p>
      <w:pPr>
        <w:pStyle w:val="31"/>
        <w:spacing w:line="360" w:lineRule="auto"/>
        <w:ind w:left="169" w:hanging="169" w:hangingChars="74"/>
        <w:jc w:val="center"/>
        <w:rPr>
          <w:rFonts w:hint="eastAsia" w:ascii="宋体" w:hAnsi="宋体" w:eastAsia="宋体" w:cs="宋体"/>
          <w:b/>
          <w:color w:val="auto"/>
          <w:spacing w:val="-6"/>
          <w:szCs w:val="2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 号）的规定，本公司参加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w:t>
      </w:r>
      <w:r>
        <w:rPr>
          <w:rFonts w:hint="eastAsia" w:ascii="宋体" w:hAnsi="宋体"/>
          <w:color w:val="auto"/>
          <w:highlight w:val="none"/>
        </w:rPr>
        <w:t>提供的货物全部由符合政策要求的中小企业制造。</w:t>
      </w:r>
      <w:r>
        <w:rPr>
          <w:rFonts w:hint="eastAsia" w:ascii="宋体" w:hAnsi="宋体" w:eastAsia="宋体" w:cs="宋体"/>
          <w:color w:val="auto"/>
          <w:highlight w:val="none"/>
        </w:rPr>
        <w:t xml:space="preserve">相关企业的具体情况如下：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i/>
          <w:iCs/>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万元，属于（中型企业、 小型企业、微型企业）；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i/>
          <w:iCs/>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万元，属于（中型企业、 小型企业、微型企业）； </w:t>
      </w:r>
    </w:p>
    <w:p>
      <w:pPr>
        <w:pStyle w:val="3"/>
        <w:rPr>
          <w:rFonts w:hint="eastAsia"/>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以上企业，不属于大企业的分支机构，不存在控股股东为大企业的情形，也不存在与大企业的负责人为同一人的情形。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4"/>
        <w:rPr>
          <w:rFonts w:hint="eastAsia" w:ascii="宋体" w:hAnsi="宋体" w:eastAsia="宋体" w:cs="宋体"/>
          <w:color w:val="auto"/>
          <w:highlight w:val="none"/>
        </w:rPr>
      </w:pPr>
    </w:p>
    <w:p>
      <w:pPr>
        <w:bidi w:val="0"/>
        <w:rPr>
          <w:rFonts w:hint="eastAsia"/>
          <w:color w:val="auto"/>
          <w:highlight w:val="none"/>
        </w:rPr>
      </w:pPr>
    </w:p>
    <w:p>
      <w:pPr>
        <w:bidi w:val="0"/>
        <w:rPr>
          <w:rFonts w:hint="eastAsia"/>
          <w:color w:val="auto"/>
          <w:highlight w:val="none"/>
        </w:rPr>
      </w:pPr>
      <w:r>
        <w:rPr>
          <w:rFonts w:hint="eastAsia"/>
          <w:color w:val="auto"/>
          <w:highlight w:val="none"/>
        </w:rPr>
        <w:t xml:space="preserve">企业名称（盖章）：                                 </w:t>
      </w:r>
    </w:p>
    <w:p>
      <w:pPr>
        <w:bidi w:val="0"/>
        <w:rPr>
          <w:rFonts w:hint="eastAsia"/>
          <w:color w:val="auto"/>
          <w:highlight w:val="none"/>
        </w:rPr>
      </w:pPr>
      <w:r>
        <w:rPr>
          <w:rFonts w:hint="eastAsia"/>
          <w:color w:val="auto"/>
          <w:highlight w:val="none"/>
        </w:rPr>
        <w:t xml:space="preserve">日期：     年     月   日 </w:t>
      </w:r>
    </w:p>
    <w:p>
      <w:pPr>
        <w:bidi w:val="0"/>
        <w:rPr>
          <w:rFonts w:hint="eastAsia"/>
          <w:b/>
          <w:bCs/>
          <w:color w:val="auto"/>
          <w:highlight w:val="none"/>
        </w:rPr>
      </w:pPr>
    </w:p>
    <w:p>
      <w:pPr>
        <w:bidi w:val="0"/>
        <w:rPr>
          <w:rFonts w:hint="eastAsia"/>
          <w:b/>
          <w:bCs/>
          <w:color w:val="auto"/>
          <w:highlight w:val="none"/>
        </w:rPr>
      </w:pPr>
      <w:r>
        <w:rPr>
          <w:rFonts w:hint="eastAsia"/>
          <w:b/>
          <w:bCs/>
          <w:color w:val="auto"/>
          <w:highlight w:val="none"/>
        </w:rPr>
        <w:t>说明：</w:t>
      </w:r>
    </w:p>
    <w:p>
      <w:pPr>
        <w:bidi w:val="0"/>
        <w:rPr>
          <w:rFonts w:hint="eastAsia"/>
          <w:b/>
          <w:bCs/>
          <w:color w:val="auto"/>
          <w:highlight w:val="none"/>
        </w:rPr>
      </w:pPr>
      <w:r>
        <w:rPr>
          <w:rFonts w:hint="eastAsia"/>
          <w:b/>
          <w:bCs/>
          <w:color w:val="auto"/>
          <w:highlight w:val="none"/>
        </w:rPr>
        <w:t>1.从业人员、营业收入、资产总额填报上一年度数据，无上一年度数据的新成立企业可不填报，数据未填写的视为未提供《中小企业声明函》；</w:t>
      </w:r>
    </w:p>
    <w:p>
      <w:pPr>
        <w:bidi w:val="0"/>
        <w:rPr>
          <w:rFonts w:hint="eastAsia"/>
          <w:b/>
          <w:bCs/>
          <w:color w:val="auto"/>
          <w:highlight w:val="none"/>
        </w:rPr>
      </w:pPr>
      <w:r>
        <w:rPr>
          <w:rFonts w:hint="eastAsia"/>
          <w:b/>
          <w:bCs/>
          <w:color w:val="auto"/>
          <w:highlight w:val="none"/>
        </w:rPr>
        <w:t>2.中标人为中小企业的，《中小企业声明函》随中标结果同时公告。</w:t>
      </w:r>
    </w:p>
    <w:p>
      <w:pPr>
        <w:ind w:firstLine="480"/>
        <w:rPr>
          <w:rFonts w:hint="eastAsia" w:ascii="宋体" w:hAnsi="宋体" w:eastAsia="宋体" w:cs="宋体"/>
          <w:color w:val="auto"/>
          <w:highlight w:val="none"/>
        </w:rPr>
      </w:pPr>
    </w:p>
    <w:p>
      <w:pPr>
        <w:ind w:firstLine="480"/>
        <w:jc w:val="center"/>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tbl>
      <w:tblPr>
        <w:tblStyle w:val="42"/>
        <w:tblW w:w="13666" w:type="dxa"/>
        <w:jc w:val="center"/>
        <w:tblLayout w:type="fixed"/>
        <w:tblCellMar>
          <w:top w:w="0" w:type="dxa"/>
          <w:left w:w="108" w:type="dxa"/>
          <w:bottom w:w="0" w:type="dxa"/>
          <w:right w:w="108" w:type="dxa"/>
        </w:tblCellMar>
      </w:tblPr>
      <w:tblGrid>
        <w:gridCol w:w="2118"/>
        <w:gridCol w:w="1246"/>
        <w:gridCol w:w="1495"/>
        <w:gridCol w:w="1470"/>
        <w:gridCol w:w="1101"/>
        <w:gridCol w:w="1501"/>
        <w:gridCol w:w="1498"/>
        <w:gridCol w:w="1164"/>
        <w:gridCol w:w="1017"/>
        <w:gridCol w:w="1056"/>
      </w:tblGrid>
      <w:tr>
        <w:tblPrEx>
          <w:tblCellMar>
            <w:top w:w="0" w:type="dxa"/>
            <w:left w:w="108" w:type="dxa"/>
            <w:bottom w:w="0" w:type="dxa"/>
            <w:right w:w="108" w:type="dxa"/>
          </w:tblCellMar>
        </w:tblPrEx>
        <w:trPr>
          <w:trHeight w:val="420" w:hRule="atLeast"/>
          <w:jc w:val="center"/>
        </w:trPr>
        <w:tc>
          <w:tcPr>
            <w:tcW w:w="13666" w:type="dxa"/>
            <w:gridSpan w:val="10"/>
            <w:tcBorders>
              <w:top w:val="nil"/>
              <w:left w:val="nil"/>
              <w:bottom w:val="nil"/>
              <w:right w:val="nil"/>
            </w:tcBorders>
            <w:vAlign w:val="bottom"/>
          </w:tcPr>
          <w:p>
            <w:pPr>
              <w:ind w:firstLine="0" w:firstLineChars="0"/>
              <w:jc w:val="center"/>
              <w:rPr>
                <w:rFonts w:hint="eastAsia" w:ascii="宋体" w:hAnsi="宋体" w:eastAsia="宋体" w:cs="宋体"/>
                <w:b/>
                <w:bCs/>
                <w:color w:val="auto"/>
                <w:sz w:val="16"/>
                <w:szCs w:val="16"/>
                <w:highlight w:val="none"/>
              </w:rPr>
            </w:pPr>
            <w:r>
              <w:rPr>
                <w:rFonts w:hint="eastAsia" w:ascii="宋体" w:hAnsi="宋体" w:eastAsia="宋体" w:cs="宋体"/>
                <w:b/>
                <w:bCs/>
                <w:color w:val="auto"/>
                <w:sz w:val="21"/>
                <w:szCs w:val="21"/>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2118" w:type="dxa"/>
            <w:vMerge w:val="restart"/>
            <w:tcBorders>
              <w:top w:val="single" w:color="auto" w:sz="8" w:space="0"/>
              <w:left w:val="single" w:color="auto" w:sz="8" w:space="0"/>
              <w:bottom w:val="single" w:color="000000" w:sz="4" w:space="0"/>
              <w:right w:val="single" w:color="auto" w:sz="8" w:space="0"/>
            </w:tcBorders>
            <w:vAlign w:val="center"/>
          </w:tcPr>
          <w:p>
            <w:pPr>
              <w:ind w:firstLine="0" w:firstLineChars="0"/>
              <w:jc w:val="center"/>
              <w:rPr>
                <w:rFonts w:hint="eastAsia" w:ascii="宋体" w:hAnsi="宋体" w:eastAsia="宋体" w:cs="宋体"/>
                <w:b/>
                <w:bCs/>
                <w:color w:val="auto"/>
                <w:sz w:val="16"/>
                <w:szCs w:val="16"/>
                <w:highlight w:val="none"/>
              </w:rPr>
            </w:pPr>
            <w:r>
              <w:rPr>
                <w:rFonts w:hint="eastAsia" w:ascii="宋体" w:hAnsi="宋体" w:eastAsia="宋体" w:cs="宋体"/>
                <w:b/>
                <w:bCs/>
                <w:color w:val="auto"/>
                <w:sz w:val="16"/>
                <w:szCs w:val="16"/>
                <w:highlight w:val="none"/>
              </w:rPr>
              <w:t>行业</w:t>
            </w:r>
          </w:p>
        </w:tc>
        <w:tc>
          <w:tcPr>
            <w:tcW w:w="4211" w:type="dxa"/>
            <w:gridSpan w:val="3"/>
            <w:tcBorders>
              <w:top w:val="single" w:color="auto" w:sz="8" w:space="0"/>
              <w:left w:val="nil"/>
              <w:bottom w:val="single" w:color="auto" w:sz="4" w:space="0"/>
              <w:right w:val="single" w:color="000000" w:sz="8" w:space="0"/>
            </w:tcBorders>
            <w:vAlign w:val="bottom"/>
          </w:tcPr>
          <w:p>
            <w:pPr>
              <w:ind w:firstLine="0" w:firstLineChars="0"/>
              <w:jc w:val="center"/>
              <w:rPr>
                <w:rFonts w:hint="eastAsia" w:ascii="宋体" w:hAnsi="宋体" w:eastAsia="宋体" w:cs="宋体"/>
                <w:b/>
                <w:bCs/>
                <w:color w:val="auto"/>
                <w:sz w:val="16"/>
                <w:szCs w:val="16"/>
                <w:highlight w:val="none"/>
              </w:rPr>
            </w:pPr>
            <w:r>
              <w:rPr>
                <w:rFonts w:hint="eastAsia" w:ascii="宋体" w:hAnsi="宋体" w:eastAsia="宋体" w:cs="宋体"/>
                <w:b/>
                <w:bCs/>
                <w:color w:val="auto"/>
                <w:sz w:val="16"/>
                <w:szCs w:val="16"/>
                <w:highlight w:val="none"/>
              </w:rPr>
              <w:t>中型企业</w:t>
            </w:r>
          </w:p>
        </w:tc>
        <w:tc>
          <w:tcPr>
            <w:tcW w:w="4100" w:type="dxa"/>
            <w:gridSpan w:val="3"/>
            <w:tcBorders>
              <w:top w:val="single" w:color="auto" w:sz="8" w:space="0"/>
              <w:left w:val="nil"/>
              <w:bottom w:val="single" w:color="auto" w:sz="4" w:space="0"/>
              <w:right w:val="single" w:color="000000" w:sz="8" w:space="0"/>
            </w:tcBorders>
            <w:vAlign w:val="bottom"/>
          </w:tcPr>
          <w:p>
            <w:pPr>
              <w:ind w:firstLine="0" w:firstLineChars="0"/>
              <w:jc w:val="center"/>
              <w:rPr>
                <w:rFonts w:hint="eastAsia" w:ascii="宋体" w:hAnsi="宋体" w:eastAsia="宋体" w:cs="宋体"/>
                <w:b/>
                <w:bCs/>
                <w:color w:val="auto"/>
                <w:sz w:val="16"/>
                <w:szCs w:val="16"/>
                <w:highlight w:val="none"/>
              </w:rPr>
            </w:pPr>
            <w:r>
              <w:rPr>
                <w:rFonts w:hint="eastAsia" w:ascii="宋体" w:hAnsi="宋体" w:eastAsia="宋体" w:cs="宋体"/>
                <w:b/>
                <w:bCs/>
                <w:color w:val="auto"/>
                <w:sz w:val="16"/>
                <w:szCs w:val="16"/>
                <w:highlight w:val="none"/>
              </w:rPr>
              <w:t>小型企业</w:t>
            </w:r>
          </w:p>
        </w:tc>
        <w:tc>
          <w:tcPr>
            <w:tcW w:w="3237" w:type="dxa"/>
            <w:gridSpan w:val="3"/>
            <w:tcBorders>
              <w:top w:val="single" w:color="auto" w:sz="8" w:space="0"/>
              <w:left w:val="nil"/>
              <w:bottom w:val="single" w:color="auto" w:sz="4" w:space="0"/>
              <w:right w:val="single" w:color="000000" w:sz="8" w:space="0"/>
            </w:tcBorders>
            <w:vAlign w:val="bottom"/>
          </w:tcPr>
          <w:p>
            <w:pPr>
              <w:ind w:firstLine="0" w:firstLineChars="0"/>
              <w:jc w:val="center"/>
              <w:rPr>
                <w:rFonts w:hint="eastAsia" w:ascii="宋体" w:hAnsi="宋体" w:eastAsia="宋体" w:cs="宋体"/>
                <w:b/>
                <w:bCs/>
                <w:color w:val="auto"/>
                <w:sz w:val="16"/>
                <w:szCs w:val="16"/>
                <w:highlight w:val="none"/>
              </w:rPr>
            </w:pPr>
            <w:r>
              <w:rPr>
                <w:rFonts w:hint="eastAsia" w:ascii="宋体" w:hAnsi="宋体" w:eastAsia="宋体" w:cs="宋体"/>
                <w:b/>
                <w:bCs/>
                <w:color w:val="auto"/>
                <w:sz w:val="16"/>
                <w:szCs w:val="16"/>
                <w:highlight w:val="none"/>
              </w:rPr>
              <w:t>微型企业</w:t>
            </w:r>
          </w:p>
        </w:tc>
      </w:tr>
      <w:tr>
        <w:tblPrEx>
          <w:tblCellMar>
            <w:top w:w="0" w:type="dxa"/>
            <w:left w:w="108" w:type="dxa"/>
            <w:bottom w:w="0" w:type="dxa"/>
            <w:right w:w="108" w:type="dxa"/>
          </w:tblCellMar>
        </w:tblPrEx>
        <w:trPr>
          <w:trHeight w:val="566" w:hRule="atLeast"/>
          <w:jc w:val="center"/>
        </w:trPr>
        <w:tc>
          <w:tcPr>
            <w:tcW w:w="2118" w:type="dxa"/>
            <w:vMerge w:val="continue"/>
            <w:tcBorders>
              <w:top w:val="single" w:color="auto" w:sz="8" w:space="0"/>
              <w:left w:val="single" w:color="auto" w:sz="8" w:space="0"/>
              <w:bottom w:val="single" w:color="000000" w:sz="4" w:space="0"/>
              <w:right w:val="single" w:color="auto" w:sz="8" w:space="0"/>
            </w:tcBorders>
            <w:vAlign w:val="center"/>
          </w:tcPr>
          <w:p>
            <w:pPr>
              <w:ind w:firstLine="0" w:firstLineChars="0"/>
              <w:rPr>
                <w:rFonts w:hint="eastAsia" w:ascii="宋体" w:hAnsi="宋体" w:eastAsia="宋体" w:cs="宋体"/>
                <w:b/>
                <w:bCs/>
                <w:color w:val="auto"/>
                <w:sz w:val="16"/>
                <w:szCs w:val="16"/>
                <w:highlight w:val="none"/>
              </w:rPr>
            </w:pP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从业人员X（人）</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营业收入Y</w:t>
            </w:r>
          </w:p>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（万元）</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资产总额Z</w:t>
            </w:r>
          </w:p>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（万元）</w:t>
            </w: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从业人员X（人）</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营业收入Y</w:t>
            </w:r>
          </w:p>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（万元）</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资产总额Z</w:t>
            </w:r>
          </w:p>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（万元）</w:t>
            </w: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从业人员X（人）</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营业收入Y（万元）</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1、农林牧渔业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500≤Y＜20000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50≤Y＜500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Y＜50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2、工业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300≤X＜1000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2000≤Y＜40000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20≤X＜300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300≤Y＜2000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X＜20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Y＜300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3、建筑业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6000≤Y＜80000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5000≤Z＜80000</w:t>
            </w: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300≤Y＜6000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300≤Z＜5000</w:t>
            </w: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Y＜300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Z＜300</w:t>
            </w: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4、批发业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20≤X＜200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5000≤Y＜40000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5≤X＜20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1000≤Y＜5000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X＜5</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Y＜1000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5、零售业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50≤X＜300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500≤Y＜20000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10≤X＜50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100≤Y＜500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Y＜100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6、交通运输业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300≤X＜1000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3000≤Y＜30000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20≤X＜300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200≤Y＜3000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X＜20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V＜200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7、仓储业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100≤X＜200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1000≤Y＜30000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20≤X＜100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100≤Y＜1000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X＜20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Y＜100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8、邮政业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300≤X＜1000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2000≤Y＜30000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20≤X＜300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100≤Y＜2000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X＜20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Y＜100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9、住宿业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100≤X＜300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2000≤Y＜10000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10≤X＜100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100≤Y＜2000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Y＜100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10、餐饮业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100≤X＜300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2000≤Y＜10000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10≤X＜100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100≤Y＜2000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V＜100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11、信息传输业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100≤X＜2000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1000≤Y＜100000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10≤X＜100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100≤Y＜1000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Y＜100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12、软件和信息技术服务业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100≤X＜300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1000≤Y＜10000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10≤X＜100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50≤Y＜1000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Y＜50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13、房地产开发经营</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1000≤Y＜200000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5000≤Z＜10000</w:t>
            </w: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100≤Y＜1000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2000≤Z＜5000</w:t>
            </w: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Y＜100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Z＜2000</w:t>
            </w: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14、物业管理</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300≤X＜1000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1000≤Y＜5000</w:t>
            </w: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100≤X＜300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500≤Y＜1000</w:t>
            </w: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Y＜500</w:t>
            </w: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15、租赁和商务服务业</w:t>
            </w:r>
          </w:p>
        </w:tc>
        <w:tc>
          <w:tcPr>
            <w:tcW w:w="1246"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100≤X＜300</w:t>
            </w:r>
          </w:p>
        </w:tc>
        <w:tc>
          <w:tcPr>
            <w:tcW w:w="1495"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470"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8000≤Z＜120000</w:t>
            </w:r>
          </w:p>
        </w:tc>
        <w:tc>
          <w:tcPr>
            <w:tcW w:w="11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10≤X＜100</w:t>
            </w:r>
          </w:p>
        </w:tc>
        <w:tc>
          <w:tcPr>
            <w:tcW w:w="1501"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498"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100≤Z＜8000</w:t>
            </w:r>
          </w:p>
        </w:tc>
        <w:tc>
          <w:tcPr>
            <w:tcW w:w="1164"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w:t>
            </w:r>
          </w:p>
        </w:tc>
        <w:tc>
          <w:tcPr>
            <w:tcW w:w="1017" w:type="dxa"/>
            <w:tcBorders>
              <w:top w:val="nil"/>
              <w:left w:val="nil"/>
              <w:bottom w:val="single" w:color="auto" w:sz="4"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056" w:type="dxa"/>
            <w:tcBorders>
              <w:top w:val="nil"/>
              <w:left w:val="nil"/>
              <w:bottom w:val="single" w:color="auto" w:sz="4"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Z＜100</w:t>
            </w: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8" w:space="0"/>
              <w:right w:val="single" w:color="auto" w:sz="8" w:space="0"/>
            </w:tcBorders>
            <w:vAlign w:val="bottom"/>
          </w:tcPr>
          <w:p>
            <w:pPr>
              <w:ind w:left="0" w:leftChars="0" w:right="0" w:rightChars="0" w:firstLine="0" w:firstLineChars="0"/>
              <w:jc w:val="lef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16、其他未列明行业</w:t>
            </w:r>
          </w:p>
        </w:tc>
        <w:tc>
          <w:tcPr>
            <w:tcW w:w="1246" w:type="dxa"/>
            <w:tcBorders>
              <w:top w:val="nil"/>
              <w:left w:val="nil"/>
              <w:bottom w:val="single" w:color="auto" w:sz="8"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100≤X＜300</w:t>
            </w:r>
          </w:p>
        </w:tc>
        <w:tc>
          <w:tcPr>
            <w:tcW w:w="1495" w:type="dxa"/>
            <w:tcBorders>
              <w:top w:val="nil"/>
              <w:left w:val="nil"/>
              <w:bottom w:val="single" w:color="auto" w:sz="8"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470" w:type="dxa"/>
            <w:tcBorders>
              <w:top w:val="nil"/>
              <w:left w:val="nil"/>
              <w:bottom w:val="single" w:color="auto" w:sz="8"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01" w:type="dxa"/>
            <w:tcBorders>
              <w:top w:val="nil"/>
              <w:left w:val="nil"/>
              <w:bottom w:val="single" w:color="auto" w:sz="8"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10≤X＜100</w:t>
            </w:r>
          </w:p>
        </w:tc>
        <w:tc>
          <w:tcPr>
            <w:tcW w:w="1501" w:type="dxa"/>
            <w:tcBorders>
              <w:top w:val="nil"/>
              <w:left w:val="nil"/>
              <w:bottom w:val="single" w:color="auto" w:sz="8"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498" w:type="dxa"/>
            <w:tcBorders>
              <w:top w:val="nil"/>
              <w:left w:val="nil"/>
              <w:bottom w:val="single" w:color="auto" w:sz="8"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164" w:type="dxa"/>
            <w:tcBorders>
              <w:top w:val="nil"/>
              <w:left w:val="nil"/>
              <w:bottom w:val="single" w:color="auto" w:sz="8"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X＜10</w:t>
            </w:r>
          </w:p>
        </w:tc>
        <w:tc>
          <w:tcPr>
            <w:tcW w:w="1017" w:type="dxa"/>
            <w:tcBorders>
              <w:top w:val="nil"/>
              <w:left w:val="nil"/>
              <w:bottom w:val="single" w:color="auto" w:sz="8" w:space="0"/>
              <w:right w:val="single" w:color="auto" w:sz="4"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c>
          <w:tcPr>
            <w:tcW w:w="1056" w:type="dxa"/>
            <w:tcBorders>
              <w:top w:val="nil"/>
              <w:left w:val="nil"/>
              <w:bottom w:val="single" w:color="auto" w:sz="8" w:space="0"/>
              <w:right w:val="single" w:color="auto" w:sz="8" w:space="0"/>
            </w:tcBorders>
            <w:vAlign w:val="bottom"/>
          </w:tcPr>
          <w:p>
            <w:pPr>
              <w:ind w:left="0" w:leftChars="0" w:right="0" w:rightChars="0" w:firstLine="0" w:firstLineChars="0"/>
              <w:jc w:val="center"/>
              <w:rPr>
                <w:rFonts w:hint="eastAsia" w:ascii="宋体" w:hAnsi="宋体" w:eastAsia="宋体" w:cs="宋体"/>
                <w:color w:val="auto"/>
                <w:sz w:val="16"/>
                <w:szCs w:val="16"/>
                <w:highlight w:val="none"/>
              </w:rPr>
            </w:pPr>
          </w:p>
        </w:tc>
      </w:tr>
      <w:tr>
        <w:tblPrEx>
          <w:tblCellMar>
            <w:top w:w="0" w:type="dxa"/>
            <w:left w:w="108" w:type="dxa"/>
            <w:bottom w:w="0" w:type="dxa"/>
            <w:right w:w="108" w:type="dxa"/>
          </w:tblCellMar>
        </w:tblPrEx>
        <w:trPr>
          <w:trHeight w:val="285" w:hRule="atLeast"/>
          <w:jc w:val="center"/>
        </w:trPr>
        <w:tc>
          <w:tcPr>
            <w:tcW w:w="13666" w:type="dxa"/>
            <w:gridSpan w:val="10"/>
            <w:tcBorders>
              <w:top w:val="nil"/>
              <w:left w:val="nil"/>
              <w:bottom w:val="nil"/>
              <w:right w:val="nil"/>
            </w:tcBorders>
            <w:vAlign w:val="bottom"/>
          </w:tcPr>
          <w:p>
            <w:pPr>
              <w:ind w:firstLine="0" w:firstLineChars="0"/>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说明</w:t>
            </w:r>
            <w:r>
              <w:rPr>
                <w:rFonts w:hint="eastAsia" w:cs="宋体"/>
                <w:color w:val="auto"/>
                <w:sz w:val="16"/>
                <w:szCs w:val="16"/>
                <w:highlight w:val="none"/>
                <w:lang w:eastAsia="zh-CN"/>
              </w:rPr>
              <w:t>：</w:t>
            </w:r>
            <w:r>
              <w:rPr>
                <w:rFonts w:hint="eastAsia" w:ascii="宋体" w:hAnsi="宋体" w:eastAsia="宋体" w:cs="宋体"/>
                <w:color w:val="auto"/>
                <w:sz w:val="16"/>
                <w:szCs w:val="16"/>
                <w:highlight w:val="none"/>
              </w:rPr>
              <w:t>1、企业类型的划分以统计部门的统计数据为依据。</w:t>
            </w:r>
          </w:p>
          <w:p>
            <w:pPr>
              <w:numPr>
                <w:ilvl w:val="0"/>
                <w:numId w:val="49"/>
              </w:numPr>
              <w:ind w:firstLine="0" w:firstLineChars="0"/>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个体工商户和本规定以外的行业，参照本规定进行划型。</w:t>
            </w:r>
          </w:p>
          <w:p>
            <w:pPr>
              <w:numPr>
                <w:ilvl w:val="0"/>
                <w:numId w:val="49"/>
              </w:numPr>
              <w:ind w:firstLine="0" w:firstLineChars="0"/>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本规定的中型企业标准上限即为大型企业标准的下限。</w:t>
            </w:r>
          </w:p>
        </w:tc>
      </w:tr>
    </w:tbl>
    <w:p>
      <w:pPr>
        <w:ind w:firstLine="480"/>
        <w:rPr>
          <w:rFonts w:hint="eastAsia" w:ascii="宋体" w:hAnsi="宋体" w:eastAsia="宋体" w:cs="宋体"/>
          <w:color w:val="auto"/>
          <w:highlight w:val="none"/>
        </w:rPr>
        <w:sectPr>
          <w:footerReference r:id="rId19" w:type="default"/>
          <w:pgSz w:w="16840" w:h="11907" w:orient="landscape"/>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8"/>
        <w:numPr>
          <w:ilvl w:val="0"/>
          <w:numId w:val="48"/>
        </w:numPr>
        <w:bidi w:val="0"/>
        <w:rPr>
          <w:rFonts w:hint="eastAsia"/>
          <w:color w:val="auto"/>
          <w:highlight w:val="none"/>
        </w:rPr>
      </w:pPr>
      <w:bookmarkStart w:id="200" w:name="_Toc20429"/>
      <w:r>
        <w:rPr>
          <w:rFonts w:hint="eastAsia"/>
          <w:color w:val="auto"/>
          <w:highlight w:val="none"/>
        </w:rPr>
        <w:t>监狱企业资格证明材料</w:t>
      </w:r>
      <w:bookmarkEnd w:id="20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8"/>
        <w:numPr>
          <w:ilvl w:val="0"/>
          <w:numId w:val="48"/>
        </w:numPr>
        <w:bidi w:val="0"/>
        <w:rPr>
          <w:rFonts w:hint="eastAsia"/>
          <w:color w:val="auto"/>
          <w:highlight w:val="none"/>
        </w:rPr>
      </w:pPr>
      <w:bookmarkStart w:id="201" w:name="_Toc2499"/>
      <w:r>
        <w:rPr>
          <w:rFonts w:hint="eastAsia"/>
          <w:color w:val="auto"/>
          <w:highlight w:val="none"/>
        </w:rPr>
        <w:t>残疾人福利性单位声明函</w:t>
      </w:r>
      <w:bookmarkEnd w:id="201"/>
    </w:p>
    <w:p>
      <w:pPr>
        <w:ind w:firstLine="506"/>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（非残疾人福利性单位可不提供）</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中国计量大学</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spacing w:line="288" w:lineRule="auto"/>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spacing w:line="288" w:lineRule="auto"/>
        <w:ind w:firstLine="456"/>
        <w:rPr>
          <w:rFonts w:hint="eastAsia" w:ascii="宋体" w:hAnsi="宋体" w:eastAsia="宋体" w:cs="宋体"/>
          <w:color w:val="auto"/>
          <w:spacing w:val="-6"/>
          <w:highlight w:val="none"/>
        </w:rPr>
      </w:pPr>
    </w:p>
    <w:p>
      <w:pPr>
        <w:spacing w:line="288" w:lineRule="auto"/>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spacing w:line="288" w:lineRule="auto"/>
        <w:ind w:firstLine="480"/>
        <w:jc w:val="left"/>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pPr>
        <w:spacing w:line="288" w:lineRule="auto"/>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7"/>
        <w:bidi w:val="0"/>
        <w:rPr>
          <w:rFonts w:hint="eastAsia" w:ascii="宋体" w:hAnsi="宋体" w:eastAsia="宋体" w:cs="宋体"/>
          <w:color w:val="auto"/>
          <w:highlight w:val="none"/>
        </w:rPr>
      </w:pPr>
      <w:bookmarkStart w:id="202" w:name="_Toc8480"/>
      <w:bookmarkStart w:id="203" w:name="_Toc9524"/>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3"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6233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CbRX8LAgAANgQAAA4AAABkcnMvZTJvRG9jLnhtbK1T&#10;zY7TMBC+I/EOlu80aXe72o2argSlXBAgLTyAazuJJf/J4zbpC8AbcOLCnefqc+zY6XZ/4NADOThj&#10;z+dvZr4ZL24Ho8lOBlDO1nQ6KSmRljuhbFvTb1/Xb64pgcisYNpZWdO9BHq7fP1q0ftKzlzntJCB&#10;IImFqvc17WL0VVEA76RhMHFeWnQ2LhgWcRvaQgTWI7vRxawsr4reBeGD4xIAT1ejkx4ZwzmErmkU&#10;lyvHt0baOLIGqVnEkqBTHugyZ9s0ksfPTQMyEl1TrDTmFYOgvUlrsVywqg3Md4ofU2DnpPCiJsOU&#10;xaAnqhWLjGyD+ovKKB4cuCZOuDPFWEhWBKuYli+0ueuYl7kWlBr8SXT4f7T80+5LIErU9IISyww2&#10;/PDzx+HXn8Pv7+Q6ydN7qBB15xEXh7duwKF5OAc8TFUPTTDpj/UQ9KO4+5O4coiEp0sXl1fYf0o4&#10;+i7L6c18nmiKx9s+QPwgnSHJqGnA5mVN2e4jxBH6AEnBwGkl1krrvAnt5p0OZMew0ev8HdmfwbQl&#10;fU1v5rM55sFwehucGjSNRwXAtjnesxvwlLjM37+IU2IrBt2YQGZIMFYZFWXIVieZeG8FiXuPKlt8&#10;XDQlY6SgREt8i8nKyMiUPgeJ2mmLEqYWja1IVhw2A9Ikc+PEHtu29UG1HUqaG5fhOE5Z++Pop3l9&#10;us+kj899e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e+yw2QAAAAkBAAAPAAAAAAAAAAEAIAAA&#10;ACIAAABkcnMvZG93bnJldi54bWxQSwECFAAUAAAACACHTuJAEJtFfwsCAAA2BAAADgAAAAAAAAAB&#10;ACAAAAAoAQAAZHJzL2Uyb0RvYy54bWxQSwUGAAAAAAYABgBZAQAApQ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color w:val="auto"/>
          <w:highlight w:val="none"/>
        </w:rPr>
        <w:t>资信</w:t>
      </w:r>
      <w:r>
        <w:rPr>
          <w:rFonts w:hint="eastAsia" w:ascii="宋体" w:hAnsi="宋体" w:eastAsia="宋体" w:cs="宋体"/>
          <w:color w:val="auto"/>
          <w:szCs w:val="40"/>
          <w:highlight w:val="none"/>
        </w:rPr>
        <w:t>技术文件</w:t>
      </w:r>
      <w:r>
        <w:rPr>
          <w:rFonts w:hint="eastAsia" w:ascii="宋体" w:hAnsi="宋体" w:eastAsia="宋体" w:cs="宋体"/>
          <w:color w:val="auto"/>
          <w:highlight w:val="none"/>
        </w:rPr>
        <w:t>封面</w:t>
      </w:r>
      <w:bookmarkEnd w:id="202"/>
      <w:bookmarkEnd w:id="203"/>
    </w:p>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中国计量大学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拉曼与量子精密测量实验室设备采购</w:t>
      </w:r>
    </w:p>
    <w:p>
      <w:pPr>
        <w:ind w:firstLine="602"/>
        <w:jc w:val="center"/>
        <w:rPr>
          <w:rFonts w:hint="eastAsia" w:ascii="宋体" w:hAnsi="宋体" w:eastAsia="宋体" w:cs="宋体"/>
          <w:b/>
          <w:bCs/>
          <w:color w:val="auto"/>
          <w:sz w:val="30"/>
          <w:szCs w:val="30"/>
          <w:highlight w:val="none"/>
        </w:rPr>
      </w:pPr>
    </w:p>
    <w:p>
      <w:pPr>
        <w:ind w:firstLine="602"/>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资信技术文件</w:t>
      </w:r>
    </w:p>
    <w:p>
      <w:pPr>
        <w:pStyle w:val="4"/>
        <w:rPr>
          <w:rFonts w:hint="eastAsia" w:ascii="宋体" w:hAnsi="宋体" w:eastAsia="宋体" w:cs="宋体"/>
          <w:color w:val="auto"/>
          <w:sz w:val="30"/>
          <w:szCs w:val="30"/>
          <w:highlight w:val="none"/>
        </w:rPr>
      </w:pPr>
    </w:p>
    <w:p>
      <w:pPr>
        <w:pStyle w:val="4"/>
        <w:rPr>
          <w:rFonts w:hint="eastAsia" w:ascii="宋体" w:hAnsi="宋体" w:eastAsia="宋体" w:cs="宋体"/>
          <w:color w:val="auto"/>
          <w:sz w:val="30"/>
          <w:szCs w:val="30"/>
          <w:highlight w:val="none"/>
        </w:rPr>
      </w:pPr>
    </w:p>
    <w:p>
      <w:pPr>
        <w:pStyle w:val="4"/>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cs="宋体"/>
          <w:bCs/>
          <w:color w:val="auto"/>
          <w:spacing w:val="-6"/>
          <w:sz w:val="30"/>
          <w:szCs w:val="30"/>
          <w:highlight w:val="none"/>
          <w:lang w:val="en-US" w:eastAsia="zh-CN"/>
        </w:rPr>
        <w:t>标项</w:t>
      </w:r>
      <w:r>
        <w:rPr>
          <w:rFonts w:hint="eastAsia" w:ascii="宋体" w:hAnsi="宋体" w:eastAsia="宋体" w:cs="宋体"/>
          <w:color w:val="auto"/>
          <w:sz w:val="30"/>
          <w:szCs w:val="30"/>
          <w:highlight w:val="none"/>
        </w:rPr>
        <w:t>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color w:val="auto"/>
          <w:sz w:val="30"/>
          <w:szCs w:val="30"/>
          <w:highlight w:val="none"/>
        </w:rPr>
        <w:t>日期：    年  月  日</w:t>
      </w:r>
    </w:p>
    <w:p>
      <w:pPr>
        <w:pStyle w:val="7"/>
        <w:bidi w:val="0"/>
        <w:rPr>
          <w:rFonts w:hint="eastAsia"/>
          <w:color w:val="auto"/>
          <w:highlight w:val="none"/>
        </w:rPr>
      </w:pPr>
      <w:bookmarkStart w:id="204" w:name="_Toc18939"/>
      <w:bookmarkStart w:id="205" w:name="_Toc520"/>
      <w:bookmarkStart w:id="206" w:name="_Toc7692"/>
      <w:r>
        <w:rPr>
          <w:rFonts w:hint="eastAsia"/>
          <w:color w:val="auto"/>
          <w:highlight w:val="none"/>
        </w:rPr>
        <w:t>评分索引表（请放在目录前页）</w:t>
      </w:r>
      <w:bookmarkEnd w:id="204"/>
      <w:bookmarkEnd w:id="205"/>
    </w:p>
    <w:tbl>
      <w:tblPr>
        <w:tblStyle w:val="42"/>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2"/>
        <w:rPr>
          <w:rFonts w:hint="eastAsia" w:ascii="宋体" w:hAnsi="宋体" w:eastAsia="宋体" w:cs="宋体"/>
          <w:b/>
          <w:color w:val="auto"/>
          <w:kern w:val="0"/>
          <w:szCs w:val="20"/>
          <w:highlight w:val="none"/>
        </w:rPr>
      </w:pPr>
    </w:p>
    <w:p>
      <w:pPr>
        <w:ind w:firstLine="482"/>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根据评分标准自行调整。</w:t>
      </w:r>
    </w:p>
    <w:bookmarkEnd w:id="206"/>
    <w:p>
      <w:pPr>
        <w:pStyle w:val="17"/>
        <w:jc w:val="center"/>
        <w:rPr>
          <w:rFonts w:hint="eastAsia" w:ascii="宋体" w:hAnsi="宋体" w:eastAsia="宋体" w:cs="宋体"/>
          <w:b/>
          <w:bCs/>
          <w:i w:val="0"/>
          <w:iCs w:val="0"/>
          <w:color w:val="auto"/>
          <w:sz w:val="36"/>
          <w:szCs w:val="24"/>
          <w:highlight w:val="none"/>
          <w:lang w:val="en-US" w:eastAsia="zh-CN"/>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7"/>
        <w:bidi w:val="0"/>
        <w:ind w:left="0" w:leftChars="0" w:right="0" w:rightChars="0" w:firstLine="0" w:firstLineChars="0"/>
        <w:jc w:val="center"/>
        <w:rPr>
          <w:rFonts w:hint="eastAsia" w:ascii="宋体" w:hAnsi="宋体" w:eastAsia="宋体"/>
          <w:color w:val="auto"/>
          <w:highlight w:val="none"/>
          <w:lang w:val="en-US" w:eastAsia="zh-CN"/>
        </w:rPr>
      </w:pPr>
      <w:bookmarkStart w:id="207" w:name="_Toc25412"/>
      <w:r>
        <w:rPr>
          <w:rFonts w:hint="eastAsia" w:ascii="宋体" w:hAnsi="宋体" w:eastAsia="宋体"/>
          <w:color w:val="auto"/>
          <w:highlight w:val="none"/>
          <w:lang w:val="en-US" w:eastAsia="zh-CN"/>
        </w:rPr>
        <w:t>资信技术文件目录</w:t>
      </w:r>
      <w:bookmarkEnd w:id="207"/>
    </w:p>
    <w:p>
      <w:pPr>
        <w:rPr>
          <w:rFonts w:hint="eastAsia" w:ascii="宋体" w:hAnsi="宋体" w:eastAsia="宋体" w:cs="宋体"/>
          <w:color w:val="auto"/>
          <w:highlight w:val="none"/>
          <w:lang w:val="en-US" w:eastAsia="zh-CN"/>
        </w:rPr>
      </w:pPr>
    </w:p>
    <w:p>
      <w:pPr>
        <w:numPr>
          <w:ilvl w:val="0"/>
          <w:numId w:val="50"/>
        </w:numPr>
        <w:tabs>
          <w:tab w:val="left" w:pos="312"/>
        </w:tabs>
        <w:ind w:firstLine="480"/>
        <w:rPr>
          <w:rFonts w:cs="宋体"/>
          <w:highlight w:val="none"/>
        </w:rPr>
      </w:pPr>
      <w:r>
        <w:rPr>
          <w:rFonts w:hint="eastAsia" w:cs="宋体"/>
          <w:highlight w:val="none"/>
        </w:rPr>
        <w:t xml:space="preserve">法定代表人资格证明书和法定代表人授权委托书 </w:t>
      </w:r>
      <w:r>
        <w:rPr>
          <w:rFonts w:hint="eastAsia" w:cs="宋体"/>
          <w:kern w:val="0"/>
          <w:highlight w:val="none"/>
        </w:rPr>
        <w:t>……………………………（页码）</w:t>
      </w:r>
    </w:p>
    <w:p>
      <w:pPr>
        <w:numPr>
          <w:ilvl w:val="0"/>
          <w:numId w:val="50"/>
        </w:numPr>
        <w:ind w:firstLine="480"/>
        <w:rPr>
          <w:rFonts w:cs="宋体"/>
          <w:highlight w:val="none"/>
        </w:rPr>
      </w:pPr>
      <w:r>
        <w:rPr>
          <w:rFonts w:hint="eastAsia" w:cs="宋体"/>
          <w:highlight w:val="none"/>
        </w:rPr>
        <w:t xml:space="preserve">投标声明书 </w:t>
      </w:r>
      <w:r>
        <w:rPr>
          <w:rFonts w:hint="eastAsia" w:cs="宋体"/>
          <w:kern w:val="0"/>
          <w:highlight w:val="none"/>
        </w:rPr>
        <w:t>………………………………………………………………………（页码）</w:t>
      </w:r>
    </w:p>
    <w:p>
      <w:pPr>
        <w:numPr>
          <w:ilvl w:val="0"/>
          <w:numId w:val="50"/>
        </w:numPr>
        <w:ind w:firstLine="480"/>
        <w:rPr>
          <w:rFonts w:cs="宋体"/>
          <w:highlight w:val="none"/>
        </w:rPr>
      </w:pPr>
      <w:r>
        <w:rPr>
          <w:rFonts w:hint="eastAsia" w:cs="宋体"/>
          <w:highlight w:val="none"/>
        </w:rPr>
        <w:t xml:space="preserve">廉政承诺书 </w:t>
      </w:r>
      <w:r>
        <w:rPr>
          <w:rFonts w:hint="eastAsia" w:cs="宋体"/>
          <w:kern w:val="0"/>
          <w:highlight w:val="none"/>
        </w:rPr>
        <w:t>………………………………………………………………………（页码）</w:t>
      </w:r>
    </w:p>
    <w:p>
      <w:pPr>
        <w:numPr>
          <w:ilvl w:val="0"/>
          <w:numId w:val="50"/>
        </w:numPr>
        <w:ind w:firstLine="480"/>
        <w:rPr>
          <w:rFonts w:cs="宋体"/>
          <w:highlight w:val="none"/>
        </w:rPr>
      </w:pPr>
      <w:r>
        <w:rPr>
          <w:rFonts w:hint="eastAsia" w:cs="宋体"/>
          <w:highlight w:val="none"/>
        </w:rPr>
        <w:t>投标人情况表（附营业执照、证书复印件） …………………………………（页码）</w:t>
      </w:r>
    </w:p>
    <w:p>
      <w:pPr>
        <w:numPr>
          <w:ilvl w:val="0"/>
          <w:numId w:val="50"/>
        </w:numPr>
        <w:ind w:firstLine="480"/>
        <w:rPr>
          <w:rFonts w:cs="宋体"/>
          <w:highlight w:val="none"/>
        </w:rPr>
      </w:pPr>
      <w:r>
        <w:rPr>
          <w:rFonts w:hint="eastAsia" w:cs="宋体"/>
          <w:highlight w:val="none"/>
        </w:rPr>
        <w:t>同类项目实施情况一览表 ………………………………………………………（页码）</w:t>
      </w:r>
    </w:p>
    <w:p>
      <w:pPr>
        <w:numPr>
          <w:ilvl w:val="0"/>
          <w:numId w:val="50"/>
        </w:numPr>
        <w:ind w:firstLine="480"/>
        <w:rPr>
          <w:rFonts w:cs="宋体"/>
          <w:highlight w:val="none"/>
        </w:rPr>
      </w:pPr>
      <w:r>
        <w:rPr>
          <w:rFonts w:hint="eastAsia" w:cs="宋体"/>
          <w:highlight w:val="none"/>
        </w:rPr>
        <w:t>技术规范偏离表 …………………………………………………………………（页码）</w:t>
      </w:r>
    </w:p>
    <w:p>
      <w:pPr>
        <w:numPr>
          <w:ilvl w:val="0"/>
          <w:numId w:val="50"/>
        </w:numPr>
        <w:ind w:firstLine="480"/>
        <w:rPr>
          <w:rFonts w:cs="宋体"/>
          <w:highlight w:val="none"/>
        </w:rPr>
      </w:pPr>
      <w:r>
        <w:rPr>
          <w:rFonts w:hint="eastAsia" w:cs="宋体"/>
          <w:highlight w:val="none"/>
        </w:rPr>
        <w:t>实施方案 …………………………………………………………………………（页码）</w:t>
      </w:r>
    </w:p>
    <w:p>
      <w:pPr>
        <w:numPr>
          <w:ilvl w:val="0"/>
          <w:numId w:val="50"/>
        </w:numPr>
        <w:ind w:firstLine="480"/>
        <w:rPr>
          <w:rFonts w:cs="宋体"/>
          <w:highlight w:val="none"/>
        </w:rPr>
      </w:pPr>
      <w:r>
        <w:rPr>
          <w:rFonts w:hint="eastAsia" w:cs="宋体"/>
          <w:highlight w:val="none"/>
        </w:rPr>
        <w:t>服务团队 …………………………………………………………………………（页码）</w:t>
      </w:r>
    </w:p>
    <w:p>
      <w:pPr>
        <w:numPr>
          <w:ilvl w:val="0"/>
          <w:numId w:val="50"/>
        </w:numPr>
        <w:ind w:firstLine="480"/>
        <w:rPr>
          <w:rFonts w:cs="宋体"/>
          <w:highlight w:val="none"/>
        </w:rPr>
      </w:pPr>
      <w:r>
        <w:rPr>
          <w:rFonts w:hint="eastAsia" w:cs="宋体"/>
          <w:kern w:val="0"/>
          <w:highlight w:val="none"/>
        </w:rPr>
        <w:t>售后服务…………………………………………………………………………（页码）</w:t>
      </w:r>
    </w:p>
    <w:p>
      <w:pPr>
        <w:numPr>
          <w:ilvl w:val="0"/>
          <w:numId w:val="50"/>
        </w:numPr>
        <w:ind w:firstLine="480"/>
        <w:rPr>
          <w:rFonts w:cs="宋体"/>
          <w:highlight w:val="none"/>
        </w:rPr>
      </w:pPr>
      <w:r>
        <w:rPr>
          <w:rFonts w:hint="eastAsia" w:cs="宋体"/>
          <w:kern w:val="0"/>
          <w:highlight w:val="none"/>
        </w:rPr>
        <w:t>培训方案…………………………………………………………………………（页码）</w:t>
      </w:r>
    </w:p>
    <w:p>
      <w:pPr>
        <w:numPr>
          <w:ilvl w:val="0"/>
          <w:numId w:val="50"/>
        </w:numPr>
        <w:ind w:firstLine="480"/>
        <w:rPr>
          <w:rFonts w:cs="宋体"/>
          <w:highlight w:val="none"/>
        </w:rPr>
      </w:pPr>
      <w:r>
        <w:rPr>
          <w:rFonts w:hint="eastAsia" w:cs="宋体"/>
          <w:kern w:val="0"/>
          <w:highlight w:val="none"/>
        </w:rPr>
        <w:t>优惠承诺…………………………………………………………………………（页码）</w:t>
      </w:r>
    </w:p>
    <w:p>
      <w:pPr>
        <w:numPr>
          <w:ilvl w:val="0"/>
          <w:numId w:val="50"/>
        </w:numPr>
        <w:ind w:firstLine="480"/>
        <w:rPr>
          <w:rFonts w:cs="宋体"/>
          <w:kern w:val="0"/>
          <w:highlight w:val="none"/>
        </w:rPr>
      </w:pPr>
      <w:r>
        <w:rPr>
          <w:rFonts w:hint="eastAsia" w:cs="宋体"/>
          <w:kern w:val="0"/>
          <w:highlight w:val="none"/>
        </w:rPr>
        <w:t>其他………………………………………………………………………………（页码）</w:t>
      </w:r>
    </w:p>
    <w:p>
      <w:pPr>
        <w:pStyle w:val="4"/>
        <w:rPr>
          <w:rFonts w:ascii="宋体" w:hAnsi="宋体" w:eastAsia="宋体" w:cs="宋体"/>
          <w:color w:val="auto"/>
          <w:highlight w:val="none"/>
        </w:rPr>
      </w:pPr>
      <w:r>
        <w:rPr>
          <w:rFonts w:hint="eastAsia" w:ascii="宋体" w:hAnsi="宋体" w:eastAsia="宋体" w:cs="宋体"/>
          <w:color w:val="auto"/>
          <w:highlight w:val="none"/>
        </w:rPr>
        <w:t>（根据评分标准及招标文件要求自行调整）</w:t>
      </w:r>
    </w:p>
    <w:p>
      <w:pPr>
        <w:pStyle w:val="50"/>
        <w:rPr>
          <w:rFonts w:hint="eastAsia"/>
          <w:color w:val="auto"/>
          <w:highlight w:val="none"/>
        </w:rPr>
      </w:pPr>
    </w:p>
    <w:sdt>
      <w:sdtPr>
        <w:rPr>
          <w:rFonts w:hint="eastAsia" w:ascii="宋体" w:hAnsi="宋体" w:eastAsia="宋体" w:cs="宋体"/>
          <w:color w:val="auto"/>
          <w:kern w:val="2"/>
          <w:sz w:val="21"/>
          <w:szCs w:val="24"/>
          <w:highlight w:val="none"/>
          <w:lang w:val="en-US" w:eastAsia="zh-CN" w:bidi="ar-SA"/>
        </w:rPr>
        <w:id w:val="147477178"/>
        <w15:color w:val="DBDBDB"/>
      </w:sdtPr>
      <w:sdtEndPr>
        <w:rPr>
          <w:rFonts w:hint="eastAsia" w:ascii="宋体" w:hAnsi="宋体" w:eastAsia="宋体" w:cs="宋体"/>
          <w:color w:val="auto"/>
          <w:kern w:val="2"/>
          <w:sz w:val="21"/>
          <w:szCs w:val="22"/>
          <w:highlight w:val="none"/>
          <w:lang w:val="en-US" w:eastAsia="zh-CN" w:bidi="ar-SA"/>
        </w:rPr>
      </w:sdtEndPr>
      <w:sdtContent>
        <w:p>
          <w:pPr>
            <w:pStyle w:val="17"/>
            <w:ind w:left="0" w:leftChars="0" w:firstLine="0" w:firstLineChars="0"/>
            <w:rPr>
              <w:rFonts w:hint="eastAsia" w:ascii="宋体" w:hAnsi="宋体" w:eastAsia="宋体" w:cs="宋体"/>
              <w:color w:val="auto"/>
              <w:highlight w:val="none"/>
            </w:rPr>
          </w:pPr>
        </w:p>
      </w:sdtContent>
    </w:sdt>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iCs/>
          <w:color w:val="auto"/>
          <w:highlight w:val="none"/>
        </w:rPr>
        <w:br w:type="page"/>
      </w:r>
    </w:p>
    <w:p>
      <w:pPr>
        <w:ind w:firstLine="480"/>
        <w:rPr>
          <w:rFonts w:hint="eastAsia" w:ascii="宋体" w:hAnsi="宋体" w:eastAsia="宋体" w:cs="宋体"/>
          <w:iCs/>
          <w:color w:val="auto"/>
          <w:highlight w:val="none"/>
        </w:rPr>
      </w:pPr>
    </w:p>
    <w:p>
      <w:pPr>
        <w:pStyle w:val="8"/>
        <w:numPr>
          <w:ilvl w:val="0"/>
          <w:numId w:val="51"/>
        </w:numPr>
        <w:bidi w:val="0"/>
        <w:rPr>
          <w:rFonts w:hint="eastAsia"/>
          <w:color w:val="auto"/>
          <w:highlight w:val="none"/>
        </w:rPr>
      </w:pPr>
      <w:bookmarkStart w:id="208" w:name="_Toc1671"/>
      <w:r>
        <w:rPr>
          <w:rFonts w:hint="eastAsia"/>
          <w:color w:val="auto"/>
          <w:highlight w:val="none"/>
        </w:rPr>
        <w:t>法定代表人资格证明书、法定代表人授权书</w:t>
      </w:r>
      <w:bookmarkEnd w:id="208"/>
    </w:p>
    <w:p>
      <w:pPr>
        <w:ind w:firstLine="0" w:firstLineChars="0"/>
        <w:rPr>
          <w:rFonts w:hint="eastAsia" w:ascii="宋体" w:hAnsi="宋体" w:eastAsia="宋体" w:cs="宋体"/>
          <w:i/>
          <w:iCs/>
          <w:color w:val="auto"/>
          <w:highlight w:val="none"/>
        </w:rPr>
      </w:pPr>
    </w:p>
    <w:p>
      <w:pPr>
        <w:snapToGrid w:val="0"/>
        <w:ind w:left="0" w:leftChars="0" w:right="0" w:rightChars="0" w:firstLine="0" w:firstLineChars="0"/>
        <w:jc w:val="center"/>
        <w:rPr>
          <w:rFonts w:hint="eastAsia" w:ascii="宋体" w:hAnsi="宋体" w:eastAsia="宋体" w:cs="宋体"/>
          <w:b/>
          <w:color w:val="auto"/>
          <w:kern w:val="0"/>
          <w:sz w:val="32"/>
          <w:highlight w:val="none"/>
        </w:rPr>
      </w:pPr>
      <w:bookmarkStart w:id="209" w:name="_Toc24502"/>
      <w:r>
        <w:rPr>
          <w:rFonts w:hint="eastAsia" w:ascii="宋体" w:hAnsi="宋体" w:eastAsia="宋体" w:cs="宋体"/>
          <w:b/>
          <w:color w:val="auto"/>
          <w:kern w:val="0"/>
          <w:sz w:val="32"/>
          <w:highlight w:val="none"/>
        </w:rPr>
        <w:t>法定代表人资格证明书</w:t>
      </w:r>
      <w:bookmarkEnd w:id="209"/>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中国计量大学、浙江五石工程咨询有限公司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4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right="456" w:firstLine="456"/>
        <w:rPr>
          <w:rFonts w:hint="eastAsia" w:ascii="宋体" w:hAnsi="宋体" w:eastAsia="宋体" w:cs="宋体"/>
          <w:bCs/>
          <w:color w:val="auto"/>
          <w:spacing w:val="-6"/>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snapToGrid w:val="0"/>
        <w:ind w:left="0" w:leftChars="0" w:right="0" w:rightChars="0" w:firstLine="0" w:firstLineChars="0"/>
        <w:jc w:val="center"/>
        <w:rPr>
          <w:rFonts w:hint="eastAsia" w:ascii="宋体" w:hAnsi="宋体" w:eastAsia="宋体" w:cs="宋体"/>
          <w:b/>
          <w:color w:val="auto"/>
          <w:kern w:val="0"/>
          <w:sz w:val="32"/>
          <w:highlight w:val="none"/>
        </w:rPr>
      </w:pPr>
      <w:bookmarkStart w:id="210" w:name="_Toc19237"/>
      <w:r>
        <w:rPr>
          <w:rFonts w:hint="eastAsia" w:ascii="宋体" w:hAnsi="宋体" w:eastAsia="宋体" w:cs="宋体"/>
          <w:b/>
          <w:color w:val="auto"/>
          <w:kern w:val="0"/>
          <w:sz w:val="32"/>
          <w:highlight w:val="none"/>
        </w:rPr>
        <w:t>法定代表人授权书</w:t>
      </w:r>
      <w:bookmarkEnd w:id="210"/>
    </w:p>
    <w:p>
      <w:pPr>
        <w:bidi w:val="0"/>
        <w:rPr>
          <w:rFonts w:hint="eastAsia"/>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中国计量大学、浙江五石工程咨询有限公司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11" w:name="_Toc31131"/>
      <w:r>
        <w:rPr>
          <w:rFonts w:hint="eastAsia" w:ascii="宋体" w:hAnsi="宋体" w:eastAsia="宋体" w:cs="宋体"/>
          <w:b/>
          <w:bCs/>
          <w:color w:val="auto"/>
          <w:highlight w:val="none"/>
        </w:rPr>
        <w:t>附授权委托人身份证复印件正反面及社保证明。</w:t>
      </w:r>
      <w:bookmarkEnd w:id="211"/>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全权代表姓名（签字或盖章）：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移 动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一、法定代表人参加投标的，须在投标文件中提供：法定代表人资格证明书；</w:t>
      </w: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二、</w:t>
      </w:r>
      <w:r>
        <w:rPr>
          <w:rFonts w:hint="eastAsia" w:ascii="宋体" w:hAnsi="宋体" w:eastAsia="宋体" w:cs="宋体"/>
          <w:color w:val="auto"/>
          <w:sz w:val="24"/>
          <w:szCs w:val="24"/>
          <w:highlight w:val="none"/>
        </w:rPr>
        <w:t>▲</w:t>
      </w:r>
      <w:r>
        <w:rPr>
          <w:rFonts w:hint="eastAsia" w:ascii="宋体" w:hAnsi="宋体" w:eastAsia="宋体" w:cs="宋体"/>
          <w:b/>
          <w:color w:val="auto"/>
          <w:spacing w:val="-6"/>
          <w:sz w:val="24"/>
          <w:szCs w:val="24"/>
          <w:highlight w:val="none"/>
        </w:rPr>
        <w:t>法定代表人委托授权代表参加投标，须在投标文件中提供：法定代表人资格证明书和法定代表人授权委托书及社保缴纳证明。</w:t>
      </w:r>
    </w:p>
    <w:p>
      <w:pPr>
        <w:pStyle w:val="4"/>
        <w:rPr>
          <w:rFonts w:hint="eastAsia" w:ascii="宋体" w:hAnsi="宋体" w:eastAsia="宋体" w:cs="宋体"/>
          <w:b/>
          <w:color w:val="auto"/>
          <w:spacing w:val="-6"/>
          <w:kern w:val="2"/>
          <w:highlight w:val="none"/>
        </w:rPr>
      </w:pPr>
      <w:r>
        <w:rPr>
          <w:rFonts w:hint="eastAsia" w:ascii="宋体" w:hAnsi="宋体" w:eastAsia="宋体" w:cs="宋体"/>
          <w:b/>
          <w:color w:val="auto"/>
          <w:spacing w:val="-6"/>
          <w:kern w:val="2"/>
          <w:highlight w:val="none"/>
        </w:rPr>
        <w:t>三、</w:t>
      </w:r>
      <w:r>
        <w:rPr>
          <w:rFonts w:hint="eastAsia" w:ascii="宋体" w:hAnsi="宋体" w:eastAsia="宋体" w:cs="宋体"/>
          <w:color w:val="auto"/>
          <w:highlight w:val="none"/>
        </w:rPr>
        <w:t>▲</w:t>
      </w:r>
      <w:r>
        <w:rPr>
          <w:rFonts w:hint="eastAsia" w:ascii="宋体" w:hAnsi="宋体" w:eastAsia="宋体" w:cs="宋体"/>
          <w:b/>
          <w:color w:val="auto"/>
          <w:spacing w:val="-6"/>
          <w:kern w:val="2"/>
          <w:highlight w:val="none"/>
        </w:rPr>
        <w:t>投标人授权代表必须为投标人本单位在职职工，并提供近一年任意一月社保缴纳证明。</w:t>
      </w: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8"/>
        <w:numPr>
          <w:ilvl w:val="0"/>
          <w:numId w:val="51"/>
        </w:numPr>
        <w:bidi w:val="0"/>
        <w:ind w:left="0" w:leftChars="0" w:firstLine="482" w:firstLineChars="200"/>
        <w:rPr>
          <w:rFonts w:hint="eastAsia"/>
          <w:color w:val="auto"/>
          <w:highlight w:val="none"/>
        </w:rPr>
      </w:pPr>
      <w:bookmarkStart w:id="212" w:name="_Toc23264"/>
      <w:r>
        <w:rPr>
          <w:rFonts w:hint="eastAsia"/>
          <w:color w:val="auto"/>
          <w:highlight w:val="none"/>
        </w:rPr>
        <w:t>投标声明书</w:t>
      </w:r>
      <w:bookmarkEnd w:id="212"/>
    </w:p>
    <w:p>
      <w:pPr>
        <w:snapToGrid w:val="0"/>
        <w:ind w:left="0" w:leftChars="0" w:right="0" w:rightChars="0" w:firstLine="0" w:firstLineChars="0"/>
        <w:jc w:val="center"/>
        <w:rPr>
          <w:rFonts w:hint="eastAsia" w:ascii="宋体" w:hAnsi="宋体" w:eastAsia="宋体" w:cs="宋体"/>
          <w:b/>
          <w:color w:val="auto"/>
          <w:kern w:val="0"/>
          <w:sz w:val="32"/>
          <w:highlight w:val="none"/>
        </w:rPr>
      </w:pPr>
      <w:bookmarkStart w:id="213" w:name="_Toc29771"/>
      <w:r>
        <w:rPr>
          <w:rFonts w:hint="eastAsia" w:ascii="宋体" w:hAnsi="宋体" w:eastAsia="宋体" w:cs="宋体"/>
          <w:b/>
          <w:color w:val="auto"/>
          <w:kern w:val="0"/>
          <w:sz w:val="32"/>
          <w:highlight w:val="none"/>
        </w:rPr>
        <w:t>投标声明书</w:t>
      </w:r>
      <w:bookmarkEnd w:id="213"/>
    </w:p>
    <w:p>
      <w:pPr>
        <w:snapToGrid w:val="0"/>
        <w:ind w:firstLine="0" w:firstLineChars="0"/>
        <w:rPr>
          <w:rFonts w:hint="eastAsia" w:ascii="宋体" w:hAnsi="宋体" w:eastAsia="宋体" w:cs="宋体"/>
          <w:color w:val="auto"/>
          <w:highlight w:val="none"/>
        </w:rPr>
      </w:pP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中国计量大学、浙江五石工程咨询有限公司：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w:t>
      </w:r>
      <w:r>
        <w:rPr>
          <w:rFonts w:hint="eastAsia" w:ascii="宋体" w:hAnsi="宋体" w:eastAsia="宋体" w:cs="宋体"/>
          <w:color w:val="auto"/>
          <w:highlight w:val="none"/>
        </w:rPr>
        <w:t>声明截止投标时间近三年以来，在</w:t>
      </w:r>
      <w:r>
        <w:rPr>
          <w:rFonts w:hint="eastAsia" w:ascii="宋体" w:hAnsi="宋体" w:eastAsia="宋体" w:cs="宋体"/>
          <w:color w:val="auto"/>
          <w:kern w:val="0"/>
          <w:highlight w:val="none"/>
        </w:rPr>
        <w:t>政府采购领域中</w:t>
      </w:r>
      <w:r>
        <w:rPr>
          <w:rFonts w:hint="eastAsia" w:ascii="宋体" w:hAnsi="宋体" w:eastAsia="宋体" w:cs="宋体"/>
          <w:color w:val="auto"/>
          <w:highlight w:val="none"/>
        </w:rPr>
        <w:t>，在项目招标、投标和合同履约期间无任何不良行为记录和违法、违规行为</w:t>
      </w:r>
      <w:r>
        <w:rPr>
          <w:rFonts w:hint="eastAsia" w:ascii="宋体" w:hAnsi="宋体" w:eastAsia="宋体" w:cs="宋体"/>
          <w:color w:val="auto"/>
          <w:kern w:val="0"/>
          <w:highlight w:val="none"/>
          <w:lang w:val="zh-CN"/>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我公司自愿参加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]的投标，并保证投标文件中所列举的投标报价文件及相关资料和公司基本情况资料是真实的、合法的。</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我公司理解并接受招标文件的各项规定和要求，同意此次招标文件中的各项内容，</w:t>
      </w:r>
      <w:r>
        <w:rPr>
          <w:rFonts w:hint="eastAsia" w:ascii="宋体" w:hAnsi="宋体" w:eastAsia="宋体" w:cs="宋体"/>
          <w:color w:val="auto"/>
          <w:kern w:val="0"/>
          <w:highlight w:val="none"/>
        </w:rPr>
        <w:t>并</w:t>
      </w:r>
      <w:r>
        <w:rPr>
          <w:rFonts w:hint="eastAsia" w:ascii="宋体" w:hAnsi="宋体" w:eastAsia="宋体" w:cs="宋体"/>
          <w:color w:val="auto"/>
          <w:kern w:val="0"/>
          <w:highlight w:val="none"/>
          <w:lang w:val="zh-CN"/>
        </w:rPr>
        <w:t>同意提供按照贵方可能要求的与投标有关的一切数据或资料等。</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本公司如中标，保证按照投标文件的承诺与贵方签订合同，保证履行合同条款并缴纳履约保证金。</w:t>
      </w:r>
    </w:p>
    <w:p>
      <w:pPr>
        <w:pStyle w:val="4"/>
        <w:rPr>
          <w:rFonts w:hint="eastAsia" w:ascii="宋体" w:hAnsi="宋体" w:eastAsia="宋体" w:cs="宋体"/>
          <w:color w:val="auto"/>
          <w:highlight w:val="none"/>
          <w:lang w:val="zh-CN"/>
        </w:rPr>
      </w:pPr>
    </w:p>
    <w:p>
      <w:pPr>
        <w:pStyle w:val="4"/>
        <w:rPr>
          <w:rFonts w:hint="eastAsia" w:ascii="宋体" w:hAnsi="宋体" w:eastAsia="宋体" w:cs="宋体"/>
          <w:color w:val="auto"/>
          <w:highlight w:val="none"/>
          <w:lang w:val="zh-CN"/>
        </w:rPr>
      </w:pPr>
    </w:p>
    <w:p>
      <w:pPr>
        <w:pStyle w:val="4"/>
        <w:rPr>
          <w:rFonts w:hint="eastAsia" w:ascii="宋体" w:hAnsi="宋体" w:eastAsia="宋体" w:cs="宋体"/>
          <w:color w:val="auto"/>
          <w:highlight w:val="none"/>
          <w:lang w:val="zh-CN"/>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4"/>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8"/>
        <w:numPr>
          <w:ilvl w:val="0"/>
          <w:numId w:val="51"/>
        </w:numPr>
        <w:bidi w:val="0"/>
        <w:ind w:left="0" w:leftChars="0" w:firstLine="482" w:firstLineChars="200"/>
        <w:rPr>
          <w:rFonts w:hint="eastAsia"/>
          <w:color w:val="auto"/>
          <w:highlight w:val="none"/>
        </w:rPr>
      </w:pPr>
      <w:bookmarkStart w:id="214" w:name="_Toc9927"/>
      <w:r>
        <w:rPr>
          <w:rFonts w:hint="eastAsia"/>
          <w:color w:val="auto"/>
          <w:highlight w:val="none"/>
        </w:rPr>
        <w:t>廉政承诺书</w:t>
      </w:r>
      <w:bookmarkEnd w:id="214"/>
    </w:p>
    <w:p>
      <w:pPr>
        <w:snapToGrid w:val="0"/>
        <w:ind w:left="0" w:leftChars="0" w:right="0" w:rightChars="0" w:firstLine="0" w:firstLineChars="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廉政承诺书</w:t>
      </w:r>
    </w:p>
    <w:p>
      <w:pPr>
        <w:bidi w:val="0"/>
        <w:rPr>
          <w:rFonts w:hint="eastAsia"/>
          <w:color w:val="auto"/>
          <w:highlight w:val="none"/>
        </w:rPr>
      </w:pPr>
    </w:p>
    <w:p>
      <w:pPr>
        <w:bidi w:val="0"/>
        <w:ind w:left="0" w:leftChars="0" w:firstLine="0" w:firstLineChars="0"/>
        <w:rPr>
          <w:rFonts w:hint="eastAsia"/>
          <w:color w:val="auto"/>
          <w:highlight w:val="none"/>
        </w:rPr>
      </w:pPr>
      <w:r>
        <w:rPr>
          <w:rFonts w:hint="eastAsia"/>
          <w:color w:val="auto"/>
          <w:highlight w:val="none"/>
        </w:rPr>
        <w:t>中国计量大学：</w:t>
      </w:r>
    </w:p>
    <w:p>
      <w:pPr>
        <w:bidi w:val="0"/>
        <w:rPr>
          <w:rFonts w:hint="eastAsia"/>
          <w:color w:val="auto"/>
          <w:highlight w:val="none"/>
        </w:rPr>
      </w:pPr>
      <w:r>
        <w:rPr>
          <w:rFonts w:hint="eastAsia"/>
          <w:color w:val="auto"/>
          <w:highlight w:val="none"/>
        </w:rPr>
        <w:t xml:space="preserve">我单位响应你单位项目招标要求参加投标。在这次投标过程中和中标后，我们将严格遵守国家法律法规要求，并郑重承诺： </w:t>
      </w:r>
    </w:p>
    <w:p>
      <w:pPr>
        <w:bidi w:val="0"/>
        <w:rPr>
          <w:rFonts w:hint="eastAsia"/>
          <w:color w:val="auto"/>
          <w:highlight w:val="none"/>
        </w:rPr>
      </w:pPr>
      <w:r>
        <w:rPr>
          <w:rFonts w:hint="eastAsia"/>
          <w:color w:val="auto"/>
          <w:highlight w:val="none"/>
        </w:rPr>
        <w:t>一、不向项目有关人员及部门赠送礼金礼物、有价证券、回扣以及中介费、介绍费、咨询费等好处费；</w:t>
      </w:r>
    </w:p>
    <w:p>
      <w:pPr>
        <w:bidi w:val="0"/>
        <w:rPr>
          <w:rFonts w:hint="eastAsia"/>
          <w:color w:val="auto"/>
          <w:highlight w:val="none"/>
        </w:rPr>
      </w:pPr>
      <w:r>
        <w:rPr>
          <w:rFonts w:hint="eastAsia"/>
          <w:color w:val="auto"/>
          <w:highlight w:val="none"/>
        </w:rPr>
        <w:t>二、不为项目有关人员及部门报销应由你方单位或个人支付的费用；</w:t>
      </w:r>
    </w:p>
    <w:p>
      <w:pPr>
        <w:bidi w:val="0"/>
        <w:rPr>
          <w:rFonts w:hint="eastAsia"/>
          <w:color w:val="auto"/>
          <w:highlight w:val="none"/>
        </w:rPr>
      </w:pPr>
      <w:r>
        <w:rPr>
          <w:rFonts w:hint="eastAsia"/>
          <w:color w:val="auto"/>
          <w:highlight w:val="none"/>
        </w:rPr>
        <w:t>三、不向项目有关人员及部门提供有可能影响公正的宴请和健身娱乐等活动；</w:t>
      </w:r>
    </w:p>
    <w:p>
      <w:pPr>
        <w:bidi w:val="0"/>
        <w:rPr>
          <w:rFonts w:hint="eastAsia"/>
          <w:color w:val="auto"/>
          <w:highlight w:val="none"/>
        </w:rPr>
      </w:pPr>
      <w:r>
        <w:rPr>
          <w:rFonts w:hint="eastAsia"/>
          <w:color w:val="auto"/>
          <w:highlight w:val="none"/>
        </w:rPr>
        <w:t>四、不为项目有关人员及部门出国（境）、旅游等提供方便；</w:t>
      </w:r>
    </w:p>
    <w:p>
      <w:pPr>
        <w:bidi w:val="0"/>
        <w:rPr>
          <w:rFonts w:hint="eastAsia"/>
          <w:color w:val="auto"/>
          <w:highlight w:val="none"/>
        </w:rPr>
      </w:pPr>
      <w:r>
        <w:rPr>
          <w:rFonts w:hint="eastAsia"/>
          <w:color w:val="auto"/>
          <w:highlight w:val="none"/>
        </w:rPr>
        <w:t>五、不为项目有关人员个人装修住房、婚丧嫁娶、配偶子女工作安排等提供好处；</w:t>
      </w:r>
    </w:p>
    <w:p>
      <w:pPr>
        <w:bidi w:val="0"/>
        <w:rPr>
          <w:rFonts w:hint="eastAsia"/>
          <w:color w:val="auto"/>
          <w:highlight w:val="none"/>
        </w:rPr>
      </w:pPr>
      <w:r>
        <w:rPr>
          <w:rFonts w:hint="eastAsia"/>
          <w:color w:val="auto"/>
          <w:highlight w:val="none"/>
        </w:rPr>
        <w:t>六、严格遵守《政府采购法》、《招标投标法》、《中华人民共和国民法典》等法律，诚实守信，合法经营，坚决抵制各种违法违纪行为。</w:t>
      </w:r>
    </w:p>
    <w:p>
      <w:pPr>
        <w:bidi w:val="0"/>
        <w:rPr>
          <w:rFonts w:hint="eastAsia"/>
          <w:color w:val="auto"/>
          <w:highlight w:val="none"/>
        </w:rPr>
      </w:pPr>
      <w:r>
        <w:rPr>
          <w:rFonts w:hint="eastAsia"/>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228" w:firstLineChars="95"/>
        <w:jc w:val="left"/>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8"/>
        <w:numPr>
          <w:ilvl w:val="0"/>
          <w:numId w:val="51"/>
        </w:numPr>
        <w:bidi w:val="0"/>
        <w:ind w:left="0" w:leftChars="0" w:firstLine="482" w:firstLineChars="200"/>
        <w:rPr>
          <w:rFonts w:hint="eastAsia"/>
          <w:color w:val="auto"/>
          <w:highlight w:val="none"/>
        </w:rPr>
      </w:pPr>
      <w:bookmarkStart w:id="215" w:name="_Toc12230"/>
      <w:r>
        <w:rPr>
          <w:rFonts w:hint="eastAsia"/>
          <w:color w:val="auto"/>
          <w:highlight w:val="none"/>
        </w:rPr>
        <w:t>投标人情况表</w:t>
      </w:r>
      <w:bookmarkEnd w:id="215"/>
    </w:p>
    <w:p>
      <w:pPr>
        <w:spacing w:line="240" w:lineRule="auto"/>
        <w:ind w:left="0" w:leftChars="0" w:right="0" w:rightChars="0" w:firstLine="0" w:firstLineChars="0"/>
        <w:jc w:val="center"/>
        <w:rPr>
          <w:rFonts w:hint="eastAsia" w:ascii="宋体" w:hAnsi="宋体" w:eastAsia="宋体" w:cs="宋体"/>
          <w:color w:val="auto"/>
          <w:sz w:val="28"/>
          <w:highlight w:val="none"/>
          <w:lang w:eastAsia="zh-CN"/>
        </w:rPr>
      </w:pPr>
      <w:r>
        <w:rPr>
          <w:rFonts w:hint="eastAsia" w:ascii="宋体" w:hAnsi="宋体" w:eastAsia="宋体" w:cs="宋体"/>
          <w:b/>
          <w:color w:val="auto"/>
          <w:kern w:val="0"/>
          <w:sz w:val="32"/>
          <w:highlight w:val="none"/>
          <w:lang w:eastAsia="zh-CN"/>
        </w:rPr>
        <w:t>投标人情况表</w:t>
      </w:r>
    </w:p>
    <w:p>
      <w:pPr>
        <w:bidi w:val="0"/>
        <w:rPr>
          <w:rFonts w:hint="eastAsia"/>
          <w:color w:val="auto"/>
          <w:highlight w:val="none"/>
        </w:rPr>
      </w:pPr>
    </w:p>
    <w:tbl>
      <w:tblPr>
        <w:tblStyle w:val="42"/>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电话：</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传真：</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注册地：</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7</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8</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9</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其他需要说明的情况</w:t>
            </w:r>
          </w:p>
        </w:tc>
        <w:tc>
          <w:tcPr>
            <w:tcW w:w="634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pStyle w:val="17"/>
        <w:rPr>
          <w:rFonts w:hint="eastAsia" w:ascii="宋体" w:hAnsi="宋体" w:eastAsia="宋体" w:cs="宋体"/>
          <w:color w:val="auto"/>
          <w:highlight w:val="none"/>
        </w:rPr>
      </w:pPr>
    </w:p>
    <w:p>
      <w:pPr>
        <w:spacing w:line="240" w:lineRule="auto"/>
        <w:ind w:firstLine="480"/>
        <w:rPr>
          <w:rFonts w:hint="eastAsia" w:ascii="宋体" w:hAnsi="宋体" w:eastAsia="宋体" w:cs="宋体"/>
          <w:snapToGrid w:val="0"/>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8"/>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bookmarkStart w:id="216" w:name="_Toc7524"/>
    </w:p>
    <w:p>
      <w:pPr>
        <w:pStyle w:val="8"/>
        <w:numPr>
          <w:ilvl w:val="0"/>
          <w:numId w:val="51"/>
        </w:numPr>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同类项目实施情况一览表</w:t>
      </w:r>
      <w:bookmarkEnd w:id="216"/>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r>
        <w:rPr>
          <w:rFonts w:hint="eastAsia" w:ascii="宋体" w:hAnsi="宋体" w:eastAsia="宋体" w:cs="宋体"/>
          <w:b/>
          <w:color w:val="auto"/>
          <w:kern w:val="0"/>
          <w:sz w:val="32"/>
          <w:highlight w:val="none"/>
          <w:lang w:eastAsia="zh-CN"/>
        </w:rPr>
        <w:t>同类项目实施情况一览表</w:t>
      </w:r>
    </w:p>
    <w:p>
      <w:pPr>
        <w:bidi w:val="0"/>
        <w:rPr>
          <w:rFonts w:hint="eastAsia"/>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项目名称：                   项目编号：              </w:t>
      </w:r>
    </w:p>
    <w:tbl>
      <w:tblPr>
        <w:tblStyle w:val="42"/>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bidi w:val="0"/>
        <w:rPr>
          <w:rFonts w:hint="eastAsia"/>
          <w:b/>
          <w:bCs/>
          <w:color w:val="auto"/>
          <w:highlight w:val="none"/>
        </w:rPr>
      </w:pPr>
      <w:bookmarkStart w:id="217" w:name="_Toc15594"/>
      <w:r>
        <w:rPr>
          <w:rFonts w:hint="eastAsia"/>
          <w:b/>
          <w:bCs/>
          <w:color w:val="auto"/>
          <w:highlight w:val="none"/>
        </w:rPr>
        <w:t>说明：</w:t>
      </w:r>
      <w:bookmarkEnd w:id="217"/>
    </w:p>
    <w:p>
      <w:pPr>
        <w:bidi w:val="0"/>
        <w:rPr>
          <w:rFonts w:hint="eastAsia"/>
          <w:b/>
          <w:bCs/>
          <w:color w:val="auto"/>
          <w:highlight w:val="none"/>
        </w:rPr>
      </w:pPr>
      <w:r>
        <w:rPr>
          <w:rFonts w:hint="eastAsia"/>
          <w:b/>
          <w:bCs/>
          <w:color w:val="auto"/>
          <w:highlight w:val="none"/>
        </w:rPr>
        <w:t>1、投标人须按照评分标准要求提交相应证明材料；</w:t>
      </w:r>
    </w:p>
    <w:p>
      <w:pPr>
        <w:bidi w:val="0"/>
        <w:rPr>
          <w:rFonts w:hint="eastAsia"/>
          <w:b/>
          <w:bCs/>
          <w:color w:val="auto"/>
          <w:highlight w:val="none"/>
        </w:rPr>
      </w:pPr>
      <w:r>
        <w:rPr>
          <w:rFonts w:hint="eastAsia"/>
          <w:b/>
          <w:bCs/>
          <w:color w:val="auto"/>
          <w:highlight w:val="none"/>
        </w:rPr>
        <w:t>2、所有证明材料复印件应清晰，应能体现签订时间、双方签字盖章等内容；</w:t>
      </w:r>
    </w:p>
    <w:p>
      <w:pPr>
        <w:bidi w:val="0"/>
        <w:rPr>
          <w:rFonts w:hint="eastAsia"/>
          <w:b/>
          <w:bCs/>
          <w:color w:val="auto"/>
          <w:highlight w:val="none"/>
        </w:rPr>
      </w:pPr>
      <w:r>
        <w:rPr>
          <w:rFonts w:hint="eastAsia"/>
          <w:b/>
          <w:bCs/>
          <w:color w:val="auto"/>
          <w:highlight w:val="none"/>
        </w:rPr>
        <w:t>3、投标人应在不涉及商业秘密的前提下尽可能提供详细的复印件内容。</w:t>
      </w:r>
    </w:p>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8"/>
        <w:numPr>
          <w:ilvl w:val="0"/>
          <w:numId w:val="51"/>
        </w:numPr>
        <w:ind w:left="0" w:leftChars="0" w:firstLine="482" w:firstLineChars="200"/>
        <w:rPr>
          <w:rFonts w:hint="eastAsia" w:ascii="宋体" w:hAnsi="宋体" w:eastAsia="宋体" w:cs="宋体"/>
          <w:color w:val="auto"/>
          <w:highlight w:val="none"/>
        </w:rPr>
      </w:pPr>
      <w:bookmarkStart w:id="218" w:name="_Toc24234"/>
      <w:r>
        <w:rPr>
          <w:rFonts w:hint="eastAsia" w:ascii="宋体" w:hAnsi="宋体" w:eastAsia="宋体" w:cs="宋体"/>
          <w:color w:val="auto"/>
          <w:highlight w:val="none"/>
        </w:rPr>
        <w:t>技术规范偏离表</w:t>
      </w:r>
      <w:bookmarkEnd w:id="218"/>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r>
        <w:rPr>
          <w:rFonts w:hint="eastAsia" w:ascii="宋体" w:hAnsi="宋体" w:eastAsia="宋体" w:cs="宋体"/>
          <w:b/>
          <w:color w:val="auto"/>
          <w:kern w:val="0"/>
          <w:sz w:val="32"/>
          <w:highlight w:val="none"/>
          <w:lang w:eastAsia="zh-CN"/>
        </w:rPr>
        <w:t>技术规范偏离表</w:t>
      </w:r>
    </w:p>
    <w:p>
      <w:pPr>
        <w:bidi w:val="0"/>
        <w:rPr>
          <w:rFonts w:hint="eastAsia"/>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tbl>
      <w:tblPr>
        <w:tblStyle w:val="42"/>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756"/>
        <w:gridCol w:w="2426"/>
        <w:gridCol w:w="193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序号</w:t>
            </w:r>
          </w:p>
        </w:tc>
        <w:tc>
          <w:tcPr>
            <w:tcW w:w="2756" w:type="dxa"/>
            <w:vAlign w:val="center"/>
          </w:tcPr>
          <w:p>
            <w:pPr>
              <w:snapToGrid w:val="0"/>
              <w:spacing w:line="288" w:lineRule="auto"/>
              <w:ind w:firstLine="0" w:firstLineChars="0"/>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招标文件要求</w:t>
            </w:r>
          </w:p>
        </w:tc>
        <w:tc>
          <w:tcPr>
            <w:tcW w:w="2426" w:type="dxa"/>
            <w:vAlign w:val="center"/>
          </w:tcPr>
          <w:p>
            <w:pPr>
              <w:snapToGrid w:val="0"/>
              <w:spacing w:line="288" w:lineRule="auto"/>
              <w:ind w:firstLine="0" w:firstLineChars="0"/>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响应规格</w:t>
            </w:r>
          </w:p>
        </w:tc>
        <w:tc>
          <w:tcPr>
            <w:tcW w:w="1936" w:type="dxa"/>
            <w:vAlign w:val="center"/>
          </w:tcPr>
          <w:p>
            <w:pPr>
              <w:snapToGrid w:val="0"/>
              <w:spacing w:line="288" w:lineRule="auto"/>
              <w:ind w:firstLine="0" w:firstLineChars="0"/>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是否偏离</w:t>
            </w:r>
          </w:p>
          <w:p>
            <w:pPr>
              <w:snapToGrid w:val="0"/>
              <w:spacing w:line="288" w:lineRule="auto"/>
              <w:ind w:firstLine="0" w:firstLineChars="0"/>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（提供说明）</w:t>
            </w:r>
          </w:p>
        </w:tc>
        <w:tc>
          <w:tcPr>
            <w:tcW w:w="2117" w:type="dxa"/>
            <w:vAlign w:val="center"/>
          </w:tcPr>
          <w:p>
            <w:pPr>
              <w:snapToGrid w:val="0"/>
              <w:spacing w:line="288" w:lineRule="auto"/>
              <w:ind w:firstLine="0" w:firstLineChars="0"/>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备注</w:t>
            </w:r>
          </w:p>
          <w:p>
            <w:pPr>
              <w:snapToGrid w:val="0"/>
              <w:spacing w:line="288" w:lineRule="auto"/>
              <w:ind w:firstLine="0" w:firstLineChars="0"/>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34" w:type="dxa"/>
            <w:gridSpan w:val="4"/>
            <w:vAlign w:val="center"/>
          </w:tcPr>
          <w:p>
            <w:pPr>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117" w:type="dxa"/>
            <w:vAlign w:val="center"/>
          </w:tcPr>
          <w:p>
            <w:pPr>
              <w:spacing w:line="288"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756" w:type="dxa"/>
            <w:vAlign w:val="center"/>
          </w:tcPr>
          <w:p>
            <w:pPr>
              <w:spacing w:line="288" w:lineRule="auto"/>
              <w:ind w:firstLine="0" w:firstLineChars="0"/>
              <w:jc w:val="center"/>
              <w:rPr>
                <w:rFonts w:hint="eastAsia" w:ascii="宋体" w:hAnsi="宋体" w:eastAsia="宋体" w:cs="宋体"/>
                <w:color w:val="auto"/>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756" w:type="dxa"/>
            <w:vAlign w:val="center"/>
          </w:tcPr>
          <w:p>
            <w:pPr>
              <w:spacing w:line="288" w:lineRule="auto"/>
              <w:ind w:firstLine="0" w:firstLineChars="0"/>
              <w:jc w:val="center"/>
              <w:rPr>
                <w:rFonts w:hint="eastAsia" w:ascii="宋体" w:hAnsi="宋体" w:eastAsia="宋体" w:cs="宋体"/>
                <w:color w:val="auto"/>
                <w:spacing w:val="-6"/>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c>
          <w:tcPr>
            <w:tcW w:w="2756" w:type="dxa"/>
            <w:vAlign w:val="center"/>
          </w:tcPr>
          <w:p>
            <w:pPr>
              <w:spacing w:line="288" w:lineRule="auto"/>
              <w:ind w:firstLine="0" w:firstLineChars="0"/>
              <w:jc w:val="center"/>
              <w:rPr>
                <w:rFonts w:hint="eastAsia" w:ascii="宋体" w:hAnsi="宋体" w:eastAsia="宋体" w:cs="宋体"/>
                <w:color w:val="auto"/>
                <w:spacing w:val="-6"/>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34" w:type="dxa"/>
            <w:gridSpan w:val="4"/>
            <w:vAlign w:val="center"/>
          </w:tcPr>
          <w:p>
            <w:pPr>
              <w:snapToGrid w:val="0"/>
              <w:spacing w:line="288" w:lineRule="auto"/>
              <w:ind w:firstLine="0"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二、</w:t>
            </w:r>
          </w:p>
        </w:tc>
        <w:tc>
          <w:tcPr>
            <w:tcW w:w="2117" w:type="dxa"/>
            <w:vAlign w:val="center"/>
          </w:tcPr>
          <w:p>
            <w:pPr>
              <w:snapToGrid w:val="0"/>
              <w:spacing w:line="288" w:lineRule="auto"/>
              <w:ind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756" w:type="dxa"/>
            <w:vAlign w:val="center"/>
          </w:tcPr>
          <w:p>
            <w:pPr>
              <w:spacing w:line="288" w:lineRule="auto"/>
              <w:ind w:firstLine="0" w:firstLineChars="0"/>
              <w:jc w:val="center"/>
              <w:rPr>
                <w:rFonts w:hint="eastAsia" w:ascii="宋体" w:hAnsi="宋体" w:eastAsia="宋体" w:cs="宋体"/>
                <w:color w:val="auto"/>
                <w:spacing w:val="-6"/>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756" w:type="dxa"/>
            <w:vAlign w:val="center"/>
          </w:tcPr>
          <w:p>
            <w:pPr>
              <w:spacing w:line="288" w:lineRule="auto"/>
              <w:ind w:firstLine="0" w:firstLineChars="0"/>
              <w:jc w:val="center"/>
              <w:rPr>
                <w:rFonts w:hint="eastAsia" w:ascii="宋体" w:hAnsi="宋体" w:eastAsia="宋体" w:cs="宋体"/>
                <w:color w:val="auto"/>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c>
          <w:tcPr>
            <w:tcW w:w="2756" w:type="dxa"/>
            <w:vAlign w:val="center"/>
          </w:tcPr>
          <w:p>
            <w:pPr>
              <w:spacing w:line="288" w:lineRule="auto"/>
              <w:ind w:firstLine="0" w:firstLineChars="0"/>
              <w:jc w:val="center"/>
              <w:rPr>
                <w:rFonts w:hint="eastAsia" w:ascii="宋体" w:hAnsi="宋体" w:eastAsia="宋体" w:cs="宋体"/>
                <w:color w:val="auto"/>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34" w:type="dxa"/>
            <w:gridSpan w:val="4"/>
            <w:vAlign w:val="center"/>
          </w:tcPr>
          <w:p>
            <w:pPr>
              <w:snapToGrid w:val="0"/>
              <w:spacing w:line="288" w:lineRule="auto"/>
              <w:ind w:firstLine="0"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三、</w:t>
            </w:r>
          </w:p>
        </w:tc>
        <w:tc>
          <w:tcPr>
            <w:tcW w:w="2117" w:type="dxa"/>
            <w:vAlign w:val="center"/>
          </w:tcPr>
          <w:p>
            <w:pPr>
              <w:snapToGrid w:val="0"/>
              <w:spacing w:line="288" w:lineRule="auto"/>
              <w:ind w:firstLine="0" w:firstLineChars="0"/>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756" w:type="dxa"/>
            <w:vAlign w:val="center"/>
          </w:tcPr>
          <w:p>
            <w:pPr>
              <w:spacing w:line="288" w:lineRule="auto"/>
              <w:ind w:firstLine="0" w:firstLineChars="0"/>
              <w:jc w:val="center"/>
              <w:rPr>
                <w:rFonts w:hint="eastAsia" w:ascii="宋体" w:hAnsi="宋体" w:eastAsia="宋体" w:cs="宋体"/>
                <w:color w:val="auto"/>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756" w:type="dxa"/>
            <w:vAlign w:val="center"/>
          </w:tcPr>
          <w:p>
            <w:pPr>
              <w:spacing w:line="288" w:lineRule="auto"/>
              <w:ind w:firstLine="0" w:firstLineChars="0"/>
              <w:jc w:val="center"/>
              <w:rPr>
                <w:rFonts w:hint="eastAsia" w:ascii="宋体" w:hAnsi="宋体" w:eastAsia="宋体" w:cs="宋体"/>
                <w:color w:val="auto"/>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c>
          <w:tcPr>
            <w:tcW w:w="2756" w:type="dxa"/>
            <w:vAlign w:val="center"/>
          </w:tcPr>
          <w:p>
            <w:pPr>
              <w:spacing w:line="288" w:lineRule="auto"/>
              <w:ind w:firstLine="0" w:firstLineChars="0"/>
              <w:jc w:val="center"/>
              <w:rPr>
                <w:rFonts w:hint="eastAsia" w:ascii="宋体" w:hAnsi="宋体" w:eastAsia="宋体" w:cs="宋体"/>
                <w:color w:val="auto"/>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1" w:type="dxa"/>
            <w:gridSpan w:val="5"/>
            <w:vAlign w:val="center"/>
          </w:tcPr>
          <w:p>
            <w:pPr>
              <w:snapToGrid w:val="0"/>
              <w:spacing w:line="288" w:lineRule="auto"/>
              <w:ind w:firstLine="0" w:firstLineChars="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756" w:type="dxa"/>
            <w:vAlign w:val="center"/>
          </w:tcPr>
          <w:p>
            <w:pPr>
              <w:spacing w:line="288" w:lineRule="auto"/>
              <w:ind w:firstLine="0" w:firstLineChars="0"/>
              <w:jc w:val="center"/>
              <w:rPr>
                <w:rFonts w:hint="eastAsia" w:ascii="宋体" w:hAnsi="宋体" w:eastAsia="宋体" w:cs="宋体"/>
                <w:color w:val="auto"/>
                <w:sz w:val="21"/>
                <w:szCs w:val="21"/>
                <w:highlight w:val="none"/>
              </w:rPr>
            </w:pPr>
          </w:p>
        </w:tc>
        <w:tc>
          <w:tcPr>
            <w:tcW w:w="242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1936"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c>
          <w:tcPr>
            <w:tcW w:w="2117" w:type="dxa"/>
            <w:vAlign w:val="center"/>
          </w:tcPr>
          <w:p>
            <w:pPr>
              <w:snapToGrid w:val="0"/>
              <w:spacing w:line="288" w:lineRule="auto"/>
              <w:ind w:firstLine="0" w:firstLineChars="0"/>
              <w:jc w:val="center"/>
              <w:rPr>
                <w:rFonts w:hint="eastAsia" w:ascii="宋体" w:hAnsi="宋体" w:eastAsia="宋体" w:cs="宋体"/>
                <w:color w:val="auto"/>
                <w:spacing w:val="-6"/>
                <w:sz w:val="21"/>
                <w:szCs w:val="21"/>
                <w:highlight w:val="none"/>
              </w:rPr>
            </w:pPr>
          </w:p>
        </w:tc>
      </w:tr>
    </w:tbl>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color w:val="auto"/>
          <w:highlight w:val="none"/>
        </w:rPr>
      </w:pPr>
      <w:bookmarkStart w:id="219" w:name="_Toc20588"/>
      <w:r>
        <w:rPr>
          <w:rFonts w:hint="eastAsia"/>
          <w:color w:val="auto"/>
          <w:highlight w:val="none"/>
        </w:rPr>
        <w:t>注：1.逐项按照招标文件要求填写响应规格；</w:t>
      </w:r>
      <w:bookmarkEnd w:id="219"/>
    </w:p>
    <w:p>
      <w:pPr>
        <w:bidi w:val="0"/>
        <w:rPr>
          <w:rFonts w:hint="eastAsia"/>
          <w:color w:val="auto"/>
          <w:highlight w:val="none"/>
        </w:rPr>
      </w:pPr>
      <w:r>
        <w:rPr>
          <w:rFonts w:hint="eastAsia"/>
          <w:color w:val="auto"/>
          <w:highlight w:val="none"/>
        </w:rPr>
        <w:t>2.表后需提供技术支持资料以证明其对技术指标的应答。若对技术指标的应答无技术支持资料证明，评标委员会可不予承认，并可认为该应答不符合招标文件要求，将作出不利于投标人的技术评审，其后果将由投标人自行承担；</w:t>
      </w:r>
    </w:p>
    <w:p>
      <w:pPr>
        <w:bidi w:val="0"/>
        <w:rPr>
          <w:rFonts w:hint="eastAsia"/>
          <w:color w:val="auto"/>
          <w:highlight w:val="none"/>
        </w:rPr>
      </w:pPr>
      <w:r>
        <w:rPr>
          <w:rFonts w:hint="eastAsia"/>
          <w:color w:val="auto"/>
          <w:highlight w:val="none"/>
        </w:rPr>
        <w:t>3.投标人可提供同等于或优于招标文件要求的设备和服务。</w:t>
      </w: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rPr>
          <w:rFonts w:hint="eastAsia" w:ascii="宋体" w:hAnsi="宋体" w:eastAsia="宋体" w:cs="宋体"/>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286" w:charSpace="0"/>
        </w:sectPr>
      </w:pPr>
    </w:p>
    <w:p>
      <w:pPr>
        <w:pStyle w:val="8"/>
        <w:numPr>
          <w:ilvl w:val="0"/>
          <w:numId w:val="51"/>
        </w:numPr>
        <w:ind w:firstLine="482" w:firstLineChars="200"/>
        <w:rPr>
          <w:highlight w:val="none"/>
        </w:rPr>
      </w:pPr>
      <w:r>
        <w:rPr>
          <w:rFonts w:hint="eastAsia" w:cs="宋体"/>
          <w:highlight w:val="none"/>
        </w:rPr>
        <w:t>实施方案</w:t>
      </w:r>
    </w:p>
    <w:p>
      <w:pPr>
        <w:ind w:firstLine="480"/>
        <w:rPr>
          <w:highlight w:val="none"/>
        </w:rPr>
      </w:pPr>
      <w:r>
        <w:rPr>
          <w:rFonts w:hint="eastAsia"/>
          <w:highlight w:val="none"/>
        </w:rPr>
        <w:t>说明：投标人须按照评分标准要求编写并提交相应证明材料</w:t>
      </w:r>
    </w:p>
    <w:p>
      <w:pPr>
        <w:ind w:firstLine="480"/>
        <w:rPr>
          <w:highlight w:val="none"/>
        </w:rPr>
      </w:pPr>
    </w:p>
    <w:p>
      <w:pPr>
        <w:pStyle w:val="8"/>
        <w:numPr>
          <w:ilvl w:val="0"/>
          <w:numId w:val="51"/>
        </w:numPr>
        <w:ind w:firstLine="482" w:firstLineChars="200"/>
        <w:rPr>
          <w:rFonts w:cs="宋体"/>
          <w:highlight w:val="none"/>
        </w:rPr>
      </w:pPr>
      <w:r>
        <w:rPr>
          <w:rFonts w:hint="eastAsia" w:cs="宋体"/>
          <w:highlight w:val="none"/>
        </w:rPr>
        <w:t>服务团队</w:t>
      </w:r>
    </w:p>
    <w:p>
      <w:pPr>
        <w:ind w:firstLine="480"/>
        <w:rPr>
          <w:highlight w:val="none"/>
        </w:rPr>
      </w:pPr>
      <w:r>
        <w:rPr>
          <w:rFonts w:hint="eastAsia"/>
          <w:highlight w:val="none"/>
        </w:rPr>
        <w:t>说明：投标人须按照评分标准要求编写并提交相应证明材料；</w:t>
      </w:r>
    </w:p>
    <w:p>
      <w:pPr>
        <w:ind w:firstLine="480"/>
        <w:rPr>
          <w:highlight w:val="none"/>
        </w:rPr>
      </w:pPr>
    </w:p>
    <w:p>
      <w:pPr>
        <w:pStyle w:val="8"/>
        <w:numPr>
          <w:ilvl w:val="0"/>
          <w:numId w:val="51"/>
        </w:numPr>
        <w:ind w:firstLine="482" w:firstLineChars="200"/>
        <w:rPr>
          <w:rFonts w:cs="宋体"/>
          <w:highlight w:val="none"/>
        </w:rPr>
      </w:pPr>
      <w:r>
        <w:rPr>
          <w:rFonts w:hint="eastAsia" w:cs="宋体"/>
          <w:highlight w:val="none"/>
        </w:rPr>
        <w:t>售后服务</w:t>
      </w:r>
    </w:p>
    <w:p>
      <w:pPr>
        <w:ind w:firstLine="480"/>
        <w:rPr>
          <w:highlight w:val="none"/>
        </w:rPr>
      </w:pPr>
      <w:r>
        <w:rPr>
          <w:rFonts w:hint="eastAsia"/>
          <w:highlight w:val="none"/>
        </w:rPr>
        <w:t>说明：投标人须按照评分标准要求编写并提交相应证明材料；</w:t>
      </w:r>
    </w:p>
    <w:p>
      <w:pPr>
        <w:ind w:firstLine="480"/>
        <w:rPr>
          <w:highlight w:val="none"/>
        </w:rPr>
      </w:pPr>
    </w:p>
    <w:p>
      <w:pPr>
        <w:pStyle w:val="8"/>
        <w:numPr>
          <w:ilvl w:val="0"/>
          <w:numId w:val="51"/>
        </w:numPr>
        <w:ind w:firstLine="482" w:firstLineChars="200"/>
        <w:rPr>
          <w:rFonts w:cs="宋体"/>
          <w:highlight w:val="none"/>
        </w:rPr>
      </w:pPr>
      <w:r>
        <w:rPr>
          <w:rFonts w:hint="eastAsia" w:cs="宋体"/>
          <w:highlight w:val="none"/>
        </w:rPr>
        <w:t>培训方案</w:t>
      </w:r>
    </w:p>
    <w:p>
      <w:pPr>
        <w:ind w:firstLine="480"/>
        <w:rPr>
          <w:highlight w:val="none"/>
        </w:rPr>
      </w:pPr>
      <w:r>
        <w:rPr>
          <w:rFonts w:hint="eastAsia"/>
          <w:highlight w:val="none"/>
        </w:rPr>
        <w:t>说明：投标人须按照评分标准要求编写并提交相应证明材料；</w:t>
      </w:r>
    </w:p>
    <w:p>
      <w:pPr>
        <w:ind w:firstLine="0" w:firstLineChars="0"/>
        <w:rPr>
          <w:highlight w:val="none"/>
        </w:rPr>
      </w:pPr>
    </w:p>
    <w:p>
      <w:pPr>
        <w:pStyle w:val="8"/>
        <w:numPr>
          <w:ilvl w:val="0"/>
          <w:numId w:val="51"/>
        </w:numPr>
        <w:ind w:firstLine="482" w:firstLineChars="200"/>
        <w:rPr>
          <w:rFonts w:cs="宋体"/>
          <w:highlight w:val="none"/>
        </w:rPr>
      </w:pPr>
      <w:bookmarkStart w:id="220" w:name="_Toc14838"/>
      <w:r>
        <w:rPr>
          <w:rFonts w:hint="eastAsia" w:cs="宋体"/>
          <w:highlight w:val="none"/>
        </w:rPr>
        <w:t>优惠承诺</w:t>
      </w:r>
      <w:bookmarkEnd w:id="220"/>
    </w:p>
    <w:p>
      <w:pPr>
        <w:ind w:firstLine="480"/>
        <w:rPr>
          <w:highlight w:val="none"/>
        </w:rPr>
      </w:pPr>
      <w:r>
        <w:rPr>
          <w:rFonts w:hint="eastAsia"/>
          <w:highlight w:val="none"/>
        </w:rPr>
        <w:t>说明：投标人须按照评分标准要求编写并提交相应证明材料；</w:t>
      </w:r>
    </w:p>
    <w:p>
      <w:pPr>
        <w:ind w:firstLine="480"/>
        <w:rPr>
          <w:rFonts w:cs="宋体"/>
          <w:highlight w:val="none"/>
        </w:rPr>
      </w:pPr>
    </w:p>
    <w:p>
      <w:pPr>
        <w:pStyle w:val="8"/>
        <w:numPr>
          <w:ilvl w:val="0"/>
          <w:numId w:val="51"/>
        </w:numPr>
        <w:ind w:firstLine="482" w:firstLineChars="200"/>
        <w:rPr>
          <w:rFonts w:cs="宋体"/>
          <w:highlight w:val="none"/>
        </w:rPr>
      </w:pPr>
      <w:bookmarkStart w:id="221" w:name="_Toc25327"/>
      <w:r>
        <w:rPr>
          <w:rFonts w:hint="eastAsia" w:cs="宋体"/>
          <w:highlight w:val="none"/>
        </w:rPr>
        <w:t>其他</w:t>
      </w:r>
      <w:bookmarkEnd w:id="221"/>
    </w:p>
    <w:p>
      <w:pPr>
        <w:ind w:firstLine="480"/>
        <w:rPr>
          <w:highlight w:val="none"/>
        </w:rPr>
      </w:pPr>
      <w:r>
        <w:rPr>
          <w:rFonts w:hint="eastAsia"/>
          <w:highlight w:val="none"/>
        </w:rPr>
        <w:t>说明：其它本招标文件评分表要求提供的材料或投标人认为需要的其他技术文件资料或说明</w:t>
      </w:r>
    </w:p>
    <w:p>
      <w:pPr>
        <w:rPr>
          <w:rFonts w:hint="eastAsia"/>
          <w:color w:val="auto"/>
          <w:highlight w:val="none"/>
          <w:lang w:val="en-US" w:eastAsia="zh-CN"/>
        </w:rPr>
      </w:pPr>
      <w:r>
        <w:rPr>
          <w:rFonts w:hint="eastAsia"/>
          <w:color w:val="auto"/>
          <w:highlight w:val="none"/>
          <w:lang w:val="en-US" w:eastAsia="zh-CN"/>
        </w:rPr>
        <w:br w:type="page"/>
      </w:r>
    </w:p>
    <w:p>
      <w:pPr>
        <w:pStyle w:val="8"/>
        <w:numPr>
          <w:ilvl w:val="0"/>
          <w:numId w:val="51"/>
        </w:numPr>
        <w:ind w:left="0" w:leftChars="0" w:firstLine="482" w:firstLineChars="200"/>
        <w:rPr>
          <w:rFonts w:hint="eastAsia" w:ascii="宋体" w:hAnsi="宋体" w:eastAsia="宋体" w:cs="宋体"/>
          <w:color w:val="auto"/>
          <w:highlight w:val="none"/>
        </w:rPr>
      </w:pPr>
      <w:bookmarkStart w:id="222" w:name="_Toc5562"/>
      <w:r>
        <w:rPr>
          <w:rFonts w:hint="eastAsia" w:ascii="宋体" w:hAnsi="宋体" w:eastAsia="宋体" w:cs="宋体"/>
          <w:color w:val="auto"/>
          <w:highlight w:val="none"/>
        </w:rPr>
        <w:t>弃标函</w:t>
      </w:r>
      <w:bookmarkEnd w:id="222"/>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bookmarkStart w:id="223" w:name="_Toc22183"/>
      <w:r>
        <w:rPr>
          <w:rFonts w:hint="eastAsia" w:ascii="宋体" w:hAnsi="宋体" w:eastAsia="宋体" w:cs="宋体"/>
          <w:b/>
          <w:color w:val="auto"/>
          <w:kern w:val="0"/>
          <w:sz w:val="32"/>
          <w:highlight w:val="none"/>
          <w:lang w:eastAsia="zh-CN"/>
        </w:rPr>
        <w:t>弃标函</w:t>
      </w:r>
      <w:bookmarkEnd w:id="223"/>
    </w:p>
    <w:p>
      <w:pPr>
        <w:bidi w:val="0"/>
        <w:rPr>
          <w:rFonts w:hint="eastAsia"/>
          <w:color w:val="auto"/>
          <w:highlight w:val="none"/>
        </w:rPr>
      </w:pPr>
    </w:p>
    <w:p>
      <w:pPr>
        <w:ind w:firstLine="480"/>
        <w:rPr>
          <w:rFonts w:hint="eastAsia" w:ascii="宋体" w:hAnsi="宋体" w:eastAsia="宋体" w:cs="宋体"/>
          <w:b/>
          <w:color w:val="auto"/>
          <w:highlight w:val="none"/>
        </w:rPr>
      </w:pP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szCs w:val="32"/>
          <w:highlight w:val="none"/>
        </w:rPr>
      </w:pPr>
    </w:p>
    <w:p>
      <w:pPr>
        <w:pStyle w:val="37"/>
        <w:shd w:val="clear" w:color="auto" w:fill="FFFFFF"/>
        <w:spacing w:after="270" w:line="360" w:lineRule="auto"/>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我公司</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，于</w:t>
      </w:r>
      <w:r>
        <w:rPr>
          <w:rFonts w:hint="eastAsia" w:ascii="宋体" w:hAnsi="宋体" w:eastAsia="宋体" w:cs="宋体"/>
          <w:color w:val="auto"/>
          <w:sz w:val="24"/>
          <w:szCs w:val="24"/>
          <w:highlight w:val="none"/>
          <w:u w:val="single"/>
          <w:shd w:val="clear" w:color="auto" w:fill="FFFFFF"/>
        </w:rPr>
        <w:t xml:space="preserve">  2021</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日报名参与</w:t>
      </w:r>
      <w:r>
        <w:rPr>
          <w:rFonts w:hint="eastAsia" w:ascii="宋体" w:hAnsi="宋体" w:eastAsia="宋体" w:cs="宋体"/>
          <w:color w:val="auto"/>
          <w:sz w:val="24"/>
          <w:szCs w:val="24"/>
          <w:highlight w:val="none"/>
          <w:u w:val="single"/>
          <w:shd w:val="clear" w:color="auto" w:fill="FFFFFF"/>
        </w:rPr>
        <w:t xml:space="preserve">  （项目名称）     </w:t>
      </w:r>
      <w:r>
        <w:rPr>
          <w:rFonts w:hint="eastAsia" w:ascii="宋体" w:hAnsi="宋体" w:eastAsia="宋体" w:cs="宋体"/>
          <w:color w:val="auto"/>
          <w:sz w:val="24"/>
          <w:szCs w:val="24"/>
          <w:highlight w:val="none"/>
          <w:shd w:val="clear" w:color="auto" w:fill="FFFFFF"/>
        </w:rPr>
        <w:t>项目，由于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原因，经研究决定放弃投标。特此声明。</w:t>
      </w: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Style w:val="48"/>
          <w:rFonts w:hint="eastAsia" w:ascii="宋体" w:hAnsi="宋体" w:eastAsia="宋体" w:cs="宋体"/>
          <w:color w:val="auto"/>
          <w:szCs w:val="40"/>
          <w:highlight w:val="none"/>
        </w:rPr>
      </w:pPr>
      <w:r>
        <w:rPr>
          <w:rFonts w:hint="eastAsia" w:ascii="宋体" w:hAnsi="宋体" w:eastAsia="宋体" w:cs="宋体"/>
          <w:color w:val="auto"/>
          <w:highlight w:val="none"/>
        </w:rPr>
        <w:t>注：报名单位若不参与该项目的投标，请于开标截止前3个工作日将弃标函盖章发送至我公司邮箱。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Fonts w:hint="eastAsia" w:ascii="宋体" w:hAnsi="宋体"/>
          <w:snapToGrid w:val="0"/>
          <w:color w:val="auto"/>
          <w:kern w:val="0"/>
          <w:highlight w:val="none"/>
        </w:rPr>
        <w:t>2810140286@qq.com</w:t>
      </w:r>
      <w:r>
        <w:rPr>
          <w:rFonts w:hint="eastAsia" w:ascii="宋体" w:hAnsi="宋体" w:eastAsia="宋体" w:cs="宋体"/>
          <w:color w:val="auto"/>
          <w:highlight w:val="none"/>
        </w:rPr>
        <w:t>。</w:t>
      </w:r>
    </w:p>
    <w:p>
      <w:pPr>
        <w:ind w:firstLine="480"/>
        <w:rPr>
          <w:rStyle w:val="48"/>
          <w:rFonts w:hint="eastAsia" w:ascii="宋体" w:hAnsi="宋体" w:eastAsia="宋体" w:cs="宋体"/>
          <w:color w:val="auto"/>
          <w:szCs w:val="40"/>
          <w:highlight w:val="none"/>
        </w:rPr>
      </w:pPr>
    </w:p>
    <w:p>
      <w:pPr>
        <w:ind w:firstLine="480"/>
        <w:rPr>
          <w:rFonts w:hint="eastAsia" w:ascii="宋体" w:hAnsi="宋体" w:eastAsia="宋体" w:cs="宋体"/>
          <w:color w:val="auto"/>
          <w:highlight w:val="none"/>
        </w:rPr>
        <w:sectPr>
          <w:footerReference r:id="rId20"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pStyle w:val="8"/>
        <w:numPr>
          <w:ilvl w:val="0"/>
          <w:numId w:val="51"/>
        </w:numPr>
        <w:bidi w:val="0"/>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bookmarkEnd w:id="83"/>
      <w:bookmarkEnd w:id="84"/>
      <w:bookmarkEnd w:id="85"/>
      <w:bookmarkEnd w:id="86"/>
      <w:bookmarkEnd w:id="87"/>
      <w:bookmarkEnd w:id="88"/>
      <w:bookmarkEnd w:id="89"/>
      <w:bookmarkEnd w:id="90"/>
      <w:bookmarkStart w:id="224" w:name="_Toc8358"/>
      <w:r>
        <w:rPr>
          <w:rFonts w:hint="eastAsia" w:ascii="宋体" w:hAnsi="宋体" w:eastAsia="宋体" w:cs="宋体"/>
          <w:color w:val="auto"/>
          <w:highlight w:val="none"/>
        </w:rPr>
        <w:t>质疑函</w:t>
      </w:r>
      <w:bookmarkEnd w:id="224"/>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bookmarkStart w:id="225" w:name="_Toc4682"/>
      <w:r>
        <w:rPr>
          <w:rFonts w:hint="eastAsia" w:ascii="宋体" w:hAnsi="宋体" w:eastAsia="宋体" w:cs="宋体"/>
          <w:b/>
          <w:color w:val="auto"/>
          <w:kern w:val="0"/>
          <w:sz w:val="32"/>
          <w:highlight w:val="none"/>
          <w:lang w:eastAsia="zh-CN"/>
        </w:rPr>
        <w:t>质疑函</w:t>
      </w:r>
      <w:bookmarkEnd w:id="225"/>
    </w:p>
    <w:p>
      <w:pPr>
        <w:keepNext w:val="0"/>
        <w:keepLines w:val="0"/>
        <w:pageBreakBefore w:val="0"/>
        <w:widowControl w:val="0"/>
        <w:kinsoku/>
        <w:wordWrap/>
        <w:overflowPunct/>
        <w:topLinePunct w:val="0"/>
        <w:autoSpaceDE/>
        <w:autoSpaceDN/>
        <w:bidi w:val="0"/>
        <w:textAlignment w:val="auto"/>
        <w:rPr>
          <w:rFonts w:hint="eastAsia"/>
          <w:color w:val="auto"/>
          <w:highlight w:val="none"/>
          <w:lang w:eastAsia="zh-CN"/>
        </w:rPr>
      </w:pPr>
    </w:p>
    <w:p>
      <w:pPr>
        <w:bidi w:val="0"/>
        <w:rPr>
          <w:rFonts w:hint="eastAsia"/>
          <w:b/>
          <w:bCs/>
          <w:color w:val="auto"/>
          <w:highlight w:val="none"/>
        </w:rPr>
      </w:pPr>
      <w:bookmarkStart w:id="226" w:name="_Toc11431"/>
      <w:r>
        <w:rPr>
          <w:rFonts w:hint="eastAsia"/>
          <w:b/>
          <w:bCs/>
          <w:color w:val="auto"/>
          <w:highlight w:val="none"/>
        </w:rPr>
        <w:t>一、质疑供应商基本信息</w:t>
      </w:r>
      <w:bookmarkEnd w:id="226"/>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bidi w:val="0"/>
        <w:rPr>
          <w:rFonts w:hint="eastAsia"/>
          <w:b/>
          <w:bCs/>
          <w:color w:val="auto"/>
          <w:highlight w:val="none"/>
        </w:rPr>
      </w:pPr>
      <w:bookmarkStart w:id="227" w:name="_Toc13602"/>
      <w:r>
        <w:rPr>
          <w:rFonts w:hint="eastAsia"/>
          <w:b/>
          <w:bCs/>
          <w:color w:val="auto"/>
          <w:highlight w:val="none"/>
        </w:rPr>
        <w:t>二、质疑项目基本情况</w:t>
      </w:r>
      <w:bookmarkEnd w:id="227"/>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bidi w:val="0"/>
        <w:rPr>
          <w:rFonts w:hint="eastAsia"/>
          <w:b/>
          <w:bCs/>
          <w:color w:val="auto"/>
          <w:highlight w:val="none"/>
        </w:rPr>
      </w:pPr>
      <w:bookmarkStart w:id="228" w:name="_Toc25776"/>
      <w:r>
        <w:rPr>
          <w:rFonts w:hint="eastAsia"/>
          <w:b/>
          <w:bCs/>
          <w:color w:val="auto"/>
          <w:highlight w:val="none"/>
        </w:rPr>
        <w:t>三、质疑事项具体内容</w:t>
      </w:r>
      <w:bookmarkEnd w:id="228"/>
    </w:p>
    <w:p>
      <w:pPr>
        <w:bidi w:val="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bidi w:val="0"/>
        <w:rPr>
          <w:rFonts w:hint="eastAsia"/>
          <w:color w:val="auto"/>
          <w:highlight w:val="none"/>
        </w:rPr>
      </w:pPr>
      <w:r>
        <w:rPr>
          <w:rFonts w:hint="eastAsia"/>
          <w:color w:val="auto"/>
          <w:highlight w:val="none"/>
        </w:rPr>
        <w:t>质疑事项2</w:t>
      </w:r>
    </w:p>
    <w:p>
      <w:pPr>
        <w:bidi w:val="0"/>
        <w:rPr>
          <w:rFonts w:hint="eastAsia"/>
          <w:color w:val="auto"/>
          <w:highlight w:val="none"/>
        </w:rPr>
      </w:pPr>
      <w:r>
        <w:rPr>
          <w:rFonts w:hint="eastAsia"/>
          <w:color w:val="auto"/>
          <w:highlight w:val="none"/>
        </w:rPr>
        <w:t>……</w:t>
      </w:r>
    </w:p>
    <w:p>
      <w:pPr>
        <w:bidi w:val="0"/>
        <w:rPr>
          <w:rFonts w:hint="eastAsia"/>
          <w:b/>
          <w:bCs/>
          <w:color w:val="auto"/>
          <w:highlight w:val="none"/>
        </w:rPr>
      </w:pPr>
      <w:bookmarkStart w:id="229" w:name="_Toc19446"/>
      <w:r>
        <w:rPr>
          <w:rFonts w:hint="eastAsia"/>
          <w:b/>
          <w:bCs/>
          <w:color w:val="auto"/>
          <w:highlight w:val="none"/>
        </w:rPr>
        <w:t>四、与质疑事项相关的质疑请求</w:t>
      </w:r>
      <w:bookmarkEnd w:id="229"/>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bidi w:val="0"/>
        <w:rPr>
          <w:rFonts w:hint="eastAsia"/>
          <w:color w:val="auto"/>
          <w:highlight w:val="none"/>
        </w:rPr>
      </w:pPr>
      <w:r>
        <w:rPr>
          <w:rFonts w:hint="eastAsia"/>
          <w:color w:val="auto"/>
          <w:highlight w:val="none"/>
        </w:rPr>
        <w:t xml:space="preserve">签字(签章)：                    公章：                      </w:t>
      </w:r>
    </w:p>
    <w:p>
      <w:pPr>
        <w:bidi w:val="0"/>
        <w:rPr>
          <w:rFonts w:hint="eastAsia"/>
          <w:color w:val="auto"/>
          <w:highlight w:val="none"/>
        </w:rPr>
      </w:pPr>
      <w:r>
        <w:rPr>
          <w:rFonts w:hint="eastAsia"/>
          <w:color w:val="auto"/>
          <w:highlight w:val="none"/>
        </w:rPr>
        <w:t xml:space="preserve">日期：     </w:t>
      </w:r>
    </w:p>
    <w:p>
      <w:pPr>
        <w:ind w:firstLine="643"/>
        <w:jc w:val="left"/>
        <w:rPr>
          <w:rFonts w:hint="eastAsia" w:ascii="宋体" w:hAnsi="宋体" w:eastAsia="宋体" w:cs="宋体"/>
          <w:b/>
          <w:color w:val="auto"/>
          <w:sz w:val="32"/>
          <w:highlight w:val="none"/>
        </w:rPr>
      </w:pPr>
    </w:p>
    <w:p>
      <w:pPr>
        <w:bidi w:val="0"/>
        <w:rPr>
          <w:rFonts w:hint="eastAsia"/>
          <w:i/>
          <w:iCs/>
          <w:color w:val="auto"/>
          <w:sz w:val="22"/>
          <w:szCs w:val="22"/>
          <w:highlight w:val="none"/>
        </w:rPr>
      </w:pPr>
      <w:bookmarkStart w:id="230" w:name="_Toc386"/>
      <w:r>
        <w:rPr>
          <w:rFonts w:hint="eastAsia"/>
          <w:i/>
          <w:iCs/>
          <w:color w:val="auto"/>
          <w:sz w:val="22"/>
          <w:szCs w:val="22"/>
          <w:highlight w:val="none"/>
        </w:rPr>
        <w:t>质疑函制作说明：</w:t>
      </w:r>
      <w:bookmarkEnd w:id="230"/>
    </w:p>
    <w:p>
      <w:pPr>
        <w:bidi w:val="0"/>
        <w:rPr>
          <w:rFonts w:hint="eastAsia"/>
          <w:i/>
          <w:iCs/>
          <w:color w:val="auto"/>
          <w:sz w:val="22"/>
          <w:szCs w:val="22"/>
          <w:highlight w:val="none"/>
        </w:rPr>
      </w:pPr>
      <w:r>
        <w:rPr>
          <w:rFonts w:hint="eastAsia"/>
          <w:i/>
          <w:iCs/>
          <w:color w:val="auto"/>
          <w:sz w:val="22"/>
          <w:szCs w:val="22"/>
          <w:highlight w:val="none"/>
        </w:rPr>
        <w:t>1.供应商提出质疑时，应提交质疑函和必要的证明材料。</w:t>
      </w:r>
    </w:p>
    <w:p>
      <w:pPr>
        <w:bidi w:val="0"/>
        <w:rPr>
          <w:rFonts w:hint="eastAsia"/>
          <w:i/>
          <w:iCs/>
          <w:color w:val="auto"/>
          <w:sz w:val="22"/>
          <w:szCs w:val="22"/>
          <w:highlight w:val="none"/>
        </w:rPr>
      </w:pPr>
      <w:r>
        <w:rPr>
          <w:rFonts w:hint="eastAsia"/>
          <w:i/>
          <w:iCs/>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bidi w:val="0"/>
        <w:rPr>
          <w:rFonts w:hint="eastAsia"/>
          <w:i/>
          <w:iCs/>
          <w:color w:val="auto"/>
          <w:sz w:val="22"/>
          <w:szCs w:val="22"/>
          <w:highlight w:val="none"/>
        </w:rPr>
      </w:pPr>
      <w:r>
        <w:rPr>
          <w:rFonts w:hint="eastAsia"/>
          <w:i/>
          <w:iCs/>
          <w:color w:val="auto"/>
          <w:sz w:val="22"/>
          <w:szCs w:val="22"/>
          <w:highlight w:val="none"/>
        </w:rPr>
        <w:t>3.质疑供应商若对项目的某一分包进行质疑，质疑函中应列明具体分包号。</w:t>
      </w:r>
    </w:p>
    <w:p>
      <w:pPr>
        <w:bidi w:val="0"/>
        <w:rPr>
          <w:rFonts w:hint="eastAsia"/>
          <w:i/>
          <w:iCs/>
          <w:color w:val="auto"/>
          <w:sz w:val="22"/>
          <w:szCs w:val="22"/>
          <w:highlight w:val="none"/>
        </w:rPr>
      </w:pPr>
      <w:r>
        <w:rPr>
          <w:rFonts w:hint="eastAsia"/>
          <w:i/>
          <w:iCs/>
          <w:color w:val="auto"/>
          <w:sz w:val="22"/>
          <w:szCs w:val="22"/>
          <w:highlight w:val="none"/>
        </w:rPr>
        <w:t>4.质疑函的质疑事项应具体、明确，并有必要的事实依据和法律依据。</w:t>
      </w:r>
    </w:p>
    <w:p>
      <w:pPr>
        <w:bidi w:val="0"/>
        <w:rPr>
          <w:rFonts w:hint="eastAsia"/>
          <w:i/>
          <w:iCs/>
          <w:color w:val="auto"/>
          <w:sz w:val="22"/>
          <w:szCs w:val="22"/>
          <w:highlight w:val="none"/>
        </w:rPr>
      </w:pPr>
      <w:r>
        <w:rPr>
          <w:rFonts w:hint="eastAsia"/>
          <w:i/>
          <w:iCs/>
          <w:color w:val="auto"/>
          <w:sz w:val="22"/>
          <w:szCs w:val="22"/>
          <w:highlight w:val="none"/>
        </w:rPr>
        <w:t>5.质疑函的质疑请求应与质疑事项相关。</w:t>
      </w:r>
    </w:p>
    <w:p>
      <w:pPr>
        <w:bidi w:val="0"/>
        <w:rPr>
          <w:rFonts w:hint="eastAsia"/>
          <w:i/>
          <w:iCs/>
          <w:color w:val="auto"/>
          <w:sz w:val="22"/>
          <w:szCs w:val="22"/>
          <w:highlight w:val="none"/>
        </w:rPr>
      </w:pPr>
      <w:r>
        <w:rPr>
          <w:rFonts w:hint="eastAsia"/>
          <w:i/>
          <w:iCs/>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T Extra">
    <w:panose1 w:val="05050102010205020202"/>
    <w:charset w:val="02"/>
    <w:family w:val="roman"/>
    <w:pitch w:val="default"/>
    <w:sig w:usb0="8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dsNsk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FMfuuMWBX75/u/z4dfn5lSzf&#10;5P70AWpMewiYmIY7P+DWzH5AZ5Y9qGjzFwURjGN3z9fuyiERkR+tV+t1hSGBsfmC+OzxeYiQ3kpv&#10;STYaGnF8pav89B7SmDqn5GrO32tjygiN+8uBmNnDMveRY7bSsB8mQXvfnlFPj5NvqMNFp8S8c9jY&#10;vCSzEWdjPxvHEPWhQ2rLwgvC7TEhicItVxhhp8I4sqJuWq+8E3/eS9bj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5p2w2yQEAAJoDAAAOAAAAAAAAAAEAIAAAAB4BAABkcnMvZTJvRG9j&#10;LnhtbFBLBQYAAAAABgAGAFkBAABZBQ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51</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Ldc/TAQAApAMAAA4AAABkcnMvZTJvRG9jLnhtbK1TS27bMBDdF8gd&#10;CO5jSQ4aGILloIWRIEDRFkh7AJoiLQL8gUNb8gXaG3TVTfc9l8/RISU5RbrJohtqhjN8M+/NaH03&#10;GE2OIoBytqHVoqREWO5aZfcN/frl/npFCURmW6adFQ09CaB3m6s3697XYuk6p1sRCIJYqHvf0C5G&#10;XxcF8E4YBgvnhcWgdMGwiG7YF21gPaIbXSzL8rboXWh9cFwA4O12DNIJMbwG0EmpuNg6fjDCxhE1&#10;CM0iUoJOeaCb3K2UgsdPUoKIRDcUmcZ8YhG0d+ksNmtW7wPzneJTC+w1LbzgZJiyWPQCtWWRkUNQ&#10;/0AZxYMDJ+OCO1OMRLIiyKIqX2jz1DEvMheUGvxFdPh/sPzj8XMgqsVNqCixzODEzz++n3/+Pv/6&#10;RqqbJFDvoca8J4+ZcXjvBkye7wEvE+9BBpO+yIhgHOU9XeQVQyQ8PVotV6sSQxxjs4P4xfNzHyA+&#10;CGdIMhoacH5ZVnb8AHFMnVNSNevuldZ5htqSvqG3N2/L/OASQXBtsUYiMTabrDjshonZzrUnJNbj&#10;DjTU4spToh8tSpzWZTbCbOxm4+CD2nfYY5XrgX93iNhNbjJVGGGnwji8THNatLQdf/s56/nn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B2Ldc/TAQAApAMAAA4AAAAAAAAAAQAgAAAAHwEA&#10;AGRycy9lMm9Eb2MueG1sUEsFBgAAAAAGAAYAWQEAAGQFAAAAAA==&#10;">
              <v:fill on="f" focussize="0,0"/>
              <v:stroke on="f" weight="0.5pt"/>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gXpMgBAACaAwAADgAAAGRycy9lMm9Eb2MueG1srVNNrtMwEN4jcQfL&#10;e+q0C1S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lXR&#10;pw9QY9pDwMQ0vPEDbk3WLfsBnZn2oKLNXyREMI7qnq/qyiERkR+tV+t1hSGBsfmCOOz2PERIb6W3&#10;JBsNjTi+oio/vYc0ps4puZrz99qYMkLj/nIgZvawW4/ZSsN+mBrf+/aMfHqcfEMdLjol5p1DYfOS&#10;zEacjf1sHEPUhw5bW5a+ILw+Jmyi9JYrjLBTYRxZYTetV96JP+8l6/ZL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xIF6TIAQAAmgMAAA4AAAAAAAAAAQAgAAAAHgEAAGRycy9lMm9Eb2Mu&#10;eG1sUEsFBgAAAAAGAAYAWQEAAFgFA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9264;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7FiZJsoBAACaAwAADgAAAGRycy9lMm9Eb2MueG1srVNL&#10;btswEN0XyB0I7mPKQlEYguUggZEiQNAWSHsAmqIsAvyBQ1vyBdobdNVN9z2Xz9EhJTltusmiG2o4&#10;M3zz3sxofTMYTY4ygHK2pstFQYm0wjXK7mv65fP99YoSiNw2XDsra3qSQG82V2/Wva9k6TqnGxkI&#10;glioel/TLkZfMQaik4bDwnlpMdi6YHjEa9izJvAe0Y1mZVG8Y70LjQ9OSAD0bscgnRDDawBd2yoh&#10;t04cjLRxRA1S84iSoFMe6CazbVsp4se2BRmJrikqjfnEImjv0sk2a17tA/edEhMF/hoKLzQZriwW&#10;vUBteeTkENQ/UEaJ4MC1cSGcYaOQ3BFUsSxe9Oap415mLdhq8Jemw/+DFR+OnwJRTU3fUmK5wYGf&#10;v387//h1/vmVlGXqT++hwrQnj4lxuHMDbs3sB3Qm2UMbTPqiIIJx7O7p0l05RCLSo1W5WhUYEhib&#10;L4jPnp/7APG9dIYko6YBx5e7yo+PEMfUOSVVs+5eaZ1HqO1fDsRMHpa4jxyTFYfdMAnaueaEenqc&#10;fE0tLjol+sFiY9OSzEaYjd1sHHxQ+w6pLTMv8LeHiCQyt1RhhJ0K48iyumm90k78ec9Zz7/U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NtLt2AAAAAwBAAAPAAAAAAAAAAEAIAAAACIAAABkcnMv&#10;ZG93bnJldi54bWxQSwECFAAUAAAACACHTuJA7FiZJsoBAACaAwAADgAAAAAAAAABACAAAAAnAQAA&#10;ZHJzL2Uyb0RvYy54bWxQSwUGAAAAAAYABgBZAQAAYwU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h8kBAACa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7J8&#10;nf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5v6HyQEAAJoDAAAOAAAAAAAAAAEAIAAAAB4BAABkcnMvZTJvRG9j&#10;LnhtbFBLBQYAAAAABgAGAFkBAABZBQ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NK18oBAACa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lmXqT++hwrQnj4lxuHMDbs3sB3Qm2UMbTPqiIIJx7O7p0l05RCLSo3JVlgWGBMbmC+Kz5+c+QHwv&#10;nSHJqGnA8eWu8uMjxDF1TknVrLtXWucRavuXAzGThyXuI8dkxWE3TIJ2rjmhnh4nX1OLi06JfrDY&#10;2LQksxFmYzcbBx/UvkNqy8wL/O0hIonMLVUYYafCOLKsblqvtBN/3nPW8y+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NK18oBAACaAwAADgAAAAAAAAABACAAAAAeAQAAZHJzL2Uyb0Rv&#10;Yy54bWxQSwUGAAAAAAYABgBZAQAAWgU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lPjHSAQAApAMAAA4AAABkcnMvZTJvRG9jLnhtbK1TwY7TMBC9I/EP&#10;lu80aYFVFT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0CasOHPC0sQvP75ffv6+/PrG&#10;lq+SQL3HivLuPWXG4S0MlDzfI10m3kMbbPoSI0Zxkvd8lVcNkcn0aL1ar0sKSYrNDuEXD899wPhO&#10;gWXJqHmg+WVZxekDxjF1TknVHNxpY/IMjWN9zW9evi7zg2uEwI2jGonE2Gyy4rAfJmZ7aM5ErKcd&#10;qLmjlefMvHckcVqX2QizsZ+Now/60FGPy1wP/ZtjpG5yk6nCCDsVpuFlmtOipe34289ZDz/X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4+U+MdIBAACkAwAADgAAAAAAAAABACAAAAAfAQAA&#10;ZHJzL2Uyb0RvYy54bWxQSwUGAAAAAAYABgBZAQAAYwUAAAAA&#10;">
              <v:fill on="f" focussize="0,0"/>
              <v:stroke on="f" weight="0.5pt"/>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zKonSAQAApAMAAA4AAABkcnMvZTJvRG9jLnhtbK1TzY7TMBC+I/EO&#10;lu80aRGrKmq6AlWLkBAgLfsAruM0lvynGbdJXwDegBMX7jxXn4Oxk3TRctkDF2fsGX/zfZ8nm9vB&#10;GnZSgNq7mi8XJWfKSd9od6j5w9e7V2vOMArXCOOdqvlZIb/dvnyx6UOlVr7zplHACMRh1YeadzGG&#10;qihQdsoKXPigHCVbD1ZE2sKhaED0hG5NsSrLm6L30ATwUiHS6W5M8gkRngPo21ZLtfPyaJWLIyoo&#10;IyJJwk4H5NvMtm2VjJ/bFlVkpuakNOaVmlC8T2ux3YjqACJ0Wk4UxHMoPNFkhXbU9Aq1E1GwI+h/&#10;oKyW4NG3cSG9LUYh2RFSsSyfeHPfiaCyFrIaw9V0/H+w8tPpCzDd0CSQJU5YevHLj++Xn78vv76x&#10;5SoZ1AesqO4+UGUc3vmBiudzpMOke2jBpi8pYpQnrPPVXjVEJtOl9Wq9LiklKTdvCL94vB4A43vl&#10;LUtBzYHeL9sqTh8xjqVzSerm/J02Jr+hcayv+c3rN2W+cM0QuHHUI4kYyaYoDvthUrb3zZmE9TQD&#10;NXc08pyZD44sJqJxDmAO9nNwDKAPHXFc5n4Y3h4jsckkU4cRdmpMj5dlToOWpuPvfa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3MqidIBAACkAwAADgAAAAAAAAABACAAAAAfAQAA&#10;ZHJzL2Uyb0RvYy54bWxQSwUGAAAAAAYABgBZAQAAYwUAAAAA&#10;">
              <v:fill on="f" focussize="0,0"/>
              <v:stroke on="f" weight="0.5pt"/>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both"/>
    </w:pPr>
    <w:r>
      <w:rPr>
        <w:rFonts w:hint="eastAsia"/>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9D9E"/>
    <w:multiLevelType w:val="singleLevel"/>
    <w:tmpl w:val="87F19D9E"/>
    <w:lvl w:ilvl="0" w:tentative="0">
      <w:start w:val="3"/>
      <w:numFmt w:val="decimal"/>
      <w:lvlText w:val="%1."/>
      <w:lvlJc w:val="left"/>
      <w:pPr>
        <w:tabs>
          <w:tab w:val="left" w:pos="312"/>
        </w:tabs>
      </w:pPr>
    </w:lvl>
  </w:abstractNum>
  <w:abstractNum w:abstractNumId="1">
    <w:nsid w:val="8C85026B"/>
    <w:multiLevelType w:val="singleLevel"/>
    <w:tmpl w:val="8C85026B"/>
    <w:lvl w:ilvl="0" w:tentative="0">
      <w:start w:val="1"/>
      <w:numFmt w:val="decimal"/>
      <w:suff w:val="nothing"/>
      <w:lvlText w:val="（%1）"/>
      <w:lvlJc w:val="left"/>
    </w:lvl>
  </w:abstractNum>
  <w:abstractNum w:abstractNumId="2">
    <w:nsid w:val="8EED294E"/>
    <w:multiLevelType w:val="singleLevel"/>
    <w:tmpl w:val="8EED294E"/>
    <w:lvl w:ilvl="0" w:tentative="0">
      <w:start w:val="1"/>
      <w:numFmt w:val="decimal"/>
      <w:suff w:val="nothing"/>
      <w:lvlText w:val="%1．"/>
      <w:lvlJc w:val="left"/>
      <w:pPr>
        <w:ind w:left="0" w:firstLine="400"/>
      </w:pPr>
      <w:rPr>
        <w:rFonts w:hint="default"/>
      </w:rPr>
    </w:lvl>
  </w:abstractNum>
  <w:abstractNum w:abstractNumId="3">
    <w:nsid w:val="9833499A"/>
    <w:multiLevelType w:val="singleLevel"/>
    <w:tmpl w:val="9833499A"/>
    <w:lvl w:ilvl="0" w:tentative="0">
      <w:start w:val="1"/>
      <w:numFmt w:val="decimal"/>
      <w:suff w:val="nothing"/>
      <w:lvlText w:val="%1．"/>
      <w:lvlJc w:val="left"/>
      <w:pPr>
        <w:ind w:left="0" w:firstLine="400"/>
      </w:pPr>
      <w:rPr>
        <w:rFonts w:hint="default"/>
      </w:rPr>
    </w:lvl>
  </w:abstractNum>
  <w:abstractNum w:abstractNumId="4">
    <w:nsid w:val="985158F9"/>
    <w:multiLevelType w:val="singleLevel"/>
    <w:tmpl w:val="985158F9"/>
    <w:lvl w:ilvl="0" w:tentative="0">
      <w:start w:val="1"/>
      <w:numFmt w:val="decimal"/>
      <w:suff w:val="nothing"/>
      <w:lvlText w:val="%1．"/>
      <w:lvlJc w:val="left"/>
      <w:pPr>
        <w:ind w:left="0" w:firstLine="400"/>
      </w:pPr>
      <w:rPr>
        <w:rFonts w:hint="default"/>
      </w:rPr>
    </w:lvl>
  </w:abstractNum>
  <w:abstractNum w:abstractNumId="5">
    <w:nsid w:val="9E4EA1EC"/>
    <w:multiLevelType w:val="singleLevel"/>
    <w:tmpl w:val="9E4EA1EC"/>
    <w:lvl w:ilvl="0" w:tentative="0">
      <w:start w:val="1"/>
      <w:numFmt w:val="decimal"/>
      <w:lvlText w:val="(%1)"/>
      <w:lvlJc w:val="left"/>
      <w:pPr>
        <w:tabs>
          <w:tab w:val="left" w:pos="420"/>
        </w:tabs>
        <w:ind w:left="845" w:hanging="425"/>
      </w:pPr>
      <w:rPr>
        <w:rFonts w:hint="default"/>
      </w:rPr>
    </w:lvl>
  </w:abstractNum>
  <w:abstractNum w:abstractNumId="6">
    <w:nsid w:val="A1F02041"/>
    <w:multiLevelType w:val="singleLevel"/>
    <w:tmpl w:val="A1F02041"/>
    <w:lvl w:ilvl="0" w:tentative="0">
      <w:start w:val="1"/>
      <w:numFmt w:val="decimal"/>
      <w:suff w:val="nothing"/>
      <w:lvlText w:val="%1．"/>
      <w:lvlJc w:val="left"/>
      <w:pPr>
        <w:ind w:left="0" w:firstLine="400"/>
      </w:pPr>
      <w:rPr>
        <w:rFonts w:hint="default"/>
      </w:rPr>
    </w:lvl>
  </w:abstractNum>
  <w:abstractNum w:abstractNumId="7">
    <w:nsid w:val="A334E80E"/>
    <w:multiLevelType w:val="singleLevel"/>
    <w:tmpl w:val="A334E80E"/>
    <w:lvl w:ilvl="0" w:tentative="0">
      <w:start w:val="1"/>
      <w:numFmt w:val="decimal"/>
      <w:suff w:val="nothing"/>
      <w:lvlText w:val="%1．"/>
      <w:lvlJc w:val="left"/>
      <w:pPr>
        <w:ind w:left="0" w:firstLine="400"/>
      </w:pPr>
      <w:rPr>
        <w:rFonts w:hint="default"/>
      </w:rPr>
    </w:lvl>
  </w:abstractNum>
  <w:abstractNum w:abstractNumId="8">
    <w:nsid w:val="A6320B38"/>
    <w:multiLevelType w:val="singleLevel"/>
    <w:tmpl w:val="A6320B38"/>
    <w:lvl w:ilvl="0" w:tentative="0">
      <w:start w:val="1"/>
      <w:numFmt w:val="decimal"/>
      <w:suff w:val="nothing"/>
      <w:lvlText w:val="%1．"/>
      <w:lvlJc w:val="left"/>
      <w:pPr>
        <w:ind w:left="0" w:firstLine="403"/>
      </w:pPr>
      <w:rPr>
        <w:rFonts w:hint="default"/>
      </w:rPr>
    </w:lvl>
  </w:abstractNum>
  <w:abstractNum w:abstractNumId="9">
    <w:nsid w:val="ADA5A042"/>
    <w:multiLevelType w:val="singleLevel"/>
    <w:tmpl w:val="ADA5A042"/>
    <w:lvl w:ilvl="0" w:tentative="0">
      <w:start w:val="1"/>
      <w:numFmt w:val="decimal"/>
      <w:lvlText w:val="(%1)"/>
      <w:lvlJc w:val="left"/>
      <w:pPr>
        <w:tabs>
          <w:tab w:val="left" w:pos="420"/>
        </w:tabs>
        <w:ind w:left="845" w:hanging="425"/>
      </w:pPr>
      <w:rPr>
        <w:rFonts w:hint="default"/>
      </w:rPr>
    </w:lvl>
  </w:abstractNum>
  <w:abstractNum w:abstractNumId="10">
    <w:nsid w:val="B2441094"/>
    <w:multiLevelType w:val="singleLevel"/>
    <w:tmpl w:val="B2441094"/>
    <w:lvl w:ilvl="0" w:tentative="0">
      <w:start w:val="1"/>
      <w:numFmt w:val="decimal"/>
      <w:suff w:val="nothing"/>
      <w:lvlText w:val="%1．"/>
      <w:lvlJc w:val="left"/>
      <w:pPr>
        <w:ind w:left="0" w:firstLine="400"/>
      </w:pPr>
      <w:rPr>
        <w:rFonts w:hint="default"/>
      </w:rPr>
    </w:lvl>
  </w:abstractNum>
  <w:abstractNum w:abstractNumId="11">
    <w:nsid w:val="B6926B02"/>
    <w:multiLevelType w:val="singleLevel"/>
    <w:tmpl w:val="B6926B02"/>
    <w:lvl w:ilvl="0" w:tentative="0">
      <w:start w:val="1"/>
      <w:numFmt w:val="decimal"/>
      <w:suff w:val="nothing"/>
      <w:lvlText w:val="%1．"/>
      <w:lvlJc w:val="left"/>
      <w:pPr>
        <w:ind w:left="0" w:firstLine="400"/>
      </w:pPr>
      <w:rPr>
        <w:rFonts w:hint="default"/>
      </w:rPr>
    </w:lvl>
  </w:abstractNum>
  <w:abstractNum w:abstractNumId="12">
    <w:nsid w:val="CD1B4928"/>
    <w:multiLevelType w:val="singleLevel"/>
    <w:tmpl w:val="CD1B4928"/>
    <w:lvl w:ilvl="0" w:tentative="0">
      <w:start w:val="1"/>
      <w:numFmt w:val="decimal"/>
      <w:suff w:val="nothing"/>
      <w:lvlText w:val="%1．"/>
      <w:lvlJc w:val="left"/>
      <w:pPr>
        <w:ind w:left="0" w:firstLine="400"/>
      </w:pPr>
      <w:rPr>
        <w:rFonts w:hint="default"/>
      </w:rPr>
    </w:lvl>
  </w:abstractNum>
  <w:abstractNum w:abstractNumId="13">
    <w:nsid w:val="CF30F046"/>
    <w:multiLevelType w:val="singleLevel"/>
    <w:tmpl w:val="CF30F046"/>
    <w:lvl w:ilvl="0" w:tentative="0">
      <w:start w:val="1"/>
      <w:numFmt w:val="decimal"/>
      <w:suff w:val="nothing"/>
      <w:lvlText w:val="%1．"/>
      <w:lvlJc w:val="left"/>
      <w:pPr>
        <w:ind w:left="0" w:firstLine="400"/>
      </w:pPr>
      <w:rPr>
        <w:rFonts w:hint="default"/>
      </w:rPr>
    </w:lvl>
  </w:abstractNum>
  <w:abstractNum w:abstractNumId="14">
    <w:nsid w:val="D1CE6ABE"/>
    <w:multiLevelType w:val="singleLevel"/>
    <w:tmpl w:val="D1CE6ABE"/>
    <w:lvl w:ilvl="0" w:tentative="0">
      <w:start w:val="1"/>
      <w:numFmt w:val="decimal"/>
      <w:lvlText w:val="(%1)"/>
      <w:lvlJc w:val="left"/>
      <w:pPr>
        <w:tabs>
          <w:tab w:val="left" w:pos="420"/>
        </w:tabs>
        <w:ind w:left="845" w:hanging="425"/>
      </w:pPr>
      <w:rPr>
        <w:rFonts w:hint="default"/>
      </w:rPr>
    </w:lvl>
  </w:abstractNum>
  <w:abstractNum w:abstractNumId="15">
    <w:nsid w:val="D3756543"/>
    <w:multiLevelType w:val="singleLevel"/>
    <w:tmpl w:val="D3756543"/>
    <w:lvl w:ilvl="0" w:tentative="0">
      <w:start w:val="1"/>
      <w:numFmt w:val="decimal"/>
      <w:suff w:val="nothing"/>
      <w:lvlText w:val="%1．"/>
      <w:lvlJc w:val="left"/>
      <w:pPr>
        <w:ind w:left="0" w:firstLine="400"/>
      </w:pPr>
      <w:rPr>
        <w:rFonts w:hint="default"/>
      </w:rPr>
    </w:lvl>
  </w:abstractNum>
  <w:abstractNum w:abstractNumId="16">
    <w:nsid w:val="DF67F3A8"/>
    <w:multiLevelType w:val="singleLevel"/>
    <w:tmpl w:val="DF67F3A8"/>
    <w:lvl w:ilvl="0" w:tentative="0">
      <w:start w:val="1"/>
      <w:numFmt w:val="decimal"/>
      <w:suff w:val="nothing"/>
      <w:lvlText w:val="%1．"/>
      <w:lvlJc w:val="left"/>
      <w:pPr>
        <w:ind w:left="0" w:firstLine="400"/>
      </w:pPr>
      <w:rPr>
        <w:rFonts w:hint="default"/>
      </w:rPr>
    </w:lvl>
  </w:abstractNum>
  <w:abstractNum w:abstractNumId="17">
    <w:nsid w:val="E9A1B0F0"/>
    <w:multiLevelType w:val="singleLevel"/>
    <w:tmpl w:val="E9A1B0F0"/>
    <w:lvl w:ilvl="0" w:tentative="0">
      <w:start w:val="1"/>
      <w:numFmt w:val="decimal"/>
      <w:suff w:val="nothing"/>
      <w:lvlText w:val="%1．"/>
      <w:lvlJc w:val="left"/>
      <w:pPr>
        <w:ind w:left="0" w:firstLine="400"/>
      </w:pPr>
      <w:rPr>
        <w:rFonts w:hint="default"/>
      </w:rPr>
    </w:lvl>
  </w:abstractNum>
  <w:abstractNum w:abstractNumId="18">
    <w:nsid w:val="EC35841A"/>
    <w:multiLevelType w:val="singleLevel"/>
    <w:tmpl w:val="EC35841A"/>
    <w:lvl w:ilvl="0" w:tentative="0">
      <w:start w:val="1"/>
      <w:numFmt w:val="decimal"/>
      <w:suff w:val="nothing"/>
      <w:lvlText w:val="%1．"/>
      <w:lvlJc w:val="left"/>
      <w:pPr>
        <w:ind w:left="0" w:firstLine="400"/>
      </w:pPr>
      <w:rPr>
        <w:rFonts w:hint="default"/>
      </w:rPr>
    </w:lvl>
  </w:abstractNum>
  <w:abstractNum w:abstractNumId="19">
    <w:nsid w:val="00F5581F"/>
    <w:multiLevelType w:val="multilevel"/>
    <w:tmpl w:val="00F558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43C503A"/>
    <w:multiLevelType w:val="singleLevel"/>
    <w:tmpl w:val="043C503A"/>
    <w:lvl w:ilvl="0" w:tentative="0">
      <w:start w:val="1"/>
      <w:numFmt w:val="decimal"/>
      <w:suff w:val="nothing"/>
      <w:lvlText w:val="%1．"/>
      <w:lvlJc w:val="left"/>
      <w:pPr>
        <w:ind w:left="0" w:firstLine="400"/>
      </w:pPr>
      <w:rPr>
        <w:rFonts w:hint="default"/>
      </w:rPr>
    </w:lvl>
  </w:abstractNum>
  <w:abstractNum w:abstractNumId="21">
    <w:nsid w:val="095227C7"/>
    <w:multiLevelType w:val="singleLevel"/>
    <w:tmpl w:val="095227C7"/>
    <w:lvl w:ilvl="0" w:tentative="0">
      <w:start w:val="1"/>
      <w:numFmt w:val="decimal"/>
      <w:suff w:val="nothing"/>
      <w:lvlText w:val="%1．"/>
      <w:lvlJc w:val="left"/>
      <w:pPr>
        <w:ind w:left="0" w:firstLine="400"/>
      </w:pPr>
      <w:rPr>
        <w:rFonts w:hint="default"/>
      </w:rPr>
    </w:lvl>
  </w:abstractNum>
  <w:abstractNum w:abstractNumId="22">
    <w:nsid w:val="0C4C1B99"/>
    <w:multiLevelType w:val="singleLevel"/>
    <w:tmpl w:val="0C4C1B99"/>
    <w:lvl w:ilvl="0" w:tentative="0">
      <w:start w:val="1"/>
      <w:numFmt w:val="decimal"/>
      <w:suff w:val="nothing"/>
      <w:lvlText w:val="%1．"/>
      <w:lvlJc w:val="left"/>
      <w:pPr>
        <w:ind w:left="0" w:firstLine="400"/>
      </w:pPr>
      <w:rPr>
        <w:rFonts w:hint="default"/>
      </w:rPr>
    </w:lvl>
  </w:abstractNum>
  <w:abstractNum w:abstractNumId="23">
    <w:nsid w:val="0FEB57A1"/>
    <w:multiLevelType w:val="singleLevel"/>
    <w:tmpl w:val="0FEB57A1"/>
    <w:lvl w:ilvl="0" w:tentative="0">
      <w:start w:val="1"/>
      <w:numFmt w:val="decimal"/>
      <w:suff w:val="nothing"/>
      <w:lvlText w:val="%1．"/>
      <w:lvlJc w:val="left"/>
      <w:pPr>
        <w:ind w:left="0" w:firstLine="400"/>
      </w:pPr>
      <w:rPr>
        <w:rFonts w:hint="default"/>
      </w:rPr>
    </w:lvl>
  </w:abstractNum>
  <w:abstractNum w:abstractNumId="24">
    <w:nsid w:val="1038D7D2"/>
    <w:multiLevelType w:val="singleLevel"/>
    <w:tmpl w:val="1038D7D2"/>
    <w:lvl w:ilvl="0" w:tentative="0">
      <w:start w:val="1"/>
      <w:numFmt w:val="decimal"/>
      <w:suff w:val="nothing"/>
      <w:lvlText w:val="%1．"/>
      <w:lvlJc w:val="left"/>
      <w:pPr>
        <w:ind w:left="0" w:firstLine="400"/>
      </w:pPr>
      <w:rPr>
        <w:rFonts w:hint="default"/>
      </w:rPr>
    </w:lvl>
  </w:abstractNum>
  <w:abstractNum w:abstractNumId="25">
    <w:nsid w:val="1326DEBE"/>
    <w:multiLevelType w:val="singleLevel"/>
    <w:tmpl w:val="1326DEBE"/>
    <w:lvl w:ilvl="0" w:tentative="0">
      <w:start w:val="3"/>
      <w:numFmt w:val="chineseCounting"/>
      <w:suff w:val="nothing"/>
      <w:lvlText w:val="（%1）"/>
      <w:lvlJc w:val="left"/>
      <w:rPr>
        <w:rFonts w:hint="eastAsia"/>
      </w:rPr>
    </w:lvl>
  </w:abstractNum>
  <w:abstractNum w:abstractNumId="26">
    <w:nsid w:val="16B8311A"/>
    <w:multiLevelType w:val="singleLevel"/>
    <w:tmpl w:val="16B8311A"/>
    <w:lvl w:ilvl="0" w:tentative="0">
      <w:start w:val="1"/>
      <w:numFmt w:val="decimal"/>
      <w:suff w:val="nothing"/>
      <w:lvlText w:val="%1．"/>
      <w:lvlJc w:val="left"/>
      <w:pPr>
        <w:ind w:left="0" w:firstLine="400"/>
      </w:pPr>
      <w:rPr>
        <w:rFonts w:hint="default"/>
      </w:rPr>
    </w:lvl>
  </w:abstractNum>
  <w:abstractNum w:abstractNumId="27">
    <w:nsid w:val="1E3F7A24"/>
    <w:multiLevelType w:val="singleLevel"/>
    <w:tmpl w:val="1E3F7A24"/>
    <w:lvl w:ilvl="0" w:tentative="0">
      <w:start w:val="1"/>
      <w:numFmt w:val="decimal"/>
      <w:suff w:val="nothing"/>
      <w:lvlText w:val="%1．"/>
      <w:lvlJc w:val="left"/>
      <w:pPr>
        <w:ind w:left="0" w:firstLine="400"/>
      </w:pPr>
      <w:rPr>
        <w:rFonts w:hint="default"/>
      </w:rPr>
    </w:lvl>
  </w:abstractNum>
  <w:abstractNum w:abstractNumId="28">
    <w:nsid w:val="24E4796E"/>
    <w:multiLevelType w:val="multilevel"/>
    <w:tmpl w:val="24E4796E"/>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6B8131A"/>
    <w:multiLevelType w:val="multilevel"/>
    <w:tmpl w:val="26B813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9C68634"/>
    <w:multiLevelType w:val="singleLevel"/>
    <w:tmpl w:val="29C68634"/>
    <w:lvl w:ilvl="0" w:tentative="0">
      <w:start w:val="1"/>
      <w:numFmt w:val="decimal"/>
      <w:suff w:val="nothing"/>
      <w:lvlText w:val="%1．"/>
      <w:lvlJc w:val="left"/>
      <w:pPr>
        <w:ind w:left="0" w:firstLine="400"/>
      </w:pPr>
      <w:rPr>
        <w:rFonts w:hint="default"/>
      </w:rPr>
    </w:lvl>
  </w:abstractNum>
  <w:abstractNum w:abstractNumId="31">
    <w:nsid w:val="2B1A34EB"/>
    <w:multiLevelType w:val="multilevel"/>
    <w:tmpl w:val="2B1A34EB"/>
    <w:lvl w:ilvl="0" w:tentative="0">
      <w:start w:val="1"/>
      <w:numFmt w:val="decimal"/>
      <w:lvlText w:val="%1."/>
      <w:lvlJc w:val="left"/>
      <w:pPr>
        <w:ind w:left="420" w:hanging="420"/>
      </w:pPr>
    </w:lvl>
    <w:lvl w:ilvl="1" w:tentative="0">
      <w:start w:val="1"/>
      <w:numFmt w:val="lowerLetter"/>
      <w:pStyle w:val="170"/>
      <w:lvlText w:val="%2)"/>
      <w:lvlJc w:val="left"/>
      <w:pPr>
        <w:ind w:left="840" w:hanging="420"/>
      </w:pPr>
    </w:lvl>
    <w:lvl w:ilvl="2" w:tentative="0">
      <w:start w:val="1"/>
      <w:numFmt w:val="lowerRoman"/>
      <w:pStyle w:val="1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92A48AC"/>
    <w:multiLevelType w:val="singleLevel"/>
    <w:tmpl w:val="392A48AC"/>
    <w:lvl w:ilvl="0" w:tentative="0">
      <w:start w:val="1"/>
      <w:numFmt w:val="decimal"/>
      <w:suff w:val="nothing"/>
      <w:lvlText w:val="%1．"/>
      <w:lvlJc w:val="left"/>
      <w:pPr>
        <w:ind w:left="0" w:firstLine="400"/>
      </w:pPr>
      <w:rPr>
        <w:rFonts w:hint="default"/>
      </w:rPr>
    </w:lvl>
  </w:abstractNum>
  <w:abstractNum w:abstractNumId="33">
    <w:nsid w:val="3B43ED24"/>
    <w:multiLevelType w:val="singleLevel"/>
    <w:tmpl w:val="3B43ED24"/>
    <w:lvl w:ilvl="0" w:tentative="0">
      <w:start w:val="1"/>
      <w:numFmt w:val="decimal"/>
      <w:suff w:val="nothing"/>
      <w:lvlText w:val="%1．"/>
      <w:lvlJc w:val="left"/>
      <w:pPr>
        <w:ind w:left="0" w:firstLine="400"/>
      </w:pPr>
      <w:rPr>
        <w:rFonts w:hint="default"/>
      </w:rPr>
    </w:lvl>
  </w:abstractNum>
  <w:abstractNum w:abstractNumId="34">
    <w:nsid w:val="3CAC5BEC"/>
    <w:multiLevelType w:val="singleLevel"/>
    <w:tmpl w:val="3CAC5BEC"/>
    <w:lvl w:ilvl="0" w:tentative="0">
      <w:start w:val="1"/>
      <w:numFmt w:val="decimal"/>
      <w:suff w:val="nothing"/>
      <w:lvlText w:val="%1．"/>
      <w:lvlJc w:val="left"/>
      <w:pPr>
        <w:ind w:left="0" w:firstLine="400"/>
      </w:pPr>
      <w:rPr>
        <w:rFonts w:hint="default"/>
      </w:rPr>
    </w:lvl>
  </w:abstractNum>
  <w:abstractNum w:abstractNumId="35">
    <w:nsid w:val="41986F26"/>
    <w:multiLevelType w:val="singleLevel"/>
    <w:tmpl w:val="41986F26"/>
    <w:lvl w:ilvl="0" w:tentative="0">
      <w:start w:val="1"/>
      <w:numFmt w:val="decimal"/>
      <w:suff w:val="nothing"/>
      <w:lvlText w:val="%1．"/>
      <w:lvlJc w:val="left"/>
      <w:pPr>
        <w:ind w:left="0" w:firstLine="400"/>
      </w:pPr>
      <w:rPr>
        <w:rFonts w:hint="default"/>
      </w:rPr>
    </w:lvl>
  </w:abstractNum>
  <w:abstractNum w:abstractNumId="36">
    <w:nsid w:val="430BD2FA"/>
    <w:multiLevelType w:val="singleLevel"/>
    <w:tmpl w:val="430BD2FA"/>
    <w:lvl w:ilvl="0" w:tentative="0">
      <w:start w:val="1"/>
      <w:numFmt w:val="decimal"/>
      <w:suff w:val="nothing"/>
      <w:lvlText w:val="%1．"/>
      <w:lvlJc w:val="left"/>
      <w:pPr>
        <w:ind w:left="0" w:firstLine="400"/>
      </w:pPr>
      <w:rPr>
        <w:rFonts w:hint="default"/>
      </w:rPr>
    </w:lvl>
  </w:abstractNum>
  <w:abstractNum w:abstractNumId="37">
    <w:nsid w:val="4A7595B4"/>
    <w:multiLevelType w:val="singleLevel"/>
    <w:tmpl w:val="4A7595B4"/>
    <w:lvl w:ilvl="0" w:tentative="0">
      <w:start w:val="3"/>
      <w:numFmt w:val="chineseCounting"/>
      <w:suff w:val="nothing"/>
      <w:lvlText w:val="%1、"/>
      <w:lvlJc w:val="left"/>
      <w:rPr>
        <w:rFonts w:hint="eastAsia"/>
      </w:rPr>
    </w:lvl>
  </w:abstractNum>
  <w:abstractNum w:abstractNumId="38">
    <w:nsid w:val="5046D9A5"/>
    <w:multiLevelType w:val="singleLevel"/>
    <w:tmpl w:val="5046D9A5"/>
    <w:lvl w:ilvl="0" w:tentative="0">
      <w:start w:val="1"/>
      <w:numFmt w:val="decimal"/>
      <w:suff w:val="nothing"/>
      <w:lvlText w:val="%1．"/>
      <w:lvlJc w:val="left"/>
      <w:pPr>
        <w:ind w:left="0" w:firstLine="400"/>
      </w:pPr>
      <w:rPr>
        <w:rFonts w:hint="default"/>
      </w:rPr>
    </w:lvl>
  </w:abstractNum>
  <w:abstractNum w:abstractNumId="39">
    <w:nsid w:val="541F2365"/>
    <w:multiLevelType w:val="singleLevel"/>
    <w:tmpl w:val="541F2365"/>
    <w:lvl w:ilvl="0" w:tentative="0">
      <w:start w:val="1"/>
      <w:numFmt w:val="decimal"/>
      <w:suff w:val="nothing"/>
      <w:lvlText w:val="%1．"/>
      <w:lvlJc w:val="left"/>
      <w:pPr>
        <w:ind w:left="0" w:firstLine="400"/>
      </w:pPr>
      <w:rPr>
        <w:rFonts w:hint="default"/>
      </w:rPr>
    </w:lvl>
  </w:abstractNum>
  <w:abstractNum w:abstractNumId="40">
    <w:nsid w:val="5B4DA1BC"/>
    <w:multiLevelType w:val="singleLevel"/>
    <w:tmpl w:val="5B4DA1BC"/>
    <w:lvl w:ilvl="0" w:tentative="0">
      <w:start w:val="2"/>
      <w:numFmt w:val="decimal"/>
      <w:suff w:val="nothing"/>
      <w:lvlText w:val="%1、"/>
      <w:lvlJc w:val="left"/>
    </w:lvl>
  </w:abstractNum>
  <w:abstractNum w:abstractNumId="41">
    <w:nsid w:val="5F1EB943"/>
    <w:multiLevelType w:val="singleLevel"/>
    <w:tmpl w:val="5F1EB943"/>
    <w:lvl w:ilvl="0" w:tentative="0">
      <w:start w:val="1"/>
      <w:numFmt w:val="decimal"/>
      <w:suff w:val="nothing"/>
      <w:lvlText w:val="%1．"/>
      <w:lvlJc w:val="left"/>
      <w:pPr>
        <w:ind w:left="0" w:firstLine="400"/>
      </w:pPr>
      <w:rPr>
        <w:rFonts w:hint="default"/>
      </w:rPr>
    </w:lvl>
  </w:abstractNum>
  <w:abstractNum w:abstractNumId="42">
    <w:nsid w:val="641723FF"/>
    <w:multiLevelType w:val="multilevel"/>
    <w:tmpl w:val="641723FF"/>
    <w:lvl w:ilvl="0" w:tentative="0">
      <w:start w:val="1"/>
      <w:numFmt w:val="decimal"/>
      <w:pStyle w:val="16"/>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65DFCA2E"/>
    <w:multiLevelType w:val="singleLevel"/>
    <w:tmpl w:val="65DFCA2E"/>
    <w:lvl w:ilvl="0" w:tentative="0">
      <w:start w:val="1"/>
      <w:numFmt w:val="decimal"/>
      <w:suff w:val="nothing"/>
      <w:lvlText w:val="%1．"/>
      <w:lvlJc w:val="left"/>
      <w:pPr>
        <w:ind w:left="0" w:firstLine="400"/>
      </w:pPr>
      <w:rPr>
        <w:rFonts w:hint="default"/>
      </w:rPr>
    </w:lvl>
  </w:abstractNum>
  <w:abstractNum w:abstractNumId="44">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5">
    <w:nsid w:val="6D82DFDB"/>
    <w:multiLevelType w:val="singleLevel"/>
    <w:tmpl w:val="6D82DFDB"/>
    <w:lvl w:ilvl="0" w:tentative="0">
      <w:start w:val="1"/>
      <w:numFmt w:val="decimal"/>
      <w:suff w:val="nothing"/>
      <w:lvlText w:val="%1．"/>
      <w:lvlJc w:val="left"/>
      <w:pPr>
        <w:ind w:left="0" w:firstLine="400"/>
      </w:pPr>
      <w:rPr>
        <w:rFonts w:hint="default"/>
      </w:rPr>
    </w:lvl>
  </w:abstractNum>
  <w:abstractNum w:abstractNumId="46">
    <w:nsid w:val="6DE11870"/>
    <w:multiLevelType w:val="multilevel"/>
    <w:tmpl w:val="6DE11870"/>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6EE5EA88"/>
    <w:multiLevelType w:val="singleLevel"/>
    <w:tmpl w:val="6EE5EA88"/>
    <w:lvl w:ilvl="0" w:tentative="0">
      <w:start w:val="1"/>
      <w:numFmt w:val="decimal"/>
      <w:lvlText w:val="%1."/>
      <w:lvlJc w:val="left"/>
      <w:pPr>
        <w:ind w:left="425" w:hanging="425"/>
      </w:pPr>
      <w:rPr>
        <w:rFonts w:hint="default"/>
      </w:rPr>
    </w:lvl>
  </w:abstractNum>
  <w:abstractNum w:abstractNumId="48">
    <w:nsid w:val="7B69D95F"/>
    <w:multiLevelType w:val="singleLevel"/>
    <w:tmpl w:val="7B69D95F"/>
    <w:lvl w:ilvl="0" w:tentative="0">
      <w:start w:val="1"/>
      <w:numFmt w:val="bullet"/>
      <w:lvlText w:val=""/>
      <w:lvlJc w:val="left"/>
      <w:pPr>
        <w:ind w:left="420" w:hanging="420"/>
      </w:pPr>
      <w:rPr>
        <w:rFonts w:hint="default" w:ascii="Wingdings" w:hAnsi="Wingdings"/>
      </w:rPr>
    </w:lvl>
  </w:abstractNum>
  <w:abstractNum w:abstractNumId="49">
    <w:nsid w:val="7DD8EA40"/>
    <w:multiLevelType w:val="multilevel"/>
    <w:tmpl w:val="7DD8EA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E34C879"/>
    <w:multiLevelType w:val="singleLevel"/>
    <w:tmpl w:val="7E34C879"/>
    <w:lvl w:ilvl="0" w:tentative="0">
      <w:start w:val="1"/>
      <w:numFmt w:val="decimal"/>
      <w:lvlText w:val="(%1)"/>
      <w:lvlJc w:val="left"/>
      <w:pPr>
        <w:tabs>
          <w:tab w:val="left" w:pos="420"/>
        </w:tabs>
        <w:ind w:left="845" w:hanging="425"/>
      </w:pPr>
      <w:rPr>
        <w:rFonts w:hint="default"/>
      </w:rPr>
    </w:lvl>
  </w:abstractNum>
  <w:num w:numId="1">
    <w:abstractNumId w:val="42"/>
  </w:num>
  <w:num w:numId="2">
    <w:abstractNumId w:val="46"/>
  </w:num>
  <w:num w:numId="3">
    <w:abstractNumId w:val="31"/>
  </w:num>
  <w:num w:numId="4">
    <w:abstractNumId w:val="0"/>
  </w:num>
  <w:num w:numId="5">
    <w:abstractNumId w:val="29"/>
  </w:num>
  <w:num w:numId="6">
    <w:abstractNumId w:val="19"/>
  </w:num>
  <w:num w:numId="7">
    <w:abstractNumId w:val="49"/>
  </w:num>
  <w:num w:numId="8">
    <w:abstractNumId w:val="37"/>
  </w:num>
  <w:num w:numId="9">
    <w:abstractNumId w:val="47"/>
  </w:num>
  <w:num w:numId="10">
    <w:abstractNumId w:val="1"/>
  </w:num>
  <w:num w:numId="11">
    <w:abstractNumId w:val="28"/>
  </w:num>
  <w:num w:numId="12">
    <w:abstractNumId w:val="21"/>
  </w:num>
  <w:num w:numId="13">
    <w:abstractNumId w:val="7"/>
  </w:num>
  <w:num w:numId="14">
    <w:abstractNumId w:val="18"/>
  </w:num>
  <w:num w:numId="15">
    <w:abstractNumId w:val="25"/>
  </w:num>
  <w:num w:numId="16">
    <w:abstractNumId w:val="8"/>
  </w:num>
  <w:num w:numId="17">
    <w:abstractNumId w:val="32"/>
  </w:num>
  <w:num w:numId="18">
    <w:abstractNumId w:val="50"/>
  </w:num>
  <w:num w:numId="19">
    <w:abstractNumId w:val="2"/>
  </w:num>
  <w:num w:numId="20">
    <w:abstractNumId w:val="24"/>
  </w:num>
  <w:num w:numId="21">
    <w:abstractNumId w:val="35"/>
  </w:num>
  <w:num w:numId="22">
    <w:abstractNumId w:val="48"/>
  </w:num>
  <w:num w:numId="23">
    <w:abstractNumId w:val="6"/>
  </w:num>
  <w:num w:numId="24">
    <w:abstractNumId w:val="45"/>
  </w:num>
  <w:num w:numId="25">
    <w:abstractNumId w:val="15"/>
  </w:num>
  <w:num w:numId="26">
    <w:abstractNumId w:val="43"/>
  </w:num>
  <w:num w:numId="27">
    <w:abstractNumId w:val="22"/>
  </w:num>
  <w:num w:numId="28">
    <w:abstractNumId w:val="16"/>
  </w:num>
  <w:num w:numId="29">
    <w:abstractNumId w:val="38"/>
  </w:num>
  <w:num w:numId="30">
    <w:abstractNumId w:val="39"/>
  </w:num>
  <w:num w:numId="31">
    <w:abstractNumId w:val="14"/>
  </w:num>
  <w:num w:numId="32">
    <w:abstractNumId w:val="5"/>
  </w:num>
  <w:num w:numId="33">
    <w:abstractNumId w:val="33"/>
  </w:num>
  <w:num w:numId="34">
    <w:abstractNumId w:val="9"/>
  </w:num>
  <w:num w:numId="35">
    <w:abstractNumId w:val="13"/>
  </w:num>
  <w:num w:numId="36">
    <w:abstractNumId w:val="11"/>
  </w:num>
  <w:num w:numId="37">
    <w:abstractNumId w:val="34"/>
  </w:num>
  <w:num w:numId="38">
    <w:abstractNumId w:val="30"/>
  </w:num>
  <w:num w:numId="39">
    <w:abstractNumId w:val="12"/>
  </w:num>
  <w:num w:numId="40">
    <w:abstractNumId w:val="36"/>
  </w:num>
  <w:num w:numId="41">
    <w:abstractNumId w:val="3"/>
  </w:num>
  <w:num w:numId="42">
    <w:abstractNumId w:val="23"/>
  </w:num>
  <w:num w:numId="43">
    <w:abstractNumId w:val="20"/>
  </w:num>
  <w:num w:numId="44">
    <w:abstractNumId w:val="27"/>
  </w:num>
  <w:num w:numId="45">
    <w:abstractNumId w:val="26"/>
  </w:num>
  <w:num w:numId="46">
    <w:abstractNumId w:val="44"/>
  </w:num>
  <w:num w:numId="47">
    <w:abstractNumId w:val="41"/>
  </w:num>
  <w:num w:numId="48">
    <w:abstractNumId w:val="17"/>
  </w:num>
  <w:num w:numId="49">
    <w:abstractNumId w:val="40"/>
  </w:num>
  <w:num w:numId="50">
    <w:abstractNumId w:val="4"/>
  </w:num>
  <w:num w:numId="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02BD"/>
    <w:rsid w:val="00025F4A"/>
    <w:rsid w:val="00026A02"/>
    <w:rsid w:val="00030E74"/>
    <w:rsid w:val="00031467"/>
    <w:rsid w:val="0003254D"/>
    <w:rsid w:val="00032E39"/>
    <w:rsid w:val="00034AF2"/>
    <w:rsid w:val="00036D69"/>
    <w:rsid w:val="000404A4"/>
    <w:rsid w:val="00041C10"/>
    <w:rsid w:val="00042B4E"/>
    <w:rsid w:val="00042EB3"/>
    <w:rsid w:val="00045487"/>
    <w:rsid w:val="0004607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55A"/>
    <w:rsid w:val="00134E45"/>
    <w:rsid w:val="0013792B"/>
    <w:rsid w:val="00140519"/>
    <w:rsid w:val="00144132"/>
    <w:rsid w:val="001443A3"/>
    <w:rsid w:val="0014477F"/>
    <w:rsid w:val="00144E22"/>
    <w:rsid w:val="00145FC1"/>
    <w:rsid w:val="00153938"/>
    <w:rsid w:val="00154FA3"/>
    <w:rsid w:val="001568D6"/>
    <w:rsid w:val="001603BB"/>
    <w:rsid w:val="00160F1A"/>
    <w:rsid w:val="001613F6"/>
    <w:rsid w:val="00161742"/>
    <w:rsid w:val="00162AC7"/>
    <w:rsid w:val="00163C6B"/>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51FE"/>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A75FF"/>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C72"/>
    <w:rsid w:val="00367ED7"/>
    <w:rsid w:val="003751EF"/>
    <w:rsid w:val="00375E93"/>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17342"/>
    <w:rsid w:val="0043001F"/>
    <w:rsid w:val="004307A3"/>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A2044"/>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3B1"/>
    <w:rsid w:val="004D150A"/>
    <w:rsid w:val="004D29FF"/>
    <w:rsid w:val="004D626B"/>
    <w:rsid w:val="004D6905"/>
    <w:rsid w:val="004D6F27"/>
    <w:rsid w:val="004D7553"/>
    <w:rsid w:val="004D7C4C"/>
    <w:rsid w:val="004E0302"/>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19B3"/>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37FA7"/>
    <w:rsid w:val="00541249"/>
    <w:rsid w:val="00541A28"/>
    <w:rsid w:val="00543072"/>
    <w:rsid w:val="005507B7"/>
    <w:rsid w:val="0055158F"/>
    <w:rsid w:val="005527B8"/>
    <w:rsid w:val="00557FFD"/>
    <w:rsid w:val="005618A8"/>
    <w:rsid w:val="00561DC5"/>
    <w:rsid w:val="005630BA"/>
    <w:rsid w:val="00565484"/>
    <w:rsid w:val="005661C0"/>
    <w:rsid w:val="00566AE5"/>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D7FC7"/>
    <w:rsid w:val="005E654C"/>
    <w:rsid w:val="005E7132"/>
    <w:rsid w:val="005F26B4"/>
    <w:rsid w:val="005F2D62"/>
    <w:rsid w:val="005F2D88"/>
    <w:rsid w:val="005F4D1B"/>
    <w:rsid w:val="005F4FB8"/>
    <w:rsid w:val="005F6C39"/>
    <w:rsid w:val="005F79FD"/>
    <w:rsid w:val="00600060"/>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3E53"/>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5D39"/>
    <w:rsid w:val="007C6A54"/>
    <w:rsid w:val="007C6DEE"/>
    <w:rsid w:val="007C797E"/>
    <w:rsid w:val="007D0365"/>
    <w:rsid w:val="007D3F32"/>
    <w:rsid w:val="007D40E3"/>
    <w:rsid w:val="007D6B9C"/>
    <w:rsid w:val="007E0CC3"/>
    <w:rsid w:val="007E1506"/>
    <w:rsid w:val="007E1B9A"/>
    <w:rsid w:val="007E410D"/>
    <w:rsid w:val="007E59B5"/>
    <w:rsid w:val="007E6600"/>
    <w:rsid w:val="007E752E"/>
    <w:rsid w:val="007F215E"/>
    <w:rsid w:val="007F622F"/>
    <w:rsid w:val="007F7FBD"/>
    <w:rsid w:val="00800DE7"/>
    <w:rsid w:val="0080561C"/>
    <w:rsid w:val="00806B0F"/>
    <w:rsid w:val="00812188"/>
    <w:rsid w:val="00813D5B"/>
    <w:rsid w:val="008143A5"/>
    <w:rsid w:val="008153C6"/>
    <w:rsid w:val="00816D37"/>
    <w:rsid w:val="00817EFC"/>
    <w:rsid w:val="00820225"/>
    <w:rsid w:val="00824D2A"/>
    <w:rsid w:val="00825638"/>
    <w:rsid w:val="00831D3E"/>
    <w:rsid w:val="00834967"/>
    <w:rsid w:val="00834AB9"/>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0EAE"/>
    <w:rsid w:val="008B14D4"/>
    <w:rsid w:val="008B1740"/>
    <w:rsid w:val="008B36B7"/>
    <w:rsid w:val="008B3A60"/>
    <w:rsid w:val="008B3DCC"/>
    <w:rsid w:val="008B3EE4"/>
    <w:rsid w:val="008B4E9D"/>
    <w:rsid w:val="008B5CE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D7DB6"/>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6BB0"/>
    <w:rsid w:val="0091775E"/>
    <w:rsid w:val="009178D0"/>
    <w:rsid w:val="00917E73"/>
    <w:rsid w:val="00917EF0"/>
    <w:rsid w:val="00921EB3"/>
    <w:rsid w:val="0092282C"/>
    <w:rsid w:val="00923A58"/>
    <w:rsid w:val="009249F8"/>
    <w:rsid w:val="00930BA8"/>
    <w:rsid w:val="0093281F"/>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4E74"/>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2E7"/>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20E2"/>
    <w:rsid w:val="00A26FA5"/>
    <w:rsid w:val="00A27D3E"/>
    <w:rsid w:val="00A27F2E"/>
    <w:rsid w:val="00A31392"/>
    <w:rsid w:val="00A35E28"/>
    <w:rsid w:val="00A416A5"/>
    <w:rsid w:val="00A41CDC"/>
    <w:rsid w:val="00A44F9F"/>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9A9"/>
    <w:rsid w:val="00A90B85"/>
    <w:rsid w:val="00A92DEE"/>
    <w:rsid w:val="00A93771"/>
    <w:rsid w:val="00A941EE"/>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6D01"/>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3BCC"/>
    <w:rsid w:val="00B56F8E"/>
    <w:rsid w:val="00B57506"/>
    <w:rsid w:val="00B613C7"/>
    <w:rsid w:val="00B627FD"/>
    <w:rsid w:val="00B72636"/>
    <w:rsid w:val="00B72B6B"/>
    <w:rsid w:val="00B734A3"/>
    <w:rsid w:val="00B74E07"/>
    <w:rsid w:val="00B757B0"/>
    <w:rsid w:val="00B774DD"/>
    <w:rsid w:val="00B7754F"/>
    <w:rsid w:val="00B81E5E"/>
    <w:rsid w:val="00B8205F"/>
    <w:rsid w:val="00B83A8F"/>
    <w:rsid w:val="00B84D2E"/>
    <w:rsid w:val="00B87A61"/>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887"/>
    <w:rsid w:val="00C45722"/>
    <w:rsid w:val="00C47B02"/>
    <w:rsid w:val="00C5040F"/>
    <w:rsid w:val="00C53349"/>
    <w:rsid w:val="00C54AAD"/>
    <w:rsid w:val="00C564FA"/>
    <w:rsid w:val="00C5747E"/>
    <w:rsid w:val="00C57981"/>
    <w:rsid w:val="00C62C73"/>
    <w:rsid w:val="00C6573F"/>
    <w:rsid w:val="00C6688C"/>
    <w:rsid w:val="00C66F21"/>
    <w:rsid w:val="00C713DA"/>
    <w:rsid w:val="00C72AF5"/>
    <w:rsid w:val="00C75619"/>
    <w:rsid w:val="00C75EF1"/>
    <w:rsid w:val="00C7782D"/>
    <w:rsid w:val="00C82B0E"/>
    <w:rsid w:val="00C82F96"/>
    <w:rsid w:val="00C8440C"/>
    <w:rsid w:val="00C858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3300"/>
    <w:rsid w:val="00CB6D94"/>
    <w:rsid w:val="00CB6F74"/>
    <w:rsid w:val="00CB716F"/>
    <w:rsid w:val="00CC1016"/>
    <w:rsid w:val="00CC1641"/>
    <w:rsid w:val="00CC1A04"/>
    <w:rsid w:val="00CC1B34"/>
    <w:rsid w:val="00CC1B6E"/>
    <w:rsid w:val="00CC38DF"/>
    <w:rsid w:val="00CC3E73"/>
    <w:rsid w:val="00CC4133"/>
    <w:rsid w:val="00CC5980"/>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47DE8"/>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6A80"/>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48EE"/>
    <w:rsid w:val="00DF6A10"/>
    <w:rsid w:val="00E00EA5"/>
    <w:rsid w:val="00E0462E"/>
    <w:rsid w:val="00E059D1"/>
    <w:rsid w:val="00E061C1"/>
    <w:rsid w:val="00E06CCA"/>
    <w:rsid w:val="00E116B6"/>
    <w:rsid w:val="00E127AF"/>
    <w:rsid w:val="00E1516B"/>
    <w:rsid w:val="00E16DE7"/>
    <w:rsid w:val="00E16F67"/>
    <w:rsid w:val="00E20612"/>
    <w:rsid w:val="00E221EF"/>
    <w:rsid w:val="00E27ED1"/>
    <w:rsid w:val="00E30ACB"/>
    <w:rsid w:val="00E32B9F"/>
    <w:rsid w:val="00E33708"/>
    <w:rsid w:val="00E33F4B"/>
    <w:rsid w:val="00E35027"/>
    <w:rsid w:val="00E36879"/>
    <w:rsid w:val="00E36B29"/>
    <w:rsid w:val="00E37772"/>
    <w:rsid w:val="00E37FA9"/>
    <w:rsid w:val="00E40758"/>
    <w:rsid w:val="00E40F88"/>
    <w:rsid w:val="00E45E27"/>
    <w:rsid w:val="00E46FF9"/>
    <w:rsid w:val="00E479F6"/>
    <w:rsid w:val="00E50C26"/>
    <w:rsid w:val="00E51177"/>
    <w:rsid w:val="00E521C8"/>
    <w:rsid w:val="00E544B2"/>
    <w:rsid w:val="00E57012"/>
    <w:rsid w:val="00E666C3"/>
    <w:rsid w:val="00E66AD8"/>
    <w:rsid w:val="00E67979"/>
    <w:rsid w:val="00E714B1"/>
    <w:rsid w:val="00E721E4"/>
    <w:rsid w:val="00E74F68"/>
    <w:rsid w:val="00E755D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453"/>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19A"/>
    <w:rsid w:val="00F5451B"/>
    <w:rsid w:val="00F54B05"/>
    <w:rsid w:val="00F54B6A"/>
    <w:rsid w:val="00F555FF"/>
    <w:rsid w:val="00F57BC7"/>
    <w:rsid w:val="00F57ED1"/>
    <w:rsid w:val="00F609CD"/>
    <w:rsid w:val="00F61148"/>
    <w:rsid w:val="00F61C38"/>
    <w:rsid w:val="00F627DC"/>
    <w:rsid w:val="00F629C7"/>
    <w:rsid w:val="00F63C23"/>
    <w:rsid w:val="00F655E3"/>
    <w:rsid w:val="00F6735B"/>
    <w:rsid w:val="00F715F2"/>
    <w:rsid w:val="00F721E7"/>
    <w:rsid w:val="00F73D12"/>
    <w:rsid w:val="00F756C6"/>
    <w:rsid w:val="00F77980"/>
    <w:rsid w:val="00F779AA"/>
    <w:rsid w:val="00F82AF1"/>
    <w:rsid w:val="00F83187"/>
    <w:rsid w:val="00F84082"/>
    <w:rsid w:val="00F86BA5"/>
    <w:rsid w:val="00F87C39"/>
    <w:rsid w:val="00F902D3"/>
    <w:rsid w:val="00F905B6"/>
    <w:rsid w:val="00F92AF7"/>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B6B80"/>
    <w:rsid w:val="01604E80"/>
    <w:rsid w:val="01A01AFA"/>
    <w:rsid w:val="01A9153E"/>
    <w:rsid w:val="01C64642"/>
    <w:rsid w:val="01CB5453"/>
    <w:rsid w:val="01E27923"/>
    <w:rsid w:val="02062B58"/>
    <w:rsid w:val="02132159"/>
    <w:rsid w:val="02546A97"/>
    <w:rsid w:val="025F5776"/>
    <w:rsid w:val="02644C33"/>
    <w:rsid w:val="0269067C"/>
    <w:rsid w:val="02751313"/>
    <w:rsid w:val="02857F1F"/>
    <w:rsid w:val="02B779DA"/>
    <w:rsid w:val="02C741EC"/>
    <w:rsid w:val="02CB255D"/>
    <w:rsid w:val="02D70676"/>
    <w:rsid w:val="02F01C71"/>
    <w:rsid w:val="02F04BCE"/>
    <w:rsid w:val="02F95629"/>
    <w:rsid w:val="03137D7E"/>
    <w:rsid w:val="03210061"/>
    <w:rsid w:val="034657EF"/>
    <w:rsid w:val="034F488B"/>
    <w:rsid w:val="03A92A2C"/>
    <w:rsid w:val="03BD6858"/>
    <w:rsid w:val="03C26658"/>
    <w:rsid w:val="03D21196"/>
    <w:rsid w:val="03D52124"/>
    <w:rsid w:val="043B11C4"/>
    <w:rsid w:val="04415EE3"/>
    <w:rsid w:val="046B6B89"/>
    <w:rsid w:val="04707F81"/>
    <w:rsid w:val="0476275B"/>
    <w:rsid w:val="047775AF"/>
    <w:rsid w:val="04805806"/>
    <w:rsid w:val="0492451B"/>
    <w:rsid w:val="04960FA1"/>
    <w:rsid w:val="04CE27B5"/>
    <w:rsid w:val="04D12AAC"/>
    <w:rsid w:val="04DB3BDB"/>
    <w:rsid w:val="04DD2267"/>
    <w:rsid w:val="04F02C74"/>
    <w:rsid w:val="050A4816"/>
    <w:rsid w:val="05242276"/>
    <w:rsid w:val="05273450"/>
    <w:rsid w:val="053E5083"/>
    <w:rsid w:val="05407F0F"/>
    <w:rsid w:val="054B15E0"/>
    <w:rsid w:val="056F500B"/>
    <w:rsid w:val="05AC2718"/>
    <w:rsid w:val="05B01605"/>
    <w:rsid w:val="06362A67"/>
    <w:rsid w:val="066A7233"/>
    <w:rsid w:val="067C248B"/>
    <w:rsid w:val="06872211"/>
    <w:rsid w:val="0690677F"/>
    <w:rsid w:val="06AF039D"/>
    <w:rsid w:val="06C705E9"/>
    <w:rsid w:val="06CB2A63"/>
    <w:rsid w:val="06D909EF"/>
    <w:rsid w:val="06E6032A"/>
    <w:rsid w:val="06F03E48"/>
    <w:rsid w:val="06F32C4C"/>
    <w:rsid w:val="07221759"/>
    <w:rsid w:val="072C1DB9"/>
    <w:rsid w:val="072E5B90"/>
    <w:rsid w:val="0755005F"/>
    <w:rsid w:val="07667213"/>
    <w:rsid w:val="07845EBA"/>
    <w:rsid w:val="078B11F7"/>
    <w:rsid w:val="078E7909"/>
    <w:rsid w:val="07996EB4"/>
    <w:rsid w:val="079E733B"/>
    <w:rsid w:val="07A36F1B"/>
    <w:rsid w:val="07A94598"/>
    <w:rsid w:val="07D945DC"/>
    <w:rsid w:val="07DB537C"/>
    <w:rsid w:val="08107785"/>
    <w:rsid w:val="082825E5"/>
    <w:rsid w:val="082D669C"/>
    <w:rsid w:val="088912F7"/>
    <w:rsid w:val="08B057F3"/>
    <w:rsid w:val="08BA6E3E"/>
    <w:rsid w:val="08C708B5"/>
    <w:rsid w:val="08D35F71"/>
    <w:rsid w:val="08FD503D"/>
    <w:rsid w:val="09293151"/>
    <w:rsid w:val="092D4ADB"/>
    <w:rsid w:val="093247D0"/>
    <w:rsid w:val="094B0040"/>
    <w:rsid w:val="096B7ED1"/>
    <w:rsid w:val="096D0679"/>
    <w:rsid w:val="09874ADA"/>
    <w:rsid w:val="09A13A7B"/>
    <w:rsid w:val="09BB15AB"/>
    <w:rsid w:val="09C02513"/>
    <w:rsid w:val="09C943AD"/>
    <w:rsid w:val="09D51869"/>
    <w:rsid w:val="09E06DF4"/>
    <w:rsid w:val="0A1B07A8"/>
    <w:rsid w:val="0A255C76"/>
    <w:rsid w:val="0A5A0A93"/>
    <w:rsid w:val="0A676977"/>
    <w:rsid w:val="0A6952B7"/>
    <w:rsid w:val="0A7E19BC"/>
    <w:rsid w:val="0A801E5D"/>
    <w:rsid w:val="0A9500F7"/>
    <w:rsid w:val="0AA07475"/>
    <w:rsid w:val="0ACF7D96"/>
    <w:rsid w:val="0ADB794D"/>
    <w:rsid w:val="0ADF300F"/>
    <w:rsid w:val="0AE36BBE"/>
    <w:rsid w:val="0AEB2A60"/>
    <w:rsid w:val="0AF461CA"/>
    <w:rsid w:val="0AFE662A"/>
    <w:rsid w:val="0B2769D5"/>
    <w:rsid w:val="0B3A136F"/>
    <w:rsid w:val="0B504A69"/>
    <w:rsid w:val="0B5673B8"/>
    <w:rsid w:val="0B656F36"/>
    <w:rsid w:val="0B6C28C5"/>
    <w:rsid w:val="0B955563"/>
    <w:rsid w:val="0B9C4FEC"/>
    <w:rsid w:val="0BA33880"/>
    <w:rsid w:val="0BA81580"/>
    <w:rsid w:val="0BF243BC"/>
    <w:rsid w:val="0C317937"/>
    <w:rsid w:val="0C3B2575"/>
    <w:rsid w:val="0C5F1564"/>
    <w:rsid w:val="0C68672E"/>
    <w:rsid w:val="0C7737E5"/>
    <w:rsid w:val="0C7C407F"/>
    <w:rsid w:val="0C94198B"/>
    <w:rsid w:val="0C974616"/>
    <w:rsid w:val="0C986D75"/>
    <w:rsid w:val="0CA8083B"/>
    <w:rsid w:val="0CA83953"/>
    <w:rsid w:val="0CD26A47"/>
    <w:rsid w:val="0CE64047"/>
    <w:rsid w:val="0D0431A0"/>
    <w:rsid w:val="0D105CC0"/>
    <w:rsid w:val="0D387753"/>
    <w:rsid w:val="0D684C0C"/>
    <w:rsid w:val="0D7B4EC7"/>
    <w:rsid w:val="0D8D0D41"/>
    <w:rsid w:val="0DA11273"/>
    <w:rsid w:val="0DA30FAE"/>
    <w:rsid w:val="0DA424D8"/>
    <w:rsid w:val="0DDE177A"/>
    <w:rsid w:val="0DDE6170"/>
    <w:rsid w:val="0E1359FA"/>
    <w:rsid w:val="0E1B53A5"/>
    <w:rsid w:val="0E274777"/>
    <w:rsid w:val="0E305776"/>
    <w:rsid w:val="0E3777BE"/>
    <w:rsid w:val="0E3B795C"/>
    <w:rsid w:val="0E6827C3"/>
    <w:rsid w:val="0E6E1C90"/>
    <w:rsid w:val="0E8A4737"/>
    <w:rsid w:val="0E933D26"/>
    <w:rsid w:val="0EB05D52"/>
    <w:rsid w:val="0EE43718"/>
    <w:rsid w:val="0EE90B68"/>
    <w:rsid w:val="0EEC50BC"/>
    <w:rsid w:val="0F223A71"/>
    <w:rsid w:val="0F2449F7"/>
    <w:rsid w:val="0F333C8A"/>
    <w:rsid w:val="0F441053"/>
    <w:rsid w:val="0F6415F3"/>
    <w:rsid w:val="0F6D01FB"/>
    <w:rsid w:val="0F7B6DCF"/>
    <w:rsid w:val="0F80584B"/>
    <w:rsid w:val="0F9124E8"/>
    <w:rsid w:val="0FB324F4"/>
    <w:rsid w:val="0FB622BB"/>
    <w:rsid w:val="0FBC0D1A"/>
    <w:rsid w:val="102927A5"/>
    <w:rsid w:val="102942B6"/>
    <w:rsid w:val="10377139"/>
    <w:rsid w:val="10475F34"/>
    <w:rsid w:val="104C58A2"/>
    <w:rsid w:val="10620D5D"/>
    <w:rsid w:val="10671982"/>
    <w:rsid w:val="10910D2D"/>
    <w:rsid w:val="10B95459"/>
    <w:rsid w:val="10C770AD"/>
    <w:rsid w:val="10CB2801"/>
    <w:rsid w:val="10D23EDD"/>
    <w:rsid w:val="113C5380"/>
    <w:rsid w:val="114138F4"/>
    <w:rsid w:val="117F1B35"/>
    <w:rsid w:val="11970C71"/>
    <w:rsid w:val="11A842FF"/>
    <w:rsid w:val="11A84BDA"/>
    <w:rsid w:val="11BA4DA3"/>
    <w:rsid w:val="11C03118"/>
    <w:rsid w:val="11E5015A"/>
    <w:rsid w:val="120B1F32"/>
    <w:rsid w:val="120E0E48"/>
    <w:rsid w:val="123F4C14"/>
    <w:rsid w:val="12567E7B"/>
    <w:rsid w:val="126A132E"/>
    <w:rsid w:val="1276067B"/>
    <w:rsid w:val="12B1627A"/>
    <w:rsid w:val="12C36FD4"/>
    <w:rsid w:val="12CB1F54"/>
    <w:rsid w:val="12F12AA5"/>
    <w:rsid w:val="13094C4A"/>
    <w:rsid w:val="132450B4"/>
    <w:rsid w:val="13416B2E"/>
    <w:rsid w:val="136F32AE"/>
    <w:rsid w:val="13934DF1"/>
    <w:rsid w:val="13953125"/>
    <w:rsid w:val="13B8461E"/>
    <w:rsid w:val="13F61959"/>
    <w:rsid w:val="1402655C"/>
    <w:rsid w:val="140734F7"/>
    <w:rsid w:val="14173CB8"/>
    <w:rsid w:val="141A42B8"/>
    <w:rsid w:val="14211693"/>
    <w:rsid w:val="14376E43"/>
    <w:rsid w:val="14541696"/>
    <w:rsid w:val="145F7E28"/>
    <w:rsid w:val="14780D27"/>
    <w:rsid w:val="147A2410"/>
    <w:rsid w:val="14852C6F"/>
    <w:rsid w:val="1488358C"/>
    <w:rsid w:val="148F2F85"/>
    <w:rsid w:val="14A502EF"/>
    <w:rsid w:val="14AF54DA"/>
    <w:rsid w:val="14C64C59"/>
    <w:rsid w:val="14F740A3"/>
    <w:rsid w:val="150724B3"/>
    <w:rsid w:val="15074434"/>
    <w:rsid w:val="15227A32"/>
    <w:rsid w:val="152B4D84"/>
    <w:rsid w:val="153769F7"/>
    <w:rsid w:val="155301FE"/>
    <w:rsid w:val="15871E93"/>
    <w:rsid w:val="15930009"/>
    <w:rsid w:val="159B0D62"/>
    <w:rsid w:val="159E521A"/>
    <w:rsid w:val="15C91F5E"/>
    <w:rsid w:val="15DF3010"/>
    <w:rsid w:val="15F003C1"/>
    <w:rsid w:val="15F61009"/>
    <w:rsid w:val="15FC3115"/>
    <w:rsid w:val="164A49E5"/>
    <w:rsid w:val="16883A58"/>
    <w:rsid w:val="168A004B"/>
    <w:rsid w:val="168C48D6"/>
    <w:rsid w:val="169F6B0D"/>
    <w:rsid w:val="16A27000"/>
    <w:rsid w:val="16A705A2"/>
    <w:rsid w:val="16B20B12"/>
    <w:rsid w:val="16C83D17"/>
    <w:rsid w:val="16E311A5"/>
    <w:rsid w:val="16E3518A"/>
    <w:rsid w:val="16E952DD"/>
    <w:rsid w:val="17252E73"/>
    <w:rsid w:val="172E63EE"/>
    <w:rsid w:val="173D752B"/>
    <w:rsid w:val="173E3BF5"/>
    <w:rsid w:val="17435E46"/>
    <w:rsid w:val="17441767"/>
    <w:rsid w:val="17445402"/>
    <w:rsid w:val="17721C8E"/>
    <w:rsid w:val="178E71CD"/>
    <w:rsid w:val="17912574"/>
    <w:rsid w:val="179A05A8"/>
    <w:rsid w:val="179D7FD7"/>
    <w:rsid w:val="179E173F"/>
    <w:rsid w:val="17A650FC"/>
    <w:rsid w:val="17AB40AE"/>
    <w:rsid w:val="17BA677B"/>
    <w:rsid w:val="17CA2B8F"/>
    <w:rsid w:val="17D82FD7"/>
    <w:rsid w:val="17E65EE9"/>
    <w:rsid w:val="17F405EB"/>
    <w:rsid w:val="17FC46D3"/>
    <w:rsid w:val="180339A2"/>
    <w:rsid w:val="1860258D"/>
    <w:rsid w:val="18967A84"/>
    <w:rsid w:val="18B00122"/>
    <w:rsid w:val="18B20BDD"/>
    <w:rsid w:val="18B951B3"/>
    <w:rsid w:val="18C35170"/>
    <w:rsid w:val="18CC04CB"/>
    <w:rsid w:val="18D21A5A"/>
    <w:rsid w:val="18E00489"/>
    <w:rsid w:val="18FB5A21"/>
    <w:rsid w:val="19282791"/>
    <w:rsid w:val="192C2D7A"/>
    <w:rsid w:val="19353DEC"/>
    <w:rsid w:val="19810432"/>
    <w:rsid w:val="19BA2109"/>
    <w:rsid w:val="19BE3086"/>
    <w:rsid w:val="19C3541C"/>
    <w:rsid w:val="19E21D1C"/>
    <w:rsid w:val="19E92539"/>
    <w:rsid w:val="19EB3CD8"/>
    <w:rsid w:val="19F45009"/>
    <w:rsid w:val="1A093B60"/>
    <w:rsid w:val="1A135EB3"/>
    <w:rsid w:val="1A26575C"/>
    <w:rsid w:val="1A4C0E92"/>
    <w:rsid w:val="1A5E1863"/>
    <w:rsid w:val="1A7F3A58"/>
    <w:rsid w:val="1A84474A"/>
    <w:rsid w:val="1A8B60FB"/>
    <w:rsid w:val="1AB83062"/>
    <w:rsid w:val="1AC502CF"/>
    <w:rsid w:val="1AD05C11"/>
    <w:rsid w:val="1B187A1B"/>
    <w:rsid w:val="1B200375"/>
    <w:rsid w:val="1B2F2124"/>
    <w:rsid w:val="1B3419FD"/>
    <w:rsid w:val="1B52032C"/>
    <w:rsid w:val="1B87118E"/>
    <w:rsid w:val="1BD20383"/>
    <w:rsid w:val="1BE06630"/>
    <w:rsid w:val="1BF90E89"/>
    <w:rsid w:val="1BFF3FFC"/>
    <w:rsid w:val="1C6A6D50"/>
    <w:rsid w:val="1C7C1550"/>
    <w:rsid w:val="1C7F50C5"/>
    <w:rsid w:val="1C9A6C63"/>
    <w:rsid w:val="1CBF63C3"/>
    <w:rsid w:val="1CC13EB1"/>
    <w:rsid w:val="1D2C4F1B"/>
    <w:rsid w:val="1D47273F"/>
    <w:rsid w:val="1D492F27"/>
    <w:rsid w:val="1D7C153E"/>
    <w:rsid w:val="1D7C22EC"/>
    <w:rsid w:val="1D7F48E1"/>
    <w:rsid w:val="1D866B79"/>
    <w:rsid w:val="1D99014B"/>
    <w:rsid w:val="1DA65B4D"/>
    <w:rsid w:val="1DE35CF5"/>
    <w:rsid w:val="1DE42E39"/>
    <w:rsid w:val="1E055C9E"/>
    <w:rsid w:val="1E3646C2"/>
    <w:rsid w:val="1E3C0371"/>
    <w:rsid w:val="1E404244"/>
    <w:rsid w:val="1E646060"/>
    <w:rsid w:val="1E6E033F"/>
    <w:rsid w:val="1E895CEE"/>
    <w:rsid w:val="1E8D072E"/>
    <w:rsid w:val="1EB76F1A"/>
    <w:rsid w:val="1EDF3101"/>
    <w:rsid w:val="1EE47B86"/>
    <w:rsid w:val="1EFF2EEA"/>
    <w:rsid w:val="1F0136F8"/>
    <w:rsid w:val="1F0565C7"/>
    <w:rsid w:val="1F1C1A13"/>
    <w:rsid w:val="1F1F54B2"/>
    <w:rsid w:val="1F1F564E"/>
    <w:rsid w:val="1F4A727D"/>
    <w:rsid w:val="1F51638C"/>
    <w:rsid w:val="1F8A0112"/>
    <w:rsid w:val="1FE63033"/>
    <w:rsid w:val="20015A6D"/>
    <w:rsid w:val="200C3AA1"/>
    <w:rsid w:val="201E455F"/>
    <w:rsid w:val="20211C45"/>
    <w:rsid w:val="202911D7"/>
    <w:rsid w:val="20654C19"/>
    <w:rsid w:val="206B546A"/>
    <w:rsid w:val="206C2DEB"/>
    <w:rsid w:val="20847C38"/>
    <w:rsid w:val="20974516"/>
    <w:rsid w:val="20AE211E"/>
    <w:rsid w:val="20B34AC6"/>
    <w:rsid w:val="20CB3924"/>
    <w:rsid w:val="20CD5726"/>
    <w:rsid w:val="20E32D7B"/>
    <w:rsid w:val="20ED63C9"/>
    <w:rsid w:val="20F12941"/>
    <w:rsid w:val="21220D3E"/>
    <w:rsid w:val="213C1A3B"/>
    <w:rsid w:val="214A3DCF"/>
    <w:rsid w:val="215E76DF"/>
    <w:rsid w:val="216D7B97"/>
    <w:rsid w:val="217C182D"/>
    <w:rsid w:val="2189394D"/>
    <w:rsid w:val="21944711"/>
    <w:rsid w:val="21B53A1F"/>
    <w:rsid w:val="21BF72A1"/>
    <w:rsid w:val="21C25BFD"/>
    <w:rsid w:val="21C3592D"/>
    <w:rsid w:val="21C55F53"/>
    <w:rsid w:val="21C60013"/>
    <w:rsid w:val="21C76285"/>
    <w:rsid w:val="21E166C7"/>
    <w:rsid w:val="21FB6F9B"/>
    <w:rsid w:val="21FC530F"/>
    <w:rsid w:val="22080498"/>
    <w:rsid w:val="22430EB2"/>
    <w:rsid w:val="224F077B"/>
    <w:rsid w:val="225A2932"/>
    <w:rsid w:val="226A25E4"/>
    <w:rsid w:val="22740558"/>
    <w:rsid w:val="228A54AE"/>
    <w:rsid w:val="22955C48"/>
    <w:rsid w:val="22A84E37"/>
    <w:rsid w:val="22AC4EAC"/>
    <w:rsid w:val="22B4304D"/>
    <w:rsid w:val="22BC6A0C"/>
    <w:rsid w:val="22FE21A3"/>
    <w:rsid w:val="232E4270"/>
    <w:rsid w:val="23356F82"/>
    <w:rsid w:val="233A2E59"/>
    <w:rsid w:val="23420192"/>
    <w:rsid w:val="23594B35"/>
    <w:rsid w:val="23655DFC"/>
    <w:rsid w:val="2379757D"/>
    <w:rsid w:val="23815AAD"/>
    <w:rsid w:val="239C27FC"/>
    <w:rsid w:val="23B534DB"/>
    <w:rsid w:val="23C27A95"/>
    <w:rsid w:val="23C515B0"/>
    <w:rsid w:val="23EA5690"/>
    <w:rsid w:val="23FB5BA9"/>
    <w:rsid w:val="23FC0AA0"/>
    <w:rsid w:val="240C1BBF"/>
    <w:rsid w:val="240F127A"/>
    <w:rsid w:val="24222A24"/>
    <w:rsid w:val="244157BB"/>
    <w:rsid w:val="24523398"/>
    <w:rsid w:val="247240E4"/>
    <w:rsid w:val="249027F9"/>
    <w:rsid w:val="24923112"/>
    <w:rsid w:val="24BC0B8C"/>
    <w:rsid w:val="24D54DB0"/>
    <w:rsid w:val="24DD44A9"/>
    <w:rsid w:val="24E625D6"/>
    <w:rsid w:val="24E77CF4"/>
    <w:rsid w:val="24F82B87"/>
    <w:rsid w:val="251E6CB6"/>
    <w:rsid w:val="2530104D"/>
    <w:rsid w:val="25471A46"/>
    <w:rsid w:val="259879AE"/>
    <w:rsid w:val="25A328BE"/>
    <w:rsid w:val="25A34005"/>
    <w:rsid w:val="25A66195"/>
    <w:rsid w:val="25D27E7B"/>
    <w:rsid w:val="25E20F3C"/>
    <w:rsid w:val="25E67802"/>
    <w:rsid w:val="25E777B3"/>
    <w:rsid w:val="25FE59B1"/>
    <w:rsid w:val="26061971"/>
    <w:rsid w:val="26111D68"/>
    <w:rsid w:val="26307E6E"/>
    <w:rsid w:val="264008E8"/>
    <w:rsid w:val="26433F7F"/>
    <w:rsid w:val="26700C16"/>
    <w:rsid w:val="267F4830"/>
    <w:rsid w:val="26920740"/>
    <w:rsid w:val="26BD493E"/>
    <w:rsid w:val="270F5095"/>
    <w:rsid w:val="27144105"/>
    <w:rsid w:val="271C5FC6"/>
    <w:rsid w:val="27362009"/>
    <w:rsid w:val="27484D00"/>
    <w:rsid w:val="274F2171"/>
    <w:rsid w:val="275D6367"/>
    <w:rsid w:val="275E0F3C"/>
    <w:rsid w:val="2760568F"/>
    <w:rsid w:val="27610A07"/>
    <w:rsid w:val="27797DE0"/>
    <w:rsid w:val="27965B8B"/>
    <w:rsid w:val="27992D09"/>
    <w:rsid w:val="27D00352"/>
    <w:rsid w:val="27FD025A"/>
    <w:rsid w:val="282657F7"/>
    <w:rsid w:val="2856652E"/>
    <w:rsid w:val="2867494D"/>
    <w:rsid w:val="287E2C12"/>
    <w:rsid w:val="287F59EE"/>
    <w:rsid w:val="28FC2B68"/>
    <w:rsid w:val="29147CD7"/>
    <w:rsid w:val="29172B11"/>
    <w:rsid w:val="29223179"/>
    <w:rsid w:val="294A4308"/>
    <w:rsid w:val="29523F82"/>
    <w:rsid w:val="297728FC"/>
    <w:rsid w:val="297F63E2"/>
    <w:rsid w:val="298D40D9"/>
    <w:rsid w:val="29AA4023"/>
    <w:rsid w:val="29D506B9"/>
    <w:rsid w:val="29FF498C"/>
    <w:rsid w:val="2A155A4E"/>
    <w:rsid w:val="2A307C1D"/>
    <w:rsid w:val="2A3B1864"/>
    <w:rsid w:val="2A456589"/>
    <w:rsid w:val="2A475E62"/>
    <w:rsid w:val="2A4B2DEC"/>
    <w:rsid w:val="2A5B4807"/>
    <w:rsid w:val="2A837B23"/>
    <w:rsid w:val="2A8B619D"/>
    <w:rsid w:val="2A981F0C"/>
    <w:rsid w:val="2AC46B39"/>
    <w:rsid w:val="2AD311B2"/>
    <w:rsid w:val="2ADE0C2E"/>
    <w:rsid w:val="2B0717DF"/>
    <w:rsid w:val="2B16314B"/>
    <w:rsid w:val="2B1745E1"/>
    <w:rsid w:val="2B314EE4"/>
    <w:rsid w:val="2B53670E"/>
    <w:rsid w:val="2B7B1662"/>
    <w:rsid w:val="2B8C17C6"/>
    <w:rsid w:val="2B8E3C1B"/>
    <w:rsid w:val="2B8E7455"/>
    <w:rsid w:val="2BFF3A07"/>
    <w:rsid w:val="2C010002"/>
    <w:rsid w:val="2C0E274C"/>
    <w:rsid w:val="2C1864B9"/>
    <w:rsid w:val="2C3042EA"/>
    <w:rsid w:val="2C5466FC"/>
    <w:rsid w:val="2C9F349F"/>
    <w:rsid w:val="2CAC0753"/>
    <w:rsid w:val="2CD441D3"/>
    <w:rsid w:val="2CDA7A1A"/>
    <w:rsid w:val="2D0779A7"/>
    <w:rsid w:val="2D2F5557"/>
    <w:rsid w:val="2D4477EE"/>
    <w:rsid w:val="2D626710"/>
    <w:rsid w:val="2D7E2FF7"/>
    <w:rsid w:val="2D7E7EA2"/>
    <w:rsid w:val="2D8A7EEE"/>
    <w:rsid w:val="2DAC120D"/>
    <w:rsid w:val="2DAE6D54"/>
    <w:rsid w:val="2DB51D8C"/>
    <w:rsid w:val="2DC41DAC"/>
    <w:rsid w:val="2DD4300E"/>
    <w:rsid w:val="2DE31F3E"/>
    <w:rsid w:val="2DFF5078"/>
    <w:rsid w:val="2E0E55F8"/>
    <w:rsid w:val="2E175D83"/>
    <w:rsid w:val="2E413F38"/>
    <w:rsid w:val="2E5E191E"/>
    <w:rsid w:val="2E6E0A25"/>
    <w:rsid w:val="2E720553"/>
    <w:rsid w:val="2EC14611"/>
    <w:rsid w:val="2ED63019"/>
    <w:rsid w:val="2EF6340A"/>
    <w:rsid w:val="2F1F63D3"/>
    <w:rsid w:val="2F507973"/>
    <w:rsid w:val="2F883C62"/>
    <w:rsid w:val="2FA13846"/>
    <w:rsid w:val="2FC16D53"/>
    <w:rsid w:val="2FDE3293"/>
    <w:rsid w:val="2FDF5C9D"/>
    <w:rsid w:val="3009331C"/>
    <w:rsid w:val="301D5C97"/>
    <w:rsid w:val="30277C8E"/>
    <w:rsid w:val="30300320"/>
    <w:rsid w:val="30381F9E"/>
    <w:rsid w:val="30402949"/>
    <w:rsid w:val="305E4CC4"/>
    <w:rsid w:val="306C0502"/>
    <w:rsid w:val="308640EB"/>
    <w:rsid w:val="308D4E70"/>
    <w:rsid w:val="309F49B3"/>
    <w:rsid w:val="30D61929"/>
    <w:rsid w:val="30D77E04"/>
    <w:rsid w:val="30E36619"/>
    <w:rsid w:val="30E44E75"/>
    <w:rsid w:val="31070840"/>
    <w:rsid w:val="311753BD"/>
    <w:rsid w:val="311A734D"/>
    <w:rsid w:val="312B7B5C"/>
    <w:rsid w:val="31394AA3"/>
    <w:rsid w:val="31421613"/>
    <w:rsid w:val="314B5255"/>
    <w:rsid w:val="3157644A"/>
    <w:rsid w:val="315B6D60"/>
    <w:rsid w:val="3174505E"/>
    <w:rsid w:val="318A347D"/>
    <w:rsid w:val="318C4F08"/>
    <w:rsid w:val="31914894"/>
    <w:rsid w:val="31956A66"/>
    <w:rsid w:val="31C072B8"/>
    <w:rsid w:val="31DA45C8"/>
    <w:rsid w:val="31E4797E"/>
    <w:rsid w:val="31EE4BAA"/>
    <w:rsid w:val="31F521F6"/>
    <w:rsid w:val="31F5436E"/>
    <w:rsid w:val="31F857BF"/>
    <w:rsid w:val="320107D3"/>
    <w:rsid w:val="32243194"/>
    <w:rsid w:val="3224417B"/>
    <w:rsid w:val="324662CB"/>
    <w:rsid w:val="324C3A59"/>
    <w:rsid w:val="325F13BA"/>
    <w:rsid w:val="3263631F"/>
    <w:rsid w:val="32687D16"/>
    <w:rsid w:val="327331BC"/>
    <w:rsid w:val="32864611"/>
    <w:rsid w:val="32877675"/>
    <w:rsid w:val="329A5FA7"/>
    <w:rsid w:val="32A355BC"/>
    <w:rsid w:val="32C00D78"/>
    <w:rsid w:val="32DA49E4"/>
    <w:rsid w:val="32F653B6"/>
    <w:rsid w:val="33033068"/>
    <w:rsid w:val="331550E0"/>
    <w:rsid w:val="33222A9A"/>
    <w:rsid w:val="33273336"/>
    <w:rsid w:val="332D1CBE"/>
    <w:rsid w:val="33385D65"/>
    <w:rsid w:val="33480719"/>
    <w:rsid w:val="334C7928"/>
    <w:rsid w:val="335F1874"/>
    <w:rsid w:val="336D05B7"/>
    <w:rsid w:val="3370375F"/>
    <w:rsid w:val="337D3E97"/>
    <w:rsid w:val="33805A44"/>
    <w:rsid w:val="338D6656"/>
    <w:rsid w:val="339D5261"/>
    <w:rsid w:val="339F59B9"/>
    <w:rsid w:val="341374B8"/>
    <w:rsid w:val="3474243E"/>
    <w:rsid w:val="34802C16"/>
    <w:rsid w:val="34955EDA"/>
    <w:rsid w:val="349A334C"/>
    <w:rsid w:val="34B61A0B"/>
    <w:rsid w:val="34C21BC2"/>
    <w:rsid w:val="34CA78C0"/>
    <w:rsid w:val="34E7352B"/>
    <w:rsid w:val="34E94C24"/>
    <w:rsid w:val="34FC01FE"/>
    <w:rsid w:val="35491DE7"/>
    <w:rsid w:val="354D799B"/>
    <w:rsid w:val="35586223"/>
    <w:rsid w:val="35A418C4"/>
    <w:rsid w:val="35C07EE7"/>
    <w:rsid w:val="35C43DE3"/>
    <w:rsid w:val="35D55562"/>
    <w:rsid w:val="35E55B5D"/>
    <w:rsid w:val="35EF33C5"/>
    <w:rsid w:val="36127C2E"/>
    <w:rsid w:val="36130454"/>
    <w:rsid w:val="361325D6"/>
    <w:rsid w:val="361C7D06"/>
    <w:rsid w:val="36253B84"/>
    <w:rsid w:val="36401A4A"/>
    <w:rsid w:val="368920CF"/>
    <w:rsid w:val="36FE5573"/>
    <w:rsid w:val="37412D5B"/>
    <w:rsid w:val="37424084"/>
    <w:rsid w:val="376533BD"/>
    <w:rsid w:val="378B2E6F"/>
    <w:rsid w:val="378F7481"/>
    <w:rsid w:val="37D078F7"/>
    <w:rsid w:val="37F76452"/>
    <w:rsid w:val="37FB7082"/>
    <w:rsid w:val="380E52E1"/>
    <w:rsid w:val="384F744A"/>
    <w:rsid w:val="38735C94"/>
    <w:rsid w:val="38A87CD8"/>
    <w:rsid w:val="38AB7652"/>
    <w:rsid w:val="38CE707C"/>
    <w:rsid w:val="38DD2EEF"/>
    <w:rsid w:val="38E93272"/>
    <w:rsid w:val="38FB4AF5"/>
    <w:rsid w:val="39104B12"/>
    <w:rsid w:val="39150974"/>
    <w:rsid w:val="39357D49"/>
    <w:rsid w:val="3978780E"/>
    <w:rsid w:val="398F11DA"/>
    <w:rsid w:val="39985420"/>
    <w:rsid w:val="39A33546"/>
    <w:rsid w:val="39C01D61"/>
    <w:rsid w:val="39C16CB7"/>
    <w:rsid w:val="39CF16AB"/>
    <w:rsid w:val="39E502D1"/>
    <w:rsid w:val="3A1B760C"/>
    <w:rsid w:val="3A34051D"/>
    <w:rsid w:val="3A3B1E69"/>
    <w:rsid w:val="3A541B4B"/>
    <w:rsid w:val="3A60333A"/>
    <w:rsid w:val="3A7D171B"/>
    <w:rsid w:val="3A7E7A19"/>
    <w:rsid w:val="3A920D31"/>
    <w:rsid w:val="3ACD10F0"/>
    <w:rsid w:val="3AF0613B"/>
    <w:rsid w:val="3B03762C"/>
    <w:rsid w:val="3B216441"/>
    <w:rsid w:val="3B2C0F24"/>
    <w:rsid w:val="3B334458"/>
    <w:rsid w:val="3B35199F"/>
    <w:rsid w:val="3B4E7C42"/>
    <w:rsid w:val="3B594BC0"/>
    <w:rsid w:val="3B644769"/>
    <w:rsid w:val="3B663E14"/>
    <w:rsid w:val="3B866206"/>
    <w:rsid w:val="3B8845D7"/>
    <w:rsid w:val="3B8B6665"/>
    <w:rsid w:val="3B917707"/>
    <w:rsid w:val="3BA15D36"/>
    <w:rsid w:val="3BC15D5C"/>
    <w:rsid w:val="3BDF17BD"/>
    <w:rsid w:val="3BE060F4"/>
    <w:rsid w:val="3BFB42C7"/>
    <w:rsid w:val="3C21682D"/>
    <w:rsid w:val="3C277DFD"/>
    <w:rsid w:val="3C2D6E50"/>
    <w:rsid w:val="3C3079FF"/>
    <w:rsid w:val="3C513234"/>
    <w:rsid w:val="3C7556F3"/>
    <w:rsid w:val="3CAA46F7"/>
    <w:rsid w:val="3CC96375"/>
    <w:rsid w:val="3CCB77E5"/>
    <w:rsid w:val="3CD25CFD"/>
    <w:rsid w:val="3CE57D2D"/>
    <w:rsid w:val="3CE77BA9"/>
    <w:rsid w:val="3D024C8D"/>
    <w:rsid w:val="3D07311F"/>
    <w:rsid w:val="3D0B19D3"/>
    <w:rsid w:val="3D1E133E"/>
    <w:rsid w:val="3D304FEF"/>
    <w:rsid w:val="3D5170E9"/>
    <w:rsid w:val="3D8E3347"/>
    <w:rsid w:val="3DA64913"/>
    <w:rsid w:val="3DB1756E"/>
    <w:rsid w:val="3E091CA6"/>
    <w:rsid w:val="3E217459"/>
    <w:rsid w:val="3E2230B8"/>
    <w:rsid w:val="3E263650"/>
    <w:rsid w:val="3E2805F5"/>
    <w:rsid w:val="3E2A4E15"/>
    <w:rsid w:val="3E3B4014"/>
    <w:rsid w:val="3E3E517B"/>
    <w:rsid w:val="3E551012"/>
    <w:rsid w:val="3E757CF8"/>
    <w:rsid w:val="3EA24223"/>
    <w:rsid w:val="3EBE04AD"/>
    <w:rsid w:val="3EED7585"/>
    <w:rsid w:val="3F055097"/>
    <w:rsid w:val="3F161199"/>
    <w:rsid w:val="3F255D56"/>
    <w:rsid w:val="3F416A26"/>
    <w:rsid w:val="3F4A3E88"/>
    <w:rsid w:val="3F761504"/>
    <w:rsid w:val="3F892D8A"/>
    <w:rsid w:val="3FA15BB7"/>
    <w:rsid w:val="3FA54CBA"/>
    <w:rsid w:val="3FB26EF8"/>
    <w:rsid w:val="3FD0776A"/>
    <w:rsid w:val="3FFF7676"/>
    <w:rsid w:val="401E7C74"/>
    <w:rsid w:val="40223FBC"/>
    <w:rsid w:val="404F40EA"/>
    <w:rsid w:val="40775629"/>
    <w:rsid w:val="4082593F"/>
    <w:rsid w:val="40843549"/>
    <w:rsid w:val="40A72F7F"/>
    <w:rsid w:val="41474308"/>
    <w:rsid w:val="41681941"/>
    <w:rsid w:val="416E4242"/>
    <w:rsid w:val="417C534F"/>
    <w:rsid w:val="41815287"/>
    <w:rsid w:val="418F3223"/>
    <w:rsid w:val="419119CF"/>
    <w:rsid w:val="41A46743"/>
    <w:rsid w:val="41BA6E38"/>
    <w:rsid w:val="41CF22D5"/>
    <w:rsid w:val="41E06904"/>
    <w:rsid w:val="41E47D60"/>
    <w:rsid w:val="41FB3940"/>
    <w:rsid w:val="41FE4EBD"/>
    <w:rsid w:val="421B0517"/>
    <w:rsid w:val="421C002D"/>
    <w:rsid w:val="421E7906"/>
    <w:rsid w:val="422024E8"/>
    <w:rsid w:val="422E6A18"/>
    <w:rsid w:val="42313AD0"/>
    <w:rsid w:val="423D6569"/>
    <w:rsid w:val="424430A0"/>
    <w:rsid w:val="42762B0E"/>
    <w:rsid w:val="42796D6D"/>
    <w:rsid w:val="42965151"/>
    <w:rsid w:val="42B8066C"/>
    <w:rsid w:val="42C16DEC"/>
    <w:rsid w:val="42D50F2A"/>
    <w:rsid w:val="43410AEC"/>
    <w:rsid w:val="43440507"/>
    <w:rsid w:val="43606A91"/>
    <w:rsid w:val="437468EC"/>
    <w:rsid w:val="437635E3"/>
    <w:rsid w:val="43796B27"/>
    <w:rsid w:val="437B3C36"/>
    <w:rsid w:val="43A56EBD"/>
    <w:rsid w:val="43A6733A"/>
    <w:rsid w:val="43C85A23"/>
    <w:rsid w:val="43DB21A0"/>
    <w:rsid w:val="43E02B32"/>
    <w:rsid w:val="44191691"/>
    <w:rsid w:val="444C4862"/>
    <w:rsid w:val="44560F40"/>
    <w:rsid w:val="446B1522"/>
    <w:rsid w:val="44720E16"/>
    <w:rsid w:val="449E4F92"/>
    <w:rsid w:val="44B40707"/>
    <w:rsid w:val="44BF37DC"/>
    <w:rsid w:val="44C41913"/>
    <w:rsid w:val="44CE1408"/>
    <w:rsid w:val="44D619FA"/>
    <w:rsid w:val="44F4553C"/>
    <w:rsid w:val="450874FC"/>
    <w:rsid w:val="450A7A4F"/>
    <w:rsid w:val="453A6E98"/>
    <w:rsid w:val="45476EA5"/>
    <w:rsid w:val="459F2609"/>
    <w:rsid w:val="45C33C42"/>
    <w:rsid w:val="45CC2621"/>
    <w:rsid w:val="45D10164"/>
    <w:rsid w:val="45E54860"/>
    <w:rsid w:val="461203B6"/>
    <w:rsid w:val="4627075D"/>
    <w:rsid w:val="46324642"/>
    <w:rsid w:val="463841B1"/>
    <w:rsid w:val="466C6EAA"/>
    <w:rsid w:val="469D0412"/>
    <w:rsid w:val="469D53BB"/>
    <w:rsid w:val="469F108B"/>
    <w:rsid w:val="46CF5EFF"/>
    <w:rsid w:val="46FB2F42"/>
    <w:rsid w:val="46FB4409"/>
    <w:rsid w:val="47103637"/>
    <w:rsid w:val="471C603E"/>
    <w:rsid w:val="473D6B0A"/>
    <w:rsid w:val="476E4CA0"/>
    <w:rsid w:val="478148E6"/>
    <w:rsid w:val="47821C82"/>
    <w:rsid w:val="4784369C"/>
    <w:rsid w:val="47AD7740"/>
    <w:rsid w:val="47C453BB"/>
    <w:rsid w:val="480D10C9"/>
    <w:rsid w:val="481F428B"/>
    <w:rsid w:val="48216BFC"/>
    <w:rsid w:val="482B2304"/>
    <w:rsid w:val="4853715D"/>
    <w:rsid w:val="485C724A"/>
    <w:rsid w:val="485F31E9"/>
    <w:rsid w:val="48857FBF"/>
    <w:rsid w:val="48981C64"/>
    <w:rsid w:val="48AB513B"/>
    <w:rsid w:val="48B828AA"/>
    <w:rsid w:val="48BE652C"/>
    <w:rsid w:val="48C21E3A"/>
    <w:rsid w:val="48DE11B8"/>
    <w:rsid w:val="48F112AB"/>
    <w:rsid w:val="48F36F3B"/>
    <w:rsid w:val="490D4FEC"/>
    <w:rsid w:val="49186926"/>
    <w:rsid w:val="491A3B93"/>
    <w:rsid w:val="49205619"/>
    <w:rsid w:val="4922547B"/>
    <w:rsid w:val="4923483E"/>
    <w:rsid w:val="49280E7A"/>
    <w:rsid w:val="49336412"/>
    <w:rsid w:val="493F0195"/>
    <w:rsid w:val="495113FA"/>
    <w:rsid w:val="4969085B"/>
    <w:rsid w:val="4969756D"/>
    <w:rsid w:val="49777618"/>
    <w:rsid w:val="497A1477"/>
    <w:rsid w:val="49862A25"/>
    <w:rsid w:val="49893CAB"/>
    <w:rsid w:val="49AE4A8C"/>
    <w:rsid w:val="49D54F3C"/>
    <w:rsid w:val="4A1F67CA"/>
    <w:rsid w:val="4A3100F0"/>
    <w:rsid w:val="4A5E0E3F"/>
    <w:rsid w:val="4A620A37"/>
    <w:rsid w:val="4A7B772D"/>
    <w:rsid w:val="4AAE265D"/>
    <w:rsid w:val="4AB7573A"/>
    <w:rsid w:val="4AC63524"/>
    <w:rsid w:val="4AC97099"/>
    <w:rsid w:val="4ACC0576"/>
    <w:rsid w:val="4AE3407E"/>
    <w:rsid w:val="4AE81506"/>
    <w:rsid w:val="4AF02574"/>
    <w:rsid w:val="4B1E70A8"/>
    <w:rsid w:val="4B2A2B69"/>
    <w:rsid w:val="4B3512FE"/>
    <w:rsid w:val="4B373D3C"/>
    <w:rsid w:val="4B3E7C24"/>
    <w:rsid w:val="4B505EFA"/>
    <w:rsid w:val="4B74669C"/>
    <w:rsid w:val="4B7859E7"/>
    <w:rsid w:val="4B7F3A41"/>
    <w:rsid w:val="4B860513"/>
    <w:rsid w:val="4B8A72CF"/>
    <w:rsid w:val="4B972445"/>
    <w:rsid w:val="4BB70AA8"/>
    <w:rsid w:val="4BCF396B"/>
    <w:rsid w:val="4BD93786"/>
    <w:rsid w:val="4BED66CC"/>
    <w:rsid w:val="4C030B1C"/>
    <w:rsid w:val="4C1065B5"/>
    <w:rsid w:val="4C217E66"/>
    <w:rsid w:val="4C3A49DA"/>
    <w:rsid w:val="4C637351"/>
    <w:rsid w:val="4C6C4B2C"/>
    <w:rsid w:val="4C6D3334"/>
    <w:rsid w:val="4C70027F"/>
    <w:rsid w:val="4C8937D3"/>
    <w:rsid w:val="4C92636C"/>
    <w:rsid w:val="4C987B90"/>
    <w:rsid w:val="4CAE2139"/>
    <w:rsid w:val="4CB3686B"/>
    <w:rsid w:val="4CC51258"/>
    <w:rsid w:val="4CDD791C"/>
    <w:rsid w:val="4CE92D4E"/>
    <w:rsid w:val="4D094E39"/>
    <w:rsid w:val="4D0E5386"/>
    <w:rsid w:val="4D1E6158"/>
    <w:rsid w:val="4D293DEB"/>
    <w:rsid w:val="4D527A3F"/>
    <w:rsid w:val="4D6D5854"/>
    <w:rsid w:val="4D834573"/>
    <w:rsid w:val="4D943011"/>
    <w:rsid w:val="4DCB3EE4"/>
    <w:rsid w:val="4DD871E0"/>
    <w:rsid w:val="4DDF3F73"/>
    <w:rsid w:val="4DE01E40"/>
    <w:rsid w:val="4E1C1B71"/>
    <w:rsid w:val="4E361A67"/>
    <w:rsid w:val="4EB0535F"/>
    <w:rsid w:val="4EDC13F9"/>
    <w:rsid w:val="4F3E4EE5"/>
    <w:rsid w:val="4F522D7B"/>
    <w:rsid w:val="4F8046F1"/>
    <w:rsid w:val="4F8119B1"/>
    <w:rsid w:val="4F915720"/>
    <w:rsid w:val="4F92238A"/>
    <w:rsid w:val="4FC7629C"/>
    <w:rsid w:val="4FE062A3"/>
    <w:rsid w:val="4FFD0A59"/>
    <w:rsid w:val="4FFF755C"/>
    <w:rsid w:val="50223E9C"/>
    <w:rsid w:val="502D6DB0"/>
    <w:rsid w:val="5043798C"/>
    <w:rsid w:val="506F22A9"/>
    <w:rsid w:val="50731BAF"/>
    <w:rsid w:val="50892AE1"/>
    <w:rsid w:val="508A28EA"/>
    <w:rsid w:val="50A05FBD"/>
    <w:rsid w:val="50A56264"/>
    <w:rsid w:val="50D310E7"/>
    <w:rsid w:val="51074EDB"/>
    <w:rsid w:val="510E0E2A"/>
    <w:rsid w:val="510E6480"/>
    <w:rsid w:val="51197F18"/>
    <w:rsid w:val="51547ADE"/>
    <w:rsid w:val="51570B9A"/>
    <w:rsid w:val="515B5BAE"/>
    <w:rsid w:val="517A494B"/>
    <w:rsid w:val="518A04D2"/>
    <w:rsid w:val="51B8400A"/>
    <w:rsid w:val="51C25525"/>
    <w:rsid w:val="51F5627A"/>
    <w:rsid w:val="52107F84"/>
    <w:rsid w:val="52264C68"/>
    <w:rsid w:val="522C4211"/>
    <w:rsid w:val="52586942"/>
    <w:rsid w:val="525B0F7E"/>
    <w:rsid w:val="527511EB"/>
    <w:rsid w:val="5298489A"/>
    <w:rsid w:val="52CD2457"/>
    <w:rsid w:val="52D32232"/>
    <w:rsid w:val="52E223AA"/>
    <w:rsid w:val="5305770A"/>
    <w:rsid w:val="533774EB"/>
    <w:rsid w:val="537C1E5C"/>
    <w:rsid w:val="53B25B95"/>
    <w:rsid w:val="53BC65C2"/>
    <w:rsid w:val="53C24FBF"/>
    <w:rsid w:val="53C61A33"/>
    <w:rsid w:val="53D30B16"/>
    <w:rsid w:val="53E91DA0"/>
    <w:rsid w:val="53FD089E"/>
    <w:rsid w:val="540508D6"/>
    <w:rsid w:val="54321EEE"/>
    <w:rsid w:val="54453B17"/>
    <w:rsid w:val="544A03D8"/>
    <w:rsid w:val="54707003"/>
    <w:rsid w:val="54765614"/>
    <w:rsid w:val="548536F4"/>
    <w:rsid w:val="54934A30"/>
    <w:rsid w:val="54963849"/>
    <w:rsid w:val="54B2488E"/>
    <w:rsid w:val="54BA7426"/>
    <w:rsid w:val="54DD61CF"/>
    <w:rsid w:val="54DF2E0B"/>
    <w:rsid w:val="54E76C3E"/>
    <w:rsid w:val="54EF4663"/>
    <w:rsid w:val="550F5286"/>
    <w:rsid w:val="55151EA0"/>
    <w:rsid w:val="5518177A"/>
    <w:rsid w:val="55323649"/>
    <w:rsid w:val="556A2FD5"/>
    <w:rsid w:val="557668CE"/>
    <w:rsid w:val="5593631B"/>
    <w:rsid w:val="55946AD4"/>
    <w:rsid w:val="559C1301"/>
    <w:rsid w:val="55AD38E3"/>
    <w:rsid w:val="55CA3EEC"/>
    <w:rsid w:val="55D634ED"/>
    <w:rsid w:val="55E62651"/>
    <w:rsid w:val="564C06F4"/>
    <w:rsid w:val="567910F3"/>
    <w:rsid w:val="568E7A95"/>
    <w:rsid w:val="569A13D1"/>
    <w:rsid w:val="56A331CD"/>
    <w:rsid w:val="56B332E9"/>
    <w:rsid w:val="56CA16A1"/>
    <w:rsid w:val="56EA6035"/>
    <w:rsid w:val="56F0146F"/>
    <w:rsid w:val="56F25C5D"/>
    <w:rsid w:val="571826D1"/>
    <w:rsid w:val="57436AF9"/>
    <w:rsid w:val="57585B9F"/>
    <w:rsid w:val="577F25EF"/>
    <w:rsid w:val="578204BE"/>
    <w:rsid w:val="5785395A"/>
    <w:rsid w:val="57A1541B"/>
    <w:rsid w:val="57C62622"/>
    <w:rsid w:val="57DA3EA0"/>
    <w:rsid w:val="57E435FE"/>
    <w:rsid w:val="580D088A"/>
    <w:rsid w:val="5829224E"/>
    <w:rsid w:val="5834256D"/>
    <w:rsid w:val="585C04F2"/>
    <w:rsid w:val="585D5FB5"/>
    <w:rsid w:val="58790B40"/>
    <w:rsid w:val="58805921"/>
    <w:rsid w:val="58B15802"/>
    <w:rsid w:val="58D74C96"/>
    <w:rsid w:val="58E12CBB"/>
    <w:rsid w:val="58FA6822"/>
    <w:rsid w:val="593B0594"/>
    <w:rsid w:val="594B38A6"/>
    <w:rsid w:val="5953365B"/>
    <w:rsid w:val="5961766F"/>
    <w:rsid w:val="596F4A58"/>
    <w:rsid w:val="597074BB"/>
    <w:rsid w:val="59781953"/>
    <w:rsid w:val="599020E6"/>
    <w:rsid w:val="59950669"/>
    <w:rsid w:val="59AD3357"/>
    <w:rsid w:val="59BF3C49"/>
    <w:rsid w:val="59C373D1"/>
    <w:rsid w:val="59E15D3D"/>
    <w:rsid w:val="59E7311D"/>
    <w:rsid w:val="59F51CED"/>
    <w:rsid w:val="5A1222DD"/>
    <w:rsid w:val="5A1F08E3"/>
    <w:rsid w:val="5A284D2A"/>
    <w:rsid w:val="5A3A0457"/>
    <w:rsid w:val="5A437242"/>
    <w:rsid w:val="5A911489"/>
    <w:rsid w:val="5AD311F6"/>
    <w:rsid w:val="5AF968C7"/>
    <w:rsid w:val="5B0C31E8"/>
    <w:rsid w:val="5B252510"/>
    <w:rsid w:val="5BC14505"/>
    <w:rsid w:val="5BC270D8"/>
    <w:rsid w:val="5BD72738"/>
    <w:rsid w:val="5BD76AB6"/>
    <w:rsid w:val="5BE24E20"/>
    <w:rsid w:val="5BFF7AE6"/>
    <w:rsid w:val="5C0B789C"/>
    <w:rsid w:val="5C372F37"/>
    <w:rsid w:val="5C3A48B6"/>
    <w:rsid w:val="5C410A77"/>
    <w:rsid w:val="5CA95EEB"/>
    <w:rsid w:val="5CAB7727"/>
    <w:rsid w:val="5CBE6758"/>
    <w:rsid w:val="5CC441E1"/>
    <w:rsid w:val="5CE760ED"/>
    <w:rsid w:val="5D2113E8"/>
    <w:rsid w:val="5D673A5A"/>
    <w:rsid w:val="5D6B1009"/>
    <w:rsid w:val="5D7025C8"/>
    <w:rsid w:val="5D836428"/>
    <w:rsid w:val="5D8D5661"/>
    <w:rsid w:val="5DAA473B"/>
    <w:rsid w:val="5DBD32BE"/>
    <w:rsid w:val="5DBF5D4F"/>
    <w:rsid w:val="5DCB4D6D"/>
    <w:rsid w:val="5DD97AD5"/>
    <w:rsid w:val="5E2A7441"/>
    <w:rsid w:val="5E2E2912"/>
    <w:rsid w:val="5E4F474D"/>
    <w:rsid w:val="5E567403"/>
    <w:rsid w:val="5E813DB6"/>
    <w:rsid w:val="5E851E72"/>
    <w:rsid w:val="5E8972BA"/>
    <w:rsid w:val="5EA62EF7"/>
    <w:rsid w:val="5EB441A9"/>
    <w:rsid w:val="5EBA517D"/>
    <w:rsid w:val="5EBD202B"/>
    <w:rsid w:val="5EE43E9B"/>
    <w:rsid w:val="5EE822FC"/>
    <w:rsid w:val="5EEC4DA1"/>
    <w:rsid w:val="5EF442CA"/>
    <w:rsid w:val="5EF715EB"/>
    <w:rsid w:val="5EFC796F"/>
    <w:rsid w:val="5F281498"/>
    <w:rsid w:val="5F4C13E6"/>
    <w:rsid w:val="5F4C71F9"/>
    <w:rsid w:val="5F530F9F"/>
    <w:rsid w:val="5F544D91"/>
    <w:rsid w:val="5F7F2E21"/>
    <w:rsid w:val="5FA81A4B"/>
    <w:rsid w:val="5FC42AD9"/>
    <w:rsid w:val="5FFA1888"/>
    <w:rsid w:val="5FFB56DE"/>
    <w:rsid w:val="600960AF"/>
    <w:rsid w:val="60486347"/>
    <w:rsid w:val="60566B33"/>
    <w:rsid w:val="60764700"/>
    <w:rsid w:val="60BF3DA2"/>
    <w:rsid w:val="60BF626C"/>
    <w:rsid w:val="60E92F0A"/>
    <w:rsid w:val="60EB09BA"/>
    <w:rsid w:val="60F41E9F"/>
    <w:rsid w:val="61072CD2"/>
    <w:rsid w:val="611D59EE"/>
    <w:rsid w:val="611D7C5B"/>
    <w:rsid w:val="61454633"/>
    <w:rsid w:val="617B0BB5"/>
    <w:rsid w:val="61910762"/>
    <w:rsid w:val="61A27F8E"/>
    <w:rsid w:val="61B05D45"/>
    <w:rsid w:val="61BE7D2A"/>
    <w:rsid w:val="623449FC"/>
    <w:rsid w:val="623F08B8"/>
    <w:rsid w:val="62595EC7"/>
    <w:rsid w:val="627511AF"/>
    <w:rsid w:val="62770624"/>
    <w:rsid w:val="62814A14"/>
    <w:rsid w:val="62CE0974"/>
    <w:rsid w:val="62D54B71"/>
    <w:rsid w:val="62E0024A"/>
    <w:rsid w:val="62E02E1C"/>
    <w:rsid w:val="62FC2BB0"/>
    <w:rsid w:val="631D2AC7"/>
    <w:rsid w:val="633F1142"/>
    <w:rsid w:val="63463232"/>
    <w:rsid w:val="634D48DE"/>
    <w:rsid w:val="636B19CD"/>
    <w:rsid w:val="63780F55"/>
    <w:rsid w:val="63A22ADD"/>
    <w:rsid w:val="63BA5239"/>
    <w:rsid w:val="63F71532"/>
    <w:rsid w:val="63F769F2"/>
    <w:rsid w:val="64045B83"/>
    <w:rsid w:val="641724DD"/>
    <w:rsid w:val="642C33B8"/>
    <w:rsid w:val="644F09B6"/>
    <w:rsid w:val="64516D3E"/>
    <w:rsid w:val="64867737"/>
    <w:rsid w:val="648D4DC3"/>
    <w:rsid w:val="64937B40"/>
    <w:rsid w:val="64951845"/>
    <w:rsid w:val="64A7189D"/>
    <w:rsid w:val="64C10B7B"/>
    <w:rsid w:val="64C72A0B"/>
    <w:rsid w:val="64E36660"/>
    <w:rsid w:val="64E414E0"/>
    <w:rsid w:val="64F81386"/>
    <w:rsid w:val="652524D0"/>
    <w:rsid w:val="652A3F85"/>
    <w:rsid w:val="652C15E3"/>
    <w:rsid w:val="6546321D"/>
    <w:rsid w:val="656B25DE"/>
    <w:rsid w:val="656E0AFF"/>
    <w:rsid w:val="65744A67"/>
    <w:rsid w:val="657D496C"/>
    <w:rsid w:val="65965311"/>
    <w:rsid w:val="65991807"/>
    <w:rsid w:val="65A0142C"/>
    <w:rsid w:val="65EA707A"/>
    <w:rsid w:val="663228BD"/>
    <w:rsid w:val="665C7E71"/>
    <w:rsid w:val="665F1C74"/>
    <w:rsid w:val="66722C55"/>
    <w:rsid w:val="66730C34"/>
    <w:rsid w:val="668E5827"/>
    <w:rsid w:val="66A43656"/>
    <w:rsid w:val="66AD46B9"/>
    <w:rsid w:val="66B3502D"/>
    <w:rsid w:val="66C806BD"/>
    <w:rsid w:val="66C873FE"/>
    <w:rsid w:val="66D55138"/>
    <w:rsid w:val="66EF7312"/>
    <w:rsid w:val="66F44D63"/>
    <w:rsid w:val="67013D42"/>
    <w:rsid w:val="67173F59"/>
    <w:rsid w:val="67256520"/>
    <w:rsid w:val="67267A59"/>
    <w:rsid w:val="67520F7A"/>
    <w:rsid w:val="67822F4A"/>
    <w:rsid w:val="67A04650"/>
    <w:rsid w:val="67D544FF"/>
    <w:rsid w:val="67F50961"/>
    <w:rsid w:val="68014D26"/>
    <w:rsid w:val="680F0D3C"/>
    <w:rsid w:val="68297331"/>
    <w:rsid w:val="683A43E2"/>
    <w:rsid w:val="68631F9E"/>
    <w:rsid w:val="6864123C"/>
    <w:rsid w:val="68F212CB"/>
    <w:rsid w:val="68F63773"/>
    <w:rsid w:val="68FB41B1"/>
    <w:rsid w:val="69010518"/>
    <w:rsid w:val="69272D88"/>
    <w:rsid w:val="69274894"/>
    <w:rsid w:val="69331F88"/>
    <w:rsid w:val="693F120E"/>
    <w:rsid w:val="69440073"/>
    <w:rsid w:val="69463F9A"/>
    <w:rsid w:val="6954065E"/>
    <w:rsid w:val="695C41D8"/>
    <w:rsid w:val="6980463C"/>
    <w:rsid w:val="69B6146E"/>
    <w:rsid w:val="69BA6CE6"/>
    <w:rsid w:val="69C81951"/>
    <w:rsid w:val="69E1043D"/>
    <w:rsid w:val="69E105C7"/>
    <w:rsid w:val="69E67861"/>
    <w:rsid w:val="69ED7FCE"/>
    <w:rsid w:val="69F603A4"/>
    <w:rsid w:val="69F677D1"/>
    <w:rsid w:val="6A122522"/>
    <w:rsid w:val="6A225BCB"/>
    <w:rsid w:val="6A5945EB"/>
    <w:rsid w:val="6A5B554E"/>
    <w:rsid w:val="6A6019CC"/>
    <w:rsid w:val="6A6F0C2B"/>
    <w:rsid w:val="6A8E441C"/>
    <w:rsid w:val="6A9834B2"/>
    <w:rsid w:val="6AA07311"/>
    <w:rsid w:val="6AA3203F"/>
    <w:rsid w:val="6AAC6B9E"/>
    <w:rsid w:val="6AC2507F"/>
    <w:rsid w:val="6B084548"/>
    <w:rsid w:val="6B0D754B"/>
    <w:rsid w:val="6B161984"/>
    <w:rsid w:val="6B211DF9"/>
    <w:rsid w:val="6B287EA8"/>
    <w:rsid w:val="6B2B5BD2"/>
    <w:rsid w:val="6B2F2DA6"/>
    <w:rsid w:val="6B556307"/>
    <w:rsid w:val="6B865118"/>
    <w:rsid w:val="6B871777"/>
    <w:rsid w:val="6B8C65AF"/>
    <w:rsid w:val="6BA33D7F"/>
    <w:rsid w:val="6BC703C0"/>
    <w:rsid w:val="6BCB7818"/>
    <w:rsid w:val="6BF23043"/>
    <w:rsid w:val="6BF32268"/>
    <w:rsid w:val="6BFB7D72"/>
    <w:rsid w:val="6BFC2786"/>
    <w:rsid w:val="6C0D5A20"/>
    <w:rsid w:val="6C1E03F6"/>
    <w:rsid w:val="6C2C2459"/>
    <w:rsid w:val="6C3D3F2D"/>
    <w:rsid w:val="6C3F0B24"/>
    <w:rsid w:val="6C4B7810"/>
    <w:rsid w:val="6C887360"/>
    <w:rsid w:val="6C941171"/>
    <w:rsid w:val="6CD27CEA"/>
    <w:rsid w:val="6CD57E78"/>
    <w:rsid w:val="6D0672C6"/>
    <w:rsid w:val="6D1A4E80"/>
    <w:rsid w:val="6D3343BE"/>
    <w:rsid w:val="6D46263C"/>
    <w:rsid w:val="6D476454"/>
    <w:rsid w:val="6D484037"/>
    <w:rsid w:val="6D5A55A1"/>
    <w:rsid w:val="6D710B57"/>
    <w:rsid w:val="6D8F6200"/>
    <w:rsid w:val="6DB07064"/>
    <w:rsid w:val="6DC45C8A"/>
    <w:rsid w:val="6E39307B"/>
    <w:rsid w:val="6E3F2CCE"/>
    <w:rsid w:val="6E405F4A"/>
    <w:rsid w:val="6E704D3B"/>
    <w:rsid w:val="6E875598"/>
    <w:rsid w:val="6E8E28B2"/>
    <w:rsid w:val="6EB25336"/>
    <w:rsid w:val="6EBC51F3"/>
    <w:rsid w:val="6ECB2092"/>
    <w:rsid w:val="6ECB75C0"/>
    <w:rsid w:val="6ECD2F7C"/>
    <w:rsid w:val="6EF9226B"/>
    <w:rsid w:val="6F0247A4"/>
    <w:rsid w:val="6F094974"/>
    <w:rsid w:val="6F0C2BFB"/>
    <w:rsid w:val="6F17672B"/>
    <w:rsid w:val="6F1B2BD3"/>
    <w:rsid w:val="6F276B3B"/>
    <w:rsid w:val="6F2C13F5"/>
    <w:rsid w:val="6F2C770E"/>
    <w:rsid w:val="6F6D7DA8"/>
    <w:rsid w:val="6FB8455F"/>
    <w:rsid w:val="6FB91458"/>
    <w:rsid w:val="6FCB62BA"/>
    <w:rsid w:val="6FFA1703"/>
    <w:rsid w:val="70151F71"/>
    <w:rsid w:val="70206BB3"/>
    <w:rsid w:val="702D243B"/>
    <w:rsid w:val="703644CA"/>
    <w:rsid w:val="70730315"/>
    <w:rsid w:val="70784492"/>
    <w:rsid w:val="709A551D"/>
    <w:rsid w:val="70B10BBB"/>
    <w:rsid w:val="70B34E7A"/>
    <w:rsid w:val="70CB12D9"/>
    <w:rsid w:val="70CF1289"/>
    <w:rsid w:val="70D079F5"/>
    <w:rsid w:val="70EB6B99"/>
    <w:rsid w:val="70EC036D"/>
    <w:rsid w:val="70FF4E43"/>
    <w:rsid w:val="71000A51"/>
    <w:rsid w:val="71137217"/>
    <w:rsid w:val="712F58B4"/>
    <w:rsid w:val="714149A1"/>
    <w:rsid w:val="715D41FB"/>
    <w:rsid w:val="71687318"/>
    <w:rsid w:val="71CD678B"/>
    <w:rsid w:val="71E963C9"/>
    <w:rsid w:val="71F372EB"/>
    <w:rsid w:val="71F97AA3"/>
    <w:rsid w:val="71FB2F3F"/>
    <w:rsid w:val="7242273F"/>
    <w:rsid w:val="72524DC3"/>
    <w:rsid w:val="72574340"/>
    <w:rsid w:val="727C1491"/>
    <w:rsid w:val="72967050"/>
    <w:rsid w:val="72A031B5"/>
    <w:rsid w:val="72B240BE"/>
    <w:rsid w:val="72B27DED"/>
    <w:rsid w:val="72B566B1"/>
    <w:rsid w:val="72BC0BF9"/>
    <w:rsid w:val="72C9415F"/>
    <w:rsid w:val="72D14842"/>
    <w:rsid w:val="72D37761"/>
    <w:rsid w:val="72D717C0"/>
    <w:rsid w:val="72F45438"/>
    <w:rsid w:val="730456BB"/>
    <w:rsid w:val="73177AF3"/>
    <w:rsid w:val="7330204A"/>
    <w:rsid w:val="735220C5"/>
    <w:rsid w:val="736A47A3"/>
    <w:rsid w:val="73853395"/>
    <w:rsid w:val="73863414"/>
    <w:rsid w:val="73A078A8"/>
    <w:rsid w:val="73A7045C"/>
    <w:rsid w:val="73CA51E6"/>
    <w:rsid w:val="73CE6911"/>
    <w:rsid w:val="73CF5E6E"/>
    <w:rsid w:val="73EF6AF6"/>
    <w:rsid w:val="742413AD"/>
    <w:rsid w:val="74245699"/>
    <w:rsid w:val="742837D4"/>
    <w:rsid w:val="74425093"/>
    <w:rsid w:val="74672F69"/>
    <w:rsid w:val="746A2482"/>
    <w:rsid w:val="746D17A9"/>
    <w:rsid w:val="747576EC"/>
    <w:rsid w:val="74870825"/>
    <w:rsid w:val="748A490D"/>
    <w:rsid w:val="749F1175"/>
    <w:rsid w:val="74C55558"/>
    <w:rsid w:val="74F060ED"/>
    <w:rsid w:val="75101554"/>
    <w:rsid w:val="751D2BEE"/>
    <w:rsid w:val="755D3BE5"/>
    <w:rsid w:val="7562116D"/>
    <w:rsid w:val="757C7A9C"/>
    <w:rsid w:val="757D33CC"/>
    <w:rsid w:val="758461E8"/>
    <w:rsid w:val="759A19ED"/>
    <w:rsid w:val="75A042AA"/>
    <w:rsid w:val="75C36B26"/>
    <w:rsid w:val="75CD37C6"/>
    <w:rsid w:val="75DC2DB7"/>
    <w:rsid w:val="75E32B1D"/>
    <w:rsid w:val="75EC2E8A"/>
    <w:rsid w:val="76032837"/>
    <w:rsid w:val="76125315"/>
    <w:rsid w:val="76360D9D"/>
    <w:rsid w:val="7638520B"/>
    <w:rsid w:val="765066A5"/>
    <w:rsid w:val="766E3BB5"/>
    <w:rsid w:val="76897870"/>
    <w:rsid w:val="76AA37AA"/>
    <w:rsid w:val="76C67EF9"/>
    <w:rsid w:val="76C84CCD"/>
    <w:rsid w:val="76F01E2B"/>
    <w:rsid w:val="76F22868"/>
    <w:rsid w:val="76F9206C"/>
    <w:rsid w:val="770A2942"/>
    <w:rsid w:val="77384072"/>
    <w:rsid w:val="77410D37"/>
    <w:rsid w:val="774F0625"/>
    <w:rsid w:val="77672932"/>
    <w:rsid w:val="7782776C"/>
    <w:rsid w:val="77C60B09"/>
    <w:rsid w:val="77E047BF"/>
    <w:rsid w:val="78087C0A"/>
    <w:rsid w:val="783402FB"/>
    <w:rsid w:val="783B409E"/>
    <w:rsid w:val="78595B08"/>
    <w:rsid w:val="787852A2"/>
    <w:rsid w:val="7892463D"/>
    <w:rsid w:val="78A12D04"/>
    <w:rsid w:val="78B44EA8"/>
    <w:rsid w:val="78CF67C4"/>
    <w:rsid w:val="78DA641E"/>
    <w:rsid w:val="78E131DA"/>
    <w:rsid w:val="78E81464"/>
    <w:rsid w:val="79026409"/>
    <w:rsid w:val="79076B57"/>
    <w:rsid w:val="791B26B4"/>
    <w:rsid w:val="794B56E6"/>
    <w:rsid w:val="795F5CCF"/>
    <w:rsid w:val="79F124F2"/>
    <w:rsid w:val="7A3610CC"/>
    <w:rsid w:val="7A60697D"/>
    <w:rsid w:val="7A7D43E3"/>
    <w:rsid w:val="7A9651DE"/>
    <w:rsid w:val="7A9E1199"/>
    <w:rsid w:val="7AA01F48"/>
    <w:rsid w:val="7AA37705"/>
    <w:rsid w:val="7ABA4D69"/>
    <w:rsid w:val="7ADB1D8A"/>
    <w:rsid w:val="7AE1116D"/>
    <w:rsid w:val="7AF62569"/>
    <w:rsid w:val="7B0A05EE"/>
    <w:rsid w:val="7B1D7382"/>
    <w:rsid w:val="7B3F01F5"/>
    <w:rsid w:val="7B7F7CAC"/>
    <w:rsid w:val="7B835C42"/>
    <w:rsid w:val="7BDA6932"/>
    <w:rsid w:val="7BE121BC"/>
    <w:rsid w:val="7BF25336"/>
    <w:rsid w:val="7BFB40BE"/>
    <w:rsid w:val="7BFC10C4"/>
    <w:rsid w:val="7C053EEA"/>
    <w:rsid w:val="7C3B39C7"/>
    <w:rsid w:val="7C4D5033"/>
    <w:rsid w:val="7C660A57"/>
    <w:rsid w:val="7C6B6D07"/>
    <w:rsid w:val="7C8B5068"/>
    <w:rsid w:val="7C8C2CA4"/>
    <w:rsid w:val="7CC21E81"/>
    <w:rsid w:val="7CDE1C69"/>
    <w:rsid w:val="7D082E8B"/>
    <w:rsid w:val="7D2F14F1"/>
    <w:rsid w:val="7D7E530B"/>
    <w:rsid w:val="7D8442D2"/>
    <w:rsid w:val="7D95465E"/>
    <w:rsid w:val="7D9A6D7A"/>
    <w:rsid w:val="7DA5350B"/>
    <w:rsid w:val="7DB75509"/>
    <w:rsid w:val="7DD124DB"/>
    <w:rsid w:val="7E100392"/>
    <w:rsid w:val="7E192C83"/>
    <w:rsid w:val="7E2A13A3"/>
    <w:rsid w:val="7E4176C5"/>
    <w:rsid w:val="7E560423"/>
    <w:rsid w:val="7E5B281F"/>
    <w:rsid w:val="7EAB487A"/>
    <w:rsid w:val="7EB4068F"/>
    <w:rsid w:val="7EBE12A4"/>
    <w:rsid w:val="7EC77481"/>
    <w:rsid w:val="7F193155"/>
    <w:rsid w:val="7F29120C"/>
    <w:rsid w:val="7F3B7177"/>
    <w:rsid w:val="7F3D0996"/>
    <w:rsid w:val="7F4D6B12"/>
    <w:rsid w:val="7F5D2459"/>
    <w:rsid w:val="7F6711ED"/>
    <w:rsid w:val="7F753532"/>
    <w:rsid w:val="7FCD59AE"/>
    <w:rsid w:val="7FE27484"/>
    <w:rsid w:val="7FF31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left"/>
    </w:pPr>
    <w:rPr>
      <w:rFonts w:ascii="宋体" w:hAnsi="宋体" w:eastAsia="宋体" w:cs="Times New Roman"/>
      <w:kern w:val="2"/>
      <w:sz w:val="24"/>
      <w:szCs w:val="24"/>
      <w:lang w:val="en-US" w:eastAsia="zh-CN" w:bidi="ar-SA"/>
    </w:rPr>
  </w:style>
  <w:style w:type="paragraph" w:styleId="6">
    <w:name w:val="heading 1"/>
    <w:basedOn w:val="1"/>
    <w:next w:val="1"/>
    <w:link w:val="71"/>
    <w:qFormat/>
    <w:uiPriority w:val="0"/>
    <w:pPr>
      <w:keepNext/>
      <w:keepLines/>
      <w:adjustRightInd w:val="0"/>
      <w:snapToGrid w:val="0"/>
      <w:ind w:firstLine="0" w:firstLineChars="0"/>
      <w:jc w:val="center"/>
      <w:outlineLvl w:val="0"/>
    </w:pPr>
    <w:rPr>
      <w:rFonts w:ascii="宋体" w:hAnsi="宋体" w:eastAsia="宋体"/>
      <w:b/>
      <w:bCs/>
      <w:kern w:val="44"/>
      <w:sz w:val="32"/>
      <w:szCs w:val="52"/>
    </w:rPr>
  </w:style>
  <w:style w:type="paragraph" w:styleId="7">
    <w:name w:val="heading 2"/>
    <w:basedOn w:val="1"/>
    <w:next w:val="1"/>
    <w:link w:val="108"/>
    <w:qFormat/>
    <w:uiPriority w:val="0"/>
    <w:pPr>
      <w:keepNext/>
      <w:keepLines/>
      <w:adjustRightInd w:val="0"/>
      <w:snapToGrid w:val="0"/>
      <w:ind w:firstLine="0" w:firstLineChars="0"/>
      <w:jc w:val="left"/>
      <w:outlineLvl w:val="1"/>
    </w:pPr>
    <w:rPr>
      <w:rFonts w:ascii="宋体" w:hAnsi="宋体" w:eastAsia="宋体"/>
      <w:b/>
      <w:bCs/>
      <w:sz w:val="28"/>
      <w:szCs w:val="32"/>
    </w:rPr>
  </w:style>
  <w:style w:type="paragraph" w:styleId="8">
    <w:name w:val="heading 3"/>
    <w:basedOn w:val="1"/>
    <w:next w:val="1"/>
    <w:link w:val="72"/>
    <w:qFormat/>
    <w:uiPriority w:val="0"/>
    <w:pPr>
      <w:keepNext/>
      <w:keepLines/>
      <w:adjustRightInd w:val="0"/>
      <w:snapToGrid w:val="0"/>
      <w:ind w:firstLine="0" w:firstLineChars="0"/>
      <w:outlineLvl w:val="2"/>
    </w:pPr>
    <w:rPr>
      <w:rFonts w:ascii="宋体" w:hAnsi="宋体" w:eastAsia="宋体"/>
      <w:b/>
      <w:bCs/>
      <w:szCs w:val="32"/>
    </w:rPr>
  </w:style>
  <w:style w:type="paragraph" w:styleId="9">
    <w:name w:val="heading 4"/>
    <w:basedOn w:val="1"/>
    <w:next w:val="1"/>
    <w:link w:val="95"/>
    <w:qFormat/>
    <w:uiPriority w:val="9"/>
    <w:pPr>
      <w:keepNext/>
      <w:keepLines/>
      <w:adjustRightInd w:val="0"/>
      <w:snapToGrid w:val="0"/>
      <w:outlineLvl w:val="3"/>
    </w:pPr>
    <w:rPr>
      <w:rFonts w:ascii="Cambria" w:hAnsi="Cambria"/>
      <w:b/>
      <w:bCs/>
      <w:sz w:val="21"/>
      <w:szCs w:val="28"/>
    </w:rPr>
  </w:style>
  <w:style w:type="paragraph" w:styleId="10">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link w:val="51"/>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customStyle="1" w:styleId="4">
    <w:name w:val="Default"/>
    <w:next w:val="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toc 7"/>
    <w:basedOn w:val="1"/>
    <w:next w:val="1"/>
    <w:unhideWhenUsed/>
    <w:qFormat/>
    <w:uiPriority w:val="39"/>
    <w:pPr>
      <w:spacing w:line="240" w:lineRule="auto"/>
      <w:ind w:left="1260" w:firstLine="0" w:firstLineChars="0"/>
      <w:jc w:val="left"/>
    </w:pPr>
    <w:rPr>
      <w:szCs w:val="21"/>
    </w:rPr>
  </w:style>
  <w:style w:type="paragraph" w:styleId="12">
    <w:name w:val="Normal Indent"/>
    <w:basedOn w:val="1"/>
    <w:link w:val="80"/>
    <w:unhideWhenUsed/>
    <w:qFormat/>
    <w:uiPriority w:val="0"/>
    <w:pPr>
      <w:spacing w:line="240" w:lineRule="auto"/>
      <w:ind w:firstLine="420" w:firstLineChars="0"/>
    </w:pPr>
    <w:rPr>
      <w:sz w:val="21"/>
    </w:rPr>
  </w:style>
  <w:style w:type="paragraph" w:styleId="13">
    <w:name w:val="Document Map"/>
    <w:basedOn w:val="1"/>
    <w:link w:val="103"/>
    <w:unhideWhenUsed/>
    <w:qFormat/>
    <w:uiPriority w:val="0"/>
    <w:rPr>
      <w:rFonts w:ascii="宋体"/>
      <w:kern w:val="0"/>
      <w:sz w:val="18"/>
      <w:szCs w:val="18"/>
    </w:rPr>
  </w:style>
  <w:style w:type="paragraph" w:styleId="14">
    <w:name w:val="annotation text"/>
    <w:basedOn w:val="1"/>
    <w:link w:val="56"/>
    <w:unhideWhenUsed/>
    <w:qFormat/>
    <w:uiPriority w:val="0"/>
    <w:pPr>
      <w:spacing w:line="240" w:lineRule="auto"/>
      <w:ind w:firstLine="0" w:firstLineChars="0"/>
      <w:jc w:val="left"/>
    </w:pPr>
    <w:rPr>
      <w:sz w:val="21"/>
    </w:rPr>
  </w:style>
  <w:style w:type="paragraph" w:styleId="15">
    <w:name w:val="Body Text 3"/>
    <w:basedOn w:val="1"/>
    <w:link w:val="107"/>
    <w:unhideWhenUsed/>
    <w:qFormat/>
    <w:uiPriority w:val="0"/>
    <w:pPr>
      <w:spacing w:line="440" w:lineRule="atLeast"/>
      <w:ind w:firstLine="0" w:firstLineChars="0"/>
      <w:jc w:val="center"/>
    </w:pPr>
    <w:rPr>
      <w:rFonts w:ascii="楷体_GB2312" w:eastAsia="楷体_GB2312"/>
      <w:b/>
      <w:color w:val="000000"/>
      <w:sz w:val="30"/>
    </w:rPr>
  </w:style>
  <w:style w:type="paragraph" w:styleId="16">
    <w:name w:val="List Bullet 3"/>
    <w:basedOn w:val="1"/>
    <w:unhideWhenUsed/>
    <w:qFormat/>
    <w:uiPriority w:val="0"/>
    <w:pPr>
      <w:numPr>
        <w:ilvl w:val="0"/>
        <w:numId w:val="1"/>
      </w:numPr>
      <w:tabs>
        <w:tab w:val="left" w:pos="720"/>
      </w:tabs>
      <w:spacing w:line="240" w:lineRule="auto"/>
      <w:ind w:firstLine="0" w:firstLineChars="0"/>
    </w:pPr>
  </w:style>
  <w:style w:type="paragraph" w:styleId="17">
    <w:name w:val="Body Text Indent"/>
    <w:basedOn w:val="1"/>
    <w:next w:val="1"/>
    <w:link w:val="57"/>
    <w:unhideWhenUsed/>
    <w:qFormat/>
    <w:uiPriority w:val="0"/>
    <w:pPr>
      <w:widowControl/>
      <w:autoSpaceDE w:val="0"/>
      <w:autoSpaceDN w:val="0"/>
      <w:snapToGrid w:val="0"/>
      <w:spacing w:before="120" w:line="400" w:lineRule="atLeast"/>
      <w:ind w:firstLine="570" w:firstLineChars="0"/>
    </w:pPr>
    <w:rPr>
      <w:rFonts w:ascii="宋体"/>
      <w:kern w:val="0"/>
      <w:szCs w:val="20"/>
    </w:rPr>
  </w:style>
  <w:style w:type="paragraph" w:styleId="18">
    <w:name w:val="List 2"/>
    <w:basedOn w:val="1"/>
    <w:unhideWhenUsed/>
    <w:qFormat/>
    <w:uiPriority w:val="0"/>
    <w:pPr>
      <w:spacing w:line="240" w:lineRule="auto"/>
      <w:ind w:left="100" w:leftChars="200" w:hanging="200" w:hangingChars="200"/>
    </w:pPr>
  </w:style>
  <w:style w:type="paragraph" w:styleId="19">
    <w:name w:val="List Bullet 2"/>
    <w:basedOn w:val="1"/>
    <w:next w:val="16"/>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20">
    <w:name w:val="toc 5"/>
    <w:basedOn w:val="1"/>
    <w:next w:val="1"/>
    <w:unhideWhenUsed/>
    <w:qFormat/>
    <w:uiPriority w:val="39"/>
    <w:pPr>
      <w:spacing w:line="240" w:lineRule="auto"/>
      <w:ind w:left="840" w:firstLine="0" w:firstLineChars="0"/>
      <w:jc w:val="left"/>
    </w:pPr>
    <w:rPr>
      <w:szCs w:val="21"/>
    </w:rPr>
  </w:style>
  <w:style w:type="paragraph" w:styleId="21">
    <w:name w:val="toc 3"/>
    <w:basedOn w:val="1"/>
    <w:next w:val="1"/>
    <w:unhideWhenUsed/>
    <w:qFormat/>
    <w:uiPriority w:val="39"/>
    <w:pPr>
      <w:spacing w:line="240" w:lineRule="auto"/>
      <w:ind w:left="420" w:firstLine="0" w:firstLineChars="0"/>
      <w:jc w:val="left"/>
    </w:pPr>
    <w:rPr>
      <w:i/>
      <w:iCs/>
    </w:rPr>
  </w:style>
  <w:style w:type="paragraph" w:styleId="22">
    <w:name w:val="Plain Text"/>
    <w:basedOn w:val="1"/>
    <w:link w:val="62"/>
    <w:unhideWhenUsed/>
    <w:qFormat/>
    <w:uiPriority w:val="0"/>
    <w:pPr>
      <w:spacing w:line="240" w:lineRule="auto"/>
      <w:ind w:firstLine="0" w:firstLineChars="0"/>
    </w:pPr>
    <w:rPr>
      <w:rFonts w:ascii="宋体" w:hAnsi="Courier New"/>
      <w:sz w:val="21"/>
      <w:szCs w:val="20"/>
    </w:rPr>
  </w:style>
  <w:style w:type="paragraph" w:styleId="23">
    <w:name w:val="toc 8"/>
    <w:basedOn w:val="1"/>
    <w:next w:val="1"/>
    <w:unhideWhenUsed/>
    <w:qFormat/>
    <w:uiPriority w:val="39"/>
    <w:pPr>
      <w:spacing w:line="240" w:lineRule="auto"/>
      <w:ind w:left="1470" w:firstLine="0" w:firstLineChars="0"/>
      <w:jc w:val="left"/>
    </w:pPr>
    <w:rPr>
      <w:szCs w:val="21"/>
    </w:rPr>
  </w:style>
  <w:style w:type="paragraph" w:styleId="24">
    <w:name w:val="Date"/>
    <w:basedOn w:val="1"/>
    <w:next w:val="1"/>
    <w:link w:val="66"/>
    <w:unhideWhenUsed/>
    <w:qFormat/>
    <w:uiPriority w:val="0"/>
    <w:pPr>
      <w:spacing w:line="240" w:lineRule="auto"/>
      <w:ind w:left="100" w:leftChars="2500" w:firstLine="0" w:firstLineChars="0"/>
    </w:pPr>
    <w:rPr>
      <w:color w:val="000000"/>
    </w:rPr>
  </w:style>
  <w:style w:type="paragraph" w:styleId="25">
    <w:name w:val="Body Text Indent 2"/>
    <w:basedOn w:val="1"/>
    <w:link w:val="54"/>
    <w:unhideWhenUsed/>
    <w:qFormat/>
    <w:uiPriority w:val="0"/>
    <w:pPr>
      <w:widowControl/>
      <w:spacing w:line="480" w:lineRule="atLeast"/>
      <w:ind w:firstLine="480" w:firstLineChars="0"/>
    </w:pPr>
    <w:rPr>
      <w:rFonts w:ascii="宋体"/>
      <w:kern w:val="0"/>
      <w:szCs w:val="20"/>
    </w:rPr>
  </w:style>
  <w:style w:type="paragraph" w:styleId="26">
    <w:name w:val="Balloon Text"/>
    <w:basedOn w:val="1"/>
    <w:link w:val="85"/>
    <w:unhideWhenUsed/>
    <w:qFormat/>
    <w:uiPriority w:val="0"/>
    <w:rPr>
      <w:kern w:val="0"/>
      <w:sz w:val="18"/>
      <w:szCs w:val="18"/>
    </w:rPr>
  </w:style>
  <w:style w:type="paragraph" w:styleId="27">
    <w:name w:val="footer"/>
    <w:basedOn w:val="1"/>
    <w:link w:val="93"/>
    <w:unhideWhenUsed/>
    <w:qFormat/>
    <w:uiPriority w:val="99"/>
    <w:pPr>
      <w:tabs>
        <w:tab w:val="center" w:pos="4153"/>
        <w:tab w:val="right" w:pos="8306"/>
      </w:tabs>
      <w:snapToGrid w:val="0"/>
      <w:jc w:val="left"/>
    </w:pPr>
    <w:rPr>
      <w:kern w:val="0"/>
      <w:sz w:val="18"/>
      <w:szCs w:val="18"/>
    </w:rPr>
  </w:style>
  <w:style w:type="paragraph" w:styleId="28">
    <w:name w:val="header"/>
    <w:basedOn w:val="1"/>
    <w:link w:val="9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right" w:leader="dot" w:pos="8296"/>
      </w:tabs>
      <w:ind w:firstLine="0" w:firstLineChars="0"/>
    </w:pPr>
  </w:style>
  <w:style w:type="paragraph" w:styleId="30">
    <w:name w:val="toc 4"/>
    <w:basedOn w:val="1"/>
    <w:next w:val="1"/>
    <w:unhideWhenUsed/>
    <w:qFormat/>
    <w:uiPriority w:val="39"/>
    <w:pPr>
      <w:spacing w:line="240" w:lineRule="auto"/>
      <w:ind w:left="630" w:firstLine="0" w:firstLineChars="0"/>
      <w:jc w:val="left"/>
    </w:pPr>
    <w:rPr>
      <w:szCs w:val="21"/>
    </w:rPr>
  </w:style>
  <w:style w:type="paragraph" w:styleId="31">
    <w:name w:val="List"/>
    <w:basedOn w:val="1"/>
    <w:unhideWhenUsed/>
    <w:qFormat/>
    <w:uiPriority w:val="0"/>
    <w:pPr>
      <w:spacing w:line="240" w:lineRule="auto"/>
      <w:ind w:left="420" w:hanging="420" w:firstLineChars="0"/>
    </w:pPr>
    <w:rPr>
      <w:szCs w:val="20"/>
    </w:rPr>
  </w:style>
  <w:style w:type="paragraph" w:styleId="32">
    <w:name w:val="toc 6"/>
    <w:basedOn w:val="1"/>
    <w:next w:val="1"/>
    <w:unhideWhenUsed/>
    <w:qFormat/>
    <w:uiPriority w:val="39"/>
    <w:pPr>
      <w:spacing w:line="240" w:lineRule="auto"/>
      <w:ind w:left="1050" w:firstLine="0" w:firstLineChars="0"/>
      <w:jc w:val="left"/>
    </w:pPr>
    <w:rPr>
      <w:szCs w:val="21"/>
    </w:rPr>
  </w:style>
  <w:style w:type="paragraph" w:styleId="33">
    <w:name w:val="Body Text Indent 3"/>
    <w:basedOn w:val="1"/>
    <w:link w:val="94"/>
    <w:unhideWhenUsed/>
    <w:qFormat/>
    <w:uiPriority w:val="0"/>
    <w:pPr>
      <w:autoSpaceDE w:val="0"/>
      <w:autoSpaceDN w:val="0"/>
      <w:spacing w:line="400" w:lineRule="atLeast"/>
      <w:ind w:firstLine="443"/>
    </w:pPr>
    <w:rPr>
      <w:rFonts w:eastAsia="黑体"/>
      <w:color w:val="000000"/>
    </w:rPr>
  </w:style>
  <w:style w:type="paragraph" w:styleId="34">
    <w:name w:val="toc 2"/>
    <w:basedOn w:val="1"/>
    <w:next w:val="1"/>
    <w:unhideWhenUsed/>
    <w:qFormat/>
    <w:uiPriority w:val="39"/>
    <w:pPr>
      <w:tabs>
        <w:tab w:val="right" w:leader="dot" w:pos="8296"/>
      </w:tabs>
      <w:ind w:left="420" w:leftChars="200" w:firstLine="0" w:firstLineChars="0"/>
    </w:pPr>
  </w:style>
  <w:style w:type="paragraph" w:styleId="35">
    <w:name w:val="toc 9"/>
    <w:basedOn w:val="1"/>
    <w:next w:val="1"/>
    <w:unhideWhenUsed/>
    <w:qFormat/>
    <w:uiPriority w:val="39"/>
    <w:pPr>
      <w:spacing w:line="240" w:lineRule="auto"/>
      <w:ind w:left="1680" w:firstLine="0" w:firstLineChars="0"/>
      <w:jc w:val="left"/>
    </w:pPr>
    <w:rPr>
      <w:szCs w:val="21"/>
    </w:rPr>
  </w:style>
  <w:style w:type="paragraph" w:styleId="36">
    <w:name w:val="Body Text 2"/>
    <w:basedOn w:val="1"/>
    <w:link w:val="101"/>
    <w:unhideWhenUsed/>
    <w:qFormat/>
    <w:uiPriority w:val="0"/>
    <w:pPr>
      <w:spacing w:line="240" w:lineRule="auto"/>
      <w:ind w:firstLine="0" w:firstLineChars="0"/>
    </w:pPr>
    <w:rPr>
      <w:b/>
      <w:bCs/>
      <w:color w:val="000000"/>
      <w:sz w:val="28"/>
    </w:rPr>
  </w:style>
  <w:style w:type="paragraph" w:styleId="37">
    <w:name w:val="HTML Preformatted"/>
    <w:basedOn w:val="1"/>
    <w:link w:val="6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8">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9">
    <w:name w:val="Title"/>
    <w:basedOn w:val="1"/>
    <w:link w:val="88"/>
    <w:qFormat/>
    <w:uiPriority w:val="0"/>
    <w:pPr>
      <w:spacing w:line="240" w:lineRule="auto"/>
      <w:ind w:firstLine="0" w:firstLineChars="0"/>
      <w:jc w:val="center"/>
    </w:pPr>
    <w:rPr>
      <w:sz w:val="30"/>
    </w:rPr>
  </w:style>
  <w:style w:type="paragraph" w:styleId="40">
    <w:name w:val="annotation subject"/>
    <w:basedOn w:val="14"/>
    <w:next w:val="14"/>
    <w:link w:val="104"/>
    <w:unhideWhenUsed/>
    <w:qFormat/>
    <w:uiPriority w:val="0"/>
    <w:rPr>
      <w:b/>
      <w:bCs/>
    </w:rPr>
  </w:style>
  <w:style w:type="paragraph" w:styleId="41">
    <w:name w:val="Body Text First Indent 2"/>
    <w:basedOn w:val="17"/>
    <w:qFormat/>
    <w:uiPriority w:val="0"/>
    <w:pPr>
      <w:ind w:firstLine="420" w:firstLineChars="200"/>
    </w:p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rPr>
  </w:style>
  <w:style w:type="character" w:styleId="46">
    <w:name w:val="page number"/>
    <w:basedOn w:val="44"/>
    <w:qFormat/>
    <w:uiPriority w:val="0"/>
  </w:style>
  <w:style w:type="character" w:styleId="47">
    <w:name w:val="FollowedHyperlink"/>
    <w:unhideWhenUsed/>
    <w:qFormat/>
    <w:uiPriority w:val="0"/>
    <w:rPr>
      <w:color w:val="800080"/>
      <w:u w:val="single"/>
    </w:rPr>
  </w:style>
  <w:style w:type="character" w:styleId="48">
    <w:name w:val="Hyperlink"/>
    <w:unhideWhenUsed/>
    <w:qFormat/>
    <w:uiPriority w:val="99"/>
    <w:rPr>
      <w:color w:val="0000FF"/>
      <w:u w:val="single"/>
    </w:rPr>
  </w:style>
  <w:style w:type="character" w:styleId="49">
    <w:name w:val="annotation reference"/>
    <w:unhideWhenUsed/>
    <w:qFormat/>
    <w:uiPriority w:val="0"/>
    <w:rPr>
      <w:sz w:val="21"/>
      <w:szCs w:val="21"/>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正文文本 Char"/>
    <w:link w:val="3"/>
    <w:semiHidden/>
    <w:qFormat/>
    <w:uiPriority w:val="0"/>
    <w:rPr>
      <w:rFonts w:ascii="仿宋_GB2312" w:hAnsi="Times New Roman" w:eastAsia="仿宋_GB2312"/>
      <w:sz w:val="28"/>
    </w:rPr>
  </w:style>
  <w:style w:type="character" w:customStyle="1" w:styleId="52">
    <w:name w:val="Char Char2"/>
    <w:qFormat/>
    <w:uiPriority w:val="0"/>
    <w:rPr>
      <w:rFonts w:hint="eastAsia" w:ascii="宋体" w:hAnsi="Courier New" w:eastAsia="宋体"/>
      <w:kern w:val="2"/>
      <w:sz w:val="21"/>
    </w:rPr>
  </w:style>
  <w:style w:type="character" w:customStyle="1" w:styleId="53">
    <w:name w:val="页脚 字符"/>
    <w:qFormat/>
    <w:uiPriority w:val="99"/>
    <w:rPr>
      <w:rFonts w:eastAsia="宋体"/>
      <w:kern w:val="2"/>
      <w:sz w:val="18"/>
      <w:lang w:val="en-US" w:eastAsia="zh-CN" w:bidi="ar-SA"/>
    </w:rPr>
  </w:style>
  <w:style w:type="character" w:customStyle="1" w:styleId="54">
    <w:name w:val="正文文本缩进 2 Char"/>
    <w:link w:val="25"/>
    <w:semiHidden/>
    <w:qFormat/>
    <w:uiPriority w:val="0"/>
    <w:rPr>
      <w:rFonts w:ascii="宋体" w:hAnsi="Times New Roman"/>
      <w:sz w:val="24"/>
    </w:rPr>
  </w:style>
  <w:style w:type="character" w:customStyle="1" w:styleId="55">
    <w:name w:val="unnamed51"/>
    <w:qFormat/>
    <w:uiPriority w:val="0"/>
    <w:rPr>
      <w:sz w:val="22"/>
      <w:szCs w:val="22"/>
    </w:rPr>
  </w:style>
  <w:style w:type="character" w:customStyle="1" w:styleId="56">
    <w:name w:val="批注文字 Char1"/>
    <w:link w:val="14"/>
    <w:semiHidden/>
    <w:qFormat/>
    <w:uiPriority w:val="0"/>
    <w:rPr>
      <w:rFonts w:ascii="Times New Roman" w:hAnsi="Times New Roman"/>
      <w:kern w:val="2"/>
      <w:sz w:val="21"/>
      <w:szCs w:val="24"/>
    </w:rPr>
  </w:style>
  <w:style w:type="character" w:customStyle="1" w:styleId="57">
    <w:name w:val="正文文本缩进 Char"/>
    <w:link w:val="17"/>
    <w:semiHidden/>
    <w:qFormat/>
    <w:uiPriority w:val="0"/>
    <w:rPr>
      <w:rFonts w:ascii="宋体" w:hAnsi="Times New Roman"/>
      <w:sz w:val="24"/>
    </w:rPr>
  </w:style>
  <w:style w:type="character" w:customStyle="1" w:styleId="58">
    <w:name w:val="纯文本 Char"/>
    <w:qFormat/>
    <w:uiPriority w:val="0"/>
    <w:rPr>
      <w:rFonts w:ascii="宋体" w:hAnsi="Courier New" w:cs="Courier New"/>
      <w:kern w:val="2"/>
      <w:sz w:val="21"/>
      <w:szCs w:val="21"/>
    </w:rPr>
  </w:style>
  <w:style w:type="character" w:customStyle="1" w:styleId="59">
    <w:name w:val="author-p-368601"/>
    <w:qFormat/>
    <w:uiPriority w:val="0"/>
  </w:style>
  <w:style w:type="character" w:customStyle="1" w:styleId="60">
    <w:name w:val="Char Char"/>
    <w:qFormat/>
    <w:uiPriority w:val="0"/>
    <w:rPr>
      <w:rFonts w:hint="eastAsia" w:ascii="宋体" w:hAnsi="Courier New" w:eastAsia="宋体"/>
      <w:kern w:val="2"/>
      <w:sz w:val="21"/>
      <w:lang w:val="en-US" w:eastAsia="zh-CN" w:bidi="ar-SA"/>
    </w:rPr>
  </w:style>
  <w:style w:type="character" w:customStyle="1" w:styleId="61">
    <w:name w:val="font01"/>
    <w:qFormat/>
    <w:uiPriority w:val="0"/>
    <w:rPr>
      <w:rFonts w:hint="eastAsia" w:ascii="宋体" w:hAnsi="宋体" w:eastAsia="宋体" w:cs="宋体"/>
      <w:b/>
      <w:color w:val="333333"/>
      <w:sz w:val="20"/>
      <w:szCs w:val="20"/>
      <w:u w:val="none"/>
    </w:rPr>
  </w:style>
  <w:style w:type="character" w:customStyle="1" w:styleId="62">
    <w:name w:val="纯文本 Char1"/>
    <w:link w:val="22"/>
    <w:qFormat/>
    <w:locked/>
    <w:uiPriority w:val="0"/>
    <w:rPr>
      <w:rFonts w:ascii="宋体" w:hAnsi="Courier New"/>
      <w:kern w:val="2"/>
      <w:sz w:val="21"/>
    </w:rPr>
  </w:style>
  <w:style w:type="character" w:customStyle="1" w:styleId="63">
    <w:name w:val="button1"/>
    <w:qFormat/>
    <w:uiPriority w:val="0"/>
    <w:rPr>
      <w:rFonts w:hint="default" w:ascii="Verdana" w:hAnsi="Verdana"/>
      <w:b/>
      <w:bCs/>
      <w:sz w:val="20"/>
      <w:szCs w:val="20"/>
    </w:rPr>
  </w:style>
  <w:style w:type="character" w:customStyle="1" w:styleId="64">
    <w:name w:val="HTML 预设格式 Char"/>
    <w:link w:val="37"/>
    <w:semiHidden/>
    <w:qFormat/>
    <w:uiPriority w:val="0"/>
    <w:rPr>
      <w:rFonts w:ascii="Arial Unicode MS" w:hAnsi="Arial Unicode MS" w:eastAsia="Arial Unicode MS" w:cs="Arial Unicode MS"/>
    </w:rPr>
  </w:style>
  <w:style w:type="character" w:customStyle="1" w:styleId="65">
    <w:name w:val="search_content1"/>
    <w:qFormat/>
    <w:uiPriority w:val="0"/>
    <w:rPr>
      <w:sz w:val="20"/>
      <w:szCs w:val="20"/>
    </w:rPr>
  </w:style>
  <w:style w:type="character" w:customStyle="1" w:styleId="66">
    <w:name w:val="日期 Char"/>
    <w:link w:val="24"/>
    <w:semiHidden/>
    <w:qFormat/>
    <w:uiPriority w:val="0"/>
    <w:rPr>
      <w:rFonts w:ascii="Times New Roman" w:hAnsi="Times New Roman"/>
      <w:color w:val="000000"/>
      <w:kern w:val="2"/>
      <w:sz w:val="24"/>
      <w:szCs w:val="24"/>
    </w:rPr>
  </w:style>
  <w:style w:type="character" w:customStyle="1" w:styleId="67">
    <w:name w:val="标题 4 Char"/>
    <w:qFormat/>
    <w:uiPriority w:val="9"/>
    <w:rPr>
      <w:rFonts w:ascii="Cambria" w:hAnsi="Cambria" w:eastAsia="宋体" w:cs="Times New Roman"/>
      <w:b/>
      <w:bCs/>
      <w:kern w:val="2"/>
      <w:sz w:val="21"/>
      <w:szCs w:val="28"/>
    </w:rPr>
  </w:style>
  <w:style w:type="character" w:customStyle="1" w:styleId="68">
    <w:name w:val="纯文本 字符"/>
    <w:qFormat/>
    <w:uiPriority w:val="0"/>
    <w:rPr>
      <w:rFonts w:ascii="宋体" w:hAnsi="Courier New" w:eastAsia="宋体" w:cs="Courier New"/>
      <w:kern w:val="2"/>
      <w:sz w:val="21"/>
      <w:szCs w:val="21"/>
      <w:lang w:val="en-US" w:eastAsia="zh-CN" w:bidi="ar-SA"/>
    </w:rPr>
  </w:style>
  <w:style w:type="character" w:customStyle="1" w:styleId="69">
    <w:name w:val="不明显强调1"/>
    <w:qFormat/>
    <w:uiPriority w:val="0"/>
    <w:rPr>
      <w:i/>
      <w:iCs/>
      <w:color w:val="808080"/>
    </w:rPr>
  </w:style>
  <w:style w:type="character" w:customStyle="1" w:styleId="70">
    <w:name w:val="font101"/>
    <w:qFormat/>
    <w:uiPriority w:val="0"/>
    <w:rPr>
      <w:rFonts w:hint="eastAsia" w:ascii="宋体" w:hAnsi="宋体" w:eastAsia="宋体" w:cs="宋体"/>
      <w:color w:val="000000"/>
      <w:sz w:val="18"/>
      <w:szCs w:val="18"/>
      <w:u w:val="none"/>
    </w:rPr>
  </w:style>
  <w:style w:type="character" w:customStyle="1" w:styleId="71">
    <w:name w:val="标题 1 Char"/>
    <w:link w:val="6"/>
    <w:qFormat/>
    <w:uiPriority w:val="0"/>
    <w:rPr>
      <w:rFonts w:ascii="宋体" w:hAnsi="宋体" w:eastAsia="宋体" w:cs="宋体"/>
      <w:b/>
      <w:bCs/>
      <w:kern w:val="44"/>
      <w:sz w:val="32"/>
      <w:szCs w:val="52"/>
    </w:rPr>
  </w:style>
  <w:style w:type="character" w:customStyle="1" w:styleId="72">
    <w:name w:val="标题 3 Char1"/>
    <w:link w:val="8"/>
    <w:qFormat/>
    <w:uiPriority w:val="0"/>
    <w:rPr>
      <w:rFonts w:ascii="宋体" w:hAnsi="宋体" w:eastAsia="宋体"/>
      <w:b/>
      <w:bCs/>
      <w:kern w:val="2"/>
      <w:sz w:val="24"/>
      <w:szCs w:val="32"/>
    </w:rPr>
  </w:style>
  <w:style w:type="character" w:customStyle="1" w:styleId="73">
    <w:name w:val="font11"/>
    <w:qFormat/>
    <w:uiPriority w:val="0"/>
    <w:rPr>
      <w:rFonts w:hint="eastAsia" w:ascii="宋体" w:hAnsi="宋体" w:eastAsia="宋体" w:cs="宋体"/>
      <w:color w:val="000000"/>
      <w:sz w:val="40"/>
      <w:szCs w:val="40"/>
      <w:u w:val="none"/>
    </w:rPr>
  </w:style>
  <w:style w:type="character" w:customStyle="1" w:styleId="74">
    <w:name w:val="style8"/>
    <w:basedOn w:val="44"/>
    <w:qFormat/>
    <w:uiPriority w:val="0"/>
  </w:style>
  <w:style w:type="character" w:customStyle="1" w:styleId="75">
    <w:name w:val="hei16b1"/>
    <w:qFormat/>
    <w:uiPriority w:val="0"/>
    <w:rPr>
      <w:rFonts w:hint="default" w:ascii="Arial" w:hAnsi="Arial" w:cs="Arial"/>
      <w:b/>
      <w:bCs/>
      <w:color w:val="000000"/>
      <w:sz w:val="24"/>
      <w:szCs w:val="24"/>
    </w:rPr>
  </w:style>
  <w:style w:type="character" w:customStyle="1" w:styleId="76">
    <w:name w:val="无间隔 Char"/>
    <w:link w:val="77"/>
    <w:qFormat/>
    <w:locked/>
    <w:uiPriority w:val="0"/>
    <w:rPr>
      <w:rFonts w:cs="Calibri"/>
      <w:kern w:val="2"/>
      <w:sz w:val="21"/>
      <w:szCs w:val="22"/>
      <w:lang w:val="en-US" w:eastAsia="zh-CN" w:bidi="ar-SA"/>
    </w:rPr>
  </w:style>
  <w:style w:type="paragraph" w:customStyle="1" w:styleId="77">
    <w:name w:val="No Spacing"/>
    <w:link w:val="76"/>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78">
    <w:name w:val="s"/>
    <w:basedOn w:val="44"/>
    <w:qFormat/>
    <w:uiPriority w:val="0"/>
  </w:style>
  <w:style w:type="character" w:customStyle="1" w:styleId="79">
    <w:name w:val="font71"/>
    <w:qFormat/>
    <w:uiPriority w:val="0"/>
    <w:rPr>
      <w:rFonts w:ascii="Arial" w:hAnsi="Arial" w:cs="Arial"/>
      <w:b/>
      <w:color w:val="333333"/>
      <w:sz w:val="20"/>
      <w:szCs w:val="20"/>
      <w:u w:val="none"/>
    </w:rPr>
  </w:style>
  <w:style w:type="character" w:customStyle="1" w:styleId="80">
    <w:name w:val="正文缩进 Char"/>
    <w:link w:val="12"/>
    <w:semiHidden/>
    <w:qFormat/>
    <w:locked/>
    <w:uiPriority w:val="0"/>
    <w:rPr>
      <w:kern w:val="2"/>
      <w:sz w:val="21"/>
      <w:szCs w:val="24"/>
    </w:rPr>
  </w:style>
  <w:style w:type="character" w:customStyle="1" w:styleId="81">
    <w:name w:val="标题 Char"/>
    <w:qFormat/>
    <w:uiPriority w:val="0"/>
    <w:rPr>
      <w:rFonts w:ascii="Cambria" w:hAnsi="Cambria" w:cs="Times New Roman"/>
      <w:b/>
      <w:bCs/>
      <w:kern w:val="2"/>
      <w:sz w:val="32"/>
      <w:szCs w:val="32"/>
    </w:rPr>
  </w:style>
  <w:style w:type="character" w:customStyle="1" w:styleId="82">
    <w:name w:val="正文文本首行缩进 字符"/>
    <w:link w:val="83"/>
    <w:semiHidden/>
    <w:qFormat/>
    <w:uiPriority w:val="0"/>
    <w:rPr>
      <w:rFonts w:ascii="Times New Roman" w:hAnsi="Times New Roman" w:eastAsia="仿宋_GB2312"/>
      <w:kern w:val="2"/>
      <w:sz w:val="21"/>
      <w:szCs w:val="24"/>
    </w:rPr>
  </w:style>
  <w:style w:type="paragraph" w:customStyle="1" w:styleId="83">
    <w:name w:val="正文文本首行缩进1"/>
    <w:basedOn w:val="3"/>
    <w:link w:val="8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84">
    <w:name w:val="正文文本缩进 字符"/>
    <w:qFormat/>
    <w:uiPriority w:val="0"/>
    <w:rPr>
      <w:rFonts w:ascii="仿宋_GB2312" w:eastAsia="仿宋_GB2312"/>
      <w:kern w:val="2"/>
      <w:sz w:val="28"/>
      <w:lang w:val="en-US" w:eastAsia="zh-CN" w:bidi="ar-SA"/>
    </w:rPr>
  </w:style>
  <w:style w:type="character" w:customStyle="1" w:styleId="85">
    <w:name w:val="批注框文本 Char"/>
    <w:link w:val="26"/>
    <w:semiHidden/>
    <w:qFormat/>
    <w:uiPriority w:val="0"/>
    <w:rPr>
      <w:rFonts w:ascii="Times New Roman" w:hAnsi="Times New Roman" w:eastAsia="宋体" w:cs="Times New Roman"/>
      <w:sz w:val="18"/>
      <w:szCs w:val="18"/>
    </w:rPr>
  </w:style>
  <w:style w:type="character" w:customStyle="1" w:styleId="86">
    <w:name w:val="body001"/>
    <w:qFormat/>
    <w:uiPriority w:val="0"/>
    <w:rPr>
      <w:rFonts w:hint="default" w:ascii="ˎ̥" w:hAnsi="ˎ̥"/>
      <w:color w:val="333333"/>
      <w:sz w:val="18"/>
      <w:szCs w:val="18"/>
    </w:rPr>
  </w:style>
  <w:style w:type="character" w:customStyle="1" w:styleId="87">
    <w:name w:val="Char Char3"/>
    <w:qFormat/>
    <w:uiPriority w:val="0"/>
    <w:rPr>
      <w:rFonts w:hint="eastAsia" w:ascii="宋体" w:hAnsi="Courier New" w:eastAsia="宋体"/>
      <w:kern w:val="2"/>
      <w:sz w:val="21"/>
      <w:lang w:val="en-US" w:eastAsia="zh-CN" w:bidi="ar-SA"/>
    </w:rPr>
  </w:style>
  <w:style w:type="character" w:customStyle="1" w:styleId="88">
    <w:name w:val="标题 Char1"/>
    <w:link w:val="39"/>
    <w:qFormat/>
    <w:locked/>
    <w:uiPriority w:val="0"/>
    <w:rPr>
      <w:rFonts w:ascii="Times New Roman" w:hAnsi="Times New Roman"/>
      <w:kern w:val="2"/>
      <w:sz w:val="30"/>
      <w:szCs w:val="24"/>
    </w:rPr>
  </w:style>
  <w:style w:type="character" w:customStyle="1" w:styleId="89">
    <w:name w:val="l17"/>
    <w:basedOn w:val="44"/>
    <w:qFormat/>
    <w:uiPriority w:val="0"/>
  </w:style>
  <w:style w:type="character" w:customStyle="1" w:styleId="90">
    <w:name w:val="页眉 Char"/>
    <w:link w:val="28"/>
    <w:qFormat/>
    <w:uiPriority w:val="99"/>
    <w:rPr>
      <w:sz w:val="18"/>
      <w:szCs w:val="18"/>
    </w:rPr>
  </w:style>
  <w:style w:type="character" w:customStyle="1" w:styleId="91">
    <w:name w:val="style1"/>
    <w:basedOn w:val="44"/>
    <w:qFormat/>
    <w:uiPriority w:val="0"/>
  </w:style>
  <w:style w:type="character" w:customStyle="1" w:styleId="92">
    <w:name w:val="huei12b1"/>
    <w:qFormat/>
    <w:uiPriority w:val="0"/>
    <w:rPr>
      <w:b/>
      <w:bCs/>
      <w:color w:val="333333"/>
      <w:sz w:val="20"/>
      <w:szCs w:val="20"/>
    </w:rPr>
  </w:style>
  <w:style w:type="character" w:customStyle="1" w:styleId="93">
    <w:name w:val="页脚 Char"/>
    <w:link w:val="27"/>
    <w:qFormat/>
    <w:uiPriority w:val="99"/>
    <w:rPr>
      <w:sz w:val="18"/>
      <w:szCs w:val="18"/>
    </w:rPr>
  </w:style>
  <w:style w:type="character" w:customStyle="1" w:styleId="94">
    <w:name w:val="正文文本缩进 3 Char"/>
    <w:link w:val="33"/>
    <w:semiHidden/>
    <w:qFormat/>
    <w:uiPriority w:val="0"/>
    <w:rPr>
      <w:rFonts w:ascii="Times New Roman" w:hAnsi="Times New Roman" w:eastAsia="黑体"/>
      <w:color w:val="000000"/>
      <w:kern w:val="2"/>
      <w:sz w:val="24"/>
      <w:szCs w:val="24"/>
    </w:rPr>
  </w:style>
  <w:style w:type="character" w:customStyle="1" w:styleId="95">
    <w:name w:val="标题 4 Char1"/>
    <w:link w:val="9"/>
    <w:qFormat/>
    <w:uiPriority w:val="9"/>
    <w:rPr>
      <w:rFonts w:ascii="Cambria" w:hAnsi="Cambria" w:eastAsia="宋体" w:cs="Times New Roman"/>
      <w:b/>
      <w:bCs/>
      <w:kern w:val="2"/>
      <w:sz w:val="21"/>
      <w:szCs w:val="28"/>
    </w:rPr>
  </w:style>
  <w:style w:type="character" w:customStyle="1" w:styleId="96">
    <w:name w:val="wz1"/>
    <w:basedOn w:val="44"/>
    <w:qFormat/>
    <w:uiPriority w:val="0"/>
  </w:style>
  <w:style w:type="character" w:customStyle="1" w:styleId="97">
    <w:name w:val="标题 3 字符"/>
    <w:qFormat/>
    <w:uiPriority w:val="0"/>
    <w:rPr>
      <w:b/>
      <w:bCs/>
      <w:kern w:val="2"/>
      <w:sz w:val="24"/>
      <w:szCs w:val="32"/>
    </w:rPr>
  </w:style>
  <w:style w:type="character" w:customStyle="1" w:styleId="98">
    <w:name w:val="unnamed1"/>
    <w:basedOn w:val="44"/>
    <w:qFormat/>
    <w:uiPriority w:val="0"/>
  </w:style>
  <w:style w:type="character" w:customStyle="1" w:styleId="99">
    <w:name w:val="(aNormal) + 宋体 Char"/>
    <w:link w:val="100"/>
    <w:qFormat/>
    <w:locked/>
    <w:uiPriority w:val="0"/>
    <w:rPr>
      <w:rFonts w:ascii="宋体" w:hAnsi="宋体"/>
      <w:lang w:val="en-GB"/>
    </w:rPr>
  </w:style>
  <w:style w:type="paragraph" w:customStyle="1" w:styleId="100">
    <w:name w:val="(aNormal) + 宋体"/>
    <w:basedOn w:val="1"/>
    <w:link w:val="9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101">
    <w:name w:val="正文文本 2 Char"/>
    <w:link w:val="36"/>
    <w:semiHidden/>
    <w:qFormat/>
    <w:uiPriority w:val="0"/>
    <w:rPr>
      <w:rFonts w:ascii="Times New Roman" w:hAnsi="Times New Roman"/>
      <w:b/>
      <w:bCs/>
      <w:color w:val="000000"/>
      <w:kern w:val="2"/>
      <w:sz w:val="28"/>
      <w:szCs w:val="24"/>
    </w:rPr>
  </w:style>
  <w:style w:type="character" w:customStyle="1" w:styleId="102">
    <w:name w:val="页眉 字符"/>
    <w:qFormat/>
    <w:locked/>
    <w:uiPriority w:val="0"/>
    <w:rPr>
      <w:rFonts w:eastAsia="宋体"/>
      <w:kern w:val="2"/>
      <w:sz w:val="18"/>
      <w:lang w:val="en-US" w:eastAsia="zh-CN" w:bidi="ar-SA"/>
    </w:rPr>
  </w:style>
  <w:style w:type="character" w:customStyle="1" w:styleId="103">
    <w:name w:val="文档结构图 Char"/>
    <w:link w:val="13"/>
    <w:semiHidden/>
    <w:qFormat/>
    <w:uiPriority w:val="0"/>
    <w:rPr>
      <w:rFonts w:ascii="宋体" w:hAnsi="Times New Roman" w:eastAsia="宋体" w:cs="Times New Roman"/>
      <w:sz w:val="18"/>
      <w:szCs w:val="18"/>
    </w:rPr>
  </w:style>
  <w:style w:type="character" w:customStyle="1" w:styleId="104">
    <w:name w:val="批注主题 Char"/>
    <w:link w:val="40"/>
    <w:semiHidden/>
    <w:qFormat/>
    <w:uiPriority w:val="0"/>
    <w:rPr>
      <w:rFonts w:ascii="Times New Roman" w:hAnsi="Times New Roman"/>
      <w:b/>
      <w:bCs/>
      <w:kern w:val="2"/>
      <w:sz w:val="21"/>
      <w:szCs w:val="24"/>
    </w:rPr>
  </w:style>
  <w:style w:type="character" w:customStyle="1" w:styleId="105">
    <w:name w:val="apple-converted-space"/>
    <w:basedOn w:val="44"/>
    <w:qFormat/>
    <w:uiPriority w:val="0"/>
  </w:style>
  <w:style w:type="character" w:customStyle="1" w:styleId="106">
    <w:name w:val="标题 3 Char"/>
    <w:qFormat/>
    <w:uiPriority w:val="0"/>
    <w:rPr>
      <w:rFonts w:ascii="Times New Roman" w:hAnsi="Times New Roman"/>
      <w:b/>
      <w:bCs/>
      <w:kern w:val="2"/>
      <w:sz w:val="21"/>
      <w:szCs w:val="32"/>
    </w:rPr>
  </w:style>
  <w:style w:type="character" w:customStyle="1" w:styleId="107">
    <w:name w:val="正文文本 3 Char"/>
    <w:link w:val="15"/>
    <w:semiHidden/>
    <w:qFormat/>
    <w:uiPriority w:val="0"/>
    <w:rPr>
      <w:rFonts w:ascii="楷体_GB2312" w:hAnsi="Times New Roman" w:eastAsia="楷体_GB2312"/>
      <w:b/>
      <w:color w:val="000000"/>
      <w:kern w:val="2"/>
      <w:sz w:val="30"/>
      <w:szCs w:val="24"/>
    </w:rPr>
  </w:style>
  <w:style w:type="character" w:customStyle="1" w:styleId="108">
    <w:name w:val="标题 2 Char"/>
    <w:link w:val="7"/>
    <w:qFormat/>
    <w:uiPriority w:val="0"/>
    <w:rPr>
      <w:rFonts w:ascii="宋体" w:hAnsi="宋体" w:eastAsia="宋体"/>
      <w:b/>
      <w:bCs/>
      <w:kern w:val="2"/>
      <w:sz w:val="28"/>
      <w:szCs w:val="32"/>
    </w:rPr>
  </w:style>
  <w:style w:type="character" w:customStyle="1" w:styleId="109">
    <w:name w:val="content"/>
    <w:basedOn w:val="44"/>
    <w:qFormat/>
    <w:uiPriority w:val="0"/>
  </w:style>
  <w:style w:type="character" w:customStyle="1" w:styleId="110">
    <w:name w:val="search_result_snap1"/>
    <w:qFormat/>
    <w:uiPriority w:val="0"/>
    <w:rPr>
      <w:sz w:val="21"/>
      <w:szCs w:val="21"/>
    </w:rPr>
  </w:style>
  <w:style w:type="character" w:customStyle="1" w:styleId="111">
    <w:name w:val="批注文字 Char"/>
    <w:semiHidden/>
    <w:qFormat/>
    <w:uiPriority w:val="0"/>
    <w:rPr>
      <w:rFonts w:ascii="Times New Roman" w:hAnsi="Times New Roman"/>
      <w:kern w:val="2"/>
      <w:sz w:val="21"/>
      <w:szCs w:val="24"/>
    </w:rPr>
  </w:style>
  <w:style w:type="paragraph" w:customStyle="1" w:styleId="112">
    <w:name w:val="_Style 40"/>
    <w:basedOn w:val="1"/>
    <w:qFormat/>
    <w:uiPriority w:val="0"/>
    <w:pPr>
      <w:spacing w:line="240" w:lineRule="auto"/>
      <w:ind w:firstLine="0" w:firstLineChars="0"/>
    </w:pPr>
  </w:style>
  <w:style w:type="paragraph" w:customStyle="1" w:styleId="1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4">
    <w:name w:val="标题3"/>
    <w:basedOn w:val="8"/>
    <w:qFormat/>
    <w:uiPriority w:val="0"/>
    <w:pPr>
      <w:spacing w:before="260" w:after="260" w:line="415" w:lineRule="auto"/>
    </w:pPr>
    <w:rPr>
      <w:rFonts w:ascii="宋体" w:hAnsi="宋体"/>
      <w:sz w:val="28"/>
      <w:szCs w:val="28"/>
    </w:rPr>
  </w:style>
  <w:style w:type="paragraph" w:customStyle="1" w:styleId="115">
    <w:name w:val="TOC 标题1"/>
    <w:basedOn w:val="7"/>
    <w:next w:val="1"/>
    <w:qFormat/>
    <w:uiPriority w:val="39"/>
    <w:pPr>
      <w:widowControl/>
      <w:spacing w:line="240" w:lineRule="auto"/>
      <w:outlineLvl w:val="9"/>
    </w:pPr>
    <w:rPr>
      <w:kern w:val="0"/>
      <w:sz w:val="21"/>
      <w:szCs w:val="28"/>
    </w:rPr>
  </w:style>
  <w:style w:type="paragraph" w:customStyle="1" w:styleId="116">
    <w:name w:val="列出段落1"/>
    <w:basedOn w:val="1"/>
    <w:qFormat/>
    <w:uiPriority w:val="0"/>
    <w:pPr>
      <w:spacing w:line="240" w:lineRule="auto"/>
      <w:ind w:firstLine="420"/>
    </w:pPr>
  </w:style>
  <w:style w:type="paragraph" w:customStyle="1" w:styleId="1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18">
    <w:name w:val="正文2"/>
    <w:basedOn w:val="1"/>
    <w:qFormat/>
    <w:uiPriority w:val="0"/>
    <w:pPr>
      <w:spacing w:before="156"/>
      <w:ind w:firstLine="510"/>
    </w:pPr>
    <w:rPr>
      <w:rFonts w:ascii="MT Extra" w:hAnsi="MT Extra" w:cs="MT Extra"/>
    </w:rPr>
  </w:style>
  <w:style w:type="paragraph" w:customStyle="1" w:styleId="119">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20">
    <w:name w:val="样式1"/>
    <w:basedOn w:val="1"/>
    <w:qFormat/>
    <w:uiPriority w:val="0"/>
    <w:pPr>
      <w:spacing w:line="360" w:lineRule="exact"/>
    </w:pPr>
    <w:rPr>
      <w:rFonts w:ascii="Arial" w:hAnsi="Arial"/>
      <w:sz w:val="21"/>
    </w:rPr>
  </w:style>
  <w:style w:type="paragraph" w:customStyle="1" w:styleId="121">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22">
    <w:name w:val="正文缩进1"/>
    <w:basedOn w:val="1"/>
    <w:next w:val="17"/>
    <w:qFormat/>
    <w:uiPriority w:val="0"/>
    <w:pPr>
      <w:autoSpaceDE w:val="0"/>
      <w:autoSpaceDN w:val="0"/>
      <w:adjustRightInd w:val="0"/>
      <w:snapToGrid w:val="0"/>
      <w:spacing w:after="120"/>
      <w:ind w:left="420" w:firstLine="480" w:firstLineChars="0"/>
    </w:pPr>
    <w:rPr>
      <w:szCs w:val="20"/>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4">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5">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6">
    <w:name w:val="_Style 54"/>
    <w:basedOn w:val="1"/>
    <w:qFormat/>
    <w:uiPriority w:val="0"/>
    <w:pPr>
      <w:spacing w:line="240" w:lineRule="auto"/>
      <w:ind w:firstLine="0" w:firstLineChars="0"/>
    </w:pPr>
  </w:style>
  <w:style w:type="paragraph" w:customStyle="1" w:styleId="1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8">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9">
    <w:name w:val="List Paragraph"/>
    <w:basedOn w:val="1"/>
    <w:qFormat/>
    <w:uiPriority w:val="34"/>
    <w:pPr>
      <w:ind w:firstLine="420"/>
    </w:pPr>
    <w:rPr>
      <w:szCs w:val="22"/>
    </w:rPr>
  </w:style>
  <w:style w:type="paragraph" w:customStyle="1" w:styleId="13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32">
    <w:name w:val="表格"/>
    <w:basedOn w:val="3"/>
    <w:next w:val="1"/>
    <w:qFormat/>
    <w:uiPriority w:val="0"/>
    <w:pPr>
      <w:spacing w:line="240" w:lineRule="auto"/>
      <w:jc w:val="center"/>
    </w:pPr>
    <w:rPr>
      <w:rFonts w:ascii="Times New Roman"/>
    </w:rPr>
  </w:style>
  <w:style w:type="paragraph" w:customStyle="1" w:styleId="133">
    <w:name w:val="Revision"/>
    <w:unhideWhenUsed/>
    <w:qFormat/>
    <w:uiPriority w:val="99"/>
    <w:rPr>
      <w:rFonts w:ascii="Times New Roman" w:hAnsi="Times New Roman" w:eastAsia="宋体" w:cs="Times New Roman"/>
      <w:kern w:val="2"/>
      <w:sz w:val="24"/>
      <w:szCs w:val="24"/>
      <w:lang w:val="en-US" w:eastAsia="zh-CN" w:bidi="ar-SA"/>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36">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37">
    <w:name w:val="Char"/>
    <w:basedOn w:val="1"/>
    <w:qFormat/>
    <w:uiPriority w:val="0"/>
    <w:pPr>
      <w:spacing w:line="240" w:lineRule="auto"/>
      <w:ind w:firstLine="0" w:firstLineChars="0"/>
    </w:pPr>
    <w:rPr>
      <w:rFonts w:ascii="仿宋_GB2312" w:eastAsia="仿宋_GB2312"/>
      <w:b/>
      <w:sz w:val="32"/>
      <w:szCs w:val="32"/>
    </w:rPr>
  </w:style>
  <w:style w:type="paragraph" w:customStyle="1" w:styleId="1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39">
    <w:name w:val="_Style 3"/>
    <w:basedOn w:val="1"/>
    <w:next w:val="129"/>
    <w:qFormat/>
    <w:uiPriority w:val="34"/>
    <w:pPr>
      <w:ind w:firstLine="420"/>
    </w:pPr>
    <w:rPr>
      <w:szCs w:val="22"/>
    </w:rPr>
  </w:style>
  <w:style w:type="paragraph" w:customStyle="1" w:styleId="140">
    <w:name w:val="默认段落字体 Para Char"/>
    <w:basedOn w:val="1"/>
    <w:qFormat/>
    <w:uiPriority w:val="0"/>
    <w:pPr>
      <w:spacing w:line="240" w:lineRule="auto"/>
      <w:ind w:firstLine="0" w:firstLineChars="0"/>
    </w:pPr>
  </w:style>
  <w:style w:type="paragraph" w:customStyle="1" w:styleId="141">
    <w:name w:val="部分1"/>
    <w:basedOn w:val="1"/>
    <w:qFormat/>
    <w:uiPriority w:val="99"/>
    <w:pPr>
      <w:keepNext/>
      <w:pageBreakBefore/>
      <w:tabs>
        <w:tab w:val="left" w:pos="720"/>
      </w:tabs>
      <w:jc w:val="center"/>
      <w:outlineLvl w:val="0"/>
    </w:pPr>
    <w:rPr>
      <w:rFonts w:eastAsia="黑体"/>
      <w:b/>
      <w:kern w:val="44"/>
      <w:sz w:val="36"/>
    </w:rPr>
  </w:style>
  <w:style w:type="paragraph" w:customStyle="1" w:styleId="142">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4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4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46">
    <w:name w:val="小标题2"/>
    <w:basedOn w:val="1"/>
    <w:next w:val="1"/>
    <w:qFormat/>
    <w:uiPriority w:val="0"/>
    <w:pPr>
      <w:spacing w:beforeLines="20" w:afterLines="20" w:line="400" w:lineRule="exact"/>
    </w:pPr>
    <w:rPr>
      <w:rFonts w:eastAsia="楷体_GB2312"/>
    </w:rPr>
  </w:style>
  <w:style w:type="paragraph" w:customStyle="1" w:styleId="1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8">
    <w:name w:val="Blockquote"/>
    <w:basedOn w:val="1"/>
    <w:qFormat/>
    <w:uiPriority w:val="0"/>
    <w:pPr>
      <w:autoSpaceDE w:val="0"/>
      <w:autoSpaceDN w:val="0"/>
      <w:adjustRightInd w:val="0"/>
      <w:spacing w:before="100" w:after="100"/>
      <w:ind w:left="360" w:right="360"/>
      <w:jc w:val="left"/>
    </w:pPr>
    <w:rPr>
      <w:kern w:val="0"/>
    </w:rPr>
  </w:style>
  <w:style w:type="paragraph" w:customStyle="1" w:styleId="1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50">
    <w:name w:val="p16"/>
    <w:basedOn w:val="1"/>
    <w:qFormat/>
    <w:uiPriority w:val="0"/>
    <w:pPr>
      <w:widowControl/>
      <w:spacing w:line="240" w:lineRule="auto"/>
      <w:ind w:left="420" w:hanging="420" w:firstLineChars="0"/>
    </w:pPr>
    <w:rPr>
      <w:kern w:val="0"/>
      <w:szCs w:val="21"/>
    </w:rPr>
  </w:style>
  <w:style w:type="paragraph" w:customStyle="1" w:styleId="151">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52">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4">
    <w:name w:val="p0"/>
    <w:basedOn w:val="1"/>
    <w:qFormat/>
    <w:uiPriority w:val="0"/>
    <w:pPr>
      <w:widowControl/>
      <w:spacing w:line="240" w:lineRule="auto"/>
      <w:ind w:firstLine="0" w:firstLineChars="0"/>
    </w:pPr>
    <w:rPr>
      <w:kern w:val="0"/>
      <w:szCs w:val="21"/>
    </w:rPr>
  </w:style>
  <w:style w:type="paragraph" w:customStyle="1" w:styleId="155">
    <w:name w:val="彩色列表 - 强调文字颜色 11"/>
    <w:basedOn w:val="1"/>
    <w:qFormat/>
    <w:uiPriority w:val="34"/>
    <w:pPr>
      <w:ind w:firstLine="420"/>
    </w:pPr>
  </w:style>
  <w:style w:type="paragraph" w:customStyle="1" w:styleId="1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7">
    <w:name w:val="Char Char Char Char Char Char Char Char"/>
    <w:basedOn w:val="1"/>
    <w:qFormat/>
    <w:uiPriority w:val="0"/>
    <w:pPr>
      <w:tabs>
        <w:tab w:val="left" w:pos="360"/>
      </w:tabs>
      <w:spacing w:line="240" w:lineRule="auto"/>
      <w:ind w:firstLine="0" w:firstLineChars="0"/>
    </w:pPr>
    <w:rPr>
      <w:szCs w:val="20"/>
    </w:rPr>
  </w:style>
  <w:style w:type="paragraph" w:customStyle="1" w:styleId="158">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59">
    <w:name w:val="Char Char Char Char Char Char Char Char Char Char"/>
    <w:basedOn w:val="13"/>
    <w:qFormat/>
    <w:uiPriority w:val="0"/>
    <w:pPr>
      <w:shd w:val="clear" w:color="auto" w:fill="000080"/>
      <w:spacing w:line="240" w:lineRule="auto"/>
      <w:ind w:firstLine="0" w:firstLineChars="0"/>
    </w:pPr>
    <w:rPr>
      <w:rFonts w:ascii="Tahoma" w:hAnsi="Tahoma"/>
      <w:sz w:val="24"/>
      <w:szCs w:val="24"/>
    </w:rPr>
  </w:style>
  <w:style w:type="paragraph" w:customStyle="1" w:styleId="1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61">
    <w:name w:val="1"/>
    <w:basedOn w:val="1"/>
    <w:next w:val="38"/>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正文1"/>
    <w:basedOn w:val="1"/>
    <w:qFormat/>
    <w:uiPriority w:val="0"/>
    <w:pPr>
      <w:widowControl/>
      <w:spacing w:after="200" w:line="300" w:lineRule="atLeast"/>
      <w:jc w:val="left"/>
    </w:pPr>
    <w:rPr>
      <w:rFonts w:cs="宋体"/>
      <w:kern w:val="0"/>
      <w:sz w:val="22"/>
      <w:szCs w:val="22"/>
    </w:rPr>
  </w:style>
  <w:style w:type="paragraph" w:customStyle="1" w:styleId="164">
    <w:name w:val="正文－恩普"/>
    <w:basedOn w:val="12"/>
    <w:qFormat/>
    <w:uiPriority w:val="0"/>
    <w:pPr>
      <w:widowControl/>
      <w:spacing w:afterLines="50" w:line="360" w:lineRule="auto"/>
      <w:ind w:firstLine="480" w:firstLineChars="200"/>
      <w:jc w:val="left"/>
    </w:pPr>
  </w:style>
  <w:style w:type="paragraph" w:customStyle="1" w:styleId="165">
    <w:name w:val="Char Char Char"/>
    <w:basedOn w:val="1"/>
    <w:qFormat/>
    <w:uiPriority w:val="0"/>
    <w:pPr>
      <w:spacing w:line="240" w:lineRule="auto"/>
      <w:ind w:firstLine="0" w:firstLineChars="0"/>
    </w:pPr>
    <w:rPr>
      <w:rFonts w:ascii="Tahoma" w:hAnsi="Tahoma"/>
      <w:szCs w:val="20"/>
    </w:rPr>
  </w:style>
  <w:style w:type="paragraph" w:customStyle="1" w:styleId="16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68">
    <w:name w:val="列表段落1"/>
    <w:basedOn w:val="1"/>
    <w:qFormat/>
    <w:uiPriority w:val="0"/>
    <w:pPr>
      <w:ind w:firstLine="420"/>
    </w:pPr>
  </w:style>
  <w:style w:type="paragraph" w:customStyle="1" w:styleId="169">
    <w:name w:val="正文格式"/>
    <w:basedOn w:val="1"/>
    <w:qFormat/>
    <w:uiPriority w:val="0"/>
    <w:pPr>
      <w:widowControl/>
      <w:adjustRightInd w:val="0"/>
      <w:snapToGrid w:val="0"/>
      <w:ind w:firstLine="482" w:firstLineChars="0"/>
    </w:pPr>
    <w:rPr>
      <w:kern w:val="0"/>
      <w:szCs w:val="20"/>
    </w:rPr>
  </w:style>
  <w:style w:type="paragraph" w:customStyle="1" w:styleId="170">
    <w:name w:val="head 1.1"/>
    <w:basedOn w:val="168"/>
    <w:qFormat/>
    <w:uiPriority w:val="0"/>
    <w:pPr>
      <w:numPr>
        <w:ilvl w:val="1"/>
        <w:numId w:val="3"/>
      </w:numPr>
      <w:spacing w:before="260" w:after="260" w:line="240" w:lineRule="auto"/>
      <w:ind w:firstLine="0" w:firstLineChars="0"/>
    </w:pPr>
    <w:rPr>
      <w:rFonts w:ascii="宋体" w:hAnsi="宋体"/>
      <w:bCs/>
      <w:szCs w:val="22"/>
    </w:rPr>
  </w:style>
  <w:style w:type="paragraph" w:customStyle="1" w:styleId="1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2">
    <w:name w:val="head 1.1.1"/>
    <w:basedOn w:val="168"/>
    <w:qFormat/>
    <w:uiPriority w:val="0"/>
    <w:pPr>
      <w:numPr>
        <w:ilvl w:val="2"/>
        <w:numId w:val="3"/>
      </w:numPr>
      <w:spacing w:line="240" w:lineRule="auto"/>
      <w:ind w:firstLine="0" w:firstLineChars="0"/>
    </w:pPr>
    <w:rPr>
      <w:bCs/>
      <w:szCs w:val="22"/>
    </w:rPr>
  </w:style>
  <w:style w:type="paragraph" w:customStyle="1" w:styleId="173">
    <w:name w:val="默认段落字体 Para Char Char Char Char Char Char Char Char Char1 Char Char Char Char"/>
    <w:basedOn w:val="1"/>
    <w:qFormat/>
    <w:uiPriority w:val="0"/>
    <w:rPr>
      <w:rFonts w:ascii="Tahoma" w:hAnsi="Tahoma"/>
      <w:szCs w:val="20"/>
    </w:rPr>
  </w:style>
  <w:style w:type="paragraph" w:customStyle="1" w:styleId="174">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75">
    <w:name w:val="Char1"/>
    <w:basedOn w:val="1"/>
    <w:qFormat/>
    <w:uiPriority w:val="0"/>
    <w:rPr>
      <w:rFonts w:ascii="Tahoma" w:hAnsi="Tahoma"/>
      <w:szCs w:val="20"/>
    </w:rPr>
  </w:style>
  <w:style w:type="paragraph" w:customStyle="1" w:styleId="1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78">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79">
    <w:name w:val="Char2"/>
    <w:basedOn w:val="1"/>
    <w:qFormat/>
    <w:uiPriority w:val="0"/>
    <w:pPr>
      <w:spacing w:line="240" w:lineRule="auto"/>
      <w:ind w:firstLine="0" w:firstLineChars="0"/>
    </w:pPr>
    <w:rPr>
      <w:rFonts w:ascii="仿宋_GB2312" w:eastAsia="仿宋_GB2312"/>
      <w:b/>
      <w:sz w:val="32"/>
      <w:szCs w:val="32"/>
    </w:rPr>
  </w:style>
  <w:style w:type="paragraph" w:customStyle="1" w:styleId="180">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81">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82">
    <w:name w:val="Char Char Char Char Char Char"/>
    <w:basedOn w:val="1"/>
    <w:qFormat/>
    <w:uiPriority w:val="0"/>
    <w:pPr>
      <w:spacing w:line="240" w:lineRule="auto"/>
    </w:pPr>
    <w:rPr>
      <w:rFonts w:ascii="Tahoma" w:hAnsi="Tahoma"/>
      <w:szCs w:val="20"/>
    </w:rPr>
  </w:style>
  <w:style w:type="paragraph" w:customStyle="1" w:styleId="183">
    <w:name w:val="正文段"/>
    <w:basedOn w:val="1"/>
    <w:qFormat/>
    <w:uiPriority w:val="0"/>
    <w:pPr>
      <w:widowControl/>
      <w:snapToGrid w:val="0"/>
      <w:spacing w:afterLines="50"/>
    </w:pPr>
    <w:rPr>
      <w:kern w:val="0"/>
    </w:rPr>
  </w:style>
  <w:style w:type="paragraph" w:customStyle="1" w:styleId="18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86">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paragraph" w:customStyle="1" w:styleId="188">
    <w:name w:val="WPSOffice手动目录 2"/>
    <w:qFormat/>
    <w:uiPriority w:val="0"/>
    <w:pPr>
      <w:ind w:leftChars="200"/>
    </w:pPr>
    <w:rPr>
      <w:rFonts w:ascii="Times New Roman" w:hAnsi="Times New Roman" w:eastAsia="宋体" w:cs="Times New Roman"/>
      <w:sz w:val="20"/>
      <w:szCs w:val="20"/>
    </w:rPr>
  </w:style>
  <w:style w:type="paragraph" w:customStyle="1" w:styleId="189">
    <w:name w:val="WPSOffice手动目录 3"/>
    <w:qFormat/>
    <w:uiPriority w:val="0"/>
    <w:pPr>
      <w:ind w:leftChars="400"/>
    </w:pPr>
    <w:rPr>
      <w:rFonts w:ascii="Times New Roman" w:hAnsi="Times New Roman" w:eastAsia="宋体" w:cs="Times New Roman"/>
      <w:sz w:val="20"/>
      <w:szCs w:val="20"/>
    </w:rPr>
  </w:style>
  <w:style w:type="paragraph" w:customStyle="1" w:styleId="19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91">
    <w:name w:val="font21"/>
    <w:basedOn w:val="4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6347</Words>
  <Characters>36178</Characters>
  <Lines>301</Lines>
  <Paragraphs>84</Paragraphs>
  <TotalTime>2</TotalTime>
  <ScaleCrop>false</ScaleCrop>
  <LinksUpToDate>false</LinksUpToDate>
  <CharactersWithSpaces>42441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2021-03-17T08:05:00Z</dcterms:created>
  <dc:creator>Administrator</dc:creator>
  <cp:lastModifiedBy>Administrator</cp:lastModifiedBy>
  <cp:lastPrinted>2019-08-14T12:21:00Z</cp:lastPrinted>
  <dcterms:modified xsi:type="dcterms:W3CDTF">2021-05-19T04:41:00Z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60AD31673EE74772A468F58E90C49CF8</vt:lpwstr>
  </property>
</Properties>
</file>