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59" w:firstLineChars="200"/>
        <w:jc w:val="center"/>
        <w:rPr>
          <w:rFonts w:hint="eastAsia" w:ascii="宋体" w:hAnsi="宋体"/>
          <w:b/>
          <w:color w:val="auto"/>
          <w:spacing w:val="-6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pacing w:val="-6"/>
          <w:sz w:val="44"/>
          <w:szCs w:val="44"/>
          <w:highlight w:val="none"/>
        </w:rPr>
        <w:t>中小企业声明函（服务）</w:t>
      </w:r>
    </w:p>
    <w:p>
      <w:pPr>
        <w:pStyle w:val="8"/>
        <w:spacing w:line="360" w:lineRule="auto"/>
        <w:ind w:left="169" w:hanging="169" w:hangingChars="74"/>
        <w:jc w:val="center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spacing w:line="360" w:lineRule="auto"/>
        <w:ind w:firstLine="482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浙江中医药大学  </w:t>
      </w:r>
      <w:r>
        <w:rPr>
          <w:rFonts w:ascii="宋体" w:hAnsi="宋体"/>
          <w:color w:val="auto"/>
          <w:highlight w:val="none"/>
        </w:rPr>
        <w:t>的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highlight w:val="none"/>
          <w:u w:val="single"/>
        </w:rPr>
        <w:t>实验室通排风系统与设施维护保养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/>
          <w:color w:val="auto"/>
          <w:highlight w:val="none"/>
        </w:rPr>
        <w:t xml:space="preserve">采购活动，服务全部由符合政策要求的中小企业承接。相关企业的具体情况如下： 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u w:val="single"/>
        </w:rPr>
        <w:t>实验室通排风系统与设施维护保养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/>
          <w:color w:val="auto"/>
          <w:highlight w:val="none"/>
        </w:rPr>
        <w:t>，属于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 租赁和商务服务业   </w:t>
      </w:r>
      <w:r>
        <w:rPr>
          <w:rFonts w:ascii="宋体" w:hAnsi="宋体"/>
          <w:color w:val="auto"/>
          <w:highlight w:val="none"/>
        </w:rPr>
        <w:t>； 承接企业为</w:t>
      </w:r>
      <w:r>
        <w:rPr>
          <w:rFonts w:ascii="宋体" w:hAnsi="宋体"/>
          <w:color w:val="auto"/>
          <w:highlight w:val="none"/>
          <w:u w:val="single"/>
        </w:rPr>
        <w:t>（企业名称）</w:t>
      </w:r>
      <w:r>
        <w:rPr>
          <w:rFonts w:ascii="宋体" w:hAnsi="宋体"/>
          <w:color w:val="auto"/>
          <w:highlight w:val="none"/>
        </w:rPr>
        <w:t>，从业人员</w:t>
      </w:r>
      <w:r>
        <w:rPr>
          <w:rFonts w:ascii="宋体" w:hAnsi="宋体"/>
          <w:i/>
          <w:iCs/>
          <w:color w:val="auto"/>
          <w:highlight w:val="none"/>
          <w:u w:val="single"/>
        </w:rPr>
        <w:t xml:space="preserve"> </w:t>
      </w:r>
      <w:r>
        <w:rPr>
          <w:rFonts w:hint="eastAsia"/>
          <w:i/>
          <w:iCs/>
          <w:color w:val="auto"/>
          <w:highlight w:val="none"/>
          <w:u w:val="single"/>
        </w:rPr>
        <w:t xml:space="preserve">  </w:t>
      </w:r>
      <w:r>
        <w:rPr>
          <w:rFonts w:ascii="宋体" w:hAnsi="宋体"/>
          <w:color w:val="auto"/>
          <w:highlight w:val="none"/>
        </w:rPr>
        <w:t>人，营业收入为</w:t>
      </w:r>
      <w:r>
        <w:rPr>
          <w:rFonts w:hint="eastAsia"/>
          <w:color w:val="auto"/>
          <w:highlight w:val="none"/>
          <w:u w:val="single"/>
        </w:rPr>
        <w:t xml:space="preserve">  </w:t>
      </w:r>
      <w:r>
        <w:rPr>
          <w:rFonts w:ascii="宋体" w:hAnsi="宋体"/>
          <w:color w:val="auto"/>
          <w:highlight w:val="none"/>
          <w:u w:val="single"/>
        </w:rPr>
        <w:t xml:space="preserve"> </w:t>
      </w:r>
      <w:r>
        <w:rPr>
          <w:rFonts w:ascii="宋体" w:hAnsi="宋体"/>
          <w:color w:val="auto"/>
          <w:highlight w:val="none"/>
        </w:rPr>
        <w:t>万元，资产总额为</w:t>
      </w:r>
      <w:r>
        <w:rPr>
          <w:rFonts w:hint="eastAsia"/>
          <w:color w:val="auto"/>
          <w:highlight w:val="none"/>
          <w:u w:val="single"/>
        </w:rPr>
        <w:t xml:space="preserve">   </w:t>
      </w:r>
      <w:r>
        <w:rPr>
          <w:rFonts w:ascii="宋体" w:hAnsi="宋体"/>
          <w:color w:val="auto"/>
          <w:highlight w:val="none"/>
        </w:rPr>
        <w:t xml:space="preserve">万元，属于（中型企业、 小型企业、微型企业）； </w:t>
      </w:r>
    </w:p>
    <w:p>
      <w:pPr>
        <w:spacing w:line="360" w:lineRule="auto"/>
        <w:ind w:firstLine="482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spacing w:line="360" w:lineRule="auto"/>
        <w:ind w:firstLine="482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 xml:space="preserve">本企业对上述声明内容的真实性负责。如有虚假，将依法承担相应责任。 </w:t>
      </w:r>
    </w:p>
    <w:p>
      <w:pPr>
        <w:pStyle w:val="6"/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ind w:firstLine="480"/>
        <w:jc w:val="center"/>
        <w:rPr>
          <w:rFonts w:hint="eastAsia" w:ascii="宋体" w:hAnsi="宋体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</w:t>
      </w:r>
      <w:r>
        <w:rPr>
          <w:rFonts w:hint="eastAsia" w:ascii="宋体" w:hAnsi="宋体"/>
          <w:color w:val="auto"/>
          <w:highlight w:val="none"/>
        </w:rPr>
        <w:t xml:space="preserve">企业名称（盖章）：                                 </w:t>
      </w:r>
    </w:p>
    <w:p>
      <w:pPr>
        <w:ind w:firstLine="480"/>
        <w:jc w:val="righ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日期：     年     月   日 </w:t>
      </w:r>
    </w:p>
    <w:p>
      <w:pPr>
        <w:pStyle w:val="6"/>
        <w:rPr>
          <w:rFonts w:hint="eastAsia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说明：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1.从业人员、营业收入、资产总额填报上一年度数据，数据未填写的视为未提供《中小企业声明函》。</w:t>
      </w:r>
    </w:p>
    <w:p>
      <w:r>
        <w:br w:type="page"/>
      </w:r>
    </w:p>
    <w:tbl>
      <w:tblPr>
        <w:tblStyle w:val="9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43"/>
        <w:gridCol w:w="993"/>
        <w:gridCol w:w="942"/>
        <w:gridCol w:w="698"/>
        <w:gridCol w:w="879"/>
        <w:gridCol w:w="901"/>
        <w:gridCol w:w="722"/>
        <w:gridCol w:w="717"/>
        <w:gridCol w:w="625"/>
        <w:gridCol w:w="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430" w:hRule="atLeast"/>
        </w:trPr>
        <w:tc>
          <w:tcPr>
            <w:tcW w:w="4952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5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行业</w:t>
            </w:r>
          </w:p>
        </w:tc>
        <w:tc>
          <w:tcPr>
            <w:tcW w:w="163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中型企业</w:t>
            </w:r>
          </w:p>
        </w:tc>
        <w:tc>
          <w:tcPr>
            <w:tcW w:w="1455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小型企业</w:t>
            </w:r>
          </w:p>
        </w:tc>
        <w:tc>
          <w:tcPr>
            <w:tcW w:w="1255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营业收入Y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资产总额Z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营业收入Y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资产总额Z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营业收入Y（万元）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资产总额Z（万元）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1、农林牧渔业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500≤Y＜20000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50≤Y＜500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Y＜50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2、工业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2000≤Y＜40000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Y＜300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3、建筑业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6000≤Y＜80000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5000≤Z＜80000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300≤Y＜6000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300≤Z＜5000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Y＜300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4、批发业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20≤X＜200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5000≤Y＜40000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5≤X＜20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1000≤Y＜5000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X＜5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5、零售业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500≤Y＜20000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10≤X＜50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100≤Y＜500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6、交通运输业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200≤Y＜3000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V＜200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7、仓储业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100≤X＜200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8、邮政业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9、住宿业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10、餐饮业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V＜100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11、信息传输业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100≤X＜2000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1000≤Y＜100000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12、软件和信息技术服务业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Y＜50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13、房地产开发经营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1000≤Y＜200000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5000≤Z＜10000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2000≤Z＜5000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14、物业管理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1000≤Y＜5000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Y＜500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15、租赁和商务服务业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8000≤Z＜120000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100≤Z＜8000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16、其他未列明行业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618" w:hRule="atLeast"/>
        </w:trPr>
        <w:tc>
          <w:tcPr>
            <w:tcW w:w="4952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说明　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本规定的中型企业标准上限即为大型企业标准的下限。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94DA2"/>
    <w:rsid w:val="11A9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next w:val="4"/>
    <w:unhideWhenUsed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line="200" w:lineRule="atLeast"/>
      <w:ind w:firstLine="301"/>
    </w:pPr>
    <w:rPr>
      <w:rFonts w:ascii="宋体" w:hAnsi="Courier New" w:cs="Times New Roman"/>
      <w:spacing w:val="-4"/>
      <w:sz w:val="18"/>
      <w:szCs w:val="20"/>
    </w:r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paragraph" w:styleId="8">
    <w:name w:val="List"/>
    <w:basedOn w:val="1"/>
    <w:qFormat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2021-04-29T12:01:00Z</dcterms:created>
  <dc:creator>TZ</dc:creator>
  <cp:lastModifiedBy>TZ</cp:lastModifiedBy>
  <dcterms:modified xsi:type="dcterms:W3CDTF">2021-04-29T12:06:00Z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0F7323FEF5574E40B85F472E6DEA90F7</vt:lpwstr>
  </property>
</Properties>
</file>