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color w:val="auto"/>
          <w:highlight w:val="none"/>
          <w:lang w:val="en-US" w:eastAsia="zh-CN"/>
        </w:rPr>
      </w:pPr>
      <w:bookmarkStart w:id="0" w:name="_Toc21450"/>
      <w:bookmarkStart w:id="1" w:name="_Toc4822"/>
      <w:bookmarkStart w:id="2" w:name="_Toc6282"/>
      <w:r>
        <w:rPr>
          <w:rFonts w:hint="eastAsia"/>
          <w:color w:val="auto"/>
          <w:highlight w:val="none"/>
        </w:rPr>
        <w:t>一、</w:t>
      </w:r>
      <w:r>
        <w:rPr>
          <w:rFonts w:hint="eastAsia"/>
          <w:color w:val="auto"/>
          <w:highlight w:val="none"/>
          <w:lang w:val="en-US" w:eastAsia="zh-CN"/>
        </w:rPr>
        <w:t>项目简介</w:t>
      </w:r>
      <w:bookmarkEnd w:id="0"/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要求</w:t>
      </w:r>
      <w:r>
        <w:rPr>
          <w:rFonts w:hint="default"/>
          <w:color w:val="auto"/>
          <w:highlight w:val="none"/>
          <w:lang w:val="en-US" w:eastAsia="zh-CN"/>
        </w:rPr>
        <w:t>全方位准确的跟进行业的变化和需求，全面模拟跨境电商平台速卖通产品运营中的各个流程，并且通过多人协作和激励考核，能够激发学生的学习兴趣，提高学生实战能力。同时，也能更好地开展校企合作、产教融合、双师型队伍建设，为学生实训、教师科研提供一定的帮助。</w:t>
      </w:r>
    </w:p>
    <w:p>
      <w:pPr>
        <w:pStyle w:val="3"/>
        <w:rPr>
          <w:rFonts w:hint="default" w:eastAsia="宋体"/>
          <w:color w:val="auto"/>
          <w:highlight w:val="none"/>
          <w:lang w:val="en-US" w:eastAsia="zh-CN"/>
        </w:rPr>
      </w:pPr>
      <w:bookmarkStart w:id="3" w:name="_Toc27791"/>
      <w:r>
        <w:rPr>
          <w:rFonts w:hint="eastAsia"/>
          <w:color w:val="auto"/>
          <w:highlight w:val="none"/>
          <w:lang w:val="en-US" w:eastAsia="zh-CN"/>
        </w:rPr>
        <w:t>二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主要技术指标</w:t>
      </w:r>
      <w:bookmarkEnd w:id="3"/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/>
          <w:color w:val="auto"/>
          <w:sz w:val="24"/>
          <w:szCs w:val="24"/>
          <w:highlight w:val="none"/>
        </w:rPr>
        <w:t>总体要求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▲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1、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软件</w:t>
      </w:r>
      <w:r>
        <w:rPr>
          <w:rFonts w:hint="eastAsia" w:ascii="宋体"/>
          <w:color w:val="auto"/>
          <w:sz w:val="24"/>
          <w:szCs w:val="24"/>
          <w:highlight w:val="none"/>
        </w:rPr>
        <w:t>必须是将跨境电商领域的知识课件和任务集中于系统中，实现跨境电商行业的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教学</w:t>
      </w:r>
      <w:r>
        <w:rPr>
          <w:rFonts w:hint="eastAsia" w:ascii="宋体"/>
          <w:color w:val="auto"/>
          <w:sz w:val="24"/>
          <w:szCs w:val="24"/>
          <w:highlight w:val="none"/>
        </w:rPr>
        <w:t>培训，根据不同岗位设计任务，每个岗位完成相关的任务。能让学生完成整个跨境电商的流程，产生订单、退单、发货、结算，并进行多组对抗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以利益排名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/>
          <w:color w:val="auto"/>
          <w:sz w:val="24"/>
          <w:szCs w:val="24"/>
          <w:highlight w:val="none"/>
        </w:rPr>
        <w:t>具备管理员端、教师端、学生端、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速卖通</w:t>
      </w:r>
      <w:r>
        <w:rPr>
          <w:rFonts w:hint="eastAsia" w:ascii="宋体"/>
          <w:color w:val="auto"/>
          <w:sz w:val="24"/>
          <w:szCs w:val="24"/>
          <w:highlight w:val="none"/>
        </w:rPr>
        <w:t>平台模拟实操端。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软件实训平台端必须基于速卖通平台为蓝本研发，并支持中文、英文互译功能，满足不同语言水平学生完成实训；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/>
          <w:color w:val="auto"/>
          <w:sz w:val="24"/>
          <w:szCs w:val="24"/>
          <w:highlight w:val="none"/>
        </w:rPr>
        <w:t>软件平台必须以“易教、易学、易评价、易设计”为产品特点，实现理实一体、产教融合。同时，在跨境电商人才共育服务、师资培训、联合课程开发、教学课程开发、教学资源建设等方面打造出结构柔性、高效实用的服务方案，帮助院校构建跨境电子商务行业“实践教学、人才服务、创业孵化、课程、项目、竞赛”全方位的人才培养体系，实现企业与院校的无缝对接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3、软件平台</w:t>
      </w:r>
      <w:r>
        <w:rPr>
          <w:rFonts w:hint="eastAsia" w:ascii="宋体"/>
          <w:color w:val="auto"/>
          <w:sz w:val="24"/>
          <w:szCs w:val="24"/>
          <w:highlight w:val="none"/>
        </w:rPr>
        <w:t>须采用B/S结构，在硬件能满足的条件下对客户端无限制；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/>
          <w:color w:val="auto"/>
          <w:sz w:val="24"/>
          <w:szCs w:val="24"/>
          <w:highlight w:val="none"/>
        </w:rPr>
        <w:t>主要功能和技术参数</w:t>
      </w:r>
    </w:p>
    <w:p>
      <w:pPr>
        <w:spacing w:line="360" w:lineRule="auto"/>
        <w:ind w:firstLine="480" w:firstLineChars="200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教师端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1.教师端至少拥有1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一级功能，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二级功能。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/>
          <w:color w:val="auto"/>
          <w:sz w:val="24"/>
          <w:szCs w:val="24"/>
          <w:highlight w:val="none"/>
        </w:rPr>
        <w:t>.教师对本周期学员进行分组并指定组长。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/>
          <w:color w:val="auto"/>
          <w:sz w:val="24"/>
          <w:szCs w:val="24"/>
          <w:highlight w:val="none"/>
        </w:rPr>
        <w:t>.教师负责任务的推送，将任务推送到每组。系统会自动提醒老师应该推送的下一个任务的名称，任务至少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150</w:t>
      </w:r>
      <w:r>
        <w:rPr>
          <w:rFonts w:hint="eastAsia" w:ascii="宋体"/>
          <w:color w:val="auto"/>
          <w:sz w:val="24"/>
          <w:szCs w:val="24"/>
          <w:highlight w:val="none"/>
        </w:rPr>
        <w:t>项以上。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/>
          <w:color w:val="auto"/>
          <w:sz w:val="24"/>
          <w:szCs w:val="24"/>
          <w:highlight w:val="none"/>
        </w:rPr>
        <w:t>.教师查看每个队的任务情况、销售额情况及相关的数据排行。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/>
          <w:color w:val="auto"/>
          <w:sz w:val="24"/>
          <w:szCs w:val="24"/>
          <w:highlight w:val="none"/>
        </w:rPr>
        <w:t>.查看店铺分析的数据展板、分析图形的展板。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/>
          <w:color w:val="auto"/>
          <w:sz w:val="24"/>
          <w:szCs w:val="24"/>
          <w:highlight w:val="none"/>
        </w:rPr>
        <w:t>.查看财务分析的数据展板、财务数据分析图形的展板。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/>
          <w:color w:val="auto"/>
          <w:sz w:val="24"/>
          <w:szCs w:val="24"/>
          <w:highlight w:val="none"/>
        </w:rPr>
        <w:t>.处理实操平台的店铺初始化</w:t>
      </w:r>
    </w:p>
    <w:p>
      <w:pPr>
        <w:spacing w:line="360" w:lineRule="auto"/>
        <w:ind w:firstLine="480" w:firstLineChars="200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学生端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1、学生端至少拥有1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1级功能，2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2级功能。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</w:rPr>
        <w:t>2、学生端首页展板，任务情况、周期情况、课程情况、本周期销售额情况、利润情况及数据统计分析图。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3、我的实训，查看本周期实训周期的内容，包括授课老师，时长，周期简介。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/>
          <w:color w:val="auto"/>
          <w:sz w:val="24"/>
          <w:szCs w:val="24"/>
          <w:highlight w:val="none"/>
        </w:rPr>
        <w:t>、我的任务，老师端推送任务后，实时展现在我的任务里，并可以查看任务详情。在完成任务时，根据任务要求，提交审核或回复内容。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/>
          <w:color w:val="auto"/>
          <w:sz w:val="24"/>
          <w:szCs w:val="24"/>
          <w:highlight w:val="none"/>
        </w:rPr>
        <w:t>、无法在任务规定的时间完成时，系统自动进行罚款。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/>
          <w:color w:val="auto"/>
          <w:sz w:val="24"/>
          <w:szCs w:val="24"/>
          <w:highlight w:val="none"/>
        </w:rPr>
        <w:t>、数据中心，查看店铺分析、财务分析、任务分析，通过统计报表图的方式展示。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/>
          <w:color w:val="auto"/>
          <w:sz w:val="24"/>
          <w:szCs w:val="24"/>
          <w:highlight w:val="none"/>
        </w:rPr>
        <w:t>、团队排行，查看本组在本周期的数据排名情况。</w:t>
      </w:r>
    </w:p>
    <w:p>
      <w:pPr>
        <w:spacing w:line="360" w:lineRule="auto"/>
        <w:ind w:firstLine="480" w:firstLineChars="200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管理员端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1.管理员端至少拥有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1级功能，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2级功能。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开通实训周期，进行周期内的课程安排，并指定实训周期的老师及学员。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/>
          <w:color w:val="auto"/>
          <w:sz w:val="24"/>
          <w:szCs w:val="24"/>
          <w:highlight w:val="none"/>
        </w:rPr>
        <w:t>.任务管理，可以对任务进行管理，修改、查找、排序。设置任务的时长，指定任务归属岗位。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/>
          <w:color w:val="auto"/>
          <w:sz w:val="24"/>
          <w:szCs w:val="24"/>
          <w:highlight w:val="none"/>
        </w:rPr>
        <w:t>.设置任务并发推送机制，任务有关联任务时，推送主任务，子任务自动推送。</w:t>
      </w:r>
    </w:p>
    <w:p>
      <w:pPr>
        <w:spacing w:line="360" w:lineRule="auto"/>
        <w:ind w:firstLine="480" w:firstLineChars="200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实操平台端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</w:rPr>
        <w:t>1.实操平台端至少拥有1级功能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，2级功能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/>
          <w:color w:val="auto"/>
          <w:sz w:val="24"/>
          <w:szCs w:val="24"/>
          <w:highlight w:val="none"/>
        </w:rPr>
        <w:t>个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2.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产品管理</w:t>
      </w:r>
      <w:r>
        <w:rPr>
          <w:rFonts w:hint="eastAsia" w:ascii="宋体"/>
          <w:color w:val="auto"/>
          <w:sz w:val="24"/>
          <w:szCs w:val="24"/>
          <w:highlight w:val="none"/>
        </w:rPr>
        <w:t>，包括所有采购的产品，上架的产品，包括图片，价格，状态，库存数量。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/>
          <w:color w:val="auto"/>
          <w:sz w:val="24"/>
          <w:szCs w:val="24"/>
          <w:highlight w:val="none"/>
        </w:rPr>
        <w:t>.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产品采购</w:t>
      </w:r>
      <w:r>
        <w:rPr>
          <w:rFonts w:hint="eastAsia" w:ascii="宋体"/>
          <w:color w:val="auto"/>
          <w:sz w:val="24"/>
          <w:szCs w:val="24"/>
          <w:highlight w:val="none"/>
        </w:rPr>
        <w:t>，根据指定的产品进行采购，才能完成产品上架的操作流程。根据采购量的不同，进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货</w:t>
      </w:r>
      <w:r>
        <w:rPr>
          <w:rFonts w:hint="eastAsia" w:ascii="宋体"/>
          <w:color w:val="auto"/>
          <w:sz w:val="24"/>
          <w:szCs w:val="24"/>
          <w:highlight w:val="none"/>
        </w:rPr>
        <w:t>产品的价格也不相同。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/>
          <w:color w:val="auto"/>
          <w:sz w:val="24"/>
          <w:szCs w:val="24"/>
          <w:highlight w:val="none"/>
        </w:rPr>
        <w:t>.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运费模板</w:t>
      </w:r>
      <w:r>
        <w:rPr>
          <w:rFonts w:hint="eastAsia" w:ascii="宋体"/>
          <w:color w:val="auto"/>
          <w:sz w:val="24"/>
          <w:szCs w:val="24"/>
          <w:highlight w:val="none"/>
        </w:rPr>
        <w:t>，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根据产品所销售的国家不同及使用物流渠道不用，设置相应的运费模板。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/>
          <w:color w:val="auto"/>
          <w:sz w:val="24"/>
          <w:szCs w:val="24"/>
          <w:highlight w:val="none"/>
        </w:rPr>
        <w:t>.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海外仓配送</w:t>
      </w:r>
      <w:r>
        <w:rPr>
          <w:rFonts w:hint="eastAsia" w:ascii="宋体"/>
          <w:color w:val="auto"/>
          <w:sz w:val="24"/>
          <w:szCs w:val="24"/>
          <w:highlight w:val="none"/>
        </w:rPr>
        <w:t>，</w:t>
      </w: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将一批产品提前采购，发送到海外仓库，后可以在产品运费模板里设置海外仓配送模板</w:t>
      </w:r>
      <w:r>
        <w:rPr>
          <w:rFonts w:hint="eastAsia" w:ascii="宋体"/>
          <w:color w:val="auto"/>
          <w:sz w:val="24"/>
          <w:szCs w:val="24"/>
          <w:highlight w:val="none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能够进行订单处理，如发货、回复客服消息等。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能够进行营销活动，如联盟营销、直通车等。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/>
          <w:color w:val="auto"/>
          <w:sz w:val="24"/>
          <w:szCs w:val="24"/>
          <w:highlight w:val="none"/>
        </w:rPr>
        <w:t>.实训操作平台，采用多商户多语言方式，满足跨境电商的需求。</w:t>
      </w:r>
    </w:p>
    <w:p>
      <w:pPr>
        <w:spacing w:line="360" w:lineRule="auto"/>
        <w:ind w:firstLine="480" w:firstLineChars="200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</w:rPr>
        <w:t>模拟系统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</w:rPr>
        <w:t>1、生成订单系统，系统按照成单规则，自动完成平台上所有商户的成单，订单的所有信息自动完成，包括订单号，下单时间，金额，数量，平佣金等。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</w:rPr>
        <w:t>2、退单系统，系统按照退单规则，自动模拟完成退单操作。</w:t>
      </w:r>
    </w:p>
    <w:p>
      <w:pPr>
        <w:spacing w:line="360" w:lineRule="auto"/>
        <w:jc w:val="left"/>
        <w:rPr>
          <w:rFonts w:hint="eastAsia" w:ascii="宋体"/>
          <w:color w:val="auto"/>
          <w:sz w:val="24"/>
          <w:szCs w:val="24"/>
          <w:highlight w:val="none"/>
        </w:rPr>
      </w:pPr>
      <w:r>
        <w:rPr>
          <w:rFonts w:hint="eastAsia" w:ascii="宋体"/>
          <w:color w:val="auto"/>
          <w:sz w:val="24"/>
          <w:szCs w:val="24"/>
          <w:highlight w:val="none"/>
          <w:lang w:eastAsia="zh-CN"/>
        </w:rPr>
        <w:t>▲</w:t>
      </w:r>
      <w:r>
        <w:rPr>
          <w:rFonts w:hint="eastAsia" w:ascii="宋体"/>
          <w:color w:val="auto"/>
          <w:sz w:val="24"/>
          <w:szCs w:val="24"/>
          <w:highlight w:val="none"/>
        </w:rPr>
        <w:t>3、模拟结算系统，按照跨境电商行业的特点，系统结算是以平台的结算时间为主，系统按照规则完成对所有商户的结算。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/>
          <w:color w:val="auto"/>
          <w:highlight w:val="none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rPr>
          <w:rFonts w:hint="eastAsia"/>
          <w:color w:val="auto"/>
          <w:highlight w:val="none"/>
          <w:lang w:val="en-US" w:eastAsia="zh-CN"/>
        </w:rPr>
      </w:pPr>
      <w:bookmarkStart w:id="4" w:name="_Toc28836"/>
      <w:r>
        <w:rPr>
          <w:rFonts w:hint="eastAsia"/>
          <w:color w:val="auto"/>
          <w:highlight w:val="none"/>
          <w:lang w:val="en-US" w:eastAsia="zh-CN"/>
        </w:rPr>
        <w:t>三、演示要求：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szCs w:val="40"/>
          <w:highlight w:val="none"/>
        </w:rPr>
        <w:t>带▲的指标，投标现场须进行软件功能的逐条演示</w:t>
      </w:r>
      <w:r>
        <w:rPr>
          <w:rFonts w:hint="eastAsia"/>
          <w:color w:val="auto"/>
          <w:szCs w:val="40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pacing w:val="-6"/>
          <w:highlight w:val="none"/>
        </w:rPr>
        <w:t>演示时间：不超过10分钟。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pacing w:val="-6"/>
          <w:highlight w:val="none"/>
        </w:rPr>
        <w:t>供应商需自备笔记本电脑、移动设备，网络、搭建演示所需环境。要求演示内容过程后，供应商技术人员须对专家提出的问题进行回答。</w:t>
      </w:r>
    </w:p>
    <w:p>
      <w:pPr>
        <w:ind w:firstLine="480"/>
        <w:rPr>
          <w:rFonts w:hint="default" w:ascii="宋体" w:hAnsi="宋体" w:eastAsia="宋体"/>
          <w:color w:val="auto"/>
          <w:highlight w:val="none"/>
          <w:lang w:val="en-US" w:eastAsia="zh-CN"/>
        </w:rPr>
      </w:pPr>
    </w:p>
    <w:p>
      <w:pPr>
        <w:pStyle w:val="3"/>
        <w:rPr>
          <w:color w:val="auto"/>
          <w:highlight w:val="none"/>
        </w:rPr>
      </w:pPr>
      <w:bookmarkStart w:id="5" w:name="_Toc26411"/>
      <w:r>
        <w:rPr>
          <w:rFonts w:hint="eastAsia"/>
          <w:color w:val="auto"/>
          <w:highlight w:val="none"/>
          <w:lang w:val="en-US" w:eastAsia="zh-CN"/>
        </w:rPr>
        <w:t>四、</w:t>
      </w:r>
      <w:r>
        <w:rPr>
          <w:rFonts w:hint="eastAsia"/>
          <w:color w:val="auto"/>
          <w:highlight w:val="none"/>
        </w:rPr>
        <w:t>商务条款</w:t>
      </w:r>
      <w:bookmarkEnd w:id="5"/>
    </w:p>
    <w:p>
      <w:pPr>
        <w:pStyle w:val="4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★</w:t>
      </w:r>
      <w:r>
        <w:rPr>
          <w:rFonts w:hint="eastAsia"/>
          <w:color w:val="auto"/>
          <w:highlight w:val="none"/>
        </w:rPr>
        <w:t>一、交货时间及地点</w:t>
      </w:r>
    </w:p>
    <w:p>
      <w:pPr>
        <w:pStyle w:val="7"/>
        <w:numPr>
          <w:ilvl w:val="1"/>
          <w:numId w:val="3"/>
        </w:numPr>
        <w:spacing w:line="408" w:lineRule="auto"/>
        <w:ind w:left="420" w:firstLine="0" w:firstLineChars="0"/>
        <w:jc w:val="left"/>
        <w:rPr>
          <w:rFonts w:ascii="宋体" w:hAnsi="宋体"/>
          <w:color w:val="auto"/>
          <w:szCs w:val="24"/>
          <w:highlight w:val="none"/>
        </w:rPr>
      </w:pPr>
      <w:bookmarkStart w:id="6" w:name="_Toc14375"/>
      <w:bookmarkStart w:id="7" w:name="_Toc3643"/>
      <w:r>
        <w:rPr>
          <w:rFonts w:hint="eastAsia" w:ascii="宋体" w:hAnsi="宋体"/>
          <w:color w:val="auto"/>
          <w:szCs w:val="24"/>
          <w:highlight w:val="none"/>
        </w:rPr>
        <w:t>交货时间：合同签定</w:t>
      </w:r>
      <w:r>
        <w:rPr>
          <w:rFonts w:hint="eastAsia" w:ascii="宋体" w:hAnsi="宋体"/>
          <w:color w:val="auto"/>
          <w:szCs w:val="24"/>
          <w:highlight w:val="none"/>
          <w:lang w:eastAsia="zh-CN"/>
        </w:rPr>
        <w:t>后，</w:t>
      </w:r>
      <w:r>
        <w:rPr>
          <w:rFonts w:hint="eastAsia" w:ascii="宋体" w:hAnsi="宋体"/>
          <w:color w:val="auto"/>
          <w:szCs w:val="24"/>
          <w:highlight w:val="none"/>
          <w:lang w:val="en-US" w:eastAsia="zh-CN"/>
        </w:rPr>
        <w:t>2020年9月10日前交付完成供货、安装、调试、验收</w:t>
      </w:r>
      <w:r>
        <w:rPr>
          <w:rFonts w:hint="eastAsia" w:ascii="宋体" w:hAnsi="宋体"/>
          <w:color w:val="auto"/>
          <w:szCs w:val="24"/>
          <w:highlight w:val="none"/>
        </w:rPr>
        <w:t>。晚于指定时间交货或交货不满足招标文件功能要求的，</w:t>
      </w:r>
      <w:r>
        <w:rPr>
          <w:rFonts w:hint="eastAsia" w:ascii="宋体" w:hAnsi="宋体"/>
          <w:color w:val="auto"/>
          <w:szCs w:val="24"/>
          <w:highlight w:val="none"/>
          <w:lang w:val="en-US" w:eastAsia="zh-CN"/>
        </w:rPr>
        <w:t>中标人每天</w:t>
      </w:r>
      <w:r>
        <w:rPr>
          <w:rFonts w:hint="eastAsia" w:ascii="宋体" w:hAnsi="宋体"/>
          <w:color w:val="auto"/>
          <w:szCs w:val="24"/>
          <w:highlight w:val="none"/>
        </w:rPr>
        <w:t>按合同金额的1%缴纳违约金。延期或交货不合格整改超过7天，采购人有权单方面取消合同。</w:t>
      </w:r>
    </w:p>
    <w:p>
      <w:pPr>
        <w:pStyle w:val="7"/>
        <w:numPr>
          <w:ilvl w:val="1"/>
          <w:numId w:val="3"/>
        </w:numPr>
        <w:spacing w:line="408" w:lineRule="auto"/>
        <w:ind w:left="420" w:firstLine="0" w:firstLineChars="0"/>
        <w:jc w:val="left"/>
        <w:rPr>
          <w:rFonts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地点：中国计量大学现代科技学院，甲方指定地点</w:t>
      </w:r>
      <w:r>
        <w:rPr>
          <w:rFonts w:hint="eastAsia" w:ascii="宋体" w:hAnsi="宋体"/>
          <w:color w:val="auto"/>
          <w:szCs w:val="24"/>
          <w:highlight w:val="none"/>
          <w:lang w:eastAsia="zh-CN"/>
        </w:rPr>
        <w:t>。</w:t>
      </w:r>
    </w:p>
    <w:p>
      <w:pPr>
        <w:pStyle w:val="7"/>
        <w:numPr>
          <w:ilvl w:val="1"/>
          <w:numId w:val="3"/>
        </w:numPr>
        <w:spacing w:line="408" w:lineRule="auto"/>
        <w:ind w:left="420" w:firstLine="0" w:firstLineChars="0"/>
        <w:jc w:val="left"/>
        <w:rPr>
          <w:rFonts w:hint="eastAsia"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质保期：</w:t>
      </w:r>
      <w:r>
        <w:rPr>
          <w:rFonts w:hint="eastAsia" w:ascii="宋体" w:hAnsi="宋体"/>
          <w:color w:val="auto"/>
          <w:szCs w:val="24"/>
          <w:highlight w:val="none"/>
          <w:lang w:val="en-US" w:eastAsia="zh-CN"/>
        </w:rPr>
        <w:t>软件提供三年免费质保</w:t>
      </w:r>
      <w:r>
        <w:rPr>
          <w:rFonts w:hint="eastAsia" w:ascii="宋体" w:hAnsi="宋体"/>
          <w:color w:val="auto"/>
          <w:szCs w:val="24"/>
          <w:highlight w:val="none"/>
        </w:rPr>
        <w:t>。</w:t>
      </w:r>
    </w:p>
    <w:p>
      <w:pPr>
        <w:pStyle w:val="4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二、验收标准</w:t>
      </w:r>
      <w:bookmarkEnd w:id="6"/>
      <w:bookmarkEnd w:id="7"/>
    </w:p>
    <w:p>
      <w:pPr>
        <w:ind w:firstLine="720" w:firstLineChars="3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.中标供应商应提供合同货物的有效检验文件，经采购人认可后，与合同的性能指标一起作为合同货物验收标准。采购人对合同货物验收合格后，双方共同签署验收合格证书，验收中发现合同货物达不到验收标准或合同规定的性能指标，中标供应商必须更换合同货物，并负担由此给采购人造成的损失，直到验收合格为止。</w:t>
      </w:r>
    </w:p>
    <w:p>
      <w:pPr>
        <w:ind w:firstLine="720" w:firstLineChars="3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2.投标人应于投标文件中提供合同货物的验收标准和检测办法，并在验收中提供采购人认可的相应检测手段，验收标准应符合中国有关的国家、地方、行业的标准，如若成交，经采购人确认后作为验收的依据。</w:t>
      </w:r>
    </w:p>
    <w:p>
      <w:pPr>
        <w:ind w:firstLine="720" w:firstLineChars="3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3.如中标供应商委托国内代理（或其他机构）负责安装或配合安装，应在签约时指明，但中标供应商仍要对合同货物及其安装质量负全部责任。</w:t>
      </w:r>
    </w:p>
    <w:p>
      <w:pPr>
        <w:ind w:firstLine="720" w:firstLineChars="3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4.验收费用由中标供应商承担。</w:t>
      </w:r>
    </w:p>
    <w:p>
      <w:pPr>
        <w:pStyle w:val="4"/>
        <w:rPr>
          <w:color w:val="auto"/>
          <w:highlight w:val="none"/>
        </w:rPr>
      </w:pPr>
      <w:bookmarkStart w:id="8" w:name="_Toc32145"/>
      <w:bookmarkStart w:id="9" w:name="_Toc30601"/>
      <w:r>
        <w:rPr>
          <w:rFonts w:hint="eastAsia"/>
          <w:color w:val="auto"/>
          <w:highlight w:val="none"/>
        </w:rPr>
        <w:t>三、售后服务</w:t>
      </w:r>
      <w:bookmarkEnd w:id="8"/>
      <w:bookmarkEnd w:id="9"/>
      <w:r>
        <w:rPr>
          <w:rFonts w:hint="eastAsia"/>
          <w:color w:val="auto"/>
          <w:highlight w:val="none"/>
        </w:rPr>
        <w:t>保障要求</w:t>
      </w:r>
    </w:p>
    <w:p>
      <w:pPr>
        <w:pStyle w:val="7"/>
        <w:numPr>
          <w:ilvl w:val="1"/>
          <w:numId w:val="4"/>
        </w:numPr>
        <w:spacing w:line="408" w:lineRule="auto"/>
        <w:ind w:firstLineChars="0"/>
        <w:jc w:val="left"/>
        <w:rPr>
          <w:rFonts w:hint="eastAsia"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中标人无条件提供免费的软件安装、调试工作，必须对教师进行不少于2次（至少1天）的现场培训工作，以保证教师熟练使用。</w:t>
      </w:r>
    </w:p>
    <w:p>
      <w:pPr>
        <w:pStyle w:val="7"/>
        <w:numPr>
          <w:ilvl w:val="1"/>
          <w:numId w:val="4"/>
        </w:numPr>
        <w:spacing w:line="408" w:lineRule="auto"/>
        <w:ind w:firstLineChars="0"/>
        <w:jc w:val="left"/>
        <w:rPr>
          <w:rFonts w:hint="eastAsia"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为促进学校跨境电商双师型教师队伍建设，厂商须具有承办师资入企顶岗实践的经验，并在质保期内，每年提供2-3人次的师资入企顶岗实践服务；并提供18-19年两年举办的师资入企顶岗实践通知文件等相关证明。</w:t>
      </w:r>
    </w:p>
    <w:p>
      <w:pPr>
        <w:pStyle w:val="7"/>
        <w:numPr>
          <w:ilvl w:val="1"/>
          <w:numId w:val="4"/>
        </w:numPr>
        <w:spacing w:line="408" w:lineRule="auto"/>
        <w:ind w:firstLineChars="0"/>
        <w:jc w:val="left"/>
        <w:rPr>
          <w:rFonts w:hint="eastAsia"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为促进学校更好的开展跨境电商实践教学，厂商须具有企业师资入校授课的经验，在质保期内，每年提供1周师资入校授课服务；并提供相关证明。</w:t>
      </w:r>
    </w:p>
    <w:p>
      <w:pPr>
        <w:pStyle w:val="7"/>
        <w:numPr>
          <w:ilvl w:val="1"/>
          <w:numId w:val="4"/>
        </w:numPr>
        <w:spacing w:line="408" w:lineRule="auto"/>
        <w:ind w:firstLineChars="0"/>
        <w:jc w:val="left"/>
        <w:rPr>
          <w:rFonts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中标人在合同签订前，须提供加盖原厂商公章售后服务证明材料。</w:t>
      </w:r>
    </w:p>
    <w:p>
      <w:pPr>
        <w:pStyle w:val="4"/>
        <w:rPr>
          <w:color w:val="auto"/>
          <w:highlight w:val="none"/>
        </w:rPr>
      </w:pPr>
      <w:bookmarkStart w:id="10" w:name="_Toc11083"/>
      <w:bookmarkStart w:id="11" w:name="_Toc27073"/>
      <w:r>
        <w:rPr>
          <w:rFonts w:hint="eastAsia" w:ascii="宋体" w:hAnsi="宋体" w:cs="宋体"/>
          <w:color w:val="auto"/>
          <w:kern w:val="0"/>
          <w:highlight w:val="none"/>
        </w:rPr>
        <w:t>★</w:t>
      </w:r>
      <w:r>
        <w:rPr>
          <w:rFonts w:hint="eastAsia"/>
          <w:color w:val="auto"/>
          <w:highlight w:val="none"/>
        </w:rPr>
        <w:t>四、</w:t>
      </w:r>
      <w:r>
        <w:rPr>
          <w:rFonts w:hint="eastAsia"/>
          <w:color w:val="auto"/>
          <w:highlight w:val="none"/>
          <w:lang w:val="en-US" w:eastAsia="zh-CN"/>
        </w:rPr>
        <w:t>履约保证金及</w:t>
      </w:r>
      <w:r>
        <w:rPr>
          <w:rFonts w:hint="eastAsia"/>
          <w:color w:val="auto"/>
          <w:highlight w:val="none"/>
        </w:rPr>
        <w:t>付款方式</w:t>
      </w:r>
      <w:bookmarkEnd w:id="10"/>
      <w:bookmarkEnd w:id="11"/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bookmarkStart w:id="12" w:name="_Toc12425"/>
      <w:r>
        <w:rPr>
          <w:rFonts w:hint="eastAsia" w:ascii="宋体" w:hAnsi="宋体" w:cs="宋体"/>
          <w:color w:val="auto"/>
          <w:szCs w:val="32"/>
          <w:highlight w:val="none"/>
        </w:rPr>
        <w:t>中标单位须于合同签订后7个工作日内向采购人支付合同总价5% 的履约保证金，履约保证金在交货验收后自动转为质量保证金。质量保证金自货物交付验收合格后12个月内无质量问题索赔和售后服务问题，无息退回，质量保证金应以银行转账或电汇形式。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履约保证金的交付方式：支票、汇票、保函等非现金方式。</w:t>
      </w:r>
    </w:p>
    <w:p>
      <w:pPr>
        <w:ind w:firstLine="480"/>
        <w:rPr>
          <w:rFonts w:hint="eastAsia" w:ascii="宋体" w:hAnsi="宋体" w:cs="宋体"/>
          <w:color w:val="auto"/>
          <w:szCs w:val="32"/>
          <w:highlight w:val="none"/>
        </w:rPr>
      </w:pPr>
      <w:r>
        <w:rPr>
          <w:rFonts w:hint="eastAsia" w:ascii="宋体" w:hAnsi="宋体" w:cs="宋体"/>
          <w:color w:val="auto"/>
          <w:szCs w:val="32"/>
          <w:highlight w:val="none"/>
        </w:rPr>
        <w:t>货到安装、调试验收合格后15个工作日内，由中标人提供中标人开具的全额增值税专用发票后，采购人向中标人支付合同总价100%的货款。</w:t>
      </w:r>
    </w:p>
    <w:p>
      <w:pPr>
        <w:pStyle w:val="4"/>
        <w:rPr>
          <w:color w:val="auto"/>
          <w:highlight w:val="none"/>
        </w:rPr>
      </w:pPr>
      <w:bookmarkStart w:id="13" w:name="_Toc4662"/>
      <w:bookmarkStart w:id="14" w:name="_Toc30890"/>
      <w:r>
        <w:rPr>
          <w:rFonts w:hint="eastAsia"/>
          <w:color w:val="auto"/>
          <w:highlight w:val="none"/>
        </w:rPr>
        <w:t>五、安装调试</w:t>
      </w:r>
      <w:bookmarkEnd w:id="13"/>
      <w:bookmarkEnd w:id="14"/>
    </w:p>
    <w:p>
      <w:pPr>
        <w:ind w:firstLine="72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安装地点：采购人指定地点。</w:t>
      </w:r>
    </w:p>
    <w:p>
      <w:pPr>
        <w:ind w:firstLine="72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安装完成时间：在规定的时间内由于中标人的原因不能完成安装和调试，中标人应承担由此给采购人造成的损失。</w:t>
      </w:r>
    </w:p>
    <w:p>
      <w:pPr>
        <w:ind w:firstLine="72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安装标准：符合我国国家有关技术规范要求和技术标准，所有的软件和硬件必须保证同时安装到位。</w:t>
      </w:r>
    </w:p>
    <w:p>
      <w:pPr>
        <w:ind w:firstLine="72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中标人应免费提供合同货物的安装服务。</w:t>
      </w:r>
    </w:p>
    <w:p>
      <w:pPr>
        <w:ind w:firstLine="720" w:firstLineChars="3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中标人在投标文件中应提供安装调试计划、对安装场地和环境的要求。</w:t>
      </w:r>
    </w:p>
    <w:p>
      <w:pPr>
        <w:pStyle w:val="4"/>
        <w:numPr>
          <w:ilvl w:val="0"/>
          <w:numId w:val="5"/>
        </w:num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合同履行主体</w:t>
      </w:r>
    </w:p>
    <w:p>
      <w:pPr>
        <w:numPr>
          <w:ilvl w:val="0"/>
          <w:numId w:val="0"/>
        </w:numPr>
        <w:ind w:firstLine="720" w:firstLineChars="300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必须由投标主体履行合同。</w:t>
      </w:r>
    </w:p>
    <w:bookmarkEnd w:id="1"/>
    <w:bookmarkEnd w:id="2"/>
    <w:bookmarkEnd w:id="12"/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99A1FB"/>
    <w:multiLevelType w:val="singleLevel"/>
    <w:tmpl w:val="C999A1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3B9ED7"/>
    <w:multiLevelType w:val="singleLevel"/>
    <w:tmpl w:val="073B9ED7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24E4796E"/>
    <w:multiLevelType w:val="multilevel"/>
    <w:tmpl w:val="24E4796E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仿宋" w:hAnsi="仿宋" w:eastAsia="仿宋"/>
        <w:b w:val="0"/>
        <w:sz w:val="24"/>
        <w:szCs w:val="24"/>
      </w:rPr>
    </w:lvl>
    <w:lvl w:ilvl="1" w:tentative="0">
      <w:start w:val="1"/>
      <w:numFmt w:val="decimal"/>
      <w:suff w:val="space"/>
      <w:lvlText w:val="%2)"/>
      <w:lvlJc w:val="left"/>
      <w:pPr>
        <w:ind w:left="630" w:hanging="204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4A7CBC"/>
    <w:multiLevelType w:val="singleLevel"/>
    <w:tmpl w:val="6A4A7CB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2F40C8"/>
    <w:multiLevelType w:val="multilevel"/>
    <w:tmpl w:val="6F2F40C8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仿宋" w:hAnsi="仿宋" w:eastAsia="仿宋"/>
        <w:b w:val="0"/>
        <w:sz w:val="24"/>
        <w:szCs w:val="24"/>
      </w:rPr>
    </w:lvl>
    <w:lvl w:ilvl="1" w:tentative="0">
      <w:start w:val="1"/>
      <w:numFmt w:val="decimal"/>
      <w:suff w:val="space"/>
      <w:lvlText w:val="%2)"/>
      <w:lvlJc w:val="left"/>
      <w:pPr>
        <w:ind w:left="630" w:hanging="204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96BCB"/>
    <w:rsid w:val="0EE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hAnsi="Times New Roman" w:eastAsia="仿宋_GB2312"/>
      <w:kern w:val="0"/>
      <w:sz w:val="28"/>
      <w:szCs w:val="20"/>
    </w:rPr>
  </w:style>
  <w:style w:type="paragraph" w:styleId="7">
    <w:name w:val="List Paragraph"/>
    <w:basedOn w:val="1"/>
    <w:qFormat/>
    <w:uiPriority w:val="34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2020-07-06T07:00:00Z</dcterms:created>
  <dc:creator>dell</dc:creator>
  <cp:lastModifiedBy>dell</cp:lastModifiedBy>
  <dcterms:modified xsi:type="dcterms:W3CDTF">2020-07-06T07:00:52Z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