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706" w:leftChars="-196"/>
        <w:jc w:val="left"/>
        <w:rPr>
          <w:rFonts w:ascii="宋体" w:hAnsi="宋体" w:cs="宋体"/>
          <w:color w:val="auto"/>
          <w:sz w:val="24"/>
          <w:highlight w:val="none"/>
        </w:rPr>
      </w:pPr>
    </w:p>
    <w:p>
      <w:pPr>
        <w:pStyle w:val="21"/>
        <w:jc w:val="center"/>
        <w:rPr>
          <w:rFonts w:hint="default" w:hAnsi="宋体" w:cs="宋体"/>
          <w:b/>
          <w:color w:val="auto"/>
          <w:sz w:val="72"/>
          <w:szCs w:val="96"/>
          <w:highlight w:val="none"/>
        </w:rPr>
      </w:pPr>
    </w:p>
    <w:p>
      <w:pPr>
        <w:spacing w:line="360" w:lineRule="auto"/>
        <w:jc w:val="center"/>
        <w:rPr>
          <w:rFonts w:ascii="宋体" w:hAnsi="宋体" w:cs="宋体"/>
          <w:b/>
          <w:color w:val="auto"/>
          <w:sz w:val="64"/>
          <w:szCs w:val="72"/>
          <w:highlight w:val="none"/>
        </w:rPr>
      </w:pPr>
      <w:r>
        <w:rPr>
          <w:rFonts w:hint="eastAsia" w:ascii="宋体" w:hAnsi="宋体" w:cs="宋体"/>
          <w:b/>
          <w:color w:val="auto"/>
          <w:sz w:val="64"/>
          <w:szCs w:val="72"/>
          <w:highlight w:val="none"/>
        </w:rPr>
        <w:t>中共杭州市委党校2020年度</w:t>
      </w:r>
    </w:p>
    <w:p>
      <w:pPr>
        <w:spacing w:line="360" w:lineRule="auto"/>
        <w:jc w:val="center"/>
        <w:rPr>
          <w:rFonts w:ascii="宋体" w:hAnsi="宋体" w:cs="宋体"/>
          <w:b/>
          <w:color w:val="auto"/>
          <w:sz w:val="64"/>
          <w:szCs w:val="72"/>
          <w:highlight w:val="none"/>
        </w:rPr>
      </w:pPr>
      <w:r>
        <w:rPr>
          <w:rFonts w:hint="eastAsia" w:ascii="宋体" w:hAnsi="宋体" w:cs="宋体"/>
          <w:b/>
          <w:color w:val="auto"/>
          <w:sz w:val="64"/>
          <w:szCs w:val="72"/>
          <w:highlight w:val="none"/>
        </w:rPr>
        <w:t>职工疗养项目</w:t>
      </w:r>
    </w:p>
    <w:p>
      <w:pPr>
        <w:pStyle w:val="21"/>
        <w:rPr>
          <w:rFonts w:hint="default" w:hAnsi="宋体" w:cs="宋体"/>
          <w:b/>
          <w:color w:val="auto"/>
          <w:sz w:val="64"/>
          <w:szCs w:val="72"/>
          <w:highlight w:val="none"/>
        </w:rPr>
      </w:pPr>
    </w:p>
    <w:p>
      <w:pPr>
        <w:pStyle w:val="21"/>
        <w:jc w:val="center"/>
        <w:rPr>
          <w:rFonts w:hint="default" w:hAnsi="宋体" w:cs="宋体"/>
          <w:b/>
          <w:color w:val="auto"/>
          <w:sz w:val="64"/>
          <w:szCs w:val="72"/>
          <w:highlight w:val="none"/>
        </w:rPr>
      </w:pPr>
    </w:p>
    <w:p>
      <w:pPr>
        <w:pStyle w:val="21"/>
        <w:jc w:val="center"/>
        <w:rPr>
          <w:rFonts w:hint="default" w:hAnsi="宋体" w:cs="宋体"/>
          <w:b/>
          <w:color w:val="auto"/>
          <w:sz w:val="64"/>
          <w:szCs w:val="72"/>
          <w:highlight w:val="none"/>
        </w:rPr>
      </w:pPr>
    </w:p>
    <w:p>
      <w:pPr>
        <w:pStyle w:val="21"/>
        <w:jc w:val="center"/>
        <w:rPr>
          <w:rFonts w:hint="default" w:hAnsi="宋体" w:cs="宋体"/>
          <w:b/>
          <w:color w:val="auto"/>
          <w:sz w:val="64"/>
          <w:szCs w:val="72"/>
          <w:highlight w:val="none"/>
        </w:rPr>
      </w:pPr>
      <w:r>
        <w:rPr>
          <w:rFonts w:hAnsi="宋体" w:cs="宋体"/>
          <w:b/>
          <w:color w:val="auto"/>
          <w:sz w:val="64"/>
          <w:szCs w:val="72"/>
          <w:highlight w:val="none"/>
        </w:rPr>
        <w:t>竞争性磋商文件</w:t>
      </w:r>
    </w:p>
    <w:p>
      <w:pPr>
        <w:pStyle w:val="21"/>
        <w:spacing w:line="360" w:lineRule="auto"/>
        <w:jc w:val="center"/>
        <w:rPr>
          <w:rFonts w:hint="default" w:hAnsi="宋体" w:eastAsia="宋体" w:cs="宋体"/>
          <w:b/>
          <w:color w:val="auto"/>
          <w:sz w:val="32"/>
          <w:szCs w:val="32"/>
          <w:highlight w:val="none"/>
          <w:lang w:val="en-US" w:eastAsia="zh-CN"/>
        </w:rPr>
      </w:pPr>
      <w:r>
        <w:rPr>
          <w:rFonts w:hAnsi="宋体" w:cs="宋体"/>
          <w:b/>
          <w:color w:val="auto"/>
          <w:sz w:val="32"/>
          <w:szCs w:val="32"/>
          <w:highlight w:val="none"/>
        </w:rPr>
        <w:t>项目编号:</w:t>
      </w:r>
      <w:r>
        <w:rPr>
          <w:rFonts w:hint="eastAsia" w:hAnsi="宋体" w:cs="宋体"/>
          <w:b/>
          <w:color w:val="auto"/>
          <w:sz w:val="32"/>
          <w:szCs w:val="32"/>
          <w:highlight w:val="none"/>
        </w:rPr>
        <w:t>SWDX20</w:t>
      </w:r>
      <w:r>
        <w:rPr>
          <w:rFonts w:hint="eastAsia" w:hAnsi="宋体" w:cs="宋体"/>
          <w:b/>
          <w:color w:val="auto"/>
          <w:sz w:val="32"/>
          <w:szCs w:val="32"/>
          <w:highlight w:val="none"/>
          <w:lang w:val="en-US" w:eastAsia="zh-CN"/>
        </w:rPr>
        <w:t>20</w:t>
      </w:r>
      <w:r>
        <w:rPr>
          <w:rFonts w:hint="eastAsia" w:hAnsi="宋体" w:cs="宋体"/>
          <w:b/>
          <w:color w:val="auto"/>
          <w:sz w:val="32"/>
          <w:szCs w:val="32"/>
          <w:highlight w:val="none"/>
        </w:rPr>
        <w:t>-0</w:t>
      </w:r>
      <w:r>
        <w:rPr>
          <w:rFonts w:hint="eastAsia" w:hAnsi="宋体" w:cs="宋体"/>
          <w:b/>
          <w:color w:val="auto"/>
          <w:sz w:val="32"/>
          <w:szCs w:val="32"/>
          <w:highlight w:val="none"/>
          <w:lang w:val="en-US" w:eastAsia="zh-CN"/>
        </w:rPr>
        <w:t>7</w:t>
      </w:r>
      <w:r>
        <w:rPr>
          <w:rFonts w:hint="eastAsia" w:hAnsi="宋体" w:cs="宋体"/>
          <w:b/>
          <w:color w:val="auto"/>
          <w:sz w:val="32"/>
          <w:szCs w:val="32"/>
          <w:highlight w:val="none"/>
        </w:rPr>
        <w:t>-</w:t>
      </w:r>
      <w:r>
        <w:rPr>
          <w:rFonts w:hint="eastAsia" w:hAnsi="宋体" w:cs="宋体"/>
          <w:b/>
          <w:color w:val="auto"/>
          <w:sz w:val="32"/>
          <w:szCs w:val="32"/>
          <w:highlight w:val="none"/>
          <w:lang w:val="en-US" w:eastAsia="zh-CN"/>
        </w:rPr>
        <w:t>02</w:t>
      </w:r>
    </w:p>
    <w:p>
      <w:pPr>
        <w:pStyle w:val="21"/>
        <w:jc w:val="center"/>
        <w:rPr>
          <w:rFonts w:hint="default" w:hAnsi="宋体" w:cs="宋体"/>
          <w:b/>
          <w:color w:val="auto"/>
          <w:sz w:val="36"/>
          <w:szCs w:val="72"/>
          <w:highlight w:val="none"/>
        </w:rPr>
      </w:pPr>
    </w:p>
    <w:p>
      <w:pPr>
        <w:pStyle w:val="21"/>
        <w:rPr>
          <w:rFonts w:hint="default" w:hAnsi="宋体" w:cs="宋体"/>
          <w:b/>
          <w:color w:val="auto"/>
          <w:sz w:val="64"/>
          <w:szCs w:val="72"/>
          <w:highlight w:val="none"/>
        </w:rPr>
      </w:pPr>
    </w:p>
    <w:p>
      <w:pPr>
        <w:pStyle w:val="21"/>
        <w:spacing w:line="360" w:lineRule="auto"/>
        <w:rPr>
          <w:rFonts w:hint="default" w:hAnsi="宋体" w:cs="宋体"/>
          <w:b/>
          <w:color w:val="auto"/>
          <w:sz w:val="32"/>
          <w:szCs w:val="32"/>
          <w:highlight w:val="none"/>
        </w:rPr>
      </w:pPr>
    </w:p>
    <w:p>
      <w:pPr>
        <w:pStyle w:val="21"/>
        <w:spacing w:line="360" w:lineRule="auto"/>
        <w:rPr>
          <w:rFonts w:hint="default" w:hAnsi="宋体" w:cs="宋体"/>
          <w:color w:val="auto"/>
          <w:sz w:val="32"/>
          <w:highlight w:val="none"/>
        </w:rPr>
      </w:pPr>
    </w:p>
    <w:p>
      <w:pPr>
        <w:pStyle w:val="21"/>
        <w:spacing w:line="360" w:lineRule="auto"/>
        <w:rPr>
          <w:rFonts w:hint="default" w:hAnsi="宋体" w:cs="宋体"/>
          <w:color w:val="auto"/>
          <w:sz w:val="32"/>
          <w:highlight w:val="none"/>
        </w:rPr>
      </w:pPr>
    </w:p>
    <w:p>
      <w:pPr>
        <w:pStyle w:val="21"/>
        <w:spacing w:line="360" w:lineRule="auto"/>
        <w:rPr>
          <w:rFonts w:hint="default" w:hAnsi="宋体" w:cs="宋体"/>
          <w:color w:val="auto"/>
          <w:sz w:val="32"/>
          <w:highlight w:val="none"/>
        </w:rPr>
      </w:pPr>
    </w:p>
    <w:p>
      <w:pPr>
        <w:pStyle w:val="21"/>
        <w:spacing w:line="360" w:lineRule="auto"/>
        <w:ind w:firstLine="3203" w:firstLineChars="997"/>
        <w:rPr>
          <w:rFonts w:hint="default" w:hAnsi="宋体" w:cs="宋体"/>
          <w:b/>
          <w:color w:val="auto"/>
          <w:sz w:val="32"/>
          <w:highlight w:val="none"/>
          <w:u w:val="single"/>
        </w:rPr>
      </w:pPr>
      <w:r>
        <w:rPr>
          <w:rFonts w:hAnsi="宋体" w:cs="宋体"/>
          <w:b/>
          <w:color w:val="auto"/>
          <w:sz w:val="32"/>
          <w:highlight w:val="none"/>
        </w:rPr>
        <w:t>采购单位:</w:t>
      </w:r>
      <w:r>
        <w:rPr>
          <w:rFonts w:hAnsi="宋体" w:cs="宋体"/>
          <w:b/>
          <w:color w:val="auto"/>
          <w:sz w:val="32"/>
          <w:highlight w:val="none"/>
          <w:u w:val="single"/>
        </w:rPr>
        <w:t>中共杭州市委党校</w:t>
      </w:r>
    </w:p>
    <w:p>
      <w:pPr>
        <w:pStyle w:val="21"/>
        <w:spacing w:line="360" w:lineRule="auto"/>
        <w:ind w:firstLine="1600" w:firstLineChars="498"/>
        <w:jc w:val="center"/>
        <w:rPr>
          <w:rFonts w:hint="default" w:hAnsi="宋体" w:cs="宋体"/>
          <w:b/>
          <w:color w:val="auto"/>
          <w:sz w:val="32"/>
          <w:highlight w:val="none"/>
          <w:u w:val="single"/>
        </w:rPr>
      </w:pPr>
      <w:r>
        <w:rPr>
          <w:rFonts w:hAnsi="宋体" w:cs="宋体"/>
          <w:b/>
          <w:color w:val="auto"/>
          <w:sz w:val="32"/>
          <w:highlight w:val="none"/>
        </w:rPr>
        <w:t>代理机构:</w:t>
      </w:r>
      <w:r>
        <w:rPr>
          <w:rFonts w:hAnsi="宋体" w:cs="宋体"/>
          <w:b/>
          <w:color w:val="auto"/>
          <w:sz w:val="32"/>
          <w:highlight w:val="none"/>
          <w:u w:val="single"/>
        </w:rPr>
        <w:t>浙江五石工程咨询有限公司</w:t>
      </w:r>
    </w:p>
    <w:p>
      <w:pPr>
        <w:pStyle w:val="21"/>
        <w:spacing w:line="744" w:lineRule="auto"/>
        <w:jc w:val="center"/>
        <w:rPr>
          <w:rFonts w:hint="default" w:hAnsi="宋体" w:cs="宋体"/>
          <w:color w:val="auto"/>
          <w:sz w:val="24"/>
          <w:highlight w:val="none"/>
        </w:rPr>
      </w:pPr>
      <w:r>
        <w:rPr>
          <w:rFonts w:hAnsi="宋体" w:cs="宋体"/>
          <w:b/>
          <w:color w:val="auto"/>
          <w:sz w:val="32"/>
          <w:highlight w:val="none"/>
        </w:rPr>
        <w:t>日  期:二○二○年</w:t>
      </w:r>
      <w:r>
        <w:rPr>
          <w:rFonts w:hint="eastAsia" w:hAnsi="宋体" w:cs="宋体"/>
          <w:b/>
          <w:color w:val="auto"/>
          <w:sz w:val="32"/>
          <w:highlight w:val="none"/>
          <w:lang w:val="en-US" w:eastAsia="zh-CN"/>
        </w:rPr>
        <w:t>七</w:t>
      </w:r>
      <w:r>
        <w:rPr>
          <w:rFonts w:hAnsi="宋体" w:cs="宋体"/>
          <w:b/>
          <w:color w:val="auto"/>
          <w:sz w:val="32"/>
          <w:highlight w:val="none"/>
        </w:rPr>
        <w:t>月</w:t>
      </w:r>
    </w:p>
    <w:p>
      <w:pPr>
        <w:ind w:left="-706" w:leftChars="-196"/>
        <w:rPr>
          <w:rFonts w:ascii="宋体" w:hAnsi="宋体" w:cs="宋体"/>
          <w:color w:val="auto"/>
          <w:sz w:val="24"/>
          <w:highlight w:val="none"/>
        </w:rPr>
      </w:pPr>
    </w:p>
    <w:p>
      <w:pPr>
        <w:adjustRightInd w:val="0"/>
        <w:snapToGrid w:val="0"/>
        <w:spacing w:line="500" w:lineRule="atLeast"/>
        <w:jc w:val="center"/>
        <w:rPr>
          <w:rFonts w:ascii="宋体" w:hAnsi="宋体" w:cs="宋体"/>
          <w:color w:val="auto"/>
          <w:sz w:val="44"/>
          <w:szCs w:val="44"/>
          <w:highlight w:val="none"/>
        </w:rPr>
      </w:pPr>
      <w:r>
        <w:rPr>
          <w:rFonts w:hint="eastAsia" w:ascii="宋体" w:hAnsi="宋体" w:cs="宋体"/>
          <w:color w:val="auto"/>
          <w:sz w:val="44"/>
          <w:szCs w:val="44"/>
          <w:highlight w:val="none"/>
        </w:rPr>
        <w:t>目</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4"/>
          <w:szCs w:val="44"/>
          <w:highlight w:val="none"/>
        </w:rPr>
        <w:t>录</w:t>
      </w:r>
    </w:p>
    <w:p>
      <w:pPr>
        <w:adjustRightInd w:val="0"/>
        <w:snapToGrid w:val="0"/>
        <w:spacing w:line="500" w:lineRule="atLeast"/>
        <w:jc w:val="center"/>
        <w:rPr>
          <w:rFonts w:ascii="宋体" w:hAnsi="宋体" w:cs="宋体"/>
          <w:color w:val="auto"/>
          <w:sz w:val="44"/>
          <w:szCs w:val="44"/>
          <w:highlight w:val="none"/>
        </w:rPr>
      </w:pPr>
    </w:p>
    <w:p>
      <w:pPr>
        <w:pStyle w:val="27"/>
        <w:tabs>
          <w:tab w:val="right" w:leader="dot" w:pos="8788"/>
        </w:tabs>
        <w:spacing w:line="400" w:lineRule="exact"/>
        <w:rPr>
          <w:rFonts w:ascii="宋体" w:hAnsi="宋体" w:cs="宋体"/>
          <w:color w:val="auto"/>
          <w:highlight w:val="none"/>
        </w:rPr>
      </w:pPr>
    </w:p>
    <w:p>
      <w:pPr>
        <w:pStyle w:val="27"/>
        <w:tabs>
          <w:tab w:val="right" w:leader="dot" w:pos="9747"/>
        </w:tabs>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"1-3" \h \u </w:instrText>
      </w:r>
      <w:r>
        <w:rPr>
          <w:rFonts w:hint="eastAsia" w:ascii="宋体" w:hAnsi="宋体" w:cs="宋体"/>
          <w:color w:val="auto"/>
          <w:sz w:val="28"/>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_Toc11302 </w:instrText>
      </w:r>
      <w:r>
        <w:rPr>
          <w:rFonts w:hint="eastAsia" w:ascii="宋体" w:hAnsi="宋体" w:cs="宋体"/>
          <w:szCs w:val="28"/>
          <w:highlight w:val="none"/>
        </w:rPr>
        <w:fldChar w:fldCharType="separate"/>
      </w:r>
      <w:r>
        <w:rPr>
          <w:rFonts w:hint="eastAsia" w:cs="宋体"/>
          <w:szCs w:val="32"/>
          <w:highlight w:val="none"/>
        </w:rPr>
        <w:t>第一部分 竞争性磋商公告</w:t>
      </w:r>
      <w:r>
        <w:tab/>
      </w:r>
      <w:r>
        <w:fldChar w:fldCharType="begin"/>
      </w:r>
      <w:r>
        <w:instrText xml:space="preserve"> PAGEREF _Toc11302 </w:instrText>
      </w:r>
      <w:r>
        <w:fldChar w:fldCharType="separate"/>
      </w:r>
      <w:r>
        <w:t>3</w:t>
      </w:r>
      <w:r>
        <w:fldChar w:fldCharType="end"/>
      </w:r>
      <w:r>
        <w:rPr>
          <w:rFonts w:hint="eastAsia" w:ascii="宋体" w:hAnsi="宋体" w:cs="宋体"/>
          <w:color w:val="auto"/>
          <w:szCs w:val="28"/>
          <w:highlight w:val="none"/>
        </w:rPr>
        <w:fldChar w:fldCharType="end"/>
      </w:r>
    </w:p>
    <w:p>
      <w:pPr>
        <w:pStyle w:val="27"/>
        <w:tabs>
          <w:tab w:val="right" w:leader="dot" w:pos="9747"/>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_Toc20156 </w:instrText>
      </w:r>
      <w:r>
        <w:rPr>
          <w:rFonts w:hint="eastAsia" w:ascii="宋体" w:hAnsi="宋体" w:cs="宋体"/>
          <w:szCs w:val="28"/>
          <w:highlight w:val="none"/>
        </w:rPr>
        <w:fldChar w:fldCharType="separate"/>
      </w:r>
      <w:r>
        <w:rPr>
          <w:rFonts w:hint="eastAsia" w:ascii="宋体" w:hAnsi="宋体" w:cs="宋体"/>
          <w:bCs/>
          <w:szCs w:val="32"/>
          <w:highlight w:val="none"/>
        </w:rPr>
        <w:t>第二部分 响应须知前附表</w:t>
      </w:r>
      <w:r>
        <w:tab/>
      </w:r>
      <w:r>
        <w:fldChar w:fldCharType="begin"/>
      </w:r>
      <w:r>
        <w:instrText xml:space="preserve"> PAGEREF _Toc20156 </w:instrText>
      </w:r>
      <w:r>
        <w:fldChar w:fldCharType="separate"/>
      </w:r>
      <w:r>
        <w:t>6</w:t>
      </w:r>
      <w:r>
        <w:fldChar w:fldCharType="end"/>
      </w:r>
      <w:r>
        <w:rPr>
          <w:rFonts w:hint="eastAsia" w:ascii="宋体" w:hAnsi="宋体" w:cs="宋体"/>
          <w:color w:val="auto"/>
          <w:szCs w:val="28"/>
          <w:highlight w:val="none"/>
        </w:rPr>
        <w:fldChar w:fldCharType="end"/>
      </w:r>
    </w:p>
    <w:p>
      <w:pPr>
        <w:pStyle w:val="27"/>
        <w:tabs>
          <w:tab w:val="right" w:leader="dot" w:pos="9747"/>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_Toc26905 </w:instrText>
      </w:r>
      <w:r>
        <w:rPr>
          <w:rFonts w:hint="eastAsia" w:ascii="宋体" w:hAnsi="宋体" w:cs="宋体"/>
          <w:szCs w:val="28"/>
          <w:highlight w:val="none"/>
        </w:rPr>
        <w:fldChar w:fldCharType="separate"/>
      </w:r>
      <w:r>
        <w:rPr>
          <w:rFonts w:hint="eastAsia" w:ascii="宋体" w:hAnsi="宋体" w:cs="宋体"/>
          <w:bCs/>
          <w:szCs w:val="32"/>
          <w:highlight w:val="none"/>
        </w:rPr>
        <w:t>第三部分磋商供应商须知</w:t>
      </w:r>
      <w:r>
        <w:tab/>
      </w:r>
      <w:r>
        <w:fldChar w:fldCharType="begin"/>
      </w:r>
      <w:r>
        <w:instrText xml:space="preserve"> PAGEREF _Toc26905 </w:instrText>
      </w:r>
      <w:r>
        <w:fldChar w:fldCharType="separate"/>
      </w:r>
      <w:r>
        <w:t>10</w:t>
      </w:r>
      <w:r>
        <w:fldChar w:fldCharType="end"/>
      </w:r>
      <w:r>
        <w:rPr>
          <w:rFonts w:hint="eastAsia" w:ascii="宋体" w:hAnsi="宋体" w:cs="宋体"/>
          <w:color w:val="auto"/>
          <w:szCs w:val="28"/>
          <w:highlight w:val="none"/>
        </w:rPr>
        <w:fldChar w:fldCharType="end"/>
      </w:r>
    </w:p>
    <w:p>
      <w:pPr>
        <w:pStyle w:val="27"/>
        <w:tabs>
          <w:tab w:val="right" w:leader="dot" w:pos="9747"/>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_Toc31227 </w:instrText>
      </w:r>
      <w:r>
        <w:rPr>
          <w:rFonts w:hint="eastAsia" w:ascii="宋体" w:hAnsi="宋体" w:cs="宋体"/>
          <w:szCs w:val="28"/>
          <w:highlight w:val="none"/>
        </w:rPr>
        <w:fldChar w:fldCharType="separate"/>
      </w:r>
      <w:r>
        <w:rPr>
          <w:rFonts w:hint="eastAsia" w:ascii="宋体" w:hAnsi="宋体" w:cs="宋体"/>
          <w:bCs/>
          <w:szCs w:val="32"/>
          <w:highlight w:val="none"/>
        </w:rPr>
        <w:t>第四部分  项目技术规范和服务要求</w:t>
      </w:r>
      <w:r>
        <w:tab/>
      </w:r>
      <w:r>
        <w:fldChar w:fldCharType="begin"/>
      </w:r>
      <w:r>
        <w:instrText xml:space="preserve"> PAGEREF _Toc31227 </w:instrText>
      </w:r>
      <w:r>
        <w:fldChar w:fldCharType="separate"/>
      </w:r>
      <w:r>
        <w:t>20</w:t>
      </w:r>
      <w:r>
        <w:fldChar w:fldCharType="end"/>
      </w:r>
      <w:r>
        <w:rPr>
          <w:rFonts w:hint="eastAsia" w:ascii="宋体" w:hAnsi="宋体" w:cs="宋体"/>
          <w:color w:val="auto"/>
          <w:szCs w:val="28"/>
          <w:highlight w:val="none"/>
        </w:rPr>
        <w:fldChar w:fldCharType="end"/>
      </w:r>
    </w:p>
    <w:p>
      <w:pPr>
        <w:pStyle w:val="27"/>
        <w:tabs>
          <w:tab w:val="right" w:leader="dot" w:pos="9747"/>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_Toc21473 </w:instrText>
      </w:r>
      <w:r>
        <w:rPr>
          <w:rFonts w:hint="eastAsia" w:ascii="宋体" w:hAnsi="宋体" w:cs="宋体"/>
          <w:szCs w:val="28"/>
          <w:highlight w:val="none"/>
        </w:rPr>
        <w:fldChar w:fldCharType="separate"/>
      </w:r>
      <w:r>
        <w:rPr>
          <w:rFonts w:hint="eastAsia" w:ascii="宋体" w:hAnsi="宋体" w:cs="宋体"/>
          <w:bCs/>
          <w:szCs w:val="32"/>
        </w:rPr>
        <w:t xml:space="preserve">第四部分 </w:t>
      </w:r>
      <w:r>
        <w:rPr>
          <w:rFonts w:hint="eastAsia" w:ascii="宋体" w:hAnsi="宋体" w:cs="宋体"/>
          <w:bCs/>
          <w:szCs w:val="32"/>
          <w:highlight w:val="none"/>
        </w:rPr>
        <w:t>合同主要条款</w:t>
      </w:r>
      <w:r>
        <w:tab/>
      </w:r>
      <w:r>
        <w:fldChar w:fldCharType="begin"/>
      </w:r>
      <w:r>
        <w:instrText xml:space="preserve"> PAGEREF _Toc21473 </w:instrText>
      </w:r>
      <w:r>
        <w:fldChar w:fldCharType="separate"/>
      </w:r>
      <w:r>
        <w:t>23</w:t>
      </w:r>
      <w:r>
        <w:fldChar w:fldCharType="end"/>
      </w:r>
      <w:r>
        <w:rPr>
          <w:rFonts w:hint="eastAsia" w:ascii="宋体" w:hAnsi="宋体" w:cs="宋体"/>
          <w:color w:val="auto"/>
          <w:szCs w:val="28"/>
          <w:highlight w:val="none"/>
        </w:rPr>
        <w:fldChar w:fldCharType="end"/>
      </w:r>
    </w:p>
    <w:p>
      <w:pPr>
        <w:pStyle w:val="27"/>
        <w:tabs>
          <w:tab w:val="right" w:leader="dot" w:pos="9747"/>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_Toc25439 </w:instrText>
      </w:r>
      <w:r>
        <w:rPr>
          <w:rFonts w:hint="eastAsia" w:ascii="宋体" w:hAnsi="宋体" w:cs="宋体"/>
          <w:szCs w:val="28"/>
          <w:highlight w:val="none"/>
        </w:rPr>
        <w:fldChar w:fldCharType="separate"/>
      </w:r>
      <w:r>
        <w:rPr>
          <w:rFonts w:hAnsi="宋体" w:cs="宋体"/>
          <w:szCs w:val="32"/>
          <w:highlight w:val="none"/>
        </w:rPr>
        <w:t>第</w:t>
      </w:r>
      <w:r>
        <w:rPr>
          <w:rFonts w:hint="eastAsia" w:hAnsi="宋体" w:cs="宋体"/>
          <w:szCs w:val="32"/>
          <w:highlight w:val="none"/>
          <w:lang w:val="en-US" w:eastAsia="zh-CN"/>
        </w:rPr>
        <w:t>五</w:t>
      </w:r>
      <w:r>
        <w:rPr>
          <w:rFonts w:hAnsi="宋体" w:cs="宋体"/>
          <w:szCs w:val="32"/>
          <w:highlight w:val="none"/>
        </w:rPr>
        <w:t>部分 评标细则</w:t>
      </w:r>
      <w:r>
        <w:tab/>
      </w:r>
      <w:r>
        <w:fldChar w:fldCharType="begin"/>
      </w:r>
      <w:r>
        <w:instrText xml:space="preserve"> PAGEREF _Toc25439 </w:instrText>
      </w:r>
      <w:r>
        <w:fldChar w:fldCharType="separate"/>
      </w:r>
      <w:r>
        <w:t>29</w:t>
      </w:r>
      <w:r>
        <w:fldChar w:fldCharType="end"/>
      </w:r>
      <w:r>
        <w:rPr>
          <w:rFonts w:hint="eastAsia" w:ascii="宋体" w:hAnsi="宋体" w:cs="宋体"/>
          <w:color w:val="auto"/>
          <w:szCs w:val="28"/>
          <w:highlight w:val="none"/>
        </w:rPr>
        <w:fldChar w:fldCharType="end"/>
      </w:r>
    </w:p>
    <w:p>
      <w:pPr>
        <w:pStyle w:val="20"/>
        <w:tabs>
          <w:tab w:val="right" w:leader="dot" w:pos="9747"/>
        </w:tabs>
      </w:pPr>
    </w:p>
    <w:p>
      <w:pPr>
        <w:adjustRightInd w:val="0"/>
        <w:snapToGrid w:val="0"/>
        <w:spacing w:line="400" w:lineRule="exact"/>
        <w:jc w:val="center"/>
        <w:rPr>
          <w:rFonts w:ascii="宋体" w:hAnsi="宋体" w:cs="宋体"/>
          <w:color w:val="auto"/>
          <w:sz w:val="24"/>
          <w:highlight w:val="none"/>
        </w:rPr>
      </w:pPr>
      <w:r>
        <w:rPr>
          <w:rFonts w:hint="eastAsia" w:ascii="宋体" w:hAnsi="宋体" w:cs="宋体"/>
          <w:color w:val="auto"/>
          <w:szCs w:val="28"/>
          <w:highlight w:val="none"/>
        </w:rPr>
        <w:fldChar w:fldCharType="end"/>
      </w:r>
    </w:p>
    <w:p>
      <w:pPr>
        <w:pStyle w:val="64"/>
        <w:spacing w:before="0" w:beforeAutospacing="0" w:after="0" w:afterAutospacing="0" w:line="360" w:lineRule="auto"/>
        <w:jc w:val="center"/>
        <w:outlineLvl w:val="0"/>
        <w:rPr>
          <w:rFonts w:cs="宋体"/>
          <w:color w:val="auto"/>
          <w:sz w:val="32"/>
          <w:szCs w:val="32"/>
          <w:highlight w:val="none"/>
        </w:rPr>
      </w:pPr>
      <w:r>
        <w:rPr>
          <w:rFonts w:hint="eastAsia" w:cs="宋体"/>
          <w:color w:val="auto"/>
          <w:highlight w:val="none"/>
        </w:rPr>
        <w:br w:type="page"/>
      </w:r>
      <w:bookmarkStart w:id="0" w:name="_Toc11302"/>
      <w:r>
        <w:rPr>
          <w:rFonts w:hint="eastAsia" w:cs="宋体"/>
          <w:color w:val="auto"/>
          <w:sz w:val="32"/>
          <w:szCs w:val="32"/>
          <w:highlight w:val="none"/>
        </w:rPr>
        <w:t>第一部分 竞争性磋商公告</w:t>
      </w:r>
      <w:bookmarkEnd w:id="0"/>
    </w:p>
    <w:p>
      <w:pPr>
        <w:widowControl/>
        <w:spacing w:line="400" w:lineRule="exact"/>
        <w:ind w:left="75" w:right="75" w:firstLine="420"/>
        <w:jc w:val="left"/>
        <w:rPr>
          <w:rFonts w:ascii="宋体" w:hAnsi="宋体" w:cs="宋体"/>
          <w:color w:val="auto"/>
          <w:kern w:val="0"/>
          <w:sz w:val="24"/>
          <w:highlight w:val="none"/>
        </w:rPr>
      </w:pPr>
      <w:r>
        <w:rPr>
          <w:rFonts w:hint="eastAsia" w:ascii="宋体" w:hAnsi="宋体" w:cs="宋体"/>
          <w:color w:val="auto"/>
          <w:kern w:val="0"/>
          <w:sz w:val="24"/>
          <w:highlight w:val="none"/>
        </w:rPr>
        <w:t>根据有关规定，浙江五石工程咨询有限公司受中共杭州市委党校委托，就</w:t>
      </w:r>
      <w:r>
        <w:rPr>
          <w:rFonts w:hint="eastAsia" w:ascii="宋体" w:hAnsi="宋体"/>
          <w:color w:val="auto"/>
          <w:sz w:val="24"/>
          <w:highlight w:val="none"/>
        </w:rPr>
        <w:t>杭州市委党校2020年度职工疗养项目</w:t>
      </w:r>
      <w:r>
        <w:rPr>
          <w:rFonts w:hint="eastAsia" w:ascii="宋体" w:hAnsi="宋体" w:cs="宋体"/>
          <w:color w:val="auto"/>
          <w:kern w:val="0"/>
          <w:sz w:val="24"/>
          <w:highlight w:val="none"/>
        </w:rPr>
        <w:t>进行竞争性磋商，欢迎国内合格的供应商前来磋商。</w:t>
      </w:r>
    </w:p>
    <w:p>
      <w:pPr>
        <w:widowControl/>
        <w:spacing w:line="400" w:lineRule="exact"/>
        <w:ind w:right="75"/>
        <w:jc w:val="left"/>
        <w:rPr>
          <w:rFonts w:ascii="宋体" w:hAnsi="宋体" w:cs="宋体"/>
          <w:color w:val="auto"/>
          <w:kern w:val="0"/>
          <w:sz w:val="24"/>
          <w:highlight w:val="none"/>
        </w:rPr>
      </w:pPr>
      <w:r>
        <w:rPr>
          <w:rFonts w:hint="eastAsia" w:ascii="宋体" w:hAnsi="宋体" w:cs="宋体"/>
          <w:b/>
          <w:color w:val="auto"/>
          <w:kern w:val="0"/>
          <w:sz w:val="24"/>
          <w:highlight w:val="none"/>
        </w:rPr>
        <w:t>一、采购项目编号</w:t>
      </w:r>
      <w:r>
        <w:rPr>
          <w:rFonts w:hint="eastAsia" w:ascii="宋体" w:hAnsi="宋体" w:cs="宋体"/>
          <w:color w:val="auto"/>
          <w:kern w:val="0"/>
          <w:sz w:val="24"/>
          <w:highlight w:val="none"/>
        </w:rPr>
        <w:t>:SWDX2020-07-02</w:t>
      </w:r>
    </w:p>
    <w:p>
      <w:pPr>
        <w:pStyle w:val="95"/>
        <w:spacing w:line="400" w:lineRule="exact"/>
        <w:rPr>
          <w:rFonts w:hint="default" w:ascii="宋体" w:hAnsi="宋体" w:cs="宋体"/>
          <w:b/>
          <w:color w:val="auto"/>
          <w:kern w:val="0"/>
          <w:sz w:val="24"/>
          <w:highlight w:val="none"/>
        </w:rPr>
      </w:pPr>
      <w:r>
        <w:rPr>
          <w:rFonts w:ascii="宋体" w:hAnsi="宋体" w:cs="宋体"/>
          <w:b/>
          <w:color w:val="auto"/>
          <w:kern w:val="0"/>
          <w:sz w:val="24"/>
          <w:highlight w:val="none"/>
        </w:rPr>
        <w:t>二、采购组织类型：分散采购-分散委托中介</w:t>
      </w:r>
    </w:p>
    <w:p>
      <w:pPr>
        <w:pStyle w:val="95"/>
        <w:spacing w:line="400" w:lineRule="exact"/>
        <w:rPr>
          <w:rFonts w:hint="default" w:ascii="宋体" w:hAnsi="宋体" w:cs="宋体"/>
          <w:b/>
          <w:color w:val="auto"/>
          <w:highlight w:val="none"/>
        </w:rPr>
      </w:pPr>
      <w:r>
        <w:rPr>
          <w:rFonts w:ascii="宋体" w:hAnsi="宋体" w:cs="宋体"/>
          <w:b/>
          <w:color w:val="auto"/>
          <w:kern w:val="0"/>
          <w:sz w:val="24"/>
          <w:highlight w:val="none"/>
        </w:rPr>
        <w:t>三、公告期限：3个工作日</w:t>
      </w:r>
      <w:r>
        <w:rPr>
          <w:rFonts w:ascii="宋体" w:hAnsi="宋体" w:cs="宋体"/>
          <w:b/>
          <w:color w:val="auto"/>
          <w:highlight w:val="none"/>
        </w:rPr>
        <w:t xml:space="preserve"> </w:t>
      </w:r>
    </w:p>
    <w:p>
      <w:pPr>
        <w:pStyle w:val="33"/>
        <w:spacing w:before="0" w:beforeAutospacing="0" w:after="0" w:afterAutospacing="0" w:line="400" w:lineRule="exact"/>
        <w:rPr>
          <w:rFonts w:hint="default" w:cs="宋体"/>
          <w:b/>
          <w:color w:val="auto"/>
          <w:highlight w:val="none"/>
        </w:rPr>
      </w:pPr>
      <w:r>
        <w:rPr>
          <w:rFonts w:cs="宋体"/>
          <w:b/>
          <w:color w:val="auto"/>
          <w:highlight w:val="none"/>
        </w:rPr>
        <w:t>四、采购项目概况（内容、用途、数量、简要技术要求）：</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4216"/>
        <w:gridCol w:w="1560"/>
        <w:gridCol w:w="1410"/>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4216"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标项内容</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人数</w:t>
            </w:r>
          </w:p>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（参考）</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ascii="宋体" w:hAnsi="宋体" w:cs="宋体"/>
                <w:color w:val="auto"/>
                <w:kern w:val="0"/>
                <w:sz w:val="24"/>
                <w:highlight w:val="none"/>
              </w:rPr>
              <w:t>最高限价</w:t>
            </w:r>
          </w:p>
          <w:p>
            <w:pPr>
              <w:widowControl/>
              <w:spacing w:before="75" w:after="75" w:line="400" w:lineRule="exact"/>
              <w:ind w:left="75" w:right="75"/>
              <w:jc w:val="center"/>
              <w:rPr>
                <w:color w:val="auto"/>
                <w:highlight w:val="none"/>
              </w:rPr>
            </w:pPr>
            <w:r>
              <w:rPr>
                <w:rFonts w:hint="eastAsia" w:ascii="宋体" w:hAnsi="宋体" w:cs="宋体"/>
                <w:color w:val="auto"/>
                <w:kern w:val="0"/>
                <w:sz w:val="24"/>
                <w:highlight w:val="none"/>
              </w:rPr>
              <w:t>（元/人）</w:t>
            </w:r>
          </w:p>
        </w:tc>
        <w:tc>
          <w:tcPr>
            <w:tcW w:w="1929"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线路一</w:t>
            </w:r>
          </w:p>
        </w:tc>
        <w:tc>
          <w:tcPr>
            <w:tcW w:w="4216"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olor w:val="auto"/>
                <w:sz w:val="24"/>
                <w:highlight w:val="none"/>
              </w:rPr>
              <w:t>杭州市委党校2020年度职工疗养</w:t>
            </w:r>
            <w:r>
              <w:rPr>
                <w:rFonts w:hint="eastAsia" w:ascii="宋体" w:hAnsi="宋体" w:cs="宋体"/>
                <w:color w:val="auto"/>
                <w:kern w:val="0"/>
                <w:sz w:val="24"/>
                <w:highlight w:val="none"/>
              </w:rPr>
              <w:t>线路1：淳安千岛湖镇</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80人</w:t>
            </w:r>
          </w:p>
        </w:tc>
        <w:tc>
          <w:tcPr>
            <w:tcW w:w="1410" w:type="dxa"/>
            <w:vMerge w:val="restart"/>
            <w:tcBorders>
              <w:top w:val="single" w:color="auto" w:sz="4" w:space="0"/>
              <w:left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bookmarkStart w:id="1" w:name="B15_备注"/>
            <w:bookmarkEnd w:id="1"/>
            <w:r>
              <w:rPr>
                <w:rFonts w:hint="eastAsia" w:ascii="宋体" w:hAnsi="宋体" w:cs="宋体"/>
                <w:color w:val="auto"/>
                <w:kern w:val="0"/>
                <w:sz w:val="24"/>
                <w:highlight w:val="none"/>
              </w:rPr>
              <w:t>3000</w:t>
            </w:r>
          </w:p>
        </w:tc>
        <w:tc>
          <w:tcPr>
            <w:tcW w:w="1929" w:type="dxa"/>
            <w:vMerge w:val="restart"/>
            <w:tcBorders>
              <w:top w:val="single" w:color="auto" w:sz="4" w:space="0"/>
              <w:left w:val="single" w:color="auto" w:sz="4" w:space="0"/>
              <w:right w:val="single" w:color="auto" w:sz="4" w:space="0"/>
            </w:tcBorders>
            <w:vAlign w:val="center"/>
          </w:tcPr>
          <w:p>
            <w:pPr>
              <w:widowControl/>
              <w:spacing w:before="75" w:after="75" w:line="400" w:lineRule="exact"/>
              <w:ind w:right="75"/>
              <w:jc w:val="center"/>
              <w:rPr>
                <w:rFonts w:ascii="宋体" w:hAnsi="宋体" w:cs="宋体"/>
                <w:color w:val="auto"/>
                <w:kern w:val="0"/>
                <w:sz w:val="24"/>
                <w:highlight w:val="none"/>
              </w:rPr>
            </w:pPr>
            <w:r>
              <w:rPr>
                <w:rFonts w:hint="eastAsia" w:ascii="宋体" w:hAnsi="宋体" w:cs="宋体"/>
                <w:color w:val="auto"/>
                <w:kern w:val="0"/>
                <w:sz w:val="24"/>
                <w:highlight w:val="none"/>
              </w:rPr>
              <w:t>详见第四部分项目技术规范和服务要求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线路二</w:t>
            </w:r>
          </w:p>
        </w:tc>
        <w:tc>
          <w:tcPr>
            <w:tcW w:w="4216"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olor w:val="auto"/>
                <w:sz w:val="24"/>
                <w:highlight w:val="none"/>
              </w:rPr>
              <w:t>杭州市委党校2020年度职工疗养</w:t>
            </w:r>
            <w:r>
              <w:rPr>
                <w:rFonts w:hint="eastAsia" w:ascii="宋体" w:hAnsi="宋体" w:cs="宋体"/>
                <w:color w:val="auto"/>
                <w:kern w:val="0"/>
                <w:sz w:val="24"/>
                <w:highlight w:val="none"/>
              </w:rPr>
              <w:t>线路2：淳安龙川湾和淳安千岛湖镇</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r>
              <w:rPr>
                <w:rFonts w:hint="eastAsia" w:ascii="宋体" w:hAnsi="宋体" w:cs="宋体"/>
                <w:color w:val="auto"/>
                <w:kern w:val="0"/>
                <w:sz w:val="24"/>
                <w:highlight w:val="none"/>
              </w:rPr>
              <w:t>60人</w:t>
            </w:r>
          </w:p>
        </w:tc>
        <w:tc>
          <w:tcPr>
            <w:tcW w:w="1410" w:type="dxa"/>
            <w:vMerge w:val="continue"/>
            <w:tcBorders>
              <w:left w:val="single" w:color="auto" w:sz="4" w:space="0"/>
              <w:bottom w:val="single" w:color="auto" w:sz="4" w:space="0"/>
              <w:right w:val="single" w:color="auto" w:sz="4" w:space="0"/>
            </w:tcBorders>
            <w:vAlign w:val="center"/>
          </w:tcPr>
          <w:p>
            <w:pPr>
              <w:widowControl/>
              <w:spacing w:before="75" w:after="75" w:line="400" w:lineRule="exact"/>
              <w:ind w:left="75" w:right="75"/>
              <w:jc w:val="center"/>
              <w:rPr>
                <w:rFonts w:ascii="宋体" w:hAnsi="宋体" w:cs="宋体"/>
                <w:color w:val="auto"/>
                <w:kern w:val="0"/>
                <w:sz w:val="24"/>
                <w:highlight w:val="none"/>
              </w:rPr>
            </w:pPr>
          </w:p>
        </w:tc>
        <w:tc>
          <w:tcPr>
            <w:tcW w:w="1929" w:type="dxa"/>
            <w:vMerge w:val="continue"/>
            <w:tcBorders>
              <w:left w:val="single" w:color="auto" w:sz="4" w:space="0"/>
              <w:bottom w:val="single" w:color="auto" w:sz="4" w:space="0"/>
              <w:right w:val="single" w:color="auto" w:sz="4" w:space="0"/>
            </w:tcBorders>
            <w:vAlign w:val="center"/>
          </w:tcPr>
          <w:p>
            <w:pPr>
              <w:widowControl/>
              <w:spacing w:before="75" w:after="75" w:line="400" w:lineRule="exact"/>
              <w:ind w:right="75"/>
              <w:jc w:val="center"/>
              <w:rPr>
                <w:rFonts w:ascii="宋体" w:hAnsi="宋体" w:cs="宋体"/>
                <w:color w:val="auto"/>
                <w:kern w:val="0"/>
                <w:sz w:val="24"/>
                <w:highlight w:val="none"/>
              </w:rPr>
            </w:pPr>
          </w:p>
        </w:tc>
      </w:tr>
    </w:tbl>
    <w:p>
      <w:pPr>
        <w:widowControl/>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注：项目为单价采购，人数仅作为投标报价参考，</w:t>
      </w:r>
      <w:r>
        <w:rPr>
          <w:rFonts w:hint="eastAsia" w:ascii="宋体" w:hAnsi="宋体" w:cs="宋体"/>
          <w:b/>
          <w:bCs/>
          <w:color w:val="auto"/>
          <w:sz w:val="24"/>
          <w:highlight w:val="none"/>
          <w:lang w:val="zh-TW"/>
        </w:rPr>
        <w:t>最终按实际</w:t>
      </w:r>
      <w:r>
        <w:rPr>
          <w:rFonts w:hint="eastAsia" w:ascii="宋体" w:hAnsi="宋体" w:cs="宋体"/>
          <w:b/>
          <w:bCs/>
          <w:color w:val="auto"/>
          <w:sz w:val="24"/>
          <w:highlight w:val="none"/>
        </w:rPr>
        <w:t>参加人数</w:t>
      </w:r>
      <w:r>
        <w:rPr>
          <w:rFonts w:hint="eastAsia" w:ascii="宋体" w:hAnsi="宋体" w:cs="宋体"/>
          <w:b/>
          <w:bCs/>
          <w:color w:val="auto"/>
          <w:sz w:val="24"/>
          <w:highlight w:val="none"/>
          <w:lang w:val="zh-TW"/>
        </w:rPr>
        <w:t>进行结算支付。</w:t>
      </w:r>
    </w:p>
    <w:p>
      <w:pPr>
        <w:widowControl/>
        <w:spacing w:before="75" w:after="75" w:line="360" w:lineRule="exact"/>
        <w:ind w:left="75" w:right="75"/>
        <w:jc w:val="left"/>
        <w:rPr>
          <w:rFonts w:ascii="宋体" w:hAnsi="宋体" w:cs="宋体"/>
          <w:color w:val="auto"/>
          <w:kern w:val="0"/>
          <w:sz w:val="24"/>
          <w:highlight w:val="none"/>
        </w:rPr>
      </w:pPr>
      <w:r>
        <w:rPr>
          <w:rFonts w:hint="eastAsia" w:ascii="宋体" w:hAnsi="宋体" w:cs="宋体"/>
          <w:b/>
          <w:color w:val="auto"/>
          <w:kern w:val="0"/>
          <w:sz w:val="24"/>
          <w:highlight w:val="none"/>
        </w:rPr>
        <w:t>五、磋商供应商资格要求</w:t>
      </w:r>
      <w:r>
        <w:rPr>
          <w:rFonts w:hint="eastAsia" w:ascii="宋体" w:hAnsi="宋体" w:cs="宋体"/>
          <w:color w:val="auto"/>
          <w:kern w:val="0"/>
          <w:sz w:val="24"/>
          <w:highlight w:val="none"/>
        </w:rPr>
        <w:t>：</w:t>
      </w:r>
    </w:p>
    <w:p>
      <w:pPr>
        <w:pStyle w:val="95"/>
        <w:spacing w:line="400" w:lineRule="exact"/>
        <w:rPr>
          <w:rFonts w:hint="default" w:ascii="宋体" w:hAnsi="宋体" w:cs="宋体"/>
          <w:b/>
          <w:bCs/>
          <w:color w:val="auto"/>
          <w:sz w:val="24"/>
          <w:highlight w:val="none"/>
        </w:rPr>
      </w:pPr>
      <w:bookmarkStart w:id="2" w:name="OLE_LINK7"/>
      <w:r>
        <w:rPr>
          <w:rFonts w:ascii="宋体" w:hAnsi="宋体" w:cs="宋体"/>
          <w:color w:val="auto"/>
          <w:sz w:val="24"/>
          <w:highlight w:val="none"/>
          <w:lang w:val="zh-TW" w:eastAsia="zh-TW"/>
        </w:rPr>
        <w:t>（1）基本资格条件：符合《中华人民共和国政府采购法》第二十二条的规定；</w:t>
      </w:r>
    </w:p>
    <w:p>
      <w:pPr>
        <w:pStyle w:val="95"/>
        <w:spacing w:line="400" w:lineRule="exact"/>
        <w:rPr>
          <w:rFonts w:hint="default" w:ascii="宋体" w:hAnsi="宋体" w:cs="宋体"/>
          <w:color w:val="auto"/>
          <w:sz w:val="24"/>
          <w:highlight w:val="none"/>
          <w:lang w:val="zh-TW"/>
        </w:rPr>
      </w:pPr>
      <w:r>
        <w:rPr>
          <w:rFonts w:ascii="宋体" w:hAnsi="宋体" w:cs="宋体"/>
          <w:color w:val="auto"/>
          <w:sz w:val="24"/>
          <w:highlight w:val="none"/>
          <w:lang w:val="zh-TW" w:eastAsia="zh-TW"/>
        </w:rPr>
        <w:t>（2）特定资格条件：未被“信用中国”（www.creditchina.gov.cn）、中国政府采购网</w:t>
      </w:r>
      <w:r>
        <w:rPr>
          <w:rFonts w:ascii="宋体" w:hAnsi="宋体" w:cs="宋体"/>
          <w:color w:val="auto"/>
          <w:sz w:val="24"/>
          <w:highlight w:val="none"/>
          <w:lang w:val="zh-TW"/>
        </w:rPr>
        <w:t>（www.ccgp.gov.cn）列入失信被执行人、重大税收违法案件当事人名单、政府采购严重违法失信行为记录名单；</w:t>
      </w:r>
    </w:p>
    <w:p>
      <w:pPr>
        <w:pStyle w:val="95"/>
        <w:spacing w:line="400" w:lineRule="exact"/>
        <w:rPr>
          <w:rFonts w:hint="default" w:ascii="宋体" w:hAnsi="宋体" w:cs="宋体"/>
          <w:color w:val="auto"/>
          <w:sz w:val="24"/>
          <w:highlight w:val="none"/>
          <w:lang w:val="zh-TW" w:eastAsia="zh-TW"/>
        </w:rPr>
      </w:pPr>
      <w:r>
        <w:rPr>
          <w:rFonts w:ascii="宋体" w:hAnsi="宋体" w:cs="宋体"/>
          <w:color w:val="auto"/>
          <w:sz w:val="24"/>
          <w:highlight w:val="none"/>
          <w:lang w:val="zh-TW"/>
        </w:rPr>
        <w:t>（</w:t>
      </w:r>
      <w:r>
        <w:rPr>
          <w:rFonts w:ascii="宋体" w:hAnsi="宋体" w:cs="宋体"/>
          <w:color w:val="auto"/>
          <w:sz w:val="24"/>
          <w:highlight w:val="none"/>
        </w:rPr>
        <w:t>3</w:t>
      </w:r>
      <w:r>
        <w:rPr>
          <w:rFonts w:ascii="宋体" w:hAnsi="宋体" w:cs="宋体"/>
          <w:color w:val="auto"/>
          <w:sz w:val="24"/>
          <w:highlight w:val="none"/>
          <w:lang w:val="zh-TW"/>
        </w:rPr>
        <w:t>）</w:t>
      </w:r>
      <w:r>
        <w:rPr>
          <w:rFonts w:ascii="宋体" w:hAnsi="宋体" w:cs="宋体"/>
          <w:color w:val="auto"/>
          <w:sz w:val="24"/>
          <w:highlight w:val="none"/>
          <w:lang w:val="zh-TW" w:eastAsia="zh-TW"/>
        </w:rPr>
        <w:t>单位负责人为同一人或者存在直接控股、管理关系的不同供应商，不得参加同一合同项下的政府采购活动；</w:t>
      </w:r>
    </w:p>
    <w:p>
      <w:pPr>
        <w:spacing w:line="400" w:lineRule="exact"/>
        <w:rPr>
          <w:rFonts w:ascii="宋体" w:hAnsi="宋体"/>
          <w:b/>
          <w:color w:val="auto"/>
          <w:sz w:val="24"/>
          <w:highlight w:val="none"/>
        </w:rPr>
      </w:pPr>
      <w:r>
        <w:rPr>
          <w:rFonts w:hint="eastAsia" w:ascii="宋体" w:hAnsi="宋体" w:cs="宋体"/>
          <w:color w:val="auto"/>
          <w:sz w:val="24"/>
          <w:highlight w:val="none"/>
        </w:rPr>
        <w:t>（4）</w:t>
      </w:r>
      <w:r>
        <w:rPr>
          <w:rFonts w:hint="eastAsia" w:hAnsi="宋体"/>
          <w:color w:val="auto"/>
          <w:sz w:val="24"/>
          <w:highlight w:val="none"/>
        </w:rPr>
        <w:t>特定资格要求：具备《旅行社业务经营许可证》；</w:t>
      </w:r>
    </w:p>
    <w:p>
      <w:pPr>
        <w:widowControl/>
        <w:spacing w:before="75" w:after="75" w:line="400" w:lineRule="exact"/>
        <w:jc w:val="left"/>
        <w:rPr>
          <w:rFonts w:ascii="宋体" w:hAnsi="宋体" w:cs="宋体"/>
          <w:color w:val="auto"/>
          <w:sz w:val="24"/>
          <w:highlight w:val="none"/>
          <w:lang w:val="zh-TW" w:eastAsia="zh-TW"/>
        </w:rPr>
      </w:pPr>
      <w:r>
        <w:rPr>
          <w:rFonts w:hint="eastAsia" w:ascii="宋体" w:hAnsi="宋体" w:cs="宋体"/>
          <w:color w:val="auto"/>
          <w:sz w:val="24"/>
          <w:highlight w:val="none"/>
        </w:rPr>
        <w:t>（5）本项目不接受联合体投标</w:t>
      </w:r>
      <w:r>
        <w:rPr>
          <w:rFonts w:hint="eastAsia" w:ascii="宋体" w:hAnsi="宋体" w:cs="宋体"/>
          <w:color w:val="auto"/>
          <w:sz w:val="24"/>
          <w:highlight w:val="none"/>
          <w:lang w:val="zh-TW" w:eastAsia="zh-TW"/>
        </w:rPr>
        <w:t>。</w:t>
      </w:r>
    </w:p>
    <w:bookmarkEnd w:id="2"/>
    <w:p>
      <w:pPr>
        <w:widowControl/>
        <w:spacing w:before="75" w:after="75" w:line="360" w:lineRule="exact"/>
        <w:ind w:left="75" w:right="75"/>
        <w:jc w:val="left"/>
        <w:rPr>
          <w:rFonts w:ascii="宋体" w:hAnsi="宋体" w:cs="宋体"/>
          <w:color w:val="auto"/>
          <w:kern w:val="0"/>
          <w:sz w:val="24"/>
          <w:highlight w:val="none"/>
          <w:shd w:val="clear" w:color="auto" w:fill="FDFAF5"/>
        </w:rPr>
      </w:pPr>
      <w:r>
        <w:rPr>
          <w:rFonts w:hint="eastAsia" w:ascii="宋体" w:hAnsi="宋体" w:cs="宋体"/>
          <w:b/>
          <w:color w:val="auto"/>
          <w:kern w:val="0"/>
          <w:sz w:val="24"/>
          <w:highlight w:val="none"/>
        </w:rPr>
        <w:t>六、</w:t>
      </w:r>
      <w:r>
        <w:rPr>
          <w:rFonts w:hint="eastAsia" w:ascii="宋体" w:hAnsi="宋体" w:cs="宋体"/>
          <w:b/>
          <w:bCs/>
          <w:color w:val="auto"/>
          <w:kern w:val="0"/>
          <w:sz w:val="24"/>
          <w:highlight w:val="none"/>
        </w:rPr>
        <w:t>磋商文件发售时间、地点、售价</w:t>
      </w:r>
      <w:r>
        <w:rPr>
          <w:rFonts w:hint="eastAsia" w:ascii="宋体" w:hAnsi="宋体" w:cs="宋体"/>
          <w:b/>
          <w:color w:val="auto"/>
          <w:kern w:val="0"/>
          <w:sz w:val="24"/>
          <w:highlight w:val="none"/>
        </w:rPr>
        <w:t>：</w:t>
      </w:r>
    </w:p>
    <w:p>
      <w:pPr>
        <w:widowControl/>
        <w:spacing w:before="75" w:after="75" w:line="360" w:lineRule="exact"/>
        <w:ind w:right="75"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1.发售时间：</w:t>
      </w:r>
      <w:bookmarkStart w:id="3" w:name="B17_竞争性谈判文件发售开始日期"/>
      <w:bookmarkEnd w:id="3"/>
      <w:r>
        <w:rPr>
          <w:rFonts w:hint="eastAsia" w:ascii="宋体" w:hAnsi="宋体" w:cs="宋体"/>
          <w:color w:val="auto"/>
          <w:kern w:val="0"/>
          <w:sz w:val="24"/>
          <w:highlight w:val="none"/>
        </w:rPr>
        <w:t>2020年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日至</w:t>
      </w:r>
      <w:bookmarkStart w:id="4" w:name="B18_竞争性谈判文件发售截止日期"/>
      <w:bookmarkEnd w:id="4"/>
      <w:r>
        <w:rPr>
          <w:rFonts w:hint="eastAsia" w:ascii="宋体" w:hAnsi="宋体" w:cs="宋体"/>
          <w:color w:val="auto"/>
          <w:kern w:val="0"/>
          <w:sz w:val="24"/>
          <w:highlight w:val="none"/>
        </w:rPr>
        <w:t>2020年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日(双休日及法定节假日除外)</w:t>
      </w:r>
    </w:p>
    <w:p>
      <w:pPr>
        <w:widowControl/>
        <w:spacing w:before="75" w:after="75" w:line="360" w:lineRule="exact"/>
        <w:ind w:right="75"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上午：</w:t>
      </w:r>
      <w:bookmarkStart w:id="5" w:name="B19_竞争性谈判文件发售上午时间"/>
      <w:r>
        <w:rPr>
          <w:rFonts w:hint="eastAsia" w:ascii="宋体" w:hAnsi="宋体" w:cs="宋体"/>
          <w:color w:val="auto"/>
          <w:kern w:val="0"/>
          <w:sz w:val="24"/>
          <w:highlight w:val="none"/>
        </w:rPr>
        <w:t>9:00-11:30</w:t>
      </w:r>
      <w:bookmarkEnd w:id="5"/>
      <w:r>
        <w:rPr>
          <w:rFonts w:hint="eastAsia" w:ascii="宋体" w:hAnsi="宋体" w:cs="宋体"/>
          <w:color w:val="auto"/>
          <w:kern w:val="0"/>
          <w:sz w:val="24"/>
          <w:highlight w:val="none"/>
        </w:rPr>
        <w:t xml:space="preserve">        下午：</w:t>
      </w:r>
      <w:bookmarkStart w:id="6" w:name="B20_竞争性谈判文件发售下午时间"/>
      <w:r>
        <w:rPr>
          <w:rFonts w:hint="eastAsia" w:ascii="宋体" w:hAnsi="宋体" w:cs="宋体"/>
          <w:color w:val="auto"/>
          <w:kern w:val="0"/>
          <w:sz w:val="24"/>
          <w:highlight w:val="none"/>
        </w:rPr>
        <w:t>14:00-16:30</w:t>
      </w:r>
      <w:bookmarkEnd w:id="6"/>
    </w:p>
    <w:p>
      <w:pPr>
        <w:widowControl/>
        <w:spacing w:before="75" w:after="75" w:line="360" w:lineRule="exact"/>
        <w:ind w:right="75" w:firstLine="600" w:firstLineChars="250"/>
        <w:jc w:val="left"/>
        <w:rPr>
          <w:rFonts w:ascii="宋体" w:hAnsi="宋体" w:cs="宋体"/>
          <w:color w:val="auto"/>
          <w:kern w:val="0"/>
          <w:sz w:val="24"/>
          <w:highlight w:val="none"/>
        </w:rPr>
      </w:pPr>
      <w:r>
        <w:rPr>
          <w:rFonts w:hint="eastAsia" w:ascii="宋体" w:hAnsi="宋体" w:cs="宋体"/>
          <w:color w:val="auto"/>
          <w:kern w:val="0"/>
          <w:sz w:val="24"/>
          <w:highlight w:val="none"/>
        </w:rPr>
        <w:t>2.竞争性磋商文件售价(元)：</w:t>
      </w:r>
      <w:bookmarkStart w:id="7" w:name="B22_竞争性谈判文件售价"/>
      <w:r>
        <w:rPr>
          <w:rFonts w:hint="eastAsia" w:ascii="宋体" w:hAnsi="宋体" w:cs="宋体"/>
          <w:color w:val="auto"/>
          <w:kern w:val="0"/>
          <w:sz w:val="24"/>
          <w:highlight w:val="none"/>
        </w:rPr>
        <w:t>300</w:t>
      </w:r>
      <w:bookmarkEnd w:id="7"/>
      <w:r>
        <w:rPr>
          <w:rFonts w:hint="eastAsia" w:ascii="宋体" w:hAnsi="宋体" w:cs="宋体"/>
          <w:color w:val="auto"/>
          <w:kern w:val="0"/>
          <w:sz w:val="24"/>
          <w:highlight w:val="none"/>
        </w:rPr>
        <w:t>(售后不退)</w:t>
      </w:r>
    </w:p>
    <w:p>
      <w:pPr>
        <w:pStyle w:val="95"/>
        <w:spacing w:line="440" w:lineRule="exact"/>
        <w:ind w:firstLine="482"/>
        <w:rPr>
          <w:rFonts w:hint="default" w:ascii="宋体" w:hAnsi="宋体" w:cs="宋体"/>
          <w:color w:val="auto"/>
          <w:kern w:val="0"/>
          <w:sz w:val="24"/>
          <w:highlight w:val="none"/>
        </w:rPr>
      </w:pPr>
      <w:r>
        <w:rPr>
          <w:rFonts w:ascii="宋体" w:hAnsi="宋体" w:cs="宋体"/>
          <w:color w:val="auto"/>
          <w:kern w:val="0"/>
          <w:sz w:val="24"/>
          <w:highlight w:val="none"/>
        </w:rPr>
        <w:t xml:space="preserve"> 3.报名方式：前往浙江五石工程咨询有限公司官网：http://zjwsbidding.com/招投标专区进行报名。</w:t>
      </w:r>
    </w:p>
    <w:p>
      <w:pPr>
        <w:pStyle w:val="95"/>
        <w:spacing w:line="440" w:lineRule="exact"/>
        <w:ind w:firstLine="559" w:firstLineChars="233"/>
        <w:rPr>
          <w:rFonts w:hint="default" w:ascii="宋体" w:hAnsi="宋体" w:cs="宋体"/>
          <w:color w:val="auto"/>
          <w:kern w:val="0"/>
          <w:sz w:val="24"/>
          <w:highlight w:val="none"/>
        </w:rPr>
      </w:pPr>
      <w:r>
        <w:rPr>
          <w:rFonts w:ascii="宋体" w:hAnsi="宋体" w:cs="宋体"/>
          <w:color w:val="auto"/>
          <w:kern w:val="0"/>
          <w:sz w:val="24"/>
          <w:highlight w:val="none"/>
        </w:rPr>
        <w:t>4.获取标书时须提交的文件资料：</w:t>
      </w:r>
    </w:p>
    <w:p>
      <w:pPr>
        <w:ind w:firstLine="422"/>
        <w:rPr>
          <w:rFonts w:ascii="宋体" w:hAnsi="宋体" w:cs="宋体"/>
          <w:color w:val="auto"/>
          <w:kern w:val="0"/>
          <w:sz w:val="24"/>
          <w:highlight w:val="none"/>
        </w:rPr>
      </w:pPr>
      <w:r>
        <w:rPr>
          <w:rFonts w:ascii="宋体" w:hAnsi="宋体" w:cs="宋体"/>
          <w:color w:val="auto"/>
          <w:kern w:val="0"/>
          <w:sz w:val="24"/>
          <w:highlight w:val="none"/>
        </w:rPr>
        <w:t>（1）现场报名需提交的文件资料:</w:t>
      </w:r>
      <w:r>
        <w:rPr>
          <w:rFonts w:hint="eastAsia" w:ascii="宋体" w:hAnsi="宋体" w:cs="宋体"/>
          <w:color w:val="auto"/>
          <w:kern w:val="0"/>
          <w:sz w:val="24"/>
          <w:highlight w:val="none"/>
        </w:rPr>
        <w:t>营业执照副本复印件（加盖单位公章）；受委托代理人身份证原件及复印件（加盖单位公章）；法定代表人授权委托书原件；供应商报名登记表；特定资格要求证明材料</w:t>
      </w:r>
      <w:r>
        <w:rPr>
          <w:rFonts w:ascii="宋体" w:hAnsi="宋体" w:cs="宋体"/>
          <w:color w:val="auto"/>
          <w:kern w:val="0"/>
          <w:sz w:val="24"/>
          <w:highlight w:val="none"/>
        </w:rPr>
        <w:t>。</w:t>
      </w:r>
    </w:p>
    <w:p>
      <w:pPr>
        <w:pStyle w:val="95"/>
        <w:spacing w:line="440" w:lineRule="exact"/>
        <w:ind w:firstLine="482"/>
        <w:rPr>
          <w:rFonts w:hint="default" w:ascii="宋体" w:hAnsi="宋体" w:cs="宋体"/>
          <w:color w:val="auto"/>
          <w:kern w:val="0"/>
          <w:sz w:val="24"/>
          <w:highlight w:val="none"/>
        </w:rPr>
      </w:pPr>
      <w:r>
        <w:rPr>
          <w:rFonts w:ascii="宋体" w:hAnsi="宋体" w:cs="宋体"/>
          <w:color w:val="auto"/>
          <w:kern w:val="0"/>
          <w:sz w:val="24"/>
          <w:highlight w:val="none"/>
        </w:rPr>
        <w:t>提示：</w:t>
      </w:r>
    </w:p>
    <w:p>
      <w:pPr>
        <w:pStyle w:val="95"/>
        <w:spacing w:line="440" w:lineRule="exact"/>
        <w:ind w:firstLine="482"/>
        <w:rPr>
          <w:rFonts w:hint="default" w:ascii="宋体" w:hAnsi="宋体" w:cs="宋体"/>
          <w:color w:val="auto"/>
          <w:kern w:val="0"/>
          <w:sz w:val="24"/>
          <w:highlight w:val="none"/>
        </w:rPr>
      </w:pPr>
      <w:r>
        <w:rPr>
          <w:rFonts w:ascii="宋体" w:hAnsi="宋体" w:cs="宋体"/>
          <w:color w:val="auto"/>
          <w:kern w:val="0"/>
          <w:sz w:val="24"/>
          <w:highlight w:val="none"/>
        </w:rPr>
        <w:t>（1）采购机构将拒绝接受非报名供应商的响应文件。</w:t>
      </w:r>
    </w:p>
    <w:p>
      <w:pPr>
        <w:pStyle w:val="95"/>
        <w:spacing w:line="440" w:lineRule="exact"/>
        <w:ind w:firstLine="482"/>
        <w:rPr>
          <w:rFonts w:hint="default" w:ascii="宋体" w:hAnsi="宋体" w:cs="宋体"/>
          <w:color w:val="auto"/>
          <w:highlight w:val="none"/>
        </w:rPr>
      </w:pPr>
      <w:r>
        <w:rPr>
          <w:rFonts w:ascii="宋体" w:hAnsi="宋体" w:cs="宋体"/>
          <w:color w:val="auto"/>
          <w:kern w:val="0"/>
          <w:sz w:val="24"/>
          <w:highlight w:val="none"/>
        </w:rPr>
        <w:t>（2）磋商文件领取截止时间之后有潜在供应商提出要求获取磋商文件的，采购机构将允许其获取，但该供应商如对磋商文件有异议的，应于自磋商文件领取截止时间之日起七个工作日内以书面形式向采购机构提出。</w:t>
      </w:r>
    </w:p>
    <w:p>
      <w:pPr>
        <w:widowControl/>
        <w:spacing w:before="75" w:after="75" w:line="360" w:lineRule="exact"/>
        <w:ind w:left="75" w:right="75"/>
        <w:jc w:val="left"/>
        <w:rPr>
          <w:rFonts w:ascii="宋体" w:hAnsi="宋体" w:cs="宋体"/>
          <w:color w:val="auto"/>
          <w:kern w:val="0"/>
          <w:sz w:val="24"/>
          <w:highlight w:val="none"/>
        </w:rPr>
      </w:pPr>
      <w:r>
        <w:rPr>
          <w:rFonts w:hint="eastAsia" w:ascii="宋体" w:hAnsi="宋体" w:cs="宋体"/>
          <w:b/>
          <w:bCs/>
          <w:color w:val="auto"/>
          <w:kern w:val="0"/>
          <w:sz w:val="24"/>
          <w:highlight w:val="none"/>
        </w:rPr>
        <w:t>七</w:t>
      </w:r>
      <w:r>
        <w:rPr>
          <w:rFonts w:hint="eastAsia" w:ascii="宋体" w:hAnsi="宋体" w:cs="宋体"/>
          <w:b/>
          <w:color w:val="auto"/>
          <w:kern w:val="0"/>
          <w:sz w:val="24"/>
          <w:highlight w:val="none"/>
        </w:rPr>
        <w:t>、</w:t>
      </w:r>
      <w:r>
        <w:rPr>
          <w:rFonts w:hint="eastAsia" w:ascii="宋体" w:hAnsi="宋体" w:cs="宋体"/>
          <w:b/>
          <w:bCs/>
          <w:color w:val="auto"/>
          <w:kern w:val="0"/>
          <w:sz w:val="24"/>
          <w:highlight w:val="none"/>
        </w:rPr>
        <w:t>磋商响应截止时间：</w:t>
      </w:r>
      <w:r>
        <w:rPr>
          <w:rFonts w:hint="eastAsia" w:ascii="宋体" w:hAnsi="宋体" w:cs="宋体"/>
          <w:color w:val="auto"/>
          <w:kern w:val="0"/>
          <w:sz w:val="24"/>
          <w:highlight w:val="none"/>
        </w:rPr>
        <w:t>2020年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时 30 分</w:t>
      </w:r>
    </w:p>
    <w:p>
      <w:pPr>
        <w:widowControl/>
        <w:spacing w:before="75" w:after="75" w:line="360" w:lineRule="exact"/>
        <w:ind w:left="75" w:right="75"/>
        <w:jc w:val="left"/>
        <w:rPr>
          <w:rFonts w:ascii="宋体" w:hAnsi="宋体"/>
          <w:color w:val="auto"/>
          <w:kern w:val="0"/>
          <w:highlight w:val="none"/>
        </w:rPr>
      </w:pPr>
      <w:r>
        <w:rPr>
          <w:rFonts w:hint="eastAsia" w:ascii="宋体" w:hAnsi="宋体" w:cs="宋体"/>
          <w:b/>
          <w:bCs/>
          <w:color w:val="auto"/>
          <w:kern w:val="0"/>
          <w:sz w:val="24"/>
          <w:highlight w:val="none"/>
        </w:rPr>
        <w:t>八、磋商响应文件提交地点：</w:t>
      </w:r>
      <w:r>
        <w:rPr>
          <w:rFonts w:hint="eastAsia" w:ascii="宋体" w:hAnsi="宋体" w:cs="宋体"/>
          <w:color w:val="auto"/>
          <w:kern w:val="0"/>
          <w:sz w:val="24"/>
          <w:highlight w:val="none"/>
        </w:rPr>
        <w:t>杭州市滨江区东方通信科技园启迪楼2楼会议室（2）</w:t>
      </w:r>
    </w:p>
    <w:p>
      <w:pPr>
        <w:widowControl/>
        <w:spacing w:before="75" w:after="75" w:line="360" w:lineRule="exact"/>
        <w:ind w:left="75" w:right="75"/>
        <w:jc w:val="left"/>
        <w:rPr>
          <w:rFonts w:ascii="宋体" w:hAnsi="宋体" w:cs="宋体"/>
          <w:b/>
          <w:bCs/>
          <w:color w:val="auto"/>
          <w:kern w:val="0"/>
          <w:sz w:val="24"/>
          <w:highlight w:val="none"/>
        </w:rPr>
      </w:pPr>
      <w:r>
        <w:rPr>
          <w:rFonts w:hint="eastAsia" w:ascii="宋体" w:hAnsi="宋体" w:cs="宋体"/>
          <w:b/>
          <w:color w:val="auto"/>
          <w:kern w:val="0"/>
          <w:sz w:val="24"/>
          <w:highlight w:val="none"/>
        </w:rPr>
        <w:t>九、磋商时间</w:t>
      </w:r>
      <w:r>
        <w:rPr>
          <w:rFonts w:hint="eastAsia" w:ascii="宋体" w:hAnsi="宋体" w:cs="宋体"/>
          <w:b/>
          <w:bCs/>
          <w:color w:val="auto"/>
          <w:kern w:val="0"/>
          <w:sz w:val="24"/>
          <w:highlight w:val="none"/>
        </w:rPr>
        <w:t>：</w:t>
      </w:r>
      <w:r>
        <w:rPr>
          <w:rFonts w:hint="eastAsia" w:ascii="宋体" w:hAnsi="宋体" w:cs="宋体"/>
          <w:color w:val="auto"/>
          <w:kern w:val="0"/>
          <w:sz w:val="24"/>
          <w:highlight w:val="none"/>
        </w:rPr>
        <w:t>2020年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时 30 分</w:t>
      </w:r>
    </w:p>
    <w:p>
      <w:pPr>
        <w:widowControl/>
        <w:spacing w:before="75" w:after="75" w:line="360" w:lineRule="exact"/>
        <w:ind w:left="75" w:right="75"/>
        <w:jc w:val="left"/>
        <w:rPr>
          <w:rFonts w:hint="default"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rPr>
        <w:t>十</w:t>
      </w:r>
      <w:r>
        <w:rPr>
          <w:rFonts w:hint="eastAsia" w:ascii="宋体" w:hAnsi="宋体" w:cs="宋体"/>
          <w:b/>
          <w:color w:val="auto"/>
          <w:kern w:val="0"/>
          <w:sz w:val="24"/>
          <w:highlight w:val="none"/>
        </w:rPr>
        <w:t>、</w:t>
      </w:r>
      <w:r>
        <w:rPr>
          <w:rFonts w:hint="eastAsia" w:ascii="宋体" w:hAnsi="宋体" w:cs="宋体"/>
          <w:b/>
          <w:bCs/>
          <w:color w:val="auto"/>
          <w:kern w:val="0"/>
          <w:sz w:val="24"/>
          <w:highlight w:val="none"/>
        </w:rPr>
        <w:t>磋商地点：</w:t>
      </w:r>
      <w:r>
        <w:rPr>
          <w:rFonts w:hint="eastAsia" w:ascii="宋体" w:hAnsi="宋体" w:cs="宋体"/>
          <w:color w:val="auto"/>
          <w:kern w:val="0"/>
          <w:sz w:val="24"/>
          <w:highlight w:val="none"/>
        </w:rPr>
        <w:t>杭州市滨江区东方通信科技园启迪楼2楼</w:t>
      </w:r>
      <w:r>
        <w:rPr>
          <w:rFonts w:hint="eastAsia" w:ascii="宋体" w:hAnsi="宋体" w:cs="宋体"/>
          <w:color w:val="auto"/>
          <w:kern w:val="0"/>
          <w:sz w:val="24"/>
          <w:highlight w:val="none"/>
          <w:lang w:val="en-US" w:eastAsia="zh-CN"/>
        </w:rPr>
        <w:t>1208室</w:t>
      </w:r>
    </w:p>
    <w:p>
      <w:pPr>
        <w:widowControl/>
        <w:spacing w:before="75" w:after="75" w:line="360" w:lineRule="exact"/>
        <w:ind w:left="75" w:right="75"/>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十一</w:t>
      </w:r>
      <w:r>
        <w:rPr>
          <w:rFonts w:hint="eastAsia" w:ascii="宋体" w:hAnsi="宋体" w:cs="宋体"/>
          <w:b/>
          <w:color w:val="auto"/>
          <w:kern w:val="0"/>
          <w:sz w:val="24"/>
          <w:highlight w:val="none"/>
        </w:rPr>
        <w:t>、</w:t>
      </w:r>
      <w:r>
        <w:rPr>
          <w:rFonts w:hint="eastAsia" w:ascii="宋体" w:hAnsi="宋体" w:cs="宋体"/>
          <w:b/>
          <w:bCs/>
          <w:color w:val="auto"/>
          <w:kern w:val="0"/>
          <w:sz w:val="24"/>
          <w:highlight w:val="none"/>
        </w:rPr>
        <w:t>磋商保证金：</w:t>
      </w:r>
    </w:p>
    <w:p>
      <w:pPr>
        <w:widowControl/>
        <w:spacing w:before="75" w:after="75" w:line="360" w:lineRule="exact"/>
        <w:ind w:left="75" w:right="75" w:firstLine="480" w:firstLineChars="200"/>
        <w:jc w:val="left"/>
        <w:rPr>
          <w:rFonts w:hint="eastAsia" w:ascii="宋体" w:hAnsi="宋体" w:cs="宋体"/>
          <w:color w:val="auto"/>
          <w:kern w:val="0"/>
          <w:sz w:val="24"/>
          <w:highlight w:val="none"/>
          <w:lang w:val="zh-TW" w:eastAsia="zh-TW"/>
        </w:rPr>
      </w:pPr>
      <w:r>
        <w:rPr>
          <w:rFonts w:hint="eastAsia" w:ascii="宋体" w:hAnsi="宋体" w:cs="宋体"/>
          <w:color w:val="auto"/>
          <w:kern w:val="0"/>
          <w:sz w:val="24"/>
          <w:highlight w:val="none"/>
          <w:lang w:val="zh-TW" w:eastAsia="zh-TW"/>
        </w:rPr>
        <w:t>投标保证金：人民币</w:t>
      </w:r>
      <w:r>
        <w:rPr>
          <w:rFonts w:hint="eastAsia" w:ascii="宋体" w:hAnsi="宋体" w:cs="宋体"/>
          <w:color w:val="auto"/>
          <w:kern w:val="0"/>
          <w:sz w:val="24"/>
          <w:highlight w:val="none"/>
          <w:lang w:val="en-US" w:eastAsia="zh-CN"/>
        </w:rPr>
        <w:t>5000</w:t>
      </w:r>
      <w:r>
        <w:rPr>
          <w:rFonts w:hint="eastAsia" w:ascii="宋体" w:hAnsi="宋体" w:cs="宋体"/>
          <w:color w:val="auto"/>
          <w:kern w:val="0"/>
          <w:sz w:val="24"/>
          <w:highlight w:val="none"/>
          <w:lang w:val="zh-TW" w:eastAsia="zh-TW"/>
        </w:rPr>
        <w:t>元整。于20</w:t>
      </w: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lang w:val="zh-TW" w:eastAsia="zh-TW"/>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lang w:val="zh-TW" w:eastAsia="zh-TW"/>
        </w:rPr>
        <w:t>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lang w:val="zh-TW" w:eastAsia="zh-TW"/>
        </w:rPr>
        <w:t xml:space="preserve"> 日16时前须电汇到达指定账号（电汇时请注明招标编号）提交投标保证金时间：每天上午9:00—11:30，下午1:30—4:30，节假日除外。</w:t>
      </w:r>
    </w:p>
    <w:p>
      <w:pPr>
        <w:widowControl/>
        <w:spacing w:before="75" w:after="75" w:line="360" w:lineRule="exact"/>
        <w:ind w:left="75" w:right="75" w:firstLine="480" w:firstLineChars="200"/>
        <w:jc w:val="left"/>
        <w:rPr>
          <w:rFonts w:hint="eastAsia" w:ascii="宋体" w:hAnsi="宋体" w:cs="宋体"/>
          <w:color w:val="auto"/>
          <w:kern w:val="0"/>
          <w:sz w:val="24"/>
          <w:highlight w:val="none"/>
          <w:lang w:val="zh-TW" w:eastAsia="zh-TW"/>
        </w:rPr>
      </w:pPr>
      <w:r>
        <w:rPr>
          <w:rFonts w:hint="eastAsia" w:ascii="宋体" w:hAnsi="宋体" w:cs="宋体"/>
          <w:color w:val="auto"/>
          <w:kern w:val="0"/>
          <w:sz w:val="24"/>
          <w:highlight w:val="none"/>
          <w:lang w:val="zh-TW" w:eastAsia="zh-TW"/>
        </w:rPr>
        <w:t>单位名称：浙江五石工程咨询有限公司</w:t>
      </w:r>
    </w:p>
    <w:p>
      <w:pPr>
        <w:widowControl/>
        <w:spacing w:before="75" w:after="75" w:line="360" w:lineRule="exact"/>
        <w:ind w:left="75" w:right="75" w:firstLine="480" w:firstLineChars="200"/>
        <w:jc w:val="left"/>
        <w:rPr>
          <w:rFonts w:hint="eastAsia" w:ascii="宋体" w:hAnsi="宋体" w:cs="宋体"/>
          <w:color w:val="auto"/>
          <w:kern w:val="0"/>
          <w:sz w:val="24"/>
          <w:highlight w:val="none"/>
          <w:lang w:val="zh-TW" w:eastAsia="zh-TW"/>
        </w:rPr>
      </w:pPr>
      <w:r>
        <w:rPr>
          <w:rFonts w:hint="eastAsia" w:ascii="宋体" w:hAnsi="宋体" w:cs="宋体"/>
          <w:color w:val="auto"/>
          <w:kern w:val="0"/>
          <w:sz w:val="24"/>
          <w:highlight w:val="none"/>
          <w:lang w:val="zh-TW" w:eastAsia="zh-TW"/>
        </w:rPr>
        <w:t>账    号：583595811900015</w:t>
      </w:r>
    </w:p>
    <w:p>
      <w:pPr>
        <w:widowControl/>
        <w:spacing w:before="75" w:after="75" w:line="360" w:lineRule="exact"/>
        <w:ind w:left="75" w:right="75" w:firstLine="480" w:firstLineChars="200"/>
        <w:jc w:val="left"/>
        <w:rPr>
          <w:rFonts w:hint="eastAsia" w:ascii="宋体" w:hAnsi="宋体" w:cs="宋体"/>
          <w:color w:val="auto"/>
          <w:kern w:val="0"/>
          <w:sz w:val="24"/>
          <w:highlight w:val="none"/>
          <w:lang w:val="zh-TW" w:eastAsia="zh-TW"/>
        </w:rPr>
      </w:pPr>
      <w:r>
        <w:rPr>
          <w:rFonts w:hint="eastAsia" w:ascii="宋体" w:hAnsi="宋体" w:cs="宋体"/>
          <w:color w:val="auto"/>
          <w:kern w:val="0"/>
          <w:sz w:val="24"/>
          <w:highlight w:val="none"/>
          <w:lang w:val="zh-TW" w:eastAsia="zh-TW"/>
        </w:rPr>
        <w:t>开户行：浙江民泰商业银行杭州钱江新城支行</w:t>
      </w:r>
      <w:bookmarkStart w:id="76" w:name="_GoBack"/>
      <w:bookmarkEnd w:id="76"/>
    </w:p>
    <w:p>
      <w:pPr>
        <w:widowControl/>
        <w:spacing w:before="75" w:after="75" w:line="400" w:lineRule="exact"/>
        <w:ind w:left="75" w:right="75"/>
        <w:jc w:val="left"/>
        <w:rPr>
          <w:rFonts w:ascii="宋体" w:hAnsi="宋体" w:cs="宋体"/>
          <w:color w:val="auto"/>
          <w:kern w:val="0"/>
          <w:sz w:val="24"/>
          <w:highlight w:val="none"/>
          <w:shd w:val="clear" w:color="auto" w:fill="FDFAF5"/>
        </w:rPr>
      </w:pPr>
      <w:r>
        <w:rPr>
          <w:rFonts w:hint="eastAsia" w:ascii="宋体" w:hAnsi="宋体" w:cs="宋体"/>
          <w:b/>
          <w:color w:val="auto"/>
          <w:kern w:val="0"/>
          <w:sz w:val="24"/>
          <w:highlight w:val="none"/>
        </w:rPr>
        <w:t>十二、其他事项：</w:t>
      </w:r>
    </w:p>
    <w:p>
      <w:pPr>
        <w:keepNext w:val="0"/>
        <w:keepLines w:val="0"/>
        <w:pageBreakBefore w:val="0"/>
        <w:widowControl/>
        <w:kinsoku/>
        <w:wordWrap/>
        <w:overflowPunct/>
        <w:topLinePunct w:val="0"/>
        <w:autoSpaceDE/>
        <w:autoSpaceDN/>
        <w:bidi w:val="0"/>
        <w:adjustRightInd/>
        <w:snapToGrid/>
        <w:spacing w:before="75" w:after="75" w:line="360" w:lineRule="exact"/>
        <w:ind w:left="74" w:right="74" w:firstLine="480" w:firstLineChars="200"/>
        <w:jc w:val="left"/>
        <w:textAlignment w:val="auto"/>
        <w:rPr>
          <w:rFonts w:ascii="宋体" w:hAnsi="宋体" w:cs="宋体"/>
          <w:color w:val="auto"/>
          <w:kern w:val="0"/>
          <w:sz w:val="24"/>
          <w:highlight w:val="none"/>
          <w:lang w:val="zh-TW" w:eastAsia="zh-TW"/>
        </w:rPr>
      </w:pPr>
      <w:r>
        <w:rPr>
          <w:rFonts w:hint="eastAsia" w:ascii="宋体" w:hAnsi="宋体" w:cs="宋体"/>
          <w:color w:val="auto"/>
          <w:kern w:val="0"/>
          <w:sz w:val="24"/>
          <w:highlight w:val="none"/>
          <w:lang w:val="zh-TW" w:eastAsia="zh-TW"/>
        </w:rPr>
        <w:t>1、供应商认为</w:t>
      </w:r>
      <w:r>
        <w:rPr>
          <w:rFonts w:hint="eastAsia" w:ascii="宋体" w:hAnsi="宋体" w:cs="宋体"/>
          <w:color w:val="auto"/>
          <w:kern w:val="0"/>
          <w:sz w:val="24"/>
          <w:highlight w:val="none"/>
          <w:lang w:val="zh-TW"/>
        </w:rPr>
        <w:t>磋商文件</w:t>
      </w:r>
      <w:r>
        <w:rPr>
          <w:rFonts w:hint="eastAsia" w:ascii="宋体" w:hAnsi="宋体" w:cs="宋体"/>
          <w:color w:val="auto"/>
          <w:kern w:val="0"/>
          <w:sz w:val="24"/>
          <w:highlight w:val="none"/>
          <w:lang w:val="zh-TW" w:eastAsia="zh-TW"/>
        </w:rPr>
        <w:t>使自己的权益受到损害的，可以自获取</w:t>
      </w:r>
      <w:r>
        <w:rPr>
          <w:rFonts w:hint="eastAsia" w:ascii="宋体" w:hAnsi="宋体" w:cs="宋体"/>
          <w:color w:val="auto"/>
          <w:kern w:val="0"/>
          <w:sz w:val="24"/>
          <w:highlight w:val="none"/>
          <w:lang w:val="zh-TW"/>
        </w:rPr>
        <w:t>磋商文件</w:t>
      </w:r>
      <w:r>
        <w:rPr>
          <w:rFonts w:hint="eastAsia" w:ascii="宋体" w:hAnsi="宋体" w:cs="宋体"/>
          <w:color w:val="auto"/>
          <w:kern w:val="0"/>
          <w:sz w:val="24"/>
          <w:highlight w:val="none"/>
          <w:lang w:val="zh-TW" w:eastAsia="zh-TW"/>
        </w:rPr>
        <w:t>之日或者</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TW" w:eastAsia="zh-TW"/>
        </w:rPr>
        <w:t>文件公告期限届满之日（公告期限届满后获取</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TW" w:eastAsia="zh-TW"/>
        </w:rPr>
        <w:t>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2、采购项目需要落实的政府采购政策</w:t>
      </w:r>
    </w:p>
    <w:p>
      <w:pPr>
        <w:widowControl/>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节能环保政策；促进中小企业发展、支持监狱企业发展、促进残疾人就业，给予价格扣除；采购本国货物。</w:t>
      </w:r>
    </w:p>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3、其他事项</w:t>
      </w:r>
    </w:p>
    <w:p>
      <w:pPr>
        <w:widowControl/>
        <w:spacing w:line="4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bCs/>
          <w:color w:val="auto"/>
          <w:kern w:val="0"/>
          <w:sz w:val="24"/>
          <w:highlight w:val="none"/>
        </w:rPr>
        <w:t>非浙江省政府采购网注册的供应商或发生变更且未及时更新的供应商，应当按照《浙江省政府采购供应商注册及诚信管理暂行办法》（浙财采监字［2009］28号）的相关规定，及时办理供应商注册或更新事项。</w:t>
      </w:r>
      <w:r>
        <w:rPr>
          <w:rFonts w:hint="eastAsia" w:ascii="宋体" w:hAnsi="宋体" w:cs="宋体"/>
          <w:color w:val="auto"/>
          <w:kern w:val="0"/>
          <w:sz w:val="24"/>
          <w:highlight w:val="none"/>
          <w:lang w:eastAsia="zh-CN"/>
        </w:rPr>
        <w:t xml:space="preserve"> </w:t>
      </w:r>
    </w:p>
    <w:p>
      <w:pPr>
        <w:pStyle w:val="17"/>
        <w:numPr>
          <w:ilvl w:val="0"/>
          <w:numId w:val="1"/>
        </w:numPr>
        <w:ind w:firstLine="0"/>
        <w:rPr>
          <w:rFonts w:ascii="宋体" w:hAnsi="宋体" w:eastAsia="宋体" w:cs="宋体"/>
          <w:b/>
          <w:bCs/>
          <w:color w:val="auto"/>
          <w:szCs w:val="24"/>
          <w:highlight w:val="none"/>
        </w:rPr>
      </w:pPr>
      <w:r>
        <w:rPr>
          <w:rFonts w:hint="eastAsia" w:ascii="宋体" w:hAnsi="宋体" w:eastAsia="宋体" w:cs="宋体"/>
          <w:b/>
          <w:bCs/>
          <w:color w:val="auto"/>
          <w:szCs w:val="24"/>
          <w:highlight w:val="none"/>
        </w:rPr>
        <w:t>书面质疑受理地点</w:t>
      </w:r>
    </w:p>
    <w:p>
      <w:pPr>
        <w:pStyle w:val="17"/>
        <w:spacing w:line="400" w:lineRule="exact"/>
        <w:ind w:firstLine="480" w:firstLineChars="200"/>
        <w:jc w:val="left"/>
        <w:rPr>
          <w:rFonts w:hint="eastAsia" w:ascii="宋体" w:hAnsi="宋体" w:eastAsia="宋体" w:cs="宋体"/>
          <w:bCs/>
          <w:color w:val="auto"/>
          <w:szCs w:val="24"/>
          <w:highlight w:val="none"/>
          <w:lang w:eastAsia="zh-CN"/>
        </w:rPr>
      </w:pPr>
      <w:r>
        <w:rPr>
          <w:rFonts w:hint="eastAsia" w:ascii="宋体" w:hAnsi="宋体" w:eastAsia="宋体" w:cs="宋体"/>
          <w:bCs/>
          <w:color w:val="auto"/>
          <w:szCs w:val="24"/>
          <w:highlight w:val="none"/>
        </w:rPr>
        <w:t>采购代理机构：杭州市滨江区东方通信科技园启迪楼2楼1207室，联系人：毛工，联系方式：0571-87919156；采购人：杭州市科海路288号，联系人：王老师 ；联系电话：0571-87328693。</w:t>
      </w:r>
      <w:r>
        <w:rPr>
          <w:rFonts w:hint="eastAsia" w:ascii="宋体" w:hAnsi="宋体" w:eastAsia="宋体" w:cs="宋体"/>
          <w:bCs/>
          <w:color w:val="auto"/>
          <w:szCs w:val="24"/>
          <w:highlight w:val="none"/>
          <w:lang w:eastAsia="zh-CN"/>
        </w:rPr>
        <w:t xml:space="preserve"> </w:t>
      </w:r>
    </w:p>
    <w:p>
      <w:pPr>
        <w:widowControl/>
        <w:spacing w:before="75" w:after="75" w:line="360" w:lineRule="exact"/>
        <w:ind w:left="75" w:right="75"/>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十三、联系方式</w:t>
      </w:r>
    </w:p>
    <w:p>
      <w:pPr>
        <w:widowControl/>
        <w:spacing w:line="400" w:lineRule="exact"/>
        <w:jc w:val="left"/>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1、采购代理机构名称：浙江五石工程咨询有限公司</w:t>
      </w:r>
      <w:r>
        <w:rPr>
          <w:rFonts w:hint="eastAsia" w:ascii="宋体" w:hAnsi="宋体" w:cs="宋体"/>
          <w:b w:val="0"/>
          <w:bCs w:val="0"/>
          <w:color w:val="auto"/>
          <w:kern w:val="0"/>
          <w:sz w:val="24"/>
          <w:highlight w:val="none"/>
          <w:lang w:eastAsia="zh-CN"/>
        </w:rPr>
        <w:t xml:space="preserve"> </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联系人：俞工</w:t>
      </w:r>
    </w:p>
    <w:p>
      <w:pPr>
        <w:widowControl/>
        <w:spacing w:line="400" w:lineRule="exact"/>
        <w:jc w:val="left"/>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联系电话：</w:t>
      </w:r>
      <w:r>
        <w:rPr>
          <w:rFonts w:hint="eastAsia" w:ascii="宋体" w:hAnsi="宋体"/>
          <w:b w:val="0"/>
          <w:bCs w:val="0"/>
          <w:color w:val="auto"/>
          <w:kern w:val="0"/>
          <w:sz w:val="24"/>
          <w:highlight w:val="none"/>
        </w:rPr>
        <w:t>0571-87805727-802</w:t>
      </w:r>
      <w:r>
        <w:rPr>
          <w:rFonts w:hint="eastAsia" w:ascii="宋体" w:hAnsi="宋体" w:cs="宋体"/>
          <w:b w:val="0"/>
          <w:bCs w:val="0"/>
          <w:color w:val="auto"/>
          <w:kern w:val="0"/>
          <w:sz w:val="24"/>
          <w:highlight w:val="none"/>
          <w:lang w:eastAsia="zh-CN"/>
        </w:rPr>
        <w:t xml:space="preserve"> </w:t>
      </w:r>
    </w:p>
    <w:p>
      <w:pPr>
        <w:widowControl/>
        <w:spacing w:line="400" w:lineRule="exact"/>
        <w:jc w:val="left"/>
        <w:rPr>
          <w:rFonts w:hint="eastAsia" w:ascii="宋体" w:hAnsi="宋体" w:eastAsia="宋体" w:cs="宋体"/>
          <w:b w:val="0"/>
          <w:bCs w:val="0"/>
          <w:color w:val="auto"/>
          <w:kern w:val="0"/>
          <w:sz w:val="24"/>
          <w:highlight w:val="none"/>
          <w:lang w:eastAsia="zh-CN"/>
        </w:rPr>
      </w:pPr>
      <w:r>
        <w:rPr>
          <w:rFonts w:hint="eastAsia" w:ascii="宋体" w:hAnsi="宋体" w:cs="宋体"/>
          <w:b w:val="0"/>
          <w:bCs w:val="0"/>
          <w:color w:val="auto"/>
          <w:kern w:val="0"/>
          <w:sz w:val="24"/>
          <w:highlight w:val="none"/>
        </w:rPr>
        <w:t>地址：</w:t>
      </w:r>
      <w:r>
        <w:rPr>
          <w:rFonts w:hint="eastAsia" w:ascii="宋体" w:hAnsi="宋体" w:cs="宋体"/>
          <w:b w:val="0"/>
          <w:bCs w:val="0"/>
          <w:color w:val="auto"/>
          <w:sz w:val="24"/>
          <w:highlight w:val="none"/>
        </w:rPr>
        <w:t>杭州市滨江区东方通信科技园启迪楼2楼1207室</w:t>
      </w:r>
      <w:r>
        <w:rPr>
          <w:rFonts w:hint="eastAsia" w:ascii="宋体" w:hAnsi="宋体" w:cs="宋体"/>
          <w:b w:val="0"/>
          <w:bCs w:val="0"/>
          <w:color w:val="auto"/>
          <w:kern w:val="0"/>
          <w:sz w:val="24"/>
          <w:highlight w:val="none"/>
          <w:lang w:eastAsia="zh-CN"/>
        </w:rPr>
        <w:t xml:space="preserve"> </w:t>
      </w:r>
    </w:p>
    <w:p>
      <w:pPr>
        <w:widowControl/>
        <w:numPr>
          <w:ilvl w:val="0"/>
          <w:numId w:val="2"/>
        </w:numPr>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采购人名称：</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联系人：骆老师、梅老师</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联系电话：0571-87326067、0571-87326011</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地址：杭州市科海路288号</w:t>
      </w:r>
    </w:p>
    <w:p>
      <w:pPr>
        <w:widowControl/>
        <w:numPr>
          <w:ilvl w:val="0"/>
          <w:numId w:val="2"/>
        </w:numPr>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 xml:space="preserve">监督管理部门名称：中共杭州市委党校 </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 xml:space="preserve">联系人：夏老师 </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 xml:space="preserve">联系电话：0571-87326218 </w:t>
      </w:r>
    </w:p>
    <w:p>
      <w:pPr>
        <w:widowControl/>
        <w:spacing w:line="400" w:lineRule="exact"/>
        <w:jc w:val="left"/>
        <w:rPr>
          <w:rFonts w:ascii="宋体" w:hAnsi="宋体" w:cs="宋体"/>
          <w:b w:val="0"/>
          <w:bCs w:val="0"/>
          <w:color w:val="auto"/>
          <w:kern w:val="0"/>
          <w:sz w:val="24"/>
          <w:highlight w:val="none"/>
        </w:rPr>
      </w:pPr>
      <w:r>
        <w:rPr>
          <w:rFonts w:hint="eastAsia" w:ascii="宋体" w:hAnsi="宋体" w:cs="宋体"/>
          <w:b w:val="0"/>
          <w:bCs w:val="0"/>
          <w:color w:val="auto"/>
          <w:kern w:val="0"/>
          <w:sz w:val="24"/>
          <w:highlight w:val="none"/>
        </w:rPr>
        <w:t xml:space="preserve">地址：杭州市西湖区科海路 288 号 </w:t>
      </w:r>
    </w:p>
    <w:p>
      <w:pPr>
        <w:widowControl/>
        <w:spacing w:before="60" w:after="60" w:line="360" w:lineRule="exact"/>
        <w:ind w:right="62" w:firstLine="480" w:firstLineChars="200"/>
        <w:jc w:val="left"/>
        <w:rPr>
          <w:rFonts w:ascii="宋体" w:hAnsi="宋体" w:cs="宋体"/>
          <w:color w:val="auto"/>
          <w:kern w:val="0"/>
          <w:sz w:val="24"/>
          <w:highlight w:val="none"/>
        </w:rPr>
      </w:pPr>
    </w:p>
    <w:p>
      <w:pPr>
        <w:jc w:val="left"/>
        <w:rPr>
          <w:rFonts w:ascii="宋体" w:hAnsi="宋体" w:cs="宋体"/>
          <w:b/>
          <w:bCs/>
          <w:color w:val="auto"/>
          <w:sz w:val="32"/>
          <w:szCs w:val="32"/>
          <w:highlight w:val="none"/>
        </w:rPr>
      </w:pPr>
      <w:bookmarkStart w:id="8" w:name="_Toc5424"/>
      <w:r>
        <w:rPr>
          <w:rFonts w:hint="eastAsia" w:ascii="宋体" w:hAnsi="宋体" w:cs="宋体"/>
          <w:b/>
          <w:bCs/>
          <w:color w:val="auto"/>
          <w:sz w:val="32"/>
          <w:szCs w:val="32"/>
          <w:highlight w:val="none"/>
        </w:rPr>
        <w:br w:type="page"/>
      </w:r>
    </w:p>
    <w:p>
      <w:pPr>
        <w:autoSpaceDE w:val="0"/>
        <w:autoSpaceDN w:val="0"/>
        <w:spacing w:line="400" w:lineRule="exact"/>
        <w:ind w:firstLine="643" w:firstLineChars="200"/>
        <w:jc w:val="center"/>
        <w:textAlignment w:val="bottom"/>
        <w:outlineLvl w:val="0"/>
        <w:rPr>
          <w:rFonts w:ascii="宋体" w:hAnsi="宋体" w:cs="宋体"/>
          <w:b/>
          <w:bCs/>
          <w:color w:val="auto"/>
          <w:sz w:val="32"/>
          <w:szCs w:val="32"/>
          <w:highlight w:val="none"/>
        </w:rPr>
      </w:pPr>
      <w:bookmarkStart w:id="9" w:name="_Toc20156"/>
      <w:r>
        <w:rPr>
          <w:rFonts w:hint="eastAsia" w:ascii="宋体" w:hAnsi="宋体" w:cs="宋体"/>
          <w:b/>
          <w:bCs/>
          <w:color w:val="auto"/>
          <w:sz w:val="32"/>
          <w:szCs w:val="32"/>
          <w:highlight w:val="none"/>
        </w:rPr>
        <w:t>第二部分 响应须知前附表</w:t>
      </w:r>
      <w:bookmarkEnd w:id="8"/>
      <w:bookmarkEnd w:id="9"/>
    </w:p>
    <w:tbl>
      <w:tblPr>
        <w:tblStyle w:val="3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972"/>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序号</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项  目</w:t>
            </w:r>
          </w:p>
        </w:tc>
        <w:tc>
          <w:tcPr>
            <w:tcW w:w="7059"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1</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项目名称</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olor w:val="auto"/>
                <w:sz w:val="24"/>
                <w:highlight w:val="none"/>
              </w:rPr>
              <w:t>杭州市委党校2020年度职工疗养项目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2</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采购方式</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1972" w:type="dxa"/>
            <w:vAlign w:val="center"/>
          </w:tcPr>
          <w:p>
            <w:pPr>
              <w:snapToGrid w:val="0"/>
              <w:jc w:val="left"/>
              <w:rPr>
                <w:rFonts w:ascii="宋体" w:hAnsi="宋体" w:cs="宋体"/>
                <w:color w:val="auto"/>
                <w:sz w:val="24"/>
                <w:highlight w:val="none"/>
                <w:lang w:val="zh-CN"/>
              </w:rPr>
            </w:pPr>
            <w:r>
              <w:rPr>
                <w:rFonts w:hint="eastAsia" w:ascii="宋体" w:hAnsi="宋体" w:cs="宋体"/>
                <w:color w:val="auto"/>
                <w:sz w:val="24"/>
                <w:highlight w:val="none"/>
              </w:rPr>
              <w:t>磋商供应商应当提交的资格、资信证明文件</w:t>
            </w:r>
          </w:p>
        </w:tc>
        <w:tc>
          <w:tcPr>
            <w:tcW w:w="7059" w:type="dxa"/>
            <w:vAlign w:val="center"/>
          </w:tcPr>
          <w:p>
            <w:pPr>
              <w:numPr>
                <w:ilvl w:val="0"/>
                <w:numId w:val="3"/>
              </w:numPr>
              <w:snapToGrid w:val="0"/>
              <w:spacing w:line="300" w:lineRule="exact"/>
              <w:rPr>
                <w:rFonts w:ascii="宋体" w:hAnsi="宋体" w:cs="宋体"/>
                <w:b/>
                <w:color w:val="auto"/>
                <w:sz w:val="24"/>
                <w:highlight w:val="none"/>
              </w:rPr>
            </w:pPr>
            <w:r>
              <w:rPr>
                <w:rFonts w:hint="eastAsia" w:ascii="宋体" w:hAnsi="宋体" w:cs="宋体"/>
                <w:b/>
                <w:color w:val="auto"/>
                <w:sz w:val="24"/>
                <w:highlight w:val="none"/>
              </w:rPr>
              <w:t>资格性审查要求的资格证明文件：</w:t>
            </w:r>
          </w:p>
          <w:p>
            <w:pPr>
              <w:numPr>
                <w:ilvl w:val="0"/>
                <w:numId w:val="4"/>
              </w:num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w:t>
            </w:r>
          </w:p>
          <w:p>
            <w:pPr>
              <w:numPr>
                <w:ilvl w:val="0"/>
                <w:numId w:val="4"/>
              </w:num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2019年度资产负债表等财务报表资料文件复印件(新成立的公司，必须提供情况说明)；</w:t>
            </w:r>
          </w:p>
          <w:p>
            <w:pPr>
              <w:numPr>
                <w:ilvl w:val="0"/>
                <w:numId w:val="4"/>
              </w:num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具有履行合同所必需的设备和专业技术能力的承诺函;</w:t>
            </w:r>
          </w:p>
          <w:p>
            <w:pPr>
              <w:numPr>
                <w:ilvl w:val="0"/>
                <w:numId w:val="4"/>
              </w:num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参加政府采购活动前三年内，在经营活动中没有重大违法记录的声明；</w:t>
            </w:r>
          </w:p>
          <w:p>
            <w:pPr>
              <w:numPr>
                <w:ilvl w:val="0"/>
                <w:numId w:val="4"/>
              </w:numPr>
              <w:snapToGrid w:val="0"/>
              <w:spacing w:line="300" w:lineRule="exact"/>
              <w:jc w:val="left"/>
              <w:rPr>
                <w:rFonts w:ascii="宋体" w:hAnsi="宋体" w:cs="宋体"/>
                <w:color w:val="auto"/>
                <w:sz w:val="24"/>
                <w:highlight w:val="none"/>
              </w:rPr>
            </w:pPr>
            <w:r>
              <w:rPr>
                <w:rFonts w:hint="eastAsia" w:hAnsi="宋体"/>
                <w:color w:val="auto"/>
                <w:sz w:val="24"/>
                <w:highlight w:val="none"/>
              </w:rPr>
              <w:t>《旅行社业务经营许可证》；</w:t>
            </w:r>
          </w:p>
          <w:p>
            <w:pPr>
              <w:numPr>
                <w:ilvl w:val="0"/>
                <w:numId w:val="4"/>
              </w:num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其他有关证明、说明材料（如有）</w:t>
            </w:r>
          </w:p>
          <w:p>
            <w:pPr>
              <w:snapToGrid w:val="0"/>
              <w:spacing w:line="300" w:lineRule="exact"/>
              <w:rPr>
                <w:rFonts w:ascii="宋体" w:hAnsi="宋体" w:cs="宋体"/>
                <w:color w:val="auto"/>
                <w:sz w:val="24"/>
                <w:highlight w:val="none"/>
              </w:rPr>
            </w:pPr>
            <w:r>
              <w:rPr>
                <w:rFonts w:hint="eastAsia" w:ascii="宋体" w:hAnsi="宋体" w:cs="宋体"/>
                <w:b/>
                <w:color w:val="auto"/>
                <w:sz w:val="24"/>
                <w:highlight w:val="none"/>
              </w:rPr>
              <w:t>（2）资信证明文件（如果有）：</w:t>
            </w:r>
          </w:p>
          <w:p>
            <w:p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按磋商文件要求提供（如果有）。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1972" w:type="dxa"/>
            <w:vAlign w:val="center"/>
          </w:tcPr>
          <w:p>
            <w:pPr>
              <w:snapToGrid w:val="0"/>
              <w:jc w:val="left"/>
              <w:rPr>
                <w:rFonts w:ascii="宋体" w:hAnsi="宋体" w:cs="宋体"/>
                <w:color w:val="auto"/>
                <w:sz w:val="24"/>
                <w:highlight w:val="none"/>
                <w:lang w:val="zh-CN"/>
              </w:rPr>
            </w:pPr>
            <w:r>
              <w:rPr>
                <w:rFonts w:hint="eastAsia" w:ascii="宋体" w:hAnsi="宋体" w:cs="宋体"/>
                <w:color w:val="auto"/>
                <w:sz w:val="24"/>
                <w:highlight w:val="none"/>
              </w:rPr>
              <w:t>本项目落实的政府采购政策</w:t>
            </w:r>
          </w:p>
        </w:tc>
        <w:tc>
          <w:tcPr>
            <w:tcW w:w="7059" w:type="dxa"/>
            <w:vAlign w:val="center"/>
          </w:tcPr>
          <w:p>
            <w:pPr>
              <w:snapToGrid w:val="0"/>
              <w:spacing w:line="300" w:lineRule="exact"/>
              <w:jc w:val="left"/>
              <w:rPr>
                <w:rFonts w:ascii="宋体" w:hAnsi="宋体" w:cs="宋体"/>
                <w:b/>
                <w:color w:val="auto"/>
                <w:sz w:val="24"/>
                <w:highlight w:val="none"/>
              </w:rPr>
            </w:pPr>
            <w:r>
              <w:rPr>
                <w:rFonts w:hint="eastAsia" w:ascii="宋体" w:hAnsi="宋体" w:cs="宋体"/>
                <w:b/>
                <w:color w:val="auto"/>
                <w:sz w:val="24"/>
                <w:highlight w:val="none"/>
              </w:rPr>
              <w:t>（1）促进中小企业发展、支持监狱企业发展、促进残疾人就业，给予价格扣除：</w:t>
            </w:r>
          </w:p>
          <w:p>
            <w:pPr>
              <w:snapToGrid w:val="0"/>
              <w:spacing w:line="300" w:lineRule="exact"/>
              <w:jc w:val="left"/>
              <w:rPr>
                <w:rFonts w:ascii="宋体" w:hAnsi="宋体" w:cs="宋体"/>
                <w:b/>
                <w:color w:val="auto"/>
                <w:sz w:val="24"/>
                <w:highlight w:val="none"/>
              </w:rPr>
            </w:pPr>
            <w:r>
              <w:rPr>
                <w:rFonts w:hint="eastAsia" w:ascii="宋体" w:hAnsi="宋体" w:cs="宋体"/>
                <w:color w:val="auto"/>
                <w:sz w:val="24"/>
                <w:highlight w:val="none"/>
              </w:rPr>
              <w:t>a、根据财库〔2011〕181号的相关规定，在评审时对小型和微型企业的投标报价给予</w:t>
            </w:r>
            <w:r>
              <w:rPr>
                <w:rFonts w:hint="eastAsia" w:ascii="宋体" w:hAnsi="宋体" w:cs="宋体"/>
                <w:color w:val="auto"/>
                <w:sz w:val="24"/>
                <w:highlight w:val="none"/>
                <w:u w:val="single"/>
              </w:rPr>
              <w:t>6</w:t>
            </w:r>
            <w:r>
              <w:rPr>
                <w:rFonts w:hint="eastAsia" w:ascii="宋体" w:hAnsi="宋体" w:cs="宋体"/>
                <w:color w:val="auto"/>
                <w:sz w:val="24"/>
                <w:highlight w:val="none"/>
              </w:rPr>
              <w:t>%的扣除，取扣除后的价格作为最终投标报价（此最终投标报价仅作为价格分计算）。</w:t>
            </w:r>
            <w:r>
              <w:rPr>
                <w:rFonts w:hint="eastAsia" w:ascii="宋体" w:hAnsi="宋体" w:cs="宋体"/>
                <w:b/>
                <w:color w:val="auto"/>
                <w:sz w:val="24"/>
                <w:highlight w:val="none"/>
              </w:rPr>
              <w:t>注：未按要求提供材料的，均不给予价格扣除。</w:t>
            </w:r>
          </w:p>
          <w:p>
            <w:p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b、根据工信部联企业〔2011〕300号的相关规定属于小型和微型企业的，</w:t>
            </w:r>
            <w:r>
              <w:rPr>
                <w:rFonts w:hint="eastAsia" w:ascii="宋体" w:hAnsi="宋体" w:cs="宋体"/>
                <w:b/>
                <w:color w:val="auto"/>
                <w:sz w:val="24"/>
                <w:highlight w:val="none"/>
              </w:rPr>
              <w:t>响应文件中必须同时提供《中小企业声明函》（见附件）、“国家企业信用信息公示系统——小微企业名录”页面查询结果（查询时间为投标前一周内，并加盖单位公章）。</w:t>
            </w:r>
          </w:p>
          <w:p>
            <w:p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c、根据《关于政府采购支持监狱企业发展有关问题的通知》（财库[2014]68号）的规定，磋商供应商提供由省级以上监狱管理局、戒毒管理局（含新疆生产建设兵团）出具的属于监狱企业证明文件的，视同为小型和微型企业。</w:t>
            </w:r>
          </w:p>
          <w:p>
            <w:p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d、根据《关于促进残疾人就业政府采购政策的通知》（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见附件）。</w:t>
            </w:r>
          </w:p>
          <w:p>
            <w:pPr>
              <w:snapToGrid w:val="0"/>
              <w:spacing w:line="300" w:lineRule="exact"/>
              <w:jc w:val="left"/>
              <w:rPr>
                <w:rFonts w:ascii="宋体" w:hAnsi="宋体" w:cs="宋体"/>
                <w:color w:val="auto"/>
                <w:sz w:val="24"/>
                <w:highlight w:val="none"/>
              </w:rPr>
            </w:pPr>
            <w:r>
              <w:rPr>
                <w:rFonts w:hint="eastAsia" w:ascii="宋体" w:hAnsi="宋体" w:cs="宋体"/>
                <w:color w:val="auto"/>
                <w:sz w:val="24"/>
                <w:highlight w:val="none"/>
              </w:rPr>
              <w:t>e、企业信用融资：中小企业信用融资：为支持和促进中小企业发展，进一步发挥政府采购政策功能，杭州市财政局 、中国银保监会浙江监管局、杭州市人民政府金融工作办公室、杭州市经济和信息化局共同出台了《杭州市政府采购支持中小企业信用融资管理办法》（网址：http://cg.hzft.gov.cn/www/noticedetail.do?noticeguid=8a0691a36af3b171016c51516f2c0976），供应商若有融资意向，请登陆杭州市政府采购网（http://cg.hzft.gov.cn）“中小企业信用融资”专栏，查看信用融资政策文件及各相关银行服务方案。</w:t>
            </w:r>
          </w:p>
          <w:p>
            <w:pPr>
              <w:snapToGrid w:val="0"/>
              <w:spacing w:line="300" w:lineRule="exact"/>
              <w:jc w:val="left"/>
              <w:rPr>
                <w:rFonts w:ascii="宋体" w:hAnsi="宋体" w:cs="宋体"/>
                <w:color w:val="auto"/>
                <w:sz w:val="24"/>
                <w:highlight w:val="none"/>
                <w:lang w:val="zh-CN"/>
              </w:rPr>
            </w:pPr>
            <w:r>
              <w:rPr>
                <w:rFonts w:hint="eastAsia" w:ascii="宋体" w:hAnsi="宋体" w:cs="宋体"/>
                <w:b/>
                <w:color w:val="auto"/>
                <w:sz w:val="24"/>
                <w:highlight w:val="none"/>
              </w:rPr>
              <w:t>（2）采购本国服务：本项目采购本国服务。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1972"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出团时间</w:t>
            </w:r>
          </w:p>
        </w:tc>
        <w:tc>
          <w:tcPr>
            <w:tcW w:w="7059" w:type="dxa"/>
            <w:vAlign w:val="center"/>
          </w:tcPr>
          <w:p>
            <w:pPr>
              <w:spacing w:line="400" w:lineRule="exact"/>
              <w:jc w:val="left"/>
              <w:rPr>
                <w:rFonts w:ascii="宋体" w:hAnsi="宋体" w:cs="宋体"/>
                <w:color w:val="auto"/>
                <w:sz w:val="24"/>
                <w:highlight w:val="none"/>
              </w:rPr>
            </w:pPr>
            <w:r>
              <w:rPr>
                <w:rFonts w:hint="eastAsia" w:ascii="宋体" w:hAnsi="宋体" w:cs="宋体"/>
                <w:b/>
                <w:bCs/>
                <w:color w:val="auto"/>
                <w:sz w:val="24"/>
                <w:highlight w:val="none"/>
                <w:lang w:val="zh-CN"/>
              </w:rPr>
              <w:t>当月完成。因</w:t>
            </w:r>
            <w:r>
              <w:rPr>
                <w:rFonts w:hint="eastAsia" w:ascii="宋体" w:hAnsi="宋体" w:cs="宋体"/>
                <w:b/>
                <w:bCs/>
                <w:color w:val="auto"/>
                <w:sz w:val="24"/>
                <w:highlight w:val="none"/>
              </w:rPr>
              <w:t>采购人</w:t>
            </w:r>
            <w:r>
              <w:rPr>
                <w:rFonts w:hint="eastAsia" w:ascii="宋体" w:hAnsi="宋体" w:cs="宋体"/>
                <w:b/>
                <w:bCs/>
                <w:color w:val="auto"/>
                <w:sz w:val="24"/>
                <w:highlight w:val="none"/>
                <w:lang w:val="zh-CN"/>
              </w:rPr>
              <w:t>工作需要，需调整出团时间或改为其他月份出团的，则以</w:t>
            </w:r>
            <w:r>
              <w:rPr>
                <w:rFonts w:hint="eastAsia" w:ascii="宋体" w:hAnsi="宋体" w:cs="宋体"/>
                <w:b/>
                <w:bCs/>
                <w:color w:val="auto"/>
                <w:sz w:val="24"/>
                <w:highlight w:val="none"/>
              </w:rPr>
              <w:t>采购人</w:t>
            </w:r>
            <w:r>
              <w:rPr>
                <w:rFonts w:hint="eastAsia" w:ascii="宋体" w:hAnsi="宋体" w:cs="宋体"/>
                <w:b/>
                <w:bCs/>
                <w:color w:val="auto"/>
                <w:sz w:val="24"/>
                <w:highlight w:val="none"/>
                <w:lang w:val="zh-CN"/>
              </w:rPr>
              <w:t>要求为准，成交</w:t>
            </w:r>
            <w:r>
              <w:rPr>
                <w:rFonts w:hint="eastAsia" w:ascii="宋体" w:hAnsi="宋体" w:cs="宋体"/>
                <w:b/>
                <w:bCs/>
                <w:color w:val="auto"/>
                <w:sz w:val="24"/>
                <w:highlight w:val="none"/>
              </w:rPr>
              <w:t>供应</w:t>
            </w:r>
            <w:r>
              <w:rPr>
                <w:rFonts w:hint="eastAsia" w:ascii="宋体" w:hAnsi="宋体" w:cs="宋体"/>
                <w:b/>
                <w:bCs/>
                <w:color w:val="auto"/>
                <w:sz w:val="24"/>
                <w:highlight w:val="none"/>
                <w:lang w:val="zh-CN"/>
              </w:rPr>
              <w:t>商不得以任何理由更改成交价格，否则视为违约，将上报上级主管部门处罚。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1972" w:type="dxa"/>
            <w:vAlign w:val="center"/>
          </w:tcPr>
          <w:p>
            <w:pPr>
              <w:spacing w:line="400" w:lineRule="exact"/>
              <w:jc w:val="center"/>
              <w:rPr>
                <w:rFonts w:ascii="宋体" w:hAnsi="宋体" w:cs="宋体"/>
                <w:color w:val="auto"/>
                <w:sz w:val="24"/>
                <w:highlight w:val="none"/>
              </w:rPr>
            </w:pPr>
            <w:r>
              <w:rPr>
                <w:rFonts w:hint="eastAsia" w:ascii="宋体" w:hAnsi="宋体" w:cs="宋体"/>
                <w:b/>
                <w:bCs/>
                <w:color w:val="auto"/>
                <w:sz w:val="24"/>
                <w:highlight w:val="none"/>
              </w:rPr>
              <w:t>最高限</w:t>
            </w:r>
            <w:r>
              <w:rPr>
                <w:rFonts w:hint="eastAsia" w:ascii="宋体" w:hAnsi="宋体" w:cs="宋体"/>
                <w:b/>
                <w:bCs/>
                <w:color w:val="auto"/>
                <w:sz w:val="24"/>
                <w:highlight w:val="none"/>
                <w:lang w:val="zh-CN"/>
              </w:rPr>
              <w:t>价</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b/>
                <w:bCs/>
                <w:color w:val="auto"/>
                <w:sz w:val="24"/>
                <w:highlight w:val="none"/>
              </w:rPr>
              <w:t>最高限价</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3000</w:t>
            </w:r>
            <w:r>
              <w:rPr>
                <w:rFonts w:hint="eastAsia" w:ascii="宋体" w:hAnsi="宋体" w:cs="宋体"/>
                <w:b/>
                <w:bCs/>
                <w:color w:val="auto"/>
                <w:sz w:val="24"/>
                <w:highlight w:val="none"/>
                <w:lang w:val="zh-CN"/>
              </w:rPr>
              <w:t>元</w:t>
            </w:r>
            <w:r>
              <w:rPr>
                <w:rFonts w:hint="eastAsia" w:ascii="宋体" w:hAnsi="宋体" w:cs="宋体"/>
                <w:b/>
                <w:bCs/>
                <w:color w:val="auto"/>
                <w:sz w:val="24"/>
                <w:highlight w:val="none"/>
              </w:rPr>
              <w:t>/人</w:t>
            </w:r>
            <w:r>
              <w:rPr>
                <w:rFonts w:hint="eastAsia" w:ascii="宋体" w:hAnsi="宋体" w:cs="宋体"/>
                <w:b/>
                <w:bCs/>
                <w:color w:val="auto"/>
                <w:sz w:val="24"/>
                <w:highlight w:val="none"/>
                <w:lang w:val="zh-CN"/>
              </w:rPr>
              <w:t>。超过</w:t>
            </w:r>
            <w:r>
              <w:rPr>
                <w:rFonts w:hint="eastAsia" w:ascii="宋体" w:hAnsi="宋体" w:cs="宋体"/>
                <w:b/>
                <w:bCs/>
                <w:color w:val="auto"/>
                <w:sz w:val="24"/>
                <w:highlight w:val="none"/>
              </w:rPr>
              <w:t>最高限</w:t>
            </w:r>
            <w:r>
              <w:rPr>
                <w:rFonts w:hint="eastAsia" w:ascii="宋体" w:hAnsi="宋体" w:cs="宋体"/>
                <w:b/>
                <w:bCs/>
                <w:color w:val="auto"/>
                <w:sz w:val="24"/>
                <w:highlight w:val="none"/>
                <w:lang w:val="zh-CN"/>
              </w:rPr>
              <w:t>价，按无效处理。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7</w:t>
            </w:r>
          </w:p>
        </w:tc>
        <w:tc>
          <w:tcPr>
            <w:tcW w:w="1972" w:type="dxa"/>
            <w:vAlign w:val="center"/>
          </w:tcPr>
          <w:p>
            <w:pPr>
              <w:spacing w:line="400" w:lineRule="exact"/>
              <w:jc w:val="center"/>
              <w:rPr>
                <w:rFonts w:ascii="宋体" w:hAnsi="宋体" w:cs="宋体"/>
                <w:b/>
                <w:bCs/>
                <w:color w:val="auto"/>
                <w:sz w:val="24"/>
                <w:highlight w:val="none"/>
              </w:rPr>
            </w:pPr>
            <w:r>
              <w:rPr>
                <w:rFonts w:hint="eastAsia" w:ascii="宋体" w:hAnsi="宋体" w:cs="宋体"/>
                <w:b/>
                <w:bCs/>
                <w:color w:val="auto"/>
                <w:sz w:val="24"/>
                <w:highlight w:val="none"/>
              </w:rPr>
              <w:t>是否允许转包与分包</w:t>
            </w:r>
          </w:p>
        </w:tc>
        <w:tc>
          <w:tcPr>
            <w:tcW w:w="7059" w:type="dxa"/>
            <w:vAlign w:val="center"/>
          </w:tcPr>
          <w:p>
            <w:p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转包：否</w:t>
            </w:r>
          </w:p>
          <w:p>
            <w:pPr>
              <w:spacing w:line="400" w:lineRule="exact"/>
              <w:jc w:val="left"/>
              <w:rPr>
                <w:rFonts w:ascii="宋体" w:hAnsi="宋体" w:cs="宋体"/>
                <w:b/>
                <w:bCs/>
                <w:color w:val="auto"/>
                <w:sz w:val="24"/>
                <w:highlight w:val="none"/>
              </w:rPr>
            </w:pPr>
            <w:r>
              <w:rPr>
                <w:rFonts w:hint="eastAsia" w:ascii="宋体" w:hAnsi="宋体" w:cs="宋体"/>
                <w:b/>
                <w:bCs/>
                <w:color w:val="auto"/>
                <w:sz w:val="24"/>
                <w:highlight w:val="none"/>
              </w:rPr>
              <w:t>分包：不允许违法分包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响应文件份数</w:t>
            </w:r>
          </w:p>
        </w:tc>
        <w:tc>
          <w:tcPr>
            <w:tcW w:w="7059" w:type="dxa"/>
            <w:vAlign w:val="center"/>
          </w:tcPr>
          <w:p>
            <w:pPr>
              <w:rPr>
                <w:rFonts w:ascii="宋体" w:hAnsi="宋体" w:cs="宋体"/>
                <w:color w:val="auto"/>
                <w:sz w:val="24"/>
                <w:highlight w:val="none"/>
              </w:rPr>
            </w:pPr>
            <w:r>
              <w:rPr>
                <w:rFonts w:hint="eastAsia" w:ascii="宋体" w:hAnsi="宋体" w:cs="宋体"/>
                <w:color w:val="auto"/>
                <w:sz w:val="24"/>
                <w:highlight w:val="none"/>
                <w:u w:val="single"/>
              </w:rPr>
              <w:t>提供一式五份 。其中正本一份，副本四份。完整的响应文件电子文档1份（U盘，放入报价文件密封袋中）。在封面上须注明“正本或副本” 、“项目名称、项目编号”、“标项”等字样。</w:t>
            </w:r>
            <w:r>
              <w:rPr>
                <w:rFonts w:hint="eastAsia" w:ascii="宋体" w:hAnsi="宋体" w:cs="宋体"/>
                <w:color w:val="auto"/>
                <w:sz w:val="24"/>
                <w:highlight w:val="none"/>
              </w:rPr>
              <w:t>正本和副本内容有出入，以正本为准。副本可以是正本的复印件。</w:t>
            </w:r>
          </w:p>
          <w:p>
            <w:pPr>
              <w:rPr>
                <w:rFonts w:ascii="宋体" w:hAnsi="宋体" w:cs="宋体"/>
                <w:color w:val="auto"/>
                <w:sz w:val="24"/>
                <w:highlight w:val="none"/>
                <w:lang w:val="zh-CN"/>
              </w:rPr>
            </w:pPr>
            <w:r>
              <w:rPr>
                <w:rFonts w:hint="eastAsia" w:ascii="宋体" w:hAnsi="宋体" w:cs="宋体"/>
                <w:color w:val="auto"/>
                <w:sz w:val="24"/>
                <w:highlight w:val="none"/>
              </w:rPr>
              <w:t>装订必须采用胶装，不得采用活页装订方式（是指用卡条、抽杆夹、订书机等形式装订，使标书可以拆卸或者在翻动过程中易脱落的一种装订方式），提倡纸张双面使用。</w:t>
            </w:r>
            <w:r>
              <w:rPr>
                <w:rFonts w:hint="eastAsia" w:ascii="宋体" w:hAnsi="宋体" w:cs="宋体"/>
                <w:color w:val="auto"/>
                <w:sz w:val="24"/>
                <w:highlight w:val="none"/>
                <w:lang w:val="zh-CN"/>
              </w:rPr>
              <w:t>《法定代表人授权书》须在磋商时单独提供一份原件。</w:t>
            </w:r>
          </w:p>
          <w:p>
            <w:pPr>
              <w:rPr>
                <w:rFonts w:ascii="宋体" w:hAnsi="宋体" w:cs="宋体"/>
                <w:color w:val="auto"/>
                <w:sz w:val="24"/>
                <w:highlight w:val="none"/>
              </w:rPr>
            </w:pPr>
            <w:r>
              <w:rPr>
                <w:rFonts w:hint="eastAsia" w:ascii="宋体" w:hAnsi="宋体" w:cs="宋体"/>
                <w:color w:val="auto"/>
                <w:sz w:val="24"/>
                <w:highlight w:val="none"/>
              </w:rPr>
              <w:t>注：两个标项的响应文件需分别制作。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响应有效期</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自磋商之日起90 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提疑及答疑截至时间</w:t>
            </w:r>
          </w:p>
        </w:tc>
        <w:tc>
          <w:tcPr>
            <w:tcW w:w="7059" w:type="dxa"/>
            <w:vAlign w:val="center"/>
          </w:tcPr>
          <w:p>
            <w:pPr>
              <w:rPr>
                <w:rFonts w:ascii="宋体" w:hAnsi="宋体" w:cs="宋体"/>
                <w:color w:val="auto"/>
                <w:sz w:val="24"/>
                <w:highlight w:val="none"/>
                <w:lang w:val="zh-CN"/>
              </w:rPr>
            </w:pPr>
            <w:r>
              <w:rPr>
                <w:rFonts w:hint="eastAsia" w:ascii="宋体" w:hAnsi="宋体" w:cs="宋体"/>
                <w:color w:val="auto"/>
                <w:sz w:val="24"/>
                <w:highlight w:val="none"/>
              </w:rPr>
              <w:t>潜在磋商供应商已依法获取的磋商文件的，如对磋商文件有疑问的，请于2020年7月</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时前提出（加盖公章），同时将可编辑word文档发至邮箱（只为方便工作）；邮箱：405058442@qq.com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响应文件提交地点及截止时间</w:t>
            </w:r>
          </w:p>
        </w:tc>
        <w:tc>
          <w:tcPr>
            <w:tcW w:w="7059" w:type="dxa"/>
            <w:vAlign w:val="center"/>
          </w:tcPr>
          <w:p>
            <w:pPr>
              <w:spacing w:line="400" w:lineRule="exact"/>
              <w:rPr>
                <w:rFonts w:ascii="宋体" w:hAnsi="宋体" w:cs="宋体"/>
                <w:color w:val="auto"/>
                <w:highlight w:val="none"/>
                <w:lang w:val="zh-CN"/>
              </w:rPr>
            </w:pPr>
            <w:r>
              <w:rPr>
                <w:rFonts w:hint="eastAsia" w:ascii="宋体" w:hAnsi="宋体" w:cs="宋体"/>
                <w:color w:val="auto"/>
                <w:sz w:val="24"/>
                <w:highlight w:val="none"/>
                <w:lang w:val="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磋商时间及地点</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详见竞争性磋商公告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磋商成交原则</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综合评分法，是指响应文件满足磋商文件全部实质性要求且按评审因素的量化指标评审得分最高的供应商为成交候选供应商的评审方法。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竞争性磋商文件条款质疑</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磋商供应商如发现竞争性磋商文件存在含糊不清、相互矛盾、多种含义以及歧视性不公正条款或违法违规等内容，请在规定的时间前向采购代理机构书面反映，逾期不得再对竞争性磋商文件的条款提出质疑，并视为同对竞争性磋商文件的条款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磋商</w:t>
            </w:r>
          </w:p>
        </w:tc>
        <w:tc>
          <w:tcPr>
            <w:tcW w:w="7059" w:type="dxa"/>
            <w:vAlign w:val="center"/>
          </w:tcPr>
          <w:p>
            <w:pPr>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根据目前疫情状况，为减少人员聚集风险，磋商供应商派代表参加</w:t>
            </w:r>
            <w:r>
              <w:rPr>
                <w:rFonts w:hint="eastAsia" w:ascii="宋体" w:hAnsi="宋体" w:cs="宋体"/>
                <w:color w:val="auto"/>
                <w:sz w:val="24"/>
                <w:highlight w:val="none"/>
              </w:rPr>
              <w:t>开标会议</w:t>
            </w:r>
            <w:r>
              <w:rPr>
                <w:rFonts w:hint="eastAsia" w:ascii="宋体" w:hAnsi="宋体" w:cs="宋体"/>
                <w:color w:val="auto"/>
                <w:sz w:val="24"/>
                <w:highlight w:val="none"/>
                <w:lang w:val="zh-CN"/>
              </w:rPr>
              <w:t>：</w:t>
            </w:r>
          </w:p>
          <w:p>
            <w:pPr>
              <w:numPr>
                <w:ilvl w:val="255"/>
                <w:numId w:val="0"/>
              </w:numPr>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1.磋商供应商不得安排外地返杭未满14天的人员参与开标活动。为最大限度减少人员集聚，各磋商供应商限1名人员。</w:t>
            </w:r>
          </w:p>
          <w:p>
            <w:pPr>
              <w:spacing w:line="400" w:lineRule="exact"/>
              <w:rPr>
                <w:rFonts w:ascii="宋体" w:hAnsi="宋体" w:cs="宋体"/>
                <w:color w:val="auto"/>
                <w:highlight w:val="none"/>
                <w:lang w:val="zh-CN"/>
              </w:rPr>
            </w:pPr>
            <w:r>
              <w:rPr>
                <w:rFonts w:hint="eastAsia" w:ascii="宋体" w:hAnsi="宋体" w:cs="宋体"/>
                <w:color w:val="auto"/>
                <w:sz w:val="24"/>
                <w:highlight w:val="none"/>
                <w:lang w:val="zh-CN"/>
              </w:rPr>
              <w:t>2.磋商供应商在参加开标会进入投标现场前，须携带授权委托书、戴口罩(自备)、出示健康码、居民身份证、测量体温，如有不便，敬请谅解。非法定代表人参加的，须持《法定代表人授权书》原件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履约保证金</w:t>
            </w:r>
          </w:p>
        </w:tc>
        <w:tc>
          <w:tcPr>
            <w:tcW w:w="7059" w:type="dxa"/>
            <w:vAlign w:val="center"/>
          </w:tcPr>
          <w:p>
            <w:pPr>
              <w:spacing w:line="400" w:lineRule="exact"/>
              <w:jc w:val="left"/>
              <w:rPr>
                <w:rFonts w:ascii="宋体" w:hAnsi="宋体" w:cs="宋体"/>
                <w:color w:val="auto"/>
                <w:sz w:val="24"/>
                <w:highlight w:val="none"/>
                <w:lang w:val="zh-CN"/>
              </w:rPr>
            </w:pPr>
            <w:r>
              <w:rPr>
                <w:rFonts w:hint="eastAsia" w:ascii="宋体" w:hAnsi="宋体" w:cs="宋体"/>
                <w:color w:val="auto"/>
                <w:sz w:val="24"/>
                <w:highlight w:val="none"/>
                <w:lang w:val="zh-CN"/>
              </w:rPr>
              <w:t>（1）履约保证金递交形式：支票、汇票、本票或者金融机构、担保机构出具的保函等非现金形式；</w:t>
            </w:r>
          </w:p>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（2）合同签订并生效后3个工作日内合同总价的5%作为履约保证金，履约保证金至合同履行完毕经采购人确认服务质量合格后，30日内无息退还。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1972" w:type="dxa"/>
            <w:vAlign w:val="center"/>
          </w:tcPr>
          <w:p>
            <w:pPr>
              <w:spacing w:line="400" w:lineRule="exact"/>
              <w:jc w:val="center"/>
              <w:rPr>
                <w:rFonts w:ascii="宋体" w:hAnsi="宋体" w:cs="宋体"/>
                <w:color w:val="auto"/>
                <w:sz w:val="24"/>
                <w:highlight w:val="none"/>
                <w:lang w:val="zh-CN"/>
              </w:rPr>
            </w:pPr>
            <w:r>
              <w:rPr>
                <w:rFonts w:hint="eastAsia" w:ascii="宋体" w:hAnsi="宋体" w:cs="宋体"/>
                <w:color w:val="auto"/>
                <w:sz w:val="24"/>
                <w:highlight w:val="none"/>
              </w:rPr>
              <w:t>采购</w:t>
            </w:r>
            <w:r>
              <w:rPr>
                <w:rFonts w:hint="eastAsia" w:ascii="宋体" w:hAnsi="宋体" w:cs="宋体"/>
                <w:color w:val="auto"/>
                <w:sz w:val="24"/>
                <w:highlight w:val="none"/>
                <w:lang w:val="zh-CN"/>
              </w:rPr>
              <w:t>代理服务费</w:t>
            </w:r>
          </w:p>
        </w:tc>
        <w:tc>
          <w:tcPr>
            <w:tcW w:w="7059" w:type="dxa"/>
            <w:vAlign w:val="center"/>
          </w:tcPr>
          <w:p>
            <w:pPr>
              <w:numPr>
                <w:ilvl w:val="0"/>
                <w:numId w:val="5"/>
              </w:numPr>
              <w:spacing w:line="360" w:lineRule="auto"/>
              <w:rPr>
                <w:rFonts w:ascii="宋体" w:hAnsi="宋体"/>
                <w:color w:val="auto"/>
                <w:sz w:val="24"/>
                <w:highlight w:val="none"/>
              </w:rPr>
            </w:pPr>
            <w:r>
              <w:rPr>
                <w:rFonts w:hint="eastAsia" w:ascii="宋体" w:hAnsi="宋体"/>
                <w:color w:val="auto"/>
                <w:sz w:val="24"/>
                <w:highlight w:val="none"/>
              </w:rPr>
              <w:t>参照浙价服[2003]77号文规定的招标费率收取，按照成交通知书确定的金额，向成交供应商收取服务费，不足3000按3000收取。</w:t>
            </w:r>
          </w:p>
          <w:p>
            <w:pPr>
              <w:numPr>
                <w:ilvl w:val="0"/>
                <w:numId w:val="5"/>
              </w:numPr>
              <w:spacing w:line="360" w:lineRule="auto"/>
              <w:rPr>
                <w:rFonts w:ascii="宋体" w:hAnsi="宋体"/>
                <w:color w:val="auto"/>
                <w:sz w:val="24"/>
                <w:highlight w:val="none"/>
              </w:rPr>
            </w:pPr>
            <w:r>
              <w:rPr>
                <w:rFonts w:hint="eastAsia" w:ascii="宋体" w:hAnsi="宋体"/>
                <w:color w:val="auto"/>
                <w:sz w:val="24"/>
                <w:highlight w:val="none"/>
              </w:rPr>
              <w:t>成交供应商在领取成交通知书前，应向采购代理机构交纳招标代理服务费。</w:t>
            </w:r>
          </w:p>
          <w:p>
            <w:pPr>
              <w:numPr>
                <w:ilvl w:val="0"/>
                <w:numId w:val="5"/>
              </w:numPr>
              <w:spacing w:line="360" w:lineRule="auto"/>
              <w:rPr>
                <w:rFonts w:ascii="宋体" w:hAnsi="宋体"/>
                <w:color w:val="auto"/>
                <w:sz w:val="24"/>
                <w:highlight w:val="none"/>
              </w:rPr>
            </w:pPr>
            <w:r>
              <w:rPr>
                <w:rFonts w:hint="eastAsia" w:ascii="宋体" w:hAnsi="宋体"/>
                <w:color w:val="auto"/>
                <w:sz w:val="24"/>
                <w:highlight w:val="none"/>
              </w:rPr>
              <w:t>招标代理服务费以电汇方式支付。</w:t>
            </w:r>
          </w:p>
          <w:p>
            <w:pPr>
              <w:numPr>
                <w:ilvl w:val="0"/>
                <w:numId w:val="5"/>
              </w:numPr>
              <w:spacing w:line="360" w:lineRule="auto"/>
              <w:rPr>
                <w:rFonts w:ascii="宋体" w:hAnsi="宋体"/>
                <w:color w:val="auto"/>
                <w:sz w:val="24"/>
                <w:highlight w:val="none"/>
              </w:rPr>
            </w:pPr>
            <w:r>
              <w:rPr>
                <w:rFonts w:hint="eastAsia" w:ascii="宋体" w:hAnsi="宋体"/>
                <w:color w:val="auto"/>
                <w:sz w:val="24"/>
                <w:highlight w:val="none"/>
              </w:rPr>
              <w:t>服务费缴纳账号：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单位名称：浙江五石工程咨询有限公司萧山分公司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开户银行：浙江民泰商业银行杭州钱江新城支行</w:t>
            </w:r>
          </w:p>
          <w:p>
            <w:pPr>
              <w:spacing w:line="360" w:lineRule="auto"/>
              <w:ind w:firstLine="523" w:firstLineChars="218"/>
              <w:jc w:val="left"/>
              <w:rPr>
                <w:rFonts w:ascii="宋体" w:hAnsi="宋体" w:cs="宋体"/>
                <w:color w:val="auto"/>
                <w:sz w:val="24"/>
                <w:highlight w:val="none"/>
              </w:rPr>
            </w:pPr>
            <w:r>
              <w:rPr>
                <w:rFonts w:hint="eastAsia" w:ascii="宋体" w:hAnsi="宋体"/>
                <w:color w:val="auto"/>
                <w:sz w:val="24"/>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1972"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信用记录</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信用信息查询渠道及截止时间：</w:t>
            </w:r>
          </w:p>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根据财库[2016]125号文件，通过“信用中国”网站（www.creditchina.gov.cn）、中国政府采购网（www.ccgp.gov.cn）信用信息渠道查询磋商供应商信用记录，以开标当日网页查询记录为准。</w:t>
            </w:r>
          </w:p>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信用信息查询记录和证据留存的具体方式：采购人、采购代理机构将现场查询磋商供应商的信用记录，并采取必要方式做好信用信息查询记录和证据留存，信用信息查询记录及相关证据与其他采购文件一并保存。</w:t>
            </w:r>
          </w:p>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信用信息的使用规则：采购人或者采购代理机构应当对供应商信用记录进行甄别，对列入失信被执行人、重大税收违法案件当事人名单、政府采购严重违法失信行为记录名单，应当拒绝其参与政府采购活动。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4" w:type="dxa"/>
            <w:vAlign w:val="center"/>
          </w:tcPr>
          <w:p>
            <w:pPr>
              <w:spacing w:line="400" w:lineRule="exact"/>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1972" w:type="dxa"/>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解释权</w:t>
            </w:r>
          </w:p>
        </w:tc>
        <w:tc>
          <w:tcPr>
            <w:tcW w:w="7059" w:type="dxa"/>
            <w:vAlign w:val="center"/>
          </w:tcPr>
          <w:p>
            <w:pPr>
              <w:spacing w:line="400" w:lineRule="exact"/>
              <w:rPr>
                <w:rFonts w:ascii="宋体" w:hAnsi="宋体" w:cs="宋体"/>
                <w:color w:val="auto"/>
                <w:sz w:val="24"/>
                <w:highlight w:val="none"/>
                <w:lang w:val="zh-CN"/>
              </w:rPr>
            </w:pPr>
            <w:r>
              <w:rPr>
                <w:rFonts w:hint="eastAsia" w:ascii="宋体" w:hAnsi="宋体" w:cs="宋体"/>
                <w:color w:val="auto"/>
                <w:sz w:val="24"/>
                <w:highlight w:val="none"/>
                <w:lang w:val="zh-CN"/>
              </w:rPr>
              <w:t>本磋商文件的解释权属于采购人。</w:t>
            </w:r>
          </w:p>
        </w:tc>
      </w:tr>
    </w:tbl>
    <w:p>
      <w:pPr>
        <w:adjustRightInd w:val="0"/>
        <w:snapToGrid w:val="0"/>
        <w:spacing w:line="360" w:lineRule="auto"/>
        <w:jc w:val="center"/>
        <w:outlineLvl w:val="0"/>
        <w:rPr>
          <w:rFonts w:ascii="宋体" w:hAnsi="宋体" w:cs="宋体"/>
          <w:color w:val="auto"/>
          <w:highlight w:val="none"/>
        </w:rPr>
      </w:pPr>
      <w:r>
        <w:rPr>
          <w:rFonts w:hint="eastAsia" w:ascii="宋体" w:hAnsi="宋体" w:cs="宋体"/>
          <w:color w:val="auto"/>
          <w:highlight w:val="none"/>
        </w:rPr>
        <w:br w:type="page"/>
      </w:r>
      <w:bookmarkStart w:id="10" w:name="_Toc5059"/>
      <w:bookmarkStart w:id="11" w:name="_Toc26905"/>
      <w:r>
        <w:rPr>
          <w:rFonts w:hint="eastAsia" w:ascii="宋体" w:hAnsi="宋体" w:cs="宋体"/>
          <w:b/>
          <w:bCs/>
          <w:color w:val="auto"/>
          <w:sz w:val="32"/>
          <w:szCs w:val="32"/>
          <w:highlight w:val="none"/>
        </w:rPr>
        <w:t>第三部分磋商供应商须知</w:t>
      </w:r>
      <w:bookmarkEnd w:id="10"/>
      <w:bookmarkEnd w:id="11"/>
    </w:p>
    <w:p>
      <w:pPr>
        <w:spacing w:line="440" w:lineRule="exact"/>
        <w:jc w:val="center"/>
        <w:outlineLvl w:val="1"/>
        <w:rPr>
          <w:rFonts w:ascii="宋体" w:hAnsi="宋体" w:cs="宋体"/>
          <w:b/>
          <w:color w:val="auto"/>
          <w:sz w:val="28"/>
          <w:szCs w:val="28"/>
          <w:highlight w:val="none"/>
        </w:rPr>
      </w:pPr>
      <w:bookmarkStart w:id="12" w:name="_Toc32407"/>
      <w:r>
        <w:rPr>
          <w:rFonts w:hint="eastAsia" w:ascii="宋体" w:hAnsi="宋体" w:cs="宋体"/>
          <w:b/>
          <w:color w:val="auto"/>
          <w:sz w:val="28"/>
          <w:szCs w:val="28"/>
          <w:highlight w:val="none"/>
        </w:rPr>
        <w:t>（一）说明</w:t>
      </w:r>
      <w:bookmarkEnd w:id="12"/>
    </w:p>
    <w:p>
      <w:pPr>
        <w:spacing w:line="400" w:lineRule="exact"/>
        <w:rPr>
          <w:rFonts w:ascii="宋体" w:hAnsi="宋体" w:cs="宋体"/>
          <w:color w:val="auto"/>
          <w:sz w:val="24"/>
          <w:highlight w:val="none"/>
        </w:rPr>
      </w:pPr>
      <w:r>
        <w:rPr>
          <w:rFonts w:hint="eastAsia" w:ascii="宋体" w:hAnsi="宋体" w:cs="宋体"/>
          <w:color w:val="auto"/>
          <w:sz w:val="24"/>
          <w:highlight w:val="none"/>
        </w:rPr>
        <w:t>1、总则</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1.1本次竞争性磋商采购工作是按照《中华人民共和国政府采购法》、</w:t>
      </w:r>
      <w:r>
        <w:rPr>
          <w:rFonts w:hint="eastAsia" w:ascii="宋体" w:hAnsi="宋体" w:cs="宋体"/>
          <w:color w:val="auto"/>
          <w:kern w:val="0"/>
          <w:sz w:val="24"/>
          <w:highlight w:val="none"/>
        </w:rPr>
        <w:t>《政府采购非招标采购方式管理办法》、《政府采购竞争性磋商采购方式管理暂行办法》</w:t>
      </w:r>
      <w:r>
        <w:rPr>
          <w:rFonts w:hint="eastAsia" w:ascii="宋体" w:hAnsi="宋体" w:cs="宋体"/>
          <w:color w:val="auto"/>
          <w:sz w:val="24"/>
          <w:highlight w:val="none"/>
        </w:rPr>
        <w:t>等相关规定组织和实施。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1.2无论磋商过程中的作法和结果如何，磋商供应商自行承担磋商活动中所发生的全部费用。</w:t>
      </w:r>
    </w:p>
    <w:p>
      <w:pPr>
        <w:spacing w:line="400" w:lineRule="exact"/>
        <w:ind w:firstLine="240" w:firstLineChars="100"/>
        <w:rPr>
          <w:rFonts w:ascii="宋体" w:hAnsi="宋体" w:cs="宋体"/>
          <w:color w:val="auto"/>
          <w:sz w:val="24"/>
          <w:highlight w:val="none"/>
          <w:u w:val="single"/>
        </w:rPr>
      </w:pPr>
      <w:r>
        <w:rPr>
          <w:rFonts w:hint="eastAsia" w:ascii="宋体" w:hAnsi="宋体" w:cs="宋体"/>
          <w:color w:val="auto"/>
          <w:sz w:val="24"/>
          <w:highlight w:val="none"/>
        </w:rPr>
        <w:t xml:space="preserve">  1.3</w:t>
      </w:r>
      <w:r>
        <w:rPr>
          <w:rFonts w:hint="eastAsia" w:ascii="宋体" w:hAnsi="宋体" w:cs="宋体"/>
          <w:color w:val="auto"/>
          <w:sz w:val="24"/>
          <w:highlight w:val="none"/>
          <w:u w:val="single"/>
        </w:rPr>
        <w:t>磋商供应商</w:t>
      </w:r>
      <w:r>
        <w:rPr>
          <w:rFonts w:hint="eastAsia" w:ascii="宋体" w:hAnsi="宋体" w:cs="宋体"/>
          <w:bCs/>
          <w:color w:val="auto"/>
          <w:sz w:val="24"/>
          <w:highlight w:val="none"/>
          <w:u w:val="single"/>
        </w:rPr>
        <w:t>如发现竞争性磋商文件中存在含糊不清、相互矛盾、多种含</w:t>
      </w:r>
      <w:r>
        <w:rPr>
          <w:rFonts w:hint="eastAsia" w:ascii="宋体" w:hAnsi="宋体" w:cs="宋体"/>
          <w:color w:val="auto"/>
          <w:sz w:val="24"/>
          <w:highlight w:val="none"/>
          <w:u w:val="single"/>
        </w:rPr>
        <w:t>义以及歧视性不公正条款或违法违规等内容，</w:t>
      </w:r>
      <w:r>
        <w:rPr>
          <w:rFonts w:hint="eastAsia" w:ascii="宋体" w:hAnsi="宋体" w:cs="宋体"/>
          <w:b/>
          <w:bCs/>
          <w:color w:val="auto"/>
          <w:sz w:val="24"/>
          <w:highlight w:val="none"/>
          <w:u w:val="single"/>
        </w:rPr>
        <w:t>请在响应须知前附表规定的时间前向采购代理机构书面反映，逾期不得再对竞争性磋商文件的条款提出质疑</w:t>
      </w:r>
      <w:r>
        <w:rPr>
          <w:rFonts w:hint="eastAsia" w:ascii="宋体" w:hAnsi="宋体" w:cs="宋体"/>
          <w:color w:val="auto"/>
          <w:sz w:val="24"/>
          <w:highlight w:val="none"/>
          <w:u w:val="single"/>
        </w:rPr>
        <w:t>，并视为同对竞争性磋商文件的条款认可。</w:t>
      </w:r>
    </w:p>
    <w:p>
      <w:pPr>
        <w:autoSpaceDE w:val="0"/>
        <w:autoSpaceDN w:val="0"/>
        <w:spacing w:line="400" w:lineRule="exact"/>
        <w:textAlignment w:val="bottom"/>
        <w:rPr>
          <w:rFonts w:ascii="宋体" w:hAnsi="宋体" w:cs="宋体"/>
          <w:color w:val="auto"/>
          <w:sz w:val="24"/>
          <w:highlight w:val="none"/>
        </w:rPr>
      </w:pPr>
      <w:r>
        <w:rPr>
          <w:rFonts w:hint="eastAsia" w:ascii="宋体" w:hAnsi="宋体" w:cs="宋体"/>
          <w:color w:val="auto"/>
          <w:sz w:val="24"/>
          <w:highlight w:val="none"/>
        </w:rPr>
        <w:t>2、定义</w:t>
      </w:r>
    </w:p>
    <w:p>
      <w:pPr>
        <w:autoSpaceDE w:val="0"/>
        <w:autoSpaceDN w:val="0"/>
        <w:spacing w:line="400" w:lineRule="exact"/>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2.1、“采购人”系指中共杭州市委党校。</w:t>
      </w:r>
    </w:p>
    <w:p>
      <w:pPr>
        <w:autoSpaceDE w:val="0"/>
        <w:autoSpaceDN w:val="0"/>
        <w:spacing w:line="400" w:lineRule="exact"/>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2.2、“采购代理机构”系指采购人委托的浙江五石工程咨询有限公司。</w:t>
      </w:r>
    </w:p>
    <w:p>
      <w:pPr>
        <w:autoSpaceDE w:val="0"/>
        <w:autoSpaceDN w:val="0"/>
        <w:spacing w:line="400" w:lineRule="exact"/>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2.3、“磋商供应商”“磋商供应商”系指向采购人提供响应文件所叙述的服务商。</w:t>
      </w:r>
    </w:p>
    <w:p>
      <w:pPr>
        <w:autoSpaceDE w:val="0"/>
        <w:autoSpaceDN w:val="0"/>
        <w:spacing w:line="400" w:lineRule="exact"/>
        <w:ind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2.4、“服务”系指合同规定卖方须按文件上的要求提供的服务。</w:t>
      </w:r>
    </w:p>
    <w:p>
      <w:pPr>
        <w:spacing w:line="400" w:lineRule="exact"/>
        <w:ind w:firstLine="2951" w:firstLineChars="1050"/>
        <w:rPr>
          <w:rFonts w:ascii="宋体" w:hAnsi="宋体" w:cs="宋体"/>
          <w:b/>
          <w:color w:val="auto"/>
          <w:sz w:val="28"/>
          <w:szCs w:val="28"/>
          <w:highlight w:val="none"/>
        </w:rPr>
      </w:pPr>
    </w:p>
    <w:p>
      <w:pPr>
        <w:spacing w:line="400" w:lineRule="exact"/>
        <w:jc w:val="center"/>
        <w:outlineLvl w:val="1"/>
        <w:rPr>
          <w:rFonts w:ascii="宋体" w:hAnsi="宋体" w:cs="宋体"/>
          <w:b/>
          <w:color w:val="auto"/>
          <w:sz w:val="28"/>
          <w:szCs w:val="28"/>
          <w:highlight w:val="none"/>
        </w:rPr>
      </w:pPr>
      <w:bookmarkStart w:id="13" w:name="_Toc3978"/>
      <w:r>
        <w:rPr>
          <w:rFonts w:hint="eastAsia" w:ascii="宋体" w:hAnsi="宋体" w:cs="宋体"/>
          <w:b/>
          <w:color w:val="auto"/>
          <w:sz w:val="28"/>
          <w:szCs w:val="28"/>
          <w:highlight w:val="none"/>
        </w:rPr>
        <w:t>（二）竞争性磋商文件</w:t>
      </w:r>
      <w:bookmarkEnd w:id="13"/>
    </w:p>
    <w:p>
      <w:pPr>
        <w:spacing w:line="400" w:lineRule="exact"/>
        <w:rPr>
          <w:rFonts w:ascii="宋体" w:hAnsi="宋体" w:cs="宋体"/>
          <w:color w:val="auto"/>
          <w:sz w:val="24"/>
          <w:highlight w:val="none"/>
        </w:rPr>
      </w:pPr>
      <w:r>
        <w:rPr>
          <w:rFonts w:hint="eastAsia" w:ascii="宋体" w:hAnsi="宋体" w:cs="宋体"/>
          <w:color w:val="auto"/>
          <w:sz w:val="24"/>
          <w:highlight w:val="none"/>
        </w:rPr>
        <w:t>3、竞争性磋商文件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竞争性磋商文件由竞争性磋商文件总目录所列内容及补充文件组成。</w:t>
      </w:r>
    </w:p>
    <w:p>
      <w:pPr>
        <w:spacing w:line="400" w:lineRule="exact"/>
        <w:rPr>
          <w:rFonts w:ascii="宋体" w:hAnsi="宋体" w:cs="宋体"/>
          <w:color w:val="auto"/>
          <w:sz w:val="24"/>
          <w:highlight w:val="none"/>
        </w:rPr>
      </w:pPr>
      <w:r>
        <w:rPr>
          <w:rFonts w:hint="eastAsia" w:ascii="宋体" w:hAnsi="宋体" w:cs="宋体"/>
          <w:color w:val="auto"/>
          <w:sz w:val="24"/>
          <w:highlight w:val="none"/>
        </w:rPr>
        <w:t>4、竞争性磋商文件的澄清</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4.1磋商供应商对竞争性磋商文件如有疑点要求澄清，可用书面形式（包括信函、传真，下同）通知采购代理机构，但通知不得迟于竞争性磋商文件</w:t>
      </w:r>
      <w:r>
        <w:rPr>
          <w:rFonts w:hint="eastAsia" w:ascii="宋体" w:hAnsi="宋体" w:cs="宋体"/>
          <w:b/>
          <w:bCs/>
          <w:color w:val="auto"/>
          <w:sz w:val="24"/>
          <w:highlight w:val="none"/>
          <w:u w:val="single"/>
        </w:rPr>
        <w:t>响应须知前附表规定的时间</w:t>
      </w:r>
      <w:r>
        <w:rPr>
          <w:rFonts w:hint="eastAsia" w:ascii="宋体" w:hAnsi="宋体" w:cs="宋体"/>
          <w:color w:val="auto"/>
          <w:sz w:val="24"/>
          <w:highlight w:val="none"/>
        </w:rPr>
        <w:t>使采购代理机构收到，采购代理机构将用书面形式予以答复。如有必要，可将不说明来源的答复发给所有参加响应的磋商供应商。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对竞争性磋商文件中存在有表达不清或有多种解释而未明确的,磋商供应商在规定时间内没有以书面形式向采购代理机构提出,采购人或采购代理机构拥有解释权,由此而导致磋商供应商不中标或中标后产生不利因素的,责任由磋商供应商自负。</w:t>
      </w:r>
    </w:p>
    <w:p>
      <w:pPr>
        <w:spacing w:line="400" w:lineRule="exact"/>
        <w:rPr>
          <w:rFonts w:ascii="宋体" w:hAnsi="宋体" w:cs="宋体"/>
          <w:color w:val="auto"/>
          <w:sz w:val="24"/>
          <w:highlight w:val="none"/>
        </w:rPr>
      </w:pPr>
      <w:r>
        <w:rPr>
          <w:rFonts w:hint="eastAsia" w:ascii="宋体" w:hAnsi="宋体" w:cs="宋体"/>
          <w:color w:val="auto"/>
          <w:sz w:val="24"/>
          <w:highlight w:val="none"/>
        </w:rPr>
        <w:t>5、竞争性磋商文件的修改</w:t>
      </w:r>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 xml:space="preserve">5.1 </w:t>
      </w:r>
      <w:r>
        <w:rPr>
          <w:rFonts w:hint="eastAsia" w:ascii="宋体" w:hAnsi="宋体" w:cs="宋体"/>
          <w:color w:val="auto"/>
          <w:kern w:val="0"/>
          <w:sz w:val="24"/>
          <w:highlight w:val="none"/>
        </w:rPr>
        <w:t>提交首次响应文件截止之日前，采购人、采购代理机构或者磋商小组可以对已发出的磋商文件进行必要的澄清或者修改，澄清或者修改的内容作为磋商文件的组成部分。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w:t>
      </w:r>
      <w:r>
        <w:rPr>
          <w:rFonts w:hint="eastAsia" w:ascii="宋体" w:hAnsi="宋体" w:cs="宋体"/>
          <w:color w:val="auto"/>
          <w:kern w:val="0"/>
          <w:sz w:val="24"/>
          <w:highlight w:val="none"/>
        </w:rPr>
        <w:t>澄清或者修改的内容可能影响响应文件编制的，采购人在提交首次响应文件截止之日5日前，以书面形式通知所有接收磋商文件的供应商，不足5日的，应当顺延提交首次响应文件截止之日。</w:t>
      </w:r>
    </w:p>
    <w:p>
      <w:pPr>
        <w:spacing w:line="400" w:lineRule="exact"/>
        <w:rPr>
          <w:rFonts w:ascii="宋体" w:hAnsi="宋体" w:cs="宋体"/>
          <w:color w:val="auto"/>
          <w:sz w:val="24"/>
          <w:highlight w:val="none"/>
        </w:rPr>
      </w:pPr>
    </w:p>
    <w:p>
      <w:pPr>
        <w:spacing w:line="400" w:lineRule="exact"/>
        <w:jc w:val="center"/>
        <w:outlineLvl w:val="1"/>
        <w:rPr>
          <w:rFonts w:ascii="宋体" w:hAnsi="宋体" w:cs="宋体"/>
          <w:b/>
          <w:color w:val="auto"/>
          <w:sz w:val="28"/>
          <w:szCs w:val="28"/>
          <w:highlight w:val="none"/>
        </w:rPr>
      </w:pPr>
      <w:bookmarkStart w:id="14" w:name="_Toc10969"/>
      <w:r>
        <w:rPr>
          <w:rFonts w:hint="eastAsia" w:ascii="宋体" w:hAnsi="宋体" w:cs="宋体"/>
          <w:b/>
          <w:color w:val="auto"/>
          <w:sz w:val="28"/>
          <w:szCs w:val="28"/>
          <w:highlight w:val="none"/>
        </w:rPr>
        <w:t>（三）响应文件</w:t>
      </w:r>
      <w:bookmarkEnd w:id="14"/>
    </w:p>
    <w:p>
      <w:pPr>
        <w:spacing w:line="400" w:lineRule="exact"/>
        <w:rPr>
          <w:rFonts w:ascii="宋体" w:hAnsi="宋体" w:cs="宋体"/>
          <w:color w:val="auto"/>
          <w:sz w:val="24"/>
          <w:highlight w:val="none"/>
        </w:rPr>
      </w:pPr>
      <w:r>
        <w:rPr>
          <w:rFonts w:hint="eastAsia" w:ascii="宋体" w:hAnsi="宋体" w:cs="宋体"/>
          <w:color w:val="auto"/>
          <w:sz w:val="24"/>
          <w:highlight w:val="none"/>
        </w:rPr>
        <w:t>6、响应文件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6.1 磋商供应商应仔细阅读竞争性磋商文件中的所有内容，按照竞争性磋商文件要求详细编制响应文件，并保证响应文件的正确性和真实性，所有文件资料必须是针对本次响应。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6.2 不按竞争性磋商文件的要求提供的响应文件可能导致被拒绝。</w:t>
      </w:r>
    </w:p>
    <w:p>
      <w:pPr>
        <w:spacing w:line="400" w:lineRule="exact"/>
        <w:rPr>
          <w:rFonts w:ascii="宋体" w:hAnsi="宋体" w:cs="宋体"/>
          <w:color w:val="auto"/>
          <w:sz w:val="24"/>
          <w:highlight w:val="none"/>
        </w:rPr>
      </w:pPr>
      <w:r>
        <w:rPr>
          <w:rFonts w:hint="eastAsia" w:ascii="宋体" w:hAnsi="宋体" w:cs="宋体"/>
          <w:color w:val="auto"/>
          <w:sz w:val="24"/>
          <w:highlight w:val="none"/>
        </w:rPr>
        <w:t>7、响应文件的组成</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响应文件由报价文件、商务技术文件、资格文件三部分组成。</w:t>
      </w:r>
    </w:p>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7.1报价文件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▲（1）投标响应函；</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▲（2）投标（开标）一览表；</w:t>
      </w: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（3）磋商供应商针对报价需要说明的其他文件和说明（格式自拟）；</w:t>
      </w: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（4）中小企业声明函、网页证明资料（若有，格式见附件）；</w:t>
      </w: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（5）监狱企业资格证明材料（省级以上监狱管理局、戒毒管理局（含新疆生产建设兵团）出具的属于监狱企业的证明文件）；</w:t>
      </w: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（6）残疾人福利企业声明函（若有，格式见附件）。</w:t>
      </w:r>
    </w:p>
    <w:p>
      <w:pPr>
        <w:spacing w:line="400" w:lineRule="exact"/>
        <w:ind w:left="721" w:leftChars="150" w:hanging="181" w:hangingChars="75"/>
        <w:rPr>
          <w:rFonts w:ascii="宋体" w:hAnsi="宋体" w:cs="宋体"/>
          <w:b/>
          <w:bCs/>
          <w:color w:val="auto"/>
          <w:sz w:val="24"/>
          <w:highlight w:val="none"/>
        </w:rPr>
      </w:pPr>
      <w:r>
        <w:rPr>
          <w:rFonts w:hint="eastAsia" w:ascii="宋体" w:hAnsi="宋体" w:cs="宋体"/>
          <w:b/>
          <w:bCs/>
          <w:color w:val="auto"/>
          <w:sz w:val="24"/>
          <w:highlight w:val="none"/>
        </w:rPr>
        <w:t>7.2商务技术文件</w:t>
      </w:r>
    </w:p>
    <w:p>
      <w:pPr>
        <w:pStyle w:val="102"/>
        <w:adjustRightInd/>
        <w:spacing w:line="360" w:lineRule="auto"/>
        <w:ind w:firstLine="480" w:firstLineChars="200"/>
        <w:rPr>
          <w:rFonts w:ascii="宋体" w:hAnsi="宋体" w:eastAsia="宋体" w:cs="宋体"/>
          <w:color w:val="auto"/>
          <w:highlight w:val="none"/>
        </w:rPr>
      </w:pPr>
      <w:bookmarkStart w:id="15" w:name="_Hlk524095774"/>
      <w:r>
        <w:rPr>
          <w:rFonts w:hint="eastAsia" w:ascii="宋体" w:hAnsi="宋体" w:eastAsia="宋体" w:cs="宋体"/>
          <w:color w:val="auto"/>
          <w:highlight w:val="none"/>
        </w:rPr>
        <w:t>▲</w:t>
      </w:r>
      <w:r>
        <w:rPr>
          <w:rFonts w:hint="eastAsia" w:ascii="宋体" w:hAnsi="宋体" w:eastAsia="宋体" w:cs="宋体"/>
          <w:color w:val="auto"/>
          <w:highlight w:val="none"/>
          <w:lang w:val="zh-CN"/>
        </w:rPr>
        <w:t>（1）</w:t>
      </w:r>
      <w:r>
        <w:rPr>
          <w:rFonts w:hint="eastAsia" w:ascii="宋体" w:hAnsi="宋体" w:eastAsia="宋体" w:cs="宋体"/>
          <w:color w:val="auto"/>
          <w:highlight w:val="none"/>
        </w:rPr>
        <w:t>法定代表人资格证明书；</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zh-CN"/>
        </w:rPr>
        <w:t>（2）</w:t>
      </w:r>
      <w:r>
        <w:rPr>
          <w:rFonts w:hint="eastAsia" w:ascii="宋体" w:hAnsi="宋体" w:eastAsia="宋体" w:cs="宋体"/>
          <w:color w:val="auto"/>
          <w:highlight w:val="none"/>
        </w:rPr>
        <w:t>法定代表人授权委托书；</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color w:val="auto"/>
          <w:highlight w:val="none"/>
        </w:rPr>
        <w:t>商务偏离说明表；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w:t>
      </w:r>
      <w:r>
        <w:rPr>
          <w:rFonts w:hint="eastAsia" w:ascii="宋体" w:hAnsi="宋体" w:eastAsia="宋体" w:cs="宋体"/>
          <w:color w:val="auto"/>
          <w:highlight w:val="none"/>
        </w:rPr>
        <w:t>技术偏离说明表；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w:t>
      </w:r>
      <w:r>
        <w:rPr>
          <w:rFonts w:hint="eastAsia" w:ascii="宋体" w:hAnsi="宋体" w:eastAsia="宋体" w:cs="宋体"/>
          <w:color w:val="auto"/>
          <w:highlight w:val="none"/>
        </w:rPr>
        <w:t>磋商供应商基本情况表；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w:t>
      </w:r>
      <w:r>
        <w:rPr>
          <w:rFonts w:hint="eastAsia" w:ascii="宋体" w:hAnsi="宋体" w:eastAsia="宋体" w:cs="宋体"/>
          <w:color w:val="auto"/>
          <w:highlight w:val="none"/>
        </w:rPr>
        <w:t>企业简介、资质、信用、荣誉、管理体系认证等资料；</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w:t>
      </w:r>
      <w:r>
        <w:rPr>
          <w:rFonts w:hint="eastAsia" w:ascii="宋体" w:hAnsi="宋体" w:eastAsia="宋体" w:cs="宋体"/>
          <w:color w:val="auto"/>
          <w:highlight w:val="none"/>
        </w:rPr>
        <w:t>类似项目业绩一览表；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w:t>
      </w:r>
      <w:r>
        <w:rPr>
          <w:rFonts w:hint="eastAsia" w:ascii="宋体" w:hAnsi="宋体" w:eastAsia="宋体" w:cs="宋体"/>
          <w:color w:val="auto"/>
          <w:highlight w:val="none"/>
        </w:rPr>
        <w:t>服务团队</w:t>
      </w:r>
      <w:r>
        <w:rPr>
          <w:rFonts w:hint="eastAsia" w:ascii="宋体" w:hAnsi="宋体" w:eastAsia="宋体" w:cs="宋体"/>
          <w:color w:val="auto"/>
          <w:highlight w:val="none"/>
          <w:lang w:val="zh-CN"/>
        </w:rPr>
        <w:t>人员名单；</w:t>
      </w:r>
    </w:p>
    <w:p>
      <w:pPr>
        <w:spacing w:line="312" w:lineRule="auto"/>
        <w:ind w:firstLine="480" w:firstLineChars="200"/>
        <w:rPr>
          <w:rFonts w:ascii="宋体" w:hAnsi="宋体" w:cs="宋体"/>
          <w:color w:val="auto"/>
          <w:sz w:val="24"/>
          <w:highlight w:val="none"/>
          <w:lang w:val="zh-CN"/>
        </w:rPr>
      </w:pPr>
      <w:r>
        <w:rPr>
          <w:rFonts w:hint="eastAsia" w:ascii="宋体" w:hAnsi="宋体" w:cs="宋体"/>
          <w:color w:val="auto"/>
          <w:kern w:val="0"/>
          <w:sz w:val="24"/>
          <w:highlight w:val="none"/>
        </w:rPr>
        <w:t>（9）</w:t>
      </w:r>
      <w:r>
        <w:rPr>
          <w:rFonts w:hint="eastAsia" w:ascii="宋体" w:hAnsi="宋体" w:cs="宋体"/>
          <w:color w:val="auto"/>
          <w:sz w:val="24"/>
          <w:highlight w:val="none"/>
          <w:lang w:val="zh-CN"/>
        </w:rPr>
        <w:t>疗休养策划方案；</w:t>
      </w:r>
    </w:p>
    <w:p>
      <w:pPr>
        <w:spacing w:line="312"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）服务期内投入的服务设备及车辆一览表；</w:t>
      </w:r>
    </w:p>
    <w:p>
      <w:pPr>
        <w:spacing w:line="312"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（11）服务实施计划</w:t>
      </w:r>
      <w:r>
        <w:rPr>
          <w:rFonts w:hint="eastAsia" w:ascii="宋体" w:hAnsi="宋体" w:cs="宋体"/>
          <w:color w:val="auto"/>
          <w:sz w:val="24"/>
          <w:highlight w:val="none"/>
        </w:rPr>
        <w:t>；</w:t>
      </w:r>
    </w:p>
    <w:p>
      <w:pPr>
        <w:spacing w:line="312"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（12）</w:t>
      </w:r>
      <w:r>
        <w:rPr>
          <w:rFonts w:hint="eastAsia" w:ascii="宋体" w:hAnsi="宋体" w:cs="宋体"/>
          <w:color w:val="auto"/>
          <w:kern w:val="0"/>
          <w:sz w:val="24"/>
          <w:highlight w:val="none"/>
          <w:lang w:val="zh-CN"/>
        </w:rPr>
        <w:t>详细项目费用计划及项目进度安排；</w:t>
      </w:r>
    </w:p>
    <w:p>
      <w:pPr>
        <w:spacing w:line="312"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13</w:t>
      </w:r>
      <w:r>
        <w:rPr>
          <w:rFonts w:hint="eastAsia" w:ascii="宋体" w:hAnsi="宋体" w:cs="宋体"/>
          <w:color w:val="auto"/>
          <w:kern w:val="0"/>
          <w:sz w:val="24"/>
          <w:highlight w:val="none"/>
          <w:lang w:val="zh-CN"/>
        </w:rPr>
        <w:t>）服务质量标准；</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（14）免费增值服务；</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15</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磋商供应商提供的承诺和优惠；</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16</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磋商供应商认为需提供的其他文件；</w:t>
      </w:r>
    </w:p>
    <w:p>
      <w:pPr>
        <w:spacing w:line="400" w:lineRule="exact"/>
        <w:ind w:left="721" w:leftChars="150" w:hanging="181" w:hangingChars="75"/>
        <w:rPr>
          <w:rFonts w:ascii="宋体" w:hAnsi="宋体" w:cs="宋体"/>
          <w:b/>
          <w:bCs/>
          <w:color w:val="auto"/>
          <w:sz w:val="24"/>
          <w:highlight w:val="none"/>
        </w:rPr>
      </w:pPr>
      <w:r>
        <w:rPr>
          <w:rFonts w:hint="eastAsia" w:ascii="宋体" w:hAnsi="宋体" w:cs="宋体"/>
          <w:b/>
          <w:bCs/>
          <w:color w:val="auto"/>
          <w:sz w:val="24"/>
          <w:highlight w:val="none"/>
        </w:rPr>
        <w:t>7.3资格文件</w:t>
      </w:r>
    </w:p>
    <w:bookmarkEnd w:id="15"/>
    <w:p>
      <w:pPr>
        <w:pStyle w:val="102"/>
        <w:adjustRightInd/>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w:t>
      </w:r>
    </w:p>
    <w:p>
      <w:pPr>
        <w:pStyle w:val="102"/>
        <w:adjustRightInd/>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（2）2019年度资产负债表等财务报表资料文件复印件(新成立的公司，必须提供情况说明)；</w:t>
      </w:r>
    </w:p>
    <w:p>
      <w:pPr>
        <w:pStyle w:val="102"/>
        <w:adjustRightInd/>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（3）具有履行合同所必需的设备和专业技术能力的承诺函；</w:t>
      </w:r>
    </w:p>
    <w:p>
      <w:pPr>
        <w:pStyle w:val="102"/>
        <w:adjustRightInd/>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 xml:space="preserve">（4）参加政府采购活动前三年内，在经营活动中没有重大违法记录的声明； </w:t>
      </w:r>
    </w:p>
    <w:p>
      <w:pPr>
        <w:pStyle w:val="102"/>
        <w:adjustRightInd/>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（5）《旅行社业务经营许可证》</w:t>
      </w:r>
    </w:p>
    <w:p>
      <w:pPr>
        <w:pStyle w:val="102"/>
        <w:adjustRightInd/>
        <w:spacing w:line="360" w:lineRule="auto"/>
        <w:ind w:firstLine="48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（6）其他有关说明、证明材料。</w:t>
      </w:r>
    </w:p>
    <w:p>
      <w:pPr>
        <w:pStyle w:val="102"/>
        <w:adjustRightInd/>
        <w:snapToGrid w:val="0"/>
        <w:spacing w:line="360" w:lineRule="auto"/>
        <w:ind w:firstLine="482" w:firstLineChars="200"/>
        <w:rPr>
          <w:rFonts w:ascii="宋体" w:hAnsi="宋体" w:eastAsia="宋体" w:cs="宋体"/>
          <w:b/>
          <w:bCs/>
          <w:color w:val="auto"/>
          <w:highlight w:val="none"/>
        </w:rPr>
      </w:pPr>
      <w:r>
        <w:rPr>
          <w:rFonts w:hint="eastAsia" w:ascii="宋体" w:hAnsi="宋体" w:eastAsia="宋体" w:cs="宋体"/>
          <w:b/>
          <w:bCs/>
          <w:color w:val="auto"/>
          <w:kern w:val="2"/>
          <w:highlight w:val="none"/>
          <w:lang w:val="zh-CN"/>
        </w:rPr>
        <w:t>注：法定代表人授权委托书、开标一览表、</w:t>
      </w:r>
      <w:r>
        <w:rPr>
          <w:rFonts w:hint="eastAsia" w:ascii="宋体" w:hAnsi="宋体" w:eastAsia="宋体" w:cs="宋体"/>
          <w:b/>
          <w:bCs/>
          <w:color w:val="auto"/>
          <w:kern w:val="2"/>
          <w:highlight w:val="none"/>
        </w:rPr>
        <w:t>投标价格组成明细表</w:t>
      </w:r>
      <w:r>
        <w:rPr>
          <w:rFonts w:hint="eastAsia" w:ascii="宋体" w:hAnsi="宋体" w:eastAsia="宋体" w:cs="宋体"/>
          <w:b/>
          <w:bCs/>
          <w:color w:val="auto"/>
          <w:kern w:val="2"/>
          <w:highlight w:val="none"/>
          <w:lang w:val="zh-CN"/>
        </w:rPr>
        <w:t>必须按磋商文件格式要求正确签署并加盖磋商供应商公章。响应文件中所需的各种证书、证件、证明资料如是复印件，</w:t>
      </w:r>
      <w:r>
        <w:rPr>
          <w:rFonts w:hint="eastAsia" w:ascii="宋体" w:hAnsi="宋体" w:eastAsia="宋体" w:cs="宋体"/>
          <w:b/>
          <w:bCs/>
          <w:color w:val="auto"/>
          <w:highlight w:val="none"/>
          <w:lang w:val="zh-CN"/>
        </w:rPr>
        <w:t>需在复印件上加盖有效公章，原件备查。磋商供应商的</w:t>
      </w:r>
      <w:r>
        <w:rPr>
          <w:rFonts w:hint="eastAsia" w:ascii="宋体" w:hAnsi="宋体" w:eastAsia="宋体" w:cs="宋体"/>
          <w:b/>
          <w:bCs/>
          <w:color w:val="auto"/>
          <w:highlight w:val="none"/>
        </w:rPr>
        <w:t>响应文件必须按照磋商文件要求制作。</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8、响应内容填写说明</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8.1 响应文件格式</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磋商供应商应按照竞争性磋商文件中所提出的格式要求编制。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8.2如果磋商供应商代表不是法定代表人，需持有《法定代表人授权书》。</w:t>
      </w:r>
    </w:p>
    <w:p>
      <w:pPr>
        <w:spacing w:line="400" w:lineRule="exact"/>
        <w:rPr>
          <w:rFonts w:ascii="宋体" w:hAnsi="宋体" w:cs="宋体"/>
          <w:color w:val="auto"/>
          <w:sz w:val="24"/>
          <w:highlight w:val="none"/>
        </w:rPr>
      </w:pPr>
      <w:r>
        <w:rPr>
          <w:rFonts w:hint="eastAsia" w:ascii="宋体" w:hAnsi="宋体" w:cs="宋体"/>
          <w:color w:val="auto"/>
          <w:sz w:val="24"/>
          <w:highlight w:val="none"/>
        </w:rPr>
        <w:t>9、磋商报价</w:t>
      </w:r>
    </w:p>
    <w:p>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9.1总报价应包括竞争性磋商文件、竞争性磋商文件所注明的全部内容以及为完成本项目实施所需的方案编写、具体行程、人员组织安排、各种交通运输、住宿餐饮、景点门票、保险和税金等所有费用。</w:t>
      </w:r>
    </w:p>
    <w:p>
      <w:pPr>
        <w:tabs>
          <w:tab w:val="left" w:pos="0"/>
        </w:tabs>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9.2供应商磋商响应文件必须按竞争性磋商文件第五部分格式附件的分项报价表的内容详细填写，并由法定代表人或授权代表签署。</w:t>
      </w:r>
    </w:p>
    <w:p>
      <w:pPr>
        <w:spacing w:line="400" w:lineRule="exact"/>
        <w:ind w:left="475" w:leftChars="132"/>
        <w:rPr>
          <w:rFonts w:ascii="宋体" w:hAnsi="宋体" w:cs="宋体"/>
          <w:color w:val="auto"/>
          <w:sz w:val="24"/>
          <w:highlight w:val="none"/>
        </w:rPr>
      </w:pPr>
      <w:r>
        <w:rPr>
          <w:rFonts w:hint="eastAsia" w:ascii="宋体" w:hAnsi="宋体" w:cs="宋体"/>
          <w:color w:val="auto"/>
          <w:sz w:val="24"/>
          <w:highlight w:val="none"/>
        </w:rPr>
        <w:t>9.3采购人（或采购代理机构）不接受任何选择报价，只允许一种报价。</w:t>
      </w:r>
    </w:p>
    <w:p>
      <w:pPr>
        <w:spacing w:line="400" w:lineRule="exact"/>
        <w:rPr>
          <w:rFonts w:ascii="宋体" w:hAnsi="宋体" w:cs="宋体"/>
          <w:color w:val="auto"/>
          <w:sz w:val="24"/>
          <w:highlight w:val="none"/>
        </w:rPr>
      </w:pPr>
      <w:r>
        <w:rPr>
          <w:rFonts w:hint="eastAsia" w:ascii="宋体" w:hAnsi="宋体" w:cs="宋体"/>
          <w:color w:val="auto"/>
          <w:sz w:val="24"/>
          <w:highlight w:val="none"/>
        </w:rPr>
        <w:t>10、响应文件的有效期</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10.1自磋商之日起90天内，响应文件应保持有效。有效期短于这个规定期限的响应将被拒绝。</w:t>
      </w:r>
      <w:r>
        <w:rPr>
          <w:rFonts w:hint="eastAsia" w:ascii="宋体" w:hAnsi="宋体" w:cs="宋体"/>
          <w:color w:val="auto"/>
          <w:sz w:val="24"/>
          <w:highlight w:val="none"/>
          <w:lang w:val="en-GB"/>
        </w:rPr>
        <w:t>成交单位响应有效期则顺延至项目完成验收之日，在此有效期内未经采购人同意，响应文件的一切内容和补充承诺均为持续有效且不予改变。</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10.2在特殊情况下，采购人可与磋商供应商协商延长响应文件的有效期,这种要求和答复均应以书面形式进行。</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10.3同意延长有效期的磋商供应商不能修改响应文件。</w:t>
      </w:r>
    </w:p>
    <w:p>
      <w:pPr>
        <w:spacing w:line="400" w:lineRule="exact"/>
        <w:rPr>
          <w:rFonts w:ascii="宋体" w:hAnsi="宋体" w:cs="宋体"/>
          <w:color w:val="auto"/>
          <w:sz w:val="24"/>
          <w:highlight w:val="none"/>
        </w:rPr>
      </w:pPr>
      <w:r>
        <w:rPr>
          <w:rFonts w:hint="eastAsia" w:ascii="宋体" w:hAnsi="宋体" w:cs="宋体"/>
          <w:color w:val="auto"/>
          <w:sz w:val="24"/>
          <w:highlight w:val="none"/>
        </w:rPr>
        <w:t>11、响应文件的签署和份数及装订</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11.1装订及签署</w:t>
      </w:r>
    </w:p>
    <w:p>
      <w:pPr>
        <w:spacing w:line="400" w:lineRule="exact"/>
        <w:ind w:firstLine="482" w:firstLineChars="200"/>
        <w:rPr>
          <w:rFonts w:ascii="宋体" w:hAnsi="宋体" w:cs="宋体"/>
          <w:color w:val="auto"/>
          <w:sz w:val="28"/>
          <w:szCs w:val="28"/>
          <w:highlight w:val="none"/>
          <w:u w:val="single"/>
        </w:rPr>
      </w:pPr>
      <w:r>
        <w:rPr>
          <w:rFonts w:hint="eastAsia" w:ascii="宋体" w:hAnsi="宋体" w:cs="宋体"/>
          <w:b/>
          <w:bCs/>
          <w:color w:val="auto"/>
          <w:sz w:val="24"/>
          <w:highlight w:val="none"/>
          <w:u w:val="single"/>
        </w:rPr>
        <w:t>按照第7条款的内容要求，供应商应将商务技术文件、资格文件、报价文件分别单独装订成册。封面和内部有要求的文件，必须加盖磋商供应商公章并由法定代表人或授权代表签署，磋商供应商应写全称。</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响应文件的份数</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u w:val="single"/>
        </w:rPr>
        <w:t>提供一式五份 。其中正本一份，副本四份。完整的响应文件电子文档</w:t>
      </w:r>
      <w:r>
        <w:rPr>
          <w:rFonts w:hint="eastAsia" w:ascii="宋体" w:hAnsi="宋体" w:cs="宋体"/>
          <w:b/>
          <w:color w:val="auto"/>
          <w:sz w:val="24"/>
          <w:highlight w:val="none"/>
          <w:u w:val="single"/>
        </w:rPr>
        <w:t>1</w:t>
      </w:r>
      <w:r>
        <w:rPr>
          <w:rFonts w:hint="eastAsia" w:ascii="宋体" w:hAnsi="宋体" w:cs="宋体"/>
          <w:color w:val="auto"/>
          <w:sz w:val="24"/>
          <w:highlight w:val="none"/>
          <w:u w:val="single"/>
        </w:rPr>
        <w:t>份。在封面上须注明“正本或副本” 、“项目名称、项目编号”等字样。正本和副本内容有出入，以正本为准。副本可以是正本的复印件。</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11.3包装及密封</w:t>
      </w:r>
    </w:p>
    <w:p>
      <w:pPr>
        <w:spacing w:line="400" w:lineRule="exact"/>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u w:val="single"/>
        </w:rPr>
        <w:t>供应商应将商务技术文件及资格文件正、副本一起密封包装在密封袋内；报价文件的正、副本密封包装在另外一个密封袋内，否则如开标时发生报价泄露的，由供应商自行承担相关责任。外包装须加</w:t>
      </w:r>
      <w:r>
        <w:rPr>
          <w:rFonts w:hint="eastAsia" w:ascii="宋体" w:hAnsi="宋体" w:cs="宋体"/>
          <w:b/>
          <w:color w:val="auto"/>
          <w:sz w:val="24"/>
          <w:highlight w:val="none"/>
          <w:u w:val="single"/>
        </w:rPr>
        <w:t>盖磋商供应商公章、法定代表人或授权代表签字或盖章。</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11.4 响应文件如有错漏必须修改，修改处须由同一签署人签字或盖章。</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11.5由于字迹模糊或表达不清引起的后果由磋商供应商负责。</w:t>
      </w:r>
    </w:p>
    <w:p>
      <w:pPr>
        <w:bidi w:val="0"/>
        <w:rPr>
          <w:color w:val="auto"/>
          <w:highlight w:val="none"/>
        </w:rPr>
      </w:pPr>
    </w:p>
    <w:p>
      <w:pPr>
        <w:spacing w:line="400" w:lineRule="exact"/>
        <w:jc w:val="center"/>
        <w:outlineLvl w:val="1"/>
        <w:rPr>
          <w:rFonts w:ascii="宋体" w:hAnsi="宋体" w:cs="宋体"/>
          <w:b/>
          <w:color w:val="auto"/>
          <w:sz w:val="28"/>
          <w:szCs w:val="28"/>
          <w:highlight w:val="none"/>
        </w:rPr>
      </w:pPr>
      <w:bookmarkStart w:id="16" w:name="_Toc26410"/>
      <w:r>
        <w:rPr>
          <w:rFonts w:hint="eastAsia" w:ascii="宋体" w:hAnsi="宋体" w:cs="宋体"/>
          <w:b/>
          <w:color w:val="auto"/>
          <w:sz w:val="28"/>
          <w:szCs w:val="28"/>
          <w:highlight w:val="none"/>
        </w:rPr>
        <w:t>（四）响应文件的提交</w:t>
      </w:r>
      <w:bookmarkEnd w:id="16"/>
    </w:p>
    <w:p>
      <w:pPr>
        <w:spacing w:line="400" w:lineRule="exact"/>
        <w:rPr>
          <w:rFonts w:ascii="宋体" w:hAnsi="宋体" w:cs="宋体"/>
          <w:b/>
          <w:color w:val="auto"/>
          <w:sz w:val="28"/>
          <w:szCs w:val="28"/>
          <w:highlight w:val="none"/>
        </w:rPr>
      </w:pPr>
      <w:r>
        <w:rPr>
          <w:rFonts w:hint="eastAsia" w:ascii="宋体" w:hAnsi="宋体" w:cs="宋体"/>
          <w:color w:val="auto"/>
          <w:sz w:val="24"/>
          <w:highlight w:val="none"/>
        </w:rPr>
        <w:t>12、响应文件提交截止时间</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12.1提交截止时间详见竞争性磋商公告，迟于截止时间提交的响应文件将被拒绝，并将响应文件退还磋商供应商。</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12.2提交地点：响应文件必须在规定的响应文件提交截止时间前派人送达指定的响应地点，地点详见竞争性磋商公告。</w:t>
      </w:r>
    </w:p>
    <w:p>
      <w:pPr>
        <w:spacing w:line="400" w:lineRule="exact"/>
        <w:rPr>
          <w:rFonts w:ascii="宋体" w:hAnsi="宋体" w:cs="宋体"/>
          <w:color w:val="auto"/>
          <w:sz w:val="24"/>
          <w:highlight w:val="none"/>
        </w:rPr>
      </w:pPr>
      <w:r>
        <w:rPr>
          <w:rFonts w:hint="eastAsia" w:ascii="宋体" w:hAnsi="宋体" w:cs="宋体"/>
          <w:color w:val="auto"/>
          <w:sz w:val="24"/>
          <w:highlight w:val="none"/>
        </w:rPr>
        <w:t>13、响应文件提交截止时间修改</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13.1采购人如因故推迟响应文件提交截止时间，应以书面形式通知所有磋商供应商。在这种情况下，采购人和磋商供应商的权利和义务将受到新的截止时间的约束。</w:t>
      </w:r>
    </w:p>
    <w:p>
      <w:pPr>
        <w:spacing w:line="400" w:lineRule="exact"/>
        <w:rPr>
          <w:rFonts w:ascii="宋体" w:hAnsi="宋体" w:cs="宋体"/>
          <w:color w:val="auto"/>
          <w:sz w:val="24"/>
          <w:highlight w:val="none"/>
        </w:rPr>
      </w:pPr>
      <w:r>
        <w:rPr>
          <w:rFonts w:hint="eastAsia" w:ascii="宋体" w:hAnsi="宋体" w:cs="宋体"/>
          <w:color w:val="auto"/>
          <w:sz w:val="24"/>
          <w:highlight w:val="none"/>
        </w:rPr>
        <w:t>14、响应文件的修改和撤回</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14.1磋商供应商在响应以后如必须修改或撤回响应文件，必须在响应文件提交截止时间以前将书面的响应修改文件或撤标通知送达采购人。</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14.2响应修改文件必须密封，在密封袋上写明项目编号、竞争性磋商项目名称、磋商供应商名称、投递人姓名、日期、并注明"修改文件"、"开标时启封"字样。</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14.3磋商供应商以传真或电报形式通知采购人撤标时，必须随后补充有法定代表人或法定代表人授权代表签署的正式文件。</w:t>
      </w:r>
    </w:p>
    <w:p>
      <w:pPr>
        <w:spacing w:line="400" w:lineRule="exact"/>
        <w:ind w:firstLine="600" w:firstLineChars="250"/>
        <w:rPr>
          <w:rFonts w:ascii="宋体" w:hAnsi="宋体" w:cs="宋体"/>
          <w:color w:val="auto"/>
          <w:sz w:val="24"/>
          <w:highlight w:val="none"/>
        </w:rPr>
      </w:pPr>
    </w:p>
    <w:p>
      <w:pPr>
        <w:spacing w:line="400" w:lineRule="exact"/>
        <w:jc w:val="center"/>
        <w:outlineLvl w:val="1"/>
        <w:rPr>
          <w:rFonts w:ascii="宋体" w:hAnsi="宋体" w:cs="宋体"/>
          <w:b/>
          <w:color w:val="auto"/>
          <w:sz w:val="28"/>
          <w:szCs w:val="28"/>
          <w:highlight w:val="none"/>
        </w:rPr>
      </w:pPr>
      <w:bookmarkStart w:id="17" w:name="_Toc23920"/>
      <w:r>
        <w:rPr>
          <w:rFonts w:hint="eastAsia" w:ascii="宋体" w:hAnsi="宋体" w:cs="宋体"/>
          <w:b/>
          <w:color w:val="auto"/>
          <w:sz w:val="28"/>
          <w:szCs w:val="28"/>
          <w:highlight w:val="none"/>
        </w:rPr>
        <w:t>（五）磋商和评审</w:t>
      </w:r>
      <w:bookmarkEnd w:id="17"/>
    </w:p>
    <w:p>
      <w:pPr>
        <w:spacing w:line="400" w:lineRule="exact"/>
        <w:rPr>
          <w:rFonts w:ascii="宋体" w:hAnsi="宋体" w:cs="宋体"/>
          <w:color w:val="auto"/>
          <w:sz w:val="24"/>
          <w:highlight w:val="none"/>
        </w:rPr>
      </w:pPr>
      <w:r>
        <w:rPr>
          <w:rFonts w:hint="eastAsia" w:ascii="宋体" w:hAnsi="宋体" w:cs="宋体"/>
          <w:color w:val="auto"/>
          <w:sz w:val="24"/>
          <w:highlight w:val="none"/>
        </w:rPr>
        <w:t>15、开标程序</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采购代理机构按竞争性磋商文件规定的时间、地点和程序组织磋商，具体程序如下：</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15.1开启开标场地的录音录像采集设备，并确保其正常运行。</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15.2核验出席磋商活动现场的各授权供应商代表及相关单位人员身份，并组织其分别登记、签到，无关人员可拒绝其进入现场。</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15.3对现场接受竞争性磋商响应文件的，由现场工作人员接收竞争性磋商响应文件并登记，请供应商代表对竞争性磋商响应文件的递交记录情况进行签字确认。</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15.4主持人宣布开标，介绍开标现场的人员情况，宣读递交竞争性磋商响应文件的供应商名单、开标纪律、应当回避的情形等注意事项，组织供应商签署不存在影响公平竞争的《政府采购活动现场确认声明书》。</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15.5对供应商磋商保证金缴纳情况进行查验、核实，提请供应商代表或公证人员查验竞争性磋商响应文件密封情况。</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15.6按供应商提交竞争性磋商响应文件的先后顺序当众拆封、清点竞争性磋商响应文件（包括正本、副本）数量，将其中密封的报价文件（含开标&lt;报价&gt;一览表、报价明细表等，下同）现场集中封存保管等候拆封，将拆封后的商务和技术文件由现场工作人员护送至指定的评审地点，同时告知供应商代表拆封报价文件的预计时间。对不符合装订要求的采购响应文件，由现场工作人员退还供应商代表。</w:t>
      </w:r>
    </w:p>
    <w:p>
      <w:pPr>
        <w:pStyle w:val="83"/>
        <w:snapToGrid w:val="0"/>
        <w:spacing w:line="40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15.7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得分情况。</w:t>
      </w:r>
    </w:p>
    <w:p>
      <w:pPr>
        <w:pStyle w:val="77"/>
        <w:snapToGrid w:val="0"/>
        <w:spacing w:line="400" w:lineRule="exact"/>
        <w:ind w:firstLine="480" w:firstLineChars="200"/>
        <w:rPr>
          <w:rFonts w:hint="default" w:ascii="宋体" w:hAnsi="宋体" w:cs="宋体"/>
          <w:color w:val="auto"/>
          <w:sz w:val="24"/>
          <w:szCs w:val="24"/>
          <w:highlight w:val="none"/>
        </w:rPr>
      </w:pPr>
      <w:r>
        <w:rPr>
          <w:rFonts w:ascii="宋体" w:hAnsi="宋体" w:cs="宋体"/>
          <w:color w:val="auto"/>
          <w:sz w:val="24"/>
          <w:szCs w:val="24"/>
          <w:highlight w:val="none"/>
        </w:rPr>
        <w:t>15.8供应商最终报价在公布商务及技术得分之前必须密封上交到采购代理机构工作人员，然后代理机构工作人员拆封供应商第一次报价文件和最终报价文件，同时当场制作并打印开标记录表，由供应商代表、唱标人、记录人和现场监督员在开标记录表上签字确认（不予确认的应说明理由，否则视为无异议）。唱标结束后，现场工作人员将最终报价文件及开标记录表护送至指定评审地点，由评审小组对报价的合理性、准确性等进行审查核实。</w:t>
      </w:r>
    </w:p>
    <w:p>
      <w:pPr>
        <w:pStyle w:val="77"/>
        <w:snapToGrid w:val="0"/>
        <w:spacing w:line="400" w:lineRule="exact"/>
        <w:ind w:firstLine="435"/>
        <w:rPr>
          <w:rFonts w:hint="default" w:ascii="宋体" w:hAnsi="宋体" w:cs="宋体"/>
          <w:color w:val="auto"/>
          <w:sz w:val="24"/>
          <w:szCs w:val="24"/>
          <w:highlight w:val="none"/>
        </w:rPr>
      </w:pPr>
      <w:r>
        <w:rPr>
          <w:rFonts w:ascii="宋体" w:hAnsi="宋体" w:cs="宋体"/>
          <w:color w:val="auto"/>
          <w:sz w:val="24"/>
          <w:szCs w:val="24"/>
          <w:highlight w:val="none"/>
        </w:rPr>
        <w:t>15.9评审结束后，主持人公布成交候选供应商名单，及采购人最终确定成交供应商名单的时间和公告方式等。</w:t>
      </w:r>
    </w:p>
    <w:p>
      <w:pPr>
        <w:spacing w:line="400" w:lineRule="exact"/>
        <w:rPr>
          <w:rFonts w:ascii="宋体" w:hAnsi="宋体" w:cs="宋体"/>
          <w:color w:val="auto"/>
          <w:sz w:val="24"/>
          <w:highlight w:val="none"/>
        </w:rPr>
      </w:pPr>
      <w:r>
        <w:rPr>
          <w:rFonts w:hint="eastAsia" w:ascii="宋体" w:hAnsi="宋体" w:cs="宋体"/>
          <w:color w:val="auto"/>
          <w:sz w:val="24"/>
          <w:highlight w:val="none"/>
        </w:rPr>
        <w:t>16、评审原则</w:t>
      </w:r>
    </w:p>
    <w:p>
      <w:pPr>
        <w:spacing w:line="400" w:lineRule="exact"/>
        <w:ind w:right="84" w:firstLine="472" w:firstLineChars="197"/>
        <w:rPr>
          <w:rFonts w:ascii="宋体" w:hAnsi="宋体" w:cs="宋体"/>
          <w:color w:val="auto"/>
          <w:sz w:val="24"/>
          <w:highlight w:val="none"/>
        </w:rPr>
      </w:pPr>
      <w:r>
        <w:rPr>
          <w:rFonts w:hint="eastAsia" w:ascii="宋体" w:hAnsi="宋体" w:cs="宋体"/>
          <w:color w:val="auto"/>
          <w:sz w:val="24"/>
          <w:highlight w:val="none"/>
        </w:rPr>
        <w:t>磋商小组成员应当按照客观、公正、审慎的原则，根据磋商文件规定的评审程序、评审方法和评审标准进行独立评审。</w:t>
      </w:r>
    </w:p>
    <w:p>
      <w:pPr>
        <w:spacing w:line="400" w:lineRule="exact"/>
        <w:ind w:right="84"/>
        <w:rPr>
          <w:rFonts w:ascii="宋体" w:hAnsi="宋体" w:cs="宋体"/>
          <w:color w:val="auto"/>
          <w:sz w:val="24"/>
          <w:highlight w:val="none"/>
        </w:rPr>
      </w:pPr>
      <w:r>
        <w:rPr>
          <w:rFonts w:hint="eastAsia" w:ascii="宋体" w:hAnsi="宋体" w:cs="宋体"/>
          <w:color w:val="auto"/>
          <w:sz w:val="24"/>
          <w:highlight w:val="none"/>
        </w:rPr>
        <w:t>17、评审组织</w:t>
      </w:r>
    </w:p>
    <w:p>
      <w:pPr>
        <w:spacing w:line="400" w:lineRule="exact"/>
        <w:ind w:right="84"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竞争性磋商小组由采购人代表和评审专家共3人（含）以上单数组成，其中评审专家人数不得少于竞争性磋商小组成员总数的2/3。采购代理机构人员不得参加本机构代理的采购项目的评审。</w:t>
      </w:r>
    </w:p>
    <w:p>
      <w:pPr>
        <w:spacing w:line="400" w:lineRule="exact"/>
        <w:ind w:right="84"/>
        <w:rPr>
          <w:rFonts w:ascii="宋体" w:hAnsi="宋体" w:cs="宋体"/>
          <w:color w:val="auto"/>
          <w:sz w:val="24"/>
          <w:highlight w:val="none"/>
        </w:rPr>
      </w:pPr>
      <w:r>
        <w:rPr>
          <w:rFonts w:hint="eastAsia" w:ascii="宋体" w:hAnsi="宋体" w:cs="宋体"/>
          <w:color w:val="auto"/>
          <w:sz w:val="24"/>
          <w:highlight w:val="none"/>
        </w:rPr>
        <w:t>18、评审纪律</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18.1整个磋商、评审过程接受当地相关部门的监督。整个评审过程应严格保密，磋商小组及工作人员应严格遵守纪律，不得泄漏任何评审信息。</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18.2磋商小组应遵循公平、公正、科学、择优的原则，对照竞争性磋商文件规定的条件和标准，对各磋商响应文件的合规性、完整性和有效性进行审查、比较和评估。</w:t>
      </w:r>
    </w:p>
    <w:p>
      <w:pPr>
        <w:spacing w:line="400" w:lineRule="exact"/>
        <w:rPr>
          <w:rFonts w:ascii="宋体" w:hAnsi="宋体" w:cs="宋体"/>
          <w:color w:val="auto"/>
          <w:sz w:val="24"/>
          <w:highlight w:val="none"/>
        </w:rPr>
      </w:pPr>
      <w:r>
        <w:rPr>
          <w:rFonts w:hint="eastAsia" w:ascii="宋体" w:hAnsi="宋体" w:cs="宋体"/>
          <w:color w:val="auto"/>
          <w:sz w:val="24"/>
          <w:highlight w:val="none"/>
        </w:rPr>
        <w:t>19、评审办法</w:t>
      </w:r>
    </w:p>
    <w:p>
      <w:pPr>
        <w:pStyle w:val="17"/>
        <w:spacing w:after="50" w:line="400" w:lineRule="exact"/>
        <w:ind w:right="84" w:firstLine="480" w:firstLineChars="200"/>
        <w:rPr>
          <w:rFonts w:ascii="宋体" w:hAnsi="宋体" w:eastAsia="宋体" w:cs="宋体"/>
          <w:color w:val="auto"/>
          <w:highlight w:val="none"/>
        </w:rPr>
      </w:pPr>
      <w:r>
        <w:rPr>
          <w:rFonts w:hint="eastAsia" w:ascii="宋体" w:hAnsi="宋体" w:eastAsia="宋体" w:cs="宋体"/>
          <w:color w:val="auto"/>
          <w:highlight w:val="none"/>
        </w:rPr>
        <w:t>19.1本次项目评审办法采用综合评分法。</w:t>
      </w:r>
    </w:p>
    <w:p>
      <w:pPr>
        <w:pStyle w:val="17"/>
        <w:spacing w:after="50" w:line="400" w:lineRule="exact"/>
        <w:ind w:right="84" w:firstLine="480" w:firstLineChars="200"/>
        <w:rPr>
          <w:rFonts w:ascii="宋体" w:hAnsi="宋体" w:eastAsia="宋体" w:cs="宋体"/>
          <w:color w:val="auto"/>
          <w:highlight w:val="none"/>
        </w:rPr>
      </w:pPr>
      <w:r>
        <w:rPr>
          <w:rFonts w:hint="eastAsia" w:ascii="宋体" w:hAnsi="宋体" w:eastAsia="宋体" w:cs="宋体"/>
          <w:color w:val="auto"/>
          <w:highlight w:val="none"/>
        </w:rPr>
        <w:t>19.2 综合评审打分内容由两部分组成，分别为报价部分、商务技术务部分。</w:t>
      </w:r>
    </w:p>
    <w:p>
      <w:pPr>
        <w:pStyle w:val="17"/>
        <w:spacing w:after="50" w:line="400" w:lineRule="exact"/>
        <w:ind w:right="84" w:firstLine="480" w:firstLineChars="200"/>
        <w:rPr>
          <w:rFonts w:ascii="宋体" w:hAnsi="宋体" w:eastAsia="宋体" w:cs="宋体"/>
          <w:color w:val="auto"/>
          <w:highlight w:val="none"/>
        </w:rPr>
      </w:pPr>
      <w:r>
        <w:rPr>
          <w:rFonts w:hint="eastAsia" w:ascii="宋体" w:hAnsi="宋体" w:eastAsia="宋体" w:cs="宋体"/>
          <w:color w:val="auto"/>
          <w:highlight w:val="none"/>
        </w:rPr>
        <w:t>19.3商务技术部分由磋商小组在规定的分值内各自评审打分，</w:t>
      </w:r>
      <w:r>
        <w:rPr>
          <w:rFonts w:hint="eastAsia" w:ascii="宋体" w:hAnsi="宋体" w:eastAsia="宋体" w:cs="宋体"/>
          <w:color w:val="auto"/>
          <w:highlight w:val="none"/>
          <w:lang w:val="en-GB"/>
        </w:rPr>
        <w:t>如某个单项的打分值超过所规定的分值范围，则该份打分表无效</w:t>
      </w:r>
      <w:r>
        <w:rPr>
          <w:rFonts w:hint="eastAsia" w:ascii="宋体" w:hAnsi="宋体" w:eastAsia="宋体" w:cs="宋体"/>
          <w:color w:val="auto"/>
          <w:highlight w:val="none"/>
        </w:rPr>
        <w:t>。供应商商务技术部分的最终评标得分为所有磋商小组各自评分的平均值。</w:t>
      </w:r>
    </w:p>
    <w:p>
      <w:pPr>
        <w:spacing w:after="50" w:line="400" w:lineRule="exact"/>
        <w:ind w:right="84" w:firstLine="420"/>
        <w:rPr>
          <w:rFonts w:ascii="宋体" w:hAnsi="宋体" w:cs="宋体"/>
          <w:color w:val="auto"/>
          <w:sz w:val="24"/>
          <w:highlight w:val="none"/>
          <w:lang w:val="en-GB"/>
        </w:rPr>
      </w:pPr>
      <w:r>
        <w:rPr>
          <w:rFonts w:hint="eastAsia" w:ascii="宋体" w:hAnsi="宋体" w:cs="宋体"/>
          <w:color w:val="auto"/>
          <w:sz w:val="24"/>
          <w:highlight w:val="none"/>
        </w:rPr>
        <w:t>19</w:t>
      </w:r>
      <w:r>
        <w:rPr>
          <w:rFonts w:hint="eastAsia" w:ascii="宋体" w:hAnsi="宋体" w:cs="宋体"/>
          <w:color w:val="auto"/>
          <w:sz w:val="24"/>
          <w:highlight w:val="none"/>
          <w:lang w:val="en-GB"/>
        </w:rPr>
        <w:t>.</w:t>
      </w:r>
      <w:r>
        <w:rPr>
          <w:rFonts w:hint="eastAsia" w:ascii="宋体" w:hAnsi="宋体" w:cs="宋体"/>
          <w:color w:val="auto"/>
          <w:sz w:val="24"/>
          <w:highlight w:val="none"/>
        </w:rPr>
        <w:t>4报价部分在</w:t>
      </w:r>
      <w:r>
        <w:rPr>
          <w:rFonts w:hint="eastAsia" w:ascii="宋体" w:hAnsi="宋体" w:cs="宋体"/>
          <w:color w:val="auto"/>
          <w:sz w:val="24"/>
          <w:highlight w:val="none"/>
          <w:lang w:val="en-GB"/>
        </w:rPr>
        <w:t>磋商小组对</w:t>
      </w:r>
      <w:r>
        <w:rPr>
          <w:rFonts w:hint="eastAsia" w:ascii="宋体" w:hAnsi="宋体" w:cs="宋体"/>
          <w:color w:val="auto"/>
          <w:sz w:val="24"/>
          <w:highlight w:val="none"/>
        </w:rPr>
        <w:t>商务技术</w:t>
      </w:r>
      <w:r>
        <w:rPr>
          <w:rFonts w:hint="eastAsia" w:ascii="宋体" w:hAnsi="宋体" w:cs="宋体"/>
          <w:color w:val="auto"/>
          <w:sz w:val="24"/>
          <w:highlight w:val="none"/>
          <w:lang w:val="en-GB"/>
        </w:rPr>
        <w:t>评审结束后并向</w:t>
      </w:r>
      <w:r>
        <w:rPr>
          <w:rFonts w:hint="eastAsia" w:ascii="宋体" w:hAnsi="宋体" w:cs="宋体"/>
          <w:color w:val="auto"/>
          <w:sz w:val="24"/>
          <w:highlight w:val="none"/>
        </w:rPr>
        <w:t>供应商</w:t>
      </w:r>
      <w:r>
        <w:rPr>
          <w:rFonts w:hint="eastAsia" w:ascii="宋体" w:hAnsi="宋体" w:cs="宋体"/>
          <w:color w:val="auto"/>
          <w:sz w:val="24"/>
          <w:highlight w:val="none"/>
          <w:lang w:val="en-GB"/>
        </w:rPr>
        <w:t>公布分数以后，对提交最终报价的供应商进行统一打分。</w:t>
      </w:r>
    </w:p>
    <w:p>
      <w:pPr>
        <w:spacing w:after="50" w:line="400" w:lineRule="exact"/>
        <w:ind w:right="84" w:firstLine="420"/>
        <w:rPr>
          <w:rFonts w:ascii="宋体" w:hAnsi="宋体" w:cs="宋体"/>
          <w:color w:val="auto"/>
          <w:sz w:val="24"/>
          <w:highlight w:val="none"/>
          <w:lang w:val="en-GB"/>
        </w:rPr>
      </w:pPr>
      <w:r>
        <w:rPr>
          <w:rFonts w:hint="eastAsia" w:ascii="宋体" w:hAnsi="宋体" w:cs="宋体"/>
          <w:color w:val="auto"/>
          <w:sz w:val="24"/>
          <w:highlight w:val="none"/>
        </w:rPr>
        <w:t>19</w:t>
      </w:r>
      <w:r>
        <w:rPr>
          <w:rFonts w:hint="eastAsia" w:ascii="宋体" w:hAnsi="宋体" w:cs="宋体"/>
          <w:color w:val="auto"/>
          <w:sz w:val="24"/>
          <w:highlight w:val="none"/>
          <w:lang w:val="en-GB"/>
        </w:rPr>
        <w:t>.</w:t>
      </w:r>
      <w:r>
        <w:rPr>
          <w:rFonts w:hint="eastAsia" w:ascii="宋体" w:hAnsi="宋体" w:cs="宋体"/>
          <w:color w:val="auto"/>
          <w:sz w:val="24"/>
          <w:highlight w:val="none"/>
        </w:rPr>
        <w:t>5</w:t>
      </w:r>
      <w:r>
        <w:rPr>
          <w:rFonts w:hint="eastAsia" w:ascii="宋体" w:hAnsi="宋体" w:cs="宋体"/>
          <w:color w:val="auto"/>
          <w:sz w:val="24"/>
          <w:highlight w:val="none"/>
          <w:lang w:val="en-GB"/>
        </w:rPr>
        <w:t>供应商的综合得分为</w:t>
      </w:r>
      <w:r>
        <w:rPr>
          <w:rFonts w:hint="eastAsia" w:ascii="宋体" w:hAnsi="宋体" w:cs="宋体"/>
          <w:color w:val="auto"/>
          <w:sz w:val="24"/>
          <w:highlight w:val="none"/>
        </w:rPr>
        <w:t>商务技术</w:t>
      </w:r>
      <w:r>
        <w:rPr>
          <w:rFonts w:hint="eastAsia" w:ascii="宋体" w:hAnsi="宋体" w:cs="宋体"/>
          <w:color w:val="auto"/>
          <w:sz w:val="24"/>
          <w:highlight w:val="none"/>
          <w:lang w:val="en-GB"/>
        </w:rPr>
        <w:t>、报价</w:t>
      </w:r>
      <w:r>
        <w:rPr>
          <w:rFonts w:hint="eastAsia" w:ascii="宋体" w:hAnsi="宋体" w:cs="宋体"/>
          <w:color w:val="auto"/>
          <w:sz w:val="24"/>
          <w:highlight w:val="none"/>
        </w:rPr>
        <w:t>两</w:t>
      </w:r>
      <w:r>
        <w:rPr>
          <w:rFonts w:hint="eastAsia" w:ascii="宋体" w:hAnsi="宋体" w:cs="宋体"/>
          <w:color w:val="auto"/>
          <w:sz w:val="24"/>
          <w:highlight w:val="none"/>
          <w:lang w:val="en-GB"/>
        </w:rPr>
        <w:t>部分的得分之和。</w:t>
      </w:r>
    </w:p>
    <w:p>
      <w:pPr>
        <w:spacing w:line="400" w:lineRule="exact"/>
        <w:rPr>
          <w:rFonts w:ascii="宋体" w:hAnsi="宋体" w:cs="宋体"/>
          <w:color w:val="auto"/>
          <w:sz w:val="24"/>
          <w:highlight w:val="none"/>
        </w:rPr>
      </w:pPr>
      <w:r>
        <w:rPr>
          <w:rFonts w:hint="eastAsia" w:ascii="宋体" w:hAnsi="宋体" w:cs="宋体"/>
          <w:color w:val="auto"/>
          <w:sz w:val="24"/>
          <w:highlight w:val="none"/>
        </w:rPr>
        <w:t>20、评审顺序</w:t>
      </w:r>
    </w:p>
    <w:p>
      <w:pPr>
        <w:pStyle w:val="17"/>
        <w:spacing w:after="50" w:line="400" w:lineRule="exact"/>
        <w:ind w:right="84"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rPr>
        <w:t>磋商小组推荐组长—资格性审查—符合性审查—磋商—商务技术评审打分—最终报价评审打分—综合得分—评标报告。</w:t>
      </w:r>
    </w:p>
    <w:p>
      <w:pPr>
        <w:spacing w:line="400" w:lineRule="exact"/>
        <w:ind w:right="84"/>
        <w:rPr>
          <w:rFonts w:ascii="宋体" w:hAnsi="宋体" w:cs="宋体"/>
          <w:color w:val="auto"/>
          <w:sz w:val="24"/>
          <w:highlight w:val="none"/>
        </w:rPr>
      </w:pPr>
      <w:r>
        <w:rPr>
          <w:rFonts w:hint="eastAsia" w:ascii="宋体" w:hAnsi="宋体" w:cs="宋体"/>
          <w:color w:val="auto"/>
          <w:sz w:val="24"/>
          <w:highlight w:val="none"/>
        </w:rPr>
        <w:t>21、磋商响应文件初审</w:t>
      </w:r>
    </w:p>
    <w:p>
      <w:pPr>
        <w:pStyle w:val="50"/>
        <w:tabs>
          <w:tab w:val="left" w:pos="360"/>
        </w:tabs>
        <w:spacing w:before="0"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 xml:space="preserve">    21.1初审分为资格性评审和符合性评审。</w:t>
      </w:r>
    </w:p>
    <w:p>
      <w:pPr>
        <w:pStyle w:val="50"/>
        <w:numPr>
          <w:ilvl w:val="0"/>
          <w:numId w:val="6"/>
        </w:numPr>
        <w:tabs>
          <w:tab w:val="left" w:pos="360"/>
        </w:tabs>
        <w:spacing w:before="0" w:line="400" w:lineRule="exact"/>
        <w:ind w:firstLineChars="0"/>
        <w:rPr>
          <w:rFonts w:ascii="宋体" w:hAnsi="宋体" w:cs="宋体"/>
          <w:color w:val="auto"/>
          <w:szCs w:val="24"/>
          <w:highlight w:val="none"/>
        </w:rPr>
      </w:pPr>
      <w:r>
        <w:rPr>
          <w:rFonts w:hint="eastAsia" w:ascii="宋体" w:hAnsi="宋体" w:cs="宋体"/>
          <w:color w:val="auto"/>
          <w:szCs w:val="24"/>
          <w:highlight w:val="none"/>
        </w:rPr>
        <w:t>资格性评审。依据法律法规和竞争性磋商文件的规定，对供应商资格要求进行审查，以确定供应商是否具备投标资格。</w:t>
      </w:r>
    </w:p>
    <w:p>
      <w:pPr>
        <w:pStyle w:val="50"/>
        <w:numPr>
          <w:ilvl w:val="0"/>
          <w:numId w:val="6"/>
        </w:numPr>
        <w:spacing w:before="0" w:line="400" w:lineRule="exact"/>
        <w:ind w:firstLineChars="0"/>
        <w:rPr>
          <w:rFonts w:ascii="宋体" w:hAnsi="宋体" w:cs="宋体"/>
          <w:color w:val="auto"/>
          <w:szCs w:val="24"/>
          <w:highlight w:val="none"/>
        </w:rPr>
      </w:pPr>
      <w:r>
        <w:rPr>
          <w:rFonts w:hint="eastAsia" w:ascii="宋体" w:hAnsi="宋体" w:cs="宋体"/>
          <w:color w:val="auto"/>
          <w:szCs w:val="24"/>
          <w:highlight w:val="none"/>
        </w:rPr>
        <w:t>符合性评审。依据竞争性磋商文件的规定，从磋商响应文件的有效性、完整性和对竞争性磋商文件的响应程度进行审查，以确定是否对竞争性磋商文件的实质性要求作出响应。带▲条款为实质性要求。</w:t>
      </w:r>
    </w:p>
    <w:p>
      <w:pPr>
        <w:pStyle w:val="23"/>
        <w:spacing w:line="400" w:lineRule="exact"/>
        <w:ind w:right="302" w:rightChars="84" w:firstLine="0"/>
        <w:rPr>
          <w:rFonts w:ascii="宋体" w:hAnsi="宋体" w:eastAsia="宋体" w:cs="宋体"/>
          <w:color w:val="auto"/>
          <w:highlight w:val="none"/>
        </w:rPr>
      </w:pPr>
      <w:r>
        <w:rPr>
          <w:rFonts w:hint="eastAsia" w:ascii="宋体" w:hAnsi="宋体" w:eastAsia="宋体" w:cs="宋体"/>
          <w:color w:val="auto"/>
          <w:highlight w:val="none"/>
        </w:rPr>
        <w:t>22、磋商</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22.1 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22.2 磋商小组所有成员应当集中与单一供应商分别进行磋商，并给予所有参加磋商的供应商平等的磋商机会。</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22.3在磋商过程中，磋商小组可以根据磋商文件和磋商情况实质性变动采购需求中的技术、服务要求以及合同草案条款，但不得变动磋商文件中的其他内容。实质性变动的内容，须经采购人代表确认。</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22.4对磋商文件作出的实质性变动是磋商文件的有效组成部分，磋商小组应当及时以书面形式同时通知所有参加磋商的供应商。</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22.5供应商应当按照磋商文件的变动情况和磋商小组的要求重新提交响应文件，并由其法定代表人或授权代表签字或者加盖公章。由授权代表签字的，应当附法定代表人授权书。</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22.6磋商文件能够详细列明采购标的的技术、服务要求的，磋商结束后，磋商小组应当要求所有继续参加磋商的供应商在规定时间内提交最后报价。最后报价是供应商响应文件的有效组成部分。</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22.7已提交响应文件的供应商，在提交最后报价之前，可以根据磋商情况退出磋商。采购人、采购代理机构应当退还退出磋商的供应商的保证金。</w:t>
      </w:r>
    </w:p>
    <w:p>
      <w:pPr>
        <w:pStyle w:val="50"/>
        <w:spacing w:before="0" w:line="400" w:lineRule="exact"/>
        <w:ind w:firstLine="0" w:firstLineChars="0"/>
        <w:rPr>
          <w:rFonts w:ascii="宋体" w:hAnsi="宋体" w:cs="宋体"/>
          <w:color w:val="auto"/>
          <w:szCs w:val="24"/>
          <w:highlight w:val="none"/>
        </w:rPr>
      </w:pPr>
      <w:r>
        <w:rPr>
          <w:rFonts w:hint="eastAsia" w:ascii="宋体" w:hAnsi="宋体" w:cs="宋体"/>
          <w:color w:val="auto"/>
          <w:szCs w:val="24"/>
          <w:highlight w:val="none"/>
        </w:rPr>
        <w:t>23、磋商响应文件详细评审</w:t>
      </w:r>
    </w:p>
    <w:p>
      <w:pPr>
        <w:pStyle w:val="17"/>
        <w:spacing w:line="400" w:lineRule="exact"/>
        <w:ind w:right="84" w:firstLine="480" w:firstLineChars="200"/>
        <w:rPr>
          <w:rFonts w:ascii="宋体" w:hAnsi="宋体" w:eastAsia="宋体" w:cs="宋体"/>
          <w:color w:val="auto"/>
          <w:highlight w:val="none"/>
        </w:rPr>
      </w:pPr>
      <w:r>
        <w:rPr>
          <w:rFonts w:hint="eastAsia" w:ascii="宋体" w:hAnsi="宋体" w:eastAsia="宋体" w:cs="宋体"/>
          <w:color w:val="auto"/>
          <w:highlight w:val="none"/>
        </w:rPr>
        <w:t>磋商小组对初审通过的磋商响应文件根据评标细则内容逐项审查、评审打分（技术部分、商务部分、报价部分三部分内容）。</w:t>
      </w:r>
    </w:p>
    <w:p>
      <w:pPr>
        <w:spacing w:line="400" w:lineRule="exact"/>
        <w:ind w:right="84"/>
        <w:rPr>
          <w:rFonts w:ascii="宋体" w:hAnsi="宋体" w:cs="宋体"/>
          <w:color w:val="auto"/>
          <w:sz w:val="24"/>
          <w:highlight w:val="none"/>
        </w:rPr>
      </w:pPr>
      <w:r>
        <w:rPr>
          <w:rFonts w:hint="eastAsia" w:ascii="宋体" w:hAnsi="宋体" w:cs="宋体"/>
          <w:color w:val="auto"/>
          <w:sz w:val="24"/>
          <w:highlight w:val="none"/>
        </w:rPr>
        <w:t>24、澄清问题形式</w:t>
      </w:r>
    </w:p>
    <w:p>
      <w:pPr>
        <w:pStyle w:val="77"/>
        <w:snapToGrid w:val="0"/>
        <w:spacing w:line="400" w:lineRule="exact"/>
        <w:ind w:firstLine="444" w:firstLineChars="185"/>
        <w:rPr>
          <w:rFonts w:hint="default" w:ascii="宋体" w:hAnsi="宋体" w:cs="宋体"/>
          <w:color w:val="auto"/>
          <w:sz w:val="24"/>
          <w:szCs w:val="24"/>
          <w:highlight w:val="none"/>
        </w:rPr>
      </w:pPr>
      <w:r>
        <w:rPr>
          <w:rFonts w:ascii="宋体" w:hAnsi="宋体" w:cs="宋体"/>
          <w:color w:val="auto"/>
          <w:sz w:val="24"/>
          <w:szCs w:val="24"/>
          <w:highlight w:val="none"/>
        </w:rPr>
        <w:t>24.1磋商小组对各供应商竞争性磋商响应文件非实质性内容有疑议或异议，或者审查发现明显的文字或计算错误等，及时向磋商小组组长提出。经磋商小组商议认为需要供应商作出必要澄清或说明的，应通知该供应商以书面形式作出澄清或说明。书面通知及澄清说明文件应作为政府采购项目档案归档留存。</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24.2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24.3磋商小组要求供应商澄清、说明或者更正响应文件应当以书面形式作出。供应商的澄清、说明或者更正应当由法定代表人或其授权代表签字或者加盖公章。由授权代表签字的，应当附法定代表人授权书。　　</w:t>
      </w:r>
    </w:p>
    <w:p>
      <w:pPr>
        <w:spacing w:line="400" w:lineRule="exact"/>
        <w:rPr>
          <w:rFonts w:ascii="宋体" w:hAnsi="宋体" w:cs="宋体"/>
          <w:color w:val="auto"/>
          <w:sz w:val="24"/>
          <w:highlight w:val="none"/>
        </w:rPr>
      </w:pPr>
      <w:r>
        <w:rPr>
          <w:rFonts w:hint="eastAsia" w:ascii="宋体" w:hAnsi="宋体" w:cs="宋体"/>
          <w:color w:val="auto"/>
          <w:sz w:val="24"/>
          <w:highlight w:val="none"/>
        </w:rPr>
        <w:t>25、无效标和废标</w:t>
      </w: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25.1发生下列情况之一的响应文件被视为无效</w:t>
      </w:r>
      <w:r>
        <w:rPr>
          <w:rStyle w:val="55"/>
          <w:rFonts w:hint="eastAsia" w:ascii="宋体" w:hAnsi="宋体" w:cs="宋体"/>
          <w:color w:val="auto"/>
          <w:sz w:val="24"/>
          <w:highlight w:val="none"/>
        </w:rPr>
        <w:t>，响应文件被拒绝接受：</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lang w:val="zh-CN"/>
        </w:rPr>
        <w:t>超过响应文件提交截止时间</w:t>
      </w:r>
      <w:r>
        <w:rPr>
          <w:rFonts w:hint="eastAsia" w:ascii="宋体" w:hAnsi="宋体" w:cs="宋体"/>
          <w:color w:val="auto"/>
          <w:sz w:val="24"/>
          <w:highlight w:val="none"/>
        </w:rPr>
        <w:t>送达的；</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2）由于包装不妥严重破损或失散的；</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3）未按照竞争性磋商文件规定要求包装、或未签字、盖章、密封的；</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4）以电讯、邮寄形式响应的；</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5）响应文件包装封面上单位与购买竞争性磋商文件、单位不一致的；</w:t>
      </w:r>
    </w:p>
    <w:p>
      <w:pPr>
        <w:spacing w:line="400" w:lineRule="exact"/>
        <w:ind w:firstLine="540" w:firstLineChars="225"/>
        <w:rPr>
          <w:rFonts w:ascii="宋体" w:hAnsi="宋体" w:cs="宋体"/>
          <w:color w:val="auto"/>
          <w:sz w:val="24"/>
          <w:highlight w:val="none"/>
        </w:rPr>
      </w:pPr>
      <w:r>
        <w:rPr>
          <w:rFonts w:hint="eastAsia" w:ascii="宋体" w:hAnsi="宋体" w:cs="宋体"/>
          <w:color w:val="auto"/>
          <w:sz w:val="24"/>
          <w:highlight w:val="none"/>
        </w:rPr>
        <w:t>6）不符合法律、法规和竞争性磋商文件中规定的其他实质性要求的。</w:t>
      </w:r>
    </w:p>
    <w:p>
      <w:pPr>
        <w:spacing w:line="400" w:lineRule="exact"/>
        <w:ind w:firstLine="240" w:firstLineChars="100"/>
        <w:rPr>
          <w:rStyle w:val="55"/>
          <w:rFonts w:ascii="宋体" w:hAnsi="宋体" w:cs="宋体"/>
          <w:color w:val="auto"/>
          <w:sz w:val="24"/>
          <w:highlight w:val="none"/>
        </w:rPr>
      </w:pPr>
      <w:r>
        <w:rPr>
          <w:rStyle w:val="55"/>
          <w:rFonts w:hint="eastAsia" w:ascii="宋体" w:hAnsi="宋体" w:cs="宋体"/>
          <w:color w:val="auto"/>
          <w:sz w:val="24"/>
          <w:highlight w:val="none"/>
        </w:rPr>
        <w:t>25.2、</w:t>
      </w:r>
      <w:r>
        <w:rPr>
          <w:rFonts w:hint="eastAsia" w:ascii="宋体" w:hAnsi="宋体" w:cs="宋体"/>
          <w:color w:val="auto"/>
          <w:sz w:val="24"/>
          <w:highlight w:val="none"/>
        </w:rPr>
        <w:t>发生下列情况之一的响应文件被视为无效：</w:t>
      </w:r>
    </w:p>
    <w:p>
      <w:pPr>
        <w:spacing w:line="400" w:lineRule="exact"/>
        <w:ind w:firstLine="480" w:firstLineChars="200"/>
        <w:rPr>
          <w:rFonts w:ascii="宋体" w:hAnsi="宋体" w:cs="宋体"/>
          <w:color w:val="auto"/>
          <w:sz w:val="24"/>
          <w:highlight w:val="none"/>
        </w:rPr>
      </w:pPr>
      <w:r>
        <w:rPr>
          <w:rStyle w:val="55"/>
          <w:rFonts w:hint="eastAsia" w:ascii="宋体" w:hAnsi="宋体" w:cs="宋体"/>
          <w:color w:val="auto"/>
          <w:sz w:val="24"/>
          <w:highlight w:val="none"/>
        </w:rPr>
        <w:t xml:space="preserve"> 1）</w:t>
      </w:r>
      <w:r>
        <w:rPr>
          <w:rFonts w:hint="eastAsia" w:ascii="宋体" w:hAnsi="宋体" w:cs="宋体"/>
          <w:color w:val="auto"/>
          <w:sz w:val="24"/>
          <w:highlight w:val="none"/>
        </w:rPr>
        <w:t>法定代表人或其授权代表未参加磋商会议或未携带相关身份证明的；</w:t>
      </w:r>
    </w:p>
    <w:p>
      <w:pPr>
        <w:spacing w:line="400" w:lineRule="exact"/>
        <w:rPr>
          <w:rFonts w:ascii="宋体" w:hAnsi="宋体" w:cs="宋体"/>
          <w:color w:val="auto"/>
          <w:sz w:val="24"/>
          <w:highlight w:val="none"/>
        </w:rPr>
      </w:pPr>
      <w:r>
        <w:rPr>
          <w:rFonts w:hint="eastAsia" w:ascii="宋体" w:hAnsi="宋体" w:cs="宋体"/>
          <w:color w:val="auto"/>
          <w:sz w:val="24"/>
          <w:highlight w:val="none"/>
        </w:rPr>
        <w:t xml:space="preserve">     2）授权代表参加响应，未按规定提供法定代表人授权书的；</w:t>
      </w:r>
    </w:p>
    <w:p>
      <w:pPr>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3）不符合法律、法规和竞争性磋商文件中规定的其他实质性要求的。</w:t>
      </w:r>
    </w:p>
    <w:p>
      <w:pPr>
        <w:spacing w:line="400" w:lineRule="exact"/>
        <w:ind w:firstLine="240" w:firstLineChars="100"/>
        <w:rPr>
          <w:rFonts w:ascii="宋体" w:hAnsi="宋体" w:cs="宋体"/>
          <w:color w:val="auto"/>
          <w:sz w:val="24"/>
          <w:highlight w:val="none"/>
        </w:rPr>
      </w:pPr>
      <w:r>
        <w:rPr>
          <w:rStyle w:val="55"/>
          <w:rFonts w:hint="eastAsia" w:ascii="宋体" w:hAnsi="宋体" w:cs="宋体"/>
          <w:color w:val="auto"/>
          <w:sz w:val="24"/>
          <w:highlight w:val="none"/>
        </w:rPr>
        <w:t>25.3、在响应文件初审时，</w:t>
      </w:r>
      <w:r>
        <w:rPr>
          <w:rFonts w:hint="eastAsia" w:ascii="宋体" w:hAnsi="宋体" w:cs="宋体"/>
          <w:color w:val="auto"/>
          <w:sz w:val="24"/>
          <w:highlight w:val="none"/>
        </w:rPr>
        <w:t>发生下列情况之一的响应文件被视为无效</w:t>
      </w:r>
      <w:r>
        <w:rPr>
          <w:rStyle w:val="55"/>
          <w:rFonts w:hint="eastAsia" w:ascii="宋体" w:hAnsi="宋体" w:cs="宋体"/>
          <w:color w:val="auto"/>
          <w:sz w:val="24"/>
          <w:highlight w:val="none"/>
        </w:rPr>
        <w:t>：</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1）磋商供应商不满足资格要求的；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2）法定代表人授权书不合法的；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3）响应有效期不足的；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4）未按竞争性磋商文件编制，字迹模糊不可辨，文件签署、盖章不齐全的；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 文件内容不完整，未提供资格证明文件、售后服务内容、技术性能描述和验收标准等资料的；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 改变竞争性磋商文件中“技术规范和服务要求”实质性要求；</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 服务期、付款方式重大偏离的；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 磋商供应商与采购人、竞争性磋商机构有利害关系的；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 未满足采购人文件中带▲的条款的；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10）投标报价高于磋商文件设定的最高限价的；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投标报价明显低于成本价，且磋商供应商不能合理说明原因并提供相关证明材料的；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12）磋商供应商名称与报名时不一致的或不具备磋商文件中规定资格要求的；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 不符合法律、法规和竞争性磋商文件中规定的其他实质性要求的。</w:t>
      </w:r>
    </w:p>
    <w:p>
      <w:pPr>
        <w:spacing w:line="400" w:lineRule="exact"/>
        <w:ind w:firstLine="240" w:firstLineChars="100"/>
        <w:rPr>
          <w:rFonts w:ascii="宋体" w:hAnsi="宋体" w:cs="宋体"/>
          <w:color w:val="auto"/>
          <w:sz w:val="24"/>
          <w:highlight w:val="none"/>
        </w:rPr>
      </w:pPr>
    </w:p>
    <w:p>
      <w:pPr>
        <w:spacing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25.4出现下列情形之一的，采购人或者采购代理机构应当终止竞争性磋商采购活动，发布项目终止公告并说明原因，重新开展采购活动：</w:t>
      </w:r>
    </w:p>
    <w:p>
      <w:pPr>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（一）因情况变化，不再符合规定的竞争性磋商采购方式适用情形的；</w:t>
      </w:r>
    </w:p>
    <w:p>
      <w:pPr>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（二）出现影响采购公正的违法、违规行为的；</w:t>
      </w:r>
    </w:p>
    <w:p>
      <w:pPr>
        <w:spacing w:line="40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（三）采购活动中因重大变故，采购任务取消的</w:t>
      </w:r>
    </w:p>
    <w:p>
      <w:pPr>
        <w:pStyle w:val="2"/>
        <w:rPr>
          <w:color w:val="auto"/>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rPr>
        <w:t>26、实质性响应的确定</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竞争性磋商文件中打“▲”的技术和商务条款为实质性响应的条款，响应文件须作出实质性响应，否则予以无效标处理。</w:t>
      </w:r>
    </w:p>
    <w:p>
      <w:pPr>
        <w:spacing w:line="400" w:lineRule="exact"/>
        <w:rPr>
          <w:rFonts w:ascii="宋体" w:hAnsi="宋体" w:cs="宋体"/>
          <w:color w:val="auto"/>
          <w:sz w:val="24"/>
          <w:highlight w:val="none"/>
        </w:rPr>
      </w:pPr>
      <w:r>
        <w:rPr>
          <w:rFonts w:hint="eastAsia" w:ascii="宋体" w:hAnsi="宋体" w:cs="宋体"/>
          <w:color w:val="auto"/>
          <w:sz w:val="24"/>
          <w:highlight w:val="none"/>
        </w:rPr>
        <w:t>27、评审过程保密</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27.1磋商小组成员以及与评审工作有关的人员不得泄露评审情况以及评审过程中获悉的国家秘密、商业秘密。</w:t>
      </w:r>
    </w:p>
    <w:p>
      <w:pPr>
        <w:spacing w:line="400" w:lineRule="exact"/>
        <w:ind w:firstLine="480"/>
        <w:rPr>
          <w:rFonts w:ascii="宋体" w:hAnsi="宋体" w:cs="宋体"/>
          <w:color w:val="auto"/>
          <w:sz w:val="24"/>
          <w:highlight w:val="none"/>
        </w:rPr>
      </w:pPr>
      <w:r>
        <w:rPr>
          <w:rFonts w:hint="eastAsia" w:ascii="宋体" w:hAnsi="宋体" w:cs="宋体"/>
          <w:color w:val="auto"/>
          <w:sz w:val="24"/>
          <w:highlight w:val="none"/>
        </w:rPr>
        <w:t>27.2在评审期间，磋商供应商企图影响采购人的任何活动，将导致响应被拒绝，并承担相应的法律责任。</w:t>
      </w:r>
    </w:p>
    <w:p>
      <w:pPr>
        <w:pStyle w:val="23"/>
        <w:spacing w:line="400" w:lineRule="exact"/>
        <w:ind w:right="302" w:rightChars="84" w:firstLine="0"/>
        <w:rPr>
          <w:rFonts w:ascii="宋体" w:hAnsi="宋体" w:eastAsia="宋体" w:cs="宋体"/>
          <w:color w:val="auto"/>
          <w:highlight w:val="none"/>
        </w:rPr>
      </w:pPr>
      <w:r>
        <w:rPr>
          <w:rFonts w:hint="eastAsia" w:ascii="宋体" w:hAnsi="宋体" w:eastAsia="宋体" w:cs="宋体"/>
          <w:color w:val="auto"/>
          <w:highlight w:val="none"/>
        </w:rPr>
        <w:t>28、成交候选人确定</w:t>
      </w:r>
    </w:p>
    <w:p>
      <w:pPr>
        <w:pStyle w:val="23"/>
        <w:spacing w:line="400" w:lineRule="exact"/>
        <w:ind w:right="302" w:rightChars="84" w:firstLine="600" w:firstLineChars="250"/>
        <w:rPr>
          <w:rFonts w:ascii="宋体" w:hAnsi="宋体" w:eastAsia="宋体" w:cs="宋体"/>
          <w:color w:val="auto"/>
          <w:highlight w:val="none"/>
        </w:rPr>
      </w:pP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w:t>
      </w:r>
    </w:p>
    <w:p>
      <w:pPr>
        <w:pStyle w:val="23"/>
        <w:spacing w:line="400" w:lineRule="exact"/>
        <w:ind w:right="302" w:rightChars="84" w:firstLine="600" w:firstLineChars="250"/>
        <w:rPr>
          <w:rFonts w:ascii="宋体" w:hAnsi="宋体" w:eastAsia="宋体" w:cs="宋体"/>
          <w:color w:val="auto"/>
          <w:highlight w:val="none"/>
        </w:rPr>
      </w:pPr>
      <w:r>
        <w:rPr>
          <w:rFonts w:hint="eastAsia" w:ascii="宋体" w:hAnsi="宋体" w:eastAsia="宋体" w:cs="宋体"/>
          <w:color w:val="auto"/>
          <w:highlight w:val="none"/>
        </w:rPr>
        <w:t>综合评分法，是指响应文件满足磋商文件全部实质性要求且按评审因素的量化指标评审得分最高的供应商为成交候选供应商的评审方法。</w:t>
      </w:r>
    </w:p>
    <w:p>
      <w:pPr>
        <w:pStyle w:val="23"/>
        <w:spacing w:line="400" w:lineRule="exact"/>
        <w:ind w:right="302" w:rightChars="84" w:firstLine="600" w:firstLineChars="250"/>
        <w:rPr>
          <w:rFonts w:ascii="宋体" w:hAnsi="宋体" w:eastAsia="宋体" w:cs="宋体"/>
          <w:color w:val="auto"/>
          <w:highlight w:val="none"/>
        </w:rPr>
      </w:pPr>
      <w:r>
        <w:rPr>
          <w:rFonts w:hint="eastAsia" w:ascii="宋体" w:hAnsi="宋体" w:eastAsia="宋体" w:cs="宋体"/>
          <w:color w:val="auto"/>
          <w:highlight w:val="none"/>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pStyle w:val="23"/>
        <w:spacing w:line="400" w:lineRule="exact"/>
        <w:ind w:right="302" w:rightChars="84" w:firstLine="0"/>
        <w:rPr>
          <w:rFonts w:ascii="宋体" w:hAnsi="宋体" w:eastAsia="宋体" w:cs="宋体"/>
          <w:color w:val="auto"/>
          <w:highlight w:val="none"/>
        </w:rPr>
      </w:pPr>
      <w:r>
        <w:rPr>
          <w:rFonts w:hint="eastAsia" w:ascii="宋体" w:hAnsi="宋体" w:eastAsia="宋体" w:cs="宋体"/>
          <w:color w:val="auto"/>
          <w:highlight w:val="none"/>
        </w:rPr>
        <w:t>29、评审报告</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磋商小组应当根据评审记录和评审结果编写评审报告，其主要内容包括：</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（一）邀请供应商参加采购活动的具体方式和相关情况；</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（二）响应文件开启日期和地点；</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（三）获取磋商文件的供应商名单和磋商小组成员名单；</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（四）评审情况记录和说明，包括对供应商的资格审查情况、供应商响应文件评审情况、磋商情况、报价情况等；</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（五）提出的成交候选供应商的排序名单及理由。</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3"/>
        <w:spacing w:line="400" w:lineRule="exact"/>
        <w:ind w:right="302" w:rightChars="84" w:firstLine="0"/>
        <w:rPr>
          <w:rFonts w:ascii="宋体" w:hAnsi="宋体" w:eastAsia="宋体" w:cs="宋体"/>
          <w:color w:val="auto"/>
          <w:highlight w:val="none"/>
        </w:rPr>
      </w:pPr>
      <w:r>
        <w:rPr>
          <w:rFonts w:hint="eastAsia" w:ascii="宋体" w:hAnsi="宋体" w:eastAsia="宋体" w:cs="宋体"/>
          <w:color w:val="auto"/>
          <w:highlight w:val="none"/>
        </w:rPr>
        <w:t>30、成交结果公告</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30.1根据评审报告内容，在浙江省政府采购网上公布成交结果。</w:t>
      </w:r>
    </w:p>
    <w:p>
      <w:pPr>
        <w:pStyle w:val="23"/>
        <w:spacing w:line="400" w:lineRule="exact"/>
        <w:ind w:right="302" w:rightChars="84" w:firstLine="0"/>
        <w:rPr>
          <w:rFonts w:ascii="宋体" w:hAnsi="宋体" w:eastAsia="宋体" w:cs="宋体"/>
          <w:color w:val="auto"/>
          <w:highlight w:val="none"/>
        </w:rPr>
      </w:pPr>
      <w:r>
        <w:rPr>
          <w:rFonts w:hint="eastAsia" w:ascii="宋体" w:hAnsi="宋体" w:eastAsia="宋体" w:cs="宋体"/>
          <w:color w:val="auto"/>
          <w:highlight w:val="none"/>
        </w:rPr>
        <w:t>31、定标</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rPr>
          <w:rFonts w:ascii="宋体" w:hAnsi="宋体" w:cs="宋体"/>
          <w:color w:val="auto"/>
          <w:sz w:val="24"/>
          <w:highlight w:val="none"/>
        </w:rPr>
      </w:pPr>
      <w:r>
        <w:rPr>
          <w:rFonts w:hint="eastAsia" w:ascii="宋体" w:hAnsi="宋体" w:cs="宋体"/>
          <w:color w:val="auto"/>
          <w:sz w:val="24"/>
          <w:highlight w:val="none"/>
        </w:rPr>
        <w:t>32、重新评审或重新采购</w:t>
      </w:r>
    </w:p>
    <w:p>
      <w:pPr>
        <w:pStyle w:val="23"/>
        <w:spacing w:line="400" w:lineRule="exact"/>
        <w:ind w:right="302" w:rightChars="84" w:firstLineChars="200"/>
        <w:rPr>
          <w:rFonts w:ascii="宋体" w:hAnsi="宋体" w:eastAsia="宋体" w:cs="宋体"/>
          <w:color w:val="auto"/>
          <w:highlight w:val="none"/>
        </w:rPr>
      </w:pPr>
      <w:r>
        <w:rPr>
          <w:rFonts w:hint="eastAsia" w:ascii="宋体" w:hAnsi="宋体" w:eastAsia="宋体" w:cs="宋体"/>
          <w:color w:val="auto"/>
          <w:highlight w:val="none"/>
        </w:rPr>
        <w:t>除资格性检查认定错误、分值汇总计算错误、分项评分超出评分标准范围、客观分评分不一致、经磋商小组一致认定评分畸高、畸低的情形外，采购人或采购代理机构不得以任何理由组织重新评审。采购人、采购代理机构发现磋商小组未按照磋商文件规定的评审标准进行评审的，应当重新开展采购活动，并同时书面报告本级财政部门。</w:t>
      </w:r>
    </w:p>
    <w:p>
      <w:pPr>
        <w:pStyle w:val="21"/>
        <w:bidi w:val="0"/>
        <w:rPr>
          <w:rFonts w:hint="default"/>
          <w:color w:val="auto"/>
          <w:highlight w:val="none"/>
        </w:rPr>
      </w:pPr>
    </w:p>
    <w:p>
      <w:pPr>
        <w:pStyle w:val="21"/>
        <w:numPr>
          <w:ilvl w:val="0"/>
          <w:numId w:val="7"/>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00" w:lineRule="exact"/>
        <w:jc w:val="center"/>
        <w:outlineLvl w:val="1"/>
        <w:rPr>
          <w:rFonts w:hint="default" w:hAnsi="宋体" w:cs="宋体"/>
          <w:b/>
          <w:bCs/>
          <w:color w:val="auto"/>
          <w:sz w:val="28"/>
          <w:szCs w:val="28"/>
          <w:highlight w:val="none"/>
        </w:rPr>
      </w:pPr>
      <w:bookmarkStart w:id="18" w:name="_Toc14111"/>
      <w:r>
        <w:rPr>
          <w:rFonts w:hAnsi="宋体" w:cs="宋体"/>
          <w:b/>
          <w:bCs/>
          <w:color w:val="auto"/>
          <w:sz w:val="28"/>
          <w:szCs w:val="28"/>
          <w:highlight w:val="none"/>
        </w:rPr>
        <w:t>合同签订</w:t>
      </w:r>
      <w:bookmarkEnd w:id="18"/>
    </w:p>
    <w:p>
      <w:pPr>
        <w:spacing w:line="440" w:lineRule="exact"/>
        <w:rPr>
          <w:rFonts w:ascii="宋体" w:hAnsi="宋体" w:cs="宋体"/>
          <w:color w:val="auto"/>
          <w:sz w:val="24"/>
          <w:highlight w:val="none"/>
        </w:rPr>
      </w:pPr>
      <w:r>
        <w:rPr>
          <w:rFonts w:hint="eastAsia" w:ascii="宋体" w:hAnsi="宋体" w:cs="宋体"/>
          <w:color w:val="auto"/>
          <w:sz w:val="24"/>
          <w:highlight w:val="none"/>
        </w:rPr>
        <w:t>33、合同授予标准</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80" w:firstLineChars="200"/>
        <w:rPr>
          <w:rFonts w:hint="default" w:hAnsi="宋体" w:cs="宋体"/>
          <w:color w:val="auto"/>
          <w:sz w:val="24"/>
          <w:szCs w:val="24"/>
          <w:highlight w:val="none"/>
        </w:rPr>
      </w:pPr>
      <w:r>
        <w:rPr>
          <w:rFonts w:hAnsi="宋体" w:cs="宋体"/>
          <w:color w:val="auto"/>
          <w:sz w:val="24"/>
          <w:szCs w:val="24"/>
          <w:highlight w:val="none"/>
        </w:rPr>
        <w:t>33.1采购人将把合同授予被确定为实质上响应竞争性磋商文件要求并有履行合同能力的最优中标候选人，但最低报价不是被授予合同的保证。</w:t>
      </w:r>
    </w:p>
    <w:p>
      <w:pPr>
        <w:spacing w:line="440" w:lineRule="exact"/>
        <w:rPr>
          <w:rFonts w:ascii="宋体" w:hAnsi="宋体" w:cs="宋体"/>
          <w:color w:val="auto"/>
          <w:sz w:val="24"/>
          <w:highlight w:val="none"/>
        </w:rPr>
      </w:pPr>
      <w:r>
        <w:rPr>
          <w:rFonts w:hint="eastAsia" w:ascii="宋体" w:hAnsi="宋体" w:cs="宋体"/>
          <w:color w:val="auto"/>
          <w:sz w:val="24"/>
          <w:highlight w:val="none"/>
        </w:rPr>
        <w:t>34、成交通知</w:t>
      </w:r>
    </w:p>
    <w:p>
      <w:pPr>
        <w:spacing w:line="440" w:lineRule="exact"/>
        <w:ind w:firstLine="480"/>
        <w:rPr>
          <w:rFonts w:ascii="宋体" w:hAnsi="宋体" w:cs="宋体"/>
          <w:color w:val="auto"/>
          <w:sz w:val="24"/>
          <w:highlight w:val="none"/>
        </w:rPr>
      </w:pPr>
      <w:r>
        <w:rPr>
          <w:rFonts w:hint="eastAsia" w:ascii="宋体" w:hAnsi="宋体" w:cs="宋体"/>
          <w:color w:val="auto"/>
          <w:sz w:val="24"/>
          <w:highlight w:val="none"/>
        </w:rPr>
        <w:t>34.1在响应文件有效期内，成交人确定后，由采购代理机构向成交人发出《成交通知书》,同时通知所有未成交人。成交通知书是合同的组成部分。</w:t>
      </w:r>
    </w:p>
    <w:p>
      <w:pPr>
        <w:spacing w:line="440" w:lineRule="exact"/>
        <w:rPr>
          <w:rFonts w:ascii="宋体" w:hAnsi="宋体" w:cs="宋体"/>
          <w:color w:val="auto"/>
          <w:sz w:val="24"/>
          <w:highlight w:val="none"/>
        </w:rPr>
      </w:pPr>
      <w:r>
        <w:rPr>
          <w:rFonts w:hint="eastAsia" w:ascii="宋体" w:hAnsi="宋体" w:cs="宋体"/>
          <w:color w:val="auto"/>
          <w:sz w:val="24"/>
          <w:highlight w:val="none"/>
        </w:rPr>
        <w:t>35、履约保证金</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35.1成交人在收到成交通知书后，签订合同时需按须知前附表规定要求向采购人提供5%履约保证金。</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35.2履约保证金支付形式：</w:t>
      </w:r>
      <w:r>
        <w:rPr>
          <w:rFonts w:hint="eastAsia" w:ascii="宋体" w:hAnsi="宋体" w:cs="宋体"/>
          <w:color w:val="auto"/>
          <w:sz w:val="24"/>
          <w:highlight w:val="none"/>
          <w:lang w:val="zh-CN"/>
        </w:rPr>
        <w:t>支票、汇票、本票或者金融机构、担保机构出具的保函等非现金形式；</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54"/>
        <w:rPr>
          <w:rFonts w:hint="default" w:hAnsi="宋体" w:cs="宋体"/>
          <w:color w:val="auto"/>
          <w:sz w:val="24"/>
          <w:szCs w:val="24"/>
          <w:highlight w:val="none"/>
        </w:rPr>
      </w:pPr>
      <w:r>
        <w:rPr>
          <w:rFonts w:hAnsi="宋体" w:cs="宋体"/>
          <w:color w:val="auto"/>
          <w:sz w:val="24"/>
          <w:szCs w:val="24"/>
          <w:highlight w:val="none"/>
        </w:rPr>
        <w:t>35.3履约保证金将在成交人履行合同义务后与采购单位做好验收、清算后十个工作日内无息退还。</w:t>
      </w:r>
    </w:p>
    <w:p>
      <w:pPr>
        <w:spacing w:line="440" w:lineRule="exact"/>
        <w:rPr>
          <w:rFonts w:ascii="宋体" w:hAnsi="宋体" w:cs="宋体"/>
          <w:color w:val="auto"/>
          <w:sz w:val="24"/>
          <w:highlight w:val="none"/>
        </w:rPr>
      </w:pPr>
      <w:r>
        <w:rPr>
          <w:rFonts w:hint="eastAsia" w:ascii="宋体" w:hAnsi="宋体" w:cs="宋体"/>
          <w:color w:val="auto"/>
          <w:sz w:val="24"/>
          <w:highlight w:val="none"/>
        </w:rPr>
        <w:t>36、签订合同</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54"/>
        <w:rPr>
          <w:rFonts w:hint="default" w:hAnsi="宋体" w:cs="宋体"/>
          <w:color w:val="auto"/>
          <w:sz w:val="24"/>
          <w:szCs w:val="24"/>
          <w:highlight w:val="none"/>
        </w:rPr>
      </w:pPr>
      <w:r>
        <w:rPr>
          <w:rFonts w:hAnsi="宋体" w:cs="宋体"/>
          <w:color w:val="auto"/>
          <w:sz w:val="24"/>
          <w:szCs w:val="24"/>
          <w:highlight w:val="none"/>
        </w:rPr>
        <w:t>36.l成交人在收到《成交通知书》后，应按照《成交通知书》中规定的时间和地点与采购人签订合同。</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54"/>
        <w:rPr>
          <w:rFonts w:hint="default" w:hAnsi="宋体" w:cs="宋体"/>
          <w:color w:val="auto"/>
          <w:sz w:val="24"/>
          <w:szCs w:val="24"/>
          <w:highlight w:val="none"/>
        </w:rPr>
      </w:pPr>
      <w:r>
        <w:rPr>
          <w:rFonts w:hAnsi="宋体" w:cs="宋体"/>
          <w:color w:val="auto"/>
          <w:sz w:val="24"/>
          <w:szCs w:val="24"/>
          <w:highlight w:val="none"/>
        </w:rPr>
        <w:t>36.2竞争性磋商文件、成交人的响应文件及评审过程中有关澄清文件均为签订合同的依据。</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54"/>
        <w:rPr>
          <w:rFonts w:hint="default" w:hAnsi="宋体" w:cs="宋体"/>
          <w:color w:val="auto"/>
          <w:sz w:val="24"/>
          <w:szCs w:val="24"/>
          <w:highlight w:val="none"/>
        </w:rPr>
      </w:pPr>
      <w:r>
        <w:rPr>
          <w:rFonts w:hAnsi="宋体" w:cs="宋体"/>
          <w:color w:val="auto"/>
          <w:sz w:val="24"/>
          <w:szCs w:val="24"/>
          <w:highlight w:val="none"/>
        </w:rPr>
        <w:t>36.3成交人应根据合同条款的规定，按照竞争性磋商文件中提供的履约保证金格式向采购人提交履约保证金。</w:t>
      </w:r>
    </w:p>
    <w:p>
      <w:pPr>
        <w:pStyle w:val="2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spacing w:line="440" w:lineRule="exact"/>
        <w:ind w:firstLine="454"/>
        <w:rPr>
          <w:rFonts w:hint="default" w:hAnsi="宋体" w:cs="宋体"/>
          <w:color w:val="auto"/>
          <w:sz w:val="24"/>
          <w:szCs w:val="24"/>
          <w:highlight w:val="none"/>
        </w:rPr>
      </w:pPr>
      <w:r>
        <w:rPr>
          <w:rFonts w:hAnsi="宋体" w:cs="宋体"/>
          <w:color w:val="auto"/>
          <w:sz w:val="24"/>
          <w:szCs w:val="24"/>
          <w:highlight w:val="none"/>
        </w:rPr>
        <w:t>36.4如果成交人没有按照上述规定签订合同或提交履约保证金，采购人将取消其中标资格。在此情况下，采购人可将该标授予下一个成交候选人。</w:t>
      </w:r>
    </w:p>
    <w:p>
      <w:pPr>
        <w:spacing w:line="440" w:lineRule="exact"/>
        <w:rPr>
          <w:rFonts w:ascii="宋体" w:hAnsi="宋体" w:cs="宋体"/>
          <w:color w:val="auto"/>
          <w:sz w:val="24"/>
          <w:highlight w:val="none"/>
        </w:rPr>
      </w:pPr>
      <w:r>
        <w:rPr>
          <w:rFonts w:hint="eastAsia" w:ascii="宋体" w:hAnsi="宋体" w:cs="宋体"/>
          <w:color w:val="auto"/>
          <w:sz w:val="24"/>
          <w:highlight w:val="none"/>
        </w:rPr>
        <w:t>37、拒签合同的责任</w:t>
      </w:r>
    </w:p>
    <w:p>
      <w:pPr>
        <w:spacing w:line="440" w:lineRule="exact"/>
        <w:rPr>
          <w:rFonts w:ascii="宋体" w:hAnsi="宋体" w:cs="宋体"/>
          <w:color w:val="auto"/>
          <w:sz w:val="24"/>
          <w:highlight w:val="none"/>
        </w:rPr>
      </w:pPr>
      <w:r>
        <w:rPr>
          <w:rFonts w:hint="eastAsia" w:ascii="宋体" w:hAnsi="宋体" w:cs="宋体"/>
          <w:color w:val="auto"/>
          <w:sz w:val="24"/>
          <w:highlight w:val="none"/>
        </w:rPr>
        <w:t>37.1成交人接到成交通知书后，在规定时间内借故否认已经承诺的条件而拒签合同或拒交履约保证金者，以响应违约处理，其响应保证金将被不予退还，并赔偿采购人由此造成的直接经济损失。</w:t>
      </w:r>
    </w:p>
    <w:p>
      <w:pPr>
        <w:autoSpaceDE w:val="0"/>
        <w:autoSpaceDN w:val="0"/>
        <w:adjustRightInd w:val="0"/>
        <w:spacing w:line="440" w:lineRule="exact"/>
        <w:ind w:hanging="480"/>
        <w:rPr>
          <w:rFonts w:ascii="宋体" w:hAnsi="宋体" w:cs="宋体"/>
          <w:color w:val="auto"/>
          <w:sz w:val="24"/>
          <w:highlight w:val="none"/>
        </w:rPr>
      </w:pPr>
      <w:r>
        <w:rPr>
          <w:rFonts w:hint="eastAsia" w:ascii="宋体" w:hAnsi="宋体" w:cs="宋体"/>
          <w:color w:val="auto"/>
          <w:sz w:val="24"/>
          <w:highlight w:val="none"/>
          <w:lang w:val="zh-CN"/>
        </w:rPr>
        <w:t xml:space="preserve">    3</w:t>
      </w:r>
      <w:r>
        <w:rPr>
          <w:rFonts w:hint="eastAsia" w:ascii="宋体" w:hAnsi="宋体" w:cs="宋体"/>
          <w:color w:val="auto"/>
          <w:sz w:val="24"/>
          <w:highlight w:val="none"/>
        </w:rPr>
        <w:t>7</w:t>
      </w:r>
      <w:r>
        <w:rPr>
          <w:rFonts w:hint="eastAsia" w:ascii="宋体" w:hAnsi="宋体" w:cs="宋体"/>
          <w:color w:val="auto"/>
          <w:sz w:val="24"/>
          <w:highlight w:val="none"/>
          <w:lang w:val="zh-CN"/>
        </w:rPr>
        <w:t>.2</w:t>
      </w:r>
      <w:r>
        <w:rPr>
          <w:rFonts w:hint="eastAsia" w:ascii="宋体" w:hAnsi="宋体" w:cs="宋体"/>
          <w:color w:val="auto"/>
          <w:sz w:val="24"/>
          <w:highlight w:val="none"/>
        </w:rPr>
        <w:t>采购人在规定时间借故拒签合同者，以采购违约处理，向成交供应商退回双倍的响应保证金，并赔偿成交供应商由此造成的直接经济损失。</w:t>
      </w:r>
    </w:p>
    <w:p>
      <w:pPr>
        <w:pStyle w:val="21"/>
        <w:bidi w:val="0"/>
        <w:rPr>
          <w:rFonts w:hint="default"/>
          <w:color w:val="auto"/>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numPr>
          <w:ilvl w:val="255"/>
          <w:numId w:val="0"/>
        </w:numPr>
        <w:spacing w:line="400" w:lineRule="exact"/>
        <w:jc w:val="center"/>
        <w:outlineLvl w:val="0"/>
        <w:rPr>
          <w:rFonts w:ascii="宋体" w:hAnsi="宋体" w:cs="宋体"/>
          <w:b/>
          <w:bCs/>
          <w:color w:val="auto"/>
          <w:sz w:val="32"/>
          <w:szCs w:val="32"/>
          <w:highlight w:val="none"/>
        </w:rPr>
      </w:pPr>
      <w:bookmarkStart w:id="19" w:name="_Toc31227"/>
      <w:r>
        <w:rPr>
          <w:rFonts w:hint="eastAsia" w:ascii="宋体" w:hAnsi="宋体" w:cs="宋体"/>
          <w:b/>
          <w:bCs/>
          <w:color w:val="auto"/>
          <w:sz w:val="32"/>
          <w:szCs w:val="32"/>
          <w:highlight w:val="none"/>
        </w:rPr>
        <w:t>▲第四部分  项目技术规范和服务要求</w:t>
      </w:r>
      <w:bookmarkEnd w:id="19"/>
    </w:p>
    <w:p>
      <w:pPr>
        <w:spacing w:line="360" w:lineRule="auto"/>
        <w:ind w:firstLine="468" w:firstLineChars="195"/>
        <w:jc w:val="left"/>
        <w:rPr>
          <w:rFonts w:ascii="宋体" w:hAnsi="宋体" w:cs="宋体"/>
          <w:color w:val="auto"/>
          <w:sz w:val="24"/>
          <w:highlight w:val="none"/>
        </w:rPr>
      </w:pPr>
      <w:bookmarkStart w:id="20" w:name="_Toc395615329"/>
      <w:bookmarkStart w:id="21" w:name="_Toc333752270"/>
      <w:r>
        <w:rPr>
          <w:rFonts w:hint="eastAsia" w:ascii="宋体" w:hAnsi="宋体" w:cs="宋体"/>
          <w:color w:val="auto"/>
          <w:sz w:val="24"/>
          <w:highlight w:val="none"/>
        </w:rPr>
        <w:t>按照2020年度省市区相关疗休养规定精神，中共杭州市委党校将组织2020年度杭州市委党校工会会员疗休养工作。磋商供应商须以合理的服务流程和服务人数、优良的服务质量、稳定的服务队伍、优惠的价格来制订详细的服务方案，充分体现自身的实力，发挥自身优势，为采购人提供全方位、一体化的专业服务保障。</w:t>
      </w:r>
    </w:p>
    <w:p>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一、组团天数</w:t>
      </w:r>
      <w:r>
        <w:rPr>
          <w:rFonts w:hint="eastAsia" w:ascii="宋体" w:hAnsi="宋体" w:cs="宋体"/>
          <w:color w:val="auto"/>
          <w:sz w:val="24"/>
          <w:highlight w:val="none"/>
        </w:rPr>
        <w:t>：5天4晚或4天3晚</w:t>
      </w:r>
    </w:p>
    <w:p>
      <w:pPr>
        <w:spacing w:line="360" w:lineRule="auto"/>
        <w:ind w:firstLine="482" w:firstLineChars="200"/>
        <w:jc w:val="left"/>
        <w:rPr>
          <w:rFonts w:ascii="宋体" w:hAnsi="宋体" w:cs="宋体"/>
          <w:color w:val="auto"/>
          <w:sz w:val="24"/>
          <w:highlight w:val="none"/>
        </w:rPr>
      </w:pPr>
      <w:r>
        <w:rPr>
          <w:rFonts w:hint="eastAsia" w:ascii="宋体" w:hAnsi="宋体"/>
          <w:b/>
          <w:color w:val="auto"/>
          <w:sz w:val="24"/>
          <w:highlight w:val="none"/>
        </w:rPr>
        <w:t>出团时间：当月完成。因采购人工作需要，需调整出团时间或改为其他月份出团的，则以采购人要求为准，成交服务商不得以任何理由更改成交价格，否则视为违约，将上报上级主管部门处罚。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总人数：约140人。</w:t>
      </w:r>
    </w:p>
    <w:p>
      <w:pPr>
        <w:adjustRightInd w:val="0"/>
        <w:snapToGrid w:val="0"/>
        <w:spacing w:line="360" w:lineRule="auto"/>
        <w:ind w:firstLine="482" w:firstLineChars="200"/>
        <w:outlineLvl w:val="0"/>
        <w:rPr>
          <w:rFonts w:ascii="宋体" w:hAnsi="宋体" w:cs="宋体"/>
          <w:b/>
          <w:color w:val="auto"/>
          <w:sz w:val="24"/>
          <w:highlight w:val="none"/>
        </w:rPr>
      </w:pPr>
      <w:bookmarkStart w:id="22" w:name="_Toc29022"/>
      <w:r>
        <w:rPr>
          <w:rFonts w:hint="eastAsia" w:ascii="宋体" w:hAnsi="宋体" w:cs="宋体"/>
          <w:b/>
          <w:color w:val="auto"/>
          <w:sz w:val="24"/>
          <w:highlight w:val="none"/>
        </w:rPr>
        <w:t>二、标项划分：</w:t>
      </w:r>
      <w:bookmarkEnd w:id="22"/>
      <w:r>
        <w:rPr>
          <w:rFonts w:hint="eastAsia" w:ascii="宋体" w:hAnsi="宋体" w:cs="宋体"/>
          <w:b/>
          <w:color w:val="auto"/>
          <w:sz w:val="24"/>
          <w:highlight w:val="none"/>
        </w:rPr>
        <w:t xml:space="preserve"> </w:t>
      </w:r>
    </w:p>
    <w:p>
      <w:pPr>
        <w:adjustRightInd w:val="0"/>
        <w:snapToGrid w:val="0"/>
        <w:spacing w:line="360" w:lineRule="auto"/>
        <w:ind w:firstLine="482" w:firstLineChars="200"/>
        <w:outlineLvl w:val="0"/>
        <w:rPr>
          <w:rFonts w:hint="eastAsia" w:ascii="宋体" w:hAnsi="宋体" w:eastAsia="宋体" w:cs="宋体"/>
          <w:b/>
          <w:color w:val="auto"/>
          <w:sz w:val="24"/>
          <w:highlight w:val="none"/>
          <w:lang w:eastAsia="zh-CN"/>
        </w:rPr>
      </w:pPr>
      <w:bookmarkStart w:id="23" w:name="_Toc31807"/>
      <w:r>
        <w:rPr>
          <w:rFonts w:hint="eastAsia" w:ascii="宋体" w:hAnsi="宋体" w:cs="宋体"/>
          <w:b/>
          <w:color w:val="auto"/>
          <w:sz w:val="24"/>
          <w:highlight w:val="none"/>
        </w:rPr>
        <w:t>线路一：杭州市委党校2020年度职工疗养线路1：淳安千岛湖镇（全程住宿为同一个酒店，住宿标准四星级及以上酒店）</w:t>
      </w:r>
      <w:bookmarkEnd w:id="23"/>
      <w:r>
        <w:rPr>
          <w:rFonts w:hint="eastAsia" w:ascii="宋体" w:hAnsi="宋体" w:cs="宋体"/>
          <w:b/>
          <w:color w:val="auto"/>
          <w:sz w:val="24"/>
          <w:highlight w:val="none"/>
          <w:lang w:eastAsia="zh-CN"/>
        </w:rPr>
        <w:t xml:space="preserve"> </w:t>
      </w:r>
    </w:p>
    <w:p>
      <w:pPr>
        <w:adjustRightInd w:val="0"/>
        <w:snapToGrid w:val="0"/>
        <w:spacing w:line="360" w:lineRule="auto"/>
        <w:ind w:firstLine="480" w:firstLineChars="200"/>
        <w:outlineLvl w:val="0"/>
        <w:rPr>
          <w:rFonts w:hint="eastAsia" w:eastAsia="宋体"/>
          <w:color w:val="auto"/>
          <w:highlight w:val="none"/>
          <w:lang w:eastAsia="zh-CN"/>
        </w:rPr>
      </w:pPr>
      <w:bookmarkStart w:id="24" w:name="_Toc13743"/>
      <w:r>
        <w:rPr>
          <w:rFonts w:hint="eastAsia" w:ascii="宋体" w:hAnsi="宋体" w:cs="宋体"/>
          <w:color w:val="auto"/>
          <w:sz w:val="24"/>
          <w:highlight w:val="none"/>
        </w:rPr>
        <w:t>景点：由供应商根据线路策划，提供方案。</w:t>
      </w:r>
      <w:bookmarkEnd w:id="24"/>
      <w:r>
        <w:rPr>
          <w:rFonts w:hint="eastAsia" w:ascii="宋体" w:hAnsi="宋体" w:cs="宋体"/>
          <w:color w:val="auto"/>
          <w:sz w:val="24"/>
          <w:highlight w:val="none"/>
          <w:lang w:eastAsia="zh-CN"/>
        </w:rPr>
        <w:t xml:space="preserve"> </w:t>
      </w:r>
    </w:p>
    <w:p>
      <w:pPr>
        <w:adjustRightInd w:val="0"/>
        <w:snapToGrid w:val="0"/>
        <w:spacing w:line="360" w:lineRule="auto"/>
        <w:ind w:firstLine="482" w:firstLineChars="200"/>
        <w:outlineLvl w:val="0"/>
        <w:rPr>
          <w:rFonts w:ascii="宋体" w:hAnsi="宋体" w:cs="宋体"/>
          <w:color w:val="auto"/>
          <w:sz w:val="24"/>
          <w:highlight w:val="none"/>
        </w:rPr>
      </w:pPr>
      <w:bookmarkStart w:id="25" w:name="_Toc13206"/>
      <w:r>
        <w:rPr>
          <w:rFonts w:hint="eastAsia" w:ascii="宋体" w:hAnsi="宋体" w:cs="宋体"/>
          <w:b/>
          <w:color w:val="auto"/>
          <w:sz w:val="24"/>
          <w:highlight w:val="none"/>
        </w:rPr>
        <w:t>线路二：杭州市委党校2020年度职工疗养线路2：淳安龙川湾（两晚住在龙川湾+两晚住在千岛湖镇，为同一酒店，住宿标准四星级及以上酒店）</w:t>
      </w:r>
      <w:bookmarkEnd w:id="25"/>
    </w:p>
    <w:p>
      <w:pPr>
        <w:adjustRightInd w:val="0"/>
        <w:snapToGrid w:val="0"/>
        <w:spacing w:line="360" w:lineRule="auto"/>
        <w:ind w:firstLine="480" w:firstLineChars="200"/>
        <w:outlineLvl w:val="0"/>
        <w:rPr>
          <w:rFonts w:hint="eastAsia" w:ascii="宋体" w:hAnsi="宋体" w:eastAsia="宋体" w:cs="宋体"/>
          <w:color w:val="auto"/>
          <w:sz w:val="24"/>
          <w:highlight w:val="none"/>
          <w:lang w:eastAsia="zh-CN"/>
        </w:rPr>
      </w:pPr>
      <w:bookmarkStart w:id="26" w:name="_Toc20973"/>
      <w:r>
        <w:rPr>
          <w:rFonts w:hint="eastAsia" w:ascii="宋体" w:hAnsi="宋体" w:cs="宋体"/>
          <w:color w:val="auto"/>
          <w:sz w:val="24"/>
          <w:highlight w:val="none"/>
        </w:rPr>
        <w:t>景点：由供应商根据线路策划，提供方案。</w:t>
      </w:r>
      <w:bookmarkEnd w:id="26"/>
      <w:r>
        <w:rPr>
          <w:rFonts w:hint="eastAsia" w:ascii="宋体" w:hAnsi="宋体" w:cs="宋体"/>
          <w:color w:val="auto"/>
          <w:sz w:val="24"/>
          <w:highlight w:val="none"/>
          <w:lang w:eastAsia="zh-CN"/>
        </w:rPr>
        <w:t xml:space="preserve"> </w:t>
      </w:r>
    </w:p>
    <w:p>
      <w:pPr>
        <w:adjustRightInd w:val="0"/>
        <w:snapToGrid w:val="0"/>
        <w:spacing w:line="360" w:lineRule="auto"/>
        <w:ind w:firstLine="482" w:firstLineChars="200"/>
        <w:outlineLvl w:val="0"/>
        <w:rPr>
          <w:rFonts w:ascii="宋体" w:hAnsi="宋体" w:cs="宋体"/>
          <w:b/>
          <w:color w:val="auto"/>
          <w:sz w:val="24"/>
          <w:highlight w:val="none"/>
        </w:rPr>
      </w:pPr>
      <w:bookmarkStart w:id="27" w:name="_Toc10926"/>
      <w:r>
        <w:rPr>
          <w:rFonts w:hint="eastAsia" w:ascii="宋体" w:hAnsi="宋体" w:cs="宋体"/>
          <w:b/>
          <w:color w:val="auto"/>
          <w:sz w:val="24"/>
          <w:highlight w:val="none"/>
        </w:rPr>
        <w:t>三、疗休养费用：（本次疗养报价必须满足本磋商文件约定的服务内容及要求，最低报价不是中标的唯一依据。）</w:t>
      </w:r>
      <w:bookmarkEnd w:id="27"/>
    </w:p>
    <w:p>
      <w:pPr>
        <w:adjustRightInd w:val="0"/>
        <w:snapToGrid w:val="0"/>
        <w:spacing w:line="360" w:lineRule="auto"/>
        <w:ind w:firstLine="480" w:firstLineChars="200"/>
        <w:outlineLvl w:val="0"/>
        <w:rPr>
          <w:rFonts w:ascii="宋体" w:hAnsi="宋体" w:cs="宋体"/>
          <w:color w:val="auto"/>
          <w:sz w:val="24"/>
          <w:highlight w:val="none"/>
        </w:rPr>
      </w:pPr>
      <w:bookmarkStart w:id="28" w:name="_Toc20811"/>
      <w:r>
        <w:rPr>
          <w:rFonts w:hint="eastAsia" w:ascii="宋体" w:hAnsi="宋体" w:cs="宋体"/>
          <w:color w:val="auto"/>
          <w:sz w:val="24"/>
          <w:highlight w:val="none"/>
        </w:rPr>
        <w:t>费用不超过每人3000元，包括游线景点门票、交通费、餐费、住宿费、人身意外保险费等费用。</w:t>
      </w:r>
      <w:bookmarkEnd w:id="28"/>
    </w:p>
    <w:p>
      <w:pPr>
        <w:adjustRightInd w:val="0"/>
        <w:snapToGrid w:val="0"/>
        <w:spacing w:line="360" w:lineRule="auto"/>
        <w:ind w:firstLine="480" w:firstLineChars="200"/>
        <w:outlineLvl w:val="0"/>
        <w:rPr>
          <w:rFonts w:ascii="宋体" w:hAnsi="宋体" w:cs="宋体"/>
          <w:color w:val="auto"/>
          <w:sz w:val="24"/>
          <w:highlight w:val="none"/>
        </w:rPr>
      </w:pPr>
      <w:bookmarkStart w:id="29" w:name="_Toc9797"/>
      <w:r>
        <w:rPr>
          <w:rFonts w:hint="eastAsia" w:ascii="宋体" w:hAnsi="宋体" w:cs="宋体"/>
          <w:color w:val="auto"/>
          <w:sz w:val="24"/>
          <w:highlight w:val="none"/>
        </w:rPr>
        <w:t>注：每条线路最低人数为2</w:t>
      </w:r>
      <w:r>
        <w:rPr>
          <w:rFonts w:ascii="宋体" w:hAnsi="宋体" w:cs="宋体"/>
          <w:color w:val="auto"/>
          <w:sz w:val="24"/>
          <w:highlight w:val="none"/>
        </w:rPr>
        <w:t>5</w:t>
      </w:r>
      <w:r>
        <w:rPr>
          <w:rFonts w:hint="eastAsia" w:ascii="宋体" w:hAnsi="宋体" w:cs="宋体"/>
          <w:color w:val="auto"/>
          <w:sz w:val="24"/>
          <w:highlight w:val="none"/>
        </w:rPr>
        <w:t>人，满2</w:t>
      </w:r>
      <w:r>
        <w:rPr>
          <w:rFonts w:ascii="宋体" w:hAnsi="宋体" w:cs="宋体"/>
          <w:color w:val="auto"/>
          <w:sz w:val="24"/>
          <w:highlight w:val="none"/>
        </w:rPr>
        <w:t>5</w:t>
      </w:r>
      <w:r>
        <w:rPr>
          <w:rFonts w:hint="eastAsia" w:ascii="宋体" w:hAnsi="宋体" w:cs="宋体"/>
          <w:color w:val="auto"/>
          <w:sz w:val="24"/>
          <w:highlight w:val="none"/>
        </w:rPr>
        <w:t>及以上不得收取最低团费，若不足2</w:t>
      </w:r>
      <w:r>
        <w:rPr>
          <w:rFonts w:ascii="宋体" w:hAnsi="宋体" w:cs="宋体"/>
          <w:color w:val="auto"/>
          <w:sz w:val="24"/>
          <w:highlight w:val="none"/>
        </w:rPr>
        <w:t>5</w:t>
      </w:r>
      <w:r>
        <w:rPr>
          <w:rFonts w:hint="eastAsia" w:ascii="宋体" w:hAnsi="宋体" w:cs="宋体"/>
          <w:color w:val="auto"/>
          <w:sz w:val="24"/>
          <w:highlight w:val="none"/>
        </w:rPr>
        <w:t>人相应费用在磋商时明确。</w:t>
      </w:r>
      <w:bookmarkEnd w:id="29"/>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四、疗休养内容：</w:t>
      </w:r>
      <w:r>
        <w:rPr>
          <w:rFonts w:hint="eastAsia" w:ascii="宋体" w:hAnsi="宋体" w:cs="宋体"/>
          <w:color w:val="auto"/>
          <w:sz w:val="24"/>
          <w:highlight w:val="none"/>
        </w:rPr>
        <w:t>休息养生、参观学习、组织交流、乡村体验、文娱活动等。</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五、服务要求及期限：</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（一）服务要求：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1、住宿：住宿标准为每人间一间，具体要求交通便利、环境较好、干净卫生、服务优质，有较强接待能力，同时配套设施齐全、使用方便安全。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2、交通用车：全程空调旅游车，车况好，座位充足，空调效果好，司机服务态度好、技术好，确保行程安全，要求出厂三年内设施好的空调大巴车。</w:t>
      </w:r>
      <w:r>
        <w:rPr>
          <w:rFonts w:hint="eastAsia" w:ascii="宋体" w:hAnsi="宋体" w:cs="宋体"/>
          <w:color w:val="auto"/>
          <w:sz w:val="24"/>
          <w:highlight w:val="none"/>
          <w:lang w:val="zh-CN"/>
        </w:rPr>
        <w:t>司机要求具有8年及以上驾龄的客车经验，要求线路熟悉。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3、用餐：中、晚餐餐标不低于70元/人/餐。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4、门票：行程所含景点门票（包含景区内需要产生的小门票和景区小交通），尽量不产生自费项目，如包含自费项目需单独说明。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5、导游：全程优秀导游讲解服务（含地接导游服务）。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6、保险：旅行社责任险、人身意外险（保额不低于100万元/人）。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7、购物：不得强行推销自费项目、全程零购物。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8、要求举行行前会议，制定应急预案，发放《行程安排表》和《注意事项》、《满意度调查表》。如遇意外突发事件，成交供应商必须及时妥善处理，并做好善后处理工作。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9、每条线路提供矿泉水一瓶/天/人。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10、参加疗休养人员名单和个人信息不得外泄。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11、每条线路结束前进行满意度测评，满意度低于80%的，扣当批疗养费用的10%，低于70%的，扣20%，低于60%的，扣30%，低于50%的，扣40%，低于40%的，扣60%，低于30%的，扣70%并扣除履约保证金全款。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12、行程中的相关安全事宜（住宿、交通、饮食等）全部由成交供应商负责，如出现任何安全事故，则由成交供应商承担相关经济赔偿与法律义务。</w:t>
      </w:r>
    </w:p>
    <w:p>
      <w:pPr>
        <w:pStyle w:val="2"/>
        <w:spacing w:line="360" w:lineRule="auto"/>
        <w:ind w:firstLine="482" w:firstLineChars="200"/>
        <w:rPr>
          <w:rFonts w:ascii="宋体" w:hAnsi="宋体" w:eastAsia="宋体" w:cs="宋体"/>
          <w:b/>
          <w:color w:val="auto"/>
          <w:kern w:val="2"/>
          <w:highlight w:val="none"/>
        </w:rPr>
      </w:pPr>
      <w:r>
        <w:rPr>
          <w:rFonts w:hint="eastAsia" w:ascii="宋体" w:hAnsi="宋体" w:eastAsia="宋体" w:cs="宋体"/>
          <w:b/>
          <w:color w:val="auto"/>
          <w:kern w:val="2"/>
          <w:highlight w:val="none"/>
        </w:rPr>
        <w:t>（二）服务期限：</w:t>
      </w:r>
    </w:p>
    <w:p>
      <w:pPr>
        <w:pStyle w:val="3"/>
        <w:spacing w:line="360" w:lineRule="auto"/>
        <w:ind w:left="0" w:firstLine="720" w:firstLineChars="300"/>
        <w:rPr>
          <w:rFonts w:ascii="宋体" w:hAnsi="宋体" w:cs="宋体"/>
          <w:color w:val="auto"/>
          <w:kern w:val="2"/>
          <w:sz w:val="24"/>
          <w:szCs w:val="24"/>
          <w:highlight w:val="none"/>
        </w:rPr>
      </w:pPr>
      <w:r>
        <w:rPr>
          <w:rFonts w:hint="eastAsia" w:ascii="宋体" w:hAnsi="宋体" w:cs="宋体"/>
          <w:color w:val="auto"/>
          <w:kern w:val="2"/>
          <w:sz w:val="24"/>
          <w:szCs w:val="24"/>
          <w:highlight w:val="none"/>
        </w:rPr>
        <w:t>1、本项目的合同为一年一签，第一年服务期满后，采购人对于成交供应商考核满意，则续签第二年合同，服务期限最多不超过三年。</w:t>
      </w:r>
    </w:p>
    <w:p>
      <w:pPr>
        <w:pStyle w:val="104"/>
        <w:adjustRightInd w:val="0"/>
        <w:snapToGrid w:val="0"/>
        <w:spacing w:line="360" w:lineRule="auto"/>
        <w:ind w:firstLine="482" w:firstLineChars="200"/>
        <w:jc w:val="left"/>
        <w:outlineLvl w:val="1"/>
        <w:rPr>
          <w:rFonts w:ascii="宋体" w:hAnsi="宋体" w:eastAsia="宋体" w:cs="宋体"/>
          <w:color w:val="auto"/>
          <w:spacing w:val="0"/>
          <w:kern w:val="2"/>
          <w:sz w:val="24"/>
          <w:szCs w:val="24"/>
          <w:highlight w:val="none"/>
        </w:rPr>
      </w:pPr>
      <w:bookmarkStart w:id="30" w:name="_Toc484685791"/>
      <w:bookmarkStart w:id="31" w:name="_Toc31385"/>
      <w:r>
        <w:rPr>
          <w:rFonts w:hint="eastAsia" w:ascii="宋体" w:hAnsi="宋体" w:eastAsia="宋体" w:cs="宋体"/>
          <w:color w:val="auto"/>
          <w:spacing w:val="0"/>
          <w:kern w:val="2"/>
          <w:sz w:val="24"/>
          <w:szCs w:val="24"/>
          <w:highlight w:val="none"/>
        </w:rPr>
        <w:t>六、</w:t>
      </w:r>
      <w:r>
        <w:rPr>
          <w:rFonts w:ascii="宋体" w:hAnsi="宋体" w:eastAsia="宋体" w:cs="宋体"/>
          <w:color w:val="auto"/>
          <w:spacing w:val="0"/>
          <w:kern w:val="2"/>
          <w:sz w:val="24"/>
          <w:szCs w:val="24"/>
          <w:highlight w:val="none"/>
        </w:rPr>
        <w:t>质量标准</w:t>
      </w:r>
      <w:bookmarkEnd w:id="30"/>
      <w:r>
        <w:rPr>
          <w:rFonts w:hint="eastAsia" w:ascii="宋体" w:hAnsi="宋体" w:eastAsia="宋体" w:cs="宋体"/>
          <w:color w:val="auto"/>
          <w:spacing w:val="0"/>
          <w:kern w:val="2"/>
          <w:sz w:val="24"/>
          <w:szCs w:val="24"/>
          <w:highlight w:val="none"/>
        </w:rPr>
        <w:t>（不限于以下标准，国家有新的文件标准按最新的执行）</w:t>
      </w:r>
      <w:bookmarkEnd w:id="31"/>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GB/T15971—1995 导游服务质量</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GB/16153—1996 饭店（餐厅）卫生标准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GB/T19004.2—1994 质量管理和质量体系要素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LB/T 002—1995 旅游汽车服务质量</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idt ISO 9004—2：1991服务指南</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GB16153餐馆</w:t>
      </w:r>
    </w:p>
    <w:p>
      <w:pPr>
        <w:pStyle w:val="104"/>
        <w:adjustRightInd w:val="0"/>
        <w:snapToGrid w:val="0"/>
        <w:spacing w:line="360" w:lineRule="auto"/>
        <w:ind w:firstLine="480" w:firstLineChars="200"/>
        <w:jc w:val="left"/>
        <w:outlineLvl w:val="1"/>
        <w:rPr>
          <w:rFonts w:ascii="宋体" w:hAnsi="宋体" w:eastAsia="宋体" w:cs="宋体"/>
          <w:b w:val="0"/>
          <w:color w:val="auto"/>
          <w:spacing w:val="0"/>
          <w:kern w:val="2"/>
          <w:sz w:val="24"/>
          <w:szCs w:val="24"/>
          <w:highlight w:val="none"/>
        </w:rPr>
      </w:pPr>
      <w:bookmarkStart w:id="32" w:name="_Toc15049"/>
      <w:r>
        <w:rPr>
          <w:rFonts w:ascii="宋体" w:hAnsi="宋体" w:eastAsia="宋体" w:cs="宋体"/>
          <w:b w:val="0"/>
          <w:color w:val="auto"/>
          <w:spacing w:val="0"/>
          <w:kern w:val="2"/>
          <w:sz w:val="24"/>
          <w:szCs w:val="24"/>
          <w:highlight w:val="none"/>
        </w:rPr>
        <w:t>GB/T15971导游人员的基本素质及服务</w:t>
      </w:r>
      <w:bookmarkEnd w:id="32"/>
    </w:p>
    <w:p>
      <w:pPr>
        <w:pStyle w:val="104"/>
        <w:adjustRightInd w:val="0"/>
        <w:snapToGrid w:val="0"/>
        <w:spacing w:line="360" w:lineRule="auto"/>
        <w:ind w:firstLine="482" w:firstLineChars="200"/>
        <w:jc w:val="left"/>
        <w:outlineLvl w:val="1"/>
        <w:rPr>
          <w:rFonts w:ascii="宋体" w:hAnsi="宋体" w:eastAsia="宋体" w:cs="宋体"/>
          <w:color w:val="auto"/>
          <w:spacing w:val="0"/>
          <w:kern w:val="2"/>
          <w:sz w:val="24"/>
          <w:szCs w:val="24"/>
          <w:highlight w:val="none"/>
        </w:rPr>
      </w:pPr>
      <w:bookmarkStart w:id="33" w:name="_Toc24034"/>
      <w:r>
        <w:rPr>
          <w:rFonts w:hint="eastAsia" w:ascii="宋体" w:hAnsi="宋体" w:eastAsia="宋体" w:cs="宋体"/>
          <w:color w:val="auto"/>
          <w:spacing w:val="0"/>
          <w:kern w:val="2"/>
          <w:sz w:val="24"/>
          <w:szCs w:val="24"/>
          <w:highlight w:val="none"/>
        </w:rPr>
        <w:t>（国家、省、市发布的最新文件）</w:t>
      </w:r>
      <w:bookmarkEnd w:id="33"/>
    </w:p>
    <w:p>
      <w:pPr>
        <w:pStyle w:val="104"/>
        <w:adjustRightInd w:val="0"/>
        <w:snapToGrid w:val="0"/>
        <w:spacing w:line="360" w:lineRule="auto"/>
        <w:ind w:firstLine="482" w:firstLineChars="200"/>
        <w:jc w:val="left"/>
        <w:outlineLvl w:val="1"/>
        <w:rPr>
          <w:rFonts w:ascii="宋体" w:hAnsi="宋体" w:eastAsia="宋体" w:cs="宋体"/>
          <w:color w:val="auto"/>
          <w:spacing w:val="0"/>
          <w:kern w:val="2"/>
          <w:sz w:val="24"/>
          <w:szCs w:val="24"/>
          <w:highlight w:val="none"/>
        </w:rPr>
      </w:pPr>
      <w:bookmarkStart w:id="34" w:name="_Toc14347"/>
      <w:r>
        <w:rPr>
          <w:rFonts w:hint="eastAsia" w:ascii="宋体" w:hAnsi="宋体" w:eastAsia="宋体" w:cs="宋体"/>
          <w:color w:val="auto"/>
          <w:spacing w:val="0"/>
          <w:kern w:val="2"/>
          <w:sz w:val="24"/>
          <w:szCs w:val="24"/>
          <w:highlight w:val="none"/>
        </w:rPr>
        <w:t>七、服务质量要求</w:t>
      </w:r>
      <w:bookmarkEnd w:id="34"/>
    </w:p>
    <w:p>
      <w:pPr>
        <w:tabs>
          <w:tab w:val="left" w:pos="37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1、响应及时、服务高效、技术先进、质量可靠、科学安全的服务队伍；</w:t>
      </w:r>
    </w:p>
    <w:p>
      <w:pPr>
        <w:tabs>
          <w:tab w:val="left" w:pos="37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2、具有完整的技术方案和较强的实施能力；</w:t>
      </w:r>
    </w:p>
    <w:p>
      <w:pPr>
        <w:tabs>
          <w:tab w:val="left" w:pos="37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3、具有完善有效的组织管理流程、应急处理机制，并严格按照流程处理相关故障；</w:t>
      </w:r>
    </w:p>
    <w:p>
      <w:pPr>
        <w:tabs>
          <w:tab w:val="left" w:pos="37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4、具有完善的应急事故处理机制；</w:t>
      </w:r>
    </w:p>
    <w:p>
      <w:pPr>
        <w:tabs>
          <w:tab w:val="left" w:pos="378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5、具有一支高效的管理、服务团队；</w:t>
      </w:r>
    </w:p>
    <w:p>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6、能够提供满足项目要求的各种服务机制。</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八、磋商供应商须在响应文件中对以下服务内容进行明确</w:t>
      </w:r>
      <w:r>
        <w:rPr>
          <w:rFonts w:hint="eastAsia" w:ascii="宋体" w:hAnsi="宋体" w:cs="宋体"/>
          <w:color w:val="auto"/>
          <w:sz w:val="24"/>
          <w:highlight w:val="none"/>
        </w:rPr>
        <w:t>（服务包括但不仅限于以下各项）：</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1、疗休养策划方案；</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2、服务实施计划，包括与地接人员衔接服务计划；</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3、交通工具选择情况（包括车型等）安排情况；</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4、安排入住酒店。</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5、用餐服务计划；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6、针对突发情况的预案。</w:t>
      </w:r>
    </w:p>
    <w:p>
      <w:pPr>
        <w:tabs>
          <w:tab w:val="left" w:pos="314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7、免费超值服务。</w:t>
      </w:r>
    </w:p>
    <w:p>
      <w:pPr>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九、其他相关要求</w:t>
      </w:r>
      <w:r>
        <w:rPr>
          <w:rFonts w:hint="eastAsia" w:ascii="宋体" w:hAnsi="宋体"/>
          <w:b/>
          <w:color w:val="auto"/>
          <w:sz w:val="24"/>
          <w:highlight w:val="none"/>
        </w:rPr>
        <w:tab/>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本项目</w:t>
      </w:r>
      <w:r>
        <w:rPr>
          <w:rFonts w:ascii="宋体" w:hAnsi="宋体" w:cs="宋体"/>
          <w:color w:val="auto"/>
          <w:sz w:val="24"/>
          <w:highlight w:val="none"/>
        </w:rPr>
        <w:t>需执行的国家相关标准、行业标准、地方标准或者其他标准、规范</w:t>
      </w:r>
      <w:r>
        <w:rPr>
          <w:rFonts w:hint="eastAsia" w:ascii="宋体" w:hAnsi="宋体" w:cs="宋体"/>
          <w:color w:val="auto"/>
          <w:sz w:val="24"/>
          <w:highlight w:val="none"/>
        </w:rPr>
        <w:t>。</w:t>
      </w:r>
    </w:p>
    <w:p>
      <w:pPr>
        <w:pStyle w:val="21"/>
        <w:spacing w:line="360" w:lineRule="auto"/>
        <w:ind w:firstLine="480" w:firstLineChars="200"/>
        <w:rPr>
          <w:rFonts w:hint="default" w:hAnsi="宋体"/>
          <w:color w:val="auto"/>
          <w:kern w:val="0"/>
          <w:sz w:val="24"/>
          <w:highlight w:val="none"/>
        </w:rPr>
      </w:pPr>
      <w:r>
        <w:rPr>
          <w:rFonts w:hAnsi="宋体" w:cs="宋体"/>
          <w:color w:val="auto"/>
          <w:sz w:val="24"/>
          <w:highlight w:val="none"/>
        </w:rPr>
        <w:t>通过满意度测评和成交供应商提供总结报告的方式进行验收。</w:t>
      </w:r>
    </w:p>
    <w:p>
      <w:pPr>
        <w:adjustRightInd w:val="0"/>
        <w:snapToGrid w:val="0"/>
        <w:spacing w:beforeLines="50" w:line="300" w:lineRule="exact"/>
        <w:rPr>
          <w:rFonts w:ascii="宋体" w:hAnsi="宋体" w:cs="宋体"/>
          <w:b/>
          <w:color w:val="auto"/>
          <w:sz w:val="28"/>
          <w:szCs w:val="28"/>
          <w:highlight w:val="none"/>
        </w:rPr>
      </w:pPr>
    </w:p>
    <w:bookmarkEnd w:id="20"/>
    <w:bookmarkEnd w:id="21"/>
    <w:p>
      <w:pPr>
        <w:rPr>
          <w:rFonts w:ascii="宋体" w:hAnsi="宋体" w:cs="宋体"/>
          <w:color w:val="auto"/>
          <w:sz w:val="24"/>
          <w:highlight w:val="none"/>
        </w:rPr>
      </w:pPr>
      <w:bookmarkStart w:id="35" w:name="_Toc13210"/>
      <w:r>
        <w:rPr>
          <w:rFonts w:hint="eastAsia" w:ascii="宋体" w:hAnsi="宋体" w:cs="宋体"/>
          <w:color w:val="auto"/>
          <w:sz w:val="24"/>
          <w:highlight w:val="none"/>
        </w:rPr>
        <w:br w:type="page"/>
      </w:r>
    </w:p>
    <w:p>
      <w:pPr>
        <w:numPr>
          <w:ilvl w:val="0"/>
          <w:numId w:val="8"/>
        </w:numPr>
        <w:spacing w:line="400" w:lineRule="exact"/>
        <w:jc w:val="center"/>
        <w:outlineLvl w:val="0"/>
        <w:rPr>
          <w:rFonts w:ascii="宋体" w:hAnsi="宋体" w:cs="宋体"/>
          <w:b/>
          <w:bCs/>
          <w:color w:val="auto"/>
          <w:sz w:val="32"/>
          <w:szCs w:val="32"/>
          <w:highlight w:val="none"/>
        </w:rPr>
      </w:pPr>
      <w:bookmarkStart w:id="36" w:name="_Toc21473"/>
      <w:r>
        <w:rPr>
          <w:rFonts w:hint="eastAsia" w:ascii="宋体" w:hAnsi="宋体" w:cs="宋体"/>
          <w:b/>
          <w:bCs/>
          <w:color w:val="auto"/>
          <w:sz w:val="32"/>
          <w:szCs w:val="32"/>
          <w:highlight w:val="none"/>
        </w:rPr>
        <w:t>合同主要条款</w:t>
      </w:r>
      <w:bookmarkEnd w:id="36"/>
    </w:p>
    <w:p>
      <w:pPr>
        <w:pStyle w:val="2"/>
        <w:rPr>
          <w:rFonts w:ascii="宋体" w:hAnsi="宋体" w:eastAsia="宋体" w:cs="宋体"/>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（仅供参考，以最终合同为准）</w:t>
      </w:r>
    </w:p>
    <w:p>
      <w:pPr>
        <w:snapToGrid w:val="0"/>
        <w:spacing w:line="360" w:lineRule="auto"/>
        <w:rPr>
          <w:rFonts w:ascii="宋体" w:hAnsi="宋体" w:cs="宋体"/>
          <w:color w:val="auto"/>
          <w:highlight w:val="none"/>
        </w:rPr>
      </w:pPr>
    </w:p>
    <w:p>
      <w:pPr>
        <w:snapToGrid w:val="0"/>
        <w:spacing w:line="360" w:lineRule="auto"/>
        <w:ind w:firstLine="4239" w:firstLineChars="1508"/>
        <w:rPr>
          <w:rFonts w:ascii="宋体" w:hAnsi="宋体" w:cs="宋体"/>
          <w:color w:val="auto"/>
          <w:sz w:val="28"/>
          <w:szCs w:val="28"/>
          <w:highlight w:val="none"/>
        </w:rPr>
      </w:pPr>
      <w:r>
        <w:rPr>
          <w:rFonts w:hint="eastAsia" w:ascii="宋体" w:hAnsi="宋体" w:cs="宋体"/>
          <w:b/>
          <w:color w:val="auto"/>
          <w:sz w:val="28"/>
          <w:szCs w:val="28"/>
          <w:highlight w:val="none"/>
        </w:rPr>
        <w:t>合同编号：</w:t>
      </w:r>
    </w:p>
    <w:p>
      <w:pPr>
        <w:snapToGrid w:val="0"/>
        <w:spacing w:line="360" w:lineRule="auto"/>
        <w:rPr>
          <w:rFonts w:ascii="宋体" w:hAnsi="宋体" w:cs="宋体"/>
          <w:color w:val="auto"/>
          <w:sz w:val="28"/>
          <w:szCs w:val="28"/>
          <w:highlight w:val="none"/>
        </w:rPr>
      </w:pPr>
    </w:p>
    <w:p>
      <w:pPr>
        <w:snapToGrid w:val="0"/>
        <w:spacing w:line="360" w:lineRule="auto"/>
        <w:rPr>
          <w:rFonts w:ascii="宋体" w:hAnsi="宋体" w:cs="宋体"/>
          <w:color w:val="auto"/>
          <w:sz w:val="28"/>
          <w:szCs w:val="28"/>
          <w:highlight w:val="none"/>
        </w:rPr>
      </w:pPr>
    </w:p>
    <w:p>
      <w:pPr>
        <w:snapToGrid w:val="0"/>
        <w:spacing w:line="360" w:lineRule="auto"/>
        <w:rPr>
          <w:rFonts w:ascii="宋体" w:hAnsi="宋体" w:cs="宋体"/>
          <w:color w:val="auto"/>
          <w:sz w:val="28"/>
          <w:szCs w:val="28"/>
          <w:highlight w:val="none"/>
        </w:rPr>
      </w:pPr>
    </w:p>
    <w:p>
      <w:pPr>
        <w:snapToGrid w:val="0"/>
        <w:spacing w:line="360" w:lineRule="auto"/>
        <w:ind w:firstLine="2100" w:firstLineChars="750"/>
        <w:rPr>
          <w:rFonts w:ascii="宋体" w:hAnsi="宋体" w:cs="宋体"/>
          <w:color w:val="auto"/>
          <w:sz w:val="28"/>
          <w:szCs w:val="28"/>
          <w:highlight w:val="none"/>
          <w:u w:val="single"/>
        </w:rPr>
      </w:pPr>
      <w:r>
        <w:rPr>
          <w:rFonts w:hint="eastAsia" w:ascii="宋体" w:hAnsi="宋体" w:cs="宋体"/>
          <w:color w:val="auto"/>
          <w:sz w:val="28"/>
          <w:szCs w:val="28"/>
          <w:highlight w:val="none"/>
        </w:rPr>
        <w:t>项目名称：</w:t>
      </w:r>
    </w:p>
    <w:p>
      <w:pPr>
        <w:snapToGrid w:val="0"/>
        <w:spacing w:line="360" w:lineRule="auto"/>
        <w:ind w:firstLine="2100" w:firstLineChars="750"/>
        <w:rPr>
          <w:rFonts w:ascii="宋体" w:hAnsi="宋体" w:cs="宋体"/>
          <w:color w:val="auto"/>
          <w:sz w:val="28"/>
          <w:szCs w:val="28"/>
          <w:highlight w:val="none"/>
        </w:rPr>
      </w:pPr>
      <w:r>
        <w:rPr>
          <w:rFonts w:hint="eastAsia" w:ascii="宋体" w:hAnsi="宋体" w:cs="宋体"/>
          <w:color w:val="auto"/>
          <w:sz w:val="28"/>
          <w:szCs w:val="28"/>
          <w:highlight w:val="none"/>
        </w:rPr>
        <w:t>项目编号：</w:t>
      </w:r>
    </w:p>
    <w:p>
      <w:pPr>
        <w:snapToGrid w:val="0"/>
        <w:spacing w:line="360" w:lineRule="auto"/>
        <w:ind w:firstLine="2100" w:firstLineChars="750"/>
        <w:rPr>
          <w:rFonts w:ascii="宋体" w:hAnsi="宋体" w:cs="宋体"/>
          <w:color w:val="auto"/>
          <w:sz w:val="28"/>
          <w:szCs w:val="28"/>
          <w:highlight w:val="none"/>
          <w:u w:val="single"/>
        </w:rPr>
      </w:pPr>
      <w:r>
        <w:rPr>
          <w:rFonts w:hint="eastAsia" w:ascii="宋体" w:hAnsi="宋体" w:cs="宋体"/>
          <w:color w:val="auto"/>
          <w:sz w:val="28"/>
          <w:szCs w:val="28"/>
          <w:highlight w:val="none"/>
        </w:rPr>
        <w:t>合同内容：</w:t>
      </w:r>
    </w:p>
    <w:p>
      <w:pPr>
        <w:snapToGrid w:val="0"/>
        <w:spacing w:line="360" w:lineRule="auto"/>
        <w:ind w:firstLine="2100" w:firstLineChars="750"/>
        <w:rPr>
          <w:rFonts w:ascii="宋体" w:hAnsi="宋体" w:cs="宋体"/>
          <w:color w:val="auto"/>
          <w:sz w:val="28"/>
          <w:szCs w:val="28"/>
          <w:highlight w:val="none"/>
          <w:u w:val="single"/>
        </w:rPr>
      </w:pPr>
      <w:r>
        <w:rPr>
          <w:rFonts w:hint="eastAsia" w:ascii="宋体" w:hAnsi="宋体" w:cs="宋体"/>
          <w:color w:val="auto"/>
          <w:sz w:val="28"/>
          <w:szCs w:val="28"/>
          <w:highlight w:val="none"/>
        </w:rPr>
        <w:t>确认书号：</w:t>
      </w:r>
    </w:p>
    <w:p>
      <w:pPr>
        <w:snapToGrid w:val="0"/>
        <w:spacing w:line="360" w:lineRule="auto"/>
        <w:rPr>
          <w:rFonts w:ascii="宋体" w:hAnsi="宋体" w:cs="宋体"/>
          <w:color w:val="auto"/>
          <w:sz w:val="28"/>
          <w:szCs w:val="28"/>
          <w:highlight w:val="none"/>
        </w:rPr>
      </w:pPr>
    </w:p>
    <w:p>
      <w:pPr>
        <w:snapToGrid w:val="0"/>
        <w:spacing w:line="360" w:lineRule="auto"/>
        <w:rPr>
          <w:rFonts w:ascii="宋体" w:hAnsi="宋体" w:cs="宋体"/>
          <w:color w:val="auto"/>
          <w:sz w:val="28"/>
          <w:szCs w:val="28"/>
          <w:highlight w:val="none"/>
        </w:rPr>
      </w:pPr>
    </w:p>
    <w:p>
      <w:pPr>
        <w:snapToGrid w:val="0"/>
        <w:spacing w:line="360" w:lineRule="auto"/>
        <w:rPr>
          <w:rFonts w:ascii="宋体" w:hAnsi="宋体" w:cs="宋体"/>
          <w:color w:val="auto"/>
          <w:sz w:val="28"/>
          <w:szCs w:val="28"/>
          <w:highlight w:val="none"/>
        </w:rPr>
      </w:pPr>
    </w:p>
    <w:p>
      <w:pPr>
        <w:snapToGrid w:val="0"/>
        <w:spacing w:line="360" w:lineRule="auto"/>
        <w:ind w:firstLine="2100" w:firstLineChars="750"/>
        <w:rPr>
          <w:rFonts w:ascii="宋体" w:hAnsi="宋体" w:cs="宋体"/>
          <w:color w:val="auto"/>
          <w:sz w:val="28"/>
          <w:szCs w:val="28"/>
          <w:highlight w:val="none"/>
        </w:rPr>
      </w:pPr>
      <w:r>
        <w:rPr>
          <w:rFonts w:hint="eastAsia" w:ascii="宋体" w:hAnsi="宋体" w:cs="宋体"/>
          <w:color w:val="auto"/>
          <w:sz w:val="28"/>
          <w:szCs w:val="28"/>
          <w:highlight w:val="none"/>
        </w:rPr>
        <w:t>甲方：</w:t>
      </w:r>
    </w:p>
    <w:p>
      <w:pPr>
        <w:snapToGrid w:val="0"/>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乙方：</w:t>
      </w:r>
    </w:p>
    <w:p>
      <w:pPr>
        <w:snapToGrid w:val="0"/>
        <w:spacing w:line="360" w:lineRule="auto"/>
        <w:rPr>
          <w:rFonts w:ascii="宋体" w:hAnsi="宋体" w:cs="宋体"/>
          <w:color w:val="auto"/>
          <w:sz w:val="28"/>
          <w:szCs w:val="28"/>
          <w:highlight w:val="none"/>
        </w:rPr>
      </w:pPr>
    </w:p>
    <w:p>
      <w:pPr>
        <w:snapToGrid w:val="0"/>
        <w:spacing w:line="360" w:lineRule="auto"/>
        <w:rPr>
          <w:rFonts w:ascii="宋体" w:hAnsi="宋体" w:cs="宋体"/>
          <w:color w:val="auto"/>
          <w:sz w:val="28"/>
          <w:szCs w:val="28"/>
          <w:highlight w:val="none"/>
        </w:rPr>
      </w:pPr>
    </w:p>
    <w:p>
      <w:pPr>
        <w:snapToGrid w:val="0"/>
        <w:spacing w:line="360" w:lineRule="auto"/>
        <w:rPr>
          <w:rFonts w:ascii="宋体" w:hAnsi="宋体" w:cs="宋体"/>
          <w:color w:val="auto"/>
          <w:sz w:val="28"/>
          <w:szCs w:val="28"/>
          <w:highlight w:val="none"/>
        </w:rPr>
      </w:pPr>
    </w:p>
    <w:p>
      <w:pPr>
        <w:snapToGrid w:val="0"/>
        <w:spacing w:line="360" w:lineRule="auto"/>
        <w:ind w:firstLine="2100" w:firstLineChars="750"/>
        <w:rPr>
          <w:rFonts w:ascii="宋体" w:hAnsi="宋体" w:cs="宋体"/>
          <w:color w:val="auto"/>
          <w:sz w:val="28"/>
          <w:szCs w:val="28"/>
          <w:highlight w:val="none"/>
        </w:rPr>
      </w:pPr>
      <w:r>
        <w:rPr>
          <w:rFonts w:hint="eastAsia" w:ascii="宋体" w:hAnsi="宋体" w:cs="宋体"/>
          <w:color w:val="auto"/>
          <w:sz w:val="28"/>
          <w:szCs w:val="28"/>
          <w:highlight w:val="none"/>
        </w:rPr>
        <w:t>签署日期：</w:t>
      </w:r>
    </w:p>
    <w:p>
      <w:pPr>
        <w:rPr>
          <w:rFonts w:ascii="宋体" w:hAnsi="宋体" w:cs="宋体"/>
          <w:color w:val="auto"/>
          <w:sz w:val="28"/>
          <w:szCs w:val="28"/>
          <w:highlight w:val="none"/>
        </w:rPr>
      </w:pPr>
    </w:p>
    <w:p>
      <w:pPr>
        <w:tabs>
          <w:tab w:val="left" w:pos="540"/>
        </w:tabs>
        <w:spacing w:line="360" w:lineRule="auto"/>
        <w:ind w:firstLine="562" w:firstLineChars="200"/>
        <w:rPr>
          <w:rFonts w:ascii="宋体" w:hAnsi="宋体" w:cs="宋体"/>
          <w:b/>
          <w:color w:val="auto"/>
          <w:sz w:val="24"/>
          <w:highlight w:val="none"/>
        </w:rPr>
      </w:pPr>
      <w:r>
        <w:rPr>
          <w:rFonts w:hint="eastAsia" w:ascii="宋体" w:hAnsi="宋体" w:cs="宋体"/>
          <w:b/>
          <w:color w:val="auto"/>
          <w:sz w:val="28"/>
          <w:szCs w:val="28"/>
          <w:highlight w:val="none"/>
        </w:rPr>
        <w:br w:type="page"/>
      </w:r>
      <w:r>
        <w:rPr>
          <w:rFonts w:hint="eastAsia" w:ascii="宋体" w:hAnsi="宋体" w:cs="宋体"/>
          <w:b/>
          <w:color w:val="auto"/>
          <w:sz w:val="24"/>
          <w:highlight w:val="none"/>
        </w:rPr>
        <w:t>1. 服务内容</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提供疗休养策划、线路安排、服务保障、费用控制等一系列相关服务。</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 合同金额</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本合同金额为（大写）元/人（￥元/人）人民币。</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 付款方式：</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项目结束通过采购单位验收后，采购单位按实际出行人数按合同一次性支付全部款项。乙方</w:t>
      </w:r>
      <w:r>
        <w:rPr>
          <w:rFonts w:ascii="宋体" w:hAnsi="宋体" w:cs="宋体"/>
          <w:color w:val="auto"/>
          <w:sz w:val="24"/>
          <w:highlight w:val="none"/>
        </w:rPr>
        <w:t>开具正式发票</w:t>
      </w:r>
      <w:r>
        <w:rPr>
          <w:rFonts w:hint="eastAsia" w:ascii="宋体" w:hAnsi="宋体" w:cs="宋体"/>
          <w:color w:val="auto"/>
          <w:sz w:val="24"/>
          <w:highlight w:val="none"/>
        </w:rPr>
        <w:t>（内容为休养费用）（</w:t>
      </w:r>
      <w:r>
        <w:rPr>
          <w:rFonts w:ascii="宋体" w:hAnsi="宋体" w:cs="宋体"/>
          <w:color w:val="auto"/>
          <w:sz w:val="24"/>
          <w:highlight w:val="none"/>
        </w:rPr>
        <w:t>发票</w:t>
      </w:r>
      <w:r>
        <w:rPr>
          <w:rFonts w:hint="eastAsia" w:ascii="宋体" w:hAnsi="宋体" w:cs="宋体"/>
          <w:color w:val="auto"/>
          <w:sz w:val="24"/>
          <w:highlight w:val="none"/>
        </w:rPr>
        <w:t>保证甲方能够报销和支付），甲方收到</w:t>
      </w:r>
      <w:r>
        <w:rPr>
          <w:rFonts w:ascii="宋体" w:hAnsi="宋体" w:cs="宋体"/>
          <w:color w:val="auto"/>
          <w:sz w:val="24"/>
          <w:highlight w:val="none"/>
        </w:rPr>
        <w:t>发票</w:t>
      </w:r>
      <w:r>
        <w:rPr>
          <w:rFonts w:hint="eastAsia" w:ascii="宋体" w:hAnsi="宋体" w:cs="宋体"/>
          <w:color w:val="auto"/>
          <w:sz w:val="24"/>
          <w:highlight w:val="none"/>
        </w:rPr>
        <w:t>后1个月内支付。</w:t>
      </w:r>
    </w:p>
    <w:p>
      <w:pPr>
        <w:tabs>
          <w:tab w:val="left" w:pos="540"/>
        </w:tabs>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4. </w:t>
      </w:r>
      <w:r>
        <w:rPr>
          <w:rFonts w:hint="eastAsia" w:ascii="宋体" w:hAnsi="宋体" w:cs="宋体"/>
          <w:color w:val="auto"/>
          <w:sz w:val="24"/>
          <w:highlight w:val="none"/>
        </w:rPr>
        <w:t>乙方承诺按照磋商文件要求和响应文件承诺提供各项服务。</w:t>
      </w:r>
    </w:p>
    <w:p>
      <w:pPr>
        <w:tabs>
          <w:tab w:val="left" w:pos="540"/>
        </w:tabs>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5. </w:t>
      </w:r>
      <w:r>
        <w:rPr>
          <w:rFonts w:hint="eastAsia" w:ascii="宋体" w:hAnsi="宋体" w:cs="宋体"/>
          <w:color w:val="auto"/>
          <w:sz w:val="24"/>
          <w:highlight w:val="none"/>
        </w:rPr>
        <w:t>乙方必须在规定期间内完成磋商文件要求和响应文件承诺的服务内容，并通过甲方的验收，否则甲方有权终止合同，并索回全部支付的款项，赔偿延误的损失。</w:t>
      </w:r>
    </w:p>
    <w:p>
      <w:pPr>
        <w:pStyle w:val="2"/>
        <w:spacing w:line="360" w:lineRule="auto"/>
        <w:ind w:firstLine="482" w:firstLineChars="200"/>
        <w:rPr>
          <w:b/>
          <w:bCs/>
          <w:color w:val="auto"/>
          <w:highlight w:val="none"/>
        </w:rPr>
      </w:pPr>
      <w:r>
        <w:rPr>
          <w:rFonts w:hint="eastAsia" w:ascii="宋体" w:hAnsi="宋体" w:cs="宋体"/>
          <w:b/>
          <w:bCs/>
          <w:color w:val="auto"/>
          <w:highlight w:val="none"/>
        </w:rPr>
        <w:t>6.</w:t>
      </w:r>
      <w:r>
        <w:rPr>
          <w:rFonts w:hint="eastAsia" w:ascii="宋体" w:hAnsi="宋体" w:eastAsia="宋体" w:cs="宋体"/>
          <w:b/>
          <w:color w:val="auto"/>
          <w:kern w:val="2"/>
          <w:highlight w:val="none"/>
        </w:rPr>
        <w:t>服务期限：</w:t>
      </w:r>
      <w:r>
        <w:rPr>
          <w:rFonts w:hint="eastAsia" w:ascii="宋体" w:hAnsi="宋体" w:eastAsia="宋体" w:cs="宋体"/>
          <w:color w:val="auto"/>
          <w:kern w:val="2"/>
          <w:highlight w:val="none"/>
        </w:rPr>
        <w:t>本项目的合同为一年一签，第一年服务期满后，采购人对于成交供应商考核满意，则续签第二年合同，服务期限最多不超过三年。</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7. 线路及时间</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线路名称：；旅游团号：；</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时间：   晚   天，共    日，</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出发日期：      年   月    日，结束日期：    年    月    日。</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8. 人身意外伤害保险</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乙方提示甲方购买人身意外伤害保险。</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甲方同意委托乙方办理本次甲方投保的人身意外伤害保险，有关保险费已包含在合同总价中。</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保险产品名称：，保险人：    提示：此处应填写委托代办的乙方</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保险费：元/人；保险金额：万元/人</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9.甲方的权利</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 有权自主选择旅游产品和服务，有权拒绝乙方及其工作人员的强制交易行为。</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9.2 有权知悉其购买的旅游产品和服务的真实情况，有权要求乙方按照合同约定提供产品和服务。</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 甲方在人身、财产安全遇有危险时，有请求救助和保护的权利；当人身、财产受到侵害时，有依法获得赔偿的权利。</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9.4 在合法权益受到损害时，有权向旅游、工商等部门投诉或者要求乙方协助索赔。</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9.5 《中华人民共和国旅游法》、《中华人民共和国消费者权益保护法》和有关法律、法规赋予甲方的其他权利。</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10.甲方的义务</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10.1 如实告知与旅游活动相关的个人健康信息，确保身体健康状况适宜本次旅游；如实填写相关的个人信息，确保所持身份证在出游期间有效。</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10.2 甲方应当按照合同约定支付旅游费用。在接受相关组织、机构或者旅游经营者救助后，应当支付应由个人承担的费用。</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10.3 甲方不得擅自脱团，如有特殊情况需要暂时离团的，必须征得导游的书面同意。自行安排活动期间，应当在自己能够控制风险的范围内选择活动项目，并对自己的安全负责。行程中，应妥善保管自己的行李物品，现金、有价证券、贵重物品应随身携带。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10.4 遵守旅游活动中的安全警示规定，对国家应对重大突发事件暂时限制旅游活动的措施以及有关部门、机构或者旅游经营者采取的安全防范和应急处置措施，应当予以配合。甲方违反安全警示规定，或者对国家应对重大突发事件暂时限制旅游活动的措施、安全防范和应急处置措施不予配合的，依法承担相应责任。</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10.5 在旅游活动中或者在解决纠纷时，不得损害当地居民的合法权益，不得干扰他人的旅游活动，不得损害旅游经营者和旅游从业人员的合法权益。</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10.6 应当遵守社会公共秩序和社会公德，尊重当地的风俗习惯、文化传统和宗教信仰，爱护旅游资源，保护生态环境，遵守《中国公民境内旅游文明行为公约》。</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10.7 在合法权益受到损害要求乙方协助索赔时，提供合法有效的凭据。</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 乙方的权利</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核实甲方提供的相关信息资料，根据甲方的身体健康状况及相关条件决定是否接纳甲方报名参团。</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按照合同约定向甲方收取旅游费用。</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劝阻甲方违反法律、法规及社会公德的行为。如旅游团队遇突发事件或者旅游安全事故时，可以采取紧急避险措施。</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要求甲方遵守合同约定的旅游行程安排，拒绝甲方提出的超出合同约定的不合理要求。</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《中华人民共和国旅游法》和有关法律、法规赋予乙方的其他权利。</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11. 乙方的义务</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 投保乙方责任险，按照合同约定的内容及标准为甲方提供服务，不得擅自变更旅游行程安排。</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 应当在旅游行程开始前向甲方提供标有团号、出发日期的《旅游行程单》，并对如下内容作出明确的说明：</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（1）旅游行程的出发地、途经地和目的地；</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（2）交通、住宿、餐饮等旅游服务安排和标准；</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（3）游览、娱乐等项目的具体内容和时间；</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（4）自由活动时间安排；</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（5）旅游目的地接待乙方的名称、地址、联系人和联系电话。</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《旅游行程单》用语须准确清晰，在表明服务标准用语中不应当出现“豪华”、“仅供参考”、“以××为准”等不确定性用语。</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 乙方未与甲方协商一致或者未经甲方要求，指定购物场所、安排甲方参加另行付费项目，以及乙方的导游、领队强迫或者变相强迫甲方购物、参加另行付费项目的，甲方有权拒绝，也可以在旅游行程结束后30日内，要求乙方为其办理退货并先行垫付退货货款、退还另行付费旅游项目的费用。</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 向甲方提供的旅游服务信息必须真实、准确，不得作虚假宣传，误导甲方。对甲方的个人信息，应当予以保密。</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 所提供的服务应当符合保障甲方人身、财产安全的要求。对可能危及甲方人身、财产安全的事项和须注意的问题，向甲方做出真实的说明和明确的警示，并采取合理必要措施防止危害发生。</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 突发事件或者旅游安全事故发生后，乙方应当立即采取必要的救助和处置措施，依法履行报告义务，并对甲方作出妥善安排。</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11.7 为旅游团队安排符合相关规定的持证导游人员。乙方及其从业人员在组织、接待甲方过程中，不得安排参观或者参与违反我国法律、法规和社会公德的项目或者活动。</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12. 违约责任</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 乙方在出发前7日以内（含第7日，下同）提出解除合同的，向甲方退还全额旅游费用，并按下列标准向甲方支付违约金：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出发前7日至4日，支付旅游费用总额10%的违约金；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出发前3日至1日，支付旅游费用总额15%的违约金；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出发当日，支付旅游费用总额20%的违约金。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乙方应当在取消出团通知到达日起5个工作日内，向甲方退还全额旅游费用并支付上述违约金。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 乙方安排的旅游活动及服务档次与合同约定不符，造成甲方经济损失的，乙方应退还旅游者合同金额与实际花费的差额，并支付同额违约金。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12.3 擅自缩短游览时间、遗漏旅游景点、减少旅游服务项目的，乙方应赔偿未完成约定旅游服务项目等合理费用，并支付同额违约金。遗漏无门票景点的，每遗漏一处乙方向旅游者支付旅游费用总额5%的违约金。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12.4 乙方不履行包价旅游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12.5 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12.6 与甲方发生纠纷时，乙方应当积极采取措施防止损失扩大，否则应当就扩大的损失承担责任。</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13. 争议的解决方式</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本合同在履行过程中发生争议的，由双方协商解决，也可向有管辖权的旅游质监执法机构、消费者协会等有关部门或者机构申请调解，也可向甲方所在地的人民法院起诉。</w:t>
      </w:r>
    </w:p>
    <w:p>
      <w:pPr>
        <w:tabs>
          <w:tab w:val="left" w:pos="540"/>
        </w:tabs>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14. </w:t>
      </w:r>
      <w:r>
        <w:rPr>
          <w:rFonts w:hint="eastAsia" w:ascii="宋体" w:hAnsi="宋体" w:cs="宋体"/>
          <w:color w:val="auto"/>
          <w:sz w:val="24"/>
          <w:highlight w:val="none"/>
        </w:rPr>
        <w:t>转让和分包：未经甲方事先书面同意，乙方不得部分转让或全部转让其应履行的合同义务。</w:t>
      </w:r>
    </w:p>
    <w:p>
      <w:pPr>
        <w:tabs>
          <w:tab w:val="left" w:pos="540"/>
        </w:tabs>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 xml:space="preserve">15. </w:t>
      </w:r>
      <w:r>
        <w:rPr>
          <w:rFonts w:hint="eastAsia" w:ascii="宋体" w:hAnsi="宋体" w:cs="宋体"/>
          <w:color w:val="auto"/>
          <w:sz w:val="24"/>
          <w:highlight w:val="none"/>
        </w:rPr>
        <w:t>磋商文件（编号：       ）、响应文件及采购过程中形成的文字资料、询标纪要均作为本合同的组成部分，具有同等效力。</w:t>
      </w:r>
    </w:p>
    <w:p>
      <w:pPr>
        <w:tabs>
          <w:tab w:val="left" w:pos="54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16.合同生效及其它</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16.1合同经双方法定代表人或授权代表签字并加盖单位公章后生效。</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16.2本合同未尽事宜，遵照《合同法》有关条文执行。</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16.3本合同正本一式肆份，具有同等法律效力，甲乙双方各执贰份。</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甲方（盖章）：                            乙方（盖章）：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法定代表人                                法定代表人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或受委托人（签字）：                      或受委托人（签字）：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联系人：</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地址：                                    地址：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电话：                                    电话：</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传真：</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账号：                                    账号：</w:t>
      </w:r>
    </w:p>
    <w:p>
      <w:pPr>
        <w:spacing w:line="360" w:lineRule="auto"/>
        <w:ind w:firstLine="360" w:firstLineChars="150"/>
        <w:rPr>
          <w:rFonts w:ascii="宋体" w:hAnsi="宋体"/>
          <w:color w:val="auto"/>
          <w:kern w:val="0"/>
          <w:sz w:val="32"/>
          <w:szCs w:val="32"/>
          <w:highlight w:val="none"/>
        </w:rPr>
      </w:pPr>
      <w:r>
        <w:rPr>
          <w:rFonts w:hint="eastAsia" w:ascii="宋体" w:hAnsi="宋体" w:cs="宋体"/>
          <w:color w:val="auto"/>
          <w:sz w:val="24"/>
          <w:highlight w:val="none"/>
        </w:rPr>
        <w:t>合同签订日期：</w:t>
      </w:r>
    </w:p>
    <w:p>
      <w:pPr>
        <w:jc w:val="center"/>
        <w:rPr>
          <w:rFonts w:ascii="宋体" w:hAnsi="宋体" w:cs="宋体"/>
          <w:b/>
          <w:bCs/>
          <w:color w:val="auto"/>
          <w:sz w:val="32"/>
          <w:szCs w:val="32"/>
          <w:highlight w:val="none"/>
        </w:rPr>
      </w:pPr>
    </w:p>
    <w:bookmarkEnd w:id="35"/>
    <w:p>
      <w:pPr>
        <w:bidi w:val="0"/>
        <w:rPr>
          <w:color w:val="auto"/>
          <w:highlight w:val="none"/>
        </w:rPr>
      </w:pPr>
      <w:bookmarkStart w:id="37" w:name="_Toc7470"/>
      <w:r>
        <w:rPr>
          <w:color w:val="auto"/>
          <w:highlight w:val="none"/>
        </w:rPr>
        <w:br w:type="page"/>
      </w:r>
    </w:p>
    <w:p>
      <w:pPr>
        <w:pStyle w:val="21"/>
        <w:spacing w:line="420" w:lineRule="exact"/>
        <w:jc w:val="center"/>
        <w:outlineLvl w:val="0"/>
        <w:rPr>
          <w:rFonts w:hint="default" w:hAnsi="宋体" w:cs="宋体"/>
          <w:b/>
          <w:color w:val="auto"/>
          <w:sz w:val="32"/>
          <w:szCs w:val="32"/>
          <w:highlight w:val="none"/>
        </w:rPr>
      </w:pPr>
      <w:bookmarkStart w:id="38" w:name="_Toc25439"/>
      <w:r>
        <w:rPr>
          <w:rFonts w:hAnsi="宋体" w:cs="宋体"/>
          <w:b/>
          <w:color w:val="auto"/>
          <w:sz w:val="32"/>
          <w:szCs w:val="32"/>
          <w:highlight w:val="none"/>
        </w:rPr>
        <w:t>第</w:t>
      </w:r>
      <w:r>
        <w:rPr>
          <w:rFonts w:hint="eastAsia" w:hAnsi="宋体" w:cs="宋体"/>
          <w:b/>
          <w:color w:val="auto"/>
          <w:sz w:val="32"/>
          <w:szCs w:val="32"/>
          <w:highlight w:val="none"/>
          <w:lang w:val="en-US" w:eastAsia="zh-CN"/>
        </w:rPr>
        <w:t>五</w:t>
      </w:r>
      <w:r>
        <w:rPr>
          <w:rFonts w:hAnsi="宋体" w:cs="宋体"/>
          <w:b/>
          <w:color w:val="auto"/>
          <w:sz w:val="32"/>
          <w:szCs w:val="32"/>
          <w:highlight w:val="none"/>
        </w:rPr>
        <w:t>部分 评标细则</w:t>
      </w:r>
      <w:bookmarkEnd w:id="37"/>
      <w:bookmarkEnd w:id="38"/>
    </w:p>
    <w:p>
      <w:pPr>
        <w:adjustRightInd w:val="0"/>
        <w:snapToGrid w:val="0"/>
        <w:spacing w:line="360" w:lineRule="auto"/>
        <w:ind w:firstLine="482" w:firstLineChars="200"/>
        <w:rPr>
          <w:rFonts w:ascii="宋体" w:hAnsi="宋体" w:cs="宋体"/>
          <w:b/>
          <w:color w:val="auto"/>
          <w:sz w:val="24"/>
          <w:highlight w:val="none"/>
        </w:rPr>
      </w:pPr>
    </w:p>
    <w:p>
      <w:pPr>
        <w:adjustRightInd w:val="0"/>
        <w:snapToGrid w:val="0"/>
        <w:spacing w:line="360" w:lineRule="auto"/>
        <w:ind w:firstLine="480" w:firstLineChars="200"/>
        <w:rPr>
          <w:rFonts w:ascii="宋体" w:hAnsi="宋体" w:cs="宋体"/>
          <w:color w:val="auto"/>
          <w:sz w:val="24"/>
          <w:highlight w:val="none"/>
        </w:rPr>
      </w:pPr>
      <w:bookmarkStart w:id="39" w:name="_Toc29995"/>
      <w:r>
        <w:rPr>
          <w:rFonts w:hint="eastAsia" w:ascii="宋体" w:hAnsi="宋体" w:cs="宋体"/>
          <w:color w:val="auto"/>
          <w:sz w:val="24"/>
          <w:highlight w:val="none"/>
        </w:rPr>
        <w:t>经磋商确定最终采购需求和提交最后报价的供应商后，由磋商小组采用综合评分法对提交最后报价的供应商的响应文件和最后报价进行综合评分。</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综合评分法，是指响应文件满足磋商文件全部实质性要求且按评审因素的量化指标评审得分最高的供应商为成交候选供应商的评审方法。</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磋商文件中没有规定的评审标准不得作为评审依据。</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评标委员会应根据评标细则的规定和内容进行详细评审，其中：</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1）商务技术部分：由磋商小组负责，采用记名方式各自独立评分，此项评分为全部有效评分的算术平均值。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2）报价部分：评分由磋商小组会对供应商报价文件及最终报价进行仔细查阅、分析与计算，并指定专人进行检查复核。</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以上评分保留小数2位，供应商的综合得分为以上两部分得分的总和。</w:t>
      </w:r>
    </w:p>
    <w:p>
      <w:pPr>
        <w:numPr>
          <w:ilvl w:val="0"/>
          <w:numId w:val="9"/>
        </w:num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商务技术部分（90分）</w:t>
      </w:r>
    </w:p>
    <w:tbl>
      <w:tblPr>
        <w:tblStyle w:val="35"/>
        <w:tblW w:w="10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993"/>
        <w:gridCol w:w="1700"/>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57" w:hRule="atLeast"/>
          <w:jc w:val="center"/>
        </w:trPr>
        <w:tc>
          <w:tcPr>
            <w:tcW w:w="993" w:type="dxa"/>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分类</w:t>
            </w:r>
          </w:p>
        </w:tc>
        <w:tc>
          <w:tcPr>
            <w:tcW w:w="9355" w:type="dxa"/>
            <w:gridSpan w:val="2"/>
            <w:vAlign w:val="center"/>
          </w:tcPr>
          <w:p>
            <w:pPr>
              <w:spacing w:line="380" w:lineRule="exact"/>
              <w:jc w:val="center"/>
              <w:rPr>
                <w:rFonts w:ascii="宋体" w:hAnsi="宋体"/>
                <w:b/>
                <w:color w:val="auto"/>
                <w:sz w:val="24"/>
                <w:highlight w:val="none"/>
              </w:rPr>
            </w:pPr>
            <w:r>
              <w:rPr>
                <w:rFonts w:hint="eastAsia" w:ascii="宋体" w:hAnsi="宋体"/>
                <w:b/>
                <w:color w:val="auto"/>
                <w:sz w:val="24"/>
                <w:highlight w:val="none"/>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38" w:hRule="atLeast"/>
          <w:jc w:val="center"/>
        </w:trPr>
        <w:tc>
          <w:tcPr>
            <w:tcW w:w="993" w:type="dxa"/>
            <w:vMerge w:val="restart"/>
            <w:vAlign w:val="center"/>
          </w:tcPr>
          <w:p>
            <w:pPr>
              <w:spacing w:line="380" w:lineRule="exact"/>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商务分(</w:t>
            </w:r>
            <w:r>
              <w:rPr>
                <w:rFonts w:hint="eastAsia" w:ascii="宋体" w:hAnsi="宋体" w:cs="仿宋_GB2312"/>
                <w:color w:val="auto"/>
                <w:sz w:val="24"/>
                <w:highlight w:val="none"/>
              </w:rPr>
              <w:t>20</w:t>
            </w:r>
            <w:r>
              <w:rPr>
                <w:rFonts w:hint="eastAsia" w:ascii="宋体" w:hAnsi="宋体" w:cs="仿宋_GB2312"/>
                <w:color w:val="auto"/>
                <w:sz w:val="24"/>
                <w:highlight w:val="none"/>
                <w:lang w:val="zh-CN"/>
              </w:rPr>
              <w:t>分)</w:t>
            </w:r>
          </w:p>
        </w:tc>
        <w:tc>
          <w:tcPr>
            <w:tcW w:w="9355" w:type="dxa"/>
            <w:gridSpan w:val="2"/>
            <w:vAlign w:val="center"/>
          </w:tcPr>
          <w:p>
            <w:pPr>
              <w:numPr>
                <w:ilvl w:val="255"/>
                <w:numId w:val="0"/>
              </w:numPr>
              <w:jc w:val="left"/>
              <w:rPr>
                <w:rFonts w:ascii="宋体" w:hAnsi="宋体"/>
                <w:color w:val="auto"/>
                <w:sz w:val="24"/>
                <w:highlight w:val="none"/>
              </w:rPr>
            </w:pPr>
            <w:r>
              <w:rPr>
                <w:rFonts w:hint="eastAsia" w:ascii="宋体" w:hAnsi="宋体" w:cs="仿宋_GB2312"/>
                <w:color w:val="auto"/>
                <w:sz w:val="24"/>
                <w:highlight w:val="none"/>
                <w:lang w:val="zh-CN"/>
              </w:rPr>
              <w:t>投标人</w:t>
            </w:r>
            <w:r>
              <w:rPr>
                <w:rFonts w:hint="eastAsia" w:ascii="宋体" w:hAnsi="宋体"/>
                <w:color w:val="auto"/>
                <w:sz w:val="24"/>
                <w:highlight w:val="none"/>
              </w:rPr>
              <w:t>综合经营实力：具有旅行社星级服务标准，五星级得6分，四星级得4分，其余不得分。（6分）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38" w:hRule="atLeast"/>
          <w:jc w:val="center"/>
        </w:trPr>
        <w:tc>
          <w:tcPr>
            <w:tcW w:w="993" w:type="dxa"/>
            <w:vMerge w:val="continue"/>
            <w:vAlign w:val="center"/>
          </w:tcPr>
          <w:p>
            <w:pPr>
              <w:spacing w:line="380" w:lineRule="exact"/>
              <w:jc w:val="center"/>
              <w:rPr>
                <w:rFonts w:ascii="宋体" w:hAnsi="宋体"/>
                <w:color w:val="auto"/>
                <w:sz w:val="24"/>
                <w:highlight w:val="none"/>
              </w:rPr>
            </w:pPr>
          </w:p>
        </w:tc>
        <w:tc>
          <w:tcPr>
            <w:tcW w:w="9355" w:type="dxa"/>
            <w:gridSpan w:val="2"/>
            <w:vAlign w:val="center"/>
          </w:tcPr>
          <w:p>
            <w:pPr>
              <w:numPr>
                <w:ilvl w:val="255"/>
                <w:numId w:val="0"/>
              </w:numPr>
              <w:spacing w:line="380" w:lineRule="exact"/>
              <w:jc w:val="left"/>
              <w:rPr>
                <w:rFonts w:ascii="宋体" w:hAnsi="宋体"/>
                <w:color w:val="auto"/>
                <w:sz w:val="24"/>
                <w:highlight w:val="none"/>
              </w:rPr>
            </w:pPr>
            <w:r>
              <w:rPr>
                <w:rFonts w:hint="eastAsia" w:ascii="宋体" w:hAnsi="宋体"/>
                <w:color w:val="auto"/>
                <w:sz w:val="24"/>
                <w:highlight w:val="none"/>
              </w:rPr>
              <w:t>管理制度、人员配备情况，</w:t>
            </w:r>
            <w:r>
              <w:rPr>
                <w:rFonts w:hint="eastAsia" w:ascii="宋体" w:hAnsi="宋体"/>
                <w:color w:val="auto"/>
                <w:sz w:val="24"/>
                <w:highlight w:val="none"/>
                <w:lang w:val="zh-CN"/>
              </w:rPr>
              <w:t>由评标委员会</w:t>
            </w:r>
            <w:r>
              <w:rPr>
                <w:rFonts w:hint="eastAsia" w:ascii="宋体" w:hAnsi="宋体"/>
                <w:color w:val="auto"/>
                <w:sz w:val="24"/>
                <w:highlight w:val="none"/>
              </w:rPr>
              <w:t>酌情</w:t>
            </w:r>
            <w:r>
              <w:rPr>
                <w:rFonts w:hint="eastAsia" w:ascii="宋体" w:hAnsi="宋体"/>
                <w:color w:val="auto"/>
                <w:sz w:val="24"/>
                <w:highlight w:val="none"/>
                <w:lang w:val="zh-CN"/>
              </w:rPr>
              <w:t>打分</w:t>
            </w:r>
            <w:r>
              <w:rPr>
                <w:rFonts w:hint="eastAsia" w:ascii="宋体" w:hAnsi="宋体"/>
                <w:color w:val="auto"/>
                <w:sz w:val="24"/>
                <w:highlight w:val="none"/>
              </w:rPr>
              <w:t>。</w:t>
            </w:r>
            <w:r>
              <w:rPr>
                <w:rFonts w:hint="eastAsia" w:ascii="宋体" w:hAnsi="宋体" w:cs="仿宋_GB2312"/>
                <w:color w:val="auto"/>
                <w:sz w:val="24"/>
                <w:highlight w:val="none"/>
              </w:rPr>
              <w:t>（2</w:t>
            </w:r>
            <w:r>
              <w:rPr>
                <w:rFonts w:hint="eastAsia" w:ascii="宋体" w:hAnsi="宋体" w:cs="仿宋_GB2312"/>
                <w:color w:val="auto"/>
                <w:sz w:val="24"/>
                <w:highlight w:val="none"/>
                <w:lang w:val="zh-CN"/>
              </w:rPr>
              <w:t>分</w:t>
            </w:r>
            <w:r>
              <w:rPr>
                <w:rFonts w:hint="eastAsia" w:ascii="宋体" w:hAnsi="宋体" w:cs="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993" w:type="dxa"/>
            <w:vMerge w:val="continue"/>
            <w:vAlign w:val="center"/>
          </w:tcPr>
          <w:p>
            <w:pPr>
              <w:spacing w:line="380" w:lineRule="exact"/>
              <w:jc w:val="center"/>
              <w:rPr>
                <w:rFonts w:ascii="宋体" w:hAnsi="宋体"/>
                <w:color w:val="auto"/>
                <w:sz w:val="24"/>
                <w:highlight w:val="none"/>
              </w:rPr>
            </w:pPr>
          </w:p>
        </w:tc>
        <w:tc>
          <w:tcPr>
            <w:tcW w:w="9355" w:type="dxa"/>
            <w:gridSpan w:val="2"/>
            <w:tcBorders>
              <w:bottom w:val="single" w:color="auto" w:sz="4" w:space="0"/>
            </w:tcBorders>
            <w:vAlign w:val="center"/>
          </w:tcPr>
          <w:p>
            <w:pPr>
              <w:spacing w:line="380" w:lineRule="exact"/>
              <w:jc w:val="left"/>
              <w:rPr>
                <w:rFonts w:ascii="宋体" w:hAnsi="宋体" w:cs="仿宋_GB2312"/>
                <w:color w:val="auto"/>
                <w:sz w:val="24"/>
                <w:highlight w:val="none"/>
                <w:lang w:val="zh-CN"/>
              </w:rPr>
            </w:pPr>
            <w:r>
              <w:rPr>
                <w:rFonts w:hint="eastAsia" w:ascii="宋体" w:hAnsi="宋体" w:cs="仿宋_GB2312"/>
                <w:color w:val="auto"/>
                <w:sz w:val="24"/>
                <w:highlight w:val="none"/>
                <w:lang w:val="zh-CN"/>
              </w:rPr>
              <w:t>201</w:t>
            </w:r>
            <w:r>
              <w:rPr>
                <w:rFonts w:hint="eastAsia" w:ascii="宋体" w:hAnsi="宋体" w:cs="仿宋_GB2312"/>
                <w:color w:val="auto"/>
                <w:sz w:val="24"/>
                <w:highlight w:val="none"/>
              </w:rPr>
              <w:t>8</w:t>
            </w:r>
            <w:r>
              <w:rPr>
                <w:rFonts w:hint="eastAsia" w:ascii="宋体" w:hAnsi="宋体" w:cs="仿宋_GB2312"/>
                <w:color w:val="auto"/>
                <w:sz w:val="24"/>
                <w:highlight w:val="none"/>
                <w:lang w:val="zh-CN"/>
              </w:rPr>
              <w:t>年</w:t>
            </w:r>
            <w:r>
              <w:rPr>
                <w:rFonts w:hint="eastAsia" w:ascii="宋体" w:hAnsi="宋体" w:cs="仿宋_GB2312"/>
                <w:color w:val="auto"/>
                <w:sz w:val="24"/>
                <w:highlight w:val="none"/>
              </w:rPr>
              <w:t>1月1日</w:t>
            </w:r>
            <w:r>
              <w:rPr>
                <w:rFonts w:hint="eastAsia" w:ascii="宋体" w:hAnsi="宋体" w:cs="仿宋_GB2312"/>
                <w:color w:val="auto"/>
                <w:sz w:val="24"/>
                <w:highlight w:val="none"/>
                <w:lang w:val="zh-CN"/>
              </w:rPr>
              <w:t>(含)</w:t>
            </w:r>
            <w:r>
              <w:rPr>
                <w:rFonts w:hint="eastAsia" w:ascii="宋体" w:hAnsi="宋体"/>
                <w:color w:val="auto"/>
                <w:sz w:val="24"/>
                <w:highlight w:val="none"/>
              </w:rPr>
              <w:t>以来投标人承担类似疗休养</w:t>
            </w:r>
            <w:r>
              <w:rPr>
                <w:rFonts w:hint="eastAsia" w:ascii="宋体" w:hAnsi="宋体" w:cs="仿宋_GB2312"/>
                <w:color w:val="auto"/>
                <w:sz w:val="24"/>
                <w:highlight w:val="none"/>
                <w:lang w:val="zh-CN"/>
              </w:rPr>
              <w:t>：每提供一个合同得</w:t>
            </w:r>
            <w:r>
              <w:rPr>
                <w:rFonts w:hint="eastAsia" w:ascii="宋体" w:hAnsi="宋体" w:cs="仿宋_GB2312"/>
                <w:color w:val="auto"/>
                <w:sz w:val="24"/>
                <w:highlight w:val="none"/>
              </w:rPr>
              <w:t>2</w:t>
            </w:r>
            <w:r>
              <w:rPr>
                <w:rFonts w:hint="eastAsia" w:ascii="宋体" w:hAnsi="宋体" w:cs="仿宋_GB2312"/>
                <w:color w:val="auto"/>
                <w:sz w:val="24"/>
                <w:highlight w:val="none"/>
                <w:lang w:val="zh-CN"/>
              </w:rPr>
              <w:t>分，最高</w:t>
            </w:r>
            <w:r>
              <w:rPr>
                <w:rFonts w:hint="eastAsia" w:ascii="宋体" w:hAnsi="宋体" w:cs="仿宋_GB2312"/>
                <w:color w:val="auto"/>
                <w:sz w:val="24"/>
                <w:highlight w:val="none"/>
              </w:rPr>
              <w:t>12</w:t>
            </w:r>
            <w:r>
              <w:rPr>
                <w:rFonts w:hint="eastAsia" w:ascii="宋体" w:hAnsi="宋体" w:cs="仿宋_GB2312"/>
                <w:color w:val="auto"/>
                <w:sz w:val="24"/>
                <w:highlight w:val="none"/>
                <w:lang w:val="zh-CN"/>
              </w:rPr>
              <w:t>分。（</w:t>
            </w:r>
            <w:r>
              <w:rPr>
                <w:rFonts w:hint="eastAsia" w:ascii="宋体" w:hAnsi="宋体" w:cs="仿宋_GB2312"/>
                <w:color w:val="auto"/>
                <w:sz w:val="24"/>
                <w:highlight w:val="none"/>
              </w:rPr>
              <w:t>12分</w:t>
            </w:r>
            <w:r>
              <w:rPr>
                <w:rFonts w:hint="eastAsia" w:ascii="宋体" w:hAnsi="宋体" w:cs="仿宋_GB2312"/>
                <w:color w:val="auto"/>
                <w:sz w:val="24"/>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jc w:val="center"/>
        </w:trPr>
        <w:tc>
          <w:tcPr>
            <w:tcW w:w="993" w:type="dxa"/>
            <w:vMerge w:val="restart"/>
            <w:tcBorders>
              <w:right w:val="single" w:color="auto" w:sz="4" w:space="0"/>
            </w:tcBorders>
            <w:vAlign w:val="center"/>
          </w:tcPr>
          <w:p>
            <w:pPr>
              <w:spacing w:line="380" w:lineRule="exact"/>
              <w:jc w:val="center"/>
              <w:rPr>
                <w:rFonts w:ascii="宋体" w:hAnsi="宋体"/>
                <w:color w:val="auto"/>
                <w:sz w:val="24"/>
                <w:highlight w:val="none"/>
              </w:rPr>
            </w:pPr>
            <w:r>
              <w:rPr>
                <w:rFonts w:hint="eastAsia" w:ascii="宋体" w:hAnsi="宋体" w:cs="仿宋_GB2312"/>
                <w:color w:val="auto"/>
                <w:sz w:val="24"/>
                <w:highlight w:val="none"/>
                <w:lang w:val="zh-CN"/>
              </w:rPr>
              <w:t>技术分(</w:t>
            </w:r>
            <w:r>
              <w:rPr>
                <w:rFonts w:ascii="宋体" w:hAnsi="宋体" w:cs="仿宋_GB2312"/>
                <w:color w:val="auto"/>
                <w:sz w:val="24"/>
                <w:highlight w:val="none"/>
                <w:lang w:val="zh-CN"/>
              </w:rPr>
              <w:t>7</w:t>
            </w:r>
            <w:r>
              <w:rPr>
                <w:rFonts w:hint="eastAsia" w:ascii="宋体" w:hAnsi="宋体" w:cs="仿宋_GB2312"/>
                <w:color w:val="auto"/>
                <w:sz w:val="24"/>
                <w:highlight w:val="none"/>
              </w:rPr>
              <w:t>0</w:t>
            </w:r>
            <w:r>
              <w:rPr>
                <w:rFonts w:hint="eastAsia" w:ascii="宋体" w:hAnsi="宋体" w:cs="仿宋_GB2312"/>
                <w:color w:val="auto"/>
                <w:sz w:val="24"/>
                <w:highlight w:val="none"/>
                <w:lang w:val="zh-CN"/>
              </w:rPr>
              <w:t>分)</w:t>
            </w:r>
          </w:p>
        </w:tc>
        <w:tc>
          <w:tcPr>
            <w:tcW w:w="1700" w:type="dxa"/>
            <w:vMerge w:val="restart"/>
            <w:tcBorders>
              <w:left w:val="single" w:color="auto" w:sz="4" w:space="0"/>
              <w:right w:val="single" w:color="auto" w:sz="4" w:space="0"/>
            </w:tcBorders>
            <w:vAlign w:val="center"/>
          </w:tcPr>
          <w:p>
            <w:pPr>
              <w:spacing w:line="380" w:lineRule="exact"/>
              <w:jc w:val="center"/>
              <w:rPr>
                <w:rFonts w:ascii="宋体" w:hAnsi="宋体" w:cs="仿宋_GB2312"/>
                <w:color w:val="auto"/>
                <w:sz w:val="24"/>
                <w:highlight w:val="none"/>
                <w:lang w:val="zh-CN"/>
              </w:rPr>
            </w:pPr>
            <w:r>
              <w:rPr>
                <w:rFonts w:hint="eastAsia" w:ascii="宋体" w:hAnsi="宋体"/>
                <w:color w:val="auto"/>
                <w:sz w:val="24"/>
                <w:highlight w:val="none"/>
                <w:lang w:val="zh-CN"/>
              </w:rPr>
              <w:t>疗休养活动策划方案</w:t>
            </w:r>
          </w:p>
          <w:p>
            <w:pPr>
              <w:spacing w:line="380" w:lineRule="exact"/>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w:t>
            </w:r>
            <w:r>
              <w:rPr>
                <w:rFonts w:hint="eastAsia" w:ascii="宋体" w:hAnsi="宋体" w:cs="仿宋_GB2312"/>
                <w:color w:val="auto"/>
                <w:sz w:val="24"/>
                <w:highlight w:val="none"/>
              </w:rPr>
              <w:t>45</w:t>
            </w:r>
            <w:r>
              <w:rPr>
                <w:rFonts w:hint="eastAsia" w:ascii="宋体" w:hAnsi="宋体" w:cs="仿宋_GB2312"/>
                <w:color w:val="auto"/>
                <w:sz w:val="24"/>
                <w:highlight w:val="none"/>
                <w:lang w:val="zh-CN"/>
              </w:rPr>
              <w:t>分)</w:t>
            </w:r>
          </w:p>
        </w:tc>
        <w:tc>
          <w:tcPr>
            <w:tcW w:w="7655" w:type="dxa"/>
            <w:tcBorders>
              <w:left w:val="single" w:color="auto" w:sz="4" w:space="0"/>
            </w:tcBorders>
            <w:vAlign w:val="center"/>
          </w:tcPr>
          <w:p>
            <w:pPr>
              <w:numPr>
                <w:ilvl w:val="255"/>
                <w:numId w:val="0"/>
              </w:numPr>
              <w:spacing w:line="380" w:lineRule="exact"/>
              <w:jc w:val="left"/>
              <w:rPr>
                <w:rFonts w:ascii="宋体" w:hAnsi="宋体"/>
                <w:color w:val="auto"/>
                <w:sz w:val="24"/>
                <w:highlight w:val="none"/>
                <w:lang w:val="zh-CN"/>
              </w:rPr>
            </w:pPr>
            <w:r>
              <w:rPr>
                <w:rFonts w:hint="eastAsia" w:ascii="宋体" w:hAnsi="宋体"/>
                <w:color w:val="auto"/>
                <w:sz w:val="24"/>
                <w:highlight w:val="none"/>
                <w:lang w:val="zh-CN"/>
              </w:rPr>
              <w:t>餐饮安排合理，与需求吻合程度高，由评标委员会</w:t>
            </w:r>
            <w:r>
              <w:rPr>
                <w:rFonts w:hint="eastAsia" w:ascii="宋体" w:hAnsi="宋体"/>
                <w:color w:val="auto"/>
                <w:sz w:val="24"/>
                <w:highlight w:val="none"/>
              </w:rPr>
              <w:t>酌情</w:t>
            </w:r>
            <w:r>
              <w:rPr>
                <w:rFonts w:hint="eastAsia" w:ascii="宋体" w:hAnsi="宋体"/>
                <w:color w:val="auto"/>
                <w:sz w:val="24"/>
                <w:highlight w:val="none"/>
                <w:lang w:val="zh-CN"/>
              </w:rPr>
              <w:t>打分</w:t>
            </w:r>
            <w:r>
              <w:rPr>
                <w:rFonts w:hint="eastAsia" w:ascii="宋体" w:hAnsi="宋体"/>
                <w:color w:val="auto"/>
                <w:sz w:val="24"/>
                <w:highlight w:val="none"/>
              </w:rPr>
              <w:t>。</w:t>
            </w:r>
            <w:r>
              <w:rPr>
                <w:rFonts w:hint="eastAsia" w:ascii="宋体" w:hAnsi="宋体"/>
                <w:color w:val="auto"/>
                <w:sz w:val="24"/>
                <w:highlight w:val="none"/>
                <w:lang w:val="zh-CN"/>
              </w:rPr>
              <w:t>（</w:t>
            </w:r>
            <w:r>
              <w:rPr>
                <w:rFonts w:hint="eastAsia" w:ascii="宋体" w:hAnsi="宋体"/>
                <w:color w:val="auto"/>
                <w:sz w:val="24"/>
                <w:highlight w:val="none"/>
              </w:rPr>
              <w:t>15</w:t>
            </w:r>
            <w:r>
              <w:rPr>
                <w:rFonts w:hint="eastAsia" w:ascii="宋体" w:hAnsi="宋体"/>
                <w:color w:val="auto"/>
                <w:sz w:val="24"/>
                <w:highlight w:val="none"/>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76" w:hRule="atLeast"/>
          <w:jc w:val="center"/>
        </w:trPr>
        <w:tc>
          <w:tcPr>
            <w:tcW w:w="993" w:type="dxa"/>
            <w:vMerge w:val="continue"/>
            <w:tcBorders>
              <w:right w:val="single" w:color="auto" w:sz="4" w:space="0"/>
            </w:tcBorders>
            <w:vAlign w:val="center"/>
          </w:tcPr>
          <w:p>
            <w:pPr>
              <w:spacing w:line="380" w:lineRule="exact"/>
              <w:jc w:val="center"/>
              <w:rPr>
                <w:rFonts w:ascii="宋体" w:hAnsi="宋体"/>
                <w:color w:val="auto"/>
                <w:sz w:val="24"/>
                <w:highlight w:val="none"/>
              </w:rPr>
            </w:pPr>
          </w:p>
        </w:tc>
        <w:tc>
          <w:tcPr>
            <w:tcW w:w="1700" w:type="dxa"/>
            <w:vMerge w:val="continue"/>
            <w:tcBorders>
              <w:left w:val="single" w:color="auto" w:sz="4" w:space="0"/>
              <w:right w:val="single" w:color="auto" w:sz="4" w:space="0"/>
            </w:tcBorders>
            <w:vAlign w:val="center"/>
          </w:tcPr>
          <w:p>
            <w:pPr>
              <w:spacing w:line="380" w:lineRule="exact"/>
              <w:jc w:val="center"/>
              <w:rPr>
                <w:rFonts w:ascii="宋体" w:hAnsi="宋体"/>
                <w:color w:val="auto"/>
                <w:sz w:val="24"/>
                <w:highlight w:val="none"/>
              </w:rPr>
            </w:pPr>
          </w:p>
        </w:tc>
        <w:tc>
          <w:tcPr>
            <w:tcW w:w="7655" w:type="dxa"/>
            <w:tcBorders>
              <w:left w:val="single" w:color="auto" w:sz="4" w:space="0"/>
            </w:tcBorders>
            <w:vAlign w:val="center"/>
          </w:tcPr>
          <w:p>
            <w:pPr>
              <w:numPr>
                <w:ilvl w:val="255"/>
                <w:numId w:val="0"/>
              </w:numPr>
              <w:spacing w:line="380" w:lineRule="exact"/>
              <w:jc w:val="left"/>
              <w:rPr>
                <w:rFonts w:ascii="宋体" w:hAnsi="宋体"/>
                <w:color w:val="auto"/>
                <w:sz w:val="24"/>
                <w:highlight w:val="none"/>
              </w:rPr>
            </w:pPr>
            <w:r>
              <w:rPr>
                <w:rFonts w:hint="eastAsia" w:ascii="宋体" w:hAnsi="宋体"/>
                <w:color w:val="auto"/>
                <w:sz w:val="24"/>
                <w:highlight w:val="none"/>
                <w:lang w:val="zh-CN"/>
              </w:rPr>
              <w:t>游</w:t>
            </w:r>
            <w:r>
              <w:rPr>
                <w:rFonts w:hint="eastAsia" w:ascii="宋体" w:hAnsi="宋体"/>
                <w:color w:val="auto"/>
                <w:sz w:val="24"/>
                <w:highlight w:val="none"/>
              </w:rPr>
              <w:t>览景点安排合理，突出疗养休假主题，景点与需求吻合程度高</w:t>
            </w:r>
            <w:r>
              <w:rPr>
                <w:rFonts w:hint="eastAsia" w:ascii="宋体" w:hAnsi="宋体"/>
                <w:color w:val="auto"/>
                <w:sz w:val="24"/>
                <w:highlight w:val="none"/>
                <w:lang w:val="zh-CN"/>
              </w:rPr>
              <w:t>，由评标委员会</w:t>
            </w:r>
            <w:r>
              <w:rPr>
                <w:rFonts w:hint="eastAsia" w:ascii="宋体" w:hAnsi="宋体"/>
                <w:color w:val="auto"/>
                <w:sz w:val="24"/>
                <w:highlight w:val="none"/>
              </w:rPr>
              <w:t>酌情</w:t>
            </w:r>
            <w:r>
              <w:rPr>
                <w:rFonts w:hint="eastAsia" w:ascii="宋体" w:hAnsi="宋体"/>
                <w:color w:val="auto"/>
                <w:sz w:val="24"/>
                <w:highlight w:val="none"/>
                <w:lang w:val="zh-CN"/>
              </w:rPr>
              <w:t>打分</w:t>
            </w:r>
            <w:r>
              <w:rPr>
                <w:rFonts w:hint="eastAsia" w:ascii="宋体" w:hAnsi="宋体"/>
                <w:color w:val="auto"/>
                <w:sz w:val="24"/>
                <w:highlight w:val="none"/>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21" w:hRule="atLeast"/>
          <w:jc w:val="center"/>
        </w:trPr>
        <w:tc>
          <w:tcPr>
            <w:tcW w:w="993" w:type="dxa"/>
            <w:vMerge w:val="continue"/>
            <w:tcBorders>
              <w:right w:val="single" w:color="auto" w:sz="4" w:space="0"/>
            </w:tcBorders>
            <w:vAlign w:val="center"/>
          </w:tcPr>
          <w:p>
            <w:pPr>
              <w:spacing w:line="380" w:lineRule="exact"/>
              <w:jc w:val="center"/>
              <w:rPr>
                <w:rFonts w:ascii="宋体" w:hAnsi="宋体"/>
                <w:color w:val="auto"/>
                <w:sz w:val="24"/>
                <w:highlight w:val="none"/>
              </w:rPr>
            </w:pPr>
          </w:p>
        </w:tc>
        <w:tc>
          <w:tcPr>
            <w:tcW w:w="1700" w:type="dxa"/>
            <w:vMerge w:val="continue"/>
            <w:tcBorders>
              <w:left w:val="single" w:color="auto" w:sz="4" w:space="0"/>
              <w:right w:val="single" w:color="auto" w:sz="4" w:space="0"/>
            </w:tcBorders>
            <w:vAlign w:val="center"/>
          </w:tcPr>
          <w:p>
            <w:pPr>
              <w:spacing w:line="380" w:lineRule="exact"/>
              <w:jc w:val="center"/>
              <w:rPr>
                <w:rFonts w:ascii="宋体" w:hAnsi="宋体"/>
                <w:color w:val="auto"/>
                <w:sz w:val="24"/>
                <w:highlight w:val="none"/>
              </w:rPr>
            </w:pPr>
          </w:p>
        </w:tc>
        <w:tc>
          <w:tcPr>
            <w:tcW w:w="7655" w:type="dxa"/>
            <w:tcBorders>
              <w:left w:val="single" w:color="auto" w:sz="4" w:space="0"/>
            </w:tcBorders>
            <w:vAlign w:val="center"/>
          </w:tcPr>
          <w:p>
            <w:pPr>
              <w:numPr>
                <w:ilvl w:val="255"/>
                <w:numId w:val="0"/>
              </w:numPr>
              <w:spacing w:line="380" w:lineRule="exact"/>
              <w:jc w:val="left"/>
              <w:rPr>
                <w:rFonts w:ascii="宋体" w:hAnsi="宋体"/>
                <w:color w:val="auto"/>
                <w:sz w:val="24"/>
                <w:highlight w:val="none"/>
              </w:rPr>
            </w:pPr>
            <w:r>
              <w:rPr>
                <w:rFonts w:hint="eastAsia" w:ascii="宋体" w:hAnsi="宋体"/>
                <w:color w:val="auto"/>
                <w:sz w:val="24"/>
                <w:highlight w:val="none"/>
                <w:lang w:val="zh-CN"/>
              </w:rPr>
              <w:t>安排住宿</w:t>
            </w:r>
            <w:r>
              <w:rPr>
                <w:rFonts w:hint="eastAsia" w:ascii="宋体" w:hAnsi="宋体"/>
                <w:color w:val="auto"/>
                <w:sz w:val="24"/>
                <w:highlight w:val="none"/>
              </w:rPr>
              <w:t>千岛湖镇的</w:t>
            </w:r>
            <w:r>
              <w:rPr>
                <w:rFonts w:hint="eastAsia" w:ascii="宋体" w:hAnsi="宋体"/>
                <w:color w:val="auto"/>
                <w:sz w:val="24"/>
                <w:highlight w:val="none"/>
                <w:lang w:val="zh-CN"/>
              </w:rPr>
              <w:t>酒店</w:t>
            </w:r>
            <w:r>
              <w:rPr>
                <w:rFonts w:hint="eastAsia" w:ascii="宋体" w:hAnsi="宋体"/>
                <w:color w:val="auto"/>
                <w:sz w:val="24"/>
                <w:highlight w:val="none"/>
              </w:rPr>
              <w:t>若为五星级酒店，得15分，若为四星级酒店湖景房，得10分，其余不得分。（15分）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35" w:hRule="atLeast"/>
          <w:jc w:val="center"/>
        </w:trPr>
        <w:tc>
          <w:tcPr>
            <w:tcW w:w="993" w:type="dxa"/>
            <w:vMerge w:val="continue"/>
            <w:tcBorders>
              <w:right w:val="single" w:color="auto" w:sz="4" w:space="0"/>
            </w:tcBorders>
            <w:vAlign w:val="center"/>
          </w:tcPr>
          <w:p>
            <w:pPr>
              <w:spacing w:line="380" w:lineRule="exact"/>
              <w:jc w:val="center"/>
              <w:rPr>
                <w:rFonts w:ascii="宋体" w:hAnsi="宋体"/>
                <w:color w:val="auto"/>
                <w:sz w:val="24"/>
                <w:highlight w:val="none"/>
              </w:rPr>
            </w:pPr>
          </w:p>
        </w:tc>
        <w:tc>
          <w:tcPr>
            <w:tcW w:w="1700" w:type="dxa"/>
            <w:tcBorders>
              <w:top w:val="single" w:color="auto" w:sz="4" w:space="0"/>
              <w:left w:val="single" w:color="auto" w:sz="4" w:space="0"/>
              <w:right w:val="single" w:color="auto" w:sz="4" w:space="0"/>
            </w:tcBorders>
            <w:vAlign w:val="center"/>
          </w:tcPr>
          <w:p>
            <w:pPr>
              <w:spacing w:line="380" w:lineRule="exact"/>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服务实施计划（5分）</w:t>
            </w:r>
          </w:p>
        </w:tc>
        <w:tc>
          <w:tcPr>
            <w:tcW w:w="7655" w:type="dxa"/>
            <w:tcBorders>
              <w:top w:val="single" w:color="auto" w:sz="4" w:space="0"/>
              <w:left w:val="single" w:color="auto" w:sz="4" w:space="0"/>
            </w:tcBorders>
            <w:vAlign w:val="center"/>
          </w:tcPr>
          <w:p>
            <w:pPr>
              <w:spacing w:line="380" w:lineRule="exact"/>
              <w:jc w:val="left"/>
              <w:rPr>
                <w:rFonts w:ascii="宋体" w:hAnsi="宋体"/>
                <w:color w:val="auto"/>
                <w:sz w:val="24"/>
                <w:highlight w:val="none"/>
                <w:lang w:val="zh-CN"/>
              </w:rPr>
            </w:pPr>
            <w:r>
              <w:rPr>
                <w:rFonts w:hint="eastAsia" w:ascii="宋体" w:hAnsi="宋体"/>
                <w:color w:val="auto"/>
                <w:sz w:val="24"/>
                <w:highlight w:val="none"/>
                <w:lang w:val="zh-CN"/>
              </w:rPr>
              <w:t>安全管理（应急预案应考虑医院与酒店的距离）的陈述是否到位，由评标委员会</w:t>
            </w:r>
            <w:r>
              <w:rPr>
                <w:rFonts w:hint="eastAsia" w:ascii="宋体" w:hAnsi="宋体"/>
                <w:color w:val="auto"/>
                <w:sz w:val="24"/>
                <w:highlight w:val="none"/>
              </w:rPr>
              <w:t>酌情</w:t>
            </w:r>
            <w:r>
              <w:rPr>
                <w:rFonts w:hint="eastAsia" w:ascii="宋体" w:hAnsi="宋体"/>
                <w:color w:val="auto"/>
                <w:sz w:val="24"/>
                <w:highlight w:val="none"/>
                <w:lang w:val="zh-CN"/>
              </w:rPr>
              <w:t>打分（</w:t>
            </w:r>
            <w:r>
              <w:rPr>
                <w:rFonts w:hint="eastAsia" w:ascii="宋体" w:hAnsi="宋体"/>
                <w:color w:val="auto"/>
                <w:sz w:val="24"/>
                <w:highlight w:val="none"/>
              </w:rPr>
              <w:t>5</w:t>
            </w:r>
            <w:r>
              <w:rPr>
                <w:rFonts w:hint="eastAsia" w:ascii="宋体" w:hAnsi="宋体"/>
                <w:color w:val="auto"/>
                <w:sz w:val="24"/>
                <w:highlight w:val="none"/>
                <w:lang w:val="zh-CN"/>
              </w:rPr>
              <w:t>分</w:t>
            </w:r>
            <w:r>
              <w:rPr>
                <w:rFonts w:ascii="宋体" w:hAnsi="宋体"/>
                <w:color w:val="auto"/>
                <w:sz w:val="24"/>
                <w:highlight w:val="none"/>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12" w:hRule="atLeast"/>
          <w:jc w:val="center"/>
        </w:trPr>
        <w:tc>
          <w:tcPr>
            <w:tcW w:w="993" w:type="dxa"/>
            <w:vMerge w:val="continue"/>
            <w:tcBorders>
              <w:right w:val="single" w:color="auto" w:sz="4" w:space="0"/>
            </w:tcBorders>
            <w:vAlign w:val="center"/>
          </w:tcPr>
          <w:p>
            <w:pPr>
              <w:spacing w:line="380" w:lineRule="exact"/>
              <w:jc w:val="center"/>
              <w:rPr>
                <w:rFonts w:ascii="宋体" w:hAnsi="宋体"/>
                <w:color w:val="auto"/>
                <w:sz w:val="24"/>
                <w:highlight w:val="none"/>
              </w:rPr>
            </w:pPr>
          </w:p>
        </w:tc>
        <w:tc>
          <w:tcPr>
            <w:tcW w:w="1700" w:type="dxa"/>
            <w:tcBorders>
              <w:left w:val="single" w:color="auto" w:sz="4" w:space="0"/>
              <w:right w:val="single" w:color="auto" w:sz="4" w:space="0"/>
            </w:tcBorders>
            <w:vAlign w:val="center"/>
          </w:tcPr>
          <w:p>
            <w:pPr>
              <w:spacing w:line="380" w:lineRule="exact"/>
              <w:jc w:val="center"/>
              <w:rPr>
                <w:rFonts w:ascii="宋体" w:hAnsi="宋体"/>
                <w:color w:val="auto"/>
                <w:sz w:val="24"/>
                <w:highlight w:val="none"/>
              </w:rPr>
            </w:pPr>
            <w:r>
              <w:rPr>
                <w:rFonts w:hint="eastAsia" w:ascii="宋体" w:hAnsi="宋体" w:cs="仿宋_GB2312"/>
                <w:color w:val="auto"/>
                <w:sz w:val="24"/>
                <w:highlight w:val="none"/>
                <w:lang w:val="zh-CN"/>
              </w:rPr>
              <w:t>其他 (</w:t>
            </w:r>
            <w:r>
              <w:rPr>
                <w:rFonts w:hint="eastAsia" w:ascii="宋体" w:hAnsi="宋体" w:cs="仿宋_GB2312"/>
                <w:color w:val="auto"/>
                <w:sz w:val="24"/>
                <w:highlight w:val="none"/>
              </w:rPr>
              <w:t>2</w:t>
            </w:r>
            <w:r>
              <w:rPr>
                <w:rFonts w:hint="eastAsia" w:ascii="宋体" w:hAnsi="宋体" w:cs="仿宋_GB2312"/>
                <w:color w:val="auto"/>
                <w:sz w:val="24"/>
                <w:highlight w:val="none"/>
                <w:lang w:val="zh-CN"/>
              </w:rPr>
              <w:t>0分)</w:t>
            </w:r>
          </w:p>
        </w:tc>
        <w:tc>
          <w:tcPr>
            <w:tcW w:w="7655" w:type="dxa"/>
            <w:tcBorders>
              <w:top w:val="single" w:color="auto" w:sz="4" w:space="0"/>
              <w:left w:val="single" w:color="auto" w:sz="4" w:space="0"/>
            </w:tcBorders>
            <w:vAlign w:val="center"/>
          </w:tcPr>
          <w:p>
            <w:pPr>
              <w:numPr>
                <w:ilvl w:val="255"/>
                <w:numId w:val="0"/>
              </w:numPr>
              <w:jc w:val="left"/>
              <w:rPr>
                <w:rFonts w:ascii="宋体" w:hAnsi="宋体"/>
                <w:color w:val="auto"/>
                <w:sz w:val="24"/>
                <w:highlight w:val="none"/>
                <w:lang w:val="zh-CN"/>
              </w:rPr>
            </w:pPr>
            <w:r>
              <w:rPr>
                <w:rFonts w:hint="eastAsia" w:ascii="宋体" w:hAnsi="宋体"/>
                <w:color w:val="auto"/>
                <w:sz w:val="24"/>
                <w:highlight w:val="none"/>
              </w:rPr>
              <w:t>增值服务，</w:t>
            </w:r>
            <w:r>
              <w:rPr>
                <w:rFonts w:hint="eastAsia" w:ascii="宋体" w:hAnsi="宋体"/>
                <w:color w:val="auto"/>
                <w:sz w:val="24"/>
                <w:highlight w:val="none"/>
                <w:lang w:val="zh-CN"/>
              </w:rPr>
              <w:t>由评标委员会</w:t>
            </w:r>
            <w:r>
              <w:rPr>
                <w:rFonts w:hint="eastAsia" w:ascii="宋体" w:hAnsi="宋体"/>
                <w:color w:val="auto"/>
                <w:sz w:val="24"/>
                <w:highlight w:val="none"/>
              </w:rPr>
              <w:t>酌情</w:t>
            </w:r>
            <w:r>
              <w:rPr>
                <w:rFonts w:hint="eastAsia" w:ascii="宋体" w:hAnsi="宋体"/>
                <w:color w:val="auto"/>
                <w:sz w:val="24"/>
                <w:highlight w:val="none"/>
                <w:lang w:val="zh-CN"/>
              </w:rPr>
              <w:t>打分。</w:t>
            </w:r>
            <w:r>
              <w:rPr>
                <w:rFonts w:hint="eastAsia" w:ascii="宋体" w:hAnsi="宋体"/>
                <w:color w:val="auto"/>
                <w:sz w:val="24"/>
                <w:highlight w:val="none"/>
              </w:rPr>
              <w:t>（20分）</w:t>
            </w:r>
          </w:p>
        </w:tc>
      </w:tr>
    </w:tbl>
    <w:p>
      <w:pPr>
        <w:pStyle w:val="2"/>
        <w:rPr>
          <w:rFonts w:ascii="宋体" w:hAnsi="宋体" w:eastAsia="宋体" w:cs="宋体"/>
          <w:b/>
          <w:bCs/>
          <w:color w:val="auto"/>
          <w:highlight w:val="none"/>
        </w:rPr>
      </w:pPr>
      <w:r>
        <w:rPr>
          <w:rFonts w:hint="eastAsia" w:ascii="宋体" w:hAnsi="宋体" w:eastAsia="宋体" w:cs="宋体"/>
          <w:b/>
          <w:bCs/>
          <w:color w:val="auto"/>
          <w:highlight w:val="none"/>
        </w:rPr>
        <w:t>注：以上各项需提供相关证明材料，复印件加盖公章。</w:t>
      </w:r>
    </w:p>
    <w:p>
      <w:pPr>
        <w:rPr>
          <w:rFonts w:ascii="宋体" w:hAnsi="宋体" w:cs="宋体"/>
          <w:vanish/>
          <w:color w:val="auto"/>
          <w:highlight w:val="none"/>
        </w:rPr>
      </w:pPr>
    </w:p>
    <w:p>
      <w:pPr>
        <w:spacing w:line="360" w:lineRule="auto"/>
        <w:ind w:right="-36" w:rightChars="-10" w:firstLine="472" w:firstLineChars="196"/>
        <w:rPr>
          <w:rFonts w:ascii="宋体" w:hAnsi="宋体" w:cs="宋体"/>
          <w:b/>
          <w:color w:val="auto"/>
          <w:sz w:val="24"/>
          <w:highlight w:val="none"/>
        </w:rPr>
      </w:pPr>
    </w:p>
    <w:p>
      <w:pPr>
        <w:spacing w:line="360" w:lineRule="auto"/>
        <w:ind w:right="-36" w:rightChars="-10" w:firstLine="472" w:firstLineChars="196"/>
        <w:rPr>
          <w:rFonts w:ascii="宋体" w:hAnsi="宋体" w:cs="宋体"/>
          <w:b/>
          <w:color w:val="auto"/>
          <w:sz w:val="24"/>
          <w:highlight w:val="none"/>
        </w:rPr>
      </w:pPr>
      <w:r>
        <w:rPr>
          <w:rFonts w:hint="eastAsia" w:ascii="宋体" w:hAnsi="宋体" w:cs="宋体"/>
          <w:b/>
          <w:color w:val="auto"/>
          <w:sz w:val="24"/>
          <w:highlight w:val="none"/>
        </w:rPr>
        <w:t>二、报价部分（10分）</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报价得分采用低价优先法计算，即满足磋商文件要求且最后报价最低的供应商的价格为磋商基准价，其价格分为满分。其他供应商的价格分统一按照下列公式计算：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磋商报价得分=（磋商基准价/最后磋商报价）×10%×100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项目评审过程中，不得去掉最后报价中的最高报价和最低报价。</w:t>
      </w:r>
    </w:p>
    <w:p>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报价是中标的一个重要因素，但最低报价不是中标的唯一依据。</w:t>
      </w:r>
    </w:p>
    <w:p>
      <w:pPr>
        <w:spacing w:line="360" w:lineRule="auto"/>
        <w:ind w:firstLine="480" w:firstLineChars="200"/>
        <w:rPr>
          <w:rFonts w:ascii="宋体" w:hAnsi="宋体" w:cs="宋体"/>
          <w:color w:val="auto"/>
          <w:kern w:val="0"/>
          <w:sz w:val="24"/>
          <w:highlight w:val="none"/>
        </w:rPr>
      </w:pPr>
      <w:bookmarkStart w:id="40" w:name="OLE_LINK5"/>
      <w:bookmarkStart w:id="41" w:name="OLE_LINK3"/>
      <w:bookmarkStart w:id="42" w:name="OLE_LINK4"/>
      <w:r>
        <w:rPr>
          <w:rFonts w:hint="eastAsia" w:ascii="宋体" w:hAnsi="宋体" w:cs="宋体"/>
          <w:color w:val="auto"/>
          <w:kern w:val="0"/>
          <w:sz w:val="24"/>
          <w:highlight w:val="none"/>
        </w:rPr>
        <w:t>注：根据浙江省财政厅、浙江省中小企业局转发财政部、工业和信息化部关于印发《政府采购促进中小企业发展暂行办法》的通知（浙财采监[2012]11号），对小型或微型企业的投标报价给予6%的扣除，并用扣除后的价格计算价格评分。同时符合以下所有要求的磋商供应商被认定为小型、微型企业：</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磋商供应商按照《关于印发中小企业划型标准规定的通知》（工信部联企业〔2011〕300号）的所属行业规定为小型、微型企业【注：按《关于印发中小企业划型标准规定的通知》规定提供《中小企业声明函》及其相关的充分的证明材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2）磋商供应商已通过浙江政府采购网申请注册并成为正式入库供应商【注：提供正式入库供应商的网站信息材料】；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3）磋商供应商所投标项内产品均为小型、微型企业提供的服务【注：按《关于印发中小企业划型标准规定的通知》中“工业行业”规定提供制造商出具的《中小企业声明函》及其相关的充分的证明材料】。</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监狱企业视同小微企业，参加本项目投标的，享受小微企业同等的价格扣除。【注：提供《监狱企业声明函》及其相关的充分的证明材料】。</w:t>
      </w:r>
    </w:p>
    <w:bookmarkEnd w:id="40"/>
    <w:bookmarkEnd w:id="41"/>
    <w:bookmarkEnd w:id="42"/>
    <w:p>
      <w:pPr>
        <w:spacing w:line="360" w:lineRule="auto"/>
        <w:ind w:firstLine="482" w:firstLineChars="200"/>
        <w:rPr>
          <w:rFonts w:ascii="宋体" w:hAnsi="宋体" w:cs="宋体"/>
          <w:b/>
          <w:bCs/>
          <w:color w:val="auto"/>
          <w:kern w:val="0"/>
          <w:sz w:val="24"/>
          <w:highlight w:val="none"/>
        </w:rPr>
      </w:pPr>
    </w:p>
    <w:p>
      <w:pP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pStyle w:val="21"/>
        <w:spacing w:line="420" w:lineRule="exact"/>
        <w:jc w:val="center"/>
        <w:rPr>
          <w:rFonts w:hint="default" w:hAnsi="宋体" w:cs="宋体"/>
          <w:b/>
          <w:bCs/>
          <w:color w:val="auto"/>
          <w:sz w:val="32"/>
          <w:szCs w:val="32"/>
          <w:highlight w:val="none"/>
        </w:rPr>
      </w:pPr>
      <w:r>
        <w:rPr>
          <w:rFonts w:hAnsi="宋体" w:cs="宋体"/>
          <w:b/>
          <w:bCs/>
          <w:color w:val="auto"/>
          <w:sz w:val="32"/>
          <w:szCs w:val="32"/>
          <w:highlight w:val="none"/>
        </w:rPr>
        <w:t>第七部分  应提交的有关格式范例</w:t>
      </w:r>
      <w:bookmarkEnd w:id="39"/>
    </w:p>
    <w:p>
      <w:pPr>
        <w:shd w:val="clear" w:color="auto" w:fill="FFFFFF"/>
        <w:spacing w:line="360" w:lineRule="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lang w:eastAsia="zh-CN"/>
        </w:rPr>
        <w:t xml:space="preserve"> </w:t>
      </w:r>
    </w:p>
    <w:p>
      <w:pPr>
        <w:shd w:val="clear" w:color="auto" w:fill="FFFFFF"/>
        <w:spacing w:line="400" w:lineRule="exact"/>
        <w:rPr>
          <w:rFonts w:ascii="宋体" w:hAnsi="宋体" w:cs="宋体"/>
          <w:b/>
          <w:color w:val="auto"/>
          <w:sz w:val="24"/>
          <w:highlight w:val="none"/>
        </w:rPr>
      </w:pPr>
      <w:r>
        <w:rPr>
          <w:rFonts w:hint="eastAsia" w:ascii="宋体" w:hAnsi="宋体" w:cs="宋体"/>
          <w:b/>
          <w:color w:val="auto"/>
          <w:sz w:val="24"/>
          <w:highlight w:val="none"/>
        </w:rPr>
        <w:t>一、磋商供应商提交响应文件须知：</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1、磋商供应商应严格按照以下顺序填写和提交下述规定的全部格式文件以及其他有关资料，混乱的编排导致响应文件被误读或评标委员会查找不到有效文件是磋商供应商的风险。</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2、所附表格中要求回答的全部问题和/或信息都必须正面回答。</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3、本声明书的签字人应保证全部声明和问题的回答是真实的和准确的。</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4、评标委员会将应用磋商供应商提交的资料作出自己的判断。</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5、磋商供应商提交的材料将在一定期限内被保密保存，但不退还。</w:t>
      </w:r>
    </w:p>
    <w:p>
      <w:pPr>
        <w:spacing w:line="4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6、全部文件应按磋商供应商须知中规定的语言和份数提交。响应文件组成漏项或未按规定的格式编制或响应文件正、副本份数不足，内容不全或内容字迹模糊辨认不清的情况，</w:t>
      </w:r>
      <w:r>
        <w:rPr>
          <w:rFonts w:hint="eastAsia" w:ascii="宋体" w:hAnsi="宋体" w:cs="宋体"/>
          <w:b/>
          <w:color w:val="auto"/>
          <w:sz w:val="24"/>
          <w:highlight w:val="none"/>
        </w:rPr>
        <w:t>将有可能被评标委员会认定为投标无效。</w:t>
      </w:r>
    </w:p>
    <w:p>
      <w:pPr>
        <w:spacing w:line="400" w:lineRule="exact"/>
        <w:rPr>
          <w:rFonts w:ascii="宋体" w:hAnsi="宋体" w:cs="宋体"/>
          <w:b/>
          <w:color w:val="auto"/>
          <w:sz w:val="24"/>
          <w:highlight w:val="none"/>
        </w:rPr>
      </w:pPr>
      <w:r>
        <w:rPr>
          <w:rFonts w:hint="eastAsia" w:ascii="宋体" w:hAnsi="宋体" w:cs="宋体"/>
          <w:b/>
          <w:color w:val="auto"/>
          <w:sz w:val="24"/>
          <w:highlight w:val="none"/>
        </w:rPr>
        <w:t>二、响应文件编制格式及规范要求：</w:t>
      </w:r>
    </w:p>
    <w:p>
      <w:pPr>
        <w:spacing w:line="4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报价文件</w:t>
      </w:r>
      <w:r>
        <w:rPr>
          <w:rFonts w:hint="eastAsia" w:ascii="宋体" w:hAnsi="宋体" w:cs="宋体"/>
          <w:color w:val="auto"/>
          <w:sz w:val="24"/>
          <w:highlight w:val="none"/>
        </w:rPr>
        <w:t>、</w:t>
      </w:r>
      <w:r>
        <w:rPr>
          <w:rFonts w:hint="eastAsia" w:ascii="宋体" w:hAnsi="宋体" w:cs="宋体"/>
          <w:b/>
          <w:bCs/>
          <w:color w:val="auto"/>
          <w:sz w:val="24"/>
          <w:highlight w:val="none"/>
        </w:rPr>
        <w:t>商务</w:t>
      </w:r>
      <w:r>
        <w:rPr>
          <w:rFonts w:hint="eastAsia" w:ascii="宋体" w:hAnsi="宋体" w:cs="宋体"/>
          <w:b/>
          <w:color w:val="auto"/>
          <w:sz w:val="24"/>
          <w:highlight w:val="none"/>
        </w:rPr>
        <w:t>技术文件</w:t>
      </w:r>
      <w:r>
        <w:rPr>
          <w:rFonts w:hint="eastAsia" w:ascii="宋体" w:hAnsi="宋体" w:cs="宋体"/>
          <w:color w:val="auto"/>
          <w:sz w:val="24"/>
          <w:highlight w:val="none"/>
        </w:rPr>
        <w:t>、</w:t>
      </w:r>
      <w:r>
        <w:rPr>
          <w:rFonts w:hint="eastAsia" w:ascii="宋体" w:hAnsi="宋体" w:cs="宋体"/>
          <w:b/>
          <w:color w:val="auto"/>
          <w:sz w:val="24"/>
          <w:highlight w:val="none"/>
        </w:rPr>
        <w:t>资格文件</w:t>
      </w:r>
      <w:r>
        <w:rPr>
          <w:rFonts w:hint="eastAsia" w:ascii="宋体" w:hAnsi="宋体" w:cs="宋体"/>
          <w:color w:val="auto"/>
          <w:sz w:val="24"/>
          <w:highlight w:val="none"/>
        </w:rPr>
        <w:t>三部分，各磋商供应商在编制响应文件时请按照以下格式进行。每个标项的响应文件分别制作。</w:t>
      </w:r>
    </w:p>
    <w:p>
      <w:pPr>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注：报价文件不得与商务技术及资格文件包装在一起。</w:t>
      </w: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hd w:val="clear" w:color="auto" w:fill="FFFFFF"/>
        <w:rPr>
          <w:rFonts w:ascii="宋体" w:hAnsi="宋体" w:cs="宋体"/>
          <w:color w:val="auto"/>
          <w:sz w:val="24"/>
          <w:highlight w:val="none"/>
        </w:rPr>
      </w:pPr>
    </w:p>
    <w:p>
      <w:pPr>
        <w:spacing w:line="440" w:lineRule="exact"/>
        <w:ind w:firstLine="3253" w:firstLineChars="900"/>
        <w:jc w:val="left"/>
        <w:rPr>
          <w:rFonts w:ascii="宋体" w:hAnsi="宋体" w:cs="宋体"/>
          <w:b/>
          <w:bCs/>
          <w:color w:val="auto"/>
          <w:highlight w:val="none"/>
        </w:rPr>
      </w:pPr>
    </w:p>
    <w:p>
      <w:pPr>
        <w:spacing w:line="440" w:lineRule="exact"/>
        <w:ind w:firstLine="3253" w:firstLineChars="900"/>
        <w:jc w:val="left"/>
        <w:rPr>
          <w:rFonts w:ascii="宋体" w:hAnsi="宋体" w:cs="宋体"/>
          <w:b/>
          <w:bCs/>
          <w:color w:val="auto"/>
          <w:highlight w:val="none"/>
        </w:rPr>
      </w:pPr>
    </w:p>
    <w:p>
      <w:pPr>
        <w:rPr>
          <w:rFonts w:ascii="宋体" w:hAnsi="宋体" w:cs="宋体"/>
          <w:b/>
          <w:bCs/>
          <w:color w:val="auto"/>
          <w:highlight w:val="none"/>
        </w:rPr>
      </w:pPr>
      <w:r>
        <w:rPr>
          <w:rFonts w:hint="eastAsia" w:ascii="宋体" w:hAnsi="宋体" w:cs="宋体"/>
          <w:b/>
          <w:bCs/>
          <w:color w:val="auto"/>
          <w:highlight w:val="none"/>
        </w:rPr>
        <w:br w:type="page"/>
      </w:r>
    </w:p>
    <w:p>
      <w:pPr>
        <w:spacing w:line="440" w:lineRule="exact"/>
        <w:ind w:firstLine="3253" w:firstLineChars="900"/>
        <w:jc w:val="left"/>
        <w:rPr>
          <w:rFonts w:ascii="宋体" w:hAnsi="宋体" w:cs="宋体"/>
          <w:b/>
          <w:bCs/>
          <w:color w:val="auto"/>
          <w:highlight w:val="none"/>
        </w:rPr>
      </w:pPr>
      <w:r>
        <w:rPr>
          <w:rFonts w:hint="eastAsia" w:ascii="宋体" w:hAnsi="宋体" w:cs="宋体"/>
          <w:b/>
          <w:bCs/>
          <w:color w:val="auto"/>
          <w:highlight w:val="none"/>
        </w:rPr>
        <w:t>文件袋封面格式</w:t>
      </w:r>
    </w:p>
    <w:p>
      <w:pPr>
        <w:spacing w:line="360" w:lineRule="auto"/>
        <w:rPr>
          <w:rFonts w:ascii="宋体" w:hAnsi="宋体" w:cs="宋体"/>
          <w:color w:val="auto"/>
          <w:sz w:val="24"/>
          <w:highlight w:val="none"/>
          <w:lang w:val="en-GB"/>
        </w:rPr>
      </w:pPr>
    </w:p>
    <w:p>
      <w:pPr>
        <w:spacing w:line="360" w:lineRule="auto"/>
        <w:rPr>
          <w:rFonts w:ascii="宋体" w:hAnsi="宋体" w:cs="宋体"/>
          <w:color w:val="auto"/>
          <w:sz w:val="24"/>
          <w:highlight w:val="none"/>
          <w:lang w:val="en-GB"/>
        </w:rPr>
      </w:pPr>
    </w:p>
    <w:tbl>
      <w:tblPr>
        <w:tblStyle w:val="35"/>
        <w:tblW w:w="8529"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529"/>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529" w:type="dxa"/>
            <w:tcBorders>
              <w:top w:val="double" w:color="666699" w:sz="4" w:space="0"/>
              <w:left w:val="double" w:color="666699" w:sz="4" w:space="0"/>
              <w:bottom w:val="double" w:color="666699" w:sz="4" w:space="0"/>
              <w:right w:val="double" w:color="666699" w:sz="4" w:space="0"/>
            </w:tcBorders>
            <w:shd w:val="clear" w:color="auto" w:fill="FCFEEA"/>
          </w:tcPr>
          <w:p>
            <w:pPr>
              <w:widowControl/>
              <w:spacing w:before="75" w:after="75" w:line="360" w:lineRule="exact"/>
              <w:ind w:left="75" w:right="75"/>
              <w:jc w:val="center"/>
              <w:rPr>
                <w:rFonts w:ascii="宋体" w:hAnsi="宋体" w:cs="宋体"/>
                <w:b/>
                <w:color w:val="auto"/>
                <w:sz w:val="30"/>
                <w:highlight w:val="none"/>
              </w:rPr>
            </w:pPr>
          </w:p>
          <w:p>
            <w:pPr>
              <w:widowControl/>
              <w:spacing w:before="75" w:after="75" w:line="360" w:lineRule="exact"/>
              <w:ind w:left="75" w:right="75"/>
              <w:jc w:val="center"/>
              <w:rPr>
                <w:rFonts w:ascii="宋体" w:hAnsi="宋体" w:cs="宋体"/>
                <w:b/>
                <w:bCs/>
                <w:color w:val="auto"/>
                <w:highlight w:val="none"/>
              </w:rPr>
            </w:pPr>
            <w:bookmarkStart w:id="43" w:name="_Toc108234932"/>
          </w:p>
          <w:p>
            <w:pPr>
              <w:widowControl/>
              <w:spacing w:before="75" w:after="75" w:line="360" w:lineRule="exact"/>
              <w:ind w:left="75" w:right="75"/>
              <w:jc w:val="center"/>
              <w:rPr>
                <w:rFonts w:ascii="宋体" w:hAnsi="宋体" w:cs="宋体"/>
                <w:b/>
                <w:bCs/>
                <w:color w:val="auto"/>
                <w:highlight w:val="none"/>
              </w:rPr>
            </w:pPr>
            <w:r>
              <w:rPr>
                <w:rFonts w:hint="eastAsia" w:ascii="宋体" w:hAnsi="宋体" w:cs="宋体"/>
                <w:b/>
                <w:bCs/>
                <w:color w:val="auto"/>
                <w:highlight w:val="none"/>
              </w:rPr>
              <w:t>中共杭州市委党校</w:t>
            </w:r>
          </w:p>
          <w:p>
            <w:pPr>
              <w:widowControl/>
              <w:spacing w:before="75" w:after="75" w:line="360" w:lineRule="exact"/>
              <w:ind w:left="75" w:right="75"/>
              <w:jc w:val="center"/>
              <w:rPr>
                <w:rFonts w:ascii="宋体" w:hAnsi="宋体" w:cs="宋体"/>
                <w:b/>
                <w:bCs/>
                <w:color w:val="auto"/>
                <w:highlight w:val="none"/>
              </w:rPr>
            </w:pPr>
            <w:r>
              <w:rPr>
                <w:rFonts w:hint="eastAsia" w:ascii="宋体" w:hAnsi="宋体" w:cs="宋体"/>
                <w:b/>
                <w:bCs/>
                <w:color w:val="auto"/>
                <w:highlight w:val="none"/>
              </w:rPr>
              <w:t>杭州市委党校2020年度职工疗养项目</w:t>
            </w:r>
          </w:p>
          <w:p>
            <w:pPr>
              <w:widowControl/>
              <w:spacing w:before="75" w:after="75" w:line="360" w:lineRule="exact"/>
              <w:ind w:left="75" w:right="75"/>
              <w:jc w:val="center"/>
              <w:rPr>
                <w:rFonts w:ascii="宋体" w:hAnsi="宋体" w:cs="宋体"/>
                <w:b/>
                <w:bCs/>
                <w:color w:val="auto"/>
                <w:highlight w:val="none"/>
              </w:rPr>
            </w:pPr>
            <w:r>
              <w:rPr>
                <w:rFonts w:hint="eastAsia" w:ascii="宋体" w:hAnsi="宋体" w:cs="宋体"/>
                <w:b/>
                <w:bCs/>
                <w:color w:val="auto"/>
                <w:highlight w:val="none"/>
              </w:rPr>
              <w:t>响应文件</w:t>
            </w:r>
            <w:bookmarkEnd w:id="43"/>
          </w:p>
          <w:p>
            <w:pPr>
              <w:widowControl/>
              <w:spacing w:before="75" w:after="75" w:line="360" w:lineRule="exact"/>
              <w:ind w:left="75" w:right="75"/>
              <w:jc w:val="center"/>
              <w:rPr>
                <w:rFonts w:ascii="宋体" w:hAnsi="宋体" w:cs="宋体"/>
                <w:b/>
                <w:bCs/>
                <w:color w:val="auto"/>
                <w:highlight w:val="none"/>
              </w:rPr>
            </w:pPr>
            <w:r>
              <w:rPr>
                <w:rFonts w:hint="eastAsia" w:ascii="宋体" w:hAnsi="宋体" w:cs="宋体"/>
                <w:b/>
                <w:bCs/>
                <w:color w:val="auto"/>
                <w:highlight w:val="none"/>
              </w:rPr>
              <w:t>标项（    ）</w:t>
            </w:r>
          </w:p>
          <w:p>
            <w:pPr>
              <w:widowControl/>
              <w:spacing w:before="75" w:after="75" w:line="360" w:lineRule="auto"/>
              <w:ind w:left="75" w:right="75"/>
              <w:jc w:val="center"/>
              <w:rPr>
                <w:rFonts w:ascii="宋体" w:hAnsi="宋体" w:cs="宋体"/>
                <w:b/>
                <w:color w:val="auto"/>
                <w:sz w:val="32"/>
                <w:highlight w:val="none"/>
              </w:rPr>
            </w:pPr>
            <w:r>
              <w:rPr>
                <w:rFonts w:hint="eastAsia" w:ascii="宋体" w:hAnsi="宋体" w:cs="宋体"/>
                <w:b/>
                <w:bCs/>
                <w:color w:val="auto"/>
                <w:sz w:val="44"/>
                <w:szCs w:val="44"/>
                <w:highlight w:val="none"/>
              </w:rPr>
              <w:t>（注明报价文件或商务技术文件或资格文件）</w:t>
            </w:r>
          </w:p>
          <w:p>
            <w:pPr>
              <w:widowControl/>
              <w:spacing w:before="75" w:after="75" w:line="360" w:lineRule="exact"/>
              <w:ind w:left="75" w:right="75"/>
              <w:jc w:val="center"/>
              <w:rPr>
                <w:rFonts w:ascii="宋体" w:hAnsi="宋体" w:cs="宋体"/>
                <w:b/>
                <w:color w:val="auto"/>
                <w:sz w:val="32"/>
                <w:highlight w:val="none"/>
              </w:rPr>
            </w:pPr>
          </w:p>
          <w:p>
            <w:pPr>
              <w:widowControl/>
              <w:spacing w:before="75" w:after="75" w:line="360" w:lineRule="exact"/>
              <w:ind w:left="75" w:right="75"/>
              <w:jc w:val="center"/>
              <w:rPr>
                <w:rFonts w:ascii="宋体" w:hAnsi="宋体" w:cs="宋体"/>
                <w:b/>
                <w:color w:val="auto"/>
                <w:sz w:val="32"/>
                <w:highlight w:val="none"/>
              </w:rPr>
            </w:pPr>
          </w:p>
          <w:p>
            <w:pPr>
              <w:widowControl/>
              <w:spacing w:before="75" w:after="75" w:line="360" w:lineRule="exact"/>
              <w:ind w:left="75" w:right="75"/>
              <w:jc w:val="center"/>
              <w:rPr>
                <w:rFonts w:ascii="宋体" w:hAnsi="宋体" w:cs="宋体"/>
                <w:b/>
                <w:color w:val="auto"/>
                <w:sz w:val="32"/>
                <w:highlight w:val="none"/>
              </w:rPr>
            </w:pPr>
          </w:p>
          <w:p>
            <w:pPr>
              <w:widowControl/>
              <w:spacing w:before="75" w:after="75" w:line="360" w:lineRule="exact"/>
              <w:ind w:left="75" w:right="75"/>
              <w:jc w:val="center"/>
              <w:rPr>
                <w:rFonts w:ascii="宋体" w:hAnsi="宋体" w:cs="宋体"/>
                <w:b/>
                <w:color w:val="auto"/>
                <w:sz w:val="32"/>
                <w:highlight w:val="none"/>
              </w:rPr>
            </w:pPr>
          </w:p>
          <w:p>
            <w:pPr>
              <w:widowControl/>
              <w:spacing w:before="75" w:after="75" w:line="360" w:lineRule="exact"/>
              <w:ind w:left="75" w:right="75"/>
              <w:jc w:val="center"/>
              <w:rPr>
                <w:rFonts w:ascii="宋体" w:hAnsi="宋体" w:cs="宋体"/>
                <w:b/>
                <w:color w:val="auto"/>
                <w:sz w:val="32"/>
                <w:highlight w:val="none"/>
              </w:rPr>
            </w:pPr>
          </w:p>
          <w:p>
            <w:pPr>
              <w:widowControl/>
              <w:spacing w:before="75" w:after="75" w:line="360" w:lineRule="exact"/>
              <w:ind w:left="75" w:right="75"/>
              <w:jc w:val="center"/>
              <w:rPr>
                <w:rFonts w:ascii="宋体" w:hAnsi="宋体" w:cs="宋体"/>
                <w:b/>
                <w:color w:val="auto"/>
                <w:sz w:val="32"/>
                <w:highlight w:val="none"/>
              </w:rPr>
            </w:pPr>
          </w:p>
          <w:p>
            <w:pPr>
              <w:widowControl/>
              <w:spacing w:before="75" w:after="75" w:line="360" w:lineRule="exact"/>
              <w:ind w:left="75" w:right="75"/>
              <w:jc w:val="center"/>
              <w:rPr>
                <w:rFonts w:ascii="宋体" w:hAnsi="宋体" w:cs="宋体"/>
                <w:color w:val="auto"/>
                <w:sz w:val="24"/>
                <w:highlight w:val="none"/>
                <w:u w:val="single"/>
              </w:rPr>
            </w:pPr>
            <w:r>
              <w:rPr>
                <w:rFonts w:hint="eastAsia" w:ascii="宋体" w:hAnsi="宋体" w:cs="宋体"/>
                <w:color w:val="auto"/>
                <w:sz w:val="24"/>
                <w:highlight w:val="none"/>
              </w:rPr>
              <w:t>磋商供应商：</w:t>
            </w:r>
            <w:r>
              <w:rPr>
                <w:rFonts w:hint="eastAsia" w:ascii="宋体" w:hAnsi="宋体" w:cs="宋体"/>
                <w:color w:val="auto"/>
                <w:sz w:val="24"/>
                <w:highlight w:val="none"/>
                <w:u w:val="single"/>
              </w:rPr>
              <w:t>（盖章）</w:t>
            </w:r>
          </w:p>
          <w:p>
            <w:pPr>
              <w:widowControl/>
              <w:spacing w:before="75" w:after="75" w:line="360" w:lineRule="exact"/>
              <w:ind w:left="75" w:right="75"/>
              <w:jc w:val="center"/>
              <w:rPr>
                <w:rFonts w:ascii="宋体" w:hAnsi="宋体" w:cs="宋体"/>
                <w:color w:val="auto"/>
                <w:sz w:val="24"/>
                <w:highlight w:val="none"/>
                <w:u w:val="single"/>
              </w:rPr>
            </w:pPr>
            <w:r>
              <w:rPr>
                <w:rFonts w:hint="eastAsia" w:ascii="宋体" w:hAnsi="宋体" w:cs="宋体"/>
                <w:color w:val="auto"/>
                <w:sz w:val="24"/>
                <w:highlight w:val="none"/>
              </w:rPr>
              <w:t>法定代表人或授权代表（签字或盖章）：</w:t>
            </w:r>
          </w:p>
          <w:p>
            <w:pPr>
              <w:widowControl/>
              <w:spacing w:before="75" w:after="75" w:line="360" w:lineRule="exact"/>
              <w:ind w:left="75" w:right="75"/>
              <w:jc w:val="center"/>
              <w:rPr>
                <w:rFonts w:ascii="宋体" w:hAnsi="宋体" w:cs="宋体"/>
                <w:color w:val="auto"/>
                <w:sz w:val="24"/>
                <w:highlight w:val="none"/>
                <w:u w:val="single"/>
              </w:rPr>
            </w:pPr>
            <w:r>
              <w:rPr>
                <w:rFonts w:hint="eastAsia" w:ascii="宋体" w:hAnsi="宋体" w:cs="宋体"/>
                <w:color w:val="auto"/>
                <w:sz w:val="24"/>
                <w:highlight w:val="none"/>
              </w:rPr>
              <w:t>项目编号：</w:t>
            </w:r>
          </w:p>
          <w:p>
            <w:pPr>
              <w:widowControl/>
              <w:spacing w:before="75" w:after="75" w:line="360" w:lineRule="exact"/>
              <w:ind w:left="75" w:right="75"/>
              <w:jc w:val="center"/>
              <w:rPr>
                <w:rFonts w:ascii="宋体" w:hAnsi="宋体" w:cs="宋体"/>
                <w:b/>
                <w:bCs/>
                <w:color w:val="auto"/>
                <w:highlight w:val="none"/>
              </w:rPr>
            </w:pPr>
          </w:p>
          <w:p>
            <w:pPr>
              <w:widowControl/>
              <w:spacing w:before="75" w:after="75" w:line="360" w:lineRule="exact"/>
              <w:ind w:left="75" w:right="75"/>
              <w:jc w:val="center"/>
              <w:rPr>
                <w:rFonts w:ascii="宋体" w:hAnsi="宋体" w:cs="宋体"/>
                <w:b/>
                <w:bCs/>
                <w:color w:val="auto"/>
                <w:highlight w:val="none"/>
              </w:rPr>
            </w:pPr>
          </w:p>
          <w:p>
            <w:pPr>
              <w:widowControl/>
              <w:spacing w:before="75" w:after="75" w:line="360" w:lineRule="exact"/>
              <w:ind w:left="75" w:right="75"/>
              <w:jc w:val="center"/>
              <w:rPr>
                <w:rFonts w:ascii="宋体" w:hAnsi="宋体" w:cs="宋体"/>
                <w:b/>
                <w:bCs/>
                <w:color w:val="auto"/>
                <w:highlight w:val="none"/>
              </w:rPr>
            </w:pPr>
          </w:p>
          <w:p>
            <w:pPr>
              <w:widowControl/>
              <w:spacing w:before="75" w:after="75" w:line="360" w:lineRule="exact"/>
              <w:ind w:left="75" w:right="75"/>
              <w:jc w:val="center"/>
              <w:rPr>
                <w:rFonts w:ascii="宋体" w:hAnsi="宋体" w:cs="宋体"/>
                <w:b/>
                <w:bCs/>
                <w:color w:val="auto"/>
                <w:highlight w:val="none"/>
              </w:rPr>
            </w:pPr>
          </w:p>
          <w:p>
            <w:pPr>
              <w:widowControl/>
              <w:spacing w:before="75" w:after="75" w:line="360" w:lineRule="exact"/>
              <w:ind w:left="75" w:right="75"/>
              <w:jc w:val="center"/>
              <w:rPr>
                <w:rFonts w:ascii="宋体" w:hAnsi="宋体" w:cs="宋体"/>
                <w:b/>
                <w:bCs/>
                <w:color w:val="auto"/>
                <w:highlight w:val="none"/>
              </w:rPr>
            </w:pPr>
            <w:r>
              <w:rPr>
                <w:rFonts w:hint="eastAsia" w:ascii="宋体" w:hAnsi="宋体" w:cs="宋体"/>
                <w:b/>
                <w:bCs/>
                <w:color w:val="auto"/>
                <w:highlight w:val="none"/>
              </w:rPr>
              <w:t>在2020年月日之前不得启封</w:t>
            </w:r>
          </w:p>
          <w:p>
            <w:pPr>
              <w:widowControl/>
              <w:spacing w:before="75" w:after="75" w:line="360" w:lineRule="exact"/>
              <w:ind w:left="75" w:right="75"/>
              <w:jc w:val="center"/>
              <w:rPr>
                <w:rFonts w:ascii="宋体" w:hAnsi="宋体" w:cs="宋体"/>
                <w:b/>
                <w:bCs/>
                <w:color w:val="auto"/>
                <w:sz w:val="28"/>
                <w:highlight w:val="none"/>
                <w:lang w:val="zh-TW" w:eastAsia="zh-TW"/>
              </w:rPr>
            </w:pPr>
            <w:r>
              <w:rPr>
                <w:rFonts w:hint="eastAsia" w:ascii="宋体" w:hAnsi="宋体" w:cs="宋体"/>
                <w:b/>
                <w:bCs/>
                <w:color w:val="auto"/>
                <w:sz w:val="28"/>
                <w:highlight w:val="none"/>
              </w:rPr>
              <w:t>提交地点：</w:t>
            </w:r>
            <w:r>
              <w:rPr>
                <w:rFonts w:hint="eastAsia" w:ascii="宋体" w:hAnsi="宋体" w:cs="宋体"/>
                <w:b/>
                <w:bCs/>
                <w:color w:val="auto"/>
                <w:highlight w:val="none"/>
              </w:rPr>
              <w:t xml:space="preserve">杭州市滨江区东方通信科技园启迪楼2楼1207室  </w:t>
            </w:r>
          </w:p>
          <w:p>
            <w:pPr>
              <w:pStyle w:val="2"/>
              <w:rPr>
                <w:rFonts w:ascii="宋体" w:hAnsi="宋体" w:eastAsia="宋体" w:cs="宋体"/>
                <w:b/>
                <w:bCs/>
                <w:color w:val="auto"/>
                <w:kern w:val="2"/>
                <w:sz w:val="28"/>
                <w:highlight w:val="none"/>
                <w:lang w:val="zh-TW" w:eastAsia="zh-TW"/>
              </w:rPr>
            </w:pPr>
          </w:p>
          <w:p>
            <w:pPr>
              <w:pStyle w:val="2"/>
              <w:rPr>
                <w:rFonts w:ascii="宋体" w:hAnsi="宋体" w:eastAsia="宋体" w:cs="宋体"/>
                <w:b/>
                <w:bCs/>
                <w:color w:val="auto"/>
                <w:kern w:val="2"/>
                <w:sz w:val="28"/>
                <w:highlight w:val="none"/>
                <w:lang w:val="zh-TW" w:eastAsia="zh-TW"/>
              </w:rPr>
            </w:pPr>
          </w:p>
          <w:p>
            <w:pPr>
              <w:widowControl/>
              <w:spacing w:before="75" w:after="75" w:line="360" w:lineRule="exact"/>
              <w:ind w:left="75" w:right="75"/>
              <w:jc w:val="center"/>
              <w:rPr>
                <w:rFonts w:ascii="宋体" w:hAnsi="宋体" w:cs="宋体"/>
                <w:color w:val="auto"/>
                <w:sz w:val="28"/>
                <w:highlight w:val="none"/>
              </w:rPr>
            </w:pPr>
          </w:p>
        </w:tc>
      </w:tr>
    </w:tbl>
    <w:p>
      <w:pPr>
        <w:pageBreakBefore/>
        <w:shd w:val="clear" w:color="auto" w:fill="FFFFFF"/>
        <w:rPr>
          <w:rFonts w:ascii="宋体" w:hAnsi="宋体" w:cs="宋体"/>
          <w:b/>
          <w:bCs/>
          <w:color w:val="auto"/>
          <w:sz w:val="32"/>
          <w:szCs w:val="32"/>
          <w:highlight w:val="none"/>
        </w:rPr>
      </w:pPr>
      <w:r>
        <w:rPr>
          <w:rFonts w:hint="eastAsia" w:ascii="宋体" w:hAnsi="宋体" w:cs="宋体"/>
          <w:b/>
          <w:bCs/>
          <w:color w:val="auto"/>
          <w:sz w:val="32"/>
          <w:szCs w:val="32"/>
          <w:highlight w:val="none"/>
        </w:rPr>
        <w:t>响应文件封面</w:t>
      </w:r>
    </w:p>
    <w:p>
      <w:pPr>
        <w:shd w:val="clear" w:color="auto" w:fill="FFFFFF"/>
        <w:rPr>
          <w:rFonts w:ascii="宋体" w:hAnsi="宋体" w:cs="宋体"/>
          <w:color w:val="auto"/>
          <w:sz w:val="32"/>
          <w:szCs w:val="32"/>
          <w:highlight w:val="none"/>
        </w:rPr>
      </w:pPr>
      <w:r>
        <w:rPr>
          <w:rFonts w:hint="eastAsia" w:ascii="宋体" w:hAnsi="宋体" w:cs="宋体"/>
          <w:color w:val="auto"/>
          <w:sz w:val="32"/>
          <w:szCs w:val="32"/>
          <w:highlight w:val="none"/>
        </w:rPr>
        <w:t>正（副）本</w:t>
      </w:r>
    </w:p>
    <w:p>
      <w:pPr>
        <w:spacing w:line="360" w:lineRule="auto"/>
        <w:jc w:val="center"/>
        <w:rPr>
          <w:rFonts w:ascii="宋体" w:hAnsi="宋体" w:cs="宋体"/>
          <w:b/>
          <w:bCs/>
          <w:color w:val="auto"/>
          <w:sz w:val="52"/>
          <w:szCs w:val="40"/>
          <w:highlight w:val="none"/>
        </w:rPr>
      </w:pPr>
      <w:r>
        <w:rPr>
          <w:rFonts w:hint="eastAsia" w:ascii="宋体" w:hAnsi="宋体" w:cs="宋体"/>
          <w:b/>
          <w:bCs/>
          <w:color w:val="auto"/>
          <w:sz w:val="52"/>
          <w:szCs w:val="40"/>
          <w:highlight w:val="none"/>
        </w:rPr>
        <w:t>杭州市委党校2020年度职工疗养项目</w:t>
      </w:r>
    </w:p>
    <w:p>
      <w:pPr>
        <w:shd w:val="clear" w:color="auto" w:fill="FFFFFF"/>
        <w:jc w:val="center"/>
        <w:rPr>
          <w:rFonts w:ascii="宋体" w:hAnsi="宋体" w:cs="宋体"/>
          <w:b/>
          <w:bCs/>
          <w:color w:val="auto"/>
          <w:spacing w:val="-15"/>
          <w:sz w:val="44"/>
          <w:szCs w:val="44"/>
          <w:highlight w:val="none"/>
        </w:rPr>
      </w:pPr>
      <w:r>
        <w:rPr>
          <w:rFonts w:hint="eastAsia" w:ascii="宋体" w:hAnsi="宋体" w:cs="宋体"/>
          <w:b/>
          <w:bCs/>
          <w:color w:val="auto"/>
          <w:spacing w:val="-15"/>
          <w:sz w:val="44"/>
          <w:szCs w:val="44"/>
          <w:highlight w:val="none"/>
        </w:rPr>
        <w:t>标项（   ）</w:t>
      </w:r>
    </w:p>
    <w:p>
      <w:pPr>
        <w:shd w:val="clear" w:color="auto" w:fill="FFFFFF"/>
        <w:jc w:val="center"/>
        <w:rPr>
          <w:rFonts w:ascii="宋体" w:hAnsi="宋体" w:cs="宋体"/>
          <w:b/>
          <w:bCs/>
          <w:color w:val="auto"/>
          <w:sz w:val="44"/>
          <w:szCs w:val="44"/>
          <w:highlight w:val="none"/>
        </w:rPr>
      </w:pPr>
      <w:r>
        <w:rPr>
          <w:rFonts w:hint="eastAsia" w:ascii="宋体" w:hAnsi="宋体" w:cs="宋体"/>
          <w:b/>
          <w:bCs/>
          <w:color w:val="auto"/>
          <w:sz w:val="32"/>
          <w:szCs w:val="32"/>
          <w:highlight w:val="none"/>
        </w:rPr>
        <w:t>项目编号：</w:t>
      </w:r>
    </w:p>
    <w:p>
      <w:pPr>
        <w:shd w:val="clear" w:color="auto" w:fill="FFFFFF"/>
        <w:ind w:firstLine="883" w:firstLineChars="200"/>
        <w:rPr>
          <w:rFonts w:ascii="宋体" w:hAnsi="宋体" w:cs="宋体"/>
          <w:b/>
          <w:bCs/>
          <w:color w:val="auto"/>
          <w:sz w:val="44"/>
          <w:szCs w:val="44"/>
          <w:highlight w:val="none"/>
        </w:rPr>
      </w:pPr>
    </w:p>
    <w:p>
      <w:pPr>
        <w:shd w:val="clear" w:color="auto" w:fill="FFFFFF"/>
        <w:ind w:firstLine="1767" w:firstLineChars="400"/>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（注明报价文件或商务技术文件）</w:t>
      </w:r>
    </w:p>
    <w:p>
      <w:pPr>
        <w:adjustRightInd w:val="0"/>
        <w:snapToGrid w:val="0"/>
        <w:jc w:val="center"/>
        <w:rPr>
          <w:rFonts w:ascii="宋体" w:hAnsi="宋体" w:cs="宋体"/>
          <w:color w:val="auto"/>
          <w:sz w:val="72"/>
          <w:szCs w:val="72"/>
          <w:highlight w:val="none"/>
        </w:rPr>
      </w:pPr>
    </w:p>
    <w:p>
      <w:pPr>
        <w:adjustRightInd w:val="0"/>
        <w:snapToGrid w:val="0"/>
        <w:jc w:val="center"/>
        <w:rPr>
          <w:rFonts w:ascii="宋体" w:hAnsi="宋体" w:cs="宋体"/>
          <w:color w:val="auto"/>
          <w:sz w:val="72"/>
          <w:szCs w:val="72"/>
          <w:highlight w:val="none"/>
        </w:rPr>
      </w:pPr>
      <w:r>
        <w:rPr>
          <w:rFonts w:hint="eastAsia" w:ascii="宋体" w:hAnsi="宋体" w:cs="宋体"/>
          <w:color w:val="auto"/>
          <w:sz w:val="72"/>
          <w:szCs w:val="72"/>
          <w:highlight w:val="none"/>
        </w:rPr>
        <w:t>响</w:t>
      </w:r>
    </w:p>
    <w:p>
      <w:pPr>
        <w:pStyle w:val="2"/>
        <w:rPr>
          <w:rFonts w:ascii="宋体" w:hAnsi="宋体" w:eastAsia="宋体" w:cs="宋体"/>
          <w:color w:val="auto"/>
          <w:sz w:val="72"/>
          <w:szCs w:val="72"/>
          <w:highlight w:val="none"/>
        </w:rPr>
      </w:pPr>
    </w:p>
    <w:p>
      <w:pPr>
        <w:adjustRightInd w:val="0"/>
        <w:snapToGrid w:val="0"/>
        <w:jc w:val="center"/>
        <w:rPr>
          <w:rFonts w:ascii="宋体" w:hAnsi="宋体" w:cs="宋体"/>
          <w:color w:val="auto"/>
          <w:sz w:val="72"/>
          <w:szCs w:val="72"/>
          <w:highlight w:val="none"/>
        </w:rPr>
      </w:pPr>
      <w:r>
        <w:rPr>
          <w:rFonts w:hint="eastAsia" w:ascii="宋体" w:hAnsi="宋体" w:cs="宋体"/>
          <w:color w:val="auto"/>
          <w:sz w:val="72"/>
          <w:szCs w:val="72"/>
          <w:highlight w:val="none"/>
        </w:rPr>
        <w:t>应</w:t>
      </w:r>
    </w:p>
    <w:p>
      <w:pPr>
        <w:adjustRightInd w:val="0"/>
        <w:snapToGrid w:val="0"/>
        <w:jc w:val="center"/>
        <w:rPr>
          <w:rFonts w:ascii="宋体" w:hAnsi="宋体" w:cs="宋体"/>
          <w:color w:val="auto"/>
          <w:sz w:val="72"/>
          <w:szCs w:val="72"/>
          <w:highlight w:val="none"/>
        </w:rPr>
      </w:pPr>
    </w:p>
    <w:p>
      <w:pPr>
        <w:adjustRightInd w:val="0"/>
        <w:snapToGrid w:val="0"/>
        <w:jc w:val="center"/>
        <w:rPr>
          <w:rFonts w:ascii="宋体" w:hAnsi="宋体" w:cs="宋体"/>
          <w:color w:val="auto"/>
          <w:sz w:val="72"/>
          <w:szCs w:val="72"/>
          <w:highlight w:val="none"/>
        </w:rPr>
      </w:pPr>
      <w:r>
        <w:rPr>
          <w:rFonts w:hint="eastAsia" w:ascii="宋体" w:hAnsi="宋体" w:cs="宋体"/>
          <w:color w:val="auto"/>
          <w:sz w:val="72"/>
          <w:szCs w:val="72"/>
          <w:highlight w:val="none"/>
        </w:rPr>
        <w:t>文</w:t>
      </w:r>
    </w:p>
    <w:p>
      <w:pPr>
        <w:adjustRightInd w:val="0"/>
        <w:snapToGrid w:val="0"/>
        <w:jc w:val="center"/>
        <w:rPr>
          <w:rFonts w:ascii="宋体" w:hAnsi="宋体" w:cs="宋体"/>
          <w:color w:val="auto"/>
          <w:sz w:val="72"/>
          <w:szCs w:val="72"/>
          <w:highlight w:val="none"/>
        </w:rPr>
      </w:pPr>
    </w:p>
    <w:p>
      <w:pPr>
        <w:adjustRightInd w:val="0"/>
        <w:snapToGrid w:val="0"/>
        <w:jc w:val="center"/>
        <w:rPr>
          <w:rFonts w:ascii="宋体" w:hAnsi="宋体" w:cs="宋体"/>
          <w:color w:val="auto"/>
          <w:sz w:val="72"/>
          <w:szCs w:val="72"/>
          <w:highlight w:val="none"/>
        </w:rPr>
      </w:pPr>
      <w:r>
        <w:rPr>
          <w:rFonts w:hint="eastAsia" w:ascii="宋体" w:hAnsi="宋体" w:cs="宋体"/>
          <w:color w:val="auto"/>
          <w:sz w:val="72"/>
          <w:szCs w:val="72"/>
          <w:highlight w:val="none"/>
        </w:rPr>
        <w:t>件</w:t>
      </w:r>
    </w:p>
    <w:p>
      <w:pPr>
        <w:rPr>
          <w:rFonts w:ascii="宋体" w:hAnsi="宋体" w:cs="宋体"/>
          <w:color w:val="auto"/>
          <w:szCs w:val="36"/>
          <w:highlight w:val="none"/>
        </w:rPr>
      </w:pPr>
    </w:p>
    <w:p>
      <w:pPr>
        <w:ind w:firstLine="2160" w:firstLineChars="600"/>
        <w:rPr>
          <w:rFonts w:ascii="宋体" w:hAnsi="宋体" w:cs="宋体"/>
          <w:color w:val="auto"/>
          <w:szCs w:val="36"/>
          <w:highlight w:val="none"/>
        </w:rPr>
      </w:pPr>
      <w:r>
        <w:rPr>
          <w:rFonts w:hint="eastAsia" w:ascii="宋体" w:hAnsi="宋体" w:cs="宋体"/>
          <w:color w:val="auto"/>
          <w:szCs w:val="36"/>
          <w:highlight w:val="none"/>
        </w:rPr>
        <w:t>磋商供应商全称：（加盖单位公章）</w:t>
      </w:r>
    </w:p>
    <w:p>
      <w:pPr>
        <w:jc w:val="center"/>
        <w:rPr>
          <w:rFonts w:ascii="宋体" w:hAnsi="宋体" w:cs="宋体"/>
          <w:color w:val="auto"/>
          <w:szCs w:val="36"/>
          <w:highlight w:val="none"/>
        </w:rPr>
      </w:pPr>
      <w:r>
        <w:rPr>
          <w:rFonts w:hint="eastAsia" w:ascii="宋体" w:hAnsi="宋体" w:cs="宋体"/>
          <w:color w:val="auto"/>
          <w:szCs w:val="36"/>
          <w:highlight w:val="none"/>
        </w:rPr>
        <w:t>年   月   日</w:t>
      </w:r>
    </w:p>
    <w:p>
      <w:pPr>
        <w:shd w:val="clear" w:color="auto" w:fill="FFFFFF"/>
        <w:jc w:val="center"/>
        <w:outlineLvl w:val="1"/>
        <w:rPr>
          <w:rFonts w:ascii="宋体" w:hAnsi="宋体" w:cs="宋体"/>
          <w:b/>
          <w:bCs/>
          <w:color w:val="auto"/>
          <w:kern w:val="0"/>
          <w:sz w:val="32"/>
          <w:szCs w:val="32"/>
          <w:highlight w:val="none"/>
        </w:rPr>
      </w:pPr>
      <w:bookmarkStart w:id="44" w:name="_Toc354996707"/>
      <w:bookmarkStart w:id="45" w:name="_Toc31875"/>
      <w:bookmarkStart w:id="46" w:name="_Toc9747"/>
      <w:r>
        <w:rPr>
          <w:rFonts w:hint="eastAsia" w:ascii="宋体" w:hAnsi="宋体" w:cs="宋体"/>
          <w:b/>
          <w:bCs/>
          <w:color w:val="auto"/>
          <w:kern w:val="0"/>
          <w:sz w:val="32"/>
          <w:szCs w:val="32"/>
          <w:highlight w:val="none"/>
        </w:rPr>
        <w:t>报价文件</w:t>
      </w:r>
      <w:bookmarkEnd w:id="44"/>
      <w:bookmarkEnd w:id="45"/>
      <w:bookmarkEnd w:id="46"/>
    </w:p>
    <w:p>
      <w:pPr>
        <w:shd w:val="clear" w:color="auto" w:fill="FFFFFF"/>
        <w:jc w:val="center"/>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lang w:eastAsia="zh-CN"/>
        </w:rPr>
        <w:t xml:space="preserve"> </w:t>
      </w:r>
    </w:p>
    <w:p>
      <w:pPr>
        <w:shd w:val="clear" w:color="auto" w:fill="FFFFFF"/>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目录</w:t>
      </w:r>
    </w:p>
    <w:p>
      <w:pPr>
        <w:shd w:val="clear" w:color="auto" w:fill="FFFFFF"/>
        <w:jc w:val="center"/>
        <w:rPr>
          <w:rFonts w:ascii="宋体" w:hAnsi="宋体" w:cs="宋体"/>
          <w:b/>
          <w:bCs/>
          <w:color w:val="auto"/>
          <w:kern w:val="0"/>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投标响应函</w:t>
      </w:r>
      <w:r>
        <w:rPr>
          <w:rFonts w:hint="eastAsia" w:ascii="宋体" w:hAnsi="宋体" w:cs="宋体"/>
          <w:color w:val="auto"/>
          <w:sz w:val="24"/>
          <w:highlight w:val="none"/>
        </w:rPr>
        <w:t>；</w:t>
      </w:r>
    </w:p>
    <w:p>
      <w:pPr>
        <w:pStyle w:val="21"/>
        <w:spacing w:line="360" w:lineRule="auto"/>
        <w:ind w:firstLine="480" w:firstLineChars="200"/>
        <w:rPr>
          <w:rFonts w:hint="default" w:hAnsi="宋体" w:cs="宋体"/>
          <w:color w:val="auto"/>
          <w:sz w:val="24"/>
          <w:highlight w:val="none"/>
        </w:rPr>
      </w:pPr>
      <w:r>
        <w:rPr>
          <w:rFonts w:hAnsi="宋体" w:cs="宋体"/>
          <w:color w:val="auto"/>
          <w:sz w:val="24"/>
          <w:szCs w:val="24"/>
          <w:highlight w:val="none"/>
        </w:rPr>
        <w:t>▲</w:t>
      </w:r>
      <w:r>
        <w:rPr>
          <w:rFonts w:hAnsi="宋体" w:cs="宋体"/>
          <w:color w:val="auto"/>
          <w:sz w:val="24"/>
          <w:highlight w:val="none"/>
        </w:rPr>
        <w:t>（2）投标（开标）一览表；</w:t>
      </w:r>
    </w:p>
    <w:p>
      <w:pPr>
        <w:pStyle w:val="21"/>
        <w:spacing w:line="360" w:lineRule="auto"/>
        <w:ind w:firstLine="480" w:firstLineChars="200"/>
        <w:rPr>
          <w:rFonts w:hint="default" w:hAnsi="宋体" w:cs="宋体"/>
          <w:color w:val="auto"/>
          <w:sz w:val="24"/>
          <w:szCs w:val="22"/>
          <w:highlight w:val="none"/>
        </w:rPr>
      </w:pPr>
      <w:r>
        <w:rPr>
          <w:rFonts w:hAnsi="宋体" w:cs="宋体"/>
          <w:color w:val="auto"/>
          <w:sz w:val="24"/>
          <w:szCs w:val="22"/>
          <w:highlight w:val="none"/>
        </w:rPr>
        <w:t>（3）磋商供应商针对报价需要说明的其他文件和说明（格式自拟）；</w:t>
      </w:r>
    </w:p>
    <w:p>
      <w:pPr>
        <w:pStyle w:val="21"/>
        <w:spacing w:line="360" w:lineRule="auto"/>
        <w:ind w:firstLine="480" w:firstLineChars="200"/>
        <w:rPr>
          <w:rFonts w:hint="default" w:hAnsi="宋体" w:cs="宋体"/>
          <w:color w:val="auto"/>
          <w:sz w:val="24"/>
          <w:szCs w:val="22"/>
          <w:highlight w:val="none"/>
        </w:rPr>
      </w:pPr>
      <w:r>
        <w:rPr>
          <w:rFonts w:hAnsi="宋体" w:cs="宋体"/>
          <w:color w:val="auto"/>
          <w:sz w:val="24"/>
          <w:szCs w:val="22"/>
          <w:highlight w:val="none"/>
        </w:rPr>
        <w:t>（4）中小企业声明函、网页证明资料（若有，格式见附件）；</w:t>
      </w:r>
    </w:p>
    <w:p>
      <w:pPr>
        <w:pStyle w:val="21"/>
        <w:spacing w:line="360" w:lineRule="auto"/>
        <w:ind w:firstLine="480" w:firstLineChars="200"/>
        <w:rPr>
          <w:rFonts w:hint="default" w:hAnsi="宋体" w:cs="宋体"/>
          <w:color w:val="auto"/>
          <w:sz w:val="24"/>
          <w:szCs w:val="22"/>
          <w:highlight w:val="none"/>
        </w:rPr>
      </w:pPr>
      <w:r>
        <w:rPr>
          <w:rFonts w:hAnsi="宋体" w:cs="宋体"/>
          <w:color w:val="auto"/>
          <w:sz w:val="24"/>
          <w:szCs w:val="22"/>
          <w:highlight w:val="none"/>
        </w:rPr>
        <w:t>（5）监狱企业资格证明材料（省级以上监狱管理局、戒毒管理局（含新疆生产建设兵团）出具的属于监狱企业的证明文件）；</w:t>
      </w:r>
    </w:p>
    <w:p>
      <w:pPr>
        <w:pStyle w:val="21"/>
        <w:spacing w:line="360" w:lineRule="auto"/>
        <w:ind w:firstLine="480" w:firstLineChars="200"/>
        <w:rPr>
          <w:rFonts w:hint="default" w:hAnsi="宋体" w:cs="宋体"/>
          <w:color w:val="auto"/>
          <w:sz w:val="24"/>
          <w:szCs w:val="22"/>
          <w:highlight w:val="none"/>
        </w:rPr>
      </w:pPr>
      <w:r>
        <w:rPr>
          <w:rFonts w:hAnsi="宋体" w:cs="宋体"/>
          <w:color w:val="auto"/>
          <w:sz w:val="24"/>
          <w:szCs w:val="22"/>
          <w:highlight w:val="none"/>
        </w:rPr>
        <w:t>（6）残疾人福利企业声明函（若有，格式见附件）。</w:t>
      </w:r>
    </w:p>
    <w:p>
      <w:pPr>
        <w:spacing w:line="360" w:lineRule="auto"/>
        <w:jc w:val="center"/>
        <w:outlineLvl w:val="2"/>
        <w:rPr>
          <w:rFonts w:ascii="宋体" w:hAnsi="宋体" w:cs="宋体"/>
          <w:b/>
          <w:color w:val="auto"/>
          <w:highlight w:val="none"/>
        </w:rPr>
      </w:pPr>
      <w:r>
        <w:rPr>
          <w:rFonts w:hint="eastAsia" w:ascii="宋体" w:hAnsi="宋体" w:cs="宋体"/>
          <w:b/>
          <w:color w:val="auto"/>
          <w:kern w:val="0"/>
          <w:highlight w:val="none"/>
        </w:rPr>
        <w:br w:type="page"/>
      </w:r>
      <w:bookmarkStart w:id="47" w:name="_Toc31710"/>
      <w:r>
        <w:rPr>
          <w:rFonts w:hint="eastAsia" w:ascii="宋体" w:hAnsi="宋体" w:cs="宋体"/>
          <w:b/>
          <w:color w:val="auto"/>
          <w:kern w:val="0"/>
          <w:highlight w:val="none"/>
        </w:rPr>
        <w:t>一、投标响应</w:t>
      </w:r>
      <w:r>
        <w:rPr>
          <w:rFonts w:hint="eastAsia" w:ascii="宋体" w:hAnsi="宋体" w:cs="宋体"/>
          <w:b/>
          <w:color w:val="auto"/>
          <w:highlight w:val="none"/>
        </w:rPr>
        <w:t>函</w:t>
      </w:r>
      <w:bookmarkEnd w:id="47"/>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中共杭州市委党校、浙江五石工程咨询有限公司：</w:t>
      </w:r>
    </w:p>
    <w:p>
      <w:pPr>
        <w:adjustRightInd w:val="0"/>
        <w:spacing w:line="360" w:lineRule="auto"/>
        <w:ind w:firstLine="482"/>
        <w:rPr>
          <w:rFonts w:ascii="宋体" w:hAnsi="宋体" w:cs="宋体"/>
          <w:color w:val="auto"/>
          <w:sz w:val="24"/>
          <w:highlight w:val="none"/>
        </w:rPr>
      </w:pPr>
      <w:r>
        <w:rPr>
          <w:rFonts w:hint="eastAsia" w:ascii="宋体" w:hAnsi="宋体" w:cs="宋体"/>
          <w:color w:val="auto"/>
          <w:sz w:val="24"/>
          <w:highlight w:val="none"/>
        </w:rPr>
        <w:t>（磋商供应商全称）授权（全权代表姓名）（职务、职称）为全权代表，参加贵方组织的</w:t>
      </w:r>
      <w:bookmarkStart w:id="48" w:name="OLE_LINK2"/>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lang w:val="zh-CN"/>
        </w:rPr>
        <w:t xml:space="preserve">项目名称：      </w:t>
      </w:r>
      <w:r>
        <w:rPr>
          <w:rFonts w:hint="eastAsia" w:ascii="宋体" w:hAnsi="宋体" w:cs="宋体"/>
          <w:color w:val="auto"/>
          <w:kern w:val="0"/>
          <w:sz w:val="24"/>
          <w:highlight w:val="none"/>
        </w:rPr>
        <w:t>标项（）</w:t>
      </w:r>
      <w:r>
        <w:rPr>
          <w:rFonts w:hint="eastAsia" w:ascii="宋体" w:hAnsi="宋体" w:cs="宋体"/>
          <w:color w:val="auto"/>
          <w:sz w:val="24"/>
          <w:highlight w:val="none"/>
        </w:rPr>
        <w:t>]（采购编号：</w:t>
      </w:r>
      <w:bookmarkEnd w:id="48"/>
      <w:r>
        <w:rPr>
          <w:rFonts w:hint="eastAsia" w:ascii="宋体" w:hAnsi="宋体" w:cs="宋体"/>
          <w:color w:val="auto"/>
          <w:sz w:val="24"/>
          <w:highlight w:val="none"/>
        </w:rPr>
        <w:t>）采购的有关活动，并对此项目进行投标。为此：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1、我方同意在投标</w:t>
      </w:r>
      <w:r>
        <w:rPr>
          <w:rFonts w:hint="eastAsia" w:ascii="宋体" w:hAnsi="宋体" w:cs="宋体"/>
          <w:color w:val="auto"/>
          <w:kern w:val="44"/>
          <w:sz w:val="24"/>
          <w:highlight w:val="none"/>
        </w:rPr>
        <w:t>须知</w:t>
      </w:r>
      <w:r>
        <w:rPr>
          <w:rFonts w:hint="eastAsia" w:ascii="宋体" w:hAnsi="宋体" w:cs="宋体"/>
          <w:color w:val="auto"/>
          <w:sz w:val="24"/>
          <w:highlight w:val="none"/>
        </w:rPr>
        <w:t>规定的开标日期起遵守本响应文件中的承诺且在投标有效期满之前均具有约束力。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2、我方承诺已经具备《中华人民共和国政府采购法》及相关法律法规规定的参加政府采购活动的供应商应当具备的条件：</w:t>
      </w:r>
    </w:p>
    <w:p>
      <w:pPr>
        <w:spacing w:line="360" w:lineRule="auto"/>
        <w:ind w:firstLine="480" w:firstLineChars="200"/>
        <w:rPr>
          <w:rFonts w:ascii="宋体" w:hAnsi="宋体" w:cs="宋体"/>
          <w:color w:val="auto"/>
          <w:sz w:val="24"/>
          <w:highlight w:val="none"/>
          <w:lang w:val="zh-TW" w:eastAsia="zh-TW"/>
        </w:rPr>
      </w:pPr>
      <w:r>
        <w:rPr>
          <w:rFonts w:hint="eastAsia" w:ascii="宋体" w:hAnsi="宋体" w:cs="宋体"/>
          <w:color w:val="auto"/>
          <w:sz w:val="24"/>
          <w:highlight w:val="none"/>
          <w:lang w:val="zh-TW" w:eastAsia="zh-TW"/>
        </w:rPr>
        <w:t>（1）基本资格条件：符合《中华人民共和国政府采购法》第二十二条的规定；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3、提供</w:t>
      </w:r>
      <w:r>
        <w:rPr>
          <w:rFonts w:hint="eastAsia" w:ascii="宋体" w:hAnsi="宋体" w:cs="宋体"/>
          <w:color w:val="auto"/>
          <w:kern w:val="44"/>
          <w:sz w:val="24"/>
          <w:highlight w:val="none"/>
        </w:rPr>
        <w:t>投标须知</w:t>
      </w:r>
      <w:r>
        <w:rPr>
          <w:rFonts w:hint="eastAsia" w:ascii="宋体" w:hAnsi="宋体" w:cs="宋体"/>
          <w:color w:val="auto"/>
          <w:sz w:val="24"/>
          <w:highlight w:val="none"/>
        </w:rPr>
        <w:t>规定的全部响应文件，包括响应文件正本    份，副本     份。具体内容为：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（1）报价文件和电子文档；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val="zh-CN"/>
        </w:rPr>
        <w:t>商务技术文件和</w:t>
      </w:r>
      <w:r>
        <w:rPr>
          <w:rFonts w:hint="eastAsia" w:ascii="宋体" w:hAnsi="宋体" w:cs="宋体"/>
          <w:color w:val="auto"/>
          <w:sz w:val="24"/>
          <w:highlight w:val="none"/>
          <w:lang w:val="zh-CN"/>
        </w:rPr>
        <w:t>资格文件</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kern w:val="44"/>
          <w:sz w:val="24"/>
          <w:highlight w:val="none"/>
        </w:rPr>
        <w:t>投标须知</w:t>
      </w:r>
      <w:r>
        <w:rPr>
          <w:rFonts w:hint="eastAsia" w:ascii="宋体" w:hAnsi="宋体" w:cs="宋体"/>
          <w:color w:val="auto"/>
          <w:sz w:val="24"/>
          <w:highlight w:val="none"/>
        </w:rPr>
        <w:t>要求磋商供应商提交的全部文件；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（4）按磋商文件要求提供和交付的货物和服务的投标报价详见投标（开标）一览表；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（6）保证遵守磋商文件中的其他有关规定。</w:t>
      </w:r>
    </w:p>
    <w:p>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5、我方完全理解贵方不一定要接受最低价的投标。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6、我方愿意向贵方提供任何与该项投标有关的数据、情况和技术资料。若贵方需要，我方愿意提供我方作出的一切承诺的证明材料。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7、我方已详细审核全部磋商文件，包括磋商文件修改书（如果有）、参考资料及有关附件，确认无误。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8、我方将严格遵守《中华人民共和国政府采购法》第七十七条规定：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a）提供虚假材料谋取中标、成交的；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b）采取不正当手段诋毁、排挤其他供应商的；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c）与采购人、其它供应商或者采购代理机构恶意串通的；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d）向采购人、采购代理机构行贿或者提供其他不正当利益的；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e）在采购过程中与采购人进行协商谈判的；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f）拒绝有关部门监督检查或提供虚假情况的；</w:t>
      </w:r>
    </w:p>
    <w:p>
      <w:pPr>
        <w:spacing w:line="360" w:lineRule="auto"/>
        <w:ind w:left="720" w:leftChars="200"/>
        <w:rPr>
          <w:rFonts w:ascii="宋体" w:hAnsi="宋体" w:cs="宋体"/>
          <w:color w:val="auto"/>
          <w:sz w:val="24"/>
          <w:highlight w:val="none"/>
        </w:rPr>
      </w:pPr>
      <w:r>
        <w:rPr>
          <w:rFonts w:hint="eastAsia" w:ascii="宋体" w:hAnsi="宋体" w:cs="宋体"/>
          <w:color w:val="auto"/>
          <w:sz w:val="24"/>
          <w:highlight w:val="none"/>
        </w:rPr>
        <w:t>供应商有前款第a）至e）项情形之一的，中标、成交无效。</w:t>
      </w:r>
    </w:p>
    <w:p>
      <w:pPr>
        <w:spacing w:line="360" w:lineRule="auto"/>
        <w:ind w:left="720" w:leftChars="200"/>
        <w:rPr>
          <w:rFonts w:ascii="宋体" w:hAnsi="宋体" w:cs="宋体"/>
          <w:color w:val="auto"/>
          <w:sz w:val="24"/>
          <w:highlight w:val="none"/>
        </w:rPr>
      </w:pPr>
    </w:p>
    <w:p>
      <w:pPr>
        <w:spacing w:line="360" w:lineRule="auto"/>
        <w:ind w:left="720" w:leftChars="200"/>
        <w:rPr>
          <w:rFonts w:ascii="宋体" w:hAnsi="宋体" w:cs="宋体"/>
          <w:color w:val="auto"/>
          <w:sz w:val="24"/>
          <w:highlight w:val="none"/>
        </w:rPr>
      </w:pPr>
    </w:p>
    <w:p>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lang w:val="zh-CN"/>
        </w:rPr>
        <w:t>法定代表人或其授权代表签字：</w:t>
      </w:r>
    </w:p>
    <w:p>
      <w:pPr>
        <w:spacing w:line="360" w:lineRule="auto"/>
        <w:rPr>
          <w:rFonts w:ascii="宋体" w:hAnsi="宋体" w:cs="宋体"/>
          <w:color w:val="auto"/>
          <w:kern w:val="0"/>
          <w:sz w:val="24"/>
          <w:highlight w:val="none"/>
          <w:lang w:val="zh-CN"/>
        </w:rPr>
      </w:pPr>
    </w:p>
    <w:p>
      <w:pPr>
        <w:spacing w:line="360" w:lineRule="auto"/>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公 司 盖 章：</w:t>
      </w:r>
    </w:p>
    <w:p>
      <w:pPr>
        <w:spacing w:line="360" w:lineRule="auto"/>
        <w:rPr>
          <w:rFonts w:ascii="宋体" w:hAnsi="宋体" w:cs="宋体"/>
          <w:color w:val="auto"/>
          <w:kern w:val="0"/>
          <w:sz w:val="24"/>
          <w:highlight w:val="none"/>
          <w:lang w:val="zh-CN"/>
        </w:rPr>
      </w:pP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联系人：                    联系电话：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联系地址：</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邮政编码：                     传真号码：</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ab/>
      </w:r>
      <w:r>
        <w:rPr>
          <w:rFonts w:hint="eastAsia" w:ascii="宋体" w:hAnsi="宋体" w:cs="宋体"/>
          <w:color w:val="auto"/>
          <w:kern w:val="0"/>
          <w:sz w:val="24"/>
          <w:highlight w:val="none"/>
          <w:lang w:val="zh-CN"/>
        </w:rPr>
        <w:t>月    日</w:t>
      </w:r>
    </w:p>
    <w:p>
      <w:pPr>
        <w:spacing w:line="360" w:lineRule="auto"/>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注：未按照本投标响应函要求填报的将被视为非实质性响应投标，从而可能导致该投标被拒绝。</w:t>
      </w:r>
    </w:p>
    <w:p>
      <w:pPr>
        <w:pStyle w:val="98"/>
        <w:keepNext w:val="0"/>
        <w:pageBreakBefore w:val="0"/>
        <w:tabs>
          <w:tab w:val="clear" w:pos="720"/>
        </w:tabs>
        <w:outlineLvl w:val="9"/>
        <w:rPr>
          <w:rFonts w:ascii="宋体" w:hAnsi="宋体" w:eastAsia="宋体" w:cs="宋体"/>
          <w:color w:val="auto"/>
          <w:kern w:val="2"/>
          <w:highlight w:val="none"/>
        </w:rPr>
      </w:pPr>
      <w:r>
        <w:rPr>
          <w:rFonts w:hint="eastAsia" w:ascii="宋体" w:hAnsi="宋体" w:eastAsia="宋体" w:cs="宋体"/>
          <w:b w:val="0"/>
          <w:color w:val="auto"/>
          <w:kern w:val="0"/>
          <w:sz w:val="24"/>
          <w:highlight w:val="none"/>
          <w:lang w:val="zh-CN"/>
        </w:rPr>
        <w:br w:type="page"/>
      </w:r>
      <w:bookmarkStart w:id="49" w:name="_Toc3192"/>
      <w:bookmarkStart w:id="50" w:name="_Toc3940"/>
      <w:bookmarkStart w:id="51" w:name="_Toc16341"/>
      <w:bookmarkStart w:id="52" w:name="_Toc9329"/>
      <w:bookmarkStart w:id="53" w:name="_Toc4107"/>
      <w:bookmarkStart w:id="54" w:name="_Toc20876"/>
      <w:bookmarkStart w:id="55" w:name="_Toc24538"/>
      <w:r>
        <w:rPr>
          <w:rFonts w:hint="eastAsia" w:ascii="宋体" w:hAnsi="宋体" w:eastAsia="宋体" w:cs="宋体"/>
          <w:color w:val="auto"/>
          <w:kern w:val="2"/>
          <w:highlight w:val="none"/>
        </w:rPr>
        <w:t>二、投标（开标）一览表</w:t>
      </w:r>
      <w:bookmarkEnd w:id="49"/>
      <w:bookmarkEnd w:id="50"/>
      <w:bookmarkEnd w:id="51"/>
      <w:bookmarkEnd w:id="52"/>
      <w:bookmarkEnd w:id="53"/>
      <w:bookmarkEnd w:id="54"/>
      <w:bookmarkEnd w:id="55"/>
    </w:p>
    <w:p>
      <w:pPr>
        <w:adjustRightInd w:val="0"/>
        <w:spacing w:line="360" w:lineRule="auto"/>
        <w:rPr>
          <w:rFonts w:ascii="宋体" w:hAnsi="宋体" w:cs="宋体"/>
          <w:color w:val="auto"/>
          <w:kern w:val="0"/>
          <w:sz w:val="24"/>
          <w:highlight w:val="none"/>
        </w:rPr>
      </w:pPr>
      <w:r>
        <w:rPr>
          <w:rFonts w:hint="eastAsia" w:ascii="宋体" w:hAnsi="宋体" w:cs="宋体"/>
          <w:color w:val="auto"/>
          <w:sz w:val="24"/>
          <w:highlight w:val="none"/>
        </w:rPr>
        <w:t>中共杭州市委党校、浙江五石工程咨询有限公司</w:t>
      </w:r>
      <w:r>
        <w:rPr>
          <w:rFonts w:hint="eastAsia" w:ascii="宋体" w:hAnsi="宋体" w:cs="宋体"/>
          <w:color w:val="auto"/>
          <w:kern w:val="0"/>
          <w:sz w:val="24"/>
          <w:highlight w:val="none"/>
        </w:rPr>
        <w:t>：</w:t>
      </w:r>
    </w:p>
    <w:p>
      <w:pPr>
        <w:adjustRightInd w:val="0"/>
        <w:spacing w:line="400" w:lineRule="exact"/>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按你方磋商文件要求，我们，本标书签字方，谨此向你方发出要约如下：如你方接受本投标，我方承诺按照如下投标（开标）一览表的价格完成编号为的磋商文件[项目名称：</w:t>
      </w:r>
      <w:r>
        <w:rPr>
          <w:rFonts w:hint="eastAsia" w:ascii="宋体" w:hAnsi="宋体" w:cs="宋体"/>
          <w:color w:val="auto"/>
          <w:kern w:val="0"/>
          <w:sz w:val="24"/>
          <w:highlight w:val="none"/>
          <w:u w:val="single"/>
        </w:rPr>
        <w:t>标项（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的实施</w:t>
      </w:r>
    </w:p>
    <w:tbl>
      <w:tblPr>
        <w:tblStyle w:val="35"/>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2533"/>
        <w:gridCol w:w="319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66"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33"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3195"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投标报价（元/人）</w:t>
            </w:r>
          </w:p>
        </w:tc>
        <w:tc>
          <w:tcPr>
            <w:tcW w:w="1830" w:type="dxa"/>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出团时间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166" w:type="dxa"/>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2533" w:type="dxa"/>
            <w:vAlign w:val="center"/>
          </w:tcPr>
          <w:p>
            <w:pPr>
              <w:adjustRightInd w:val="0"/>
              <w:snapToGrid w:val="0"/>
              <w:jc w:val="center"/>
              <w:rPr>
                <w:rFonts w:ascii="宋体" w:hAnsi="宋体" w:cs="宋体"/>
                <w:color w:val="auto"/>
                <w:sz w:val="24"/>
                <w:highlight w:val="none"/>
              </w:rPr>
            </w:pPr>
            <w:r>
              <w:rPr>
                <w:rFonts w:hint="eastAsia" w:ascii="宋体" w:hAnsi="宋体" w:cs="宋体"/>
                <w:color w:val="auto"/>
                <w:sz w:val="24"/>
                <w:highlight w:val="none"/>
                <w:u w:val="single"/>
              </w:rPr>
              <w:t>杭州市委党校2020年度职工疗养项目标项（   ）</w:t>
            </w:r>
          </w:p>
        </w:tc>
        <w:tc>
          <w:tcPr>
            <w:tcW w:w="3195" w:type="dxa"/>
            <w:vAlign w:val="center"/>
          </w:tcPr>
          <w:p>
            <w:pPr>
              <w:snapToGrid w:val="0"/>
              <w:rPr>
                <w:rFonts w:ascii="宋体" w:hAnsi="宋体" w:cs="宋体"/>
                <w:color w:val="auto"/>
                <w:sz w:val="24"/>
                <w:highlight w:val="none"/>
              </w:rPr>
            </w:pPr>
            <w:r>
              <w:rPr>
                <w:rFonts w:hint="eastAsia" w:ascii="宋体" w:hAnsi="宋体" w:cs="宋体"/>
                <w:color w:val="auto"/>
                <w:sz w:val="24"/>
                <w:highlight w:val="none"/>
              </w:rPr>
              <w:t>小写：￥</w:t>
            </w:r>
          </w:p>
          <w:p>
            <w:pPr>
              <w:snapToGrid w:val="0"/>
              <w:rPr>
                <w:rFonts w:ascii="宋体" w:hAnsi="宋体" w:cs="宋体"/>
                <w:color w:val="auto"/>
                <w:sz w:val="24"/>
                <w:highlight w:val="none"/>
              </w:rPr>
            </w:pPr>
            <w:r>
              <w:rPr>
                <w:rFonts w:hint="eastAsia" w:ascii="宋体" w:hAnsi="宋体" w:cs="宋体"/>
                <w:color w:val="auto"/>
                <w:sz w:val="24"/>
                <w:highlight w:val="none"/>
              </w:rPr>
              <w:t xml:space="preserve">大写： </w:t>
            </w:r>
          </w:p>
        </w:tc>
        <w:tc>
          <w:tcPr>
            <w:tcW w:w="1830" w:type="dxa"/>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响应磋商文件要求</w:t>
            </w:r>
          </w:p>
        </w:tc>
      </w:tr>
    </w:tbl>
    <w:p>
      <w:pPr>
        <w:tabs>
          <w:tab w:val="left" w:pos="0"/>
        </w:tabs>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注：1、上述报价价格包括完成本项目实施所需的方案编写、具体行程、人员组织安排、各种交通运输、住宿餐饮、景点门票、保险和税金等所有费用。</w:t>
      </w:r>
    </w:p>
    <w:p>
      <w:pPr>
        <w:adjustRightInd w:val="0"/>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2、本项目为单价采购，最终按照实际参加人数进行费用结算支付。</w:t>
      </w:r>
    </w:p>
    <w:p>
      <w:pPr>
        <w:adjustRightIn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1、本响应文件及其所附文件涵盖了我方要约的全部内容。</w:t>
      </w:r>
    </w:p>
    <w:p>
      <w:pPr>
        <w:adjustRightIn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zh-CN"/>
        </w:rPr>
        <w:t>（1）我方要约有效期为自投标截止日起</w:t>
      </w:r>
      <w:r>
        <w:rPr>
          <w:rFonts w:hint="eastAsia" w:ascii="宋体" w:hAnsi="宋体" w:cs="宋体"/>
          <w:b/>
          <w:bCs/>
          <w:color w:val="auto"/>
          <w:sz w:val="24"/>
          <w:highlight w:val="none"/>
          <w:u w:val="single"/>
        </w:rPr>
        <w:t xml:space="preserve">  90  </w:t>
      </w:r>
      <w:r>
        <w:rPr>
          <w:rFonts w:hint="eastAsia" w:ascii="宋体" w:hAnsi="宋体" w:cs="宋体"/>
          <w:color w:val="auto"/>
          <w:kern w:val="0"/>
          <w:sz w:val="24"/>
          <w:highlight w:val="none"/>
          <w:lang w:val="zh-CN"/>
        </w:rPr>
        <w:t>天；</w:t>
      </w:r>
    </w:p>
    <w:p>
      <w:pPr>
        <w:adjustRightIn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zh-CN"/>
        </w:rPr>
        <w:t>（2）我方同意标期可作延长；</w:t>
      </w:r>
    </w:p>
    <w:p>
      <w:pPr>
        <w:adjustRightIn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zh-CN"/>
        </w:rPr>
        <w:t>（3）在标期内，我方受响应文件之价目表上我方要约金额的约束。</w:t>
      </w:r>
    </w:p>
    <w:p>
      <w:pPr>
        <w:adjustRightIn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zh-CN"/>
        </w:rPr>
        <w:t>2、本响应文件，你方之接受函，包括条款栏，标的规格要求栏和其它有关文件在内的响应文件对我们双方均具约束力。</w:t>
      </w:r>
    </w:p>
    <w:p>
      <w:pPr>
        <w:adjustRightIn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lang w:val="zh-CN"/>
        </w:rPr>
        <w:t>3、根据具体情况而拒绝任一或所有标书完全取决于你方。你方没有义务一定要接受最低报价的标书或某一特定标书，也不需为拒绝某一标书作出任何解释。</w:t>
      </w:r>
    </w:p>
    <w:p>
      <w:pPr>
        <w:adjustRightInd w:val="0"/>
        <w:spacing w:line="360" w:lineRule="auto"/>
        <w:ind w:left="719" w:hanging="24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4、另外，我方承诺还将就你方所要求的进一步信息提供给你方。</w:t>
      </w:r>
    </w:p>
    <w:p>
      <w:pPr>
        <w:tabs>
          <w:tab w:val="left" w:pos="720"/>
        </w:tabs>
        <w:autoSpaceDE w:val="0"/>
        <w:autoSpaceDN w:val="0"/>
        <w:adjustRightInd w:val="0"/>
        <w:spacing w:line="360" w:lineRule="auto"/>
        <w:ind w:left="719" w:hanging="240"/>
        <w:rPr>
          <w:rFonts w:ascii="宋体" w:hAnsi="宋体" w:cs="宋体"/>
          <w:color w:val="auto"/>
          <w:kern w:val="0"/>
          <w:sz w:val="24"/>
          <w:highlight w:val="none"/>
        </w:rPr>
      </w:pPr>
      <w:r>
        <w:rPr>
          <w:rFonts w:hint="eastAsia" w:ascii="宋体" w:hAnsi="宋体" w:cs="宋体"/>
          <w:color w:val="auto"/>
          <w:kern w:val="0"/>
          <w:sz w:val="24"/>
          <w:highlight w:val="none"/>
          <w:lang w:val="zh-CN"/>
        </w:rPr>
        <w:t>5．如果我方中标，我方愿意提供如下优惠条件：</w:t>
      </w:r>
    </w:p>
    <w:p>
      <w:pPr>
        <w:tabs>
          <w:tab w:val="left" w:pos="720"/>
        </w:tabs>
        <w:autoSpaceDE w:val="0"/>
        <w:autoSpaceDN w:val="0"/>
        <w:adjustRightInd w:val="0"/>
        <w:spacing w:line="360" w:lineRule="auto"/>
        <w:ind w:firstLine="480"/>
        <w:rPr>
          <w:rFonts w:ascii="宋体" w:hAnsi="宋体" w:cs="宋体"/>
          <w:color w:val="auto"/>
          <w:kern w:val="0"/>
          <w:sz w:val="24"/>
          <w:highlight w:val="none"/>
          <w:u w:val="singl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法定代表人或其授权代表签字：  </w:t>
      </w:r>
      <w:r>
        <w:rPr>
          <w:rFonts w:hint="eastAsia" w:ascii="宋体" w:hAnsi="宋体" w:cs="宋体"/>
          <w:color w:val="auto"/>
          <w:kern w:val="0"/>
          <w:sz w:val="24"/>
          <w:highlight w:val="none"/>
          <w:u w:val="single"/>
        </w:rPr>
        <w:tab/>
      </w:r>
    </w:p>
    <w:p>
      <w:pPr>
        <w:autoSpaceDE w:val="0"/>
        <w:autoSpaceDN w:val="0"/>
        <w:adjustRightIn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公 司 盖 章:                       </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联系人：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xml:space="preserve">联系电话: </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联系地址：</w:t>
      </w:r>
      <w:r>
        <w:rPr>
          <w:rFonts w:hint="eastAsia" w:ascii="宋体" w:hAnsi="宋体" w:cs="宋体"/>
          <w:color w:val="auto"/>
          <w:kern w:val="0"/>
          <w:sz w:val="24"/>
          <w:highlight w:val="none"/>
          <w:u w:val="single"/>
          <w:lang w:val="zh-CN"/>
        </w:rPr>
        <w:t xml:space="preserve">                                                        。</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邮政编码：传真号码：</w:t>
      </w:r>
      <w:r>
        <w:rPr>
          <w:rFonts w:hint="eastAsia" w:ascii="宋体" w:hAnsi="宋体" w:cs="宋体"/>
          <w:color w:val="auto"/>
          <w:kern w:val="0"/>
          <w:sz w:val="24"/>
          <w:highlight w:val="none"/>
          <w:u w:val="single"/>
          <w:lang w:val="zh-CN"/>
        </w:rPr>
        <w:t xml:space="preserve">                         。</w:t>
      </w:r>
    </w:p>
    <w:p>
      <w:pPr>
        <w:spacing w:line="360" w:lineRule="auto"/>
        <w:ind w:left="240" w:hanging="240" w:hangingChars="100"/>
        <w:jc w:val="center"/>
        <w:rPr>
          <w:rFonts w:ascii="宋体" w:hAnsi="宋体" w:cs="宋体"/>
          <w:b/>
          <w:color w:val="auto"/>
          <w:spacing w:val="6"/>
          <w:sz w:val="32"/>
          <w:szCs w:val="32"/>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u w:val="single"/>
        </w:rPr>
        <w:tab/>
      </w:r>
      <w:r>
        <w:rPr>
          <w:rFonts w:hint="eastAsia" w:ascii="宋体" w:hAnsi="宋体" w:cs="宋体"/>
          <w:color w:val="auto"/>
          <w:kern w:val="0"/>
          <w:sz w:val="24"/>
          <w:highlight w:val="none"/>
          <w:lang w:val="zh-CN"/>
        </w:rPr>
        <w:t>日</w:t>
      </w:r>
      <w:r>
        <w:rPr>
          <w:rFonts w:hint="eastAsia" w:ascii="宋体" w:hAnsi="宋体" w:cs="宋体"/>
          <w:b/>
          <w:color w:val="auto"/>
          <w:sz w:val="32"/>
          <w:szCs w:val="32"/>
          <w:highlight w:val="none"/>
        </w:rPr>
        <w:br w:type="page"/>
      </w:r>
      <w:r>
        <w:rPr>
          <w:rFonts w:hint="eastAsia" w:ascii="宋体" w:hAnsi="宋体" w:cs="宋体"/>
          <w:b/>
          <w:color w:val="auto"/>
          <w:spacing w:val="6"/>
          <w:sz w:val="32"/>
          <w:szCs w:val="32"/>
          <w:highlight w:val="none"/>
        </w:rPr>
        <w:t>中小企业声明函</w:t>
      </w:r>
    </w:p>
    <w:p>
      <w:pPr>
        <w:spacing w:beforeLines="100" w:line="4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本公司郑重声明，根据《政府采购促进中小企业发展暂行办法》（财库〔2011〕181号）的规定，本公司为（请填写：中型、小型、微型）企业。即，本公司同时满足以下条件：</w:t>
      </w:r>
    </w:p>
    <w:p>
      <w:pPr>
        <w:spacing w:line="4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4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4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本公司对上述声明的真实性负责。如有虚假，将依法承担相应责任。</w:t>
      </w:r>
    </w:p>
    <w:p>
      <w:pPr>
        <w:spacing w:line="400" w:lineRule="exact"/>
        <w:ind w:firstLine="560" w:firstLineChars="200"/>
        <w:rPr>
          <w:rFonts w:ascii="宋体" w:hAnsi="宋体" w:cs="宋体"/>
          <w:color w:val="auto"/>
          <w:sz w:val="28"/>
          <w:szCs w:val="28"/>
          <w:highlight w:val="none"/>
        </w:rPr>
      </w:pPr>
    </w:p>
    <w:p>
      <w:pPr>
        <w:spacing w:line="400" w:lineRule="exact"/>
        <w:ind w:firstLine="560" w:firstLineChars="200"/>
        <w:rPr>
          <w:rFonts w:ascii="宋体" w:hAnsi="宋体" w:cs="宋体"/>
          <w:color w:val="auto"/>
          <w:sz w:val="28"/>
          <w:szCs w:val="28"/>
          <w:highlight w:val="none"/>
        </w:rPr>
      </w:pPr>
    </w:p>
    <w:p>
      <w:pPr>
        <w:spacing w:line="40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企业名称（盖章）：</w:t>
      </w:r>
    </w:p>
    <w:p>
      <w:pPr>
        <w:snapToGrid w:val="0"/>
        <w:spacing w:line="400" w:lineRule="exact"/>
        <w:ind w:firstLine="6720" w:firstLineChars="2400"/>
        <w:rPr>
          <w:rFonts w:ascii="宋体" w:hAnsi="宋体" w:cs="宋体"/>
          <w:color w:val="auto"/>
          <w:sz w:val="28"/>
          <w:szCs w:val="28"/>
          <w:highlight w:val="none"/>
        </w:rPr>
      </w:pPr>
      <w:r>
        <w:rPr>
          <w:rFonts w:hint="eastAsia" w:ascii="宋体" w:hAnsi="宋体" w:cs="宋体"/>
          <w:color w:val="auto"/>
          <w:sz w:val="28"/>
          <w:szCs w:val="28"/>
          <w:highlight w:val="none"/>
        </w:rPr>
        <w:t xml:space="preserve">日  期：  </w:t>
      </w:r>
    </w:p>
    <w:p>
      <w:pPr>
        <w:snapToGrid w:val="0"/>
        <w:spacing w:line="400" w:lineRule="exact"/>
        <w:rPr>
          <w:rFonts w:ascii="宋体" w:hAnsi="宋体" w:cs="宋体"/>
          <w:color w:val="auto"/>
          <w:sz w:val="28"/>
          <w:szCs w:val="28"/>
          <w:highlight w:val="none"/>
        </w:rPr>
      </w:pPr>
    </w:p>
    <w:p>
      <w:pPr>
        <w:snapToGrid w:val="0"/>
        <w:spacing w:line="400" w:lineRule="exact"/>
        <w:rPr>
          <w:rFonts w:ascii="宋体" w:hAnsi="宋体" w:cs="宋体"/>
          <w:color w:val="auto"/>
          <w:sz w:val="28"/>
          <w:szCs w:val="28"/>
          <w:highlight w:val="none"/>
        </w:rPr>
      </w:pPr>
      <w:r>
        <w:rPr>
          <w:rFonts w:hint="eastAsia" w:ascii="宋体" w:hAnsi="宋体" w:cs="宋体"/>
          <w:color w:val="auto"/>
          <w:sz w:val="28"/>
          <w:szCs w:val="28"/>
          <w:highlight w:val="none"/>
        </w:rPr>
        <w:t>附：国家企业信用信息公示系统——小微企业名录”开标前一周内页面查询结果并加盖公章</w:t>
      </w:r>
    </w:p>
    <w:p>
      <w:pPr>
        <w:snapToGrid w:val="0"/>
        <w:spacing w:beforeLines="50" w:after="50" w:line="400" w:lineRule="exact"/>
        <w:rPr>
          <w:rFonts w:ascii="宋体" w:hAnsi="宋体" w:cs="宋体"/>
          <w:b/>
          <w:color w:val="auto"/>
          <w:sz w:val="28"/>
          <w:szCs w:val="28"/>
          <w:highlight w:val="none"/>
        </w:rPr>
      </w:pPr>
      <w:r>
        <w:rPr>
          <w:rFonts w:hint="eastAsia" w:ascii="宋体" w:hAnsi="宋体" w:cs="宋体"/>
          <w:b/>
          <w:color w:val="auto"/>
          <w:sz w:val="28"/>
          <w:szCs w:val="28"/>
          <w:highlight w:val="none"/>
        </w:rPr>
        <w:t>说明：根据财库〔2011〕181号的相关规定，在评审时对小型和微型企业的投标报价给予相应的扣除（详见磋商供应商须知前附表），取扣除后的价格作为最终投标报价（此最终投标报价仅作为价格分计算）。属于小型和微型企业的，响应文件中必须同时提供《中小企业声明函》、“国家企业信用信息公示系统——小微企业名录”页面查询结果（查询时间为投标前一周内，并加盖单位公章）。(注：未提供以上材料的，均不给予价格扣除)</w:t>
      </w:r>
    </w:p>
    <w:p>
      <w:pPr>
        <w:spacing w:line="400" w:lineRule="exact"/>
        <w:rPr>
          <w:rFonts w:ascii="宋体" w:hAnsi="宋体" w:cs="宋体"/>
          <w:color w:val="auto"/>
          <w:highlight w:val="none"/>
        </w:rPr>
      </w:pPr>
      <w:r>
        <w:rPr>
          <w:rFonts w:hint="eastAsia" w:ascii="宋体" w:hAnsi="宋体" w:cs="宋体"/>
          <w:color w:val="auto"/>
          <w:sz w:val="30"/>
          <w:szCs w:val="30"/>
          <w:highlight w:val="none"/>
        </w:rPr>
        <w:br w:type="page"/>
      </w:r>
    </w:p>
    <w:p>
      <w:pPr>
        <w:spacing w:line="400"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pPr>
        <w:spacing w:line="400" w:lineRule="exact"/>
        <w:rPr>
          <w:rFonts w:ascii="宋体" w:hAnsi="宋体" w:cs="宋体"/>
          <w:b/>
          <w:color w:val="auto"/>
          <w:spacing w:val="6"/>
          <w:sz w:val="30"/>
          <w:szCs w:val="30"/>
          <w:highlight w:val="none"/>
        </w:rPr>
      </w:pPr>
    </w:p>
    <w:p>
      <w:pPr>
        <w:snapToGrid w:val="0"/>
        <w:spacing w:line="4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8"/>
          <w:szCs w:val="28"/>
          <w:highlight w:val="none"/>
          <w:u w:val="single"/>
        </w:rPr>
        <w:t>______</w:t>
      </w:r>
      <w:r>
        <w:rPr>
          <w:rFonts w:hint="eastAsia" w:ascii="宋体" w:hAnsi="宋体" w:cs="宋体"/>
          <w:color w:val="auto"/>
          <w:sz w:val="28"/>
          <w:szCs w:val="28"/>
          <w:highlight w:val="none"/>
        </w:rPr>
        <w:t>单位的</w:t>
      </w:r>
      <w:r>
        <w:rPr>
          <w:rFonts w:hint="eastAsia" w:ascii="宋体" w:hAnsi="宋体" w:cs="宋体"/>
          <w:color w:val="auto"/>
          <w:sz w:val="28"/>
          <w:szCs w:val="28"/>
          <w:highlight w:val="none"/>
          <w:u w:val="single"/>
        </w:rPr>
        <w:t>______</w:t>
      </w:r>
      <w:r>
        <w:rPr>
          <w:rFonts w:hint="eastAsia" w:ascii="宋体" w:hAnsi="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本单位对上述声明的真实性负责。如有虚假，将依法承担相应责任。</w:t>
      </w:r>
    </w:p>
    <w:p>
      <w:pPr>
        <w:snapToGrid w:val="0"/>
        <w:spacing w:line="400" w:lineRule="exact"/>
        <w:ind w:firstLine="560" w:firstLineChars="200"/>
        <w:rPr>
          <w:rFonts w:ascii="宋体" w:hAnsi="宋体" w:cs="宋体"/>
          <w:color w:val="auto"/>
          <w:sz w:val="28"/>
          <w:szCs w:val="28"/>
          <w:highlight w:val="none"/>
        </w:rPr>
      </w:pPr>
    </w:p>
    <w:p>
      <w:pPr>
        <w:spacing w:line="400" w:lineRule="exact"/>
        <w:ind w:firstLine="624" w:firstLineChars="200"/>
        <w:rPr>
          <w:rFonts w:ascii="宋体" w:hAnsi="宋体" w:cs="宋体"/>
          <w:color w:val="auto"/>
          <w:spacing w:val="6"/>
          <w:sz w:val="30"/>
          <w:szCs w:val="30"/>
          <w:highlight w:val="none"/>
        </w:rPr>
      </w:pPr>
    </w:p>
    <w:p>
      <w:pPr>
        <w:snapToGrid w:val="0"/>
        <w:spacing w:line="40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单位名称（盖章）：</w:t>
      </w:r>
    </w:p>
    <w:p>
      <w:pPr>
        <w:snapToGrid w:val="0"/>
        <w:spacing w:line="400" w:lineRule="exact"/>
        <w:ind w:firstLine="560" w:firstLineChars="2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日  期：</w:t>
      </w:r>
    </w:p>
    <w:p>
      <w:pPr>
        <w:spacing w:line="400" w:lineRule="exact"/>
        <w:rPr>
          <w:rFonts w:ascii="宋体" w:hAnsi="宋体" w:cs="宋体"/>
          <w:color w:val="auto"/>
          <w:sz w:val="24"/>
          <w:highlight w:val="none"/>
        </w:rPr>
      </w:pPr>
    </w:p>
    <w:p>
      <w:pPr>
        <w:spacing w:line="400" w:lineRule="exact"/>
        <w:jc w:val="left"/>
        <w:rPr>
          <w:rFonts w:ascii="宋体" w:hAnsi="宋体" w:cs="宋体"/>
          <w:color w:val="auto"/>
          <w:sz w:val="30"/>
          <w:szCs w:val="30"/>
          <w:highlight w:val="none"/>
        </w:rPr>
      </w:pPr>
    </w:p>
    <w:p>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政府采购支持中小企业信用融资相关事项通知</w:t>
      </w:r>
    </w:p>
    <w:p>
      <w:pPr>
        <w:spacing w:line="400" w:lineRule="exact"/>
        <w:rPr>
          <w:rFonts w:ascii="宋体" w:hAnsi="宋体" w:cs="宋体"/>
          <w:b/>
          <w:color w:val="auto"/>
          <w:sz w:val="32"/>
          <w:szCs w:val="32"/>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为支持和促进中小企业发展，进一步发挥政府采购政策功能，杭州市财政局与省银监局、市金融办、市经信局共同出台了《杭州市政府采购支持中小企业信用融资管理办法》，现将相关事项通知如下：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在政采云上注册入库，并取得杭州市政府采购合同的中小企业供应商。</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请登陆杭州市政府采购网（</w:t>
      </w:r>
      <w:r>
        <w:rPr>
          <w:color w:val="auto"/>
          <w:highlight w:val="none"/>
        </w:rPr>
        <w:fldChar w:fldCharType="begin"/>
      </w:r>
      <w:r>
        <w:rPr>
          <w:color w:val="auto"/>
          <w:highlight w:val="none"/>
        </w:rPr>
        <w:instrText xml:space="preserve"> HYPERLINK "http://cg.hzft.gov.cn" </w:instrText>
      </w:r>
      <w:r>
        <w:rPr>
          <w:color w:val="auto"/>
          <w:highlight w:val="none"/>
        </w:rPr>
        <w:fldChar w:fldCharType="separate"/>
      </w:r>
      <w:r>
        <w:rPr>
          <w:rStyle w:val="42"/>
          <w:rFonts w:hint="eastAsia" w:ascii="宋体" w:hAnsi="宋体" w:cs="宋体"/>
          <w:color w:val="auto"/>
          <w:sz w:val="24"/>
          <w:highlight w:val="none"/>
        </w:rPr>
        <w:t>http://cg.hzft.gov.cn</w:t>
      </w:r>
      <w:r>
        <w:rPr>
          <w:rStyle w:val="42"/>
          <w:rFonts w:hint="eastAsia" w:ascii="宋体" w:hAnsi="宋体" w:cs="宋体"/>
          <w:color w:val="auto"/>
          <w:sz w:val="24"/>
          <w:highlight w:val="none"/>
        </w:rPr>
        <w:fldChar w:fldCharType="end"/>
      </w:r>
      <w:r>
        <w:rPr>
          <w:rFonts w:hint="eastAsia" w:ascii="宋体" w:hAnsi="宋体" w:cs="宋体"/>
          <w:color w:val="auto"/>
          <w:sz w:val="24"/>
          <w:highlight w:val="none"/>
        </w:rPr>
        <w:t>）“中小企业信用融资”专栏，可查看信用融资政策文件及各相关银行服务方案。</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三、申请方式和步骤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1、供应商若有融资意向，需先与合作银行对接，办理相关融资前期手续；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2、中标后，供应商应与采购单位或者采购机构及时联系，告知融资需求；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3、采购单位或者采购机构在政府采购信息系统录入中标合同信息时，须在合同备案页“是否为可融资合同”前打勾，并选择相应的信用融资合作银行，录入账号信息；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4、相关信息录入后，相关合作银行将在政府采购信息系统查询到合同备案信息，经审核，与供应商联系并办理相关融资事宜。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400" w:lineRule="exact"/>
        <w:ind w:firstLine="480" w:firstLineChars="200"/>
        <w:rPr>
          <w:rFonts w:ascii="宋体" w:hAnsi="宋体" w:cs="宋体"/>
          <w:color w:val="auto"/>
          <w:sz w:val="28"/>
          <w:szCs w:val="28"/>
          <w:highlight w:val="none"/>
        </w:rPr>
      </w:pPr>
      <w:r>
        <w:rPr>
          <w:rFonts w:hint="eastAsia" w:ascii="宋体" w:hAnsi="宋体" w:cs="宋体"/>
          <w:color w:val="auto"/>
          <w:sz w:val="24"/>
          <w:highlight w:val="none"/>
        </w:rPr>
        <w:t>请各采购单位和采购机构积极支持和配合政府采购信用融资工作，在合同备案环节务必请仔细核对收款银行、账号信息等内容，一旦录入将无法修改。</w:t>
      </w:r>
    </w:p>
    <w:p>
      <w:pPr>
        <w:snapToGrid w:val="0"/>
        <w:spacing w:line="400" w:lineRule="exact"/>
        <w:ind w:firstLine="560" w:firstLineChars="200"/>
        <w:rPr>
          <w:rFonts w:ascii="宋体" w:hAnsi="宋体" w:cs="宋体"/>
          <w:color w:val="auto"/>
          <w:sz w:val="28"/>
          <w:szCs w:val="28"/>
          <w:highlight w:val="none"/>
        </w:rPr>
      </w:pPr>
    </w:p>
    <w:p>
      <w:pPr>
        <w:jc w:val="center"/>
        <w:rPr>
          <w:rFonts w:ascii="宋体" w:hAnsi="宋体" w:cs="宋体"/>
          <w:b/>
          <w:bCs/>
          <w:color w:val="auto"/>
          <w:kern w:val="0"/>
          <w:sz w:val="24"/>
          <w:highlight w:val="none"/>
        </w:rPr>
      </w:pPr>
    </w:p>
    <w:p>
      <w:pPr>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jc w:val="center"/>
        <w:outlineLvl w:val="1"/>
        <w:rPr>
          <w:rFonts w:ascii="宋体" w:hAnsi="宋体" w:cs="宋体"/>
          <w:b/>
          <w:bCs/>
          <w:color w:val="auto"/>
          <w:kern w:val="0"/>
          <w:sz w:val="32"/>
          <w:szCs w:val="32"/>
          <w:highlight w:val="none"/>
        </w:rPr>
      </w:pPr>
      <w:bookmarkStart w:id="56" w:name="_Toc8619"/>
      <w:r>
        <w:rPr>
          <w:rFonts w:hint="eastAsia" w:ascii="宋体" w:hAnsi="宋体" w:cs="宋体"/>
          <w:b/>
          <w:bCs/>
          <w:color w:val="auto"/>
          <w:kern w:val="0"/>
          <w:sz w:val="32"/>
          <w:szCs w:val="32"/>
          <w:highlight w:val="none"/>
        </w:rPr>
        <w:t>商务</w:t>
      </w:r>
      <w:bookmarkStart w:id="57" w:name="_Toc3749"/>
      <w:r>
        <w:rPr>
          <w:rFonts w:hint="eastAsia" w:ascii="宋体" w:hAnsi="宋体" w:cs="宋体"/>
          <w:b/>
          <w:bCs/>
          <w:color w:val="auto"/>
          <w:kern w:val="0"/>
          <w:sz w:val="32"/>
          <w:szCs w:val="32"/>
          <w:highlight w:val="none"/>
        </w:rPr>
        <w:t>技术文件</w:t>
      </w:r>
      <w:bookmarkEnd w:id="56"/>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目 录</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zh-CN"/>
        </w:rPr>
        <w:t>（1）</w:t>
      </w:r>
      <w:r>
        <w:rPr>
          <w:rFonts w:hint="eastAsia" w:ascii="宋体" w:hAnsi="宋体" w:eastAsia="宋体" w:cs="宋体"/>
          <w:color w:val="auto"/>
          <w:highlight w:val="none"/>
        </w:rPr>
        <w:t>法定代表人资格证明书；</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zh-CN"/>
        </w:rPr>
        <w:t>（2）</w:t>
      </w:r>
      <w:r>
        <w:rPr>
          <w:rFonts w:hint="eastAsia" w:ascii="宋体" w:hAnsi="宋体" w:eastAsia="宋体" w:cs="宋体"/>
          <w:color w:val="auto"/>
          <w:highlight w:val="none"/>
        </w:rPr>
        <w:t>法定代表人授权委托书；</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color w:val="auto"/>
          <w:highlight w:val="none"/>
        </w:rPr>
        <w:t>商务偏离说明表；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w:t>
      </w:r>
      <w:r>
        <w:rPr>
          <w:rFonts w:hint="eastAsia" w:ascii="宋体" w:hAnsi="宋体" w:eastAsia="宋体" w:cs="宋体"/>
          <w:color w:val="auto"/>
          <w:highlight w:val="none"/>
        </w:rPr>
        <w:t>技术偏离说明表；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w:t>
      </w:r>
      <w:r>
        <w:rPr>
          <w:rFonts w:hint="eastAsia" w:ascii="宋体" w:hAnsi="宋体" w:eastAsia="宋体" w:cs="宋体"/>
          <w:color w:val="auto"/>
          <w:highlight w:val="none"/>
        </w:rPr>
        <w:t>磋商供应商基本情况表；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w:t>
      </w:r>
      <w:r>
        <w:rPr>
          <w:rFonts w:hint="eastAsia" w:ascii="宋体" w:hAnsi="宋体" w:eastAsia="宋体" w:cs="宋体"/>
          <w:color w:val="auto"/>
          <w:highlight w:val="none"/>
        </w:rPr>
        <w:t>企业简介、资质、信用、荣誉、管理体系认证等资料；</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w:t>
      </w:r>
      <w:r>
        <w:rPr>
          <w:rFonts w:hint="eastAsia" w:ascii="宋体" w:hAnsi="宋体" w:eastAsia="宋体" w:cs="宋体"/>
          <w:color w:val="auto"/>
          <w:highlight w:val="none"/>
        </w:rPr>
        <w:t>类似项目业绩一览表；</w:t>
      </w:r>
    </w:p>
    <w:p>
      <w:pPr>
        <w:pStyle w:val="102"/>
        <w:adjustRightInd/>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w:t>
      </w:r>
      <w:r>
        <w:rPr>
          <w:rFonts w:hint="eastAsia" w:ascii="宋体" w:hAnsi="宋体" w:eastAsia="宋体" w:cs="宋体"/>
          <w:color w:val="auto"/>
          <w:highlight w:val="none"/>
        </w:rPr>
        <w:t>服务团队</w:t>
      </w:r>
      <w:r>
        <w:rPr>
          <w:rFonts w:hint="eastAsia" w:ascii="宋体" w:hAnsi="宋体" w:eastAsia="宋体" w:cs="宋体"/>
          <w:color w:val="auto"/>
          <w:highlight w:val="none"/>
          <w:lang w:val="zh-CN"/>
        </w:rPr>
        <w:t>人员名单；</w:t>
      </w:r>
    </w:p>
    <w:p>
      <w:pPr>
        <w:spacing w:line="312" w:lineRule="auto"/>
        <w:ind w:firstLine="480" w:firstLineChars="200"/>
        <w:rPr>
          <w:rFonts w:ascii="宋体" w:hAnsi="宋体" w:cs="宋体"/>
          <w:color w:val="auto"/>
          <w:sz w:val="24"/>
          <w:highlight w:val="none"/>
          <w:lang w:val="zh-CN"/>
        </w:rPr>
      </w:pPr>
      <w:r>
        <w:rPr>
          <w:rFonts w:hint="eastAsia" w:ascii="宋体" w:hAnsi="宋体" w:cs="宋体"/>
          <w:color w:val="auto"/>
          <w:kern w:val="0"/>
          <w:sz w:val="24"/>
          <w:highlight w:val="none"/>
        </w:rPr>
        <w:t>（9）</w:t>
      </w:r>
      <w:r>
        <w:rPr>
          <w:rFonts w:hint="eastAsia" w:ascii="宋体" w:hAnsi="宋体" w:cs="宋体"/>
          <w:color w:val="auto"/>
          <w:sz w:val="24"/>
          <w:highlight w:val="none"/>
          <w:lang w:val="zh-CN"/>
        </w:rPr>
        <w:t>疗休养策划方案；</w:t>
      </w:r>
    </w:p>
    <w:p>
      <w:pPr>
        <w:spacing w:line="312"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10</w:t>
      </w:r>
      <w:r>
        <w:rPr>
          <w:rFonts w:hint="eastAsia" w:ascii="宋体" w:hAnsi="宋体" w:cs="宋体"/>
          <w:color w:val="auto"/>
          <w:sz w:val="24"/>
          <w:highlight w:val="none"/>
          <w:lang w:val="zh-CN"/>
        </w:rPr>
        <w:t>）服务期内投入的服务设备及车辆一览表；</w:t>
      </w:r>
    </w:p>
    <w:p>
      <w:pPr>
        <w:spacing w:line="312"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（11）服务实施计划</w:t>
      </w:r>
      <w:r>
        <w:rPr>
          <w:rFonts w:hint="eastAsia" w:ascii="宋体" w:hAnsi="宋体" w:cs="宋体"/>
          <w:color w:val="auto"/>
          <w:sz w:val="24"/>
          <w:highlight w:val="none"/>
        </w:rPr>
        <w:t>；</w:t>
      </w:r>
    </w:p>
    <w:p>
      <w:pPr>
        <w:spacing w:line="312"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rPr>
        <w:t>（12）</w:t>
      </w:r>
      <w:r>
        <w:rPr>
          <w:rFonts w:hint="eastAsia" w:ascii="宋体" w:hAnsi="宋体" w:cs="宋体"/>
          <w:color w:val="auto"/>
          <w:kern w:val="0"/>
          <w:sz w:val="24"/>
          <w:highlight w:val="none"/>
          <w:lang w:val="zh-CN"/>
        </w:rPr>
        <w:t>详细项目费用计划及项目进度安排；</w:t>
      </w:r>
    </w:p>
    <w:p>
      <w:pPr>
        <w:spacing w:line="312"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13</w:t>
      </w:r>
      <w:r>
        <w:rPr>
          <w:rFonts w:hint="eastAsia" w:ascii="宋体" w:hAnsi="宋体" w:cs="宋体"/>
          <w:color w:val="auto"/>
          <w:kern w:val="0"/>
          <w:sz w:val="24"/>
          <w:highlight w:val="none"/>
          <w:lang w:val="zh-CN"/>
        </w:rPr>
        <w:t>）服务质量标准；</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（14）免费增值服务；</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15</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磋商供应商提供的承诺和优惠；</w:t>
      </w:r>
    </w:p>
    <w:p>
      <w:pPr>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16</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磋商供应商认为需提供的其他文件；</w:t>
      </w:r>
    </w:p>
    <w:p>
      <w:pPr>
        <w:adjustRightInd w:val="0"/>
        <w:spacing w:line="360" w:lineRule="auto"/>
        <w:rPr>
          <w:rFonts w:ascii="宋体" w:hAnsi="宋体" w:cs="宋体"/>
          <w:b/>
          <w:bCs/>
          <w:color w:val="auto"/>
          <w:sz w:val="24"/>
          <w:highlight w:val="none"/>
        </w:rPr>
      </w:pPr>
    </w:p>
    <w:p>
      <w:pPr>
        <w:adjustRightIn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注：以上目录是编制投标技术商务文件的基本格式要求，各磋商供应商可根据自身情况进一步细化。</w:t>
      </w:r>
    </w:p>
    <w:p>
      <w:pPr>
        <w:adjustRightInd w:val="0"/>
        <w:spacing w:line="360" w:lineRule="auto"/>
        <w:rPr>
          <w:rFonts w:ascii="宋体" w:hAnsi="宋体" w:cs="宋体"/>
          <w:b/>
          <w:bCs/>
          <w:color w:val="auto"/>
          <w:sz w:val="24"/>
          <w:highlight w:val="none"/>
        </w:rPr>
      </w:pPr>
    </w:p>
    <w:p>
      <w:pPr>
        <w:numPr>
          <w:ilvl w:val="0"/>
          <w:numId w:val="10"/>
        </w:numPr>
        <w:spacing w:line="360" w:lineRule="auto"/>
        <w:jc w:val="center"/>
        <w:outlineLvl w:val="2"/>
        <w:rPr>
          <w:rFonts w:ascii="宋体" w:hAnsi="宋体" w:cs="宋体"/>
          <w:b/>
          <w:color w:val="auto"/>
          <w:sz w:val="30"/>
          <w:szCs w:val="30"/>
          <w:highlight w:val="none"/>
        </w:rPr>
      </w:pPr>
      <w:r>
        <w:rPr>
          <w:rFonts w:hint="eastAsia" w:ascii="宋体" w:hAnsi="宋体" w:cs="宋体"/>
          <w:b/>
          <w:bCs/>
          <w:color w:val="auto"/>
          <w:sz w:val="30"/>
          <w:szCs w:val="30"/>
          <w:highlight w:val="none"/>
        </w:rPr>
        <w:br w:type="page"/>
      </w:r>
      <w:bookmarkStart w:id="58" w:name="_Toc22080"/>
      <w:r>
        <w:rPr>
          <w:rFonts w:hint="eastAsia" w:ascii="宋体" w:hAnsi="宋体" w:cs="宋体"/>
          <w:b/>
          <w:color w:val="auto"/>
          <w:sz w:val="30"/>
          <w:szCs w:val="30"/>
          <w:highlight w:val="none"/>
        </w:rPr>
        <w:t>法定代表人资格证明书</w:t>
      </w:r>
      <w:bookmarkEnd w:id="58"/>
    </w:p>
    <w:p>
      <w:pPr>
        <w:pStyle w:val="21"/>
        <w:adjustRightInd w:val="0"/>
        <w:spacing w:line="360" w:lineRule="auto"/>
        <w:ind w:firstLine="549" w:firstLineChars="229"/>
        <w:rPr>
          <w:rFonts w:hint="default" w:hAnsi="宋体" w:cs="宋体"/>
          <w:color w:val="auto"/>
          <w:sz w:val="24"/>
          <w:szCs w:val="24"/>
          <w:highlight w:val="none"/>
          <w:u w:val="single"/>
        </w:rPr>
      </w:pPr>
      <w:r>
        <w:rPr>
          <w:rFonts w:hAnsi="宋体" w:cs="宋体"/>
          <w:color w:val="auto"/>
          <w:sz w:val="24"/>
          <w:szCs w:val="24"/>
          <w:highlight w:val="none"/>
          <w:u w:val="single"/>
        </w:rPr>
        <w:t xml:space="preserve">（采购人单位名称）：         </w:t>
      </w:r>
    </w:p>
    <w:p>
      <w:pPr>
        <w:pStyle w:val="21"/>
        <w:adjustRightInd w:val="0"/>
        <w:spacing w:line="360" w:lineRule="auto"/>
        <w:ind w:firstLine="482"/>
        <w:rPr>
          <w:rFonts w:hint="default" w:hAnsi="宋体" w:cs="宋体"/>
          <w:color w:val="auto"/>
          <w:sz w:val="24"/>
          <w:szCs w:val="24"/>
          <w:highlight w:val="none"/>
        </w:rPr>
      </w:pPr>
      <w:r>
        <w:rPr>
          <w:rFonts w:hAnsi="宋体" w:cs="宋体"/>
          <w:color w:val="auto"/>
          <w:sz w:val="24"/>
          <w:szCs w:val="24"/>
          <w:highlight w:val="none"/>
          <w:u w:val="single"/>
        </w:rPr>
        <w:t>浙江五石工程咨询有限公司：</w:t>
      </w:r>
    </w:p>
    <w:p>
      <w:pPr>
        <w:pStyle w:val="17"/>
        <w:spacing w:line="360" w:lineRule="auto"/>
        <w:rPr>
          <w:rFonts w:ascii="宋体" w:hAnsi="宋体" w:eastAsia="宋体" w:cs="宋体"/>
          <w:snapToGrid w:val="0"/>
          <w:color w:val="auto"/>
          <w:szCs w:val="24"/>
          <w:highlight w:val="none"/>
        </w:rPr>
      </w:pPr>
      <w:r>
        <w:rPr>
          <w:rFonts w:hint="eastAsia" w:ascii="宋体" w:hAnsi="宋体" w:eastAsia="宋体" w:cs="宋体"/>
          <w:snapToGrid w:val="0"/>
          <w:color w:val="auto"/>
          <w:szCs w:val="24"/>
          <w:highlight w:val="none"/>
          <w:u w:val="single"/>
        </w:rPr>
        <w:t xml:space="preserve">     （姓名）    </w:t>
      </w:r>
      <w:r>
        <w:rPr>
          <w:rFonts w:hint="eastAsia" w:ascii="宋体" w:hAnsi="宋体" w:eastAsia="宋体" w:cs="宋体"/>
          <w:snapToGrid w:val="0"/>
          <w:color w:val="auto"/>
          <w:szCs w:val="24"/>
          <w:highlight w:val="none"/>
        </w:rPr>
        <w:t>系</w:t>
      </w:r>
      <w:r>
        <w:rPr>
          <w:rFonts w:hint="eastAsia" w:ascii="宋体" w:hAnsi="宋体" w:eastAsia="宋体" w:cs="宋体"/>
          <w:snapToGrid w:val="0"/>
          <w:color w:val="auto"/>
          <w:szCs w:val="24"/>
          <w:highlight w:val="none"/>
          <w:u w:val="single"/>
        </w:rPr>
        <w:t xml:space="preserve">  （单位名称）  </w:t>
      </w:r>
      <w:r>
        <w:rPr>
          <w:rFonts w:hint="eastAsia" w:ascii="宋体" w:hAnsi="宋体" w:eastAsia="宋体" w:cs="宋体"/>
          <w:snapToGrid w:val="0"/>
          <w:color w:val="auto"/>
          <w:szCs w:val="24"/>
          <w:highlight w:val="none"/>
        </w:rPr>
        <w:t>的法定代表人，</w:t>
      </w:r>
      <w:r>
        <w:rPr>
          <w:rFonts w:hint="eastAsia" w:ascii="宋体" w:hAnsi="宋体" w:eastAsia="宋体" w:cs="宋体"/>
          <w:snapToGrid w:val="0"/>
          <w:color w:val="auto"/>
          <w:szCs w:val="24"/>
          <w:highlight w:val="none"/>
          <w:u w:val="single"/>
        </w:rPr>
        <w:t xml:space="preserve">   （身份证号）     </w:t>
      </w:r>
      <w:r>
        <w:rPr>
          <w:rFonts w:hint="eastAsia" w:ascii="宋体" w:hAnsi="宋体" w:eastAsia="宋体" w:cs="宋体"/>
          <w:snapToGrid w:val="0"/>
          <w:color w:val="auto"/>
          <w:szCs w:val="24"/>
          <w:highlight w:val="none"/>
        </w:rPr>
        <w:t>。</w:t>
      </w:r>
    </w:p>
    <w:p>
      <w:pPr>
        <w:pStyle w:val="17"/>
        <w:spacing w:line="360" w:lineRule="auto"/>
        <w:rPr>
          <w:rFonts w:ascii="宋体" w:hAnsi="宋体" w:eastAsia="宋体" w:cs="宋体"/>
          <w:snapToGrid w:val="0"/>
          <w:color w:val="auto"/>
          <w:szCs w:val="24"/>
          <w:highlight w:val="none"/>
        </w:rPr>
      </w:pPr>
      <w:r>
        <w:rPr>
          <w:rFonts w:hint="eastAsia" w:ascii="宋体" w:hAnsi="宋体" w:eastAsia="宋体" w:cs="宋体"/>
          <w:snapToGrid w:val="0"/>
          <w:color w:val="auto"/>
          <w:szCs w:val="24"/>
          <w:highlight w:val="none"/>
        </w:rPr>
        <w:t>特此证明。</w:t>
      </w:r>
    </w:p>
    <w:p>
      <w:pPr>
        <w:pStyle w:val="17"/>
        <w:spacing w:line="360" w:lineRule="auto"/>
        <w:rPr>
          <w:rFonts w:ascii="宋体" w:hAnsi="宋体" w:eastAsia="宋体" w:cs="宋体"/>
          <w:snapToGrid w:val="0"/>
          <w:color w:val="auto"/>
          <w:szCs w:val="24"/>
          <w:highlight w:val="none"/>
        </w:rPr>
      </w:pPr>
      <w:r>
        <w:rPr>
          <w:rFonts w:hint="eastAsia" w:ascii="宋体" w:hAnsi="宋体" w:eastAsia="宋体" w:cs="宋体"/>
          <w:snapToGrid w:val="0"/>
          <w:color w:val="auto"/>
          <w:szCs w:val="24"/>
          <w:highlight w:val="none"/>
        </w:rPr>
        <w:t>磋商供应商：（盖单位公章）</w:t>
      </w:r>
    </w:p>
    <w:p>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日期：年月日</w:t>
      </w:r>
    </w:p>
    <w:p>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附：</w:t>
      </w:r>
    </w:p>
    <w:p>
      <w:pPr>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法定代表人联系方式及身份证复印件</w:t>
      </w:r>
    </w:p>
    <w:p>
      <w:pPr>
        <w:adjustRightInd w:val="0"/>
        <w:snapToGrid w:val="0"/>
        <w:spacing w:line="360" w:lineRule="auto"/>
        <w:ind w:firstLine="482" w:firstLineChars="200"/>
        <w:rPr>
          <w:rFonts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注：法定代表人直接签署响应文件并参加投标的，在响应文件中出具此资格证明书及身份证复印件。</w:t>
      </w:r>
    </w:p>
    <w:p>
      <w:pPr>
        <w:bidi w:val="0"/>
        <w:rPr>
          <w:color w:val="auto"/>
          <w:highlight w:val="none"/>
        </w:rPr>
      </w:pPr>
    </w:p>
    <w:p>
      <w:pPr>
        <w:numPr>
          <w:ilvl w:val="255"/>
          <w:numId w:val="0"/>
        </w:numPr>
        <w:jc w:val="left"/>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numPr>
          <w:ilvl w:val="0"/>
          <w:numId w:val="10"/>
        </w:numPr>
        <w:spacing w:line="360" w:lineRule="auto"/>
        <w:jc w:val="center"/>
        <w:outlineLvl w:val="2"/>
        <w:rPr>
          <w:rFonts w:ascii="宋体" w:hAnsi="宋体" w:cs="宋体"/>
          <w:b/>
          <w:color w:val="auto"/>
          <w:sz w:val="30"/>
          <w:szCs w:val="30"/>
          <w:highlight w:val="none"/>
        </w:rPr>
      </w:pPr>
      <w:bookmarkStart w:id="59" w:name="_Toc16486"/>
      <w:r>
        <w:rPr>
          <w:rFonts w:hint="eastAsia" w:ascii="宋体" w:hAnsi="宋体" w:cs="宋体"/>
          <w:b/>
          <w:color w:val="auto"/>
          <w:sz w:val="30"/>
          <w:szCs w:val="30"/>
          <w:highlight w:val="none"/>
        </w:rPr>
        <w:t>法定代表人授权委托书</w:t>
      </w:r>
      <w:bookmarkEnd w:id="59"/>
    </w:p>
    <w:p>
      <w:pPr>
        <w:pStyle w:val="21"/>
        <w:adjustRightInd w:val="0"/>
        <w:spacing w:line="360" w:lineRule="auto"/>
        <w:ind w:firstLine="480" w:firstLineChars="200"/>
        <w:rPr>
          <w:rFonts w:hint="default" w:hAnsi="宋体" w:cs="宋体"/>
          <w:color w:val="auto"/>
          <w:sz w:val="24"/>
          <w:szCs w:val="24"/>
          <w:highlight w:val="none"/>
          <w:u w:val="single"/>
        </w:rPr>
      </w:pPr>
      <w:r>
        <w:rPr>
          <w:rFonts w:hAnsi="宋体" w:cs="宋体"/>
          <w:color w:val="auto"/>
          <w:sz w:val="24"/>
          <w:szCs w:val="24"/>
          <w:highlight w:val="none"/>
          <w:u w:val="single"/>
        </w:rPr>
        <w:t>（采购人单位名称）：</w:t>
      </w:r>
    </w:p>
    <w:p>
      <w:pPr>
        <w:pStyle w:val="21"/>
        <w:adjustRightInd w:val="0"/>
        <w:spacing w:line="360" w:lineRule="auto"/>
        <w:ind w:firstLine="480" w:firstLineChars="200"/>
        <w:rPr>
          <w:rFonts w:hint="default" w:hAnsi="宋体" w:cs="宋体"/>
          <w:color w:val="auto"/>
          <w:sz w:val="24"/>
          <w:szCs w:val="24"/>
          <w:highlight w:val="none"/>
          <w:u w:val="single"/>
        </w:rPr>
      </w:pPr>
      <w:r>
        <w:rPr>
          <w:rFonts w:hAnsi="宋体" w:cs="宋体"/>
          <w:color w:val="auto"/>
          <w:sz w:val="24"/>
          <w:szCs w:val="24"/>
          <w:highlight w:val="none"/>
          <w:u w:val="single"/>
        </w:rPr>
        <w:t>浙江五石工程咨询有限公司：</w:t>
      </w:r>
    </w:p>
    <w:p>
      <w:pPr>
        <w:pStyle w:val="21"/>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我以</w:t>
      </w:r>
      <w:r>
        <w:rPr>
          <w:rFonts w:hAnsi="宋体" w:cs="宋体"/>
          <w:color w:val="auto"/>
          <w:sz w:val="24"/>
          <w:szCs w:val="24"/>
          <w:highlight w:val="none"/>
          <w:u w:val="single"/>
        </w:rPr>
        <w:t xml:space="preserve">        （磋商供应商全称）    </w:t>
      </w:r>
      <w:r>
        <w:rPr>
          <w:rFonts w:hAnsi="宋体" w:cs="宋体"/>
          <w:color w:val="auto"/>
          <w:sz w:val="24"/>
          <w:szCs w:val="24"/>
          <w:highlight w:val="none"/>
        </w:rPr>
        <w:t>法定代表人的身份授权我单位在职员工</w:t>
      </w:r>
      <w:r>
        <w:rPr>
          <w:rFonts w:hAnsi="宋体" w:cs="宋体"/>
          <w:color w:val="auto"/>
          <w:sz w:val="24"/>
          <w:szCs w:val="24"/>
          <w:highlight w:val="none"/>
          <w:u w:val="single"/>
        </w:rPr>
        <w:t>（全权代表姓名）</w:t>
      </w:r>
      <w:r>
        <w:rPr>
          <w:rFonts w:hAnsi="宋体" w:cs="宋体"/>
          <w:color w:val="auto"/>
          <w:sz w:val="24"/>
          <w:szCs w:val="24"/>
          <w:highlight w:val="none"/>
        </w:rPr>
        <w:t>、</w:t>
      </w:r>
      <w:r>
        <w:rPr>
          <w:rFonts w:hAnsi="宋体" w:cs="宋体"/>
          <w:color w:val="auto"/>
          <w:sz w:val="24"/>
          <w:szCs w:val="24"/>
          <w:highlight w:val="none"/>
          <w:u w:val="single"/>
        </w:rPr>
        <w:t xml:space="preserve">  （身份证号</w:t>
      </w:r>
      <w:r>
        <w:rPr>
          <w:rFonts w:hAnsi="宋体" w:cs="宋体"/>
          <w:color w:val="auto"/>
          <w:sz w:val="24"/>
          <w:szCs w:val="24"/>
          <w:highlight w:val="none"/>
          <w:u w:val="single"/>
        </w:rPr>
        <w:tab/>
      </w:r>
      <w:r>
        <w:rPr>
          <w:rFonts w:hAnsi="宋体" w:cs="宋体"/>
          <w:color w:val="auto"/>
          <w:sz w:val="24"/>
          <w:szCs w:val="24"/>
          <w:highlight w:val="none"/>
          <w:u w:val="single"/>
        </w:rPr>
        <w:tab/>
      </w:r>
      <w:r>
        <w:rPr>
          <w:rFonts w:hAnsi="宋体" w:cs="宋体"/>
          <w:color w:val="auto"/>
          <w:sz w:val="24"/>
          <w:szCs w:val="24"/>
          <w:highlight w:val="none"/>
          <w:u w:val="single"/>
        </w:rPr>
        <w:t xml:space="preserve">）   </w:t>
      </w:r>
      <w:r>
        <w:rPr>
          <w:rFonts w:hAnsi="宋体" w:cs="宋体"/>
          <w:color w:val="auto"/>
          <w:sz w:val="24"/>
          <w:szCs w:val="24"/>
          <w:highlight w:val="none"/>
        </w:rPr>
        <w:t>，为我单位的全权代表，参加贵处组织的</w:t>
      </w:r>
      <w:r>
        <w:rPr>
          <w:rFonts w:hAnsi="宋体" w:cs="宋体"/>
          <w:color w:val="auto"/>
          <w:sz w:val="24"/>
          <w:szCs w:val="24"/>
          <w:highlight w:val="none"/>
          <w:u w:val="single"/>
        </w:rPr>
        <w:t xml:space="preserve">  （项目名称）标项（  ）</w:t>
      </w:r>
      <w:r>
        <w:rPr>
          <w:rFonts w:hAnsi="宋体" w:cs="宋体"/>
          <w:color w:val="auto"/>
          <w:sz w:val="24"/>
          <w:szCs w:val="24"/>
          <w:highlight w:val="none"/>
        </w:rPr>
        <w:t>（</w:t>
      </w:r>
      <w:r>
        <w:rPr>
          <w:rFonts w:hAnsi="宋体" w:cs="宋体"/>
          <w:color w:val="auto"/>
          <w:sz w:val="24"/>
          <w:szCs w:val="24"/>
          <w:highlight w:val="none"/>
          <w:u w:val="single"/>
        </w:rPr>
        <w:t>采购项目编号</w:t>
      </w:r>
      <w:r>
        <w:rPr>
          <w:rFonts w:hAnsi="宋体" w:cs="宋体"/>
          <w:color w:val="auto"/>
          <w:sz w:val="24"/>
          <w:szCs w:val="24"/>
          <w:highlight w:val="none"/>
        </w:rPr>
        <w:t>）的采购，签署本项目相关响应文件并全权处理投标活动中的一切事宜。我单位承认全权代表做出的与本项目招投标活动有关的全部行为。</w:t>
      </w:r>
    </w:p>
    <w:p>
      <w:pPr>
        <w:pStyle w:val="21"/>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磋商供应商全称（盖单位公章）：</w:t>
      </w:r>
    </w:p>
    <w:p>
      <w:pPr>
        <w:pStyle w:val="21"/>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法定代表人（签字或盖章）：</w:t>
      </w:r>
    </w:p>
    <w:p>
      <w:pPr>
        <w:pStyle w:val="21"/>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电话：</w:t>
      </w:r>
    </w:p>
    <w:p>
      <w:pPr>
        <w:pStyle w:val="21"/>
        <w:spacing w:line="360" w:lineRule="auto"/>
        <w:ind w:firstLine="480" w:firstLineChars="200"/>
        <w:rPr>
          <w:rFonts w:hint="default" w:hAnsi="宋体" w:cs="宋体"/>
          <w:color w:val="auto"/>
          <w:sz w:val="24"/>
          <w:szCs w:val="24"/>
          <w:highlight w:val="none"/>
        </w:rPr>
      </w:pPr>
      <w:r>
        <w:rPr>
          <w:rFonts w:hAnsi="宋体" w:cs="宋体"/>
          <w:color w:val="auto"/>
          <w:sz w:val="24"/>
          <w:szCs w:val="24"/>
          <w:highlight w:val="none"/>
        </w:rPr>
        <w:t>日期：</w:t>
      </w:r>
    </w:p>
    <w:p>
      <w:pPr>
        <w:pStyle w:val="21"/>
        <w:spacing w:line="360" w:lineRule="auto"/>
        <w:ind w:firstLine="480"/>
        <w:rPr>
          <w:rFonts w:hint="default" w:hAnsi="宋体" w:cs="宋体"/>
          <w:color w:val="auto"/>
          <w:sz w:val="24"/>
          <w:szCs w:val="24"/>
          <w:highlight w:val="none"/>
        </w:rPr>
      </w:pPr>
      <w:r>
        <w:rPr>
          <w:rFonts w:hAnsi="宋体" w:cs="宋体"/>
          <w:color w:val="auto"/>
          <w:sz w:val="24"/>
          <w:szCs w:val="24"/>
          <w:highlight w:val="none"/>
        </w:rPr>
        <w:t>附：</w:t>
      </w:r>
    </w:p>
    <w:p>
      <w:pPr>
        <w:pStyle w:val="21"/>
        <w:spacing w:line="360" w:lineRule="auto"/>
        <w:ind w:firstLine="480"/>
        <w:rPr>
          <w:rFonts w:hint="default" w:hAnsi="宋体" w:cs="宋体"/>
          <w:color w:val="auto"/>
          <w:sz w:val="24"/>
          <w:szCs w:val="24"/>
          <w:highlight w:val="none"/>
        </w:rPr>
      </w:pPr>
      <w:r>
        <w:rPr>
          <w:rFonts w:hAnsi="宋体" w:cs="宋体"/>
          <w:color w:val="auto"/>
          <w:sz w:val="24"/>
          <w:szCs w:val="24"/>
          <w:highlight w:val="none"/>
        </w:rPr>
        <w:t>全权代表姓名：     身份证号码：      职  务：         电  话：</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全权代表身份证复印件：</w:t>
      </w:r>
    </w:p>
    <w:p>
      <w:pPr>
        <w:spacing w:line="360" w:lineRule="auto"/>
        <w:ind w:firstLine="482" w:firstLineChars="200"/>
        <w:rPr>
          <w:rFonts w:ascii="宋体" w:hAnsi="宋体" w:cs="宋体"/>
          <w:b/>
          <w:color w:val="auto"/>
          <w:sz w:val="30"/>
          <w:szCs w:val="30"/>
          <w:highlight w:val="none"/>
        </w:rPr>
      </w:pPr>
      <w:r>
        <w:rPr>
          <w:rFonts w:hint="eastAsia" w:ascii="宋体" w:hAnsi="宋体" w:cs="宋体"/>
          <w:b/>
          <w:color w:val="auto"/>
          <w:sz w:val="24"/>
          <w:highlight w:val="none"/>
        </w:rPr>
        <w:t>注：法定代表人授权其公司员工签署及参加投标的，在响应文件中同时出具法定代表人资格证明书及此授权书，并附身份证复印件。响应文件格式中所提到的响应文件签署人是指以上两文件确定的签署人员。如参加开标并在开评标过程中签署文件的人员与响应文件签署人不一致，须另行提供授权书。</w:t>
      </w:r>
    </w:p>
    <w:p>
      <w:pPr>
        <w:numPr>
          <w:ilvl w:val="255"/>
          <w:numId w:val="0"/>
        </w:numPr>
        <w:jc w:val="left"/>
        <w:rPr>
          <w:rFonts w:ascii="宋体" w:hAnsi="宋体" w:cs="宋体"/>
          <w:b/>
          <w:bCs/>
          <w:color w:val="auto"/>
          <w:sz w:val="30"/>
          <w:szCs w:val="30"/>
          <w:highlight w:val="none"/>
        </w:rPr>
      </w:pPr>
      <w:r>
        <w:rPr>
          <w:rFonts w:hint="eastAsia" w:ascii="宋体" w:hAnsi="宋体" w:cs="宋体"/>
          <w:b/>
          <w:color w:val="auto"/>
          <w:sz w:val="30"/>
          <w:szCs w:val="30"/>
          <w:highlight w:val="none"/>
        </w:rPr>
        <w:br w:type="page"/>
      </w:r>
    </w:p>
    <w:p>
      <w:pPr>
        <w:numPr>
          <w:ilvl w:val="0"/>
          <w:numId w:val="10"/>
        </w:numPr>
        <w:spacing w:line="360" w:lineRule="auto"/>
        <w:jc w:val="center"/>
        <w:outlineLvl w:val="2"/>
        <w:rPr>
          <w:rFonts w:ascii="宋体" w:hAnsi="宋体" w:cs="宋体"/>
          <w:b/>
          <w:bCs/>
          <w:color w:val="auto"/>
          <w:sz w:val="30"/>
          <w:szCs w:val="30"/>
          <w:highlight w:val="none"/>
        </w:rPr>
      </w:pPr>
      <w:bookmarkStart w:id="60" w:name="_Toc31989"/>
      <w:r>
        <w:rPr>
          <w:rFonts w:hint="eastAsia" w:ascii="宋体" w:hAnsi="宋体" w:cs="宋体"/>
          <w:b/>
          <w:color w:val="auto"/>
          <w:sz w:val="30"/>
          <w:szCs w:val="30"/>
          <w:highlight w:val="none"/>
        </w:rPr>
        <w:t>商务偏离说明表</w:t>
      </w:r>
      <w:bookmarkEnd w:id="60"/>
    </w:p>
    <w:p>
      <w:pPr>
        <w:spacing w:line="360" w:lineRule="auto"/>
        <w:jc w:val="center"/>
        <w:rPr>
          <w:rFonts w:ascii="宋体" w:hAnsi="宋体" w:cs="宋体"/>
          <w:color w:val="auto"/>
          <w:sz w:val="24"/>
          <w:szCs w:val="18"/>
          <w:highlight w:val="none"/>
        </w:rPr>
      </w:pPr>
      <w:r>
        <w:rPr>
          <w:rFonts w:hint="eastAsia" w:ascii="宋体" w:hAnsi="宋体" w:cs="宋体"/>
          <w:color w:val="auto"/>
          <w:sz w:val="24"/>
          <w:szCs w:val="18"/>
          <w:highlight w:val="none"/>
        </w:rPr>
        <w:t>（由磋商供应商根据采购需求自行编制）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rPr>
          <w:rFonts w:ascii="宋体" w:hAnsi="宋体" w:cs="宋体"/>
          <w:color w:val="auto"/>
          <w:sz w:val="28"/>
          <w:highlight w:val="none"/>
        </w:rPr>
      </w:pPr>
      <w:r>
        <w:rPr>
          <w:rFonts w:hint="eastAsia" w:ascii="宋体" w:hAnsi="宋体" w:cs="宋体"/>
          <w:color w:val="auto"/>
          <w:sz w:val="24"/>
          <w:highlight w:val="none"/>
        </w:rPr>
        <w:t xml:space="preserve">项目编号：               </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3"/>
        <w:gridCol w:w="2223"/>
        <w:gridCol w:w="1980"/>
        <w:gridCol w:w="3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2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偏离</w:t>
            </w:r>
          </w:p>
        </w:tc>
        <w:tc>
          <w:tcPr>
            <w:tcW w:w="33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bl>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tabs>
          <w:tab w:val="left" w:pos="540"/>
        </w:tabs>
        <w:autoSpaceDE w:val="0"/>
        <w:autoSpaceDN w:val="0"/>
        <w:adjustRightInd w:val="0"/>
        <w:spacing w:line="360" w:lineRule="auto"/>
        <w:rPr>
          <w:rFonts w:ascii="宋体" w:hAnsi="宋体" w:cs="宋体"/>
          <w:color w:val="auto"/>
          <w:kern w:val="0"/>
          <w:sz w:val="24"/>
          <w:highlight w:val="none"/>
          <w:lang w:val="zh-CN"/>
        </w:rPr>
      </w:pPr>
    </w:p>
    <w:p>
      <w:pPr>
        <w:spacing w:line="360" w:lineRule="auto"/>
        <w:jc w:val="center"/>
        <w:outlineLvl w:val="2"/>
        <w:rPr>
          <w:rFonts w:ascii="宋体" w:hAnsi="宋体" w:cs="宋体"/>
          <w:b/>
          <w:bCs/>
          <w:color w:val="auto"/>
          <w:sz w:val="30"/>
          <w:szCs w:val="30"/>
          <w:highlight w:val="none"/>
        </w:rPr>
      </w:pPr>
      <w:bookmarkStart w:id="61" w:name="_Toc24115"/>
      <w:r>
        <w:rPr>
          <w:rFonts w:hint="eastAsia" w:ascii="宋体" w:hAnsi="宋体" w:cs="宋体"/>
          <w:b/>
          <w:color w:val="auto"/>
          <w:sz w:val="30"/>
          <w:szCs w:val="30"/>
          <w:highlight w:val="none"/>
        </w:rPr>
        <w:t>四、技术偏离说明表</w:t>
      </w:r>
      <w:bookmarkEnd w:id="61"/>
    </w:p>
    <w:p>
      <w:pPr>
        <w:spacing w:line="360" w:lineRule="auto"/>
        <w:jc w:val="center"/>
        <w:rPr>
          <w:rFonts w:ascii="宋体" w:hAnsi="宋体" w:cs="宋体"/>
          <w:color w:val="auto"/>
          <w:sz w:val="24"/>
          <w:szCs w:val="18"/>
          <w:highlight w:val="none"/>
        </w:rPr>
      </w:pPr>
      <w:r>
        <w:rPr>
          <w:rFonts w:hint="eastAsia" w:ascii="宋体" w:hAnsi="宋体" w:cs="宋体"/>
          <w:color w:val="auto"/>
          <w:sz w:val="24"/>
          <w:szCs w:val="18"/>
          <w:highlight w:val="none"/>
        </w:rPr>
        <w:t>（由磋商供应商根据采购需求自行编制）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pPr>
        <w:spacing w:line="360" w:lineRule="auto"/>
        <w:rPr>
          <w:rFonts w:ascii="宋体" w:hAnsi="宋体" w:cs="宋体"/>
          <w:color w:val="auto"/>
          <w:sz w:val="28"/>
          <w:highlight w:val="none"/>
        </w:rPr>
      </w:pPr>
      <w:r>
        <w:rPr>
          <w:rFonts w:hint="eastAsia" w:ascii="宋体" w:hAnsi="宋体" w:cs="宋体"/>
          <w:color w:val="auto"/>
          <w:sz w:val="24"/>
          <w:highlight w:val="none"/>
        </w:rPr>
        <w:t xml:space="preserve">项目编号：               </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3"/>
        <w:gridCol w:w="2223"/>
        <w:gridCol w:w="1980"/>
        <w:gridCol w:w="3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222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响应文件响应</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偏离</w:t>
            </w:r>
          </w:p>
        </w:tc>
        <w:tc>
          <w:tcPr>
            <w:tcW w:w="331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1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2223"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tcPr>
          <w:p>
            <w:pPr>
              <w:spacing w:line="460" w:lineRule="exact"/>
              <w:jc w:val="center"/>
              <w:rPr>
                <w:rFonts w:ascii="宋体" w:hAnsi="宋体" w:cs="宋体"/>
                <w:color w:val="auto"/>
                <w:sz w:val="24"/>
                <w:highlight w:val="none"/>
              </w:rPr>
            </w:pPr>
          </w:p>
        </w:tc>
      </w:tr>
    </w:tbl>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360" w:lineRule="auto"/>
        <w:ind w:firstLine="420"/>
        <w:jc w:val="center"/>
        <w:outlineLvl w:val="2"/>
        <w:rPr>
          <w:rFonts w:ascii="宋体" w:hAnsi="宋体" w:cs="宋体"/>
          <w:color w:val="auto"/>
          <w:highlight w:val="none"/>
          <w:lang w:val="zh-TW" w:eastAsia="zh-TW"/>
        </w:rPr>
      </w:pPr>
      <w:r>
        <w:rPr>
          <w:rFonts w:hint="eastAsia" w:ascii="宋体" w:hAnsi="宋体" w:cs="宋体"/>
          <w:b/>
          <w:color w:val="auto"/>
          <w:sz w:val="30"/>
          <w:szCs w:val="30"/>
          <w:highlight w:val="none"/>
        </w:rPr>
        <w:br w:type="page"/>
      </w:r>
      <w:bookmarkStart w:id="62" w:name="_Toc7652"/>
      <w:r>
        <w:rPr>
          <w:rFonts w:hint="eastAsia" w:ascii="宋体" w:hAnsi="宋体" w:cs="宋体"/>
          <w:b/>
          <w:color w:val="auto"/>
          <w:sz w:val="30"/>
          <w:szCs w:val="30"/>
          <w:highlight w:val="none"/>
        </w:rPr>
        <w:t>五、磋商供应商基本情况表</w:t>
      </w:r>
      <w:bookmarkEnd w:id="62"/>
    </w:p>
    <w:tbl>
      <w:tblPr>
        <w:tblStyle w:val="35"/>
        <w:tblW w:w="0" w:type="auto"/>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68"/>
        <w:gridCol w:w="1022"/>
        <w:gridCol w:w="146"/>
        <w:gridCol w:w="765"/>
        <w:gridCol w:w="2010"/>
        <w:gridCol w:w="673"/>
        <w:gridCol w:w="659"/>
        <w:gridCol w:w="751"/>
        <w:gridCol w:w="579"/>
        <w:gridCol w:w="642"/>
        <w:gridCol w:w="580"/>
        <w:gridCol w:w="55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单位名称</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电话</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主管部门</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企业法人</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职务</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地 址</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传真</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企业性质</w:t>
            </w:r>
          </w:p>
        </w:tc>
        <w:tc>
          <w:tcPr>
            <w:tcW w:w="6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133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技术负责人</w:t>
            </w:r>
          </w:p>
        </w:tc>
        <w:tc>
          <w:tcPr>
            <w:tcW w:w="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职务</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15"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单位简历及机构</w:t>
            </w:r>
          </w:p>
        </w:tc>
        <w:tc>
          <w:tcPr>
            <w:tcW w:w="3943"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单位优势及特长</w:t>
            </w:r>
          </w:p>
        </w:tc>
        <w:tc>
          <w:tcPr>
            <w:tcW w:w="3770"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713" w:hRule="atLeast"/>
        </w:trPr>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单位概况</w:t>
            </w: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职工总数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主要经济指标</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年营业收入</w:t>
            </w: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资质情况</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资产总额</w:t>
            </w: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信用情况</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荣誉情况</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体系认证</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开户银行</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9"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账号</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8" w:hRule="atLeast"/>
        </w:trPr>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宋体" w:hAnsi="宋体" w:cs="宋体"/>
                <w:color w:val="auto"/>
                <w:sz w:val="24"/>
                <w:highlight w:val="none"/>
              </w:rPr>
            </w:pPr>
          </w:p>
        </w:tc>
        <w:tc>
          <w:tcPr>
            <w:tcW w:w="11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营业执照经营范围</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cs="宋体"/>
                <w:color w:val="auto"/>
                <w:sz w:val="24"/>
                <w:highlight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c>
          <w:tcPr>
            <w:tcW w:w="2360"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18"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3"/>
              <w:jc w:val="center"/>
              <w:rPr>
                <w:rFonts w:ascii="宋体" w:hAnsi="宋体" w:cs="宋体"/>
                <w:color w:val="auto"/>
                <w:sz w:val="24"/>
                <w:szCs w:val="24"/>
                <w:highlight w:val="none"/>
              </w:rPr>
            </w:pPr>
            <w:r>
              <w:rPr>
                <w:rFonts w:hint="eastAsia" w:ascii="宋体" w:hAnsi="宋体" w:cs="宋体"/>
                <w:color w:val="auto"/>
                <w:sz w:val="24"/>
                <w:szCs w:val="24"/>
                <w:highlight w:val="none"/>
                <w:lang w:val="zh-TW" w:eastAsia="zh-TW"/>
              </w:rPr>
              <w:t>其他说明</w:t>
            </w:r>
          </w:p>
        </w:tc>
        <w:tc>
          <w:tcPr>
            <w:tcW w:w="8386"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宋体" w:hAnsi="宋体" w:cs="宋体"/>
                <w:color w:val="auto"/>
                <w:sz w:val="24"/>
                <w:highlight w:val="none"/>
              </w:rPr>
            </w:pPr>
          </w:p>
        </w:tc>
      </w:tr>
    </w:tbl>
    <w:p>
      <w:pPr>
        <w:pStyle w:val="21"/>
        <w:spacing w:line="360" w:lineRule="auto"/>
        <w:rPr>
          <w:rFonts w:hint="default" w:hAnsi="宋体" w:cs="宋体"/>
          <w:color w:val="auto"/>
          <w:sz w:val="24"/>
          <w:szCs w:val="24"/>
          <w:highlight w:val="none"/>
        </w:rPr>
      </w:pPr>
      <w:r>
        <w:rPr>
          <w:rFonts w:hAnsi="宋体" w:cs="宋体"/>
          <w:color w:val="auto"/>
          <w:sz w:val="24"/>
          <w:szCs w:val="24"/>
          <w:highlight w:val="none"/>
        </w:rPr>
        <w:t>注：磋商供应商可根据实际情况更改表格格式。（可自行提供）</w:t>
      </w:r>
    </w:p>
    <w:p>
      <w:pPr>
        <w:rPr>
          <w:rFonts w:ascii="宋体" w:hAnsi="宋体" w:cs="宋体"/>
          <w:bCs/>
          <w:snapToGrid w:val="0"/>
          <w:color w:val="auto"/>
          <w:kern w:val="0"/>
          <w:sz w:val="24"/>
          <w:highlight w:val="none"/>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tabs>
          <w:tab w:val="left" w:pos="540"/>
        </w:tabs>
        <w:autoSpaceDE w:val="0"/>
        <w:autoSpaceDN w:val="0"/>
        <w:adjustRightInd w:val="0"/>
        <w:spacing w:line="360" w:lineRule="auto"/>
        <w:rPr>
          <w:rFonts w:ascii="宋体" w:hAnsi="宋体" w:cs="宋体"/>
          <w:color w:val="auto"/>
          <w:kern w:val="0"/>
          <w:sz w:val="24"/>
          <w:highlight w:val="none"/>
          <w:lang w:val="zh-CN"/>
        </w:rPr>
      </w:pPr>
    </w:p>
    <w:p>
      <w:pPr>
        <w:numPr>
          <w:ilvl w:val="0"/>
          <w:numId w:val="11"/>
        </w:numPr>
        <w:spacing w:line="360" w:lineRule="auto"/>
        <w:ind w:firstLine="602" w:firstLineChars="200"/>
        <w:jc w:val="center"/>
        <w:outlineLvl w:val="2"/>
        <w:rPr>
          <w:rFonts w:ascii="宋体" w:hAnsi="宋体" w:cs="宋体"/>
          <w:b/>
          <w:color w:val="auto"/>
          <w:sz w:val="30"/>
          <w:szCs w:val="30"/>
          <w:highlight w:val="none"/>
        </w:rPr>
      </w:pPr>
      <w:bookmarkStart w:id="63" w:name="_Toc31746"/>
      <w:r>
        <w:rPr>
          <w:rFonts w:hint="eastAsia" w:ascii="宋体" w:hAnsi="宋体" w:cs="宋体"/>
          <w:b/>
          <w:color w:val="auto"/>
          <w:sz w:val="30"/>
          <w:szCs w:val="30"/>
          <w:highlight w:val="none"/>
        </w:rPr>
        <w:t>企业简介、资质、信用、荣誉、管理体系认证等资料</w:t>
      </w:r>
      <w:bookmarkEnd w:id="63"/>
    </w:p>
    <w:p>
      <w:pPr>
        <w:pStyle w:val="17"/>
        <w:numPr>
          <w:ilvl w:val="255"/>
          <w:numId w:val="0"/>
        </w:numPr>
        <w:jc w:val="center"/>
        <w:rPr>
          <w:rFonts w:eastAsia="宋体"/>
          <w:bCs/>
          <w:color w:val="auto"/>
          <w:highlight w:val="none"/>
        </w:rPr>
      </w:pPr>
      <w:r>
        <w:rPr>
          <w:rFonts w:hint="eastAsia" w:ascii="宋体" w:hAnsi="宋体" w:eastAsia="宋体" w:cs="宋体"/>
          <w:bCs/>
          <w:color w:val="auto"/>
          <w:sz w:val="30"/>
          <w:szCs w:val="30"/>
          <w:highlight w:val="none"/>
        </w:rPr>
        <w:t>(相关证明材料复印件加盖公章）</w:t>
      </w:r>
    </w:p>
    <w:p>
      <w:pPr>
        <w:spacing w:line="360" w:lineRule="auto"/>
        <w:rPr>
          <w:rFonts w:ascii="宋体" w:hAnsi="宋体" w:cs="宋体"/>
          <w:b/>
          <w:bCs/>
          <w:color w:val="auto"/>
          <w:sz w:val="30"/>
          <w:szCs w:val="30"/>
          <w:highlight w:val="none"/>
        </w:rPr>
      </w:pPr>
    </w:p>
    <w:p>
      <w:pPr>
        <w:bidi w:val="0"/>
        <w:rPr>
          <w:color w:val="auto"/>
          <w:highlight w:val="none"/>
        </w:rPr>
      </w:pPr>
    </w:p>
    <w:p>
      <w:pPr>
        <w:spacing w:line="360" w:lineRule="auto"/>
        <w:jc w:val="center"/>
        <w:outlineLvl w:val="2"/>
        <w:rPr>
          <w:rFonts w:ascii="宋体" w:hAnsi="宋体" w:cs="宋体"/>
          <w:color w:val="auto"/>
          <w:sz w:val="24"/>
          <w:highlight w:val="none"/>
        </w:rPr>
      </w:pPr>
      <w:bookmarkStart w:id="64" w:name="_Toc29644"/>
      <w:r>
        <w:rPr>
          <w:rFonts w:hint="eastAsia" w:ascii="宋体" w:hAnsi="宋体" w:cs="宋体"/>
          <w:b/>
          <w:color w:val="auto"/>
          <w:sz w:val="30"/>
          <w:szCs w:val="30"/>
          <w:highlight w:val="none"/>
        </w:rPr>
        <w:t>七、类似项目业绩一览表</w:t>
      </w:r>
      <w:bookmarkEnd w:id="64"/>
    </w:p>
    <w:tbl>
      <w:tblPr>
        <w:tblStyle w:val="35"/>
        <w:tblW w:w="9520" w:type="dxa"/>
        <w:tblInd w:w="108" w:type="dxa"/>
        <w:tblLayout w:type="fixed"/>
        <w:tblCellMar>
          <w:top w:w="0" w:type="dxa"/>
          <w:left w:w="108" w:type="dxa"/>
          <w:bottom w:w="0" w:type="dxa"/>
          <w:right w:w="108" w:type="dxa"/>
        </w:tblCellMar>
      </w:tblPr>
      <w:tblGrid>
        <w:gridCol w:w="2145"/>
        <w:gridCol w:w="1966"/>
        <w:gridCol w:w="1683"/>
        <w:gridCol w:w="1861"/>
        <w:gridCol w:w="1865"/>
      </w:tblGrid>
      <w:tr>
        <w:tblPrEx>
          <w:tblCellMar>
            <w:top w:w="0" w:type="dxa"/>
            <w:left w:w="108" w:type="dxa"/>
            <w:bottom w:w="0" w:type="dxa"/>
            <w:right w:w="108" w:type="dxa"/>
          </w:tblCellMar>
        </w:tblPrEx>
        <w:trPr>
          <w:trHeight w:val="1078" w:hRule="atLeast"/>
        </w:trPr>
        <w:tc>
          <w:tcPr>
            <w:tcW w:w="21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9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服务路线</w:t>
            </w:r>
          </w:p>
        </w:tc>
        <w:tc>
          <w:tcPr>
            <w:tcW w:w="168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签订时间</w:t>
            </w:r>
          </w:p>
        </w:tc>
        <w:tc>
          <w:tcPr>
            <w:tcW w:w="18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8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color w:val="auto"/>
                <w:sz w:val="24"/>
                <w:highlight w:val="none"/>
              </w:rPr>
            </w:pPr>
            <w:r>
              <w:rPr>
                <w:rFonts w:hint="eastAsia" w:ascii="宋体" w:hAnsi="宋体" w:cs="宋体"/>
                <w:color w:val="auto"/>
                <w:sz w:val="24"/>
                <w:highlight w:val="none"/>
              </w:rPr>
              <w:t>所在页码</w:t>
            </w:r>
          </w:p>
        </w:tc>
      </w:tr>
      <w:tr>
        <w:tblPrEx>
          <w:tblCellMar>
            <w:top w:w="0" w:type="dxa"/>
            <w:left w:w="108" w:type="dxa"/>
            <w:bottom w:w="0" w:type="dxa"/>
            <w:right w:w="108" w:type="dxa"/>
          </w:tblCellMar>
        </w:tblPrEx>
        <w:trPr>
          <w:trHeight w:val="543" w:hRule="atLeast"/>
        </w:trPr>
        <w:tc>
          <w:tcPr>
            <w:tcW w:w="21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9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6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462" w:hRule="atLeast"/>
        </w:trPr>
        <w:tc>
          <w:tcPr>
            <w:tcW w:w="21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9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6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460" w:hRule="atLeast"/>
        </w:trPr>
        <w:tc>
          <w:tcPr>
            <w:tcW w:w="21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9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6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466" w:hRule="atLeast"/>
        </w:trPr>
        <w:tc>
          <w:tcPr>
            <w:tcW w:w="21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9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68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c>
          <w:tcPr>
            <w:tcW w:w="186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exact"/>
              <w:rPr>
                <w:rFonts w:ascii="宋体" w:hAnsi="宋体" w:cs="宋体"/>
                <w:color w:val="auto"/>
                <w:sz w:val="24"/>
                <w:highlight w:val="none"/>
              </w:rPr>
            </w:pPr>
          </w:p>
        </w:tc>
      </w:tr>
    </w:tbl>
    <w:p>
      <w:pPr>
        <w:adjustRightInd w:val="0"/>
        <w:snapToGrid w:val="0"/>
        <w:spacing w:line="400" w:lineRule="atLeast"/>
        <w:rPr>
          <w:rFonts w:ascii="宋体" w:hAnsi="宋体" w:cs="宋体"/>
          <w:color w:val="auto"/>
          <w:sz w:val="24"/>
          <w:highlight w:val="none"/>
        </w:rPr>
      </w:pPr>
    </w:p>
    <w:p>
      <w:pPr>
        <w:spacing w:line="380" w:lineRule="exact"/>
        <w:rPr>
          <w:rFonts w:ascii="宋体" w:hAnsi="宋体" w:cs="宋体"/>
          <w:color w:val="auto"/>
          <w:sz w:val="24"/>
          <w:highlight w:val="none"/>
        </w:rPr>
      </w:pPr>
      <w:r>
        <w:rPr>
          <w:rFonts w:hint="eastAsia" w:ascii="宋体" w:hAnsi="宋体" w:cs="宋体"/>
          <w:color w:val="auto"/>
          <w:sz w:val="24"/>
          <w:highlight w:val="none"/>
        </w:rPr>
        <w:t>注：提供合同或中标通知书的复印件加盖磋商供应商单位公章（原件备查）</w:t>
      </w:r>
    </w:p>
    <w:p>
      <w:pPr>
        <w:spacing w:line="360" w:lineRule="auto"/>
        <w:rPr>
          <w:rFonts w:ascii="宋体" w:hAnsi="宋体" w:cs="宋体"/>
          <w:color w:val="auto"/>
          <w:kern w:val="0"/>
          <w:sz w:val="24"/>
          <w:highlight w:val="none"/>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adjustRightInd w:val="0"/>
        <w:spacing w:line="360" w:lineRule="auto"/>
        <w:rPr>
          <w:rFonts w:ascii="宋体" w:hAnsi="宋体" w:cs="宋体"/>
          <w:color w:val="auto"/>
          <w:kern w:val="0"/>
          <w:sz w:val="24"/>
          <w:highlight w:val="none"/>
          <w:lang w:val="zh-CN"/>
        </w:rPr>
      </w:pPr>
    </w:p>
    <w:p>
      <w:pPr>
        <w:snapToGrid w:val="0"/>
        <w:spacing w:line="360" w:lineRule="exact"/>
        <w:jc w:val="center"/>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八 、服务团队人员名单</w:t>
      </w:r>
    </w:p>
    <w:p>
      <w:pPr>
        <w:snapToGrid w:val="0"/>
        <w:spacing w:line="360" w:lineRule="exact"/>
        <w:rPr>
          <w:rFonts w:ascii="宋体" w:hAnsi="宋体" w:cs="宋体"/>
          <w:b/>
          <w:bCs/>
          <w:color w:val="auto"/>
          <w:kern w:val="0"/>
          <w:sz w:val="30"/>
          <w:szCs w:val="30"/>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637"/>
        <w:gridCol w:w="1783"/>
        <w:gridCol w:w="1817"/>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37" w:type="dxa"/>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37" w:type="dxa"/>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姓  名</w:t>
            </w:r>
          </w:p>
        </w:tc>
        <w:tc>
          <w:tcPr>
            <w:tcW w:w="1783" w:type="dxa"/>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年  龄</w:t>
            </w:r>
          </w:p>
        </w:tc>
        <w:tc>
          <w:tcPr>
            <w:tcW w:w="1817" w:type="dxa"/>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职  务</w:t>
            </w:r>
          </w:p>
        </w:tc>
        <w:tc>
          <w:tcPr>
            <w:tcW w:w="2554" w:type="dxa"/>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职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37" w:type="dxa"/>
            <w:vAlign w:val="center"/>
          </w:tcPr>
          <w:p>
            <w:pPr>
              <w:spacing w:beforeLines="50" w:afterLines="50"/>
              <w:jc w:val="center"/>
              <w:rPr>
                <w:rFonts w:ascii="宋体" w:hAnsi="宋体" w:cs="宋体"/>
                <w:color w:val="auto"/>
                <w:sz w:val="24"/>
                <w:highlight w:val="none"/>
              </w:rPr>
            </w:pPr>
          </w:p>
        </w:tc>
        <w:tc>
          <w:tcPr>
            <w:tcW w:w="1637" w:type="dxa"/>
          </w:tcPr>
          <w:p>
            <w:pPr>
              <w:spacing w:beforeLines="50" w:afterLines="50"/>
              <w:jc w:val="center"/>
              <w:rPr>
                <w:rFonts w:ascii="宋体" w:hAnsi="宋体" w:cs="宋体"/>
                <w:color w:val="auto"/>
                <w:sz w:val="24"/>
                <w:highlight w:val="none"/>
              </w:rPr>
            </w:pPr>
          </w:p>
        </w:tc>
        <w:tc>
          <w:tcPr>
            <w:tcW w:w="1783" w:type="dxa"/>
          </w:tcPr>
          <w:p>
            <w:pPr>
              <w:spacing w:beforeLines="50" w:afterLines="50"/>
              <w:jc w:val="center"/>
              <w:rPr>
                <w:rFonts w:ascii="宋体" w:hAnsi="宋体" w:cs="宋体"/>
                <w:color w:val="auto"/>
                <w:sz w:val="24"/>
                <w:highlight w:val="none"/>
              </w:rPr>
            </w:pPr>
          </w:p>
        </w:tc>
        <w:tc>
          <w:tcPr>
            <w:tcW w:w="1817" w:type="dxa"/>
          </w:tcPr>
          <w:p>
            <w:pPr>
              <w:spacing w:beforeLines="50" w:afterLines="50"/>
              <w:jc w:val="center"/>
              <w:rPr>
                <w:rFonts w:ascii="宋体" w:hAnsi="宋体" w:cs="宋体"/>
                <w:color w:val="auto"/>
                <w:sz w:val="24"/>
                <w:highlight w:val="none"/>
              </w:rPr>
            </w:pPr>
          </w:p>
        </w:tc>
        <w:tc>
          <w:tcPr>
            <w:tcW w:w="2554" w:type="dxa"/>
          </w:tcPr>
          <w:p>
            <w:pPr>
              <w:spacing w:beforeLines="50" w:afterLines="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37" w:type="dxa"/>
            <w:vAlign w:val="center"/>
          </w:tcPr>
          <w:p>
            <w:pPr>
              <w:spacing w:beforeLines="50" w:afterLines="50"/>
              <w:jc w:val="center"/>
              <w:rPr>
                <w:rFonts w:ascii="宋体" w:hAnsi="宋体" w:cs="宋体"/>
                <w:color w:val="auto"/>
                <w:sz w:val="24"/>
                <w:highlight w:val="none"/>
              </w:rPr>
            </w:pPr>
          </w:p>
        </w:tc>
        <w:tc>
          <w:tcPr>
            <w:tcW w:w="1637" w:type="dxa"/>
          </w:tcPr>
          <w:p>
            <w:pPr>
              <w:spacing w:beforeLines="50" w:afterLines="50"/>
              <w:jc w:val="center"/>
              <w:rPr>
                <w:rFonts w:ascii="宋体" w:hAnsi="宋体" w:cs="宋体"/>
                <w:color w:val="auto"/>
                <w:sz w:val="24"/>
                <w:highlight w:val="none"/>
              </w:rPr>
            </w:pPr>
          </w:p>
        </w:tc>
        <w:tc>
          <w:tcPr>
            <w:tcW w:w="1783" w:type="dxa"/>
          </w:tcPr>
          <w:p>
            <w:pPr>
              <w:spacing w:beforeLines="50" w:afterLines="50"/>
              <w:jc w:val="center"/>
              <w:rPr>
                <w:rFonts w:ascii="宋体" w:hAnsi="宋体" w:cs="宋体"/>
                <w:color w:val="auto"/>
                <w:sz w:val="24"/>
                <w:highlight w:val="none"/>
              </w:rPr>
            </w:pPr>
          </w:p>
        </w:tc>
        <w:tc>
          <w:tcPr>
            <w:tcW w:w="1817" w:type="dxa"/>
          </w:tcPr>
          <w:p>
            <w:pPr>
              <w:spacing w:beforeLines="50" w:afterLines="50"/>
              <w:jc w:val="center"/>
              <w:rPr>
                <w:rFonts w:ascii="宋体" w:hAnsi="宋体" w:cs="宋体"/>
                <w:color w:val="auto"/>
                <w:sz w:val="24"/>
                <w:highlight w:val="none"/>
              </w:rPr>
            </w:pPr>
          </w:p>
        </w:tc>
        <w:tc>
          <w:tcPr>
            <w:tcW w:w="2554" w:type="dxa"/>
          </w:tcPr>
          <w:p>
            <w:pPr>
              <w:spacing w:beforeLines="50" w:afterLines="5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37" w:type="dxa"/>
            <w:vAlign w:val="center"/>
          </w:tcPr>
          <w:p>
            <w:pPr>
              <w:spacing w:beforeLines="50" w:afterLines="50"/>
              <w:jc w:val="center"/>
              <w:rPr>
                <w:rFonts w:ascii="宋体" w:hAnsi="宋体" w:cs="宋体"/>
                <w:color w:val="auto"/>
                <w:sz w:val="24"/>
                <w:highlight w:val="none"/>
              </w:rPr>
            </w:pPr>
          </w:p>
        </w:tc>
        <w:tc>
          <w:tcPr>
            <w:tcW w:w="1637" w:type="dxa"/>
          </w:tcPr>
          <w:p>
            <w:pPr>
              <w:spacing w:beforeLines="50" w:afterLines="50"/>
              <w:jc w:val="center"/>
              <w:rPr>
                <w:rFonts w:ascii="宋体" w:hAnsi="宋体" w:cs="宋体"/>
                <w:color w:val="auto"/>
                <w:sz w:val="24"/>
                <w:highlight w:val="none"/>
              </w:rPr>
            </w:pPr>
          </w:p>
        </w:tc>
        <w:tc>
          <w:tcPr>
            <w:tcW w:w="1783" w:type="dxa"/>
          </w:tcPr>
          <w:p>
            <w:pPr>
              <w:spacing w:beforeLines="50" w:afterLines="50"/>
              <w:jc w:val="center"/>
              <w:rPr>
                <w:rFonts w:ascii="宋体" w:hAnsi="宋体" w:cs="宋体"/>
                <w:color w:val="auto"/>
                <w:sz w:val="24"/>
                <w:highlight w:val="none"/>
              </w:rPr>
            </w:pPr>
          </w:p>
        </w:tc>
        <w:tc>
          <w:tcPr>
            <w:tcW w:w="1817" w:type="dxa"/>
          </w:tcPr>
          <w:p>
            <w:pPr>
              <w:spacing w:beforeLines="50" w:afterLines="50"/>
              <w:jc w:val="center"/>
              <w:rPr>
                <w:rFonts w:ascii="宋体" w:hAnsi="宋体" w:cs="宋体"/>
                <w:color w:val="auto"/>
                <w:sz w:val="24"/>
                <w:highlight w:val="none"/>
              </w:rPr>
            </w:pPr>
          </w:p>
        </w:tc>
        <w:tc>
          <w:tcPr>
            <w:tcW w:w="2554" w:type="dxa"/>
          </w:tcPr>
          <w:p>
            <w:pPr>
              <w:spacing w:beforeLines="50" w:afterLines="50"/>
              <w:jc w:val="center"/>
              <w:rPr>
                <w:rFonts w:ascii="宋体" w:hAnsi="宋体" w:cs="宋体"/>
                <w:color w:val="auto"/>
                <w:sz w:val="24"/>
                <w:highlight w:val="none"/>
              </w:rPr>
            </w:pPr>
          </w:p>
        </w:tc>
      </w:tr>
    </w:tbl>
    <w:p>
      <w:pPr>
        <w:pStyle w:val="6"/>
        <w:numPr>
          <w:ilvl w:val="2"/>
          <w:numId w:val="0"/>
        </w:numPr>
        <w:tabs>
          <w:tab w:val="left" w:pos="720"/>
        </w:tabs>
        <w:spacing w:line="312" w:lineRule="auto"/>
        <w:jc w:val="left"/>
        <w:rPr>
          <w:rFonts w:ascii="宋体" w:hAnsi="宋体" w:eastAsia="宋体" w:cs="宋体"/>
          <w:bCs w:val="0"/>
          <w:color w:val="auto"/>
          <w:sz w:val="24"/>
          <w:szCs w:val="24"/>
          <w:highlight w:val="none"/>
        </w:rPr>
      </w:pPr>
      <w:bookmarkStart w:id="65" w:name="_Toc22769"/>
      <w:r>
        <w:rPr>
          <w:rFonts w:hint="eastAsia" w:ascii="宋体" w:hAnsi="宋体" w:eastAsia="宋体" w:cs="宋体"/>
          <w:color w:val="auto"/>
          <w:sz w:val="24"/>
          <w:szCs w:val="24"/>
          <w:highlight w:val="none"/>
        </w:rPr>
        <w:t>注：</w:t>
      </w:r>
      <w:r>
        <w:rPr>
          <w:rFonts w:hint="eastAsia" w:ascii="宋体" w:hAnsi="宋体" w:eastAsia="宋体" w:cs="宋体"/>
          <w:bCs w:val="0"/>
          <w:color w:val="auto"/>
          <w:sz w:val="24"/>
          <w:szCs w:val="24"/>
          <w:highlight w:val="none"/>
        </w:rPr>
        <w:t>每个参加项目人员的履历表应随标书一并提交，包括工作特长与业绩(从事相类似项目经验，对类似项目有一个简要的描述，该人员参与的时间以及在项目中的责任)，资质情况等；</w:t>
      </w:r>
      <w:bookmarkStart w:id="66" w:name="_Toc13690"/>
      <w:r>
        <w:rPr>
          <w:rFonts w:hint="eastAsia" w:ascii="宋体" w:hAnsi="宋体" w:eastAsia="宋体" w:cs="宋体"/>
          <w:bCs w:val="0"/>
          <w:color w:val="auto"/>
          <w:sz w:val="24"/>
          <w:szCs w:val="24"/>
          <w:highlight w:val="none"/>
        </w:rPr>
        <w:t>提供包含最近三个月的社保缴纳记录证明。在社保缴纳记录中须有项目授权代表的姓名。</w:t>
      </w:r>
      <w:bookmarkEnd w:id="65"/>
      <w:bookmarkEnd w:id="66"/>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pPr>
        <w:snapToGrid w:val="0"/>
        <w:spacing w:line="360" w:lineRule="exact"/>
        <w:jc w:val="center"/>
        <w:rPr>
          <w:rFonts w:ascii="宋体" w:hAnsi="宋体" w:cs="宋体"/>
          <w:b/>
          <w:color w:val="auto"/>
          <w:sz w:val="30"/>
          <w:szCs w:val="30"/>
          <w:highlight w:val="none"/>
        </w:rPr>
      </w:pPr>
      <w:r>
        <w:rPr>
          <w:rFonts w:hint="eastAsia" w:ascii="宋体" w:hAnsi="宋体" w:cs="宋体"/>
          <w:b/>
          <w:bCs/>
          <w:color w:val="auto"/>
          <w:kern w:val="0"/>
          <w:sz w:val="30"/>
          <w:szCs w:val="30"/>
          <w:highlight w:val="none"/>
        </w:rPr>
        <w:t>九、</w:t>
      </w:r>
      <w:r>
        <w:rPr>
          <w:rFonts w:hint="eastAsia" w:ascii="宋体" w:hAnsi="宋体" w:cs="宋体"/>
          <w:b/>
          <w:color w:val="auto"/>
          <w:sz w:val="30"/>
          <w:szCs w:val="30"/>
          <w:highlight w:val="none"/>
        </w:rPr>
        <w:t>服务期内投入的服务设备及车辆一览表</w:t>
      </w:r>
    </w:p>
    <w:p>
      <w:pPr>
        <w:pStyle w:val="103"/>
        <w:snapToGrid w:val="0"/>
        <w:spacing w:before="0" w:after="0" w:line="400" w:lineRule="atLeast"/>
        <w:ind w:firstLine="519"/>
        <w:jc w:val="both"/>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项目名称：                           </w:t>
      </w:r>
    </w:p>
    <w:p>
      <w:pPr>
        <w:pStyle w:val="103"/>
        <w:snapToGrid w:val="0"/>
        <w:spacing w:before="0" w:after="0" w:line="400" w:lineRule="atLeast"/>
        <w:ind w:firstLine="519"/>
        <w:jc w:val="both"/>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项目编号：</w:t>
      </w:r>
    </w:p>
    <w:tbl>
      <w:tblPr>
        <w:tblStyle w:val="35"/>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1"/>
        <w:gridCol w:w="1702"/>
        <w:gridCol w:w="1770"/>
        <w:gridCol w:w="1815"/>
        <w:gridCol w:w="3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7" w:hRule="atLeast"/>
        </w:trPr>
        <w:tc>
          <w:tcPr>
            <w:tcW w:w="1011" w:type="dxa"/>
            <w:tcBorders>
              <w:top w:val="single" w:color="auto" w:sz="12" w:space="0"/>
            </w:tcBorders>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702" w:type="dxa"/>
            <w:tcBorders>
              <w:top w:val="single" w:color="auto" w:sz="12" w:space="0"/>
            </w:tcBorders>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车辆型号</w:t>
            </w:r>
          </w:p>
        </w:tc>
        <w:tc>
          <w:tcPr>
            <w:tcW w:w="1770" w:type="dxa"/>
            <w:tcBorders>
              <w:top w:val="single" w:color="auto" w:sz="12" w:space="0"/>
            </w:tcBorders>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车牌号</w:t>
            </w:r>
          </w:p>
        </w:tc>
        <w:tc>
          <w:tcPr>
            <w:tcW w:w="1815" w:type="dxa"/>
            <w:tcBorders>
              <w:top w:val="single" w:color="auto" w:sz="12" w:space="0"/>
            </w:tcBorders>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数量</w:t>
            </w:r>
          </w:p>
        </w:tc>
        <w:tc>
          <w:tcPr>
            <w:tcW w:w="3158" w:type="dxa"/>
            <w:tcBorders>
              <w:top w:val="single" w:color="auto" w:sz="12" w:space="0"/>
            </w:tcBorders>
            <w:vAlign w:val="center"/>
          </w:tcPr>
          <w:p>
            <w:pPr>
              <w:spacing w:beforeLines="50" w:afterLines="50"/>
              <w:jc w:val="center"/>
              <w:rPr>
                <w:rFonts w:ascii="宋体" w:hAnsi="宋体" w:cs="宋体"/>
                <w:color w:val="auto"/>
                <w:sz w:val="24"/>
                <w:highlight w:val="none"/>
              </w:rPr>
            </w:pPr>
            <w:r>
              <w:rPr>
                <w:rFonts w:hint="eastAsia" w:ascii="宋体" w:hAnsi="宋体" w:cs="宋体"/>
                <w:color w:val="auto"/>
                <w:sz w:val="24"/>
                <w:highlight w:val="none"/>
              </w:rPr>
              <w:t>产地及已使用年份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011" w:type="dxa"/>
          </w:tcPr>
          <w:p>
            <w:pPr>
              <w:spacing w:beforeLines="50" w:afterLines="50"/>
              <w:jc w:val="center"/>
              <w:rPr>
                <w:rFonts w:ascii="宋体" w:hAnsi="宋体" w:cs="宋体"/>
                <w:color w:val="auto"/>
                <w:sz w:val="24"/>
                <w:highlight w:val="none"/>
              </w:rPr>
            </w:pPr>
          </w:p>
        </w:tc>
        <w:tc>
          <w:tcPr>
            <w:tcW w:w="1702" w:type="dxa"/>
            <w:vAlign w:val="center"/>
          </w:tcPr>
          <w:p>
            <w:pPr>
              <w:spacing w:beforeLines="50" w:afterLines="50"/>
              <w:jc w:val="center"/>
              <w:rPr>
                <w:rFonts w:ascii="宋体" w:hAnsi="宋体" w:cs="宋体"/>
                <w:color w:val="auto"/>
                <w:sz w:val="24"/>
                <w:highlight w:val="none"/>
              </w:rPr>
            </w:pPr>
          </w:p>
        </w:tc>
        <w:tc>
          <w:tcPr>
            <w:tcW w:w="1770" w:type="dxa"/>
            <w:vAlign w:val="center"/>
          </w:tcPr>
          <w:p>
            <w:pPr>
              <w:spacing w:beforeLines="50" w:afterLines="50"/>
              <w:jc w:val="center"/>
              <w:rPr>
                <w:rFonts w:ascii="宋体" w:hAnsi="宋体" w:cs="宋体"/>
                <w:color w:val="auto"/>
                <w:sz w:val="24"/>
                <w:highlight w:val="none"/>
              </w:rPr>
            </w:pPr>
          </w:p>
        </w:tc>
        <w:tc>
          <w:tcPr>
            <w:tcW w:w="1815" w:type="dxa"/>
            <w:vAlign w:val="center"/>
          </w:tcPr>
          <w:p>
            <w:pPr>
              <w:spacing w:beforeLines="50" w:afterLines="50"/>
              <w:jc w:val="center"/>
              <w:rPr>
                <w:rFonts w:ascii="宋体" w:hAnsi="宋体" w:cs="宋体"/>
                <w:color w:val="auto"/>
                <w:sz w:val="24"/>
                <w:highlight w:val="none"/>
              </w:rPr>
            </w:pPr>
          </w:p>
        </w:tc>
        <w:tc>
          <w:tcPr>
            <w:tcW w:w="3158" w:type="dxa"/>
            <w:vAlign w:val="center"/>
          </w:tcPr>
          <w:p>
            <w:pPr>
              <w:spacing w:beforeLines="50" w:afterLines="50"/>
              <w:jc w:val="center"/>
              <w:rPr>
                <w:rFonts w:ascii="宋体" w:hAnsi="宋体" w:cs="宋体"/>
                <w:color w:val="auto"/>
                <w:sz w:val="24"/>
                <w:highlight w:val="none"/>
              </w:rPr>
            </w:pPr>
          </w:p>
        </w:tc>
      </w:tr>
    </w:tbl>
    <w:p>
      <w:pPr>
        <w:adjustRightInd w:val="0"/>
        <w:snapToGrid w:val="0"/>
        <w:ind w:firstLine="480"/>
        <w:rPr>
          <w:rFonts w:ascii="宋体" w:hAnsi="宋体" w:cs="宋体"/>
          <w:color w:val="auto"/>
          <w:sz w:val="24"/>
          <w:highlight w:val="none"/>
        </w:rPr>
      </w:pPr>
      <w:r>
        <w:rPr>
          <w:rFonts w:hint="eastAsia" w:ascii="宋体" w:hAnsi="宋体" w:cs="宋体"/>
          <w:color w:val="auto"/>
          <w:sz w:val="24"/>
          <w:highlight w:val="none"/>
        </w:rPr>
        <w:t>注：投标人为本项目配置的保障车辆须附车辆的相关证明（单位车辆行驶证复印件、有效期内的车辆保险证明复印件、车辆购买发票或租赁合同）。</w:t>
      </w:r>
    </w:p>
    <w:p>
      <w:pPr>
        <w:adjustRightInd w:val="0"/>
        <w:snapToGrid w:val="0"/>
        <w:ind w:firstLine="4752" w:firstLineChars="1980"/>
        <w:rPr>
          <w:rFonts w:ascii="宋体" w:hAnsi="宋体" w:cs="宋体"/>
          <w:snapToGrid w:val="0"/>
          <w:color w:val="auto"/>
          <w:kern w:val="0"/>
          <w:sz w:val="24"/>
          <w:highlight w:val="none"/>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投标人名称（公章）：</w:t>
      </w:r>
    </w:p>
    <w:p>
      <w:pPr>
        <w:autoSpaceDE w:val="0"/>
        <w:autoSpaceDN w:val="0"/>
        <w:adjustRightIn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法定代表人或其授权代表（签字）：</w:t>
      </w:r>
    </w:p>
    <w:p>
      <w:pPr>
        <w:tabs>
          <w:tab w:val="left" w:pos="540"/>
        </w:tabs>
        <w:autoSpaceDE w:val="0"/>
        <w:autoSpaceDN w:val="0"/>
        <w:adjustRightInd w:val="0"/>
        <w:spacing w:line="360" w:lineRule="auto"/>
        <w:ind w:firstLine="480" w:firstLineChars="20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pStyle w:val="17"/>
        <w:rPr>
          <w:color w:val="auto"/>
          <w:highlight w:val="none"/>
          <w:lang w:val="zh-CN"/>
        </w:rPr>
      </w:pPr>
    </w:p>
    <w:p>
      <w:pPr>
        <w:spacing w:line="360" w:lineRule="auto"/>
        <w:rPr>
          <w:rFonts w:ascii="宋体" w:hAnsi="宋体" w:cs="宋体"/>
          <w:color w:val="auto"/>
          <w:kern w:val="0"/>
          <w:sz w:val="24"/>
          <w:highlight w:val="none"/>
          <w:lang w:val="zh-CN"/>
        </w:rPr>
      </w:pPr>
    </w:p>
    <w:p>
      <w:pPr>
        <w:spacing w:line="360" w:lineRule="auto"/>
        <w:jc w:val="center"/>
        <w:outlineLvl w:val="2"/>
        <w:rPr>
          <w:rFonts w:ascii="宋体" w:hAnsi="宋体" w:cs="宋体"/>
          <w:b/>
          <w:color w:val="auto"/>
          <w:kern w:val="0"/>
          <w:sz w:val="30"/>
          <w:szCs w:val="30"/>
          <w:highlight w:val="none"/>
        </w:rPr>
      </w:pPr>
      <w:bookmarkStart w:id="67" w:name="_Toc31526"/>
      <w:r>
        <w:rPr>
          <w:rFonts w:hint="eastAsia" w:ascii="宋体" w:hAnsi="宋体" w:cs="宋体"/>
          <w:b/>
          <w:bCs/>
          <w:color w:val="auto"/>
          <w:sz w:val="30"/>
          <w:szCs w:val="30"/>
          <w:highlight w:val="none"/>
        </w:rPr>
        <w:t>十、</w:t>
      </w:r>
      <w:r>
        <w:rPr>
          <w:rFonts w:hint="eastAsia" w:ascii="宋体" w:hAnsi="宋体" w:cs="宋体"/>
          <w:b/>
          <w:color w:val="auto"/>
          <w:kern w:val="0"/>
          <w:sz w:val="30"/>
          <w:szCs w:val="30"/>
          <w:highlight w:val="none"/>
        </w:rPr>
        <w:t>疗休养策划方案</w:t>
      </w:r>
      <w:bookmarkEnd w:id="67"/>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w:t>
      </w:r>
      <w:bookmarkStart w:id="68" w:name="_Toc1441"/>
      <w:r>
        <w:rPr>
          <w:rFonts w:hint="eastAsia" w:ascii="宋体" w:hAnsi="宋体" w:cs="宋体"/>
          <w:color w:val="auto"/>
          <w:sz w:val="28"/>
          <w:highlight w:val="none"/>
        </w:rPr>
        <w:t>要求符合采购单位的实际情况及需求（包括吃、住、行、游等各方面、</w:t>
      </w:r>
      <w:bookmarkEnd w:id="68"/>
      <w:r>
        <w:rPr>
          <w:rFonts w:hint="eastAsia" w:ascii="宋体" w:hAnsi="宋体" w:cs="宋体"/>
          <w:color w:val="auto"/>
          <w:sz w:val="28"/>
          <w:highlight w:val="none"/>
        </w:rPr>
        <w:t>由磋商供应商根据采购需求自行编制）</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2"/>
        <w:rPr>
          <w:rFonts w:ascii="宋体" w:hAnsi="宋体" w:eastAsia="宋体" w:cs="宋体"/>
          <w:color w:val="auto"/>
          <w:highlight w:val="none"/>
          <w:lang w:val="zh-CN"/>
        </w:rPr>
      </w:pPr>
    </w:p>
    <w:p>
      <w:pPr>
        <w:numPr>
          <w:ilvl w:val="255"/>
          <w:numId w:val="0"/>
        </w:numPr>
        <w:spacing w:line="360" w:lineRule="auto"/>
        <w:jc w:val="center"/>
        <w:outlineLvl w:val="2"/>
        <w:rPr>
          <w:rFonts w:ascii="宋体" w:hAnsi="宋体" w:cs="宋体"/>
          <w:b/>
          <w:color w:val="auto"/>
          <w:kern w:val="0"/>
          <w:sz w:val="30"/>
          <w:szCs w:val="30"/>
          <w:highlight w:val="none"/>
        </w:rPr>
      </w:pPr>
      <w:bookmarkStart w:id="69" w:name="_Toc14860"/>
      <w:r>
        <w:rPr>
          <w:rFonts w:hint="eastAsia" w:ascii="宋体" w:hAnsi="宋体" w:cs="宋体"/>
          <w:b/>
          <w:bCs/>
          <w:color w:val="auto"/>
          <w:sz w:val="30"/>
          <w:szCs w:val="30"/>
          <w:highlight w:val="none"/>
        </w:rPr>
        <w:t>十一、</w:t>
      </w:r>
      <w:r>
        <w:rPr>
          <w:rFonts w:hint="eastAsia" w:ascii="宋体" w:hAnsi="宋体" w:cs="宋体"/>
          <w:b/>
          <w:color w:val="auto"/>
          <w:kern w:val="0"/>
          <w:sz w:val="30"/>
          <w:szCs w:val="30"/>
          <w:highlight w:val="none"/>
        </w:rPr>
        <w:t>服务实施计划</w:t>
      </w:r>
      <w:bookmarkEnd w:id="69"/>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（包括(但不限于)以下内容：与地接人员衔接服务计划、交通工具选择情况（包括车型等）安排情况、安排入住酒店情况、用餐服务计划、针对突发情况的预案等，由磋商供应商根据采购需求自行编制）</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tabs>
          <w:tab w:val="left" w:pos="540"/>
        </w:tabs>
        <w:autoSpaceDE w:val="0"/>
        <w:autoSpaceDN w:val="0"/>
        <w:adjustRightInd w:val="0"/>
        <w:spacing w:line="360" w:lineRule="auto"/>
        <w:rPr>
          <w:rFonts w:ascii="宋体" w:hAnsi="宋体" w:cs="宋体"/>
          <w:color w:val="auto"/>
          <w:kern w:val="0"/>
          <w:sz w:val="24"/>
          <w:highlight w:val="none"/>
          <w:lang w:val="zh-CN"/>
        </w:rPr>
      </w:pPr>
    </w:p>
    <w:p>
      <w:pPr>
        <w:numPr>
          <w:ilvl w:val="255"/>
          <w:numId w:val="0"/>
        </w:numPr>
        <w:spacing w:line="360" w:lineRule="auto"/>
        <w:jc w:val="center"/>
        <w:outlineLvl w:val="2"/>
        <w:rPr>
          <w:rFonts w:ascii="宋体" w:hAnsi="宋体" w:cs="宋体"/>
          <w:b/>
          <w:color w:val="auto"/>
          <w:kern w:val="0"/>
          <w:sz w:val="30"/>
          <w:szCs w:val="30"/>
          <w:highlight w:val="none"/>
        </w:rPr>
      </w:pPr>
      <w:bookmarkStart w:id="70" w:name="_Toc32125"/>
      <w:r>
        <w:rPr>
          <w:rFonts w:hint="eastAsia" w:ascii="宋体" w:hAnsi="宋体" w:cs="宋体"/>
          <w:b/>
          <w:color w:val="auto"/>
          <w:kern w:val="0"/>
          <w:sz w:val="30"/>
          <w:szCs w:val="30"/>
          <w:highlight w:val="none"/>
        </w:rPr>
        <w:t>十二、详细项目费用安排及项目进度安排</w:t>
      </w:r>
      <w:bookmarkEnd w:id="70"/>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（由磋商供应商根据采购需求自行编制，成交后最终以甲方确认为准）</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bidi w:val="0"/>
        <w:rPr>
          <w:color w:val="auto"/>
          <w:highlight w:val="none"/>
        </w:rPr>
      </w:pPr>
    </w:p>
    <w:p>
      <w:pPr>
        <w:numPr>
          <w:ilvl w:val="255"/>
          <w:numId w:val="0"/>
        </w:numPr>
        <w:spacing w:line="360" w:lineRule="auto"/>
        <w:jc w:val="center"/>
        <w:outlineLvl w:val="2"/>
        <w:rPr>
          <w:rFonts w:ascii="宋体" w:hAnsi="宋体" w:cs="宋体"/>
          <w:b/>
          <w:color w:val="auto"/>
          <w:kern w:val="0"/>
          <w:sz w:val="30"/>
          <w:szCs w:val="30"/>
          <w:highlight w:val="none"/>
        </w:rPr>
      </w:pPr>
      <w:bookmarkStart w:id="71" w:name="_Toc8369"/>
      <w:r>
        <w:rPr>
          <w:rFonts w:hint="eastAsia" w:ascii="宋体" w:hAnsi="宋体" w:cs="宋体"/>
          <w:b/>
          <w:color w:val="auto"/>
          <w:kern w:val="0"/>
          <w:sz w:val="30"/>
          <w:szCs w:val="30"/>
          <w:highlight w:val="none"/>
        </w:rPr>
        <w:t>十三、服务质量标准</w:t>
      </w:r>
      <w:bookmarkEnd w:id="71"/>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（由磋商供应商根据采购需求自行编制）</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2"/>
        <w:rPr>
          <w:color w:val="auto"/>
          <w:highlight w:val="none"/>
          <w:lang w:val="zh-CN"/>
        </w:rPr>
      </w:pPr>
    </w:p>
    <w:p>
      <w:pPr>
        <w:numPr>
          <w:ilvl w:val="255"/>
          <w:numId w:val="0"/>
        </w:numPr>
        <w:spacing w:line="360" w:lineRule="auto"/>
        <w:jc w:val="center"/>
        <w:outlineLvl w:val="2"/>
        <w:rPr>
          <w:rFonts w:ascii="宋体" w:hAnsi="宋体" w:cs="宋体"/>
          <w:b/>
          <w:color w:val="auto"/>
          <w:kern w:val="0"/>
          <w:sz w:val="30"/>
          <w:szCs w:val="30"/>
          <w:highlight w:val="none"/>
        </w:rPr>
      </w:pPr>
      <w:bookmarkStart w:id="72" w:name="_Toc25774"/>
      <w:r>
        <w:rPr>
          <w:rFonts w:hint="eastAsia" w:ascii="宋体" w:hAnsi="宋体" w:cs="宋体"/>
          <w:b/>
          <w:color w:val="auto"/>
          <w:kern w:val="0"/>
          <w:sz w:val="30"/>
          <w:szCs w:val="30"/>
          <w:highlight w:val="none"/>
        </w:rPr>
        <w:t>十四、免费增值服务</w:t>
      </w:r>
      <w:bookmarkEnd w:id="72"/>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（由磋商供应商根据采购需求自行编制）</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numPr>
          <w:ilvl w:val="255"/>
          <w:numId w:val="0"/>
        </w:numPr>
        <w:spacing w:line="360" w:lineRule="auto"/>
        <w:jc w:val="center"/>
        <w:outlineLvl w:val="2"/>
        <w:rPr>
          <w:rFonts w:ascii="宋体" w:hAnsi="宋体" w:cs="宋体"/>
          <w:b/>
          <w:color w:val="auto"/>
          <w:kern w:val="0"/>
          <w:sz w:val="30"/>
          <w:szCs w:val="30"/>
          <w:highlight w:val="none"/>
        </w:rPr>
      </w:pPr>
      <w:bookmarkStart w:id="73" w:name="_Toc27998"/>
      <w:r>
        <w:rPr>
          <w:rFonts w:hint="eastAsia" w:ascii="宋体" w:hAnsi="宋体" w:cs="宋体"/>
          <w:b/>
          <w:color w:val="auto"/>
          <w:kern w:val="0"/>
          <w:sz w:val="30"/>
          <w:szCs w:val="30"/>
          <w:highlight w:val="none"/>
        </w:rPr>
        <w:t>十五、磋商供应商提供的承诺和优惠</w:t>
      </w:r>
      <w:bookmarkEnd w:id="73"/>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（由磋商供应商根据采购需求自行编制）</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2"/>
        <w:rPr>
          <w:color w:val="auto"/>
          <w:highlight w:val="none"/>
        </w:rPr>
      </w:pPr>
    </w:p>
    <w:p>
      <w:pPr>
        <w:tabs>
          <w:tab w:val="left" w:pos="540"/>
        </w:tabs>
        <w:autoSpaceDE w:val="0"/>
        <w:autoSpaceDN w:val="0"/>
        <w:adjustRightInd w:val="0"/>
        <w:spacing w:line="360" w:lineRule="auto"/>
        <w:ind w:firstLine="480" w:firstLineChars="200"/>
        <w:rPr>
          <w:rFonts w:ascii="宋体" w:hAnsi="宋体" w:cs="宋体"/>
          <w:color w:val="auto"/>
          <w:kern w:val="0"/>
          <w:sz w:val="24"/>
          <w:highlight w:val="none"/>
          <w:lang w:val="zh-CN"/>
        </w:rPr>
      </w:pPr>
    </w:p>
    <w:p>
      <w:pPr>
        <w:pStyle w:val="2"/>
        <w:rPr>
          <w:rFonts w:ascii="宋体" w:hAnsi="宋体" w:eastAsia="宋体" w:cs="宋体"/>
          <w:color w:val="auto"/>
          <w:highlight w:val="none"/>
        </w:rPr>
      </w:pPr>
    </w:p>
    <w:p>
      <w:pPr>
        <w:spacing w:line="360" w:lineRule="auto"/>
        <w:jc w:val="center"/>
        <w:outlineLvl w:val="2"/>
        <w:rPr>
          <w:rFonts w:ascii="宋体" w:hAnsi="宋体" w:cs="宋体"/>
          <w:b/>
          <w:color w:val="auto"/>
          <w:kern w:val="0"/>
          <w:sz w:val="30"/>
          <w:szCs w:val="30"/>
          <w:highlight w:val="none"/>
        </w:rPr>
      </w:pPr>
      <w:bookmarkStart w:id="74" w:name="_Toc32011"/>
      <w:r>
        <w:rPr>
          <w:rFonts w:hint="eastAsia" w:ascii="宋体" w:hAnsi="宋体" w:cs="宋体"/>
          <w:b/>
          <w:bCs/>
          <w:color w:val="auto"/>
          <w:sz w:val="30"/>
          <w:szCs w:val="30"/>
          <w:highlight w:val="none"/>
        </w:rPr>
        <w:t>十六、</w:t>
      </w:r>
      <w:r>
        <w:rPr>
          <w:rFonts w:hint="eastAsia" w:ascii="宋体" w:hAnsi="宋体" w:cs="宋体"/>
          <w:b/>
          <w:color w:val="auto"/>
          <w:kern w:val="0"/>
          <w:sz w:val="30"/>
          <w:szCs w:val="30"/>
          <w:highlight w:val="none"/>
        </w:rPr>
        <w:t>磋商供应商认为需要提供的其他文件</w:t>
      </w:r>
      <w:bookmarkEnd w:id="74"/>
    </w:p>
    <w:p>
      <w:pPr>
        <w:spacing w:line="360" w:lineRule="auto"/>
        <w:jc w:val="center"/>
        <w:rPr>
          <w:rFonts w:ascii="宋体" w:hAnsi="宋体" w:cs="宋体"/>
          <w:color w:val="auto"/>
          <w:sz w:val="28"/>
          <w:highlight w:val="none"/>
        </w:rPr>
      </w:pPr>
      <w:r>
        <w:rPr>
          <w:rFonts w:hint="eastAsia" w:ascii="宋体" w:hAnsi="宋体" w:cs="宋体"/>
          <w:color w:val="auto"/>
          <w:sz w:val="28"/>
          <w:highlight w:val="none"/>
        </w:rPr>
        <w:t>（由磋商供应商根据采购需求自行编制）</w:t>
      </w:r>
    </w:p>
    <w:p>
      <w:pPr>
        <w:autoSpaceDE w:val="0"/>
        <w:autoSpaceDN w:val="0"/>
        <w:adjustRightIn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磋商供应商名称（公章）：</w:t>
      </w:r>
    </w:p>
    <w:p>
      <w:pPr>
        <w:snapToGrid w:val="0"/>
        <w:spacing w:line="360" w:lineRule="auto"/>
        <w:ind w:firstLine="4560" w:firstLineChars="1900"/>
        <w:rPr>
          <w:rFonts w:ascii="宋体" w:hAnsi="宋体" w:cs="宋体"/>
          <w:color w:val="auto"/>
          <w:kern w:val="0"/>
          <w:sz w:val="24"/>
          <w:highlight w:val="none"/>
          <w:lang w:val="zh-CN"/>
        </w:rPr>
      </w:pPr>
      <w:r>
        <w:rPr>
          <w:rFonts w:hint="eastAsia" w:ascii="宋体" w:hAnsi="宋体" w:cs="宋体"/>
          <w:color w:val="auto"/>
          <w:sz w:val="24"/>
          <w:highlight w:val="none"/>
        </w:rPr>
        <w:t>授权委托人（签字或盖章）：</w:t>
      </w:r>
    </w:p>
    <w:p>
      <w:pPr>
        <w:autoSpaceDE w:val="0"/>
        <w:autoSpaceDN w:val="0"/>
        <w:adjustRightIn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b/>
          <w:color w:val="auto"/>
          <w:sz w:val="30"/>
          <w:szCs w:val="30"/>
          <w:highlight w:val="none"/>
        </w:rPr>
      </w:pPr>
      <w:r>
        <w:rPr>
          <w:rFonts w:hint="eastAsia" w:ascii="宋体" w:hAnsi="宋体" w:cs="宋体"/>
          <w:b/>
          <w:color w:val="auto"/>
          <w:sz w:val="30"/>
          <w:szCs w:val="30"/>
          <w:highlight w:val="none"/>
        </w:rPr>
        <w:br w:type="page"/>
      </w:r>
    </w:p>
    <w:p>
      <w:pPr>
        <w:spacing w:line="360" w:lineRule="auto"/>
        <w:jc w:val="center"/>
        <w:rPr>
          <w:rFonts w:ascii="宋体" w:hAnsi="宋体" w:cs="宋体"/>
          <w:b/>
          <w:bCs/>
          <w:color w:val="auto"/>
          <w:szCs w:val="36"/>
          <w:highlight w:val="none"/>
          <w:lang w:val="zh-CN"/>
        </w:rPr>
      </w:pPr>
      <w:r>
        <w:rPr>
          <w:rFonts w:hint="eastAsia" w:ascii="宋体" w:hAnsi="宋体" w:cs="宋体"/>
          <w:b/>
          <w:bCs/>
          <w:color w:val="auto"/>
          <w:szCs w:val="36"/>
          <w:highlight w:val="none"/>
        </w:rPr>
        <w:t>资格</w:t>
      </w:r>
      <w:r>
        <w:rPr>
          <w:rFonts w:hint="eastAsia" w:ascii="宋体" w:hAnsi="宋体" w:cs="宋体"/>
          <w:b/>
          <w:bCs/>
          <w:color w:val="auto"/>
          <w:szCs w:val="36"/>
          <w:highlight w:val="none"/>
          <w:lang w:val="zh-CN"/>
        </w:rPr>
        <w:t>文件</w:t>
      </w:r>
    </w:p>
    <w:p>
      <w:pPr>
        <w:spacing w:line="360" w:lineRule="auto"/>
        <w:jc w:val="center"/>
        <w:outlineLvl w:val="2"/>
        <w:rPr>
          <w:rFonts w:ascii="宋体" w:hAnsi="宋体" w:cs="宋体"/>
          <w:b/>
          <w:color w:val="auto"/>
          <w:kern w:val="0"/>
          <w:sz w:val="32"/>
          <w:szCs w:val="32"/>
          <w:highlight w:val="none"/>
        </w:rPr>
      </w:pPr>
      <w:bookmarkStart w:id="75" w:name="_Toc6586"/>
      <w:r>
        <w:rPr>
          <w:rFonts w:hint="eastAsia" w:ascii="宋体" w:hAnsi="宋体" w:cs="宋体"/>
          <w:b/>
          <w:color w:val="auto"/>
          <w:kern w:val="0"/>
          <w:sz w:val="32"/>
          <w:szCs w:val="32"/>
          <w:highlight w:val="none"/>
        </w:rPr>
        <w:t>目录</w:t>
      </w:r>
      <w:bookmarkEnd w:id="75"/>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营业执照(或事业法人登记证或其他工商等登记证明材料)复印件、税务登记证(或其他缴纳证明材料)复印件、社保登记证（或其他缴纳证明材料）复印件；实施“五证合一、一照一码”登记制度改革的，只需提供改革后取得的营业执照复印件；</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响应文件中提供相关材料），证明其具备实际承担责任的能力和法定的缔结合同能力，可以独立参加政府采购活动，由单位负责人签署相关文件材料；</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（2）2019年度资产负债表等财务报表资料文件复印件(新成立的公司，必须提供情况说明)；</w:t>
      </w:r>
    </w:p>
    <w:p>
      <w:pPr>
        <w:snapToGrid w:val="0"/>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（3）具有履行合同所必需的设备和专业技术能力的承诺函；</w:t>
      </w:r>
    </w:p>
    <w:p>
      <w:pPr>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 xml:space="preserve">（4）参加政府采购活动前三年内，在经营活动中没有重大违法记录的声明； </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（5）其他有关说明、证明材料。</w:t>
      </w:r>
    </w:p>
    <w:p>
      <w:pPr>
        <w:pStyle w:val="22"/>
        <w:snapToGrid w:val="0"/>
        <w:spacing w:line="400" w:lineRule="exact"/>
        <w:ind w:left="0" w:leftChars="0" w:firstLine="600" w:firstLineChars="200"/>
        <w:rPr>
          <w:rFonts w:ascii="宋体" w:hAnsi="宋体" w:cs="宋体"/>
          <w:color w:val="auto"/>
          <w:sz w:val="30"/>
          <w:szCs w:val="30"/>
          <w:highlight w:val="none"/>
        </w:rPr>
      </w:pPr>
    </w:p>
    <w:p>
      <w:pPr>
        <w:snapToGrid w:val="0"/>
        <w:spacing w:line="400" w:lineRule="exact"/>
        <w:ind w:firstLine="588" w:firstLineChars="196"/>
        <w:jc w:val="left"/>
        <w:rPr>
          <w:rFonts w:ascii="宋体" w:hAnsi="宋体" w:cs="宋体"/>
          <w:color w:val="auto"/>
          <w:sz w:val="30"/>
          <w:szCs w:val="30"/>
          <w:highlight w:val="none"/>
        </w:rPr>
      </w:pPr>
    </w:p>
    <w:p>
      <w:pPr>
        <w:snapToGrid w:val="0"/>
        <w:spacing w:before="50" w:afterLines="50" w:line="400" w:lineRule="exact"/>
        <w:jc w:val="left"/>
        <w:rPr>
          <w:rFonts w:ascii="宋体" w:hAnsi="宋体" w:cs="宋体"/>
          <w:color w:val="auto"/>
          <w:sz w:val="30"/>
          <w:szCs w:val="30"/>
          <w:highlight w:val="none"/>
        </w:rPr>
      </w:pPr>
    </w:p>
    <w:p>
      <w:pPr>
        <w:pStyle w:val="21"/>
        <w:snapToGrid w:val="0"/>
        <w:spacing w:before="120" w:after="120"/>
        <w:rPr>
          <w:rFonts w:hint="default" w:hAnsi="宋体" w:cs="宋体"/>
          <w:color w:val="auto"/>
          <w:sz w:val="30"/>
          <w:szCs w:val="30"/>
          <w:highlight w:val="none"/>
        </w:rPr>
      </w:pPr>
    </w:p>
    <w:p>
      <w:pPr>
        <w:pStyle w:val="21"/>
        <w:snapToGrid w:val="0"/>
        <w:spacing w:before="120" w:after="120"/>
        <w:rPr>
          <w:rFonts w:hint="default" w:hAnsi="宋体" w:cs="宋体"/>
          <w:color w:val="auto"/>
          <w:sz w:val="30"/>
          <w:szCs w:val="30"/>
          <w:highlight w:val="none"/>
        </w:rPr>
      </w:pPr>
    </w:p>
    <w:p>
      <w:pPr>
        <w:pStyle w:val="21"/>
        <w:snapToGrid w:val="0"/>
        <w:spacing w:before="120" w:after="120"/>
        <w:rPr>
          <w:rFonts w:hint="default" w:hAnsi="宋体" w:cs="宋体"/>
          <w:color w:val="auto"/>
          <w:sz w:val="30"/>
          <w:szCs w:val="30"/>
          <w:highlight w:val="none"/>
        </w:rPr>
      </w:pPr>
    </w:p>
    <w:p>
      <w:pPr>
        <w:snapToGrid w:val="0"/>
        <w:spacing w:before="50" w:afterLines="50" w:line="400" w:lineRule="exact"/>
        <w:jc w:val="left"/>
        <w:rPr>
          <w:rFonts w:ascii="宋体" w:hAnsi="宋体" w:cs="宋体"/>
          <w:color w:val="auto"/>
          <w:sz w:val="30"/>
          <w:szCs w:val="30"/>
          <w:highlight w:val="none"/>
        </w:rPr>
      </w:pPr>
      <w:r>
        <w:rPr>
          <w:rFonts w:hint="eastAsia" w:ascii="宋体" w:hAnsi="宋体" w:cs="宋体"/>
          <w:color w:val="auto"/>
          <w:sz w:val="30"/>
          <w:szCs w:val="30"/>
          <w:highlight w:val="none"/>
        </w:rPr>
        <w:br w:type="page"/>
      </w:r>
    </w:p>
    <w:p>
      <w:pPr>
        <w:spacing w:line="400" w:lineRule="exact"/>
        <w:jc w:val="center"/>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参加政府采购活动前三年内，在经营活动中</w:t>
      </w:r>
    </w:p>
    <w:p>
      <w:pPr>
        <w:snapToGrid w:val="0"/>
        <w:spacing w:line="400" w:lineRule="exact"/>
        <w:jc w:val="center"/>
        <w:rPr>
          <w:rFonts w:ascii="宋体" w:hAnsi="宋体" w:cs="宋体"/>
          <w:b/>
          <w:color w:val="auto"/>
          <w:sz w:val="30"/>
          <w:szCs w:val="30"/>
          <w:highlight w:val="none"/>
        </w:rPr>
      </w:pPr>
      <w:r>
        <w:rPr>
          <w:rFonts w:hint="eastAsia" w:ascii="宋体" w:hAnsi="宋体" w:cs="宋体"/>
          <w:b/>
          <w:color w:val="auto"/>
          <w:kern w:val="0"/>
          <w:sz w:val="30"/>
          <w:szCs w:val="30"/>
          <w:highlight w:val="none"/>
        </w:rPr>
        <w:t>没有重大违法记录的声明</w:t>
      </w:r>
    </w:p>
    <w:p>
      <w:pPr>
        <w:snapToGrid w:val="0"/>
        <w:spacing w:beforeLines="50" w:after="50" w:line="4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bCs/>
          <w:color w:val="auto"/>
          <w:sz w:val="24"/>
          <w:highlight w:val="none"/>
        </w:rPr>
        <w:t>中共杭州市委党校：</w:t>
      </w:r>
    </w:p>
    <w:p>
      <w:pPr>
        <w:snapToGrid w:val="0"/>
        <w:spacing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浙江五石工程咨询有限公司 ：</w:t>
      </w:r>
    </w:p>
    <w:p>
      <w:pPr>
        <w:snapToGrid w:val="0"/>
        <w:spacing w:beforeLines="50" w:after="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（磋商供应商名称）</w:t>
      </w:r>
      <w:r>
        <w:rPr>
          <w:rFonts w:hint="eastAsia" w:ascii="宋体" w:hAnsi="宋体" w:cs="宋体"/>
          <w:color w:val="auto"/>
          <w:sz w:val="24"/>
          <w:highlight w:val="none"/>
        </w:rPr>
        <w:t>系中华人民共和国合法企业，经营地址。</w:t>
      </w:r>
    </w:p>
    <w:p>
      <w:pPr>
        <w:snapToGrid w:val="0"/>
        <w:spacing w:beforeLines="50" w:after="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（磋商供应商名称）</w:t>
      </w:r>
      <w:r>
        <w:rPr>
          <w:rFonts w:hint="eastAsia" w:ascii="宋体" w:hAnsi="宋体" w:cs="宋体"/>
          <w:color w:val="auto"/>
          <w:sz w:val="24"/>
          <w:highlight w:val="none"/>
        </w:rPr>
        <w:t>的法定代表人，我方愿意参加贵方组织的</w:t>
      </w:r>
      <w:r>
        <w:rPr>
          <w:rFonts w:hint="eastAsia" w:ascii="宋体" w:hAnsi="宋体" w:cs="宋体"/>
          <w:color w:val="auto"/>
          <w:sz w:val="24"/>
          <w:highlight w:val="none"/>
          <w:u w:val="single"/>
        </w:rPr>
        <w:t xml:space="preserve">    （采购项目名称）标项（  ）  （编号为：          ）</w:t>
      </w:r>
      <w:r>
        <w:rPr>
          <w:rFonts w:hint="eastAsia" w:ascii="宋体" w:hAnsi="宋体" w:cs="宋体"/>
          <w:color w:val="auto"/>
          <w:sz w:val="24"/>
          <w:highlight w:val="none"/>
        </w:rPr>
        <w:t>的投标，为此，我方就本次投标有关事项郑重声明如下：</w:t>
      </w:r>
    </w:p>
    <w:p>
      <w:pPr>
        <w:snapToGrid w:val="0"/>
        <w:spacing w:line="400" w:lineRule="exact"/>
        <w:ind w:firstLine="470" w:firstLineChars="196"/>
        <w:jc w:val="left"/>
        <w:rPr>
          <w:rFonts w:ascii="宋体" w:hAnsi="宋体" w:cs="宋体"/>
          <w:b/>
          <w:color w:val="auto"/>
          <w:sz w:val="24"/>
          <w:highlight w:val="none"/>
        </w:rPr>
      </w:pPr>
      <w:r>
        <w:rPr>
          <w:rFonts w:hint="eastAsia" w:ascii="宋体" w:hAnsi="宋体" w:cs="宋体"/>
          <w:color w:val="auto"/>
          <w:sz w:val="24"/>
          <w:highlight w:val="none"/>
        </w:rPr>
        <w:t>1、我方参与本项目前3年内的经营活动中没有重大违法记录。</w:t>
      </w:r>
    </w:p>
    <w:p>
      <w:pPr>
        <w:snapToGrid w:val="0"/>
        <w:spacing w:beforeLines="50" w:after="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2、我方通过“信用中国”网站（www.creditchina.gov.cn）、中国政府采购网（www.ccgp.gov.cn）查询，未被列入失信被执行人、重大税收违法案件当事人名单、政府采购严重违法失信行为记录名单。</w:t>
      </w:r>
    </w:p>
    <w:p>
      <w:pPr>
        <w:snapToGrid w:val="0"/>
        <w:spacing w:beforeLines="50" w:after="5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3、以上事项如有虚假或隐瞒，我方愿意承担一切后果，并不再寻求任何旨在减轻或免除法律责任的辩解。</w:t>
      </w:r>
    </w:p>
    <w:p>
      <w:pPr>
        <w:snapToGrid w:val="0"/>
        <w:spacing w:beforeLines="50" w:after="50" w:line="400" w:lineRule="exact"/>
        <w:ind w:firstLine="480" w:firstLineChars="200"/>
        <w:rPr>
          <w:rFonts w:ascii="宋体" w:hAnsi="宋体" w:cs="宋体"/>
          <w:color w:val="auto"/>
          <w:sz w:val="24"/>
          <w:highlight w:val="none"/>
        </w:rPr>
      </w:pPr>
    </w:p>
    <w:p>
      <w:pPr>
        <w:snapToGrid w:val="0"/>
        <w:spacing w:beforeLines="50" w:after="50" w:line="400" w:lineRule="exact"/>
        <w:ind w:right="600" w:firstLine="120" w:firstLineChars="50"/>
        <w:rPr>
          <w:rFonts w:ascii="宋体" w:hAnsi="宋体" w:cs="宋体"/>
          <w:color w:val="auto"/>
          <w:sz w:val="24"/>
          <w:highlight w:val="none"/>
          <w:u w:val="single"/>
        </w:rPr>
      </w:pPr>
      <w:r>
        <w:rPr>
          <w:rFonts w:hint="eastAsia" w:ascii="宋体" w:hAnsi="宋体" w:cs="宋体"/>
          <w:color w:val="auto"/>
          <w:sz w:val="24"/>
          <w:highlight w:val="none"/>
        </w:rPr>
        <w:t>法定代表人（签名或盖章）：         日 期：</w:t>
      </w:r>
    </w:p>
    <w:p>
      <w:pPr>
        <w:snapToGrid w:val="0"/>
        <w:spacing w:beforeLines="50" w:after="50" w:line="400" w:lineRule="exact"/>
        <w:ind w:firstLine="120" w:firstLineChars="50"/>
        <w:rPr>
          <w:rFonts w:ascii="宋体" w:hAnsi="宋体" w:cs="宋体"/>
          <w:color w:val="auto"/>
          <w:sz w:val="24"/>
          <w:highlight w:val="none"/>
        </w:rPr>
      </w:pPr>
      <w:r>
        <w:rPr>
          <w:rFonts w:hint="eastAsia" w:ascii="宋体" w:hAnsi="宋体" w:cs="宋体"/>
          <w:color w:val="auto"/>
          <w:sz w:val="24"/>
          <w:highlight w:val="none"/>
        </w:rPr>
        <w:t>磋商供应商全称（公章）：</w:t>
      </w:r>
    </w:p>
    <w:p>
      <w:pPr>
        <w:rPr>
          <w:rFonts w:ascii="宋体" w:hAnsi="宋体" w:cs="宋体"/>
          <w:b/>
          <w:color w:val="auto"/>
          <w:sz w:val="24"/>
          <w:highlight w:val="none"/>
        </w:rPr>
      </w:pPr>
    </w:p>
    <w:bookmarkEnd w:id="57"/>
    <w:p>
      <w:pPr>
        <w:widowControl/>
        <w:jc w:val="left"/>
        <w:rPr>
          <w:rFonts w:ascii="宋体" w:hAnsi="宋体" w:cs="宋体"/>
          <w:b/>
          <w:bCs/>
          <w:color w:val="auto"/>
          <w:kern w:val="0"/>
          <w:sz w:val="32"/>
          <w:szCs w:val="32"/>
          <w:highlight w:val="none"/>
        </w:rPr>
      </w:pPr>
    </w:p>
    <w:sectPr>
      <w:footerReference r:id="rId3" w:type="default"/>
      <w:pgSz w:w="11907" w:h="16840"/>
      <w:pgMar w:top="1440" w:right="1080" w:bottom="1440" w:left="1080" w:header="510" w:footer="51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pple-system">
    <w:altName w:val="Courier New"/>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roman"/>
    <w:pitch w:val="default"/>
    <w:sig w:usb0="00000000" w:usb1="00000000" w:usb2="00000000" w:usb3="00000000" w:csb0="00000001" w:csb1="00000000"/>
  </w:font>
  <w:font w:name="ヒラギノ角ゴ Pro W3">
    <w:altName w:val="Segoe Print"/>
    <w:panose1 w:val="00000000000000000000"/>
    <w:charset w:val="4E"/>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9"/>
      </w:rPr>
    </w:pPr>
    <w:r>
      <w:fldChar w:fldCharType="begin"/>
    </w:r>
    <w:r>
      <w:rPr>
        <w:rStyle w:val="39"/>
      </w:rPr>
      <w:instrText xml:space="preserve">PAGE  </w:instrText>
    </w:r>
    <w:r>
      <w:fldChar w:fldCharType="separate"/>
    </w:r>
    <w:r>
      <w:rPr>
        <w:rStyle w:val="39"/>
      </w:rPr>
      <w:t>29</w:t>
    </w:r>
    <w:r>
      <w:fldChar w:fldCharType="end"/>
    </w:r>
  </w:p>
  <w:p>
    <w:pPr>
      <w:pStyle w:val="25"/>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B493"/>
    <w:multiLevelType w:val="singleLevel"/>
    <w:tmpl w:val="9A97B493"/>
    <w:lvl w:ilvl="0" w:tentative="0">
      <w:start w:val="1"/>
      <w:numFmt w:val="decimal"/>
      <w:lvlText w:val="(%1)"/>
      <w:lvlJc w:val="left"/>
      <w:pPr>
        <w:ind w:left="425" w:hanging="425"/>
      </w:pPr>
      <w:rPr>
        <w:rFonts w:hint="default"/>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multilevel"/>
    <w:tmpl w:val="00000002"/>
    <w:lvl w:ilvl="0" w:tentative="0">
      <w:start w:val="1"/>
      <w:numFmt w:val="chineseCounting"/>
      <w:suff w:val="nothing"/>
      <w:lvlText w:val="%1、"/>
      <w:lvlJc w:val="left"/>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3"/>
    <w:multiLevelType w:val="singleLevel"/>
    <w:tmpl w:val="00000003"/>
    <w:lvl w:ilvl="0" w:tentative="0">
      <w:start w:val="4"/>
      <w:numFmt w:val="chineseCounting"/>
      <w:suff w:val="space"/>
      <w:lvlText w:val="第%1部分"/>
      <w:lvlJc w:val="left"/>
      <w:rPr>
        <w:rFonts w:hint="eastAsia"/>
      </w:rPr>
    </w:lvl>
  </w:abstractNum>
  <w:abstractNum w:abstractNumId="4">
    <w:nsid w:val="00000005"/>
    <w:multiLevelType w:val="multilevel"/>
    <w:tmpl w:val="00000005"/>
    <w:lvl w:ilvl="0" w:tentative="0">
      <w:start w:val="1"/>
      <w:numFmt w:val="bullet"/>
      <w:lvlText w:val=""/>
      <w:lvlJc w:val="left"/>
      <w:pPr>
        <w:tabs>
          <w:tab w:val="left" w:pos="789"/>
        </w:tabs>
        <w:ind w:left="789" w:hanging="420"/>
      </w:pPr>
      <w:rPr>
        <w:rFonts w:hint="default" w:ascii="Wingdings" w:hAnsi="Wingdings"/>
      </w:rPr>
    </w:lvl>
    <w:lvl w:ilvl="1" w:tentative="0">
      <w:start w:val="1"/>
      <w:numFmt w:val="bullet"/>
      <w:lvlText w:val=""/>
      <w:lvlJc w:val="left"/>
      <w:pPr>
        <w:tabs>
          <w:tab w:val="left" w:pos="1209"/>
        </w:tabs>
        <w:ind w:left="1209" w:hanging="420"/>
      </w:pPr>
      <w:rPr>
        <w:rFonts w:hint="default" w:ascii="Wingdings" w:hAnsi="Wingdings"/>
      </w:rPr>
    </w:lvl>
    <w:lvl w:ilvl="2" w:tentative="0">
      <w:start w:val="1"/>
      <w:numFmt w:val="bullet"/>
      <w:lvlText w:val=""/>
      <w:lvlJc w:val="left"/>
      <w:pPr>
        <w:tabs>
          <w:tab w:val="left" w:pos="1629"/>
        </w:tabs>
        <w:ind w:left="1629" w:hanging="420"/>
      </w:pPr>
      <w:rPr>
        <w:rFonts w:hint="default" w:ascii="Wingdings" w:hAnsi="Wingdings"/>
      </w:rPr>
    </w:lvl>
    <w:lvl w:ilvl="3" w:tentative="0">
      <w:start w:val="1"/>
      <w:numFmt w:val="bullet"/>
      <w:lvlText w:val=""/>
      <w:lvlJc w:val="left"/>
      <w:pPr>
        <w:tabs>
          <w:tab w:val="left" w:pos="2049"/>
        </w:tabs>
        <w:ind w:left="2049" w:hanging="420"/>
      </w:pPr>
      <w:rPr>
        <w:rFonts w:hint="default" w:ascii="Wingdings" w:hAnsi="Wingdings"/>
      </w:rPr>
    </w:lvl>
    <w:lvl w:ilvl="4" w:tentative="0">
      <w:start w:val="1"/>
      <w:numFmt w:val="bullet"/>
      <w:lvlText w:val=""/>
      <w:lvlJc w:val="left"/>
      <w:pPr>
        <w:tabs>
          <w:tab w:val="left" w:pos="2469"/>
        </w:tabs>
        <w:ind w:left="2469" w:hanging="420"/>
      </w:pPr>
      <w:rPr>
        <w:rFonts w:hint="default" w:ascii="Wingdings" w:hAnsi="Wingdings"/>
      </w:rPr>
    </w:lvl>
    <w:lvl w:ilvl="5" w:tentative="0">
      <w:start w:val="1"/>
      <w:numFmt w:val="bullet"/>
      <w:lvlText w:val=""/>
      <w:lvlJc w:val="left"/>
      <w:pPr>
        <w:tabs>
          <w:tab w:val="left" w:pos="2889"/>
        </w:tabs>
        <w:ind w:left="2889" w:hanging="420"/>
      </w:pPr>
      <w:rPr>
        <w:rFonts w:hint="default" w:ascii="Wingdings" w:hAnsi="Wingdings"/>
      </w:rPr>
    </w:lvl>
    <w:lvl w:ilvl="6" w:tentative="0">
      <w:start w:val="1"/>
      <w:numFmt w:val="bullet"/>
      <w:lvlText w:val=""/>
      <w:lvlJc w:val="left"/>
      <w:pPr>
        <w:tabs>
          <w:tab w:val="left" w:pos="3309"/>
        </w:tabs>
        <w:ind w:left="3309" w:hanging="420"/>
      </w:pPr>
      <w:rPr>
        <w:rFonts w:hint="default" w:ascii="Wingdings" w:hAnsi="Wingdings"/>
      </w:rPr>
    </w:lvl>
    <w:lvl w:ilvl="7" w:tentative="0">
      <w:start w:val="1"/>
      <w:numFmt w:val="bullet"/>
      <w:lvlText w:val=""/>
      <w:lvlJc w:val="left"/>
      <w:pPr>
        <w:tabs>
          <w:tab w:val="left" w:pos="3729"/>
        </w:tabs>
        <w:ind w:left="3729" w:hanging="420"/>
      </w:pPr>
      <w:rPr>
        <w:rFonts w:hint="default" w:ascii="Wingdings" w:hAnsi="Wingdings"/>
      </w:rPr>
    </w:lvl>
    <w:lvl w:ilvl="8" w:tentative="0">
      <w:start w:val="1"/>
      <w:numFmt w:val="bullet"/>
      <w:lvlText w:val=""/>
      <w:lvlJc w:val="left"/>
      <w:pPr>
        <w:tabs>
          <w:tab w:val="left" w:pos="4149"/>
        </w:tabs>
        <w:ind w:left="4149" w:hanging="420"/>
      </w:pPr>
      <w:rPr>
        <w:rFonts w:hint="default" w:ascii="Wingdings" w:hAnsi="Wingdings"/>
      </w:rPr>
    </w:lvl>
  </w:abstractNum>
  <w:abstractNum w:abstractNumId="5">
    <w:nsid w:val="00000006"/>
    <w:multiLevelType w:val="multilevel"/>
    <w:tmpl w:val="00000006"/>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0000007"/>
    <w:multiLevelType w:val="multilevel"/>
    <w:tmpl w:val="00000007"/>
    <w:lvl w:ilvl="0" w:tentative="0">
      <w:start w:val="4"/>
      <w:numFmt w:val="decimal"/>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8"/>
    <w:multiLevelType w:val="singleLevel"/>
    <w:tmpl w:val="00000008"/>
    <w:lvl w:ilvl="0" w:tentative="0">
      <w:start w:val="6"/>
      <w:numFmt w:val="chineseCounting"/>
      <w:suff w:val="nothing"/>
      <w:lvlText w:val="（%1）"/>
      <w:lvlJc w:val="left"/>
      <w:rPr>
        <w:rFonts w:hint="eastAsia"/>
      </w:rPr>
    </w:lvl>
  </w:abstractNum>
  <w:abstractNum w:abstractNumId="8">
    <w:nsid w:val="00000009"/>
    <w:multiLevelType w:val="multilevel"/>
    <w:tmpl w:val="0000000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A"/>
    <w:multiLevelType w:val="multilevel"/>
    <w:tmpl w:val="0000000A"/>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0B"/>
    <w:multiLevelType w:val="singleLevel"/>
    <w:tmpl w:val="0000000B"/>
    <w:lvl w:ilvl="0" w:tentative="0">
      <w:start w:val="6"/>
      <w:numFmt w:val="chineseCounting"/>
      <w:suff w:val="nothing"/>
      <w:lvlText w:val="%1、"/>
      <w:lvlJc w:val="left"/>
      <w:rPr>
        <w:rFonts w:hint="eastAsia"/>
      </w:rPr>
    </w:lvl>
  </w:abstractNum>
  <w:num w:numId="1">
    <w:abstractNumId w:val="6"/>
  </w:num>
  <w:num w:numId="2">
    <w:abstractNumId w:val="1"/>
  </w:num>
  <w:num w:numId="3">
    <w:abstractNumId w:val="8"/>
  </w:num>
  <w:num w:numId="4">
    <w:abstractNumId w:val="9"/>
  </w:num>
  <w:num w:numId="5">
    <w:abstractNumId w:val="0"/>
  </w:num>
  <w:num w:numId="6">
    <w:abstractNumId w:val="4"/>
  </w:num>
  <w:num w:numId="7">
    <w:abstractNumId w:val="7"/>
  </w:num>
  <w:num w:numId="8">
    <w:abstractNumId w:val="3"/>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1B50"/>
    <w:rsid w:val="0016131E"/>
    <w:rsid w:val="00692C86"/>
    <w:rsid w:val="007639DF"/>
    <w:rsid w:val="0092251A"/>
    <w:rsid w:val="00932AA5"/>
    <w:rsid w:val="00A35312"/>
    <w:rsid w:val="00A5540C"/>
    <w:rsid w:val="00AB1A31"/>
    <w:rsid w:val="00B10165"/>
    <w:rsid w:val="00C24D3F"/>
    <w:rsid w:val="00D46A34"/>
    <w:rsid w:val="00E12ECF"/>
    <w:rsid w:val="00EF1B50"/>
    <w:rsid w:val="036A0F3B"/>
    <w:rsid w:val="03B9790B"/>
    <w:rsid w:val="0A8E0975"/>
    <w:rsid w:val="0AC04895"/>
    <w:rsid w:val="0F3A66F0"/>
    <w:rsid w:val="11240A60"/>
    <w:rsid w:val="15AB1ECF"/>
    <w:rsid w:val="166C6C71"/>
    <w:rsid w:val="1B035DEA"/>
    <w:rsid w:val="1C225096"/>
    <w:rsid w:val="1E247B5B"/>
    <w:rsid w:val="24F1421A"/>
    <w:rsid w:val="2E7D0F13"/>
    <w:rsid w:val="3C074924"/>
    <w:rsid w:val="3EC66811"/>
    <w:rsid w:val="48FB3C5F"/>
    <w:rsid w:val="492077AD"/>
    <w:rsid w:val="494E0174"/>
    <w:rsid w:val="4B996C37"/>
    <w:rsid w:val="4F3A3470"/>
    <w:rsid w:val="57E349D0"/>
    <w:rsid w:val="5BEB7B2B"/>
    <w:rsid w:val="5F737D5E"/>
    <w:rsid w:val="5FF55A44"/>
    <w:rsid w:val="6156522F"/>
    <w:rsid w:val="67293986"/>
    <w:rsid w:val="701C6C4C"/>
    <w:rsid w:val="7DED6464"/>
    <w:rsid w:val="7EE007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4">
    <w:name w:val="heading 1"/>
    <w:basedOn w:val="1"/>
    <w:next w:val="1"/>
    <w:qFormat/>
    <w:uiPriority w:val="0"/>
    <w:pPr>
      <w:keepNext/>
      <w:jc w:val="center"/>
      <w:outlineLvl w:val="0"/>
    </w:pPr>
    <w:rPr>
      <w:b/>
      <w:bCs/>
      <w:sz w:val="20"/>
      <w:szCs w:val="20"/>
    </w:rPr>
  </w:style>
  <w:style w:type="paragraph" w:styleId="5">
    <w:name w:val="heading 2"/>
    <w:basedOn w:val="1"/>
    <w:next w:val="1"/>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6">
    <w:name w:val="heading 3"/>
    <w:basedOn w:val="1"/>
    <w:next w:val="1"/>
    <w:qFormat/>
    <w:uiPriority w:val="0"/>
    <w:pPr>
      <w:keepNext/>
      <w:keepLines/>
      <w:spacing w:before="260" w:after="260" w:line="416" w:lineRule="auto"/>
      <w:jc w:val="center"/>
      <w:outlineLvl w:val="2"/>
    </w:pPr>
    <w:rPr>
      <w:rFonts w:eastAsia="楷体_GB2312"/>
      <w:b/>
      <w:bCs/>
      <w:sz w:val="32"/>
      <w:szCs w:val="32"/>
    </w:rPr>
  </w:style>
  <w:style w:type="paragraph" w:styleId="7">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paragraph" w:styleId="8">
    <w:name w:val="heading 5"/>
    <w:basedOn w:val="1"/>
    <w:next w:val="9"/>
    <w:qFormat/>
    <w:uiPriority w:val="0"/>
    <w:pPr>
      <w:tabs>
        <w:tab w:val="left" w:pos="720"/>
      </w:tabs>
      <w:spacing w:before="60" w:after="60" w:line="480" w:lineRule="exact"/>
      <w:ind w:left="720" w:hanging="720"/>
      <w:outlineLvl w:val="4"/>
    </w:pPr>
    <w:rPr>
      <w:rFonts w:eastAsia="楷体_GB2312"/>
      <w:sz w:val="24"/>
      <w:szCs w:val="20"/>
    </w:rPr>
  </w:style>
  <w:style w:type="paragraph" w:styleId="10">
    <w:name w:val="heading 6"/>
    <w:next w:val="1"/>
    <w:qFormat/>
    <w:uiPriority w:val="0"/>
    <w:pPr>
      <w:keepNext/>
      <w:keepLines/>
      <w:tabs>
        <w:tab w:val="left" w:pos="284"/>
      </w:tabs>
      <w:adjustRightInd w:val="0"/>
      <w:spacing w:before="240" w:after="240" w:line="320" w:lineRule="atLeast"/>
      <w:ind w:left="284"/>
      <w:textAlignment w:val="baseline"/>
      <w:outlineLvl w:val="5"/>
    </w:pPr>
    <w:rPr>
      <w:rFonts w:ascii="Arial" w:hAnsi="Arial" w:eastAsia="宋体" w:cs="Times New Roman"/>
      <w:bCs/>
      <w:sz w:val="24"/>
      <w:szCs w:val="24"/>
      <w:lang w:val="en-US" w:eastAsia="zh-CN" w:bidi="ar-SA"/>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260" w:lineRule="atLeast"/>
    </w:pPr>
    <w:rPr>
      <w:rFonts w:ascii="仿宋_GB2312" w:hAnsi="Calibri" w:eastAsia="仿宋_GB2312" w:cs="仿宋_GB2312"/>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9">
    <w:name w:val="Normal Indent"/>
    <w:basedOn w:val="1"/>
    <w:qFormat/>
    <w:uiPriority w:val="0"/>
    <w:pPr>
      <w:ind w:firstLine="420"/>
    </w:pPr>
    <w:rPr>
      <w:sz w:val="21"/>
      <w:szCs w:val="20"/>
    </w:rPr>
  </w:style>
  <w:style w:type="paragraph" w:styleId="11">
    <w:name w:val="toc 7"/>
    <w:basedOn w:val="1"/>
    <w:next w:val="1"/>
    <w:qFormat/>
    <w:uiPriority w:val="0"/>
    <w:pPr>
      <w:ind w:left="2520" w:leftChars="1200"/>
    </w:pPr>
    <w:rPr>
      <w:sz w:val="21"/>
    </w:rPr>
  </w:style>
  <w:style w:type="paragraph" w:styleId="12">
    <w:name w:val="caption"/>
    <w:basedOn w:val="1"/>
    <w:next w:val="1"/>
    <w:link w:val="92"/>
    <w:qFormat/>
    <w:uiPriority w:val="0"/>
    <w:pPr>
      <w:spacing w:before="152" w:after="160"/>
    </w:pPr>
    <w:rPr>
      <w:rFonts w:ascii="Arial" w:hAnsi="Arial" w:eastAsia="黑体" w:cs="Arial"/>
      <w:sz w:val="20"/>
      <w:szCs w:val="20"/>
    </w:rPr>
  </w:style>
  <w:style w:type="paragraph" w:styleId="13">
    <w:name w:val="toa heading"/>
    <w:basedOn w:val="1"/>
    <w:next w:val="1"/>
    <w:qFormat/>
    <w:uiPriority w:val="0"/>
    <w:pPr>
      <w:spacing w:before="120"/>
    </w:pPr>
    <w:rPr>
      <w:rFonts w:ascii="Arial" w:hAnsi="Arial" w:cs="Arial"/>
      <w:sz w:val="24"/>
    </w:rPr>
  </w:style>
  <w:style w:type="paragraph" w:styleId="14">
    <w:name w:val="annotation text"/>
    <w:basedOn w:val="1"/>
    <w:link w:val="62"/>
    <w:qFormat/>
    <w:uiPriority w:val="0"/>
    <w:pPr>
      <w:jc w:val="left"/>
    </w:pPr>
  </w:style>
  <w:style w:type="paragraph" w:styleId="15">
    <w:name w:val="Body Text 3"/>
    <w:basedOn w:val="1"/>
    <w:qFormat/>
    <w:uiPriority w:val="0"/>
    <w:pPr>
      <w:snapToGrid w:val="0"/>
      <w:spacing w:line="380" w:lineRule="exact"/>
    </w:pPr>
    <w:rPr>
      <w:rFonts w:ascii="宋体"/>
      <w:sz w:val="24"/>
    </w:rPr>
  </w:style>
  <w:style w:type="paragraph" w:styleId="16">
    <w:name w:val="Body Text"/>
    <w:basedOn w:val="1"/>
    <w:qFormat/>
    <w:uiPriority w:val="0"/>
    <w:pPr>
      <w:spacing w:line="500" w:lineRule="atLeast"/>
    </w:pPr>
    <w:rPr>
      <w:color w:val="0000FF"/>
      <w:sz w:val="24"/>
    </w:rPr>
  </w:style>
  <w:style w:type="paragraph" w:styleId="17">
    <w:name w:val="Body Text Indent"/>
    <w:basedOn w:val="1"/>
    <w:qFormat/>
    <w:uiPriority w:val="0"/>
    <w:pPr>
      <w:adjustRightInd w:val="0"/>
      <w:spacing w:line="500" w:lineRule="atLeast"/>
      <w:ind w:firstLine="210"/>
      <w:textAlignment w:val="baseline"/>
    </w:pPr>
    <w:rPr>
      <w:rFonts w:ascii="仿宋_GB2312" w:eastAsia="仿宋_GB2312"/>
      <w:kern w:val="0"/>
      <w:sz w:val="24"/>
      <w:szCs w:val="20"/>
    </w:rPr>
  </w:style>
  <w:style w:type="paragraph" w:styleId="18">
    <w:name w:val="Block Text"/>
    <w:basedOn w:val="1"/>
    <w:qFormat/>
    <w:uiPriority w:val="0"/>
    <w:pPr>
      <w:adjustRightInd w:val="0"/>
      <w:ind w:left="420" w:right="33"/>
      <w:jc w:val="left"/>
      <w:textAlignment w:val="baseline"/>
    </w:pPr>
    <w:rPr>
      <w:kern w:val="0"/>
      <w:sz w:val="24"/>
      <w:szCs w:val="20"/>
    </w:rPr>
  </w:style>
  <w:style w:type="paragraph" w:styleId="19">
    <w:name w:val="toc 5"/>
    <w:basedOn w:val="1"/>
    <w:next w:val="1"/>
    <w:qFormat/>
    <w:uiPriority w:val="0"/>
    <w:pPr>
      <w:ind w:left="1680" w:leftChars="800"/>
    </w:pPr>
    <w:rPr>
      <w:sz w:val="21"/>
    </w:rPr>
  </w:style>
  <w:style w:type="paragraph" w:styleId="20">
    <w:name w:val="toc 3"/>
    <w:basedOn w:val="1"/>
    <w:next w:val="1"/>
    <w:qFormat/>
    <w:uiPriority w:val="0"/>
    <w:pPr>
      <w:ind w:left="840" w:leftChars="400"/>
    </w:pPr>
  </w:style>
  <w:style w:type="paragraph" w:styleId="21">
    <w:name w:val="Plain Text"/>
    <w:basedOn w:val="1"/>
    <w:link w:val="61"/>
    <w:qFormat/>
    <w:uiPriority w:val="0"/>
    <w:rPr>
      <w:rFonts w:hint="eastAsia" w:ascii="宋体" w:hAnsi="Courier New"/>
      <w:sz w:val="21"/>
      <w:szCs w:val="20"/>
    </w:rPr>
  </w:style>
  <w:style w:type="paragraph" w:styleId="22">
    <w:name w:val="Date"/>
    <w:basedOn w:val="1"/>
    <w:next w:val="1"/>
    <w:link w:val="93"/>
    <w:qFormat/>
    <w:uiPriority w:val="0"/>
    <w:pPr>
      <w:ind w:left="100" w:leftChars="2500"/>
    </w:pPr>
  </w:style>
  <w:style w:type="paragraph" w:styleId="23">
    <w:name w:val="Body Text Indent 2"/>
    <w:basedOn w:val="1"/>
    <w:qFormat/>
    <w:uiPriority w:val="0"/>
    <w:pPr>
      <w:spacing w:line="500" w:lineRule="atLeast"/>
      <w:ind w:firstLine="480"/>
    </w:pPr>
    <w:rPr>
      <w:rFonts w:ascii="楷体_GB2312" w:eastAsia="楷体_GB2312"/>
      <w:color w:val="FF0000"/>
      <w:sz w:val="24"/>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index heading"/>
    <w:basedOn w:val="1"/>
    <w:next w:val="29"/>
    <w:qFormat/>
    <w:uiPriority w:val="0"/>
    <w:rPr>
      <w:sz w:val="21"/>
      <w:szCs w:val="20"/>
    </w:rPr>
  </w:style>
  <w:style w:type="paragraph" w:styleId="29">
    <w:name w:val="index 1"/>
    <w:basedOn w:val="1"/>
    <w:next w:val="1"/>
    <w:qFormat/>
    <w:uiPriority w:val="0"/>
  </w:style>
  <w:style w:type="paragraph" w:styleId="30">
    <w:name w:val="Body Text Indent 3"/>
    <w:basedOn w:val="1"/>
    <w:qFormat/>
    <w:uiPriority w:val="0"/>
    <w:pPr>
      <w:spacing w:line="480" w:lineRule="atLeast"/>
      <w:ind w:firstLine="500"/>
    </w:pPr>
    <w:rPr>
      <w:rFonts w:ascii="楷体_GB2312" w:eastAsia="楷体_GB2312"/>
      <w:sz w:val="24"/>
    </w:rPr>
  </w:style>
  <w:style w:type="paragraph" w:styleId="31">
    <w:name w:val="toc 2"/>
    <w:basedOn w:val="1"/>
    <w:next w:val="1"/>
    <w:qFormat/>
    <w:uiPriority w:val="39"/>
    <w:pPr>
      <w:ind w:left="420" w:leftChars="200"/>
    </w:pPr>
  </w:style>
  <w:style w:type="paragraph" w:styleId="32">
    <w:name w:val="Body Text 2"/>
    <w:basedOn w:val="1"/>
    <w:qFormat/>
    <w:uiPriority w:val="0"/>
    <w:pPr>
      <w:widowControl/>
      <w:tabs>
        <w:tab w:val="left" w:pos="360"/>
        <w:tab w:val="left" w:pos="900"/>
      </w:tabs>
      <w:jc w:val="left"/>
    </w:pPr>
    <w:rPr>
      <w:rFonts w:ascii="宋体" w:hAnsi="宋体"/>
      <w:bCs/>
      <w:kern w:val="0"/>
      <w:sz w:val="24"/>
      <w:szCs w:val="20"/>
      <w:u w:val="single"/>
    </w:rPr>
  </w:style>
  <w:style w:type="paragraph" w:styleId="3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4">
    <w:name w:val="annotation subject"/>
    <w:basedOn w:val="14"/>
    <w:next w:val="14"/>
    <w:qFormat/>
    <w:uiPriority w:val="0"/>
    <w:rPr>
      <w:b/>
      <w:bCs/>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197AFF"/>
      <w:u w:val="none"/>
    </w:rPr>
  </w:style>
  <w:style w:type="character" w:styleId="41">
    <w:name w:val="HTML Definition"/>
    <w:qFormat/>
    <w:uiPriority w:val="0"/>
    <w:rPr>
      <w:i/>
    </w:rPr>
  </w:style>
  <w:style w:type="character" w:styleId="42">
    <w:name w:val="Hyperlink"/>
    <w:qFormat/>
    <w:uiPriority w:val="99"/>
    <w:rPr>
      <w:color w:val="197AFF"/>
      <w:u w:val="none"/>
    </w:rPr>
  </w:style>
  <w:style w:type="character" w:styleId="43">
    <w:name w:val="HTML Code"/>
    <w:qFormat/>
    <w:uiPriority w:val="0"/>
    <w:rPr>
      <w:rFonts w:hint="default" w:ascii="-apple-system" w:hAnsi="-apple-system" w:eastAsia="-apple-system" w:cs="-apple-system"/>
      <w:sz w:val="21"/>
      <w:szCs w:val="21"/>
    </w:rPr>
  </w:style>
  <w:style w:type="character" w:styleId="44">
    <w:name w:val="annotation reference"/>
    <w:qFormat/>
    <w:uiPriority w:val="0"/>
    <w:rPr>
      <w:sz w:val="21"/>
      <w:szCs w:val="21"/>
    </w:rPr>
  </w:style>
  <w:style w:type="character" w:styleId="45">
    <w:name w:val="HTML Keyboard"/>
    <w:qFormat/>
    <w:uiPriority w:val="0"/>
    <w:rPr>
      <w:rFonts w:hint="default" w:ascii="-apple-system" w:hAnsi="-apple-system" w:eastAsia="-apple-system" w:cs="-apple-system"/>
      <w:sz w:val="21"/>
      <w:szCs w:val="21"/>
    </w:rPr>
  </w:style>
  <w:style w:type="character" w:styleId="46">
    <w:name w:val="HTML Sample"/>
    <w:qFormat/>
    <w:uiPriority w:val="0"/>
    <w:rPr>
      <w:rFonts w:ascii="-apple-system" w:hAnsi="-apple-system" w:eastAsia="-apple-system" w:cs="-apple-system"/>
      <w:sz w:val="21"/>
      <w:szCs w:val="21"/>
    </w:rPr>
  </w:style>
  <w:style w:type="character" w:customStyle="1" w:styleId="47">
    <w:name w:val="样式 标题 3 + 加粗 Char"/>
    <w:qFormat/>
    <w:uiPriority w:val="0"/>
    <w:rPr>
      <w:rFonts w:ascii="Arial" w:hAnsi="Arial" w:eastAsia="黑体"/>
      <w:b/>
      <w:bCs/>
      <w:spacing w:val="14"/>
      <w:kern w:val="24"/>
      <w:sz w:val="24"/>
      <w:szCs w:val="28"/>
      <w:lang w:val="en-US" w:eastAsia="zh-CN" w:bidi="ar-SA"/>
    </w:rPr>
  </w:style>
  <w:style w:type="character" w:customStyle="1" w:styleId="48">
    <w:name w:val="old"/>
    <w:qFormat/>
    <w:uiPriority w:val="0"/>
    <w:rPr>
      <w:color w:val="999999"/>
    </w:rPr>
  </w:style>
  <w:style w:type="character" w:customStyle="1" w:styleId="49">
    <w:name w:val="正文2 Char Char"/>
    <w:link w:val="50"/>
    <w:qFormat/>
    <w:uiPriority w:val="0"/>
    <w:rPr>
      <w:rFonts w:eastAsia="宋体"/>
      <w:kern w:val="2"/>
      <w:sz w:val="24"/>
      <w:lang w:val="en-US" w:eastAsia="zh-CN" w:bidi="ar-SA"/>
    </w:rPr>
  </w:style>
  <w:style w:type="paragraph" w:customStyle="1" w:styleId="50">
    <w:name w:val="正文2"/>
    <w:basedOn w:val="1"/>
    <w:link w:val="49"/>
    <w:qFormat/>
    <w:uiPriority w:val="0"/>
    <w:pPr>
      <w:spacing w:before="156" w:line="360" w:lineRule="auto"/>
      <w:ind w:firstLine="510" w:firstLineChars="200"/>
    </w:pPr>
    <w:rPr>
      <w:sz w:val="24"/>
      <w:szCs w:val="20"/>
    </w:rPr>
  </w:style>
  <w:style w:type="character" w:customStyle="1" w:styleId="51">
    <w:name w:val="style21"/>
    <w:qFormat/>
    <w:uiPriority w:val="0"/>
    <w:rPr>
      <w:color w:val="666666"/>
    </w:rPr>
  </w:style>
  <w:style w:type="character" w:customStyle="1" w:styleId="52">
    <w:name w:val="apple-style-span"/>
    <w:basedOn w:val="37"/>
    <w:qFormat/>
    <w:uiPriority w:val="0"/>
  </w:style>
  <w:style w:type="character" w:customStyle="1" w:styleId="53">
    <w:name w:val="hour_am"/>
    <w:basedOn w:val="37"/>
    <w:qFormat/>
    <w:uiPriority w:val="0"/>
  </w:style>
  <w:style w:type="character" w:customStyle="1" w:styleId="54">
    <w:name w:val="hover9"/>
    <w:qFormat/>
    <w:uiPriority w:val="0"/>
    <w:rPr>
      <w:shd w:val="clear" w:color="auto" w:fill="EEEEEE"/>
    </w:rPr>
  </w:style>
  <w:style w:type="character" w:customStyle="1" w:styleId="55">
    <w:name w:val="tpc_content1"/>
    <w:qFormat/>
    <w:uiPriority w:val="0"/>
    <w:rPr>
      <w:sz w:val="20"/>
      <w:szCs w:val="20"/>
    </w:rPr>
  </w:style>
  <w:style w:type="character" w:customStyle="1" w:styleId="56">
    <w:name w:val="普通文字 Char2"/>
    <w:qFormat/>
    <w:uiPriority w:val="0"/>
    <w:rPr>
      <w:rFonts w:ascii="宋体" w:hAnsi="Courier New" w:eastAsia="宋体"/>
      <w:kern w:val="2"/>
      <w:sz w:val="21"/>
      <w:lang w:val="en-US" w:eastAsia="zh-CN" w:bidi="ar-SA"/>
    </w:rPr>
  </w:style>
  <w:style w:type="character" w:customStyle="1" w:styleId="57">
    <w:name w:val="hour_pm"/>
    <w:basedOn w:val="37"/>
    <w:qFormat/>
    <w:uiPriority w:val="0"/>
  </w:style>
  <w:style w:type="character" w:customStyle="1" w:styleId="58">
    <w:name w:val="Texte Char Char"/>
    <w:qFormat/>
    <w:uiPriority w:val="0"/>
    <w:rPr>
      <w:rFonts w:ascii="宋体" w:hAnsi="Courier New" w:eastAsia="宋体"/>
      <w:kern w:val="2"/>
      <w:sz w:val="21"/>
      <w:lang w:val="en-US" w:eastAsia="zh-CN" w:bidi="ar-SA"/>
    </w:rPr>
  </w:style>
  <w:style w:type="character" w:customStyle="1" w:styleId="59">
    <w:name w:val="List Paragraph Char"/>
    <w:link w:val="60"/>
    <w:qFormat/>
    <w:uiPriority w:val="0"/>
    <w:rPr>
      <w:rFonts w:ascii="Calibri" w:hAnsi="Calibri" w:eastAsia="宋体"/>
      <w:kern w:val="2"/>
      <w:sz w:val="21"/>
      <w:szCs w:val="22"/>
      <w:lang w:val="en-US" w:eastAsia="zh-CN" w:bidi="ar-SA"/>
    </w:rPr>
  </w:style>
  <w:style w:type="paragraph" w:customStyle="1" w:styleId="60">
    <w:name w:val="列出段落2"/>
    <w:basedOn w:val="1"/>
    <w:link w:val="59"/>
    <w:qFormat/>
    <w:uiPriority w:val="0"/>
    <w:pPr>
      <w:ind w:firstLine="420" w:firstLineChars="200"/>
    </w:pPr>
    <w:rPr>
      <w:rFonts w:ascii="Calibri" w:hAnsi="Calibri"/>
      <w:sz w:val="21"/>
      <w:szCs w:val="22"/>
    </w:rPr>
  </w:style>
  <w:style w:type="character" w:customStyle="1" w:styleId="61">
    <w:name w:val="纯文本 Char"/>
    <w:link w:val="21"/>
    <w:qFormat/>
    <w:uiPriority w:val="0"/>
    <w:rPr>
      <w:rFonts w:ascii="宋体" w:hAnsi="Courier New" w:eastAsia="宋体"/>
      <w:kern w:val="2"/>
      <w:sz w:val="21"/>
      <w:lang w:val="en-US" w:eastAsia="zh-CN" w:bidi="ar-SA"/>
    </w:rPr>
  </w:style>
  <w:style w:type="character" w:customStyle="1" w:styleId="62">
    <w:name w:val="批注文字 Char"/>
    <w:link w:val="14"/>
    <w:qFormat/>
    <w:uiPriority w:val="0"/>
    <w:rPr>
      <w:kern w:val="2"/>
      <w:sz w:val="36"/>
      <w:szCs w:val="24"/>
    </w:rPr>
  </w:style>
  <w:style w:type="paragraph" w:customStyle="1" w:styleId="63">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64">
    <w:name w:val="style1"/>
    <w:basedOn w:val="1"/>
    <w:qFormat/>
    <w:uiPriority w:val="0"/>
    <w:pPr>
      <w:widowControl/>
      <w:spacing w:before="100" w:beforeAutospacing="1" w:after="100" w:afterAutospacing="1"/>
      <w:jc w:val="left"/>
    </w:pPr>
    <w:rPr>
      <w:rFonts w:ascii="宋体" w:hAnsi="宋体"/>
      <w:b/>
      <w:bCs/>
      <w:kern w:val="0"/>
      <w:sz w:val="27"/>
      <w:szCs w:val="27"/>
    </w:rPr>
  </w:style>
  <w:style w:type="paragraph" w:customStyle="1" w:styleId="65">
    <w:name w:val="表内文字"/>
    <w:basedOn w:val="1"/>
    <w:qFormat/>
    <w:uiPriority w:val="0"/>
    <w:pPr>
      <w:jc w:val="center"/>
    </w:pPr>
    <w:rPr>
      <w:rFonts w:ascii="宋体" w:hAnsi="宋体"/>
      <w:sz w:val="24"/>
    </w:rPr>
  </w:style>
  <w:style w:type="paragraph" w:customStyle="1" w:styleId="66">
    <w:name w:val="xl127"/>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7">
    <w:name w:val="题注1"/>
    <w:qFormat/>
    <w:uiPriority w:val="99"/>
    <w:pPr>
      <w:suppressAutoHyphens/>
      <w:outlineLvl w:val="0"/>
    </w:pPr>
    <w:rPr>
      <w:rFonts w:ascii="Cambria" w:hAnsi="Cambria" w:eastAsia="宋体" w:cs="Cambria"/>
      <w:color w:val="000000"/>
      <w:sz w:val="36"/>
      <w:szCs w:val="36"/>
      <w:lang w:val="zh-CN" w:eastAsia="zh-CN" w:bidi="ar-SA"/>
    </w:rPr>
  </w:style>
  <w:style w:type="paragraph" w:customStyle="1" w:styleId="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71">
    <w:name w:val="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72">
    <w:name w:val="表格内文字"/>
    <w:qFormat/>
    <w:uiPriority w:val="0"/>
    <w:pPr>
      <w:spacing w:beforeLines="25" w:afterLines="25"/>
      <w:jc w:val="center"/>
    </w:pPr>
    <w:rPr>
      <w:rFonts w:ascii="宋体" w:hAnsi="宋体" w:eastAsia="宋体" w:cs="Times New Roman"/>
      <w:sz w:val="24"/>
      <w:lang w:val="en-US" w:eastAsia="zh-CN" w:bidi="ar-SA"/>
    </w:rPr>
  </w:style>
  <w:style w:type="paragraph" w:customStyle="1" w:styleId="73">
    <w:name w:val="正文 A"/>
    <w:qFormat/>
    <w:uiPriority w:val="99"/>
    <w:pPr>
      <w:widowControl w:val="0"/>
      <w:jc w:val="both"/>
    </w:pPr>
    <w:rPr>
      <w:rFonts w:ascii="Times New Roman" w:hAnsi="Times New Roman" w:eastAsia="宋体" w:cs="Arial Unicode MS"/>
      <w:color w:val="000000"/>
      <w:kern w:val="2"/>
      <w:sz w:val="21"/>
      <w:szCs w:val="21"/>
      <w:lang w:val="en-US" w:eastAsia="zh-CN" w:bidi="ar-SA"/>
    </w:rPr>
  </w:style>
  <w:style w:type="paragraph" w:customStyle="1" w:styleId="74">
    <w:name w:val="表首行"/>
    <w:basedOn w:val="75"/>
    <w:qFormat/>
    <w:uiPriority w:val="0"/>
    <w:pPr>
      <w:jc w:val="center"/>
    </w:pPr>
    <w:rPr>
      <w:rFonts w:ascii="黑体" w:eastAsia="黑体"/>
      <w:b/>
      <w:bCs/>
    </w:rPr>
  </w:style>
  <w:style w:type="paragraph" w:customStyle="1" w:styleId="75">
    <w:name w:val="表中文字"/>
    <w:basedOn w:val="1"/>
    <w:qFormat/>
    <w:uiPriority w:val="0"/>
    <w:pPr>
      <w:widowControl/>
    </w:pPr>
    <w:rPr>
      <w:rFonts w:eastAsia="仿宋_GB2312"/>
      <w:sz w:val="21"/>
      <w:szCs w:val="20"/>
    </w:rPr>
  </w:style>
  <w:style w:type="paragraph" w:customStyle="1" w:styleId="76">
    <w:name w:val="_Style 1"/>
    <w:basedOn w:val="1"/>
    <w:next w:val="1"/>
    <w:qFormat/>
    <w:uiPriority w:val="0"/>
    <w:pPr>
      <w:pBdr>
        <w:bottom w:val="single" w:color="auto" w:sz="6" w:space="1"/>
      </w:pBdr>
      <w:jc w:val="center"/>
    </w:pPr>
    <w:rPr>
      <w:rFonts w:ascii="Arial"/>
      <w:vanish/>
      <w:sz w:val="16"/>
    </w:rPr>
  </w:style>
  <w:style w:type="paragraph" w:customStyle="1" w:styleId="7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8">
    <w:name w:val="无间隔1"/>
    <w:qFormat/>
    <w:uiPriority w:val="0"/>
    <w:rPr>
      <w:rFonts w:ascii="Calibri" w:hAnsi="Calibri" w:eastAsia="??" w:cs="宋体"/>
      <w:sz w:val="22"/>
      <w:szCs w:val="22"/>
      <w:lang w:val="en-US" w:eastAsia="en-US" w:bidi="ar-SA"/>
    </w:rPr>
  </w:style>
  <w:style w:type="paragraph" w:customStyle="1" w:styleId="79">
    <w:name w:val="Char Char11 Char Char"/>
    <w:basedOn w:val="9"/>
    <w:qFormat/>
    <w:uiPriority w:val="0"/>
    <w:pPr>
      <w:widowControl/>
      <w:spacing w:afterLines="50" w:line="360" w:lineRule="auto"/>
      <w:ind w:firstLine="480" w:firstLineChars="200"/>
      <w:jc w:val="left"/>
    </w:pPr>
  </w:style>
  <w:style w:type="paragraph" w:customStyle="1" w:styleId="80">
    <w:name w:val="2"/>
    <w:basedOn w:val="1"/>
    <w:next w:val="21"/>
    <w:qFormat/>
    <w:uiPriority w:val="0"/>
    <w:rPr>
      <w:rFonts w:ascii="宋体" w:hAnsi="Courier New"/>
      <w:sz w:val="21"/>
      <w:szCs w:val="20"/>
    </w:rPr>
  </w:style>
  <w:style w:type="paragraph" w:customStyle="1" w:styleId="81">
    <w:name w:val="题注6"/>
    <w:basedOn w:val="1"/>
    <w:next w:val="12"/>
    <w:qFormat/>
    <w:uiPriority w:val="0"/>
    <w:rPr>
      <w:rFonts w:ascii="宋体" w:hAnsi="宋体"/>
      <w:bCs/>
      <w:sz w:val="21"/>
      <w:lang w:val="en-GB"/>
    </w:rPr>
  </w:style>
  <w:style w:type="paragraph" w:customStyle="1" w:styleId="82">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3">
    <w:name w:val="纯文本1"/>
    <w:basedOn w:val="1"/>
    <w:qFormat/>
    <w:uiPriority w:val="0"/>
    <w:pPr>
      <w:widowControl/>
      <w:jc w:val="left"/>
    </w:pPr>
    <w:rPr>
      <w:rFonts w:hint="eastAsia" w:ascii="宋体" w:hAnsi="Courier New"/>
      <w:sz w:val="21"/>
      <w:szCs w:val="20"/>
    </w:rPr>
  </w:style>
  <w:style w:type="paragraph" w:customStyle="1" w:styleId="84">
    <w:name w:val="_Style 2"/>
    <w:basedOn w:val="1"/>
    <w:next w:val="1"/>
    <w:qFormat/>
    <w:uiPriority w:val="0"/>
    <w:pPr>
      <w:pBdr>
        <w:top w:val="single" w:color="auto" w:sz="6" w:space="1"/>
      </w:pBdr>
      <w:jc w:val="center"/>
    </w:pPr>
    <w:rPr>
      <w:rFonts w:ascii="Arial"/>
      <w:vanish/>
      <w:sz w:val="16"/>
    </w:rPr>
  </w:style>
  <w:style w:type="paragraph" w:customStyle="1" w:styleId="85">
    <w:name w:val="正文常用"/>
    <w:basedOn w:val="1"/>
    <w:qFormat/>
    <w:uiPriority w:val="0"/>
    <w:pPr>
      <w:spacing w:line="360" w:lineRule="auto"/>
      <w:ind w:firstLine="420"/>
    </w:pPr>
    <w:rPr>
      <w:rFonts w:ascii="宋体" w:hAnsi="宋体"/>
      <w:color w:val="000000"/>
      <w:sz w:val="24"/>
      <w:szCs w:val="21"/>
    </w:rPr>
  </w:style>
  <w:style w:type="paragraph" w:customStyle="1" w:styleId="86">
    <w:name w:val="列表段落1"/>
    <w:basedOn w:val="1"/>
    <w:qFormat/>
    <w:uiPriority w:val="99"/>
    <w:pPr>
      <w:ind w:firstLine="420" w:firstLineChars="200"/>
    </w:pPr>
  </w:style>
  <w:style w:type="paragraph" w:customStyle="1" w:styleId="87">
    <w:name w:val="Char"/>
    <w:basedOn w:val="1"/>
    <w:qFormat/>
    <w:uiPriority w:val="0"/>
    <w:rPr>
      <w:rFonts w:ascii="仿宋_GB2312" w:eastAsia="仿宋_GB2312"/>
      <w:b/>
      <w:sz w:val="32"/>
      <w:szCs w:val="32"/>
    </w:rPr>
  </w:style>
  <w:style w:type="paragraph" w:customStyle="1" w:styleId="88">
    <w:name w:val="样式 标题 4 + 非加粗"/>
    <w:basedOn w:val="7"/>
    <w:qFormat/>
    <w:uiPriority w:val="0"/>
    <w:pPr>
      <w:keepLines/>
      <w:adjustRightInd/>
      <w:snapToGrid/>
      <w:spacing w:before="120" w:after="120" w:line="560" w:lineRule="atLeast"/>
      <w:ind w:firstLine="0" w:firstLineChars="0"/>
      <w:jc w:val="left"/>
    </w:pPr>
    <w:rPr>
      <w:rFonts w:ascii="Arial" w:hAnsi="Arial"/>
      <w:b w:val="0"/>
      <w:bCs w:val="0"/>
      <w:sz w:val="24"/>
    </w:rPr>
  </w:style>
  <w:style w:type="paragraph" w:customStyle="1" w:styleId="89">
    <w:name w:val="xl31"/>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90">
    <w:name w:val="列出段落1"/>
    <w:qFormat/>
    <w:uiPriority w:val="0"/>
    <w:pPr>
      <w:ind w:left="720"/>
    </w:pPr>
    <w:rPr>
      <w:rFonts w:ascii="Cambria" w:hAnsi="Cambria" w:eastAsia="ヒラギノ角ゴ Pro W3" w:cs="Times New Roman"/>
      <w:color w:val="000000"/>
      <w:sz w:val="24"/>
      <w:szCs w:val="22"/>
      <w:lang w:val="en-US" w:eastAsia="zh-CN" w:bidi="ar-SA"/>
    </w:rPr>
  </w:style>
  <w:style w:type="paragraph" w:customStyle="1" w:styleId="91">
    <w:name w:val="Char1"/>
    <w:basedOn w:val="1"/>
    <w:qFormat/>
    <w:uiPriority w:val="0"/>
    <w:rPr>
      <w:rFonts w:ascii="仿宋_GB2312" w:eastAsia="仿宋_GB2312"/>
      <w:b/>
      <w:sz w:val="32"/>
      <w:szCs w:val="32"/>
    </w:rPr>
  </w:style>
  <w:style w:type="character" w:customStyle="1" w:styleId="92">
    <w:name w:val="题注 Char"/>
    <w:link w:val="12"/>
    <w:qFormat/>
    <w:uiPriority w:val="0"/>
    <w:rPr>
      <w:rFonts w:ascii="Arial" w:hAnsi="Arial" w:eastAsia="黑体" w:cs="Arial"/>
      <w:kern w:val="2"/>
    </w:rPr>
  </w:style>
  <w:style w:type="character" w:customStyle="1" w:styleId="93">
    <w:name w:val="日期 Char"/>
    <w:link w:val="22"/>
    <w:qFormat/>
    <w:uiPriority w:val="0"/>
    <w:rPr>
      <w:kern w:val="2"/>
      <w:sz w:val="36"/>
      <w:szCs w:val="24"/>
    </w:rPr>
  </w:style>
  <w:style w:type="paragraph" w:styleId="94">
    <w:name w:val="List Paragraph"/>
    <w:basedOn w:val="1"/>
    <w:qFormat/>
    <w:uiPriority w:val="99"/>
    <w:pPr>
      <w:ind w:firstLine="420" w:firstLineChars="200"/>
    </w:pPr>
  </w:style>
  <w:style w:type="paragraph" w:customStyle="1" w:styleId="95">
    <w:name w:val="p0"/>
    <w:basedOn w:val="1"/>
    <w:qFormat/>
    <w:uiPriority w:val="0"/>
    <w:pPr>
      <w:widowControl/>
    </w:pPr>
    <w:rPr>
      <w:rFonts w:hint="eastAsia"/>
    </w:rPr>
  </w:style>
  <w:style w:type="paragraph" w:customStyle="1" w:styleId="96">
    <w:name w:val="内文正文"/>
    <w:qFormat/>
    <w:uiPriority w:val="0"/>
    <w:pPr>
      <w:autoSpaceDE w:val="0"/>
      <w:autoSpaceDN w:val="0"/>
      <w:spacing w:line="400" w:lineRule="exact"/>
      <w:ind w:firstLine="200" w:firstLineChars="200"/>
      <w:jc w:val="both"/>
      <w:textAlignment w:val="bottom"/>
    </w:pPr>
    <w:rPr>
      <w:rFonts w:ascii="宋体" w:hAnsi="仿宋" w:eastAsia="宋体" w:cs="Times New Roman"/>
      <w:sz w:val="21"/>
      <w:szCs w:val="28"/>
      <w:lang w:val="en-US" w:eastAsia="zh-CN" w:bidi="ar-SA"/>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99">
    <w:name w:val="标准正文"/>
    <w:basedOn w:val="1"/>
    <w:qFormat/>
    <w:uiPriority w:val="0"/>
    <w:pPr>
      <w:spacing w:afterLines="50"/>
      <w:ind w:firstLine="200" w:firstLineChars="200"/>
    </w:pPr>
    <w:rPr>
      <w:sz w:val="24"/>
      <w:szCs w:val="21"/>
    </w:rPr>
  </w:style>
  <w:style w:type="paragraph" w:customStyle="1" w:styleId="100">
    <w:name w:val="样式1"/>
    <w:basedOn w:val="5"/>
    <w:qFormat/>
    <w:uiPriority w:val="0"/>
    <w:pPr>
      <w:spacing w:line="413" w:lineRule="auto"/>
    </w:pPr>
    <w:rPr>
      <w:rFonts w:ascii="宋体" w:hAnsi="宋体" w:eastAsia="黑体"/>
      <w:b w:val="0"/>
      <w:bCs w:val="0"/>
      <w:sz w:val="36"/>
      <w:szCs w:val="20"/>
    </w:rPr>
  </w:style>
  <w:style w:type="paragraph" w:customStyle="1" w:styleId="101">
    <w:name w:val="纯文本2"/>
    <w:basedOn w:val="1"/>
    <w:qFormat/>
    <w:uiPriority w:val="0"/>
    <w:rPr>
      <w:rFonts w:hint="eastAsia" w:hAnsi="Courier New"/>
      <w:szCs w:val="20"/>
    </w:rPr>
  </w:style>
  <w:style w:type="paragraph" w:customStyle="1" w:styleId="102">
    <w:name w:val="CM66"/>
    <w:basedOn w:val="2"/>
    <w:next w:val="2"/>
    <w:qFormat/>
    <w:uiPriority w:val="0"/>
    <w:rPr>
      <w:rFonts w:cs="Times New Roman"/>
      <w:color w:val="auto"/>
    </w:rPr>
  </w:style>
  <w:style w:type="paragraph" w:customStyle="1" w:styleId="103">
    <w:name w:val="表头"/>
    <w:basedOn w:val="1"/>
    <w:qFormat/>
    <w:uiPriority w:val="99"/>
    <w:pPr>
      <w:adjustRightInd w:val="0"/>
      <w:spacing w:before="60" w:after="60" w:line="420" w:lineRule="atLeast"/>
      <w:jc w:val="left"/>
      <w:textAlignment w:val="baseline"/>
    </w:pPr>
    <w:rPr>
      <w:rFonts w:ascii="黑体" w:eastAsia="黑体" w:cs="黑体"/>
      <w:b/>
      <w:bCs/>
      <w:kern w:val="0"/>
      <w:szCs w:val="21"/>
    </w:rPr>
  </w:style>
  <w:style w:type="paragraph" w:customStyle="1" w:styleId="104">
    <w:name w:val="Body Text Indent 31"/>
    <w:basedOn w:val="1"/>
    <w:qFormat/>
    <w:uiPriority w:val="0"/>
    <w:pPr>
      <w:spacing w:line="300" w:lineRule="auto"/>
      <w:ind w:firstLine="600"/>
    </w:pPr>
    <w:rPr>
      <w:rFonts w:ascii="仿宋_GB2312" w:eastAsia="仿宋_GB2312"/>
      <w:b/>
      <w:spacing w:val="4"/>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655391E-5590-42F0-9CFA-1A37B3D5A090}">
  <ds:schemaRefs/>
</ds:datastoreItem>
</file>

<file path=customXml/itemProps11.xml><?xml version="1.0" encoding="utf-8"?>
<ds:datastoreItem xmlns:ds="http://schemas.openxmlformats.org/officeDocument/2006/customXml" ds:itemID="{216992D3-2D8B-437A-9DF7-746CD2DE2C75}">
  <ds:schemaRefs/>
</ds:datastoreItem>
</file>

<file path=customXml/itemProps12.xml><?xml version="1.0" encoding="utf-8"?>
<ds:datastoreItem xmlns:ds="http://schemas.openxmlformats.org/officeDocument/2006/customXml" ds:itemID="{518FC5F5-C1E9-4C86-BA1E-3636C8CCA42F}">
  <ds:schemaRefs/>
</ds:datastoreItem>
</file>

<file path=customXml/itemProps13.xml><?xml version="1.0" encoding="utf-8"?>
<ds:datastoreItem xmlns:ds="http://schemas.openxmlformats.org/officeDocument/2006/customXml" ds:itemID="{E5879774-0041-457E-A4EC-3E2C4C18A77D}">
  <ds:schemaRefs/>
</ds:datastoreItem>
</file>

<file path=customXml/itemProps14.xml><?xml version="1.0" encoding="utf-8"?>
<ds:datastoreItem xmlns:ds="http://schemas.openxmlformats.org/officeDocument/2006/customXml" ds:itemID="{DF6D69C8-D352-41E8-B427-EC64EF916B6F}">
  <ds:schemaRefs/>
</ds:datastoreItem>
</file>

<file path=customXml/itemProps2.xml><?xml version="1.0" encoding="utf-8"?>
<ds:datastoreItem xmlns:ds="http://schemas.openxmlformats.org/officeDocument/2006/customXml" ds:itemID="{F6BF6789-C855-486E-BD4A-2A33282D9472}">
  <ds:schemaRefs/>
</ds:datastoreItem>
</file>

<file path=customXml/itemProps3.xml><?xml version="1.0" encoding="utf-8"?>
<ds:datastoreItem xmlns:ds="http://schemas.openxmlformats.org/officeDocument/2006/customXml" ds:itemID="{DD5DE097-5C98-4870-AF8B-5F62E9DB1751}">
  <ds:schemaRefs/>
</ds:datastoreItem>
</file>

<file path=customXml/itemProps4.xml><?xml version="1.0" encoding="utf-8"?>
<ds:datastoreItem xmlns:ds="http://schemas.openxmlformats.org/officeDocument/2006/customXml" ds:itemID="{F0F6F4BC-4E8A-42DC-A1C2-D97FE5947901}">
  <ds:schemaRefs/>
</ds:datastoreItem>
</file>

<file path=customXml/itemProps5.xml><?xml version="1.0" encoding="utf-8"?>
<ds:datastoreItem xmlns:ds="http://schemas.openxmlformats.org/officeDocument/2006/customXml" ds:itemID="{7EA9F4A7-E739-4702-8D16-F8F0CB561B96}">
  <ds:schemaRefs/>
</ds:datastoreItem>
</file>

<file path=customXml/itemProps6.xml><?xml version="1.0" encoding="utf-8"?>
<ds:datastoreItem xmlns:ds="http://schemas.openxmlformats.org/officeDocument/2006/customXml" ds:itemID="{DA5E4103-EF98-474F-8DF8-DFBB8C192DBF}">
  <ds:schemaRefs/>
</ds:datastoreItem>
</file>

<file path=customXml/itemProps7.xml><?xml version="1.0" encoding="utf-8"?>
<ds:datastoreItem xmlns:ds="http://schemas.openxmlformats.org/officeDocument/2006/customXml" ds:itemID="{FFF9FACF-DAF0-4CE7-8F1B-8F6AF57EFF93}">
  <ds:schemaRefs/>
</ds:datastoreItem>
</file>

<file path=customXml/itemProps8.xml><?xml version="1.0" encoding="utf-8"?>
<ds:datastoreItem xmlns:ds="http://schemas.openxmlformats.org/officeDocument/2006/customXml" ds:itemID="{B51530F9-BD2D-4D78-ADD9-5F0F1ADBDF17}">
  <ds:schemaRefs/>
</ds:datastoreItem>
</file>

<file path=customXml/itemProps9.xml><?xml version="1.0" encoding="utf-8"?>
<ds:datastoreItem xmlns:ds="http://schemas.openxmlformats.org/officeDocument/2006/customXml" ds:itemID="{99DC28D8-4FFE-44E7-9915-CE7C99649D3C}">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54</Pages>
  <Words>4468</Words>
  <Characters>25473</Characters>
  <Lines>212</Lines>
  <Paragraphs>59</Paragraphs>
  <TotalTime>20</TotalTime>
  <ScaleCrop>false</ScaleCrop>
  <LinksUpToDate>false</LinksUpToDate>
  <CharactersWithSpaces>29882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2018-12-24T13:31:00Z</dcterms:created>
  <dc:creator>唐中宝</dc:creator>
  <cp:lastModifiedBy>dell</cp:lastModifiedBy>
  <cp:lastPrinted>2020-05-22T07:47:00Z</cp:lastPrinted>
  <dcterms:modified xsi:type="dcterms:W3CDTF">2020-07-02T08:20:22Z</dcterms:modified>
  <dc:title>旅游局</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