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color w:val="auto"/>
          <w:highlight w:val="none"/>
        </w:rPr>
      </w:pPr>
      <w:r>
        <w:rPr>
          <w:rFonts w:hint="eastAsia"/>
          <w:color w:val="auto"/>
          <w:highlight w:val="none"/>
        </w:rPr>
        <w:t>一、项目概况</w:t>
      </w:r>
    </w:p>
    <w:p>
      <w:pPr>
        <w:pStyle w:val="9"/>
        <w:keepNext w:val="0"/>
        <w:keepLines w:val="0"/>
        <w:pageBreakBefore w:val="0"/>
        <w:widowControl w:val="0"/>
        <w:kinsoku/>
        <w:wordWrap/>
        <w:overflowPunct/>
        <w:topLinePunct w:val="0"/>
        <w:autoSpaceDE/>
        <w:autoSpaceDN/>
        <w:bidi w:val="0"/>
        <w:adjustRightInd/>
        <w:snapToGrid/>
        <w:spacing w:after="156" w:line="360" w:lineRule="auto"/>
        <w:ind w:firstLine="456"/>
        <w:textAlignment w:val="auto"/>
        <w:rPr>
          <w:rFonts w:hint="eastAsia" w:ascii="宋体" w:hAnsi="宋体"/>
          <w:color w:val="auto"/>
          <w:spacing w:val="-6"/>
          <w:szCs w:val="24"/>
          <w:highlight w:val="none"/>
        </w:rPr>
      </w:pPr>
      <w:r>
        <w:rPr>
          <w:rFonts w:hint="eastAsia" w:ascii="宋体" w:hAnsi="宋体"/>
          <w:color w:val="auto"/>
          <w:spacing w:val="-6"/>
          <w:szCs w:val="24"/>
          <w:highlight w:val="none"/>
        </w:rPr>
        <w:t>本项目为中国计量大学现代科技学院义乌校区望湖楼宾馆</w:t>
      </w:r>
      <w:r>
        <w:rPr>
          <w:rFonts w:hint="eastAsia" w:ascii="宋体" w:hAnsi="宋体"/>
          <w:color w:val="auto"/>
          <w:spacing w:val="-6"/>
          <w:szCs w:val="24"/>
          <w:highlight w:val="none"/>
          <w:lang w:eastAsia="zh-CN"/>
        </w:rPr>
        <w:t>客房用品（</w:t>
      </w:r>
      <w:r>
        <w:rPr>
          <w:rFonts w:hint="eastAsia" w:ascii="宋体" w:hAnsi="宋体"/>
          <w:color w:val="auto"/>
          <w:spacing w:val="-6"/>
          <w:szCs w:val="24"/>
          <w:highlight w:val="none"/>
          <w:lang w:val="en-US" w:eastAsia="zh-CN"/>
        </w:rPr>
        <w:t>宾馆用品</w:t>
      </w:r>
      <w:r>
        <w:rPr>
          <w:rFonts w:hint="eastAsia" w:ascii="宋体" w:hAnsi="宋体"/>
          <w:color w:val="auto"/>
          <w:spacing w:val="-6"/>
          <w:szCs w:val="24"/>
          <w:highlight w:val="none"/>
          <w:lang w:eastAsia="zh-CN"/>
        </w:rPr>
        <w:t>）定点供应商采购</w:t>
      </w:r>
      <w:r>
        <w:rPr>
          <w:rFonts w:hint="eastAsia" w:ascii="宋体" w:hAnsi="宋体"/>
          <w:color w:val="auto"/>
          <w:spacing w:val="-6"/>
          <w:szCs w:val="24"/>
          <w:highlight w:val="none"/>
        </w:rPr>
        <w:t>的公开招标。</w:t>
      </w:r>
      <w:r>
        <w:rPr>
          <w:rFonts w:hint="eastAsia" w:ascii="宋体" w:hAnsi="宋体"/>
          <w:color w:val="auto"/>
          <w:spacing w:val="-6"/>
          <w:szCs w:val="24"/>
          <w:highlight w:val="none"/>
          <w:lang w:val="en-US" w:eastAsia="zh-CN"/>
        </w:rPr>
        <w:t>望湖楼宾馆共有</w:t>
      </w:r>
      <w:r>
        <w:rPr>
          <w:rFonts w:hint="eastAsia" w:ascii="宋体" w:hAnsi="宋体"/>
          <w:color w:val="auto"/>
          <w:spacing w:val="-6"/>
          <w:szCs w:val="24"/>
          <w:highlight w:val="none"/>
        </w:rPr>
        <w:t>客房</w:t>
      </w:r>
      <w:r>
        <w:rPr>
          <w:rFonts w:hint="eastAsia" w:ascii="宋体" w:hAnsi="宋体"/>
          <w:color w:val="auto"/>
          <w:spacing w:val="-6"/>
          <w:szCs w:val="24"/>
          <w:highlight w:val="none"/>
          <w:lang w:val="en-US" w:eastAsia="zh-CN"/>
        </w:rPr>
        <w:t>253</w:t>
      </w:r>
      <w:r>
        <w:rPr>
          <w:rFonts w:hint="eastAsia" w:ascii="宋体" w:hAnsi="宋体"/>
          <w:color w:val="auto"/>
          <w:spacing w:val="-6"/>
          <w:szCs w:val="24"/>
          <w:highlight w:val="none"/>
        </w:rPr>
        <w:t>间，</w:t>
      </w:r>
      <w:r>
        <w:rPr>
          <w:rFonts w:hint="eastAsia" w:ascii="宋体" w:hAnsi="宋体"/>
          <w:color w:val="auto"/>
          <w:spacing w:val="-6"/>
          <w:szCs w:val="24"/>
          <w:highlight w:val="none"/>
          <w:lang w:val="en-US" w:eastAsia="zh-CN"/>
        </w:rPr>
        <w:t>宾馆用品年采购金额约10万，</w:t>
      </w:r>
      <w:r>
        <w:rPr>
          <w:rFonts w:hint="eastAsia" w:ascii="宋体" w:hAnsi="宋体"/>
          <w:color w:val="auto"/>
          <w:spacing w:val="-6"/>
          <w:szCs w:val="24"/>
          <w:highlight w:val="none"/>
        </w:rPr>
        <w:t>采购需求详见招标文件。本次招标择优确定</w:t>
      </w:r>
      <w:r>
        <w:rPr>
          <w:rFonts w:hint="eastAsia" w:ascii="宋体" w:hAnsi="宋体"/>
          <w:color w:val="auto"/>
          <w:spacing w:val="-6"/>
          <w:szCs w:val="24"/>
          <w:highlight w:val="none"/>
          <w:lang w:val="en-US" w:eastAsia="zh-CN"/>
        </w:rPr>
        <w:t>1</w:t>
      </w:r>
      <w:r>
        <w:rPr>
          <w:rFonts w:hint="eastAsia" w:ascii="宋体" w:hAnsi="宋体"/>
          <w:color w:val="auto"/>
          <w:spacing w:val="-6"/>
          <w:szCs w:val="24"/>
          <w:highlight w:val="none"/>
        </w:rPr>
        <w:t>家中标单位，合同期：</w:t>
      </w:r>
      <w:r>
        <w:rPr>
          <w:rFonts w:hint="eastAsia" w:ascii="宋体" w:hAnsi="宋体"/>
          <w:color w:val="auto"/>
          <w:spacing w:val="-6"/>
          <w:szCs w:val="24"/>
          <w:highlight w:val="none"/>
          <w:lang w:val="en-US" w:eastAsia="zh-CN"/>
        </w:rPr>
        <w:t>壹</w:t>
      </w:r>
      <w:r>
        <w:rPr>
          <w:rFonts w:hint="eastAsia" w:ascii="宋体" w:hAnsi="宋体"/>
          <w:color w:val="auto"/>
          <w:spacing w:val="-6"/>
          <w:szCs w:val="24"/>
          <w:highlight w:val="none"/>
        </w:rPr>
        <w:t>年。</w:t>
      </w:r>
    </w:p>
    <w:tbl>
      <w:tblPr>
        <w:tblStyle w:val="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47"/>
        <w:gridCol w:w="1632"/>
        <w:gridCol w:w="2103"/>
        <w:gridCol w:w="896"/>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7" w:type="pct"/>
            <w:noWrap w:val="0"/>
            <w:vAlign w:val="center"/>
          </w:tcPr>
          <w:p>
            <w:pPr>
              <w:spacing w:line="360" w:lineRule="auto"/>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标项</w:t>
            </w:r>
          </w:p>
        </w:tc>
        <w:tc>
          <w:tcPr>
            <w:tcW w:w="1143" w:type="pct"/>
            <w:noWrap w:val="0"/>
            <w:vAlign w:val="center"/>
          </w:tcPr>
          <w:p>
            <w:pPr>
              <w:spacing w:line="360" w:lineRule="auto"/>
              <w:ind w:left="0" w:leftChars="0" w:firstLine="0" w:firstLineChars="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采购内容</w:t>
            </w:r>
          </w:p>
        </w:tc>
        <w:tc>
          <w:tcPr>
            <w:tcW w:w="958" w:type="pct"/>
            <w:noWrap w:val="0"/>
            <w:vAlign w:val="center"/>
          </w:tcPr>
          <w:p>
            <w:pPr>
              <w:spacing w:line="360" w:lineRule="auto"/>
              <w:ind w:left="0" w:leftChars="0" w:firstLine="0" w:firstLineChars="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项目编号</w:t>
            </w:r>
          </w:p>
        </w:tc>
        <w:tc>
          <w:tcPr>
            <w:tcW w:w="1235" w:type="pct"/>
            <w:noWrap w:val="0"/>
            <w:vAlign w:val="center"/>
          </w:tcPr>
          <w:p>
            <w:pPr>
              <w:spacing w:line="360" w:lineRule="auto"/>
              <w:ind w:left="0" w:leftChars="0" w:firstLine="0" w:firstLineChars="0"/>
              <w:jc w:val="center"/>
              <w:rPr>
                <w:rFonts w:hint="eastAsia" w:ascii="宋体" w:hAnsi="宋体" w:eastAsia="宋体" w:cs="宋体"/>
                <w:b/>
                <w:color w:val="auto"/>
                <w:sz w:val="24"/>
                <w:highlight w:val="none"/>
                <w:lang w:val="en-US" w:eastAsia="zh-CN"/>
              </w:rPr>
            </w:pPr>
            <w:r>
              <w:rPr>
                <w:rFonts w:hint="eastAsia" w:ascii="宋体" w:hAnsi="宋体" w:eastAsia="宋体" w:cs="宋体"/>
                <w:bCs/>
                <w:color w:val="auto"/>
                <w:sz w:val="24"/>
                <w:highlight w:val="none"/>
                <w:lang w:val="en-US" w:eastAsia="zh-CN"/>
              </w:rPr>
              <w:t>品名、</w:t>
            </w:r>
            <w:r>
              <w:rPr>
                <w:rFonts w:hint="eastAsia" w:ascii="宋体" w:hAnsi="宋体" w:eastAsia="宋体" w:cs="宋体"/>
                <w:bCs/>
                <w:color w:val="auto"/>
                <w:sz w:val="24"/>
                <w:highlight w:val="none"/>
              </w:rPr>
              <w:t>规格要求</w:t>
            </w:r>
          </w:p>
        </w:tc>
        <w:tc>
          <w:tcPr>
            <w:tcW w:w="526" w:type="pct"/>
            <w:noWrap w:val="0"/>
            <w:vAlign w:val="center"/>
          </w:tcPr>
          <w:p>
            <w:pPr>
              <w:spacing w:line="360" w:lineRule="auto"/>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年限</w:t>
            </w:r>
          </w:p>
        </w:tc>
        <w:tc>
          <w:tcPr>
            <w:tcW w:w="687" w:type="pct"/>
            <w:noWrap w:val="0"/>
            <w:vAlign w:val="center"/>
          </w:tcPr>
          <w:p>
            <w:pPr>
              <w:spacing w:line="360" w:lineRule="auto"/>
              <w:ind w:left="0" w:leftChars="0" w:firstLine="0" w:firstLineChars="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入围家数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447" w:type="pct"/>
            <w:noWrap w:val="0"/>
            <w:vAlign w:val="center"/>
          </w:tcPr>
          <w:p>
            <w:pPr>
              <w:spacing w:line="360" w:lineRule="auto"/>
              <w:ind w:left="0" w:leftChars="0"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一</w:t>
            </w:r>
          </w:p>
        </w:tc>
        <w:tc>
          <w:tcPr>
            <w:tcW w:w="1143" w:type="pct"/>
            <w:noWrap w:val="0"/>
            <w:vAlign w:val="center"/>
          </w:tcPr>
          <w:p>
            <w:pPr>
              <w:spacing w:line="360" w:lineRule="auto"/>
              <w:ind w:left="0" w:leftChars="0" w:right="68" w:rightChars="0"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宾馆用品</w:t>
            </w:r>
          </w:p>
        </w:tc>
        <w:tc>
          <w:tcPr>
            <w:tcW w:w="958" w:type="pct"/>
            <w:noWrap w:val="0"/>
            <w:vAlign w:val="center"/>
          </w:tcPr>
          <w:p>
            <w:pPr>
              <w:spacing w:line="360" w:lineRule="auto"/>
              <w:ind w:left="0" w:leftChars="0" w:firstLine="0" w:firstLineChars="0"/>
              <w:jc w:val="both"/>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ZJWSBJ-YWZC-202003G-1</w:t>
            </w:r>
          </w:p>
        </w:tc>
        <w:tc>
          <w:tcPr>
            <w:tcW w:w="1235" w:type="pct"/>
            <w:noWrap w:val="0"/>
            <w:vAlign w:val="center"/>
          </w:tcPr>
          <w:p>
            <w:pPr>
              <w:spacing w:line="360" w:lineRule="auto"/>
              <w:ind w:left="0" w:leftChars="0" w:firstLine="0" w:firstLineChars="0"/>
              <w:jc w:val="center"/>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详见项目</w:t>
            </w:r>
            <w:r>
              <w:rPr>
                <w:rFonts w:hint="eastAsia" w:ascii="宋体" w:hAnsi="宋体" w:cs="宋体"/>
                <w:bCs/>
                <w:color w:val="auto"/>
                <w:sz w:val="24"/>
                <w:highlight w:val="none"/>
                <w:lang w:val="en-US" w:eastAsia="zh-CN"/>
              </w:rPr>
              <w:t>需求</w:t>
            </w:r>
          </w:p>
        </w:tc>
        <w:tc>
          <w:tcPr>
            <w:tcW w:w="526" w:type="pct"/>
            <w:noWrap w:val="0"/>
            <w:vAlign w:val="center"/>
          </w:tcPr>
          <w:p>
            <w:pPr>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一</w:t>
            </w:r>
            <w:r>
              <w:rPr>
                <w:rFonts w:hint="eastAsia" w:ascii="宋体" w:hAnsi="宋体" w:eastAsia="宋体" w:cs="宋体"/>
                <w:bCs/>
                <w:color w:val="auto"/>
                <w:sz w:val="24"/>
                <w:highlight w:val="none"/>
              </w:rPr>
              <w:t>年</w:t>
            </w:r>
          </w:p>
        </w:tc>
        <w:tc>
          <w:tcPr>
            <w:tcW w:w="687" w:type="pct"/>
            <w:noWrap w:val="0"/>
            <w:vAlign w:val="center"/>
          </w:tcPr>
          <w:p>
            <w:pPr>
              <w:spacing w:line="360" w:lineRule="auto"/>
              <w:ind w:left="0" w:leftChars="0" w:firstLine="0" w:firstLineChars="0"/>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bl>
    <w:p>
      <w:pPr>
        <w:pStyle w:val="3"/>
        <w:bidi w:val="0"/>
        <w:rPr>
          <w:rFonts w:hint="eastAsia"/>
          <w:color w:val="auto"/>
          <w:highlight w:val="none"/>
        </w:rPr>
      </w:pPr>
      <w:r>
        <w:rPr>
          <w:rFonts w:hint="eastAsia"/>
          <w:color w:val="auto"/>
          <w:highlight w:val="none"/>
        </w:rPr>
        <w:t>二、项目</w:t>
      </w:r>
      <w:r>
        <w:rPr>
          <w:rFonts w:hint="eastAsia"/>
          <w:color w:val="auto"/>
          <w:highlight w:val="none"/>
          <w:lang w:val="en-US" w:eastAsia="zh-CN"/>
        </w:rPr>
        <w:t>需求</w:t>
      </w:r>
    </w:p>
    <w:p>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宾馆用品采购需求：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600"/>
        <w:gridCol w:w="4567"/>
        <w:gridCol w:w="68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序号</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品名</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规格、材质</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单位</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抹布</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30cm*30cm，中厚，不掉毛</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块</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2</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全能水</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浩天，卫生间用</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3</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施康消毒水</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洗杯子用，2.5L/桶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4</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84消毒水</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5公斤/桶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5</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一次性牙具</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纸盒包装，不少于1000只/箱</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6</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一次性梳子</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纸盒包装，不少于1500只/箱</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7</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一次性浴帽</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不少于2500只/箱</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8</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一次性剃须刀</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纸盒包装，不少于100只/箱</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9</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一次性护理包</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纸盒包装，不少于1000只/包</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10</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洗发水</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支</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11</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沐浴露</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支</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12</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玻璃刮</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35cm</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13</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檀香</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桂花香，殊盛源</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盘</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14</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香球</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5颗/包</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包</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15</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小卷纸</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不少于168卷/件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卷</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16</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抽纸</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不少于5提/件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提</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17</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特大垃圾袋</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120*140cm，不少于500卷/件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18</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中垃圾袋</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80*100cm，不少于500卷/件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19</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小垃圾袋</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45*55cm，不少于100卷/件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件</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20</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牙具盒</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抽屉式，内透明，亚克力材质，24*14*8cm</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21</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抽纸盒</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亚克力材质，20*11*6cm</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个</w:t>
            </w:r>
          </w:p>
        </w:tc>
        <w:tc>
          <w:tcPr>
            <w:tcW w:w="0" w:type="auto"/>
            <w:noWrap w:val="0"/>
            <w:vAlign w:val="center"/>
          </w:tcPr>
          <w:p>
            <w:pPr>
              <w:pStyle w:val="4"/>
              <w:keepNext w:val="0"/>
              <w:keepLines w:val="0"/>
              <w:pageBreakBefore w:val="0"/>
              <w:widowControl/>
              <w:kinsoku/>
              <w:wordWrap/>
              <w:overflowPunct/>
              <w:topLinePunct w:val="0"/>
              <w:autoSpaceDE w:val="0"/>
              <w:autoSpaceDN w:val="0"/>
              <w:bidi w:val="0"/>
              <w:adjustRightInd/>
              <w:snapToGrid w:val="0"/>
              <w:ind w:left="0" w:leftChars="0" w:firstLine="0" w:firstLineChars="0"/>
              <w:jc w:val="center"/>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33</w:t>
            </w:r>
          </w:p>
        </w:tc>
      </w:tr>
    </w:tbl>
    <w:p>
      <w:pPr>
        <w:numPr>
          <w:ilvl w:val="0"/>
          <w:numId w:val="0"/>
        </w:numPr>
        <w:spacing w:line="360" w:lineRule="auto"/>
        <w:rPr>
          <w:rFonts w:hint="default" w:ascii="Times New Roman" w:hAnsi="Times New Roman" w:cs="Times New Roman"/>
          <w:b w:val="0"/>
          <w:bCs w:val="0"/>
          <w:color w:val="auto"/>
          <w:sz w:val="24"/>
          <w:highlight w:val="none"/>
          <w:lang w:val="en-US" w:eastAsia="zh-CN"/>
        </w:rPr>
      </w:pPr>
    </w:p>
    <w:p>
      <w:pPr>
        <w:numPr>
          <w:ilvl w:val="0"/>
          <w:numId w:val="0"/>
        </w:numPr>
        <w:spacing w:line="360" w:lineRule="auto"/>
        <w:ind w:left="-480" w:leftChars="-200" w:firstLine="420" w:firstLineChars="0"/>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3、采购限价：上述单价为采购限价，包括人工费、运输搬运费、保险、税金、售后服务等所有费用。投标报价应不得高于上述单价，</w:t>
      </w:r>
      <w:r>
        <w:rPr>
          <w:rFonts w:hint="default" w:ascii="Times New Roman" w:hAnsi="Times New Roman" w:cs="Times New Roman"/>
          <w:b/>
          <w:bCs/>
          <w:color w:val="auto"/>
          <w:sz w:val="24"/>
          <w:highlight w:val="none"/>
        </w:rPr>
        <w:t>投标报价超过采购限价的，为无效</w:t>
      </w:r>
      <w:r>
        <w:rPr>
          <w:rFonts w:hint="eastAsia" w:ascii="Times New Roman" w:hAnsi="Times New Roman" w:cs="Times New Roman"/>
          <w:b/>
          <w:bCs/>
          <w:color w:val="auto"/>
          <w:sz w:val="24"/>
          <w:highlight w:val="none"/>
          <w:lang w:val="en-US" w:eastAsia="zh-CN"/>
        </w:rPr>
        <w:t>供应商</w:t>
      </w:r>
      <w:r>
        <w:rPr>
          <w:rFonts w:hint="default" w:ascii="Times New Roman" w:hAnsi="Times New Roman" w:cs="Times New Roman"/>
          <w:color w:val="auto"/>
          <w:sz w:val="24"/>
          <w:highlight w:val="none"/>
        </w:rPr>
        <w:t>。</w:t>
      </w:r>
    </w:p>
    <w:p>
      <w:pPr>
        <w:numPr>
          <w:ilvl w:val="0"/>
          <w:numId w:val="0"/>
        </w:numPr>
        <w:spacing w:line="360" w:lineRule="auto"/>
        <w:ind w:left="-480" w:leftChars="-200" w:firstLine="420" w:firstLineChars="0"/>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4、所供商品应符合适用的中华人民共和国法律法规及行业标准，并可以被适当使用。</w:t>
      </w:r>
    </w:p>
    <w:p>
      <w:pPr>
        <w:numPr>
          <w:ilvl w:val="0"/>
          <w:numId w:val="0"/>
        </w:numPr>
        <w:spacing w:line="360" w:lineRule="auto"/>
        <w:ind w:left="-480" w:leftChars="-200" w:firstLine="420" w:firstLineChars="0"/>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5、所供商品由采购方组织验收，投标方应对每批货物提供质检报告，若无异议方为验收合格。</w:t>
      </w:r>
    </w:p>
    <w:p>
      <w:pPr>
        <w:numPr>
          <w:ilvl w:val="0"/>
          <w:numId w:val="0"/>
        </w:numPr>
        <w:spacing w:line="360" w:lineRule="auto"/>
        <w:ind w:left="-480" w:leftChars="-200" w:firstLine="420" w:firstLineChars="0"/>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6、商品由投标方送至采购方指定地点。在采购方验收合格前的损失风险由投标方承担，其后的损失风险由采购方承担。</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7、商品从验收合格次日起7天内，出现非采购方人为因素造成的无法排除的原因，由投标方予以调换。个别货物逾7日后，若拆箱发现有破损现象，投标方需积极配合处理退换货事宜。</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8、投标方所交货物品种、规格、质量不符合采购方要求的，若采购方同意使用，应当按质论价；若采购方不同意或不能使用的，由投标方负责按采购方要求包换、包修、包退，并承担调换或退货而支付的实际费用。</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9、未按采购方要求的货物数量交货时，少交的部分，采购方如果需要，应照数补交；采购方如不需要，可以退货，由于退货造成的损失，由投标方承担。</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val="en-US" w:eastAsia="zh-CN"/>
        </w:rPr>
        <w:t>10、投标方须保证</w:t>
      </w:r>
      <w:r>
        <w:rPr>
          <w:rFonts w:hint="default" w:ascii="Times New Roman" w:hAnsi="Times New Roman" w:eastAsia="宋体" w:cs="Times New Roman"/>
          <w:b w:val="0"/>
          <w:bCs w:val="0"/>
          <w:color w:val="auto"/>
          <w:sz w:val="24"/>
          <w:highlight w:val="none"/>
        </w:rPr>
        <w:t>自</w:t>
      </w:r>
      <w:r>
        <w:rPr>
          <w:rFonts w:hint="default" w:ascii="Times New Roman" w:hAnsi="Times New Roman" w:eastAsia="宋体" w:cs="Times New Roman"/>
          <w:b w:val="0"/>
          <w:bCs w:val="0"/>
          <w:color w:val="auto"/>
          <w:sz w:val="24"/>
          <w:highlight w:val="none"/>
          <w:lang w:val="en-US" w:eastAsia="zh-CN"/>
        </w:rPr>
        <w:t>采购方下单</w:t>
      </w:r>
      <w:r>
        <w:rPr>
          <w:rFonts w:hint="default" w:ascii="Times New Roman" w:hAnsi="Times New Roman" w:eastAsia="宋体" w:cs="Times New Roman"/>
          <w:b w:val="0"/>
          <w:bCs w:val="0"/>
          <w:color w:val="auto"/>
          <w:sz w:val="24"/>
          <w:highlight w:val="none"/>
        </w:rPr>
        <w:t>起</w:t>
      </w:r>
      <w:r>
        <w:rPr>
          <w:rFonts w:hint="default" w:ascii="Times New Roman" w:hAnsi="Times New Roman" w:eastAsia="宋体" w:cs="Times New Roman"/>
          <w:b w:val="0"/>
          <w:bCs w:val="0"/>
          <w:color w:val="auto"/>
          <w:sz w:val="24"/>
          <w:highlight w:val="none"/>
          <w:lang w:eastAsia="zh-CN"/>
        </w:rPr>
        <w:t>，有现货的货物下单后三个工作日以内到货，无现货或需要定制的</w:t>
      </w:r>
      <w:r>
        <w:rPr>
          <w:rFonts w:hint="default" w:ascii="Times New Roman" w:hAnsi="Times New Roman" w:eastAsia="宋体" w:cs="Times New Roman"/>
          <w:b w:val="0"/>
          <w:bCs w:val="0"/>
          <w:color w:val="auto"/>
          <w:sz w:val="24"/>
          <w:highlight w:val="none"/>
          <w:lang w:val="en-US" w:eastAsia="zh-CN"/>
        </w:rPr>
        <w:t>十五</w:t>
      </w:r>
      <w:r>
        <w:rPr>
          <w:rFonts w:hint="default" w:ascii="Times New Roman" w:hAnsi="Times New Roman" w:eastAsia="宋体" w:cs="Times New Roman"/>
          <w:b w:val="0"/>
          <w:bCs w:val="0"/>
          <w:color w:val="auto"/>
          <w:sz w:val="24"/>
          <w:highlight w:val="none"/>
          <w:lang w:eastAsia="zh-CN"/>
        </w:rPr>
        <w:t>个工作日内到货。</w:t>
      </w:r>
    </w:p>
    <w:p>
      <w:pPr>
        <w:pStyle w:val="3"/>
        <w:bidi w:val="0"/>
        <w:rPr>
          <w:rFonts w:hint="default"/>
          <w:color w:val="auto"/>
          <w:highlight w:val="none"/>
        </w:rPr>
      </w:pPr>
      <w:r>
        <w:rPr>
          <w:rFonts w:hint="default"/>
          <w:color w:val="auto"/>
          <w:highlight w:val="none"/>
        </w:rPr>
        <w:t>三、结算方式：</w:t>
      </w:r>
    </w:p>
    <w:p>
      <w:pPr>
        <w:pageBreakBefore w:val="0"/>
        <w:widowControl w:val="0"/>
        <w:numPr>
          <w:ilvl w:val="0"/>
          <w:numId w:val="0"/>
        </w:numPr>
        <w:kinsoku/>
        <w:wordWrap/>
        <w:overflowPunct/>
        <w:topLinePunct w:val="0"/>
        <w:autoSpaceDE/>
        <w:autoSpaceDN/>
        <w:bidi w:val="0"/>
        <w:adjustRightInd/>
        <w:snapToGrid/>
        <w:spacing w:line="360" w:lineRule="auto"/>
        <w:ind w:left="-480" w:leftChars="-200" w:firstLine="420" w:firstLineChars="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按月结算，次月结算，逢寒暑假顺延至假期结束后第一个月结算。结算时，月销售清单必须与实际供货一致。甲方在收到乙方有效的发票且发票确认无误后七个工作日内转至乙方帐户。</w:t>
      </w:r>
    </w:p>
    <w:p>
      <w:pPr>
        <w:pStyle w:val="3"/>
        <w:bidi w:val="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四、合同有效期：</w:t>
      </w:r>
      <w:r>
        <w:rPr>
          <w:rFonts w:hint="default" w:ascii="Times New Roman" w:hAnsi="Times New Roman" w:cs="Times New Roman"/>
          <w:color w:val="auto"/>
          <w:sz w:val="24"/>
          <w:highlight w:val="none"/>
          <w:lang w:val="en-US" w:eastAsia="zh-CN"/>
        </w:rPr>
        <w:t>一</w:t>
      </w:r>
      <w:r>
        <w:rPr>
          <w:rFonts w:hint="default" w:ascii="Times New Roman" w:hAnsi="Times New Roman" w:cs="Times New Roman"/>
          <w:color w:val="auto"/>
          <w:sz w:val="24"/>
          <w:highlight w:val="none"/>
        </w:rPr>
        <w:t>年。</w:t>
      </w:r>
    </w:p>
    <w:p>
      <w:pPr>
        <w:pStyle w:val="3"/>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、履约保证金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中标方</w:t>
      </w:r>
      <w:r>
        <w:rPr>
          <w:rFonts w:hint="default" w:ascii="Times New Roman" w:hAnsi="Times New Roman" w:eastAsia="宋体" w:cs="Times New Roman"/>
          <w:color w:val="auto"/>
          <w:sz w:val="24"/>
          <w:highlight w:val="none"/>
        </w:rPr>
        <w:t>在签订合同</w:t>
      </w:r>
      <w:r>
        <w:rPr>
          <w:rFonts w:hint="default" w:ascii="Times New Roman" w:hAnsi="Times New Roman" w:cs="Times New Roman"/>
          <w:color w:val="auto"/>
          <w:sz w:val="24"/>
          <w:highlight w:val="none"/>
          <w:lang w:val="en-US" w:eastAsia="zh-CN"/>
        </w:rPr>
        <w:t>之</w:t>
      </w:r>
      <w:r>
        <w:rPr>
          <w:rFonts w:hint="default" w:ascii="Times New Roman" w:hAnsi="Times New Roman" w:eastAsia="宋体" w:cs="Times New Roman"/>
          <w:color w:val="auto"/>
          <w:sz w:val="24"/>
          <w:highlight w:val="none"/>
        </w:rPr>
        <w:t>日起一个月内需缴纳履约保证金</w:t>
      </w:r>
      <w:r>
        <w:rPr>
          <w:rFonts w:hint="default" w:ascii="Times New Roman" w:hAnsi="Times New Roman" w:cs="Times New Roman"/>
          <w:b w:val="0"/>
          <w:bCs w:val="0"/>
          <w:color w:val="auto"/>
          <w:sz w:val="24"/>
          <w:highlight w:val="none"/>
          <w:lang w:val="en-US" w:eastAsia="zh-CN"/>
        </w:rPr>
        <w:t>壹万元整</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并保证在履约保证金不足时及时缴足，在合同期满无违约的情况下无息退还。</w:t>
      </w:r>
    </w:p>
    <w:p>
      <w:pPr>
        <w:pStyle w:val="3"/>
        <w:bidi w:val="0"/>
        <w:rPr>
          <w:rFonts w:hint="default"/>
          <w:color w:val="auto"/>
          <w:highlight w:val="none"/>
          <w:lang w:val="en-US" w:eastAsia="zh-CN"/>
        </w:rPr>
      </w:pPr>
      <w:r>
        <w:rPr>
          <w:rFonts w:hint="default"/>
          <w:color w:val="auto"/>
          <w:highlight w:val="none"/>
          <w:lang w:val="en-US" w:eastAsia="zh-CN"/>
        </w:rPr>
        <w:t>六、其他要求</w:t>
      </w:r>
    </w:p>
    <w:p>
      <w:pPr>
        <w:pageBreakBefore w:val="0"/>
        <w:kinsoku/>
        <w:wordWrap/>
        <w:overflowPunct/>
        <w:topLinePunct w:val="0"/>
        <w:bidi w:val="0"/>
        <w:adjustRightInd w:val="0"/>
        <w:snapToGrid w:val="0"/>
        <w:spacing w:line="360" w:lineRule="auto"/>
        <w:ind w:left="0" w:leftChars="0" w:firstLine="420" w:firstLineChars="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1、乙方送货车辆及人员进入甲方学校内，必须严格遵守学校各项规章制度，不得影响甲方正常的教学秩序。</w:t>
      </w:r>
    </w:p>
    <w:p>
      <w:pPr>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2、因乙方商品质量、运输不当等给甲方或第三方造成人身财物损失，乙方承担全部责任。</w:t>
      </w:r>
    </w:p>
    <w:p>
      <w:pPr>
        <w:spacing w:line="360" w:lineRule="auto"/>
        <w:ind w:firstLine="57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特别说明：</w:t>
      </w:r>
    </w:p>
    <w:p>
      <w:pPr>
        <w:pStyle w:val="10"/>
        <w:spacing w:before="0"/>
        <w:ind w:left="0" w:leftChars="0" w:firstLine="0" w:firstLineChars="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1、投标</w:t>
      </w:r>
      <w:r>
        <w:rPr>
          <w:rFonts w:hint="eastAsia" w:ascii="宋体" w:hAnsi="宋体" w:cs="宋体"/>
          <w:b/>
          <w:bCs/>
          <w:color w:val="auto"/>
          <w:szCs w:val="24"/>
          <w:highlight w:val="none"/>
          <w:lang w:val="en-US" w:eastAsia="zh-CN"/>
        </w:rPr>
        <w:t>方</w:t>
      </w:r>
      <w:r>
        <w:rPr>
          <w:rFonts w:hint="eastAsia" w:ascii="宋体" w:hAnsi="宋体" w:eastAsia="宋体" w:cs="宋体"/>
          <w:b/>
          <w:bCs/>
          <w:color w:val="auto"/>
          <w:szCs w:val="24"/>
          <w:highlight w:val="none"/>
        </w:rPr>
        <w:t>在投标文件中，应对</w:t>
      </w:r>
      <w:r>
        <w:rPr>
          <w:rFonts w:hint="eastAsia" w:ascii="宋体" w:hAnsi="宋体" w:eastAsia="宋体" w:cs="宋体"/>
          <w:b/>
          <w:bCs/>
          <w:color w:val="auto"/>
          <w:szCs w:val="24"/>
          <w:highlight w:val="none"/>
          <w:lang w:eastAsia="zh-CN"/>
        </w:rPr>
        <w:t>需求书</w:t>
      </w:r>
      <w:r>
        <w:rPr>
          <w:rFonts w:hint="eastAsia" w:ascii="宋体" w:hAnsi="宋体" w:eastAsia="宋体" w:cs="宋体"/>
          <w:b/>
          <w:bCs/>
          <w:color w:val="auto"/>
          <w:szCs w:val="24"/>
          <w:highlight w:val="none"/>
        </w:rPr>
        <w:t>中所提出各项要求进行逐条逐项的</w:t>
      </w:r>
      <w:r>
        <w:rPr>
          <w:rFonts w:hint="eastAsia" w:ascii="宋体" w:hAnsi="宋体" w:eastAsia="宋体" w:cs="宋体"/>
          <w:b/>
          <w:bCs/>
          <w:color w:val="auto"/>
          <w:szCs w:val="24"/>
          <w:highlight w:val="none"/>
          <w:lang w:eastAsia="zh-CN"/>
        </w:rPr>
        <w:t>响应</w:t>
      </w:r>
      <w:r>
        <w:rPr>
          <w:rFonts w:hint="eastAsia" w:ascii="宋体" w:hAnsi="宋体" w:eastAsia="宋体" w:cs="宋体"/>
          <w:b/>
          <w:bCs/>
          <w:color w:val="auto"/>
          <w:szCs w:val="24"/>
          <w:highlight w:val="none"/>
        </w:rPr>
        <w:t>。</w:t>
      </w:r>
    </w:p>
    <w:p>
      <w:r>
        <w:rPr>
          <w:rFonts w:hint="eastAsia" w:ascii="宋体" w:hAnsi="宋体" w:eastAsia="宋体" w:cs="宋体"/>
          <w:b/>
          <w:bCs/>
          <w:color w:val="auto"/>
          <w:kern w:val="0"/>
          <w:sz w:val="24"/>
          <w:szCs w:val="24"/>
          <w:highlight w:val="none"/>
          <w:lang w:val="en-US" w:eastAsia="zh-CN" w:bidi="ar-SA"/>
        </w:rPr>
        <w:t>2、对本需求书的响应应真实、准确，如发现有弄虚作假等内容，视为投标人弄虚作假，将导致其投标无效。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360B7"/>
    <w:rsid w:val="1D5359AA"/>
    <w:rsid w:val="5C03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8"/>
    <w:qFormat/>
    <w:uiPriority w:val="0"/>
    <w:pPr>
      <w:keepNext/>
      <w:jc w:val="center"/>
      <w:outlineLvl w:val="0"/>
    </w:pPr>
    <w:rPr>
      <w:rFonts w:ascii="Times New Roman" w:hAnsi="Times New Roman" w:eastAsia="黑体"/>
      <w:b/>
      <w:bCs/>
      <w:sz w:val="36"/>
    </w:rPr>
  </w:style>
  <w:style w:type="paragraph" w:styleId="3">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Indent"/>
    <w:basedOn w:val="1"/>
    <w:next w:val="1"/>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link w:val="2"/>
    <w:uiPriority w:val="0"/>
    <w:rPr>
      <w:rFonts w:ascii="Times New Roman" w:hAnsi="Times New Roman" w:eastAsia="黑体"/>
      <w:b/>
      <w:bCs/>
      <w:kern w:val="2"/>
      <w:sz w:val="36"/>
      <w:szCs w:val="24"/>
      <w:lang w:val="en-US" w:eastAsia="zh-CN" w:bidi="ar-SA"/>
    </w:rPr>
  </w:style>
  <w:style w:type="paragraph" w:customStyle="1" w:styleId="9">
    <w:name w:val="正文段"/>
    <w:basedOn w:val="1"/>
    <w:qFormat/>
    <w:uiPriority w:val="0"/>
    <w:pPr>
      <w:widowControl/>
      <w:snapToGrid w:val="0"/>
      <w:spacing w:after="50" w:afterLines="50"/>
      <w:ind w:firstLine="200" w:firstLineChars="200"/>
    </w:pPr>
    <w:rPr>
      <w:kern w:val="0"/>
      <w:sz w:val="24"/>
      <w:szCs w:val="20"/>
    </w:rPr>
  </w:style>
  <w:style w:type="paragraph" w:customStyle="1" w:styleId="10">
    <w:name w:val="正文2"/>
    <w:basedOn w:val="1"/>
    <w:qFormat/>
    <w:uiPriority w:val="0"/>
    <w:pPr>
      <w:spacing w:before="156" w:line="360" w:lineRule="auto"/>
      <w:ind w:firstLine="510" w:firstLineChars="200"/>
    </w:pPr>
    <w:rPr>
      <w:kern w:val="0"/>
      <w:sz w:val="24"/>
    </w:rPr>
  </w:style>
  <w:style w:type="paragraph" w:customStyle="1" w:styleId="11">
    <w:name w:val="Default"/>
    <w:next w:val="12"/>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2020-12-22T08:06:00Z</dcterms:created>
  <dc:creator>TZ</dc:creator>
  <cp:lastModifiedBy>TZ</cp:lastModifiedBy>
  <dcterms:modified xsi:type="dcterms:W3CDTF">2020-12-22T08:06:54Z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