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一、项目概况</w:t>
      </w:r>
    </w:p>
    <w:p>
      <w:pPr>
        <w:pStyle w:val="5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本项目为中国计量大学现代科技学院</w:t>
      </w:r>
      <w:r>
        <w:rPr>
          <w:rFonts w:hint="eastAsia" w:hAnsi="宋体" w:cs="宋体"/>
          <w:color w:val="auto"/>
          <w:sz w:val="24"/>
          <w:szCs w:val="24"/>
          <w:highlight w:val="none"/>
          <w:lang w:eastAsia="zh-CN"/>
        </w:rPr>
        <w:t>义乌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校区学生公寓自助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售货机点位</w:t>
      </w:r>
      <w:r>
        <w:rPr>
          <w:rFonts w:hint="eastAsia" w:hAnsi="宋体" w:cs="宋体"/>
          <w:color w:val="auto"/>
          <w:sz w:val="24"/>
          <w:szCs w:val="24"/>
          <w:highlight w:val="none"/>
          <w:lang w:val="en-US" w:eastAsia="zh-CN"/>
        </w:rPr>
        <w:t>招租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服务项目，为满足学校发展需要，为学生提供优质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便利的生活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服务，现公开面向社会招募优质的服务商。</w:t>
      </w:r>
    </w:p>
    <w:p>
      <w:pPr>
        <w:pStyle w:val="5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项目地点位于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</w:rPr>
        <w:t>中国计量大学现代科技学院</w:t>
      </w:r>
      <w:r>
        <w:rPr>
          <w:rFonts w:hint="eastAsia" w:hAnsi="宋体" w:cs="宋体"/>
          <w:bCs/>
          <w:color w:val="auto"/>
          <w:sz w:val="24"/>
          <w:highlight w:val="none"/>
          <w:lang w:eastAsia="zh-CN"/>
        </w:rPr>
        <w:t>义乌</w:t>
      </w:r>
      <w:r>
        <w:rPr>
          <w:rFonts w:hint="eastAsia" w:ascii="宋体" w:hAnsi="宋体" w:eastAsia="宋体" w:cs="宋体"/>
          <w:bCs/>
          <w:color w:val="auto"/>
          <w:sz w:val="24"/>
          <w:highlight w:val="none"/>
        </w:rPr>
        <w:t>校区（义乌市佛堂镇大学路8号）</w:t>
      </w:r>
    </w:p>
    <w:tbl>
      <w:tblPr>
        <w:tblStyle w:val="6"/>
        <w:tblW w:w="5444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547"/>
        <w:gridCol w:w="1478"/>
        <w:gridCol w:w="2239"/>
        <w:gridCol w:w="1044"/>
        <w:gridCol w:w="821"/>
        <w:gridCol w:w="13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410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标项</w:t>
            </w:r>
          </w:p>
        </w:tc>
        <w:tc>
          <w:tcPr>
            <w:tcW w:w="833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采购内容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项目编号</w:t>
            </w:r>
          </w:p>
        </w:tc>
        <w:tc>
          <w:tcPr>
            <w:tcW w:w="120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点位数量、规格要求</w:t>
            </w:r>
          </w:p>
        </w:tc>
        <w:tc>
          <w:tcPr>
            <w:tcW w:w="56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年限</w:t>
            </w:r>
          </w:p>
        </w:tc>
        <w:tc>
          <w:tcPr>
            <w:tcW w:w="44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  <w:t>入围家数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4" w:hRule="atLeast"/>
          <w:jc w:val="center"/>
        </w:trPr>
        <w:tc>
          <w:tcPr>
            <w:tcW w:w="410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</w:t>
            </w:r>
          </w:p>
        </w:tc>
        <w:tc>
          <w:tcPr>
            <w:tcW w:w="833" w:type="pct"/>
            <w:noWrap w:val="0"/>
            <w:vAlign w:val="center"/>
          </w:tcPr>
          <w:p>
            <w:pPr>
              <w:spacing w:line="360" w:lineRule="auto"/>
              <w:ind w:left="0" w:leftChars="0" w:right="68" w:rightChars="0" w:firstLine="0" w:firstLineChars="0"/>
              <w:jc w:val="center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自制类饮品（咖啡）机</w:t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点位招租</w:t>
            </w:r>
          </w:p>
        </w:tc>
        <w:tc>
          <w:tcPr>
            <w:tcW w:w="79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default" w:ascii="宋体" w:hAnsi="宋体" w:eastAsia="宋体" w:cs="宋体"/>
                <w:bCs/>
                <w:sz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eastAsia="zh-CN"/>
              </w:rPr>
              <w:t>ZJWSBJ-YWZC-202002G（C）-2</w:t>
            </w:r>
          </w:p>
        </w:tc>
        <w:tc>
          <w:tcPr>
            <w:tcW w:w="1206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采购点位</w:t>
            </w: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Cs/>
                <w:sz w:val="24"/>
              </w:rPr>
              <w:t>组；整机尺寸规格不限</w:t>
            </w:r>
          </w:p>
        </w:tc>
        <w:tc>
          <w:tcPr>
            <w:tcW w:w="56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bCs/>
                <w:sz w:val="24"/>
              </w:rPr>
              <w:t>三年</w:t>
            </w:r>
          </w:p>
        </w:tc>
        <w:tc>
          <w:tcPr>
            <w:tcW w:w="442" w:type="pct"/>
            <w:noWrap w:val="0"/>
            <w:vAlign w:val="center"/>
          </w:tcPr>
          <w:p>
            <w:pPr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4"/>
                <w:lang w:val="en-US" w:eastAsia="zh-CN"/>
              </w:rPr>
              <w:t>1</w:t>
            </w:r>
          </w:p>
        </w:tc>
        <w:tc>
          <w:tcPr>
            <w:tcW w:w="747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firstLine="0" w:firstLineChars="0"/>
              <w:jc w:val="center"/>
              <w:textAlignment w:val="auto"/>
              <w:rPr>
                <w:rFonts w:hint="eastAsia" w:ascii="宋体" w:hAnsi="宋体" w:cs="宋体"/>
                <w:bCs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4"/>
              </w:rPr>
              <w:t>点位分组图详见附件</w:t>
            </w:r>
            <w:r>
              <w:rPr>
                <w:rFonts w:hint="eastAsia" w:ascii="宋体" w:hAnsi="宋体"/>
                <w:bCs/>
                <w:sz w:val="24"/>
                <w:lang w:val="en-US" w:eastAsia="zh-CN"/>
              </w:rPr>
              <w:t>十四</w:t>
            </w:r>
          </w:p>
        </w:tc>
      </w:tr>
    </w:tbl>
    <w:p>
      <w:pPr>
        <w:pStyle w:val="5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color w:val="auto"/>
          <w:sz w:val="24"/>
          <w:highlight w:val="none"/>
        </w:rPr>
      </w:pPr>
    </w:p>
    <w:p>
      <w:pPr>
        <w:pStyle w:val="4"/>
        <w:bidi w:val="0"/>
        <w:rPr>
          <w:rFonts w:hint="eastAsia"/>
        </w:rPr>
      </w:pPr>
      <w:r>
        <w:rPr>
          <w:rFonts w:hint="eastAsia"/>
        </w:rPr>
        <w:t>二、</w:t>
      </w:r>
      <w:r>
        <w:rPr>
          <w:rFonts w:hint="eastAsia"/>
          <w:lang w:val="en-US" w:eastAsia="zh-CN"/>
        </w:rPr>
        <w:t>自助售货机点位招租</w:t>
      </w:r>
      <w:r>
        <w:rPr>
          <w:rFonts w:hint="eastAsia"/>
        </w:rPr>
        <w:t>服务项目</w:t>
      </w:r>
      <w:r>
        <w:rPr>
          <w:rFonts w:hint="eastAsia"/>
          <w:lang w:val="en-US" w:eastAsia="zh-CN"/>
        </w:rPr>
        <w:t>需求</w:t>
      </w:r>
    </w:p>
    <w:p>
      <w:pPr>
        <w:spacing w:line="360" w:lineRule="auto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1</w:t>
      </w:r>
      <w:r>
        <w:rPr>
          <w:rFonts w:hint="eastAsia" w:ascii="宋体" w:hAnsi="宋体" w:eastAsia="宋体" w:cs="宋体"/>
          <w:bCs/>
          <w:sz w:val="24"/>
        </w:rPr>
        <w:t>.</w:t>
      </w:r>
      <w:r>
        <w:rPr>
          <w:rFonts w:hint="eastAsia" w:ascii="宋体" w:hAnsi="宋体" w:eastAsia="宋体" w:cs="宋体"/>
          <w:sz w:val="24"/>
        </w:rPr>
        <w:t>所供应的机器设备须符合国家或行业技术规格和质量标准</w:t>
      </w:r>
      <w:r>
        <w:rPr>
          <w:rFonts w:hint="eastAsia" w:ascii="宋体" w:hAnsi="宋体" w:eastAsia="宋体" w:cs="宋体"/>
          <w:sz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</w:rPr>
        <w:t>所供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食品</w:t>
      </w:r>
      <w:r>
        <w:rPr>
          <w:rFonts w:hint="eastAsia" w:ascii="宋体" w:hAnsi="宋体" w:eastAsia="宋体" w:cs="宋体"/>
          <w:bCs/>
          <w:sz w:val="24"/>
        </w:rPr>
        <w:t>须符合国家质量及食品卫生标准，种类多样化</w:t>
      </w:r>
      <w:r>
        <w:rPr>
          <w:rFonts w:hint="eastAsia" w:ascii="宋体" w:hAnsi="宋体" w:eastAsia="宋体" w:cs="宋体"/>
          <w:bCs/>
          <w:sz w:val="24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品牌</w:t>
      </w:r>
      <w:r>
        <w:rPr>
          <w:rFonts w:hint="eastAsia" w:ascii="宋体" w:hAnsi="宋体" w:eastAsia="宋体" w:cs="宋体"/>
          <w:bCs/>
          <w:sz w:val="24"/>
        </w:rPr>
        <w:t>须为国内</w:t>
      </w:r>
      <w:r>
        <w:rPr>
          <w:rFonts w:hint="eastAsia" w:ascii="宋体" w:hAnsi="宋体" w:cs="宋体"/>
          <w:bCs/>
          <w:sz w:val="24"/>
          <w:lang w:val="en-US" w:eastAsia="zh-CN"/>
        </w:rPr>
        <w:t>外</w:t>
      </w:r>
      <w:r>
        <w:rPr>
          <w:rFonts w:hint="eastAsia" w:ascii="宋体" w:hAnsi="宋体" w:eastAsia="宋体" w:cs="宋体"/>
          <w:bCs/>
          <w:sz w:val="24"/>
        </w:rPr>
        <w:t>知名品牌</w:t>
      </w:r>
      <w:r>
        <w:rPr>
          <w:rFonts w:hint="eastAsia" w:ascii="宋体" w:hAnsi="宋体" w:eastAsia="宋体" w:cs="宋体"/>
          <w:bCs/>
          <w:sz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所供食用农产品须符合《农产品质量安全法》相关规定。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val="en-US"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.投标方所出售的全部货物均应按标准保护措施进行包装，这类包装应适应于远距离运输、防潮、防震和防野蛮装卸等要求，以确保货物安全无损地运抵指定现场；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.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商品的投放时间到商品保质期过期时间应大于保质期的70%的，否则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应立刻更换产品；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不足一天的按照一天计算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）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4.机器设备</w:t>
      </w:r>
      <w:r>
        <w:rPr>
          <w:rFonts w:hint="eastAsia" w:ascii="宋体" w:hAnsi="宋体" w:eastAsia="宋体" w:cs="宋体"/>
          <w:bCs/>
          <w:sz w:val="24"/>
        </w:rPr>
        <w:t>支付方式多种化，支持支付宝、微信、云闪付等支付形式</w:t>
      </w:r>
      <w:r>
        <w:rPr>
          <w:rFonts w:hint="eastAsia" w:ascii="宋体" w:hAnsi="宋体" w:cs="宋体"/>
          <w:bCs/>
          <w:sz w:val="24"/>
          <w:lang w:eastAsia="zh-CN"/>
        </w:rPr>
        <w:t>。</w:t>
      </w:r>
    </w:p>
    <w:p>
      <w:pPr>
        <w:spacing w:line="360" w:lineRule="auto"/>
        <w:ind w:firstLine="420" w:firstLineChars="0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bCs/>
          <w:sz w:val="24"/>
        </w:rPr>
        <w:t>.投标方应为本项目配备专业服务团队，包括各种突发事件采取应急措施等。相关设备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载体</w:t>
      </w:r>
      <w:r>
        <w:rPr>
          <w:rFonts w:hint="eastAsia" w:ascii="宋体" w:hAnsi="宋体" w:eastAsia="宋体" w:cs="宋体"/>
          <w:bCs/>
          <w:sz w:val="24"/>
        </w:rPr>
        <w:t>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负责日常运行和维护；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投标方须提供</w:t>
      </w:r>
      <w:r>
        <w:rPr>
          <w:rFonts w:hint="eastAsia" w:ascii="宋体" w:hAnsi="宋体" w:eastAsia="宋体" w:cs="宋体"/>
          <w:bCs/>
          <w:sz w:val="24"/>
        </w:rPr>
        <w:t>一位负责人，全权代表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与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</w:rPr>
        <w:t>保持密切联系以保证承租区域内服务工作正常进行</w:t>
      </w:r>
      <w:r>
        <w:rPr>
          <w:rFonts w:hint="eastAsia" w:ascii="宋体" w:hAnsi="宋体" w:eastAsia="宋体" w:cs="宋体"/>
          <w:bCs/>
          <w:sz w:val="24"/>
          <w:lang w:eastAsia="zh-CN"/>
        </w:rPr>
        <w:t>；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须配备足够的服务人员，且聘用的服务人员必须符合劳动部门有关用工规定，并经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相关专业考核合格后持证上岗，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有权进行审核，该类费用开支由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负担。</w:t>
      </w:r>
      <w:r>
        <w:rPr>
          <w:rFonts w:hint="eastAsia" w:ascii="宋体" w:hAnsi="宋体" w:cs="宋体"/>
          <w:bCs/>
          <w:sz w:val="24"/>
          <w:lang w:val="en-US" w:eastAsia="zh-CN"/>
        </w:rPr>
        <w:t>相关设备载体</w:t>
      </w:r>
      <w:r>
        <w:rPr>
          <w:rFonts w:hint="eastAsia" w:ascii="宋体" w:hAnsi="宋体"/>
          <w:bCs/>
          <w:sz w:val="24"/>
          <w:lang w:val="en-US" w:eastAsia="zh-CN"/>
        </w:rPr>
        <w:t>必须为</w:t>
      </w:r>
      <w:r>
        <w:rPr>
          <w:rFonts w:hint="eastAsia" w:ascii="宋体" w:hAnsi="宋体" w:eastAsia="宋体" w:cs="宋体"/>
          <w:bCs/>
          <w:sz w:val="24"/>
          <w:lang w:eastAsia="zh-CN"/>
        </w:rPr>
        <w:t>全新。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6.</w:t>
      </w:r>
      <w:r>
        <w:rPr>
          <w:rFonts w:hint="default" w:ascii="宋体" w:hAnsi="宋体" w:eastAsia="宋体" w:cs="宋体"/>
          <w:bCs/>
          <w:sz w:val="24"/>
          <w:lang w:val="en-US" w:eastAsia="zh-CN"/>
        </w:rPr>
        <w:t>设备出现故障后，在接到招标人通知后，应在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30分钟进行服务响应，如需现场服务的，需在2小时内赶到现场</w:t>
      </w:r>
      <w:r>
        <w:rPr>
          <w:rFonts w:hint="default" w:ascii="宋体" w:hAnsi="宋体" w:eastAsia="宋体" w:cs="宋体"/>
          <w:bCs/>
          <w:sz w:val="24"/>
          <w:lang w:val="en-US" w:eastAsia="zh-CN"/>
        </w:rPr>
        <w:t>，不超过12小时内解决故障，若无法解决故障应予以更换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设备。</w:t>
      </w:r>
      <w:r>
        <w:rPr>
          <w:rFonts w:hint="eastAsia" w:ascii="宋体" w:hAnsi="宋体" w:cs="宋体"/>
          <w:bCs/>
          <w:sz w:val="24"/>
          <w:lang w:val="en-US" w:eastAsia="zh-CN"/>
        </w:rPr>
        <w:t>设备载体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出现吞钱、吞货情况，</w:t>
      </w:r>
      <w:r>
        <w:rPr>
          <w:rFonts w:hint="eastAsia" w:ascii="宋体" w:hAnsi="宋体" w:cs="宋体"/>
          <w:bCs/>
          <w:sz w:val="24"/>
          <w:lang w:val="en-US" w:eastAsia="zh-CN"/>
        </w:rPr>
        <w:t>应在2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小时内</w:t>
      </w:r>
      <w:r>
        <w:rPr>
          <w:rFonts w:hint="eastAsia" w:ascii="宋体" w:hAnsi="宋体" w:cs="宋体"/>
          <w:bCs/>
          <w:sz w:val="24"/>
          <w:lang w:val="en-US" w:eastAsia="zh-CN"/>
        </w:rPr>
        <w:t>妥善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解决问题。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val="en-US"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7</w:t>
      </w:r>
      <w:r>
        <w:rPr>
          <w:rFonts w:hint="eastAsia" w:ascii="宋体" w:hAnsi="宋体" w:eastAsia="宋体" w:cs="宋体"/>
          <w:bCs/>
          <w:sz w:val="24"/>
          <w:lang w:eastAsia="zh-CN"/>
        </w:rPr>
        <w:t>.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应保证承包区域内的设施、设备始终处于良好的运营状况和保持承包区域内环境卫生整洁。对由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</w:t>
      </w:r>
      <w:r>
        <w:rPr>
          <w:rFonts w:hint="eastAsia" w:ascii="宋体" w:hAnsi="宋体" w:eastAsia="宋体" w:cs="宋体"/>
          <w:bCs/>
          <w:sz w:val="24"/>
          <w:lang w:eastAsia="zh-CN"/>
        </w:rPr>
        <w:t>方引起或造成设施、设备的损坏及环境卫生不理想状况，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将书面通知进行整改，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投标方应积极响应，进行整改。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8</w:t>
      </w:r>
      <w:r>
        <w:rPr>
          <w:rFonts w:hint="eastAsia" w:ascii="宋体" w:hAnsi="宋体" w:eastAsia="宋体" w:cs="宋体"/>
          <w:bCs/>
          <w:sz w:val="24"/>
          <w:lang w:eastAsia="zh-CN"/>
        </w:rPr>
        <w:t>.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应无条件配合服从</w:t>
      </w:r>
      <w:r>
        <w:rPr>
          <w:rFonts w:hint="eastAsia" w:ascii="宋体" w:hAnsi="宋体" w:cs="宋体"/>
          <w:bCs/>
          <w:sz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工作人员的管理。</w:t>
      </w:r>
    </w:p>
    <w:p>
      <w:pPr>
        <w:spacing w:line="360" w:lineRule="auto"/>
        <w:ind w:left="0" w:leftChars="0" w:firstLine="420" w:firstLineChars="0"/>
        <w:rPr>
          <w:rFonts w:hint="eastAsia"/>
          <w:lang w:eastAsia="zh-CN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9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.投标方</w:t>
      </w:r>
      <w:r>
        <w:rPr>
          <w:rFonts w:hint="eastAsia" w:ascii="宋体" w:hAnsi="宋体" w:eastAsia="宋体" w:cs="宋体"/>
          <w:bCs/>
          <w:sz w:val="24"/>
          <w:lang w:eastAsia="zh-CN"/>
        </w:rPr>
        <w:t>必须提供优质、高效的服务，并根据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要求不断改进服务手段，自觉接受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相关部门的监督与检查。同时，自觉参加有助于提高</w:t>
      </w:r>
      <w:r>
        <w:rPr>
          <w:rFonts w:hint="eastAsia" w:ascii="宋体" w:hAnsi="宋体" w:cs="宋体"/>
          <w:bCs/>
          <w:sz w:val="24"/>
          <w:lang w:val="en-US" w:eastAsia="zh-CN"/>
        </w:rPr>
        <w:t>采购人</w:t>
      </w:r>
      <w:r>
        <w:rPr>
          <w:rFonts w:hint="eastAsia" w:ascii="宋体" w:hAnsi="宋体" w:eastAsia="宋体" w:cs="宋体"/>
          <w:bCs/>
          <w:sz w:val="24"/>
          <w:lang w:eastAsia="zh-CN"/>
        </w:rPr>
        <w:t>形象和经营业绩的宣传活动。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10</w:t>
      </w:r>
      <w:r>
        <w:rPr>
          <w:rFonts w:hint="eastAsia" w:ascii="宋体" w:hAnsi="宋体" w:eastAsia="宋体" w:cs="宋体"/>
          <w:bCs/>
          <w:sz w:val="24"/>
        </w:rPr>
        <w:t>.经营过程需办理的相关许可证书等申报手续由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自行办理；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11</w:t>
      </w:r>
      <w:r>
        <w:rPr>
          <w:rFonts w:hint="eastAsia" w:ascii="宋体" w:hAnsi="宋体" w:eastAsia="宋体" w:cs="宋体"/>
          <w:bCs/>
          <w:sz w:val="24"/>
        </w:rPr>
        <w:t>.经营费用及产生的债权、债务由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承担。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>不得擅自将该项目转租、出让给他人，如有违反，</w:t>
      </w:r>
      <w:r>
        <w:rPr>
          <w:rFonts w:hint="eastAsia" w:ascii="宋体" w:hAnsi="宋体" w:cs="宋体"/>
          <w:bCs/>
          <w:sz w:val="24"/>
          <w:lang w:eastAsia="zh-CN"/>
        </w:rPr>
        <w:t>采购人</w:t>
      </w:r>
      <w:r>
        <w:rPr>
          <w:rFonts w:hint="eastAsia" w:ascii="宋体" w:hAnsi="宋体" w:eastAsia="宋体" w:cs="宋体"/>
          <w:bCs/>
          <w:sz w:val="24"/>
        </w:rPr>
        <w:t>有权终止合同，并没收履约保证金；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cs="宋体"/>
          <w:bCs/>
          <w:sz w:val="24"/>
          <w:lang w:val="en-US" w:eastAsia="zh-CN"/>
        </w:rPr>
        <w:t>12</w:t>
      </w:r>
      <w:r>
        <w:rPr>
          <w:rFonts w:hint="eastAsia" w:ascii="宋体" w:hAnsi="宋体" w:eastAsia="宋体" w:cs="宋体"/>
          <w:bCs/>
          <w:sz w:val="24"/>
        </w:rPr>
        <w:t>.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投标方</w:t>
      </w:r>
      <w:r>
        <w:rPr>
          <w:rFonts w:hint="eastAsia" w:ascii="宋体" w:hAnsi="宋体" w:eastAsia="宋体" w:cs="宋体"/>
          <w:bCs/>
          <w:sz w:val="24"/>
        </w:rPr>
        <w:t xml:space="preserve">必须保证依法经营、依法纳税，如有违章与违法行为，成交单位负全部责任； </w:t>
      </w:r>
    </w:p>
    <w:p>
      <w:pPr>
        <w:pStyle w:val="4"/>
        <w:bidi w:val="0"/>
        <w:rPr>
          <w:rFonts w:hint="eastAsia"/>
        </w:rPr>
      </w:pPr>
      <w:r>
        <w:rPr>
          <w:rFonts w:hint="eastAsia"/>
        </w:rPr>
        <w:t>★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点位租金</w:t>
      </w:r>
      <w:r>
        <w:rPr>
          <w:rFonts w:hint="eastAsia"/>
        </w:rPr>
        <w:t>标准：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每台租金不得低于人民币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000.00元/年，低于最低控制价的投标无效。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四</w:t>
      </w:r>
      <w:r>
        <w:rPr>
          <w:rFonts w:hint="eastAsia"/>
        </w:rPr>
        <w:t>、点位确定原则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color w:val="000000"/>
          <w:sz w:val="24"/>
          <w:lang w:val="en-US" w:eastAsia="zh-CN"/>
        </w:rPr>
        <w:t>中标</w:t>
      </w:r>
      <w:r>
        <w:rPr>
          <w:rFonts w:hint="eastAsia" w:ascii="宋体" w:hAnsi="宋体"/>
          <w:color w:val="000000"/>
          <w:sz w:val="24"/>
        </w:rPr>
        <w:t>供应商须满足安放机器的最低数量，每台机器租金单价按其投标报价执行。</w:t>
      </w:r>
    </w:p>
    <w:p>
      <w:pPr>
        <w:pStyle w:val="4"/>
        <w:bidi w:val="0"/>
        <w:rPr>
          <w:rFonts w:hint="eastAsia"/>
        </w:rPr>
      </w:pPr>
      <w:bookmarkStart w:id="0" w:name="_Toc482946896"/>
      <w:bookmarkStart w:id="1" w:name="_Toc456607642"/>
      <w:r>
        <w:rPr>
          <w:rFonts w:hint="eastAsia"/>
          <w:lang w:val="en-US" w:eastAsia="zh-CN"/>
        </w:rPr>
        <w:t>五、</w:t>
      </w:r>
      <w:r>
        <w:rPr>
          <w:rFonts w:hint="eastAsia"/>
        </w:rPr>
        <w:t>设备到位期限</w:t>
      </w:r>
      <w:bookmarkEnd w:id="0"/>
    </w:p>
    <w:bookmarkEnd w:id="1"/>
    <w:p>
      <w:pPr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/>
          <w:bCs/>
          <w:sz w:val="24"/>
        </w:rPr>
        <w:t>2020-2021学年第二学期开学前安装完成，具体时间另行通知。</w:t>
      </w:r>
    </w:p>
    <w:p>
      <w:pPr>
        <w:pStyle w:val="4"/>
        <w:bidi w:val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/>
          <w:lang w:val="en-US" w:eastAsia="zh-CN"/>
        </w:rPr>
        <w:t>六</w:t>
      </w:r>
      <w:r>
        <w:rPr>
          <w:rFonts w:hint="eastAsia"/>
        </w:rPr>
        <w:t>、合同期限：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年</w:t>
      </w:r>
      <w:r>
        <w:rPr>
          <w:rFonts w:hint="eastAsia"/>
          <w:lang w:eastAsia="zh-CN"/>
        </w:rPr>
        <w:t>，自学校2020-2021学年第二学期开学前十五天开始签订</w:t>
      </w:r>
      <w:r>
        <w:rPr>
          <w:rFonts w:hint="eastAsia"/>
        </w:rPr>
        <w:t>。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七</w:t>
      </w:r>
      <w:r>
        <w:rPr>
          <w:rFonts w:hint="eastAsia"/>
        </w:rPr>
        <w:t>、结算方式：</w:t>
      </w:r>
    </w:p>
    <w:p>
      <w:pPr>
        <w:snapToGrid w:val="0"/>
        <w:spacing w:line="360" w:lineRule="auto"/>
        <w:ind w:firstLine="470" w:firstLineChars="196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自助售货机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使用过程中的电费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和网络费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由投标方承担</w:t>
      </w:r>
      <w:r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bCs/>
          <w:sz w:val="24"/>
          <w:szCs w:val="24"/>
        </w:rPr>
        <w:t>电费支付标准及方式：</w:t>
      </w:r>
      <w:r>
        <w:rPr>
          <w:rFonts w:hint="eastAsia" w:ascii="宋体" w:hAnsi="宋体"/>
          <w:bCs/>
          <w:sz w:val="24"/>
          <w:szCs w:val="22"/>
          <w:lang w:val="en-US" w:eastAsia="zh-CN"/>
        </w:rPr>
        <w:t>按时到采购单位缴纳，</w:t>
      </w:r>
      <w:r>
        <w:rPr>
          <w:rFonts w:hint="default" w:ascii="宋体" w:hAnsi="宋体"/>
          <w:bCs/>
          <w:sz w:val="24"/>
          <w:szCs w:val="22"/>
          <w:lang w:val="en-US" w:eastAsia="zh-CN"/>
        </w:rPr>
        <w:t>按</w:t>
      </w:r>
      <w:r>
        <w:rPr>
          <w:rFonts w:hint="eastAsia" w:ascii="宋体" w:hAnsi="宋体"/>
          <w:bCs/>
          <w:sz w:val="24"/>
          <w:szCs w:val="22"/>
          <w:lang w:val="en-US" w:eastAsia="zh-CN"/>
        </w:rPr>
        <w:t>义乌市商业用电</w:t>
      </w:r>
      <w:r>
        <w:rPr>
          <w:rFonts w:hint="default" w:ascii="宋体" w:hAnsi="宋体"/>
          <w:bCs/>
          <w:sz w:val="24"/>
          <w:szCs w:val="22"/>
          <w:lang w:val="en-US" w:eastAsia="zh-CN"/>
        </w:rPr>
        <w:t>的标准收取，如遇价格调整按新价格标准收取</w:t>
      </w:r>
      <w:r>
        <w:rPr>
          <w:rFonts w:hint="eastAsia" w:ascii="宋体" w:hAnsi="宋体"/>
          <w:bCs/>
          <w:sz w:val="24"/>
          <w:szCs w:val="22"/>
          <w:lang w:val="en-US" w:eastAsia="zh-CN"/>
        </w:rPr>
        <w:t>，网络费支付标准及方式：网络费用由网络运营商按实际收取</w:t>
      </w:r>
      <w:r>
        <w:rPr>
          <w:rFonts w:hint="default" w:ascii="宋体" w:hAnsi="宋体"/>
          <w:bCs/>
          <w:sz w:val="24"/>
          <w:szCs w:val="22"/>
          <w:lang w:val="en-US"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成交单位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需支付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自助售货机点位租金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，成交单位应在签订合同后7天内一次性缴纳全年租金，一年租期满后7天内一次性缴纳下一年租金。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3.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投标方须按时缴纳费用，逾期缴纳费用超过三十天，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采购人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有权终止合同并没收履约保证金。</w:t>
      </w:r>
    </w:p>
    <w:p>
      <w:pPr>
        <w:pStyle w:val="4"/>
        <w:bidi w:val="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八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、履约保证金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乙方在签订合同</w:t>
      </w: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之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日起一个月内需缴纳履约保证金</w:t>
      </w:r>
      <w:r>
        <w:rPr>
          <w:rFonts w:hint="eastAsia" w:ascii="宋体" w:hAnsi="宋体" w:cs="宋体"/>
          <w:b/>
          <w:bCs/>
          <w:color w:val="auto"/>
          <w:sz w:val="24"/>
          <w:highlight w:val="none"/>
          <w:lang w:val="en-US" w:eastAsia="zh-CN"/>
        </w:rPr>
        <w:t>每台机器壹仟伍佰元整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，并保证在履约保证金不足时及时缴足，在合同期满无违约的情况下无息退还。</w:t>
      </w:r>
    </w:p>
    <w:p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九</w:t>
      </w:r>
      <w:r>
        <w:rPr>
          <w:rFonts w:hint="eastAsia"/>
        </w:rPr>
        <w:t>、其他要求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  <w:lang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中标方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响应并处理不及时（超过接到甲方电话24小时）第一次发现扣200元，第二次发现扣500元，第三次发现解除合同。具体响应时间由采购人的使用部门监督负责</w:t>
      </w:r>
      <w:r>
        <w:rPr>
          <w:rFonts w:hint="eastAsia" w:ascii="宋体" w:hAnsi="宋体" w:cs="宋体"/>
          <w:color w:val="auto"/>
          <w:sz w:val="24"/>
          <w:highlight w:val="none"/>
          <w:lang w:eastAsia="zh-CN"/>
        </w:rPr>
        <w:t>。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.不得在校区内从事非法及违规活动，一经发现，采购人有权终止本协议；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.对本单位的一切行为负责，在校区内发生的纠纷由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投标方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自行承担；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.不得转包第三方经营；</w:t>
      </w:r>
    </w:p>
    <w:p>
      <w:pPr>
        <w:spacing w:line="360" w:lineRule="auto"/>
        <w:ind w:left="0" w:leftChars="0" w:firstLine="420" w:firstLineChars="0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.合同期满后，</w:t>
      </w:r>
      <w:r>
        <w:rPr>
          <w:rFonts w:hint="eastAsia" w:ascii="宋体" w:hAnsi="宋体" w:eastAsia="宋体" w:cs="宋体"/>
          <w:color w:val="auto"/>
          <w:sz w:val="24"/>
          <w:highlight w:val="none"/>
          <w:lang w:val="en-US" w:eastAsia="zh-CN"/>
        </w:rPr>
        <w:t>中标方</w:t>
      </w:r>
      <w:r>
        <w:rPr>
          <w:rFonts w:hint="eastAsia" w:ascii="宋体" w:hAnsi="宋体" w:eastAsia="宋体" w:cs="宋体"/>
          <w:color w:val="auto"/>
          <w:sz w:val="24"/>
          <w:highlight w:val="none"/>
        </w:rPr>
        <w:t>撤离时需将点位恢复原样，所产生的费用由成交单位自行承担。</w:t>
      </w:r>
    </w:p>
    <w:p>
      <w:pPr>
        <w:spacing w:line="360" w:lineRule="auto"/>
        <w:ind w:firstLine="578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u w:val="single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u w:val="single"/>
        </w:rPr>
        <w:t>特别说明：</w:t>
      </w:r>
    </w:p>
    <w:p>
      <w:pPr>
        <w:pStyle w:val="9"/>
        <w:spacing w:before="0"/>
        <w:ind w:left="0" w:leftChars="0" w:firstLine="420" w:firstLineChars="0"/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  <w:t>1、投标</w:t>
      </w:r>
      <w:r>
        <w:rPr>
          <w:rFonts w:hint="eastAsia" w:ascii="宋体" w:hAnsi="宋体" w:cs="宋体"/>
          <w:b/>
          <w:bCs/>
          <w:color w:val="auto"/>
          <w:szCs w:val="24"/>
          <w:highlight w:val="none"/>
          <w:lang w:val="en-US" w:eastAsia="zh-CN"/>
        </w:rPr>
        <w:t>方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  <w:t>在投标文件中，应对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  <w:lang w:eastAsia="zh-CN"/>
        </w:rPr>
        <w:t>需求书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  <w:t>中所提出各项要求进行逐条逐项的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b/>
          <w:bCs/>
          <w:color w:val="auto"/>
          <w:szCs w:val="24"/>
          <w:highlight w:val="none"/>
        </w:rPr>
        <w:t>。</w:t>
      </w:r>
    </w:p>
    <w:p>
      <w:pPr>
        <w:pStyle w:val="10"/>
        <w:ind w:firstLine="420" w:firstLineChars="0"/>
        <w:rPr>
          <w:rFonts w:hint="eastAsia" w:ascii="宋体" w:hAnsi="宋体" w:eastAsia="宋体" w:cs="宋体"/>
          <w:color w:val="auto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-SA"/>
        </w:rPr>
        <w:t>2、对本需求书的响应应真实、准确，如发现有弄虚作假等内容，视为投标人弄虚作假，将导致其投标无效。</w:t>
      </w:r>
    </w:p>
    <w:p>
      <w:bookmarkStart w:id="2" w:name="_GoBack"/>
      <w:bookmarkEnd w:id="2"/>
    </w:p>
    <w:p>
      <w:pPr>
        <w:pStyle w:val="2"/>
      </w:pP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自制类饮品（咖啡）机点位需求</w:t>
      </w:r>
    </w:p>
    <w:tbl>
      <w:tblPr>
        <w:tblStyle w:val="6"/>
        <w:tblW w:w="85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7"/>
        <w:gridCol w:w="1132"/>
        <w:gridCol w:w="1191"/>
        <w:gridCol w:w="1412"/>
        <w:gridCol w:w="1280"/>
        <w:gridCol w:w="2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4762" w:type="dxa"/>
            <w:gridSpan w:val="4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点位</w:t>
            </w:r>
          </w:p>
        </w:tc>
        <w:tc>
          <w:tcPr>
            <w:tcW w:w="1280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数量（台）</w:t>
            </w:r>
          </w:p>
        </w:tc>
        <w:tc>
          <w:tcPr>
            <w:tcW w:w="2536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安放要求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  <w:jc w:val="center"/>
        </w:trPr>
        <w:tc>
          <w:tcPr>
            <w:tcW w:w="1027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崇德楼一楼大厅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1台</w:t>
            </w:r>
          </w:p>
        </w:tc>
        <w:tc>
          <w:tcPr>
            <w:tcW w:w="1132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航宇楼东教学楼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1台</w:t>
            </w:r>
          </w:p>
        </w:tc>
        <w:tc>
          <w:tcPr>
            <w:tcW w:w="1191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/>
              </w:rPr>
            </w:pPr>
            <w:r>
              <w:rPr>
                <w:rFonts w:hint="eastAsia" w:ascii="宋体" w:hAnsi="宋体" w:eastAsia="宋体" w:cs="宋体"/>
                <w:color w:val="000000"/>
                <w:vertAlign w:val="baseline"/>
                <w:lang w:eastAsia="zh-CN"/>
              </w:rPr>
              <w:t>博学楼</w:t>
            </w:r>
            <w:r>
              <w:rPr>
                <w:rFonts w:hint="eastAsia" w:ascii="宋体" w:hAnsi="宋体" w:eastAsia="宋体" w:cs="宋体"/>
                <w:color w:val="000000"/>
                <w:vertAlign w:val="baseline"/>
                <w:lang w:val="en-US" w:eastAsia="zh-CN"/>
              </w:rPr>
              <w:t>2-4台</w:t>
            </w:r>
          </w:p>
        </w:tc>
        <w:tc>
          <w:tcPr>
            <w:tcW w:w="1412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望湖楼1台（待定）</w:t>
            </w:r>
          </w:p>
        </w:tc>
        <w:tc>
          <w:tcPr>
            <w:tcW w:w="1280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-</w:t>
            </w:r>
            <w:r>
              <w:rPr>
                <w:rFonts w:hint="eastAsia" w:ascii="宋体" w:hAnsi="宋体" w:eastAsia="宋体" w:cs="宋体"/>
              </w:rPr>
              <w:t>7</w:t>
            </w:r>
          </w:p>
        </w:tc>
        <w:tc>
          <w:tcPr>
            <w:tcW w:w="2536" w:type="dxa"/>
            <w:shd w:val="clear" w:color="auto" w:fill="auto"/>
            <w:noWrap w:val="0"/>
            <w:vAlign w:val="center"/>
          </w:tcPr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中标人须至少放置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3个点位4</w:t>
            </w:r>
            <w:r>
              <w:rPr>
                <w:rFonts w:hint="eastAsia" w:ascii="宋体" w:hAnsi="宋体" w:eastAsia="宋体" w:cs="宋体"/>
              </w:rPr>
              <w:t>台机器</w:t>
            </w:r>
          </w:p>
        </w:tc>
      </w:tr>
    </w:tbl>
    <w:p>
      <w:r>
        <w:rPr>
          <w:rFonts w:hint="eastAsia"/>
          <w:lang w:eastAsia="zh-CN"/>
        </w:rPr>
        <w:drawing>
          <wp:inline distT="0" distB="0" distL="114300" distR="114300">
            <wp:extent cx="8727440" cy="5283200"/>
            <wp:effectExtent l="0" t="0" r="12700" b="16510"/>
            <wp:docPr id="9" name="图片 9" descr="16026464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264640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2744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7E1AA8"/>
    <w:rsid w:val="187E1AA8"/>
    <w:rsid w:val="1D53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link w:val="8"/>
    <w:qFormat/>
    <w:uiPriority w:val="0"/>
    <w:pPr>
      <w:keepNext/>
      <w:jc w:val="center"/>
      <w:outlineLvl w:val="0"/>
    </w:pPr>
    <w:rPr>
      <w:rFonts w:ascii="Times New Roman" w:hAnsi="Times New Roman" w:eastAsia="黑体"/>
      <w:b/>
      <w:bCs/>
      <w:sz w:val="36"/>
    </w:rPr>
  </w:style>
  <w:style w:type="paragraph" w:styleId="4">
    <w:name w:val="heading 2"/>
    <w:basedOn w:val="1"/>
    <w:next w:val="1"/>
    <w:qFormat/>
    <w:uiPriority w:val="0"/>
    <w:pPr>
      <w:keepNext/>
      <w:keepLines/>
      <w:ind w:firstLine="0" w:firstLineChars="0"/>
      <w:jc w:val="left"/>
      <w:outlineLvl w:val="1"/>
    </w:pPr>
    <w:rPr>
      <w:rFonts w:ascii="Cambria" w:hAnsi="Cambria"/>
      <w:b/>
      <w:bCs/>
      <w:sz w:val="28"/>
      <w:szCs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1"/>
    <w:unhideWhenUsed/>
    <w:qFormat/>
    <w:uiPriority w:val="0"/>
    <w:pPr>
      <w:widowControl/>
      <w:autoSpaceDE w:val="0"/>
      <w:autoSpaceDN w:val="0"/>
      <w:snapToGrid w:val="0"/>
      <w:spacing w:before="120" w:line="400" w:lineRule="atLeast"/>
      <w:ind w:firstLine="570" w:firstLineChars="0"/>
    </w:pPr>
    <w:rPr>
      <w:rFonts w:ascii="宋体" w:hAnsi="Times New Roman"/>
      <w:kern w:val="0"/>
      <w:szCs w:val="20"/>
    </w:rPr>
  </w:style>
  <w:style w:type="paragraph" w:styleId="5">
    <w:name w:val="Plain Text"/>
    <w:basedOn w:val="1"/>
    <w:unhideWhenUsed/>
    <w:qFormat/>
    <w:uiPriority w:val="0"/>
    <w:pPr>
      <w:spacing w:line="240" w:lineRule="auto"/>
      <w:ind w:firstLine="0" w:firstLineChars="0"/>
    </w:pPr>
    <w:rPr>
      <w:rFonts w:ascii="宋体" w:hAnsi="Courier New"/>
      <w:sz w:val="21"/>
      <w:szCs w:val="20"/>
    </w:rPr>
  </w:style>
  <w:style w:type="character" w:customStyle="1" w:styleId="8">
    <w:name w:val="标题 1 字符"/>
    <w:link w:val="3"/>
    <w:uiPriority w:val="0"/>
    <w:rPr>
      <w:rFonts w:ascii="Times New Roman" w:hAnsi="Times New Roman" w:eastAsia="黑体"/>
      <w:b/>
      <w:bCs/>
      <w:kern w:val="2"/>
      <w:sz w:val="36"/>
      <w:szCs w:val="24"/>
      <w:lang w:val="en-US" w:eastAsia="zh-CN" w:bidi="ar-SA"/>
    </w:rPr>
  </w:style>
  <w:style w:type="paragraph" w:customStyle="1" w:styleId="9">
    <w:name w:val="正文2"/>
    <w:basedOn w:val="1"/>
    <w:qFormat/>
    <w:uiPriority w:val="0"/>
    <w:pPr>
      <w:spacing w:before="156" w:line="360" w:lineRule="auto"/>
      <w:ind w:firstLine="510" w:firstLineChars="200"/>
    </w:pPr>
    <w:rPr>
      <w:kern w:val="0"/>
      <w:sz w:val="24"/>
    </w:rPr>
  </w:style>
  <w:style w:type="paragraph" w:customStyle="1" w:styleId="10">
    <w:name w:val="Default"/>
    <w:next w:val="11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24"/>
      <w:szCs w:val="24"/>
      <w:lang w:val="en-US" w:eastAsia="zh-CN" w:bidi="ar-SA"/>
    </w:rPr>
  </w:style>
  <w:style w:type="paragraph" w:customStyle="1" w:styleId="11">
    <w:name w:val="目录 71"/>
    <w:next w:val="1"/>
    <w:qFormat/>
    <w:uiPriority w:val="0"/>
    <w:pPr>
      <w:wordWrap w:val="0"/>
      <w:ind w:left="25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2020-12-22T08:00:00Z</dcterms:created>
  <dc:creator>TZ</dc:creator>
  <cp:lastModifiedBy>TZ</cp:lastModifiedBy>
  <dcterms:modified xsi:type="dcterms:W3CDTF">2020-12-22T08:01:34Z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