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eastAsia="宋体"/>
          <w:color w:val="auto"/>
          <w:highlight w:val="none"/>
          <w:lang w:val="en-US" w:eastAsia="zh-CN"/>
        </w:rPr>
      </w:pPr>
      <w:bookmarkStart w:id="0" w:name="_GoBack"/>
      <w:bookmarkEnd w:id="0"/>
      <w:r>
        <w:rPr>
          <w:rFonts w:hint="eastAsia"/>
          <w:color w:val="auto"/>
          <w:highlight w:val="none"/>
          <w:lang w:val="en-US" w:eastAsia="zh-CN"/>
        </w:rPr>
        <w:t>标项一：</w:t>
      </w:r>
      <w:r>
        <w:rPr>
          <w:rFonts w:hint="eastAsia"/>
          <w:color w:val="auto"/>
          <w:highlight w:val="none"/>
        </w:rPr>
        <w:t>粮油采购配送服务</w:t>
      </w:r>
    </w:p>
    <w:p>
      <w:pPr>
        <w:pStyle w:val="4"/>
        <w:numPr>
          <w:ilvl w:val="0"/>
          <w:numId w:val="1"/>
        </w:numPr>
        <w:jc w:val="both"/>
        <w:rPr>
          <w:rFonts w:hint="eastAsia" w:ascii="宋体" w:hAnsi="宋体"/>
          <w:color w:val="auto"/>
          <w:sz w:val="24"/>
          <w:szCs w:val="24"/>
          <w:highlight w:val="none"/>
        </w:rPr>
      </w:pPr>
      <w:r>
        <w:rPr>
          <w:rFonts w:hint="eastAsia" w:ascii="宋体" w:hAnsi="宋体"/>
          <w:color w:val="auto"/>
          <w:sz w:val="24"/>
          <w:szCs w:val="24"/>
          <w:highlight w:val="none"/>
        </w:rPr>
        <w:t>采购内容</w:t>
      </w:r>
    </w:p>
    <w:tbl>
      <w:tblPr>
        <w:tblStyle w:val="5"/>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77"/>
        <w:gridCol w:w="2367"/>
        <w:gridCol w:w="2504"/>
        <w:gridCol w:w="106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4" w:type="dxa"/>
            <w:noWrap w:val="0"/>
            <w:vAlign w:val="center"/>
          </w:tcPr>
          <w:p>
            <w:pPr>
              <w:spacing w:line="312" w:lineRule="auto"/>
              <w:jc w:val="center"/>
              <w:rPr>
                <w:rFonts w:hint="eastAsia"/>
                <w:color w:val="auto"/>
                <w:highlight w:val="none"/>
              </w:rPr>
            </w:pPr>
            <w:r>
              <w:rPr>
                <w:rFonts w:hint="eastAsia" w:ascii="宋体" w:hAnsi="宋体"/>
                <w:color w:val="auto"/>
                <w:highlight w:val="none"/>
              </w:rPr>
              <w:t>标项</w:t>
            </w:r>
          </w:p>
        </w:tc>
        <w:tc>
          <w:tcPr>
            <w:tcW w:w="2277" w:type="dxa"/>
            <w:noWrap w:val="0"/>
            <w:vAlign w:val="center"/>
          </w:tcPr>
          <w:p>
            <w:pPr>
              <w:spacing w:line="312" w:lineRule="auto"/>
              <w:jc w:val="center"/>
              <w:rPr>
                <w:rFonts w:ascii="宋体" w:hAnsi="宋体"/>
                <w:color w:val="auto"/>
                <w:highlight w:val="none"/>
              </w:rPr>
            </w:pPr>
            <w:r>
              <w:rPr>
                <w:rFonts w:hint="eastAsia" w:ascii="宋体" w:hAnsi="宋体"/>
                <w:color w:val="auto"/>
                <w:highlight w:val="none"/>
                <w:lang w:val="en-US" w:eastAsia="zh-CN"/>
              </w:rPr>
              <w:t>标项</w:t>
            </w:r>
            <w:r>
              <w:rPr>
                <w:rFonts w:hint="eastAsia" w:ascii="宋体" w:hAnsi="宋体"/>
                <w:color w:val="auto"/>
                <w:highlight w:val="none"/>
              </w:rPr>
              <w:t>名称</w:t>
            </w:r>
          </w:p>
        </w:tc>
        <w:tc>
          <w:tcPr>
            <w:tcW w:w="2367" w:type="dxa"/>
            <w:noWrap w:val="0"/>
            <w:vAlign w:val="center"/>
          </w:tcPr>
          <w:p>
            <w:pPr>
              <w:spacing w:line="312" w:lineRule="auto"/>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标项编号</w:t>
            </w:r>
          </w:p>
        </w:tc>
        <w:tc>
          <w:tcPr>
            <w:tcW w:w="2504" w:type="dxa"/>
            <w:noWrap w:val="0"/>
            <w:vAlign w:val="center"/>
          </w:tcPr>
          <w:p>
            <w:pPr>
              <w:spacing w:line="312" w:lineRule="auto"/>
              <w:jc w:val="center"/>
              <w:rPr>
                <w:rFonts w:hint="eastAsia" w:ascii="宋体" w:hAnsi="宋体"/>
                <w:color w:val="auto"/>
                <w:highlight w:val="none"/>
              </w:rPr>
            </w:pPr>
            <w:r>
              <w:rPr>
                <w:rFonts w:hint="eastAsia" w:ascii="宋体" w:hAnsi="宋体"/>
                <w:color w:val="auto"/>
                <w:highlight w:val="none"/>
              </w:rPr>
              <w:t>服务期</w:t>
            </w:r>
          </w:p>
        </w:tc>
        <w:tc>
          <w:tcPr>
            <w:tcW w:w="1069" w:type="dxa"/>
            <w:noWrap w:val="0"/>
            <w:vAlign w:val="center"/>
          </w:tcPr>
          <w:p>
            <w:pPr>
              <w:spacing w:line="312" w:lineRule="auto"/>
              <w:jc w:val="center"/>
              <w:rPr>
                <w:rFonts w:hint="eastAsia" w:ascii="宋体" w:hAnsi="宋体"/>
                <w:color w:val="auto"/>
                <w:highlight w:val="none"/>
              </w:rPr>
            </w:pPr>
            <w:r>
              <w:rPr>
                <w:rFonts w:hint="eastAsia" w:ascii="宋体" w:hAnsi="宋体"/>
                <w:color w:val="auto"/>
                <w:highlight w:val="none"/>
              </w:rPr>
              <w:t>入围家数</w:t>
            </w:r>
          </w:p>
        </w:tc>
        <w:tc>
          <w:tcPr>
            <w:tcW w:w="1135" w:type="dxa"/>
            <w:noWrap w:val="0"/>
            <w:vAlign w:val="center"/>
          </w:tcPr>
          <w:p>
            <w:pPr>
              <w:spacing w:line="312" w:lineRule="auto"/>
              <w:jc w:val="center"/>
              <w:rPr>
                <w:rFonts w:hint="eastAsia" w:ascii="宋体" w:hAnsi="宋体"/>
                <w:color w:val="auto"/>
                <w:highlight w:val="none"/>
              </w:rPr>
            </w:pPr>
            <w:r>
              <w:rPr>
                <w:rFonts w:hint="eastAsia" w:ascii="宋体" w:hAnsi="宋体"/>
                <w:color w:val="auto"/>
                <w:highlight w:val="none"/>
              </w:rPr>
              <w:t>预算</w:t>
            </w:r>
          </w:p>
          <w:p>
            <w:pPr>
              <w:spacing w:line="312" w:lineRule="auto"/>
              <w:jc w:val="center"/>
              <w:rPr>
                <w:rFonts w:hint="eastAsia" w:ascii="宋体" w:hAnsi="宋体"/>
                <w:color w:val="auto"/>
                <w:highlight w:val="none"/>
              </w:rPr>
            </w:pPr>
            <w:r>
              <w:rPr>
                <w:rFonts w:hint="eastAsia" w:ascii="宋体" w:hAnsi="宋体"/>
                <w:color w:val="auto"/>
                <w:highlight w:val="none"/>
              </w:rPr>
              <w:t>（万</w:t>
            </w:r>
            <w:r>
              <w:rPr>
                <w:rFonts w:hint="eastAsia" w:ascii="宋体" w:hAnsi="宋体"/>
                <w:color w:val="auto"/>
                <w:highlight w:val="none"/>
                <w:lang w:val="en-US" w:eastAsia="zh-CN"/>
              </w:rPr>
              <w:t>元</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4" w:type="dxa"/>
            <w:noWrap w:val="0"/>
            <w:vAlign w:val="center"/>
          </w:tcPr>
          <w:p>
            <w:pPr>
              <w:spacing w:line="312" w:lineRule="auto"/>
              <w:jc w:val="center"/>
              <w:rPr>
                <w:rFonts w:hint="eastAsia"/>
                <w:color w:val="auto"/>
                <w:highlight w:val="none"/>
              </w:rPr>
            </w:pPr>
            <w:r>
              <w:rPr>
                <w:rFonts w:hint="eastAsia"/>
                <w:color w:val="auto"/>
                <w:highlight w:val="none"/>
              </w:rPr>
              <w:t>1</w:t>
            </w:r>
          </w:p>
        </w:tc>
        <w:tc>
          <w:tcPr>
            <w:tcW w:w="2277" w:type="dxa"/>
            <w:noWrap w:val="0"/>
            <w:vAlign w:val="center"/>
          </w:tcPr>
          <w:p>
            <w:pPr>
              <w:spacing w:line="312" w:lineRule="auto"/>
              <w:jc w:val="center"/>
              <w:rPr>
                <w:rFonts w:hint="eastAsia" w:ascii="宋体" w:hAnsi="宋体"/>
                <w:color w:val="auto"/>
                <w:highlight w:val="none"/>
              </w:rPr>
            </w:pPr>
            <w:r>
              <w:rPr>
                <w:rFonts w:hint="eastAsia"/>
                <w:color w:val="auto"/>
                <w:highlight w:val="none"/>
              </w:rPr>
              <w:t>粮油采购配送服务</w:t>
            </w:r>
          </w:p>
        </w:tc>
        <w:tc>
          <w:tcPr>
            <w:tcW w:w="2367" w:type="dxa"/>
            <w:noWrap w:val="0"/>
            <w:vAlign w:val="center"/>
          </w:tcPr>
          <w:p>
            <w:pPr>
              <w:spacing w:line="360" w:lineRule="auto"/>
              <w:rPr>
                <w:rFonts w:hint="default"/>
                <w:color w:val="auto"/>
                <w:highlight w:val="none"/>
                <w:lang w:val="en-US" w:eastAsia="zh-CN"/>
              </w:rPr>
            </w:pPr>
            <w:r>
              <w:rPr>
                <w:rFonts w:hint="eastAsia" w:ascii="宋体" w:hAnsi="宋体" w:eastAsia="宋体"/>
                <w:color w:val="auto"/>
                <w:highlight w:val="none"/>
                <w:lang w:eastAsia="zh-CN"/>
              </w:rPr>
              <w:t>ZJWSBJ-ZYY-202062C</w:t>
            </w:r>
            <w:r>
              <w:rPr>
                <w:rFonts w:hint="eastAsia" w:ascii="宋体" w:hAnsi="宋体" w:eastAsia="宋体"/>
                <w:color w:val="auto"/>
                <w:highlight w:val="none"/>
                <w:lang w:val="en-US" w:eastAsia="zh-CN"/>
              </w:rPr>
              <w:t>-1</w:t>
            </w:r>
          </w:p>
        </w:tc>
        <w:tc>
          <w:tcPr>
            <w:tcW w:w="2504" w:type="dxa"/>
            <w:noWrap w:val="0"/>
            <w:vAlign w:val="center"/>
          </w:tcPr>
          <w:p>
            <w:pPr>
              <w:spacing w:line="312" w:lineRule="auto"/>
              <w:jc w:val="center"/>
              <w:rPr>
                <w:color w:val="auto"/>
                <w:highlight w:val="none"/>
              </w:rPr>
            </w:pPr>
            <w:r>
              <w:rPr>
                <w:rFonts w:hint="eastAsia"/>
                <w:color w:val="auto"/>
                <w:highlight w:val="none"/>
                <w:lang w:val="en-US" w:eastAsia="zh-CN"/>
              </w:rPr>
              <w:t>2</w:t>
            </w:r>
            <w:r>
              <w:rPr>
                <w:rFonts w:hint="eastAsia"/>
                <w:color w:val="auto"/>
                <w:highlight w:val="none"/>
              </w:rPr>
              <w:t>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w:t>
            </w:r>
            <w:r>
              <w:rPr>
                <w:rFonts w:hint="eastAsia"/>
                <w:color w:val="auto"/>
                <w:highlight w:val="none"/>
              </w:rPr>
              <w:t>月-202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p>
        </w:tc>
        <w:tc>
          <w:tcPr>
            <w:tcW w:w="1069" w:type="dxa"/>
            <w:noWrap w:val="0"/>
            <w:vAlign w:val="center"/>
          </w:tcPr>
          <w:p>
            <w:pPr>
              <w:spacing w:line="312" w:lineRule="auto"/>
              <w:jc w:val="center"/>
              <w:rPr>
                <w:rFonts w:hint="eastAsia"/>
                <w:color w:val="auto"/>
                <w:highlight w:val="none"/>
              </w:rPr>
            </w:pPr>
            <w:r>
              <w:rPr>
                <w:rFonts w:hint="eastAsia"/>
                <w:color w:val="auto"/>
                <w:highlight w:val="none"/>
              </w:rPr>
              <w:t>1家</w:t>
            </w:r>
          </w:p>
        </w:tc>
        <w:tc>
          <w:tcPr>
            <w:tcW w:w="1135" w:type="dxa"/>
            <w:noWrap w:val="0"/>
            <w:vAlign w:val="center"/>
          </w:tcPr>
          <w:p>
            <w:pPr>
              <w:spacing w:line="312" w:lineRule="auto"/>
              <w:jc w:val="center"/>
              <w:rPr>
                <w:rFonts w:hint="eastAsia"/>
                <w:color w:val="auto"/>
                <w:highlight w:val="none"/>
              </w:rPr>
            </w:pPr>
            <w:r>
              <w:rPr>
                <w:rFonts w:hint="eastAsia"/>
                <w:color w:val="auto"/>
                <w:highlight w:val="none"/>
                <w:lang w:val="en-US" w:eastAsia="zh-CN"/>
              </w:rPr>
              <w:t>26</w:t>
            </w:r>
          </w:p>
        </w:tc>
      </w:tr>
    </w:tbl>
    <w:p>
      <w:pPr>
        <w:numPr>
          <w:ilvl w:val="0"/>
          <w:numId w:val="0"/>
        </w:numPr>
        <w:rPr>
          <w:rFonts w:hint="eastAsia"/>
          <w:color w:val="auto"/>
          <w:highlight w:val="none"/>
        </w:rPr>
      </w:pPr>
    </w:p>
    <w:p>
      <w:pPr>
        <w:pStyle w:val="4"/>
        <w:numPr>
          <w:ilvl w:val="0"/>
          <w:numId w:val="1"/>
        </w:numPr>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采购常用清单</w:t>
      </w:r>
    </w:p>
    <w:tbl>
      <w:tblPr>
        <w:tblStyle w:val="5"/>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品名</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福临门一级大豆油</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盘锦大米</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lang w:val="en-US" w:eastAsia="zh-CN"/>
              </w:rPr>
              <w:t>50</w:t>
            </w:r>
            <w:r>
              <w:rPr>
                <w:rFonts w:hint="eastAsia" w:ascii="宋体" w:hAnsi="宋体"/>
                <w:color w:val="auto"/>
                <w:highlight w:val="none"/>
              </w:rPr>
              <w:t>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稻花香大米</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0斤/袋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五常大米</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10斤/袋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鲁花5s压榨一级花生油</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1.8L/瓶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鲁花</w:t>
            </w:r>
            <w:r>
              <w:rPr>
                <w:rFonts w:hint="eastAsia" w:ascii="宋体" w:hAnsi="宋体"/>
                <w:color w:val="auto"/>
                <w:highlight w:val="none"/>
                <w:lang w:eastAsia="zh-CN"/>
              </w:rPr>
              <w:t>压榨</w:t>
            </w:r>
            <w:r>
              <w:rPr>
                <w:rFonts w:hint="eastAsia" w:ascii="宋体" w:hAnsi="宋体"/>
                <w:color w:val="auto"/>
                <w:highlight w:val="none"/>
              </w:rPr>
              <w:t>菜籽油</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状元宝非转基因大豆油</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金龙鱼葵花籽清香型食用调和油</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5L/桶</w:t>
            </w:r>
          </w:p>
        </w:tc>
      </w:tr>
    </w:tbl>
    <w:p>
      <w:pPr>
        <w:bidi w:val="0"/>
        <w:rPr>
          <w:rFonts w:hint="eastAsia"/>
          <w:color w:val="auto"/>
          <w:highlight w:val="none"/>
        </w:rPr>
      </w:pPr>
    </w:p>
    <w:p>
      <w:pPr>
        <w:pStyle w:val="4"/>
        <w:jc w:val="left"/>
        <w:rPr>
          <w:rFonts w:hint="eastAsia"/>
          <w:color w:val="auto"/>
          <w:sz w:val="24"/>
          <w:szCs w:val="24"/>
          <w:highlight w:val="none"/>
        </w:rPr>
      </w:pPr>
      <w:r>
        <w:rPr>
          <w:rFonts w:hint="eastAsia"/>
          <w:color w:val="auto"/>
          <w:sz w:val="24"/>
          <w:szCs w:val="24"/>
          <w:highlight w:val="none"/>
        </w:rPr>
        <w:t>三、商务要求</w:t>
      </w:r>
    </w:p>
    <w:p>
      <w:pPr>
        <w:spacing w:line="360" w:lineRule="auto"/>
        <w:rPr>
          <w:rFonts w:hint="eastAsia" w:ascii="宋体" w:hAnsi="宋体"/>
          <w:b/>
          <w:color w:val="auto"/>
          <w:highlight w:val="none"/>
        </w:rPr>
      </w:pPr>
      <w:r>
        <w:rPr>
          <w:rFonts w:hint="eastAsia" w:ascii="宋体" w:hAnsi="宋体"/>
          <w:b/>
          <w:color w:val="auto"/>
          <w:highlight w:val="none"/>
        </w:rPr>
        <w:t>（一）服务期：</w:t>
      </w:r>
    </w:p>
    <w:p>
      <w:pPr>
        <w:spacing w:line="440" w:lineRule="exact"/>
        <w:ind w:firstLine="480"/>
        <w:rPr>
          <w:color w:val="auto"/>
          <w:highlight w:val="none"/>
        </w:rPr>
      </w:pPr>
      <w:r>
        <w:rPr>
          <w:rFonts w:hint="eastAsia"/>
          <w:color w:val="auto"/>
          <w:highlight w:val="none"/>
        </w:rPr>
        <w:t>服务期</w:t>
      </w:r>
      <w:r>
        <w:rPr>
          <w:rFonts w:hint="eastAsia"/>
          <w:color w:val="auto"/>
          <w:highlight w:val="none"/>
          <w:lang w:val="en-US" w:eastAsia="zh-CN"/>
        </w:rPr>
        <w:t>2</w:t>
      </w:r>
      <w:r>
        <w:rPr>
          <w:rFonts w:hint="eastAsia"/>
          <w:color w:val="auto"/>
          <w:highlight w:val="none"/>
        </w:rPr>
        <w:t>年（20</w:t>
      </w:r>
      <w:r>
        <w:rPr>
          <w:rFonts w:hint="eastAsia"/>
          <w:color w:val="auto"/>
          <w:highlight w:val="none"/>
          <w:lang w:val="en-US" w:eastAsia="zh-CN"/>
        </w:rPr>
        <w:t>21</w:t>
      </w:r>
      <w:r>
        <w:rPr>
          <w:rFonts w:hint="eastAsia"/>
          <w:color w:val="auto"/>
          <w:highlight w:val="none"/>
        </w:rPr>
        <w:t>年1月-202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1月</w:t>
      </w:r>
      <w:r>
        <w:rPr>
          <w:rFonts w:hint="eastAsia"/>
          <w:color w:val="auto"/>
          <w:highlight w:val="none"/>
        </w:rPr>
        <w:t>），采购人</w:t>
      </w:r>
      <w:r>
        <w:rPr>
          <w:rFonts w:hint="eastAsia"/>
          <w:color w:val="auto"/>
          <w:highlight w:val="none"/>
          <w:lang w:eastAsia="zh-CN"/>
        </w:rPr>
        <w:t>每月进行</w:t>
      </w:r>
      <w:r>
        <w:rPr>
          <w:rFonts w:hint="eastAsia"/>
          <w:color w:val="auto"/>
          <w:highlight w:val="none"/>
        </w:rPr>
        <w:t>两次对其测评结果满意率低于85%，</w:t>
      </w:r>
      <w:r>
        <w:rPr>
          <w:rFonts w:hint="eastAsia" w:ascii="宋体" w:hAnsi="宋体"/>
          <w:color w:val="auto"/>
          <w:highlight w:val="none"/>
        </w:rPr>
        <w:t>采购人有权终止合同，并由成交供应商承担相关责任。</w:t>
      </w:r>
    </w:p>
    <w:p>
      <w:pPr>
        <w:spacing w:line="360" w:lineRule="auto"/>
        <w:rPr>
          <w:rFonts w:hint="eastAsia" w:ascii="宋体" w:hAnsi="宋体"/>
          <w:b/>
          <w:color w:val="auto"/>
          <w:highlight w:val="none"/>
        </w:rPr>
      </w:pPr>
      <w:r>
        <w:rPr>
          <w:rFonts w:hint="eastAsia" w:ascii="宋体" w:hAnsi="宋体"/>
          <w:b/>
          <w:color w:val="auto"/>
          <w:highlight w:val="none"/>
        </w:rPr>
        <w:t>（二）配送要求：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1.能在12小时内响应采购，并将货物按时保质的送达。</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2.应急采购能在2小时内响应。</w:t>
      </w:r>
    </w:p>
    <w:p>
      <w:pPr>
        <w:spacing w:line="360" w:lineRule="auto"/>
        <w:rPr>
          <w:rFonts w:hint="eastAsia" w:ascii="宋体" w:hAnsi="宋体"/>
          <w:b/>
          <w:color w:val="auto"/>
          <w:highlight w:val="none"/>
        </w:rPr>
      </w:pPr>
      <w:r>
        <w:rPr>
          <w:rFonts w:hint="eastAsia" w:ascii="宋体" w:hAnsi="宋体"/>
          <w:b/>
          <w:color w:val="auto"/>
          <w:highlight w:val="none"/>
        </w:rPr>
        <w:t>（三）产品质量价格要求：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1.供应商须书面承诺本项目配送服务及货物质量标准不低于浙江省高等学校后勤物资联合配送中心相对应项目的服务及货物质量标准，否则视作服务方案不符合本项目要求。</w:t>
      </w:r>
    </w:p>
    <w:p>
      <w:pPr>
        <w:snapToGrid w:val="0"/>
        <w:spacing w:line="360" w:lineRule="auto"/>
        <w:ind w:firstLine="480"/>
        <w:rPr>
          <w:rFonts w:hint="eastAsia" w:ascii="宋体" w:hAnsi="宋体"/>
          <w:color w:val="auto"/>
          <w:highlight w:val="none"/>
        </w:rPr>
      </w:pPr>
      <w:r>
        <w:rPr>
          <w:rFonts w:hint="eastAsia" w:ascii="宋体" w:hAnsi="宋体"/>
          <w:color w:val="auto"/>
          <w:highlight w:val="none"/>
        </w:rPr>
        <w:t>2.供应商需承诺所供的物品必须符合国家有关卫生、质量、包装和保质标准，必须供应在有效期内的货品，其剩余有效期不得少于标注有效期的80%，如不符合质量标准，必须退货并承担违约责任。</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3.所供商品必须符合国家行业生产及经营标准，货真价实，均能提供相应批次的合格检验证明。</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4.提供的货物必须各项技术指标完全符合国家有关质量检测、环保标准及产品出厂标准。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5.供应商必须负责成交货物的运输、质量检测等工作，所产生的费用由供应商负责。</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6.物品具体需求量以实际供应前一天通知的为准。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7.供应商不得将成交项目转包、分包，否则采购人有权单方终止合同,由此产生的一切经济损失由供应商自行承担。</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8.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9.供应商不得变更供应商品，应严格按采购要求（含商标、名称、产地、规格和重量等）供应，否则，采购人有权拒收。</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10.采购人按合同对商品进行认真验收，对不符合规格要求的商品，供应商必须无条件退货；供应商未能履行竞争性磋商文件和合同所定事项,或供应不合格的、假冒伪劣、以次充好的商品，采购人退货后将记录在案，并对供应商予以处罚，除要承担因此产生的一切损失和费用外，情节严重的可取消其供应资格。</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11.如因所供产品质量或品质问题造成人员身体不适、身体伤害及经济损失的，须由供应商立即派专人到现场妥善处理，做好安抚工作和善后事宜，并承担所产生的一切费用、赔偿由此发生的一切经济损失。若提供有毒食品，造成食品安全事故的，经有关单位鉴定原因后，如确实为响应供应商提供的食品问题，响应供应商须负担全数的医药费，采购人将取消该响应供应商的供货资格，响应供应商同时承担相应的民事及刑事法律责任及放弃先诉抗辩权。</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12.非采购人的人为原因而出现产品质量，由供应商负责包换或包退，并承担因此而产生的一切费用。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13.供应商须开具国家正式发票。供应商按供应商品的销售额开具发票。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14.在履行合同期间，如三次以上造成送货时间晚点或质量过差，采购人将记录在案，可取消其供应资格。</w:t>
      </w:r>
    </w:p>
    <w:p>
      <w:pPr>
        <w:pStyle w:val="8"/>
        <w:rPr>
          <w:color w:val="auto"/>
          <w:highlight w:val="none"/>
        </w:rPr>
      </w:pPr>
    </w:p>
    <w:p>
      <w:pPr>
        <w:spacing w:line="360" w:lineRule="auto"/>
        <w:rPr>
          <w:rFonts w:hint="eastAsia" w:ascii="宋体" w:hAnsi="宋体"/>
          <w:b/>
          <w:color w:val="auto"/>
          <w:highlight w:val="none"/>
        </w:rPr>
      </w:pPr>
      <w:r>
        <w:rPr>
          <w:rFonts w:hint="eastAsia" w:ascii="宋体" w:hAnsi="宋体"/>
          <w:b/>
          <w:color w:val="auto"/>
          <w:highlight w:val="none"/>
        </w:rPr>
        <w:t>（四）合同终止：</w:t>
      </w:r>
    </w:p>
    <w:p>
      <w:pPr>
        <w:spacing w:line="360" w:lineRule="auto"/>
        <w:ind w:firstLine="480"/>
        <w:rPr>
          <w:rFonts w:hint="eastAsia"/>
          <w:color w:val="auto"/>
          <w:highlight w:val="none"/>
        </w:rPr>
      </w:pPr>
      <w:r>
        <w:rPr>
          <w:rFonts w:hint="eastAsia"/>
          <w:color w:val="auto"/>
          <w:highlight w:val="none"/>
        </w:rPr>
        <w:t>中标</w:t>
      </w:r>
      <w:r>
        <w:rPr>
          <w:rFonts w:hint="eastAsia"/>
          <w:color w:val="auto"/>
          <w:highlight w:val="none"/>
          <w:lang w:val="en-US" w:eastAsia="zh-CN"/>
        </w:rPr>
        <w:t>单位</w:t>
      </w:r>
      <w:r>
        <w:rPr>
          <w:rFonts w:hint="eastAsia"/>
          <w:color w:val="auto"/>
          <w:highlight w:val="none"/>
        </w:rPr>
        <w:t>在合同有效期内，不得以任何理由终止合同，确有特殊情况的，须提前两个月向采购人提出书面申请，经采购人同意后，方可终止合同。因中标</w:t>
      </w:r>
      <w:r>
        <w:rPr>
          <w:rFonts w:hint="eastAsia"/>
          <w:color w:val="auto"/>
          <w:highlight w:val="none"/>
          <w:lang w:val="en-US" w:eastAsia="zh-CN"/>
        </w:rPr>
        <w:t>单位</w:t>
      </w:r>
      <w:r>
        <w:rPr>
          <w:rFonts w:hint="eastAsia"/>
          <w:color w:val="auto"/>
          <w:highlight w:val="none"/>
        </w:rPr>
        <w:t>不能保证工作质量，或发生重大差错事故的，采购人可有权终止协议，中标</w:t>
      </w:r>
      <w:r>
        <w:rPr>
          <w:rFonts w:hint="eastAsia"/>
          <w:color w:val="auto"/>
          <w:highlight w:val="none"/>
          <w:lang w:val="en-US" w:eastAsia="zh-CN"/>
        </w:rPr>
        <w:t>单位</w:t>
      </w:r>
      <w:r>
        <w:rPr>
          <w:rFonts w:hint="eastAsia"/>
          <w:color w:val="auto"/>
          <w:highlight w:val="none"/>
        </w:rPr>
        <w:t>承担全部责任。配送企业履约过程中，因质量、服务等方面发生重大违约情况，或采购人连续两次对其测评结果满意率低于85%，采购人可有权终止协议，中标供应商承担全部责任。</w:t>
      </w:r>
    </w:p>
    <w:p>
      <w:pPr>
        <w:spacing w:line="360" w:lineRule="auto"/>
        <w:rPr>
          <w:rFonts w:hint="eastAsia" w:ascii="宋体" w:hAnsi="宋体"/>
          <w:b/>
          <w:color w:val="auto"/>
          <w:highlight w:val="none"/>
        </w:rPr>
      </w:pPr>
      <w:r>
        <w:rPr>
          <w:rFonts w:hint="eastAsia" w:ascii="宋体" w:hAnsi="宋体"/>
          <w:b/>
          <w:color w:val="auto"/>
          <w:highlight w:val="none"/>
        </w:rPr>
        <w:t>（五）★结算方式：</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按月结算，经双方账目核对无误，中标单位向采购人提交结算金额的全额增值税发票或普通发票后，采购人在下个月25日前向中标单位付款。（如遇节假日顺延）具体计算方式：各种类货物定价（定价=基准价╳折扣率）×各种类货物配送数量，求和。</w:t>
      </w:r>
    </w:p>
    <w:p>
      <w:pPr>
        <w:spacing w:line="360" w:lineRule="auto"/>
        <w:rPr>
          <w:rFonts w:hint="eastAsia" w:ascii="宋体" w:hAnsi="宋体"/>
          <w:b/>
          <w:color w:val="auto"/>
          <w:highlight w:val="none"/>
        </w:rPr>
      </w:pPr>
      <w:r>
        <w:rPr>
          <w:rFonts w:hint="eastAsia" w:ascii="宋体" w:hAnsi="宋体"/>
          <w:b/>
          <w:color w:val="auto"/>
          <w:highlight w:val="none"/>
        </w:rPr>
        <w:t>（六）★定价方式：</w:t>
      </w:r>
    </w:p>
    <w:p>
      <w:pPr>
        <w:spacing w:line="360" w:lineRule="auto"/>
        <w:ind w:firstLine="480" w:firstLineChars="200"/>
        <w:rPr>
          <w:rFonts w:ascii="宋体" w:hAnsi="宋体"/>
          <w:color w:val="auto"/>
          <w:highlight w:val="none"/>
        </w:rPr>
      </w:pPr>
      <w:r>
        <w:rPr>
          <w:rFonts w:hint="eastAsia" w:ascii="宋体" w:hAnsi="宋体"/>
          <w:color w:val="auto"/>
          <w:highlight w:val="none"/>
        </w:rPr>
        <w:t>响应浙江省高等学校后勤物资联合配送中心的价格。</w:t>
      </w:r>
    </w:p>
    <w:p>
      <w:pPr>
        <w:spacing w:line="360" w:lineRule="auto"/>
        <w:rPr>
          <w:rFonts w:hint="eastAsia" w:ascii="宋体" w:hAnsi="宋体"/>
          <w:b/>
          <w:color w:val="auto"/>
          <w:highlight w:val="none"/>
        </w:rPr>
      </w:pPr>
      <w:r>
        <w:rPr>
          <w:rFonts w:hint="eastAsia" w:ascii="宋体" w:hAnsi="宋体"/>
          <w:b/>
          <w:color w:val="auto"/>
          <w:highlight w:val="none"/>
        </w:rPr>
        <w:t>（七）履约保证金</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签订合同</w:t>
      </w:r>
      <w:r>
        <w:rPr>
          <w:rFonts w:hint="eastAsia" w:ascii="宋体" w:hAnsi="宋体"/>
          <w:color w:val="auto"/>
          <w:highlight w:val="none"/>
          <w:lang w:val="en-US" w:eastAsia="zh-CN"/>
        </w:rPr>
        <w:t>后7个工作日内</w:t>
      </w:r>
      <w:r>
        <w:rPr>
          <w:rFonts w:hint="eastAsia" w:ascii="宋体" w:hAnsi="宋体"/>
          <w:color w:val="auto"/>
          <w:highlight w:val="none"/>
        </w:rPr>
        <w:t>向采购人交纳预算金额的5％作为履约保证金。履约保证金在合同期满确认乙方考核合格且无违约行为后无息返还给乙方（遇寒暑假及国家法定假日顺延）。</w:t>
      </w:r>
    </w:p>
    <w:p>
      <w:pPr>
        <w:widowControl w:val="0"/>
        <w:numPr>
          <w:ilvl w:val="0"/>
          <w:numId w:val="0"/>
        </w:numPr>
        <w:jc w:val="both"/>
        <w:rPr>
          <w:rFonts w:hint="eastAsia"/>
          <w:color w:val="auto"/>
          <w:highlight w:val="none"/>
        </w:rPr>
      </w:pPr>
    </w:p>
    <w:p>
      <w:pPr>
        <w:pStyle w:val="4"/>
        <w:rPr>
          <w:rFonts w:hint="default" w:eastAsia="宋体"/>
          <w:color w:val="auto"/>
          <w:highlight w:val="none"/>
          <w:lang w:val="en-US" w:eastAsia="zh-CN"/>
        </w:rPr>
      </w:pPr>
      <w:r>
        <w:rPr>
          <w:rFonts w:hint="eastAsia"/>
          <w:color w:val="auto"/>
          <w:highlight w:val="none"/>
          <w:lang w:val="en-US" w:eastAsia="zh-CN"/>
        </w:rPr>
        <w:t>标项二：乳制品采购配送服务</w:t>
      </w:r>
    </w:p>
    <w:p>
      <w:pPr>
        <w:pStyle w:val="4"/>
        <w:numPr>
          <w:ilvl w:val="0"/>
          <w:numId w:val="0"/>
        </w:numPr>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采购内容</w:t>
      </w:r>
    </w:p>
    <w:tbl>
      <w:tblPr>
        <w:tblStyle w:val="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28"/>
        <w:gridCol w:w="2264"/>
        <w:gridCol w:w="2394"/>
        <w:gridCol w:w="102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ascii="宋体" w:hAnsi="宋体"/>
                <w:color w:val="auto"/>
                <w:highlight w:val="none"/>
              </w:rPr>
              <w:t>标项</w:t>
            </w:r>
          </w:p>
        </w:tc>
        <w:tc>
          <w:tcPr>
            <w:tcW w:w="2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lang w:val="en-US" w:eastAsia="zh-CN"/>
              </w:rPr>
              <w:t>标项</w:t>
            </w:r>
            <w:r>
              <w:rPr>
                <w:rFonts w:hint="eastAsia" w:ascii="宋体" w:hAnsi="宋体"/>
                <w:color w:val="auto"/>
                <w:highlight w:val="none"/>
              </w:rPr>
              <w:t>名称</w:t>
            </w: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标项编号</w:t>
            </w:r>
          </w:p>
        </w:tc>
        <w:tc>
          <w:tcPr>
            <w:tcW w:w="2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服务期</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入围家数</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预算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（万</w:t>
            </w:r>
            <w:r>
              <w:rPr>
                <w:rFonts w:hint="eastAsia" w:ascii="宋体" w:hAnsi="宋体"/>
                <w:color w:val="auto"/>
                <w:highlight w:val="none"/>
                <w:lang w:val="en-US" w:eastAsia="zh-CN"/>
              </w:rPr>
              <w:t>元</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noWrap w:val="0"/>
            <w:vAlign w:val="center"/>
          </w:tcPr>
          <w:p>
            <w:pPr>
              <w:spacing w:line="312" w:lineRule="auto"/>
              <w:jc w:val="center"/>
              <w:rPr>
                <w:rFonts w:hint="eastAsia" w:eastAsia="宋体"/>
                <w:color w:val="auto"/>
                <w:highlight w:val="none"/>
                <w:lang w:val="en-US" w:eastAsia="zh-CN"/>
              </w:rPr>
            </w:pPr>
            <w:r>
              <w:rPr>
                <w:rFonts w:hint="eastAsia"/>
                <w:color w:val="auto"/>
                <w:highlight w:val="none"/>
                <w:lang w:val="en-US" w:eastAsia="zh-CN"/>
              </w:rPr>
              <w:t>2</w:t>
            </w:r>
          </w:p>
        </w:tc>
        <w:tc>
          <w:tcPr>
            <w:tcW w:w="2028" w:type="dxa"/>
            <w:noWrap w:val="0"/>
            <w:vAlign w:val="center"/>
          </w:tcPr>
          <w:p>
            <w:pPr>
              <w:spacing w:line="312" w:lineRule="auto"/>
              <w:jc w:val="center"/>
              <w:rPr>
                <w:rFonts w:hint="eastAsia"/>
                <w:color w:val="auto"/>
                <w:highlight w:val="none"/>
              </w:rPr>
            </w:pPr>
            <w:r>
              <w:rPr>
                <w:rFonts w:hint="eastAsia"/>
                <w:color w:val="auto"/>
                <w:highlight w:val="none"/>
              </w:rPr>
              <w:t>乳制品采购配送服务</w:t>
            </w:r>
          </w:p>
        </w:tc>
        <w:tc>
          <w:tcPr>
            <w:tcW w:w="2264" w:type="dxa"/>
            <w:noWrap w:val="0"/>
            <w:vAlign w:val="center"/>
          </w:tcPr>
          <w:p>
            <w:pPr>
              <w:spacing w:line="312" w:lineRule="auto"/>
              <w:jc w:val="both"/>
              <w:rPr>
                <w:rFonts w:hint="default"/>
                <w:color w:val="auto"/>
                <w:highlight w:val="none"/>
                <w:lang w:val="en-US" w:eastAsia="zh-CN"/>
              </w:rPr>
            </w:pPr>
            <w:r>
              <w:rPr>
                <w:rFonts w:hint="eastAsia" w:ascii="宋体" w:hAnsi="宋体" w:eastAsia="宋体"/>
                <w:color w:val="auto"/>
                <w:highlight w:val="none"/>
                <w:lang w:eastAsia="zh-CN"/>
              </w:rPr>
              <w:t>ZJWSBJ-ZYY-202062C</w:t>
            </w:r>
            <w:r>
              <w:rPr>
                <w:rFonts w:hint="eastAsia" w:ascii="宋体" w:hAnsi="宋体" w:eastAsia="宋体"/>
                <w:color w:val="auto"/>
                <w:highlight w:val="none"/>
                <w:lang w:val="en-US" w:eastAsia="zh-CN"/>
              </w:rPr>
              <w:t>-2</w:t>
            </w:r>
          </w:p>
        </w:tc>
        <w:tc>
          <w:tcPr>
            <w:tcW w:w="2394" w:type="dxa"/>
            <w:noWrap w:val="0"/>
            <w:vAlign w:val="center"/>
          </w:tcPr>
          <w:p>
            <w:pPr>
              <w:spacing w:line="312" w:lineRule="auto"/>
              <w:jc w:val="center"/>
              <w:rPr>
                <w:rFonts w:hint="eastAsia"/>
                <w:color w:val="auto"/>
                <w:highlight w:val="none"/>
              </w:rPr>
            </w:pPr>
            <w:r>
              <w:rPr>
                <w:rFonts w:hint="eastAsia"/>
                <w:color w:val="auto"/>
                <w:highlight w:val="none"/>
                <w:lang w:val="en-US" w:eastAsia="zh-CN"/>
              </w:rPr>
              <w:t>2</w:t>
            </w:r>
            <w:r>
              <w:rPr>
                <w:rFonts w:hint="eastAsia"/>
                <w:color w:val="auto"/>
                <w:highlight w:val="none"/>
              </w:rPr>
              <w:t>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1日</w:t>
            </w:r>
            <w:r>
              <w:rPr>
                <w:rFonts w:hint="eastAsia"/>
                <w:color w:val="auto"/>
                <w:highlight w:val="none"/>
              </w:rPr>
              <w:t>-202</w:t>
            </w:r>
            <w:r>
              <w:rPr>
                <w:rFonts w:hint="eastAsia"/>
                <w:color w:val="auto"/>
                <w:highlight w:val="none"/>
                <w:lang w:val="en-US" w:eastAsia="zh-CN"/>
              </w:rPr>
              <w:t>3</w:t>
            </w:r>
            <w:r>
              <w:rPr>
                <w:rFonts w:hint="eastAsia"/>
                <w:color w:val="auto"/>
                <w:highlight w:val="none"/>
              </w:rPr>
              <w:t>年1月</w:t>
            </w:r>
            <w:r>
              <w:rPr>
                <w:rFonts w:hint="eastAsia"/>
                <w:color w:val="auto"/>
                <w:highlight w:val="none"/>
                <w:lang w:val="en-US" w:eastAsia="zh-CN"/>
              </w:rPr>
              <w:t>30日</w:t>
            </w:r>
            <w:r>
              <w:rPr>
                <w:rFonts w:hint="eastAsia"/>
                <w:color w:val="auto"/>
                <w:highlight w:val="none"/>
              </w:rPr>
              <w:t>）</w:t>
            </w:r>
          </w:p>
        </w:tc>
        <w:tc>
          <w:tcPr>
            <w:tcW w:w="1023" w:type="dxa"/>
            <w:noWrap w:val="0"/>
            <w:vAlign w:val="center"/>
          </w:tcPr>
          <w:p>
            <w:pPr>
              <w:spacing w:line="312" w:lineRule="auto"/>
              <w:jc w:val="center"/>
              <w:rPr>
                <w:rFonts w:hint="default" w:eastAsia="宋体"/>
                <w:color w:val="auto"/>
                <w:highlight w:val="none"/>
                <w:lang w:val="en-US" w:eastAsia="zh-CN"/>
              </w:rPr>
            </w:pPr>
            <w:r>
              <w:rPr>
                <w:rFonts w:hint="eastAsia"/>
                <w:color w:val="auto"/>
                <w:highlight w:val="none"/>
                <w:lang w:val="en-US" w:eastAsia="zh-CN"/>
              </w:rPr>
              <w:t>1家</w:t>
            </w:r>
          </w:p>
        </w:tc>
        <w:tc>
          <w:tcPr>
            <w:tcW w:w="1086" w:type="dxa"/>
            <w:noWrap w:val="0"/>
            <w:vAlign w:val="center"/>
          </w:tcPr>
          <w:p>
            <w:pPr>
              <w:spacing w:line="312" w:lineRule="auto"/>
              <w:jc w:val="center"/>
              <w:rPr>
                <w:rFonts w:hint="default" w:eastAsia="宋体"/>
                <w:color w:val="auto"/>
                <w:highlight w:val="none"/>
                <w:lang w:val="en-US" w:eastAsia="zh-CN"/>
              </w:rPr>
            </w:pPr>
            <w:r>
              <w:rPr>
                <w:rFonts w:hint="eastAsia"/>
                <w:color w:val="auto"/>
                <w:highlight w:val="none"/>
                <w:lang w:val="en-US" w:eastAsia="zh-CN"/>
              </w:rPr>
              <w:t>13</w:t>
            </w:r>
          </w:p>
        </w:tc>
      </w:tr>
    </w:tbl>
    <w:p>
      <w:pPr>
        <w:numPr>
          <w:ilvl w:val="0"/>
          <w:numId w:val="0"/>
        </w:numPr>
        <w:rPr>
          <w:rFonts w:hint="eastAsia"/>
          <w:color w:val="auto"/>
          <w:highlight w:val="none"/>
        </w:rPr>
      </w:pPr>
    </w:p>
    <w:p>
      <w:pPr>
        <w:pStyle w:val="4"/>
        <w:numPr>
          <w:ilvl w:val="0"/>
          <w:numId w:val="0"/>
        </w:numPr>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二、采购常用清单</w:t>
      </w:r>
    </w:p>
    <w:tbl>
      <w:tblPr>
        <w:tblStyle w:val="5"/>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品名</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高品酸牛奶</w:t>
            </w:r>
          </w:p>
        </w:tc>
        <w:tc>
          <w:tcPr>
            <w:tcW w:w="6060" w:type="dxa"/>
            <w:noWrap w:val="0"/>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eastAsia="zh-CN"/>
              </w:rPr>
              <w:t>纸杯</w:t>
            </w:r>
            <w:r>
              <w:rPr>
                <w:rFonts w:hint="eastAsia" w:ascii="宋体" w:hAnsi="宋体"/>
                <w:color w:val="auto"/>
                <w:highlight w:val="none"/>
                <w:lang w:val="en-US" w:eastAsia="zh-CN"/>
              </w:rPr>
              <w:t>180g装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蓝莓酸牛奶</w:t>
            </w:r>
          </w:p>
        </w:tc>
        <w:tc>
          <w:tcPr>
            <w:tcW w:w="6060" w:type="dxa"/>
            <w:noWrap w:val="0"/>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eastAsia="zh-CN"/>
              </w:rPr>
              <w:t>纸杯</w:t>
            </w:r>
            <w:r>
              <w:rPr>
                <w:rFonts w:hint="eastAsia" w:ascii="宋体" w:hAnsi="宋体"/>
                <w:color w:val="auto"/>
                <w:highlight w:val="none"/>
                <w:lang w:val="en-US" w:eastAsia="zh-CN"/>
              </w:rPr>
              <w:t>160g装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柠檬西柚酸牛奶</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lang w:eastAsia="zh-CN"/>
              </w:rPr>
              <w:t>纸杯</w:t>
            </w:r>
            <w:r>
              <w:rPr>
                <w:rFonts w:hint="eastAsia" w:ascii="宋体" w:hAnsi="宋体"/>
                <w:color w:val="auto"/>
                <w:highlight w:val="none"/>
                <w:lang w:val="en-US" w:eastAsia="zh-CN"/>
              </w:rPr>
              <w:t>160g装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红枣酸牛奶</w:t>
            </w:r>
          </w:p>
        </w:tc>
        <w:tc>
          <w:tcPr>
            <w:tcW w:w="6060" w:type="dxa"/>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lang w:eastAsia="zh-CN"/>
              </w:rPr>
              <w:t>纸杯</w:t>
            </w:r>
            <w:r>
              <w:rPr>
                <w:rFonts w:hint="eastAsia" w:ascii="宋体" w:hAnsi="宋体"/>
                <w:color w:val="auto"/>
                <w:highlight w:val="none"/>
                <w:lang w:val="en-US" w:eastAsia="zh-CN"/>
              </w:rPr>
              <w:t>180g装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多维生素牛奶</w:t>
            </w:r>
          </w:p>
        </w:tc>
        <w:tc>
          <w:tcPr>
            <w:tcW w:w="6060" w:type="dxa"/>
            <w:noWrap w:val="0"/>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纸杯180ml装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07" w:type="dxa"/>
            <w:noWrap w:val="0"/>
            <w:vAlign w:val="center"/>
          </w:tcPr>
          <w:p>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原味西湖老酸奶</w:t>
            </w:r>
          </w:p>
        </w:tc>
        <w:tc>
          <w:tcPr>
            <w:tcW w:w="6060" w:type="dxa"/>
            <w:noWrap w:val="0"/>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180g碗装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7" w:type="dxa"/>
            <w:noWrap w:val="0"/>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千岛湖牧场纯牛奶</w:t>
            </w:r>
          </w:p>
        </w:tc>
        <w:tc>
          <w:tcPr>
            <w:tcW w:w="6060" w:type="dxa"/>
            <w:noWrap w:val="0"/>
            <w:vAlign w:val="center"/>
          </w:tcPr>
          <w:p>
            <w:pPr>
              <w:spacing w:line="360" w:lineRule="auto"/>
              <w:jc w:val="center"/>
              <w:rPr>
                <w:rFonts w:hint="default" w:ascii="宋体" w:hAnsi="宋体"/>
                <w:color w:val="auto"/>
                <w:highlight w:val="none"/>
                <w:lang w:val="en-US"/>
              </w:rPr>
            </w:pPr>
            <w:r>
              <w:rPr>
                <w:rFonts w:hint="eastAsia" w:ascii="宋体" w:hAnsi="宋体"/>
                <w:color w:val="auto"/>
                <w:highlight w:val="none"/>
                <w:lang w:eastAsia="zh-CN"/>
              </w:rPr>
              <w:t>苗条装</w:t>
            </w:r>
            <w:r>
              <w:rPr>
                <w:rFonts w:hint="eastAsia" w:ascii="宋体" w:hAnsi="宋体"/>
                <w:color w:val="auto"/>
                <w:highlight w:val="none"/>
                <w:lang w:val="en-US" w:eastAsia="zh-CN"/>
              </w:rPr>
              <w:t>200ml</w:t>
            </w:r>
          </w:p>
        </w:tc>
      </w:tr>
    </w:tbl>
    <w:p>
      <w:pPr>
        <w:pStyle w:val="9"/>
        <w:rPr>
          <w:rFonts w:hint="eastAsia"/>
          <w:color w:val="auto"/>
          <w:highlight w:val="none"/>
        </w:rPr>
      </w:pPr>
    </w:p>
    <w:p>
      <w:pPr>
        <w:pStyle w:val="4"/>
        <w:jc w:val="left"/>
        <w:rPr>
          <w:rFonts w:hint="eastAsia" w:ascii="宋体" w:hAnsi="宋体"/>
          <w:b/>
          <w:color w:val="auto"/>
          <w:highlight w:val="none"/>
        </w:rPr>
      </w:pPr>
      <w:r>
        <w:rPr>
          <w:rFonts w:hint="eastAsia"/>
          <w:color w:val="auto"/>
          <w:sz w:val="24"/>
          <w:szCs w:val="24"/>
          <w:highlight w:val="none"/>
        </w:rPr>
        <w:t>三、商务要求</w:t>
      </w:r>
    </w:p>
    <w:p>
      <w:pPr>
        <w:spacing w:line="360" w:lineRule="auto"/>
        <w:rPr>
          <w:rFonts w:hint="eastAsia" w:ascii="宋体" w:hAnsi="宋体"/>
          <w:b/>
          <w:color w:val="auto"/>
          <w:highlight w:val="none"/>
        </w:rPr>
      </w:pPr>
      <w:r>
        <w:rPr>
          <w:rFonts w:hint="eastAsia" w:ascii="宋体" w:hAnsi="宋体"/>
          <w:b/>
          <w:color w:val="auto"/>
          <w:highlight w:val="none"/>
        </w:rPr>
        <w:t>（一）服务期：</w:t>
      </w:r>
    </w:p>
    <w:p>
      <w:pPr>
        <w:spacing w:line="440" w:lineRule="exact"/>
        <w:ind w:firstLine="480"/>
        <w:rPr>
          <w:color w:val="auto"/>
          <w:highlight w:val="none"/>
        </w:rPr>
      </w:pPr>
      <w:r>
        <w:rPr>
          <w:rFonts w:hint="eastAsia"/>
          <w:color w:val="auto"/>
          <w:highlight w:val="none"/>
        </w:rPr>
        <w:t>服务期</w:t>
      </w:r>
      <w:r>
        <w:rPr>
          <w:rFonts w:hint="eastAsia"/>
          <w:color w:val="auto"/>
          <w:highlight w:val="none"/>
          <w:lang w:val="en-US" w:eastAsia="zh-CN"/>
        </w:rPr>
        <w:t>2</w:t>
      </w:r>
      <w:r>
        <w:rPr>
          <w:rFonts w:hint="eastAsia"/>
          <w:color w:val="auto"/>
          <w:highlight w:val="none"/>
        </w:rPr>
        <w:t>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1日</w:t>
      </w: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1月31日</w:t>
      </w:r>
      <w:r>
        <w:rPr>
          <w:rFonts w:hint="eastAsia"/>
          <w:color w:val="auto"/>
          <w:highlight w:val="none"/>
        </w:rPr>
        <w:t>），采购人</w:t>
      </w:r>
      <w:r>
        <w:rPr>
          <w:rFonts w:hint="eastAsia"/>
          <w:color w:val="auto"/>
          <w:highlight w:val="none"/>
          <w:lang w:eastAsia="zh-CN"/>
        </w:rPr>
        <w:t>每月进行</w:t>
      </w:r>
      <w:r>
        <w:rPr>
          <w:rFonts w:hint="eastAsia"/>
          <w:color w:val="auto"/>
          <w:highlight w:val="none"/>
        </w:rPr>
        <w:t>两次对其测评结果满意率低于85%，</w:t>
      </w:r>
      <w:r>
        <w:rPr>
          <w:rFonts w:hint="eastAsia" w:ascii="宋体" w:hAnsi="宋体"/>
          <w:color w:val="auto"/>
          <w:highlight w:val="none"/>
        </w:rPr>
        <w:t>采购人有权终止合同，并由成交供应商承担相关责任。</w:t>
      </w:r>
    </w:p>
    <w:p>
      <w:pPr>
        <w:spacing w:line="360" w:lineRule="auto"/>
        <w:rPr>
          <w:rFonts w:hint="eastAsia" w:ascii="宋体" w:hAnsi="宋体"/>
          <w:b/>
          <w:color w:val="auto"/>
          <w:highlight w:val="none"/>
        </w:rPr>
      </w:pPr>
      <w:r>
        <w:rPr>
          <w:rFonts w:hint="eastAsia" w:ascii="宋体" w:hAnsi="宋体"/>
          <w:b/>
          <w:color w:val="auto"/>
          <w:highlight w:val="none"/>
        </w:rPr>
        <w:t>（二）配送要求：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1.能在12小时内响应采购，并将货物按时保质的送达。</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2.应急采购能在2小时内响应。</w:t>
      </w:r>
    </w:p>
    <w:p>
      <w:pPr>
        <w:spacing w:line="360" w:lineRule="auto"/>
        <w:ind w:firstLine="48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3.供货时间为生产当天或第二天。</w:t>
      </w:r>
    </w:p>
    <w:p>
      <w:pPr>
        <w:spacing w:line="360" w:lineRule="auto"/>
        <w:rPr>
          <w:rFonts w:hint="eastAsia" w:ascii="宋体" w:hAnsi="宋体"/>
          <w:b/>
          <w:color w:val="auto"/>
          <w:highlight w:val="none"/>
        </w:rPr>
      </w:pPr>
      <w:r>
        <w:rPr>
          <w:rFonts w:hint="eastAsia" w:ascii="宋体" w:hAnsi="宋体"/>
          <w:b/>
          <w:color w:val="auto"/>
          <w:highlight w:val="none"/>
        </w:rPr>
        <w:t>（三）产品质量价格要求：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1.供应商须书面承诺本项目配送服务及货物质量标准不低于浙江省高等学校后勤物资联合配送中心相对应项目的服务及货物质量标准，否则视作服务方案不符合本项目要求。</w:t>
      </w:r>
    </w:p>
    <w:p>
      <w:pPr>
        <w:snapToGrid w:val="0"/>
        <w:spacing w:line="360" w:lineRule="auto"/>
        <w:ind w:firstLine="480"/>
        <w:rPr>
          <w:rFonts w:hint="eastAsia" w:ascii="宋体" w:hAnsi="宋体"/>
          <w:color w:val="auto"/>
          <w:highlight w:val="none"/>
        </w:rPr>
      </w:pPr>
      <w:r>
        <w:rPr>
          <w:rFonts w:hint="eastAsia" w:ascii="宋体" w:hAnsi="宋体"/>
          <w:color w:val="auto"/>
          <w:highlight w:val="none"/>
        </w:rPr>
        <w:t>2.供应商需承诺所供的物品必须符合国家有关卫生、质量、包装和保质标准，必须供应在有效期内的货品，其剩余有效期不得少于标注有效期的80%，如不符合质量标准，必须退货并承担违约责任。</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3.所供商品必须符合国家行业生产及经营标准，货真价实，均能提供相应批次的合格检验证明。</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4.提供的货物必须各项技术指标完全符合国家有关质量检测、环保标准及产品出厂标准。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5.供应商必须负责成交货物的运输、质量检测等工作，所产生的费用由供应商负责。</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6.物品具体需求量以实际供应前一天通知的为准。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7.供应商不得将成交项目转包、分包，否则采购人有权单方终止合同,由此产生的一切经济损失由供应商自行承担。</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8.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9.供应商不得变更供应商品，应严格按采购要求（含商标、名称、产地、规格和重量等）供应，否则，采购人有权拒收。</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10.采购人按合同对商品进行认真验收，对不符合规格要求的商品，供应商必须无条件退货；供应商未能履行竞争性磋商文件和合同所定事项,或供应不合格的、假冒伪劣、以次充好的商品，采购人退货后将记录在案，并对供应商予以处罚，除要承担因此产生的一切损失和费用外，情节严重的可取消其供应资格。</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11.如因所供产品质量或品质问题造成人员身体不适、身体伤害及经济损失的，须由供应商立即派专人到现场妥善处理，做好安抚工作和善后事宜，并承担所产生的一切费用、赔偿由此发生的一切经济损失。若提供有毒食品，造成食品安全事故的，经有关单位鉴定原因后，如确实为响应供应商提供的食品问题，响应供应商须负担全数的医药费，采购人将取消该响应供应商的供货资格，响应供应商同时承担相应的民事及刑事法律责任及放弃先诉抗辩权。</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12.非采购人的人为原因而出现产品质量，由供应商负责包换或包退，并承担因此而产生的一切费用。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13.供应商须开具国家正式发票。供应商按供应商品的销售额开具发票。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14.在履行合同期间，如三次以上造成送货时间晚点或质量过差，采购人将记录在案，可取消其供应资格。</w:t>
      </w:r>
    </w:p>
    <w:p>
      <w:pPr>
        <w:pStyle w:val="8"/>
        <w:rPr>
          <w:color w:val="auto"/>
          <w:highlight w:val="none"/>
        </w:rPr>
      </w:pPr>
    </w:p>
    <w:p>
      <w:pPr>
        <w:spacing w:line="360" w:lineRule="auto"/>
        <w:rPr>
          <w:rFonts w:hint="eastAsia" w:ascii="宋体" w:hAnsi="宋体"/>
          <w:b/>
          <w:color w:val="auto"/>
          <w:highlight w:val="none"/>
        </w:rPr>
      </w:pPr>
      <w:r>
        <w:rPr>
          <w:rFonts w:hint="eastAsia" w:ascii="宋体" w:hAnsi="宋体"/>
          <w:b/>
          <w:color w:val="auto"/>
          <w:highlight w:val="none"/>
        </w:rPr>
        <w:t>（四）合同终止：</w:t>
      </w:r>
    </w:p>
    <w:p>
      <w:pPr>
        <w:spacing w:line="360" w:lineRule="auto"/>
        <w:ind w:firstLine="480"/>
        <w:rPr>
          <w:rFonts w:hint="eastAsia"/>
          <w:color w:val="auto"/>
          <w:highlight w:val="none"/>
        </w:rPr>
      </w:pPr>
      <w:r>
        <w:rPr>
          <w:rFonts w:hint="eastAsia"/>
          <w:color w:val="auto"/>
          <w:highlight w:val="none"/>
        </w:rPr>
        <w:t>中标</w:t>
      </w:r>
      <w:r>
        <w:rPr>
          <w:rFonts w:hint="eastAsia"/>
          <w:color w:val="auto"/>
          <w:highlight w:val="none"/>
          <w:lang w:val="en-US" w:eastAsia="zh-CN"/>
        </w:rPr>
        <w:t>单位</w:t>
      </w:r>
      <w:r>
        <w:rPr>
          <w:rFonts w:hint="eastAsia"/>
          <w:color w:val="auto"/>
          <w:highlight w:val="none"/>
        </w:rPr>
        <w:t>在合同有效期内，不得以任何理由终止合同，确有特殊情况的，须提前两个月向采购人提出书面申请，经采购人同意后，方可终止合同。因中标</w:t>
      </w:r>
      <w:r>
        <w:rPr>
          <w:rFonts w:hint="eastAsia"/>
          <w:color w:val="auto"/>
          <w:highlight w:val="none"/>
          <w:lang w:val="en-US" w:eastAsia="zh-CN"/>
        </w:rPr>
        <w:t>单位</w:t>
      </w:r>
      <w:r>
        <w:rPr>
          <w:rFonts w:hint="eastAsia"/>
          <w:color w:val="auto"/>
          <w:highlight w:val="none"/>
        </w:rPr>
        <w:t>不能保证工作质量，或发生重大差错事故的，采购人可有权终止协议，中标</w:t>
      </w:r>
      <w:r>
        <w:rPr>
          <w:rFonts w:hint="eastAsia"/>
          <w:color w:val="auto"/>
          <w:highlight w:val="none"/>
          <w:lang w:val="en-US" w:eastAsia="zh-CN"/>
        </w:rPr>
        <w:t>单位</w:t>
      </w:r>
      <w:r>
        <w:rPr>
          <w:rFonts w:hint="eastAsia"/>
          <w:color w:val="auto"/>
          <w:highlight w:val="none"/>
        </w:rPr>
        <w:t>承担全部责任。配送企业履约过程中，因质量、服务等方面发生重大违约情况，或采购人连续两次对其测评结果满意率低于85%，采购人可有权终止协议，中标供应商承担全部责任。</w:t>
      </w:r>
    </w:p>
    <w:p>
      <w:pPr>
        <w:spacing w:line="360" w:lineRule="auto"/>
        <w:rPr>
          <w:rFonts w:hint="eastAsia" w:ascii="宋体" w:hAnsi="宋体"/>
          <w:b/>
          <w:color w:val="auto"/>
          <w:highlight w:val="none"/>
        </w:rPr>
      </w:pPr>
      <w:r>
        <w:rPr>
          <w:rFonts w:hint="eastAsia" w:ascii="宋体" w:hAnsi="宋体"/>
          <w:b/>
          <w:color w:val="auto"/>
          <w:highlight w:val="none"/>
        </w:rPr>
        <w:t>（五）★结算方式：</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按月结算，经双方账目核对无误，中标单位向采购人提交结算金额的全额增值税发票或普通发票后，采购人在下个月25日前向中标单位付款。（如遇节假日顺延）具体计算方式：各种类货物定价（定价=</w:t>
      </w:r>
      <w:r>
        <w:rPr>
          <w:rFonts w:hint="eastAsia" w:ascii="宋体" w:hAnsi="宋体"/>
          <w:color w:val="auto"/>
          <w:highlight w:val="none"/>
          <w:lang w:eastAsia="zh-CN"/>
        </w:rPr>
        <w:t>单价</w:t>
      </w:r>
      <w:r>
        <w:rPr>
          <w:rFonts w:hint="eastAsia" w:ascii="宋体" w:hAnsi="宋体"/>
          <w:color w:val="auto"/>
          <w:highlight w:val="none"/>
        </w:rPr>
        <w:t>×各种类货物配送数量</w:t>
      </w:r>
      <w:r>
        <w:rPr>
          <w:rFonts w:hint="eastAsia" w:ascii="宋体" w:hAnsi="宋体"/>
          <w:color w:val="auto"/>
          <w:highlight w:val="none"/>
          <w:lang w:eastAsia="zh-CN"/>
        </w:rPr>
        <w:t>）</w:t>
      </w:r>
      <w:r>
        <w:rPr>
          <w:rFonts w:hint="eastAsia" w:ascii="宋体" w:hAnsi="宋体"/>
          <w:color w:val="auto"/>
          <w:highlight w:val="none"/>
        </w:rPr>
        <w:t>，求和。</w:t>
      </w:r>
    </w:p>
    <w:p>
      <w:pPr>
        <w:spacing w:line="360" w:lineRule="auto"/>
        <w:rPr>
          <w:rFonts w:hint="eastAsia" w:ascii="宋体" w:hAnsi="宋体"/>
          <w:b/>
          <w:color w:val="auto"/>
          <w:highlight w:val="none"/>
        </w:rPr>
      </w:pPr>
      <w:r>
        <w:rPr>
          <w:rFonts w:hint="eastAsia" w:ascii="宋体" w:hAnsi="宋体"/>
          <w:b/>
          <w:color w:val="auto"/>
          <w:highlight w:val="none"/>
        </w:rPr>
        <w:t>（六）★定价方式：</w:t>
      </w:r>
    </w:p>
    <w:p>
      <w:pPr>
        <w:spacing w:line="360" w:lineRule="auto"/>
        <w:ind w:firstLine="480" w:firstLineChars="200"/>
        <w:rPr>
          <w:rFonts w:hint="eastAsia" w:ascii="宋体" w:hAnsi="宋体" w:eastAsia="宋体"/>
          <w:color w:val="auto"/>
          <w:highlight w:val="none"/>
          <w:lang w:eastAsia="zh-CN"/>
        </w:rPr>
      </w:pPr>
      <w:r>
        <w:rPr>
          <w:rFonts w:hint="eastAsia" w:ascii="宋体" w:hAnsi="宋体"/>
          <w:color w:val="auto"/>
          <w:highlight w:val="none"/>
          <w:lang w:eastAsia="zh-CN"/>
        </w:rPr>
        <w:t>响应</w:t>
      </w:r>
      <w:r>
        <w:rPr>
          <w:rFonts w:hint="eastAsia" w:ascii="宋体" w:hAnsi="宋体"/>
          <w:color w:val="auto"/>
          <w:highlight w:val="none"/>
        </w:rPr>
        <w:t>浙江省高等学校后勤物资联合配送中心</w:t>
      </w:r>
      <w:r>
        <w:rPr>
          <w:rFonts w:hint="eastAsia" w:ascii="宋体" w:hAnsi="宋体"/>
          <w:color w:val="auto"/>
          <w:highlight w:val="none"/>
          <w:lang w:eastAsia="zh-CN"/>
        </w:rPr>
        <w:t>的价格。</w:t>
      </w:r>
    </w:p>
    <w:p>
      <w:pPr>
        <w:spacing w:line="360" w:lineRule="auto"/>
        <w:rPr>
          <w:rFonts w:hint="eastAsia" w:ascii="宋体" w:hAnsi="宋体"/>
          <w:b/>
          <w:color w:val="auto"/>
          <w:highlight w:val="none"/>
        </w:rPr>
      </w:pPr>
      <w:r>
        <w:rPr>
          <w:rFonts w:hint="eastAsia" w:ascii="宋体" w:hAnsi="宋体"/>
          <w:b/>
          <w:color w:val="auto"/>
          <w:highlight w:val="none"/>
        </w:rPr>
        <w:t>（七）履约保证金</w:t>
      </w:r>
    </w:p>
    <w:p>
      <w:pPr>
        <w:spacing w:line="360" w:lineRule="auto"/>
        <w:ind w:firstLine="480" w:firstLineChars="200"/>
        <w:rPr>
          <w:rFonts w:ascii="宋体" w:hAnsi="宋体"/>
          <w:color w:val="auto"/>
          <w:kern w:val="0"/>
          <w:highlight w:val="none"/>
        </w:rPr>
      </w:pPr>
      <w:r>
        <w:rPr>
          <w:rFonts w:hint="eastAsia" w:ascii="宋体" w:hAnsi="宋体"/>
          <w:color w:val="auto"/>
          <w:highlight w:val="none"/>
        </w:rPr>
        <w:t>签订合同</w:t>
      </w:r>
      <w:r>
        <w:rPr>
          <w:rFonts w:hint="eastAsia" w:ascii="宋体" w:hAnsi="宋体"/>
          <w:color w:val="auto"/>
          <w:highlight w:val="none"/>
          <w:lang w:val="en-US" w:eastAsia="zh-CN"/>
        </w:rPr>
        <w:t>后7个工作日内</w:t>
      </w:r>
      <w:r>
        <w:rPr>
          <w:rFonts w:hint="eastAsia" w:ascii="宋体" w:hAnsi="宋体"/>
          <w:color w:val="auto"/>
          <w:highlight w:val="none"/>
        </w:rPr>
        <w:t>向采购人交纳预算金额的5％作为履约保证金。履约保证金在合同期满确认乙方考核合格且无违约行为后无息返还给乙方（遇寒暑假及国家法定假日顺延）。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E2C5"/>
    <w:multiLevelType w:val="singleLevel"/>
    <w:tmpl w:val="1232E2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C027A"/>
    <w:rsid w:val="1D5359AA"/>
    <w:rsid w:val="63FC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1"/>
    <w:basedOn w:val="1"/>
    <w:next w:val="1"/>
    <w:link w:val="7"/>
    <w:qFormat/>
    <w:uiPriority w:val="0"/>
    <w:pPr>
      <w:keepNext/>
      <w:jc w:val="center"/>
      <w:outlineLvl w:val="0"/>
    </w:pPr>
    <w:rPr>
      <w:rFonts w:ascii="Times New Roman" w:hAnsi="Times New Roman" w:eastAsia="黑体"/>
      <w:b/>
      <w:bCs/>
      <w:sz w:val="36"/>
    </w:rPr>
  </w:style>
  <w:style w:type="paragraph" w:styleId="4">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character" w:customStyle="1" w:styleId="7">
    <w:name w:val="标题 1 字符"/>
    <w:link w:val="3"/>
    <w:uiPriority w:val="0"/>
    <w:rPr>
      <w:rFonts w:ascii="Times New Roman" w:hAnsi="Times New Roman" w:eastAsia="黑体"/>
      <w:b/>
      <w:bCs/>
      <w:kern w:val="2"/>
      <w:sz w:val="36"/>
      <w:szCs w:val="24"/>
      <w:lang w:val="en-US" w:eastAsia="zh-CN" w:bidi="ar-SA"/>
    </w:rPr>
  </w:style>
  <w:style w:type="paragraph" w:customStyle="1" w:styleId="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
    <w:name w:val="Default"/>
    <w:next w:val="8"/>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2020-12-25T11:35:00Z</dcterms:created>
  <dc:creator>TZ</dc:creator>
  <cp:lastModifiedBy>TZ</cp:lastModifiedBy>
  <dcterms:modified xsi:type="dcterms:W3CDTF">2020-12-25T11:43:09Z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