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一、项目概况</w:t>
      </w:r>
    </w:p>
    <w:p>
      <w:pPr>
        <w:pStyle w:val="6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本项目为中国计量大学现代科技学院</w:t>
      </w:r>
      <w:r>
        <w:rPr>
          <w:rFonts w:hint="eastAsia" w:hAnsi="宋体" w:cs="宋体"/>
          <w:color w:val="auto"/>
          <w:sz w:val="24"/>
          <w:szCs w:val="24"/>
          <w:highlight w:val="none"/>
          <w:lang w:eastAsia="zh-CN"/>
        </w:rPr>
        <w:t>义乌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校区学生公寓自助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售货机点位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招租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服务项目，为满足学校发展需要，为学生提供优质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便利的生活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服务，现公开面向社会招募优质的服务商。</w:t>
      </w:r>
    </w:p>
    <w:p>
      <w:pPr>
        <w:pStyle w:val="6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项目地点位于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中国计量大学现代科技学院</w:t>
      </w:r>
      <w:r>
        <w:rPr>
          <w:rFonts w:hint="eastAsia" w:hAnsi="宋体" w:cs="宋体"/>
          <w:bCs/>
          <w:color w:val="auto"/>
          <w:sz w:val="24"/>
          <w:highlight w:val="none"/>
          <w:lang w:eastAsia="zh-CN"/>
        </w:rPr>
        <w:t>义乌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校区（义乌市佛堂镇大学路8号）</w:t>
      </w:r>
    </w:p>
    <w:tbl>
      <w:tblPr>
        <w:tblStyle w:val="7"/>
        <w:tblW w:w="544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727"/>
        <w:gridCol w:w="1650"/>
        <w:gridCol w:w="2500"/>
        <w:gridCol w:w="1166"/>
        <w:gridCol w:w="917"/>
        <w:gridCol w:w="1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标项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项目名称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标项编号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点位数量、规格要求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年限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入围家数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4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二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right="68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自制类饮品（咖啡）机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点位招租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bCs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ZJWSBJ-YWZC-202002G（C）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-2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采购点位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>组；整机尺寸规格不限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三年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点位分组图详见附件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十四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四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right="68" w:righ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val="en-US" w:eastAsia="zh-CN"/>
              </w:rPr>
              <w:t>自助加热美食机</w:t>
            </w:r>
            <w:r>
              <w:rPr>
                <w:rFonts w:hint="eastAsia" w:ascii="宋体" w:hAnsi="宋体" w:eastAsia="宋体" w:cs="宋体"/>
                <w:sz w:val="24"/>
              </w:rPr>
              <w:t>点位招租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bCs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ZJWSBJ-YWZC-202002G（C）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-4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采购点位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>组；整机尺寸规格不限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三年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点位分组图详见附件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十五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五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right="68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自助水果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售卖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机点位招租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bCs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ZJWSBJ-YWZC-202002G（C）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-5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采购点位</w:t>
            </w: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>组；整机尺寸规格不限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三年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点位分组图详见附件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十六</w:t>
            </w:r>
          </w:p>
        </w:tc>
      </w:tr>
    </w:tbl>
    <w:p>
      <w:pPr>
        <w:pStyle w:val="6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二、</w:t>
      </w:r>
      <w:r>
        <w:rPr>
          <w:rFonts w:hint="eastAsia"/>
          <w:lang w:val="en-US" w:eastAsia="zh-CN"/>
        </w:rPr>
        <w:t>自助售货机点位招租</w:t>
      </w:r>
      <w:r>
        <w:rPr>
          <w:rFonts w:hint="eastAsia"/>
        </w:rPr>
        <w:t>服务项目</w:t>
      </w:r>
      <w:r>
        <w:rPr>
          <w:rFonts w:hint="eastAsia"/>
          <w:lang w:val="en-US" w:eastAsia="zh-CN"/>
        </w:rPr>
        <w:t>需求</w:t>
      </w:r>
    </w:p>
    <w:p>
      <w:pPr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4"/>
        </w:rPr>
        <w:t>.</w:t>
      </w:r>
      <w:r>
        <w:rPr>
          <w:rFonts w:hint="eastAsia" w:ascii="宋体" w:hAnsi="宋体" w:eastAsia="宋体" w:cs="宋体"/>
          <w:sz w:val="24"/>
        </w:rPr>
        <w:t>所供应的机器设备须符合国家或行业技术规格和质量标准</w:t>
      </w:r>
      <w:r>
        <w:rPr>
          <w:rFonts w:hint="eastAsia" w:ascii="宋体" w:hAnsi="宋体" w:eastAsia="宋体" w:cs="宋体"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</w:rPr>
        <w:t>所供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食品</w:t>
      </w:r>
      <w:r>
        <w:rPr>
          <w:rFonts w:hint="eastAsia" w:ascii="宋体" w:hAnsi="宋体" w:eastAsia="宋体" w:cs="宋体"/>
          <w:bCs/>
          <w:sz w:val="24"/>
        </w:rPr>
        <w:t>须符合国家质量及食品卫生标准，种类多样化</w:t>
      </w:r>
      <w:r>
        <w:rPr>
          <w:rFonts w:hint="eastAsia" w:ascii="宋体" w:hAnsi="宋体" w:eastAsia="宋体" w:cs="宋体"/>
          <w:bCs/>
          <w:sz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品牌</w:t>
      </w:r>
      <w:r>
        <w:rPr>
          <w:rFonts w:hint="eastAsia" w:ascii="宋体" w:hAnsi="宋体" w:eastAsia="宋体" w:cs="宋体"/>
          <w:bCs/>
          <w:sz w:val="24"/>
        </w:rPr>
        <w:t>须为国内</w:t>
      </w:r>
      <w:r>
        <w:rPr>
          <w:rFonts w:hint="eastAsia" w:ascii="宋体" w:hAnsi="宋体" w:cs="宋体"/>
          <w:bCs/>
          <w:sz w:val="24"/>
          <w:lang w:val="en-US" w:eastAsia="zh-CN"/>
        </w:rPr>
        <w:t>外</w:t>
      </w:r>
      <w:r>
        <w:rPr>
          <w:rFonts w:hint="eastAsia" w:ascii="宋体" w:hAnsi="宋体" w:eastAsia="宋体" w:cs="宋体"/>
          <w:bCs/>
          <w:sz w:val="24"/>
        </w:rPr>
        <w:t>知名品牌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所供食用农产品须符合《农产品质量安全法》相关规定。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.投标方所出售的全部货物均应按标准保护措施进行包装，这类包装应适应于远距离运输、防潮、防震和防野蛮装卸等要求，以确保货物安全无损地运抵指定现场；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商品的投放时间到商品保质期过期时间应大于保质期的70%的，否则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应立刻更换产品；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不足一天的按照一天计算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）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4.机器设备</w:t>
      </w:r>
      <w:r>
        <w:rPr>
          <w:rFonts w:hint="eastAsia" w:ascii="宋体" w:hAnsi="宋体" w:eastAsia="宋体" w:cs="宋体"/>
          <w:bCs/>
          <w:sz w:val="24"/>
        </w:rPr>
        <w:t>支付方式多种化，支持支付宝、微信、云闪付等支付形式</w:t>
      </w:r>
      <w:r>
        <w:rPr>
          <w:rFonts w:hint="eastAsia" w:ascii="宋体" w:hAnsi="宋体" w:cs="宋体"/>
          <w:bCs/>
          <w:sz w:val="24"/>
          <w:lang w:eastAsia="zh-CN"/>
        </w:rPr>
        <w:t>。</w:t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24"/>
        </w:rPr>
        <w:t>.投标方应为本项目配备专业服务团队，包括各种突发事件采取应急措施等。相关设备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载体</w:t>
      </w:r>
      <w:r>
        <w:rPr>
          <w:rFonts w:hint="eastAsia" w:ascii="宋体" w:hAnsi="宋体" w:eastAsia="宋体" w:cs="宋体"/>
          <w:bCs/>
          <w:sz w:val="24"/>
        </w:rPr>
        <w:t>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负责日常运行和维护；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投标方须提供</w:t>
      </w:r>
      <w:r>
        <w:rPr>
          <w:rFonts w:hint="eastAsia" w:ascii="宋体" w:hAnsi="宋体" w:eastAsia="宋体" w:cs="宋体"/>
          <w:bCs/>
          <w:sz w:val="24"/>
        </w:rPr>
        <w:t>一位负责人，全权代表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与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</w:rPr>
        <w:t>保持密切联系以保证承租区域内服务工作正常进行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须配备足够的服务人员，且聘用的服务人员必须符合劳动部门有关用工规定，并经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相关专业考核合格后持证上岗，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有权进行审核，该类费用开支由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负担。</w:t>
      </w:r>
      <w:r>
        <w:rPr>
          <w:rFonts w:hint="eastAsia" w:ascii="宋体" w:hAnsi="宋体" w:cs="宋体"/>
          <w:bCs/>
          <w:sz w:val="24"/>
          <w:lang w:val="en-US" w:eastAsia="zh-CN"/>
        </w:rPr>
        <w:t>相关设备载体</w:t>
      </w:r>
      <w:r>
        <w:rPr>
          <w:rFonts w:hint="eastAsia" w:ascii="宋体" w:hAnsi="宋体"/>
          <w:bCs/>
          <w:sz w:val="24"/>
          <w:lang w:val="en-US" w:eastAsia="zh-CN"/>
        </w:rPr>
        <w:t>必须为</w:t>
      </w:r>
      <w:r>
        <w:rPr>
          <w:rFonts w:hint="eastAsia" w:ascii="宋体" w:hAnsi="宋体" w:eastAsia="宋体" w:cs="宋体"/>
          <w:bCs/>
          <w:sz w:val="24"/>
          <w:lang w:eastAsia="zh-CN"/>
        </w:rPr>
        <w:t>全新。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6.</w:t>
      </w:r>
      <w:r>
        <w:rPr>
          <w:rFonts w:hint="default" w:ascii="宋体" w:hAnsi="宋体" w:eastAsia="宋体" w:cs="宋体"/>
          <w:bCs/>
          <w:sz w:val="24"/>
          <w:lang w:val="en-US" w:eastAsia="zh-CN"/>
        </w:rPr>
        <w:t>设备出现故障后，在接到招标人通知后，应在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30分钟进行服务响应，如需现场服务的，需在2小时内赶到现场</w:t>
      </w:r>
      <w:r>
        <w:rPr>
          <w:rFonts w:hint="default" w:ascii="宋体" w:hAnsi="宋体" w:eastAsia="宋体" w:cs="宋体"/>
          <w:bCs/>
          <w:sz w:val="24"/>
          <w:lang w:val="en-US" w:eastAsia="zh-CN"/>
        </w:rPr>
        <w:t>，不超过12小时内解决故障，若无法解决故障应予以更换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设备。</w:t>
      </w:r>
      <w:r>
        <w:rPr>
          <w:rFonts w:hint="eastAsia" w:ascii="宋体" w:hAnsi="宋体" w:cs="宋体"/>
          <w:bCs/>
          <w:sz w:val="24"/>
          <w:lang w:val="en-US" w:eastAsia="zh-CN"/>
        </w:rPr>
        <w:t>设备载体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出现吞钱、吞货情况，</w:t>
      </w:r>
      <w:r>
        <w:rPr>
          <w:rFonts w:hint="eastAsia" w:ascii="宋体" w:hAnsi="宋体" w:cs="宋体"/>
          <w:bCs/>
          <w:sz w:val="24"/>
          <w:lang w:val="en-US" w:eastAsia="zh-CN"/>
        </w:rPr>
        <w:t>应在2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小时内</w:t>
      </w:r>
      <w:r>
        <w:rPr>
          <w:rFonts w:hint="eastAsia" w:ascii="宋体" w:hAnsi="宋体" w:cs="宋体"/>
          <w:bCs/>
          <w:sz w:val="24"/>
          <w:lang w:val="en-US" w:eastAsia="zh-CN"/>
        </w:rPr>
        <w:t>妥善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解决问题。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sz w:val="24"/>
          <w:lang w:eastAsia="zh-CN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应保证承包区域内的设施、设备始终处于良好的运营状况和保持承包区域内环境卫生整洁。对由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</w:t>
      </w:r>
      <w:r>
        <w:rPr>
          <w:rFonts w:hint="eastAsia" w:ascii="宋体" w:hAnsi="宋体" w:eastAsia="宋体" w:cs="宋体"/>
          <w:bCs/>
          <w:sz w:val="24"/>
          <w:lang w:eastAsia="zh-CN"/>
        </w:rPr>
        <w:t>方引起或造成设施、设备的损坏及环境卫生不理想状况，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将书面通知进行整改，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投标方应积极响应，进行整改。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8</w:t>
      </w:r>
      <w:r>
        <w:rPr>
          <w:rFonts w:hint="eastAsia" w:ascii="宋体" w:hAnsi="宋体" w:eastAsia="宋体" w:cs="宋体"/>
          <w:bCs/>
          <w:sz w:val="24"/>
          <w:lang w:eastAsia="zh-CN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应无条件配合服从</w:t>
      </w:r>
      <w:r>
        <w:rPr>
          <w:rFonts w:hint="eastAsia" w:ascii="宋体" w:hAnsi="宋体" w:cs="宋体"/>
          <w:bCs/>
          <w:sz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工作人员的管理。</w:t>
      </w:r>
    </w:p>
    <w:p>
      <w:pPr>
        <w:spacing w:line="360" w:lineRule="auto"/>
        <w:ind w:left="0" w:leftChars="0" w:firstLine="420" w:firstLineChars="0"/>
        <w:rPr>
          <w:rFonts w:hint="eastAsia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9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必须提供优质、高效的服务，并根据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要求不断改进服务手段，自觉接受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相关部门的监督与检查。同时，自觉参加有助于提高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形象和经营业绩的宣传活动。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sz w:val="24"/>
        </w:rPr>
        <w:t>.经营过程需办理的相关许可证书等申报手续由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自行办理；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sz w:val="24"/>
        </w:rPr>
        <w:t>.经营费用及产生的债权、债务由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承担。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不得擅自将该项目转租、出让给他人，如有违反，</w:t>
      </w:r>
      <w:r>
        <w:rPr>
          <w:rFonts w:hint="eastAsia" w:ascii="宋体" w:hAnsi="宋体" w:cs="宋体"/>
          <w:bCs/>
          <w:sz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</w:rPr>
        <w:t>有权终止合同，并没收履约保证金；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12</w:t>
      </w:r>
      <w:r>
        <w:rPr>
          <w:rFonts w:hint="eastAsia" w:ascii="宋体" w:hAnsi="宋体" w:eastAsia="宋体" w:cs="宋体"/>
          <w:bCs/>
          <w:sz w:val="24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 xml:space="preserve">必须保证依法经营、依法纳税，如有违章与违法行为，成交单位负全部责任； </w:t>
      </w: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★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点位租金</w:t>
      </w:r>
      <w:r>
        <w:rPr>
          <w:rFonts w:hint="eastAsia"/>
        </w:rPr>
        <w:t>标准：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标项二的每台租金不得低于人民币5000.00元/年，标项四的每台租金不得低于人民币8000.00元/年，标项五的每台租金不得低于人民币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000.00元/年，低于最低控制价的投标无效。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、点位确定原则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color w:val="000000"/>
          <w:sz w:val="24"/>
        </w:rPr>
        <w:t>每</w:t>
      </w:r>
      <w:r>
        <w:rPr>
          <w:rFonts w:hint="eastAsia" w:ascii="宋体" w:hAnsi="宋体"/>
          <w:color w:val="000000"/>
          <w:sz w:val="24"/>
          <w:lang w:val="en-US" w:eastAsia="zh-CN"/>
        </w:rPr>
        <w:t>个标项的成交</w:t>
      </w:r>
      <w:r>
        <w:rPr>
          <w:rFonts w:hint="eastAsia" w:ascii="宋体" w:hAnsi="宋体"/>
          <w:color w:val="000000"/>
          <w:sz w:val="24"/>
        </w:rPr>
        <w:t>供应商须满足安放机器的最低数量，每台机器租金单价按其投标报价执行。</w:t>
      </w:r>
    </w:p>
    <w:p>
      <w:pPr>
        <w:pStyle w:val="4"/>
        <w:bidi w:val="0"/>
        <w:rPr>
          <w:rFonts w:hint="eastAsia"/>
        </w:rPr>
      </w:pPr>
      <w:bookmarkStart w:id="0" w:name="_Toc482946896"/>
      <w:bookmarkStart w:id="1" w:name="_Toc456607642"/>
      <w:r>
        <w:rPr>
          <w:rFonts w:hint="eastAsia"/>
          <w:lang w:val="en-US" w:eastAsia="zh-CN"/>
        </w:rPr>
        <w:t>五、</w:t>
      </w:r>
      <w:r>
        <w:rPr>
          <w:rFonts w:hint="eastAsia"/>
        </w:rPr>
        <w:t>设备到位期限</w:t>
      </w:r>
      <w:bookmarkEnd w:id="0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/>
          <w:bCs/>
          <w:sz w:val="24"/>
        </w:rPr>
        <w:t>合同签订后且足额缴纳租金到达招标单位财务后15天内安装到位。</w:t>
      </w:r>
      <w:bookmarkEnd w:id="1"/>
    </w:p>
    <w:p>
      <w:pPr>
        <w:pStyle w:val="4"/>
        <w:bidi w:val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、合同期限：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年。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七</w:t>
      </w:r>
      <w:r>
        <w:rPr>
          <w:rFonts w:hint="eastAsia"/>
        </w:rPr>
        <w:t>、结算方式：</w:t>
      </w:r>
    </w:p>
    <w:p>
      <w:pPr>
        <w:snapToGrid w:val="0"/>
        <w:spacing w:line="360" w:lineRule="auto"/>
        <w:ind w:firstLine="470" w:firstLineChars="196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自助售货机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使用过程中的电费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和网络费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由投标方承担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电费支付标准及方式：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按时到采购单位缴纳，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按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义乌市商业用电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的标准收取，如遇价格调整按新价格标准收取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，网络费支付标准及方式：网络费用由网络运营商按实际收取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成交单位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需支付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自助售货机点位租金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，成交单位应在签订合同后7天内一次性缴纳全年租金，一年租期满后7天内一次性缴纳下一年租金。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投标方须按时缴纳费用，逾期缴纳费用超过三十天，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有权终止合同并没收履约保证金。</w:t>
      </w:r>
    </w:p>
    <w:p>
      <w:pPr>
        <w:pStyle w:val="4"/>
        <w:bidi w:val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、履约保证金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乙方在签订合同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之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日起一个月内需缴纳履约保证金</w:t>
      </w:r>
      <w:r>
        <w:rPr>
          <w:rFonts w:hint="eastAsia" w:ascii="宋体" w:hAnsi="宋体" w:cs="宋体"/>
          <w:b/>
          <w:bCs/>
          <w:color w:val="auto"/>
          <w:sz w:val="24"/>
          <w:highlight w:val="none"/>
          <w:lang w:val="en-US" w:eastAsia="zh-CN"/>
        </w:rPr>
        <w:t>每台机器叁仟元整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，并保证在履约保证金不足时及时缴足，在合同期满无违约的情况下无息退还。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九</w:t>
      </w:r>
      <w:r>
        <w:rPr>
          <w:rFonts w:hint="eastAsia"/>
        </w:rPr>
        <w:t>、其他要求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中标方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响应并处理不及时（超过接到甲方电话24小时）第一次发现扣200元，第二次发现扣500元，第三次发现解除合同。具体响应时间由采购人的使用部门监督负责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.不得在校区内从事非法及违规活动，一经发现，采购人有权终止本协议；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.对本单位的一切行为负责，在校区内发生的纠纷由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投标方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自行承担；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.不得转包第三方经营；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.合同期满后，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中标方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撤离时需将点位恢复原样，所产生的费用由成交单位自行承担。</w:t>
      </w:r>
    </w:p>
    <w:p>
      <w:pPr>
        <w:spacing w:line="360" w:lineRule="auto"/>
        <w:ind w:firstLine="578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u w:val="single"/>
        </w:rPr>
        <w:t>特别说明：</w:t>
      </w:r>
    </w:p>
    <w:p>
      <w:pPr>
        <w:pStyle w:val="10"/>
        <w:spacing w:before="0"/>
        <w:ind w:left="0" w:leftChars="0" w:firstLine="420" w:firstLineChars="0"/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1、投标</w:t>
      </w:r>
      <w:r>
        <w:rPr>
          <w:rFonts w:hint="eastAsia" w:ascii="宋体" w:hAnsi="宋体" w:cs="宋体"/>
          <w:b/>
          <w:bCs/>
          <w:color w:val="auto"/>
          <w:szCs w:val="24"/>
          <w:highlight w:val="none"/>
          <w:lang w:val="en-US" w:eastAsia="zh-CN"/>
        </w:rPr>
        <w:t>方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在投标文件中，应对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  <w:lang w:eastAsia="zh-CN"/>
        </w:rPr>
        <w:t>需求书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中所提出各项要求进行逐条逐项的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。</w:t>
      </w:r>
    </w:p>
    <w:p>
      <w:pPr>
        <w:pStyle w:val="11"/>
        <w:ind w:firstLine="42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2、对本需求书的响应应真实、准确，如发现有弄虚作假等内容，视为投标人弄虚作假，将导致其投标无效。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十四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自制类饮品（咖啡）机点位需求</w:t>
      </w:r>
    </w:p>
    <w:tbl>
      <w:tblPr>
        <w:tblStyle w:val="7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132"/>
        <w:gridCol w:w="1191"/>
        <w:gridCol w:w="1412"/>
        <w:gridCol w:w="1280"/>
        <w:gridCol w:w="2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762" w:type="dxa"/>
            <w:gridSpan w:val="4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点位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数量（台）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安放要求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027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崇德楼一楼大厅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132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航宇楼东教学楼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博学楼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2-4台</w:t>
            </w:r>
          </w:p>
        </w:tc>
        <w:tc>
          <w:tcPr>
            <w:tcW w:w="1412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望湖楼1台（待定）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中标人须至少放置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3个点位4</w:t>
            </w:r>
            <w:r>
              <w:rPr>
                <w:rFonts w:hint="eastAsia" w:ascii="宋体" w:hAnsi="宋体" w:eastAsia="宋体" w:cs="宋体"/>
              </w:rPr>
              <w:t>台机器</w:t>
            </w:r>
          </w:p>
        </w:tc>
      </w:tr>
    </w:tbl>
    <w:p>
      <w:pPr>
        <w:pStyle w:val="12"/>
        <w:rPr>
          <w:rFonts w:hint="eastAsia" w:ascii="宋体" w:hAnsi="宋体" w:eastAsia="宋体" w:cs="宋体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十五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自助加热美食机点位</w:t>
      </w:r>
      <w:r>
        <w:rPr>
          <w:rFonts w:hint="eastAsia" w:ascii="宋体" w:hAnsi="宋体" w:eastAsia="宋体" w:cs="宋体"/>
          <w:sz w:val="28"/>
          <w:szCs w:val="28"/>
        </w:rPr>
        <w:t>需求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617"/>
        <w:gridCol w:w="1824"/>
        <w:gridCol w:w="1235"/>
        <w:gridCol w:w="2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932" w:type="dxa"/>
            <w:gridSpan w:val="3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点位</w:t>
            </w:r>
          </w:p>
        </w:tc>
        <w:tc>
          <w:tcPr>
            <w:tcW w:w="1235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数量（台）</w:t>
            </w:r>
          </w:p>
        </w:tc>
        <w:tc>
          <w:tcPr>
            <w:tcW w:w="241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安放要求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49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航宇楼东教学楼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617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博学楼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824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韶华苑AB寝室一楼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2台</w:t>
            </w:r>
          </w:p>
        </w:tc>
        <w:tc>
          <w:tcPr>
            <w:tcW w:w="1235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241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中标人须放置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3个点位4</w:t>
            </w:r>
            <w:r>
              <w:rPr>
                <w:rFonts w:hint="eastAsia" w:ascii="宋体" w:hAnsi="宋体" w:eastAsia="宋体" w:cs="宋体"/>
              </w:rPr>
              <w:t>台机器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49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嘉木苑ABC寝室一楼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3台</w:t>
            </w:r>
          </w:p>
        </w:tc>
        <w:tc>
          <w:tcPr>
            <w:tcW w:w="1617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崇德楼一楼大厅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824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望湖楼（待定）</w:t>
            </w:r>
          </w:p>
        </w:tc>
        <w:tc>
          <w:tcPr>
            <w:tcW w:w="1235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241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中标人须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至少</w:t>
            </w:r>
            <w:r>
              <w:rPr>
                <w:rFonts w:hint="eastAsia" w:ascii="宋体" w:hAnsi="宋体" w:eastAsia="宋体" w:cs="宋体"/>
              </w:rPr>
              <w:t>放置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2个点位4</w:t>
            </w:r>
            <w:r>
              <w:rPr>
                <w:rFonts w:hint="eastAsia" w:ascii="宋体" w:hAnsi="宋体" w:eastAsia="宋体" w:cs="宋体"/>
              </w:rPr>
              <w:t>台机器</w:t>
            </w:r>
          </w:p>
        </w:tc>
      </w:tr>
    </w:tbl>
    <w:p>
      <w:pPr>
        <w:rPr>
          <w:rFonts w:hint="eastAsia" w:ascii="宋体" w:hAnsi="宋体" w:eastAsia="宋体" w:cs="宋体"/>
          <w:b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附件十六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自助水果售卖机点位需求</w:t>
      </w:r>
    </w:p>
    <w:tbl>
      <w:tblPr>
        <w:tblStyle w:val="7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1632"/>
        <w:gridCol w:w="1669"/>
        <w:gridCol w:w="1280"/>
        <w:gridCol w:w="2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762" w:type="dxa"/>
            <w:gridSpan w:val="3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点位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数量（台）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安放要求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46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嘉木苑ABC寝室一楼</w:t>
            </w:r>
            <w:r>
              <w:rPr>
                <w:rFonts w:hint="eastAsia" w:ascii="宋体" w:hAnsi="宋体" w:cs="宋体"/>
                <w:color w:val="000000"/>
                <w:vertAlign w:val="baseline"/>
                <w:lang w:val="en-US" w:eastAsia="zh-CN"/>
              </w:rPr>
              <w:t>3台</w:t>
            </w:r>
          </w:p>
        </w:tc>
        <w:tc>
          <w:tcPr>
            <w:tcW w:w="1632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韶华苑AB寝室一楼</w:t>
            </w:r>
            <w:r>
              <w:rPr>
                <w:rFonts w:hint="eastAsia" w:ascii="宋体" w:hAnsi="宋体" w:cs="宋体"/>
                <w:color w:val="000000"/>
                <w:vertAlign w:val="baseline"/>
                <w:lang w:val="en-US" w:eastAsia="zh-CN"/>
              </w:rPr>
              <w:t>2台</w:t>
            </w:r>
          </w:p>
        </w:tc>
        <w:tc>
          <w:tcPr>
            <w:tcW w:w="1669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望湖楼（待定）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中标人须至少放置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2个点位5</w:t>
            </w:r>
            <w:r>
              <w:rPr>
                <w:rFonts w:hint="eastAsia" w:ascii="宋体" w:hAnsi="宋体" w:eastAsia="宋体" w:cs="宋体"/>
              </w:rPr>
              <w:t>台机器</w:t>
            </w:r>
          </w:p>
        </w:tc>
      </w:tr>
    </w:tbl>
    <w:p>
      <w:pPr>
        <w:ind w:left="0" w:leftChars="0" w:firstLine="0" w:firstLineChars="0"/>
        <w:rPr>
          <w:rFonts w:hint="eastAsia"/>
          <w:b/>
        </w:rPr>
        <w:sectPr>
          <w:pgSz w:w="11906" w:h="16838"/>
          <w:pgMar w:top="1440" w:right="1304" w:bottom="1020" w:left="1304" w:header="851" w:footer="992" w:gutter="0"/>
          <w:cols w:space="720" w:num="1"/>
          <w:docGrid w:type="lines" w:linePitch="312" w:charSpace="0"/>
        </w:sectPr>
      </w:pPr>
    </w:p>
    <w:p>
      <w:pPr>
        <w:pStyle w:val="5"/>
        <w:bidi w:val="0"/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十七</w:t>
      </w:r>
      <w:r>
        <w:rPr>
          <w:rFonts w:hint="eastAsia"/>
        </w:rPr>
        <w:t>（</w:t>
      </w:r>
      <w:r>
        <w:t>校区示意图</w:t>
      </w:r>
      <w:r>
        <w:rPr>
          <w:rFonts w:hint="eastAsia"/>
        </w:rPr>
        <w:t>）</w:t>
      </w:r>
    </w:p>
    <w:p>
      <w:pPr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8073390" cy="4887595"/>
            <wp:effectExtent l="0" t="0" r="3810" b="8255"/>
            <wp:docPr id="9" name="图片 9" descr="16026464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264640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7339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61AEB"/>
    <w:rsid w:val="1D5359AA"/>
    <w:rsid w:val="4276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jc w:val="center"/>
      <w:outlineLvl w:val="0"/>
    </w:pPr>
    <w:rPr>
      <w:rFonts w:ascii="Times New Roman" w:hAnsi="Times New Roman" w:eastAsia="黑体"/>
      <w:b/>
      <w:bCs/>
      <w:sz w:val="36"/>
    </w:rPr>
  </w:style>
  <w:style w:type="paragraph" w:styleId="4">
    <w:name w:val="heading 2"/>
    <w:basedOn w:val="1"/>
    <w:next w:val="1"/>
    <w:qFormat/>
    <w:uiPriority w:val="0"/>
    <w:pPr>
      <w:keepNext/>
      <w:keepLines/>
      <w:ind w:firstLine="0" w:firstLineChars="0"/>
      <w:jc w:val="left"/>
      <w:outlineLvl w:val="1"/>
    </w:pPr>
    <w:rPr>
      <w:rFonts w:ascii="Cambria" w:hAnsi="Cambria"/>
      <w:b/>
      <w:bCs/>
      <w:sz w:val="28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ind w:firstLine="0" w:firstLineChars="0"/>
      <w:outlineLvl w:val="2"/>
    </w:pPr>
    <w:rPr>
      <w:b/>
      <w:bCs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unhideWhenUsed/>
    <w:qFormat/>
    <w:uiPriority w:val="0"/>
    <w:pPr>
      <w:widowControl/>
      <w:autoSpaceDE w:val="0"/>
      <w:autoSpaceDN w:val="0"/>
      <w:snapToGrid w:val="0"/>
      <w:spacing w:before="120" w:line="400" w:lineRule="atLeast"/>
      <w:ind w:firstLine="570" w:firstLineChars="0"/>
    </w:pPr>
    <w:rPr>
      <w:rFonts w:ascii="宋体" w:hAnsi="Times New Roman"/>
      <w:kern w:val="0"/>
      <w:szCs w:val="20"/>
    </w:rPr>
  </w:style>
  <w:style w:type="paragraph" w:styleId="6">
    <w:name w:val="Plain Text"/>
    <w:basedOn w:val="1"/>
    <w:unhideWhenUsed/>
    <w:qFormat/>
    <w:uiPriority w:val="0"/>
    <w:pPr>
      <w:spacing w:line="240" w:lineRule="auto"/>
      <w:ind w:firstLine="0" w:firstLineChars="0"/>
    </w:pPr>
    <w:rPr>
      <w:rFonts w:ascii="宋体" w:hAnsi="Courier New"/>
      <w:sz w:val="21"/>
      <w:szCs w:val="20"/>
    </w:rPr>
  </w:style>
  <w:style w:type="character" w:customStyle="1" w:styleId="9">
    <w:name w:val="标题 1 字符"/>
    <w:link w:val="3"/>
    <w:uiPriority w:val="0"/>
    <w:rPr>
      <w:rFonts w:ascii="Times New Roman" w:hAnsi="Times New Roman" w:eastAsia="黑体"/>
      <w:b/>
      <w:bCs/>
      <w:kern w:val="2"/>
      <w:sz w:val="36"/>
      <w:szCs w:val="24"/>
      <w:lang w:val="en-US" w:eastAsia="zh-CN" w:bidi="ar-SA"/>
    </w:rPr>
  </w:style>
  <w:style w:type="paragraph" w:customStyle="1" w:styleId="10">
    <w:name w:val="正文2"/>
    <w:basedOn w:val="1"/>
    <w:qFormat/>
    <w:uiPriority w:val="0"/>
    <w:pPr>
      <w:spacing w:before="156" w:line="360" w:lineRule="auto"/>
      <w:ind w:firstLine="510" w:firstLineChars="200"/>
    </w:pPr>
    <w:rPr>
      <w:kern w:val="0"/>
      <w:sz w:val="24"/>
    </w:rPr>
  </w:style>
  <w:style w:type="paragraph" w:customStyle="1" w:styleId="11">
    <w:name w:val="Default"/>
    <w:next w:val="12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customStyle="1" w:styleId="12">
    <w:name w:val="目录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2020-11-18T08:39:00Z</dcterms:created>
  <dc:creator>TZ</dc:creator>
  <cp:lastModifiedBy>TZ</cp:lastModifiedBy>
  <dcterms:modified xsi:type="dcterms:W3CDTF">2020-11-18T08:41:22Z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