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一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商务条款</w:t>
      </w:r>
    </w:p>
    <w:p>
      <w:pPr>
        <w:rPr>
          <w:color w:val="auto"/>
          <w:highlight w:val="none"/>
        </w:rPr>
      </w:pPr>
    </w:p>
    <w:tbl>
      <w:tblPr>
        <w:tblStyle w:val="5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期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宋体" w:eastAsia="宋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1年。响应时间：365天，7*24小时，2小时内到达现场。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付款方式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</w:rPr>
              <w:t>第一次付款：合同签订后5日内，乙方凭甲方签字盖章的支付通知书向甲方办理合同总价80%的维保服务款结算手续；</w:t>
            </w:r>
          </w:p>
          <w:p>
            <w:pPr>
              <w:spacing w:line="288" w:lineRule="auto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</w:rPr>
              <w:t>第二次付款：合同期满后，维保服务良好，经评价验收合格，乙方凭甲方签字盖章的支付通知书办理合同总价20％的维保服务款结算手续。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履约保证金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</w:rPr>
              <w:t>合同总价的5%作为履约保证金，合同签订后七个工作日内由成交供应商交入采购人账户，在服务期结束确认成交供应商无违约行为后无息返还给成交供应商（遇寒暑假及国定假日顺延）。</w:t>
            </w:r>
          </w:p>
        </w:tc>
      </w:tr>
    </w:tbl>
    <w:p>
      <w:pPr>
        <w:bidi w:val="0"/>
        <w:rPr>
          <w:rStyle w:val="7"/>
          <w:rFonts w:hint="eastAsia" w:cs="宋体"/>
          <w:color w:val="auto"/>
          <w:szCs w:val="40"/>
          <w:highlight w:val="none"/>
        </w:rPr>
      </w:pPr>
    </w:p>
    <w:p>
      <w:pPr>
        <w:pStyle w:val="3"/>
        <w:bidi w:val="0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  <w:lang w:val="en-US" w:eastAsia="zh-CN"/>
        </w:rPr>
        <w:t>二</w:t>
      </w:r>
      <w:r>
        <w:rPr>
          <w:rFonts w:hint="eastAsia"/>
          <w:bCs/>
          <w:color w:val="auto"/>
          <w:highlight w:val="none"/>
        </w:rPr>
        <w:t>、</w:t>
      </w:r>
      <w:r>
        <w:rPr>
          <w:rFonts w:hint="eastAsia"/>
          <w:bCs/>
          <w:color w:val="auto"/>
          <w:highlight w:val="none"/>
          <w:lang w:val="en-US" w:eastAsia="zh-CN"/>
        </w:rPr>
        <w:t>具体</w:t>
      </w:r>
      <w:r>
        <w:rPr>
          <w:rFonts w:hint="eastAsia"/>
          <w:bCs/>
          <w:color w:val="auto"/>
          <w:highlight w:val="none"/>
        </w:rPr>
        <w:t>要求</w:t>
      </w:r>
    </w:p>
    <w:p>
      <w:pPr>
        <w:pStyle w:val="4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1、采购内容及技术要求：</w:t>
      </w:r>
    </w:p>
    <w:tbl>
      <w:tblPr>
        <w:tblStyle w:val="5"/>
        <w:tblW w:w="4993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20"/>
        <w:gridCol w:w="576"/>
        <w:gridCol w:w="546"/>
        <w:gridCol w:w="5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62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951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维保设备名称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32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302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技术要求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精密空调</w:t>
            </w:r>
          </w:p>
        </w:tc>
        <w:tc>
          <w:tcPr>
            <w:tcW w:w="33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320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3026" w:type="pc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包括富春校区信息机房8套精密空调一年的巡检及维护；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包含空调进出水管的养护及相关线路的维护；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要求一年不少于4次例行检测，不少于2次过滤网清灰；夏季室外机冲洗保证一个月一次；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每次例行监测需提供详细的巡检报告；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精密空调运行数据与综合监控管理平台无缝集成；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服务响应时间为365天-7*24小时的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小时内到达现场要求。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5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U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PS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主机</w:t>
            </w:r>
          </w:p>
        </w:tc>
        <w:tc>
          <w:tcPr>
            <w:tcW w:w="33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20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3026" w:type="pc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包括富春校区信息机房2套UPS主机一年的巡检及维护；包含进出电缆及空气开关的养护及相关线路的维护；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要求一年不少于4次例行检测，经用户确认后进行放电测试；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每次例行监测需提供详细的巡检报告；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▲U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PS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主机运行数据与综合监控管理平台无缝集成；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服务响应时间为365天-7*24小时的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小时内到达现场要求。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95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机房综合监控管理系统</w:t>
            </w:r>
          </w:p>
        </w:tc>
        <w:tc>
          <w:tcPr>
            <w:tcW w:w="338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20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3026" w:type="pc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包括机房综合监控管理系统涉及的所有软件、硬件的一年的巡检及维护；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包括所有传感器（包括所有温湿度传感器、烟雾传感器、智能电量仪、漏水传感器及其主机等）的维护保养；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所有智能设备监测量（如配电质量的监测数据、精密空调运行状态监测数据、UPS运行状态监测数据、电池状态监测数据）的维护和矫正；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维护系统运行的自检模块，实现系统运行状态的自我检测，实现设定自检周期并发送短信通知管理员系统当前状态；并提供由原厂盖章的实现自检功能的技术说明文件。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提供详细的系统构架图，要求正确体现所有监测对象的内容及其具体数据；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机房综合监控管理系统告警数据与甲方消息中心平台无缝集成；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服务响应时间为365天-7*24小时的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小时内到达现场要求。</w:t>
            </w:r>
          </w:p>
        </w:tc>
      </w:tr>
    </w:tbl>
    <w:p>
      <w:pPr>
        <w:bidi w:val="0"/>
        <w:rPr>
          <w:rFonts w:hint="eastAsia"/>
          <w:color w:val="auto"/>
          <w:highlight w:val="none"/>
        </w:rPr>
      </w:pPr>
    </w:p>
    <w:p>
      <w:pPr>
        <w:pStyle w:val="4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2、服务范围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2.1、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提供对前述条款指定的设备进行定期维护和不定期故障排除服务，以保证设备正常运行。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2.2、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对设备进行的定期维护检查频次应保持每季度一次，即每年四次，并在每次维护检查的前三天通知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作好准备并提供相应帮助。在每次保养结束后两周内提供巡检报告。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2.3、设备如出现故障需要维修，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提供7*24小时故障排除服务；若需更换相关主配件的，其费用均包含在合同总价中，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应免费提供。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2.4、当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收到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说明故障现象的通知（信件、电报、传真或电话）后，立即派一名经厂家认证的工程师到现场去排除故障。在不影响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正常工作的情况下，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应在</w:t>
      </w: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小时内赶到现场。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2.5、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应对投保方的有关人员进行不间断的、必要的培训。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2.6、上述服务所产生的费用（包括巡检劳务费、运费和旅差费等）均已包含在年保服务费之中，不再另行收取。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2.7、每年的年保服务费用不包括以下项目，若发生后，应分别列出由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Cs w:val="21"/>
          <w:highlight w:val="none"/>
        </w:rPr>
        <w:t>另行支付（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Cs w:val="21"/>
          <w:highlight w:val="none"/>
        </w:rPr>
        <w:t>将提供服务并按优惠价格进行收费）：</w:t>
      </w:r>
    </w:p>
    <w:p>
      <w:pPr>
        <w:spacing w:line="360" w:lineRule="auto"/>
        <w:ind w:firstLine="57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*安装场地的变动；</w:t>
      </w:r>
    </w:p>
    <w:p>
      <w:pPr>
        <w:spacing w:line="360" w:lineRule="auto"/>
        <w:ind w:firstLine="57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*设备的迁移；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8084A"/>
    <w:rsid w:val="1CE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2020-10-27T02:30:00Z</dcterms:created>
  <dc:creator>TZ</dc:creator>
  <cp:lastModifiedBy>TZ</cp:lastModifiedBy>
  <dcterms:modified xsi:type="dcterms:W3CDTF">2020-10-27T02:30:46Z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