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highlight w:val="none"/>
        </w:rPr>
      </w:pPr>
      <w:bookmarkStart w:id="0" w:name="_Toc233618985"/>
      <w:r>
        <w:rPr>
          <w:rFonts w:hint="eastAsia"/>
          <w:highlight w:val="none"/>
        </w:rPr>
        <w:t>一、技术要求</w:t>
      </w:r>
    </w:p>
    <w:p>
      <w:pPr>
        <w:spacing w:line="440" w:lineRule="exact"/>
        <w:ind w:firstLine="480"/>
        <w:rPr>
          <w:rStyle w:val="8"/>
          <w:rFonts w:ascii="宋体" w:hAnsi="宋体"/>
          <w:szCs w:val="21"/>
          <w:highlight w:val="none"/>
        </w:rPr>
      </w:pPr>
      <w:r>
        <w:rPr>
          <w:rStyle w:val="8"/>
          <w:rFonts w:ascii="宋体" w:hAnsi="宋体"/>
          <w:szCs w:val="21"/>
          <w:highlight w:val="none"/>
        </w:rPr>
        <w:t>供货所提供软件必须是正版软件，不得侵犯第三方知识产权。软件模块需要实现以下功能：系统设置、计划管理、采购管理、库存管理、供应管理、成本核算、供应商管理、查询统计、财务管理、上级查询。具体功能模块需求如下：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62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功能要求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技术参数要求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系统设置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实现对商品代码、部门代码、餐厅代码及供应商与部门采购商品的对应关系、用户权限等设置。包括：商品设置、部门设置、商品供货商设置、审批级别设置、操作用户设置、新商品名称申请、部门员工信息设置、历史库存管理、通知管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计划管理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用于实现各部门将需要采购的物品提前向采购部门申报采购计划。包括采购计划申请、采购计划提交、采购计划审批、采购计划查询汇总等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采购管理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对采购业务的全部流程进行管理。系统根据各部门提交的采购订单，按系统设定的供应商和采购价格分类生成采购订单，下达订单给供应商并跟踪订单验货、收货审核的执行情况，打印收货单等。主要功能包括：采购单生成、采购单下达、采购收货、收货审核、计划申请单查询、采购订单查询、收货单查询、按供应商汇总、商品调价、商品调价审核、已收货商品调价申请、已收货商品调价审核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库存管理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实现对库存商品的查询、统计和部门之间的商品物资调拨等功能。库存管理可对各类商品的库存情况及进货、供应、库存进行实时监控、跟踪和追溯。包括：总库存查询、部门库存查询、库存调拨申请、库存调拨入库审核、调拨单查询、商品退货申请、商品退货审核、退货单查询、库存盘盈录入、库存盘盈审核、库存报损登记、报损单查询、库存报损审核、生产日期、保质期等索证资料录入、最低、最高库存等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76" w:lineRule="auto"/>
              <w:ind w:firstLine="0" w:firstLineChars="0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供应管理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对部门采购入库后的物资从仓库流向各使用</w:t>
            </w:r>
            <w:r>
              <w:rPr>
                <w:rStyle w:val="9"/>
                <w:rFonts w:hint="eastAsia"/>
                <w:bCs/>
                <w:highlight w:val="none"/>
              </w:rPr>
              <w:t>部门</w:t>
            </w:r>
            <w:r>
              <w:rPr>
                <w:rStyle w:val="9"/>
                <w:bCs/>
                <w:highlight w:val="none"/>
              </w:rPr>
              <w:t>的过程管理，包括：领用申请、</w:t>
            </w:r>
            <w:r>
              <w:rPr>
                <w:rStyle w:val="9"/>
                <w:rFonts w:hint="eastAsia"/>
                <w:bCs/>
                <w:highlight w:val="none"/>
              </w:rPr>
              <w:t>部门</w:t>
            </w:r>
            <w:r>
              <w:rPr>
                <w:rStyle w:val="9"/>
                <w:bCs/>
                <w:highlight w:val="none"/>
              </w:rPr>
              <w:t>退库申请、供应出库、供应查询等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成本核算管理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系统自动进行各</w:t>
            </w:r>
            <w:r>
              <w:rPr>
                <w:rStyle w:val="9"/>
                <w:rFonts w:hint="eastAsia"/>
                <w:bCs/>
                <w:highlight w:val="none"/>
              </w:rPr>
              <w:t>餐厅</w:t>
            </w:r>
            <w:r>
              <w:rPr>
                <w:rStyle w:val="9"/>
                <w:bCs/>
                <w:highlight w:val="none"/>
              </w:rPr>
              <w:t>及部门的日报、月报和成本核算表的生成，便于部门领导及时掌握</w:t>
            </w:r>
            <w:r>
              <w:rPr>
                <w:rStyle w:val="9"/>
                <w:rFonts w:hint="eastAsia"/>
                <w:bCs/>
                <w:highlight w:val="none"/>
              </w:rPr>
              <w:t>本部门</w:t>
            </w:r>
            <w:r>
              <w:rPr>
                <w:rStyle w:val="9"/>
                <w:bCs/>
                <w:highlight w:val="none"/>
              </w:rPr>
              <w:t>发生成本情况。包括：</w:t>
            </w:r>
            <w:r>
              <w:rPr>
                <w:rStyle w:val="9"/>
                <w:rFonts w:hint="eastAsia"/>
                <w:bCs/>
                <w:highlight w:val="none"/>
              </w:rPr>
              <w:t>餐厅</w:t>
            </w:r>
            <w:r>
              <w:rPr>
                <w:rStyle w:val="9"/>
                <w:bCs/>
                <w:highlight w:val="none"/>
              </w:rPr>
              <w:t>成本日报登记、</w:t>
            </w:r>
            <w:r>
              <w:rPr>
                <w:rStyle w:val="9"/>
                <w:rFonts w:hint="eastAsia"/>
                <w:bCs/>
                <w:highlight w:val="none"/>
              </w:rPr>
              <w:t>餐厅</w:t>
            </w:r>
            <w:r>
              <w:rPr>
                <w:rStyle w:val="9"/>
                <w:bCs/>
                <w:highlight w:val="none"/>
              </w:rPr>
              <w:t>成本日报审核、</w:t>
            </w:r>
            <w:r>
              <w:rPr>
                <w:rStyle w:val="9"/>
                <w:rFonts w:hint="eastAsia"/>
                <w:bCs/>
                <w:highlight w:val="none"/>
              </w:rPr>
              <w:t>餐厅</w:t>
            </w:r>
            <w:r>
              <w:rPr>
                <w:rStyle w:val="9"/>
                <w:bCs/>
                <w:highlight w:val="none"/>
              </w:rPr>
              <w:t>成本月报登记、</w:t>
            </w:r>
            <w:r>
              <w:rPr>
                <w:rStyle w:val="9"/>
                <w:rFonts w:hint="eastAsia"/>
                <w:bCs/>
                <w:highlight w:val="none"/>
              </w:rPr>
              <w:t>餐厅</w:t>
            </w:r>
            <w:r>
              <w:rPr>
                <w:rStyle w:val="9"/>
                <w:bCs/>
                <w:highlight w:val="none"/>
              </w:rPr>
              <w:t>成本月报审核、部门成本月报登记、部门成本月报审核、</w:t>
            </w:r>
            <w:r>
              <w:rPr>
                <w:rStyle w:val="9"/>
                <w:rFonts w:hint="eastAsia"/>
                <w:bCs/>
                <w:highlight w:val="none"/>
              </w:rPr>
              <w:t>餐厅</w:t>
            </w:r>
            <w:r>
              <w:rPr>
                <w:rStyle w:val="9"/>
                <w:bCs/>
                <w:highlight w:val="none"/>
              </w:rPr>
              <w:t>成本查询、部门成本查询、部门成本明细登记、部门成本明细审核、部门调拨成本统计等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76" w:lineRule="auto"/>
              <w:ind w:firstLine="0" w:firstLineChars="0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供应商档案管理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对供应商的档案信息进行登记、修改、查询等管理操作。包括： 供应商信息管理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76" w:lineRule="auto"/>
              <w:ind w:firstLine="0" w:firstLineChars="0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查询统计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对采购、供应、库存进行各项数据的统计分析，并形成各类报表，可以帮助用户从不同的角度、不同的层面、不同时段来观察、分析数据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帐务管理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对采购订单结算、付款登记及查询、部门成本收支核算，核算部门的入库成本、出库成本、结余成本。包括：送货结算单登记、送货结算单审核、送货结算单查询、送货结算付款登记、送货结算付款查询、采购成本统计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ind w:firstLine="0" w:firstLineChars="0"/>
              <w:jc w:val="center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pacing w:line="276" w:lineRule="auto"/>
              <w:ind w:firstLine="0" w:firstLineChars="0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上级查询</w:t>
            </w:r>
          </w:p>
        </w:tc>
        <w:tc>
          <w:tcPr>
            <w:tcW w:w="6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0" w:firstLineChars="0"/>
              <w:jc w:val="left"/>
              <w:textAlignment w:val="center"/>
              <w:rPr>
                <w:rStyle w:val="9"/>
                <w:bCs/>
                <w:highlight w:val="none"/>
              </w:rPr>
            </w:pPr>
            <w:r>
              <w:rPr>
                <w:rStyle w:val="9"/>
                <w:bCs/>
                <w:highlight w:val="none"/>
              </w:rPr>
              <w:t>提供上级部门随时查询和分析综合数据，以掌握整个部门的采供状况和资金往来情况，便于领导层对采供活动进行考核和稽查。</w:t>
            </w:r>
          </w:p>
        </w:tc>
      </w:tr>
    </w:tbl>
    <w:p>
      <w:pPr>
        <w:ind w:firstLine="482"/>
        <w:rPr>
          <w:rStyle w:val="8"/>
          <w:rFonts w:ascii="宋体"/>
          <w:b/>
          <w:szCs w:val="21"/>
          <w:highlight w:val="none"/>
        </w:rPr>
      </w:pPr>
    </w:p>
    <w:p>
      <w:pPr>
        <w:pStyle w:val="5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二、软件实施技术及服务要求</w:t>
      </w:r>
    </w:p>
    <w:p>
      <w:pPr>
        <w:spacing w:line="288" w:lineRule="auto"/>
        <w:ind w:firstLine="482"/>
        <w:rPr>
          <w:rStyle w:val="8"/>
          <w:rFonts w:ascii="宋体"/>
          <w:b/>
          <w:szCs w:val="21"/>
          <w:highlight w:val="none"/>
        </w:rPr>
      </w:pPr>
      <w:r>
        <w:rPr>
          <w:rStyle w:val="8"/>
          <w:rFonts w:ascii="宋体"/>
          <w:b/>
          <w:szCs w:val="21"/>
          <w:highlight w:val="none"/>
        </w:rPr>
        <w:t>1.实施技术要求：</w:t>
      </w:r>
    </w:p>
    <w:p>
      <w:pPr>
        <w:spacing w:line="288" w:lineRule="auto"/>
        <w:ind w:firstLine="48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（1）负责软件产品的安装、调试；</w:t>
      </w:r>
    </w:p>
    <w:p>
      <w:pPr>
        <w:spacing w:line="288" w:lineRule="auto"/>
        <w:ind w:firstLine="48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（2）负责商品代码、供应商代码及部门代码等初始化设置；</w:t>
      </w:r>
    </w:p>
    <w:p>
      <w:pPr>
        <w:spacing w:line="288" w:lineRule="auto"/>
        <w:ind w:firstLine="48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（3）协助用户方完成操作员权限代码设置；</w:t>
      </w:r>
    </w:p>
    <w:p>
      <w:pPr>
        <w:spacing w:line="288" w:lineRule="auto"/>
        <w:ind w:firstLine="48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（4）协助用户方完成历史库存初始化设置；</w:t>
      </w:r>
    </w:p>
    <w:p>
      <w:pPr>
        <w:spacing w:line="288" w:lineRule="auto"/>
        <w:ind w:firstLine="48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（5）负责对软件操作人员进行集中操作培训；</w:t>
      </w:r>
    </w:p>
    <w:p>
      <w:pPr>
        <w:spacing w:line="288" w:lineRule="auto"/>
        <w:ind w:firstLine="48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（6）软件试运行期间的必须安排技术人员现场指导；</w:t>
      </w:r>
    </w:p>
    <w:p>
      <w:pPr>
        <w:spacing w:line="288" w:lineRule="auto"/>
        <w:ind w:firstLine="48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</w:t>
      </w:r>
      <w:r>
        <w:rPr>
          <w:rStyle w:val="8"/>
          <w:rFonts w:hint="eastAsia" w:ascii="宋体"/>
          <w:szCs w:val="21"/>
          <w:highlight w:val="none"/>
        </w:rPr>
        <w:t>7</w:t>
      </w:r>
      <w:r>
        <w:rPr>
          <w:rStyle w:val="8"/>
          <w:rFonts w:ascii="宋体"/>
          <w:szCs w:val="21"/>
          <w:highlight w:val="none"/>
        </w:rPr>
        <w:t>）</w:t>
      </w:r>
      <w:r>
        <w:rPr>
          <w:rStyle w:val="8"/>
          <w:rFonts w:hint="eastAsia" w:ascii="宋体"/>
          <w:szCs w:val="21"/>
          <w:highlight w:val="none"/>
        </w:rPr>
        <w:t>在手机、pad等移动端上具有良好使用效果，做好适配。</w:t>
      </w:r>
    </w:p>
    <w:p>
      <w:pPr>
        <w:spacing w:line="288" w:lineRule="auto"/>
        <w:ind w:firstLine="482"/>
        <w:rPr>
          <w:rStyle w:val="8"/>
          <w:rFonts w:ascii="宋体"/>
          <w:b/>
          <w:szCs w:val="21"/>
          <w:highlight w:val="none"/>
        </w:rPr>
      </w:pPr>
      <w:r>
        <w:rPr>
          <w:rStyle w:val="8"/>
          <w:rFonts w:ascii="宋体"/>
          <w:b/>
          <w:szCs w:val="21"/>
          <w:highlight w:val="none"/>
        </w:rPr>
        <w:t>2.服务要求：</w:t>
      </w:r>
    </w:p>
    <w:p>
      <w:pPr>
        <w:snapToGrid w:val="0"/>
        <w:ind w:firstLine="480"/>
        <w:rPr>
          <w:rStyle w:val="9"/>
          <w:sz w:val="18"/>
          <w:szCs w:val="18"/>
          <w:highlight w:val="none"/>
        </w:rPr>
      </w:pPr>
      <w:r>
        <w:rPr>
          <w:rStyle w:val="8"/>
          <w:rFonts w:ascii="宋体"/>
          <w:szCs w:val="21"/>
          <w:highlight w:val="none"/>
        </w:rPr>
        <w:t>（1）响应时间：</w:t>
      </w:r>
      <w:r>
        <w:rPr>
          <w:rStyle w:val="8"/>
          <w:szCs w:val="21"/>
          <w:highlight w:val="none"/>
        </w:rPr>
        <w:t>质保期内，必须提供及时响应服务，保证系统的正常运行、日常数据备份等工作，及时解决项目运行过程中发生的各类故障。免费维护期内提供5*8小时在线技术服务以及7*24小时的电话服务。如遇重大或紧急问题，通过电话或远程无法解决的，在接到用户报修后2小时内，工程技术人员必须到达用户现场提供服务。供应商应在响应文件中明确用户提出维修后的响应时间（到达用户时间）。</w:t>
      </w:r>
    </w:p>
    <w:p>
      <w:pPr>
        <w:spacing w:line="288" w:lineRule="auto"/>
        <w:ind w:firstLine="360" w:firstLineChars="15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（2）项目实施要求：在项目实施期限内，应安排足够的技术实施力量，开展应用系统的部署。</w:t>
      </w:r>
    </w:p>
    <w:p>
      <w:pPr>
        <w:spacing w:line="288" w:lineRule="auto"/>
        <w:ind w:firstLine="360" w:firstLineChars="150"/>
        <w:rPr>
          <w:rStyle w:val="8"/>
          <w:rFonts w:ascii="宋体"/>
          <w:szCs w:val="21"/>
          <w:highlight w:val="none"/>
        </w:rPr>
      </w:pPr>
      <w:r>
        <w:rPr>
          <w:rStyle w:val="8"/>
          <w:rFonts w:ascii="宋体"/>
          <w:szCs w:val="21"/>
          <w:highlight w:val="none"/>
        </w:rPr>
        <w:t>（3）免费培训要求：应针对采购方操作人员提供培训，确保使用人员能熟练掌握和使用系统业务应用，保证系统验收移交后，采购方能够胜任系统的全部运行、操作、维护。</w:t>
      </w:r>
    </w:p>
    <w:p>
      <w:pPr>
        <w:spacing w:line="288" w:lineRule="auto"/>
        <w:ind w:firstLine="482"/>
        <w:rPr>
          <w:rStyle w:val="8"/>
          <w:rFonts w:ascii="宋体" w:hAnsi="宋体"/>
          <w:b/>
          <w:szCs w:val="21"/>
          <w:highlight w:val="none"/>
        </w:rPr>
      </w:pPr>
      <w:r>
        <w:rPr>
          <w:rStyle w:val="8"/>
          <w:rFonts w:ascii="宋体" w:hAnsi="宋体"/>
          <w:b/>
          <w:szCs w:val="21"/>
          <w:highlight w:val="none"/>
        </w:rPr>
        <w:t>三、其他要求</w:t>
      </w:r>
    </w:p>
    <w:p>
      <w:pPr>
        <w:pStyle w:val="10"/>
        <w:spacing w:line="440" w:lineRule="exact"/>
        <w:ind w:firstLine="240" w:firstLineChars="100"/>
        <w:rPr>
          <w:rStyle w:val="8"/>
          <w:rFonts w:ascii="Times New Roman" w:hAnsi="Times New Roman"/>
          <w:bCs/>
          <w:spacing w:val="-6"/>
          <w:highlight w:val="none"/>
        </w:rPr>
      </w:pPr>
      <w:r>
        <w:rPr>
          <w:rStyle w:val="8"/>
          <w:rFonts w:ascii="宋体"/>
          <w:highlight w:val="none"/>
        </w:rPr>
        <w:t>（1）</w:t>
      </w:r>
      <w:r>
        <w:rPr>
          <w:rStyle w:val="8"/>
          <w:rFonts w:ascii="Times New Roman" w:hAnsi="Times New Roman"/>
          <w:bCs/>
          <w:spacing w:val="-6"/>
          <w:highlight w:val="none"/>
        </w:rPr>
        <w:t>产品应采用符合J2EE规范的多层架构，软件产品符合开放的、构件化、面向对象、可灵活扩展的多层架构体系规范，同时具有较高的安全性。</w:t>
      </w:r>
    </w:p>
    <w:p>
      <w:pPr>
        <w:pStyle w:val="10"/>
        <w:spacing w:line="440" w:lineRule="exact"/>
        <w:ind w:firstLine="240" w:firstLineChars="100"/>
        <w:rPr>
          <w:rStyle w:val="8"/>
          <w:rFonts w:ascii="Times New Roman" w:hAnsi="Times New Roman"/>
          <w:bCs/>
          <w:spacing w:val="-6"/>
          <w:highlight w:val="none"/>
        </w:rPr>
      </w:pPr>
      <w:r>
        <w:rPr>
          <w:rStyle w:val="8"/>
          <w:rFonts w:ascii="宋体"/>
          <w:highlight w:val="none"/>
        </w:rPr>
        <w:t>（2）</w:t>
      </w:r>
      <w:r>
        <w:rPr>
          <w:rStyle w:val="8"/>
          <w:rFonts w:ascii="Times New Roman" w:hAnsi="Times New Roman"/>
          <w:bCs/>
          <w:spacing w:val="-6"/>
          <w:highlight w:val="none"/>
        </w:rPr>
        <w:t>系统开发基于B/S模式，应采用Java、JSP、HTML、JavascriptJ2EE等主流语言。</w:t>
      </w:r>
    </w:p>
    <w:p>
      <w:pPr>
        <w:pStyle w:val="10"/>
        <w:spacing w:line="440" w:lineRule="exact"/>
        <w:ind w:firstLine="240" w:firstLineChars="100"/>
        <w:rPr>
          <w:rStyle w:val="8"/>
          <w:rFonts w:ascii="Times New Roman" w:hAnsi="Times New Roman"/>
          <w:bCs/>
          <w:spacing w:val="-6"/>
          <w:highlight w:val="none"/>
        </w:rPr>
      </w:pPr>
      <w:r>
        <w:rPr>
          <w:rStyle w:val="8"/>
          <w:rFonts w:ascii="宋体"/>
          <w:highlight w:val="none"/>
        </w:rPr>
        <w:t>（3）</w:t>
      </w:r>
      <w:r>
        <w:rPr>
          <w:rStyle w:val="8"/>
          <w:rFonts w:ascii="Times New Roman" w:hAnsi="Times New Roman"/>
          <w:bCs/>
          <w:spacing w:val="-6"/>
          <w:highlight w:val="none"/>
        </w:rPr>
        <w:t>所提供的产品必须是成熟可用的，具有版本兼容性，可平滑升级；同时具有开放性、通用性、安全性、可扩展性等特点。</w:t>
      </w:r>
    </w:p>
    <w:p>
      <w:pPr>
        <w:pStyle w:val="10"/>
        <w:spacing w:line="440" w:lineRule="exact"/>
        <w:ind w:firstLine="240" w:firstLineChars="100"/>
        <w:rPr>
          <w:rStyle w:val="8"/>
          <w:rFonts w:ascii="Times New Roman" w:hAnsi="Times New Roman"/>
          <w:bCs/>
          <w:spacing w:val="-6"/>
          <w:highlight w:val="none"/>
        </w:rPr>
      </w:pPr>
      <w:r>
        <w:rPr>
          <w:rStyle w:val="8"/>
          <w:rFonts w:ascii="宋体"/>
          <w:highlight w:val="none"/>
        </w:rPr>
        <w:t>（4）</w:t>
      </w:r>
      <w:r>
        <w:rPr>
          <w:rStyle w:val="8"/>
          <w:rFonts w:ascii="Times New Roman" w:hAnsi="Times New Roman"/>
          <w:bCs/>
          <w:spacing w:val="-6"/>
          <w:highlight w:val="none"/>
        </w:rPr>
        <w:t>系统运行环境支持：服务器端须支持Windows2008及以上版本、支持目前主流操作系统；客户端须支持IE 8以上多版本浏览器访问；并支持Firefox、Google Chrome、Apple Safari等非IE内核的浏览器。</w:t>
      </w:r>
    </w:p>
    <w:p>
      <w:pPr>
        <w:pStyle w:val="10"/>
        <w:spacing w:line="440" w:lineRule="exact"/>
        <w:ind w:firstLine="228" w:firstLineChars="100"/>
        <w:rPr>
          <w:rStyle w:val="8"/>
          <w:rFonts w:ascii="Times New Roman" w:hAnsi="Times New Roman"/>
          <w:bCs/>
          <w:spacing w:val="-6"/>
          <w:highlight w:val="none"/>
        </w:rPr>
      </w:pPr>
    </w:p>
    <w:bookmarkEnd w:id="0"/>
    <w:p>
      <w:pPr>
        <w:pStyle w:val="5"/>
        <w:rPr>
          <w:highlight w:val="none"/>
        </w:rPr>
      </w:pPr>
      <w:r>
        <w:rPr>
          <w:rFonts w:hint="eastAsia" w:ascii="宋体" w:hAnsi="宋体" w:cs="宋体"/>
          <w:bCs/>
          <w:kern w:val="0"/>
          <w:szCs w:val="21"/>
          <w:highlight w:val="none"/>
        </w:rPr>
        <w:t>★</w:t>
      </w:r>
      <w:r>
        <w:rPr>
          <w:rFonts w:hint="eastAsia"/>
          <w:highlight w:val="none"/>
        </w:rPr>
        <w:t>三、商务条款</w:t>
      </w:r>
    </w:p>
    <w:p>
      <w:pPr>
        <w:numPr>
          <w:ilvl w:val="0"/>
          <w:numId w:val="0"/>
        </w:numPr>
        <w:rPr>
          <w:rFonts w:hint="eastAsia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1.交货期：</w:t>
      </w:r>
    </w:p>
    <w:p>
      <w:pPr>
        <w:numPr>
          <w:ilvl w:val="0"/>
          <w:numId w:val="0"/>
        </w:numPr>
        <w:ind w:firstLine="480" w:firstLineChars="200"/>
        <w:rPr>
          <w:highlight w:val="none"/>
        </w:rPr>
      </w:pPr>
      <w:r>
        <w:rPr>
          <w:rFonts w:hint="eastAsia"/>
          <w:highlight w:val="none"/>
        </w:rPr>
        <w:t>合同签订之日起一个月内。</w:t>
      </w:r>
    </w:p>
    <w:p>
      <w:pPr>
        <w:numPr>
          <w:ilvl w:val="0"/>
          <w:numId w:val="0"/>
        </w:numPr>
        <w:rPr>
          <w:rFonts w:hint="eastAsia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2.履约质量保证金：</w:t>
      </w:r>
    </w:p>
    <w:p>
      <w:pPr>
        <w:rPr>
          <w:rFonts w:hint="eastAsia"/>
          <w:snapToGrid w:val="0"/>
          <w:kern w:val="0"/>
          <w:highlight w:val="none"/>
        </w:rPr>
      </w:pPr>
      <w:r>
        <w:rPr>
          <w:rFonts w:hint="eastAsia"/>
          <w:highlight w:val="none"/>
        </w:rPr>
        <w:t>中标人须于合同签订后</w:t>
      </w:r>
      <w:r>
        <w:rPr>
          <w:rFonts w:hint="eastAsia"/>
          <w:snapToGrid w:val="0"/>
          <w:kern w:val="0"/>
          <w:highlight w:val="none"/>
          <w:lang w:val="en-US" w:eastAsia="zh-CN"/>
        </w:rPr>
        <w:t>15</w:t>
      </w:r>
      <w:r>
        <w:rPr>
          <w:rFonts w:hint="eastAsia"/>
          <w:snapToGrid w:val="0"/>
          <w:kern w:val="0"/>
          <w:highlight w:val="none"/>
        </w:rPr>
        <w:t>日内</w:t>
      </w:r>
      <w:r>
        <w:rPr>
          <w:rFonts w:hint="eastAsia"/>
          <w:highlight w:val="none"/>
        </w:rPr>
        <w:t>向采购人支付合同总价5%的履约保证金，履约保证金在交货验收后自动转为质量保证金，</w:t>
      </w:r>
      <w:r>
        <w:rPr>
          <w:rFonts w:hint="eastAsia"/>
          <w:snapToGrid w:val="0"/>
          <w:kern w:val="0"/>
          <w:highlight w:val="none"/>
        </w:rPr>
        <w:t>质保期满无违约的情况，30日内无息退还。</w:t>
      </w:r>
    </w:p>
    <w:p>
      <w:pPr>
        <w:numPr>
          <w:ilvl w:val="0"/>
          <w:numId w:val="0"/>
        </w:numPr>
        <w:rPr>
          <w:rFonts w:hint="eastAsia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3.质保期：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质保3年,超出免费服务期可提供有偿维护，维护费用不得超过本合同金额的8%。</w:t>
      </w:r>
      <w:bookmarkStart w:id="1" w:name="_GoBack"/>
      <w:bookmarkEnd w:id="1"/>
    </w:p>
    <w:p>
      <w:pPr>
        <w:numPr>
          <w:ilvl w:val="0"/>
          <w:numId w:val="0"/>
        </w:numPr>
        <w:rPr>
          <w:highlight w:val="none"/>
        </w:rPr>
      </w:pPr>
      <w:r>
        <w:rPr>
          <w:rFonts w:hint="eastAsia"/>
          <w:highlight w:val="none"/>
          <w:lang w:val="en-US" w:eastAsia="zh-CN"/>
        </w:rPr>
        <w:t>4.</w:t>
      </w:r>
      <w:r>
        <w:rPr>
          <w:rFonts w:hint="eastAsia"/>
          <w:highlight w:val="none"/>
        </w:rPr>
        <w:t>付款方式</w:t>
      </w:r>
    </w:p>
    <w:p>
      <w:pPr>
        <w:ind w:firstLine="480"/>
        <w:rPr>
          <w:rFonts w:hint="eastAsia"/>
          <w:highlight w:val="none"/>
        </w:rPr>
      </w:pPr>
      <w:r>
        <w:rPr>
          <w:rFonts w:hint="eastAsia"/>
          <w:highlight w:val="none"/>
        </w:rPr>
        <w:t>货到安装、调试验收合格后</w:t>
      </w:r>
      <w:r>
        <w:rPr>
          <w:rFonts w:hint="eastAsia"/>
          <w:highlight w:val="none"/>
          <w:lang w:val="en-US" w:eastAsia="zh-CN"/>
        </w:rPr>
        <w:t>15</w:t>
      </w:r>
      <w:r>
        <w:rPr>
          <w:rFonts w:hint="eastAsia"/>
          <w:highlight w:val="none"/>
        </w:rPr>
        <w:t>日内，由中标人提供中标人开具的</w:t>
      </w:r>
      <w:r>
        <w:rPr>
          <w:rFonts w:hint="eastAsia"/>
          <w:highlight w:val="none"/>
          <w:lang w:val="en-US" w:eastAsia="zh-CN"/>
        </w:rPr>
        <w:t>增值税</w:t>
      </w:r>
      <w:r>
        <w:rPr>
          <w:rFonts w:hint="eastAsia"/>
          <w:highlight w:val="none"/>
        </w:rPr>
        <w:t>发票后，采购人向中标人支付合同总价70%的货款，软件使用半年，运行正常，无其他故障，支付剩余30%货款。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31CD"/>
    <w:rsid w:val="185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hAnsi="Times New Roman" w:eastAsia="仿宋_GB2312"/>
      <w:kern w:val="0"/>
      <w:sz w:val="28"/>
      <w:szCs w:val="20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NormalCharacter"/>
    <w:qFormat/>
    <w:uiPriority w:val="0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9">
    <w:name w:val="UserStyle_16"/>
    <w:qFormat/>
    <w:uiPriority w:val="0"/>
  </w:style>
  <w:style w:type="paragraph" w:customStyle="1" w:styleId="10">
    <w:name w:val="UserStyle_10"/>
    <w:qFormat/>
    <w:uiPriority w:val="0"/>
    <w:pPr>
      <w:ind w:firstLine="420"/>
      <w:jc w:val="both"/>
      <w:textAlignment w:val="baseline"/>
    </w:pPr>
    <w:rPr>
      <w:rFonts w:ascii="Arial Unicode MS" w:hAnsi="Arial Unicode MS" w:eastAsia="Times New Roman" w:cstheme="minorBid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2020-10-16T04:04:00Z</dcterms:created>
  <dc:creator>TZ</dc:creator>
  <cp:lastModifiedBy>TZ</cp:lastModifiedBy>
  <dcterms:modified xsi:type="dcterms:W3CDTF">2020-10-16T04:10:49Z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