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杭州文一教育发展有限公司</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维修材料定点供应商</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val="en-US" w:eastAsia="zh-CN"/>
        </w:rPr>
        <w:t>名称</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维修材料定点供应商</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项目</w:t>
      </w:r>
      <w:r>
        <w:rPr>
          <w:rFonts w:hint="eastAsia" w:ascii="宋体" w:hAnsi="宋体" w:cs="宋体"/>
          <w:b/>
          <w:bCs/>
          <w:color w:val="auto"/>
          <w:sz w:val="32"/>
          <w:szCs w:val="32"/>
          <w:highlight w:val="none"/>
        </w:rPr>
        <w:t>编号：</w:t>
      </w:r>
      <w:r>
        <w:rPr>
          <w:rFonts w:hint="eastAsia" w:ascii="宋体" w:hAnsi="宋体" w:cs="宋体"/>
          <w:b/>
          <w:bCs/>
          <w:color w:val="auto"/>
          <w:sz w:val="32"/>
          <w:szCs w:val="32"/>
          <w:highlight w:val="none"/>
          <w:lang w:eastAsia="zh-CN"/>
        </w:rPr>
        <w:t>ZJWSBJ-WY-202001G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杭州文一教育发展有限公司</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间：二〇二〇年</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月</w:t>
      </w:r>
    </w:p>
    <w:p>
      <w:pPr>
        <w:ind w:firstLine="562"/>
        <w:jc w:val="center"/>
        <w:rPr>
          <w:rFonts w:ascii="宋体" w:hAnsi="宋体" w:cs="宋体"/>
          <w:color w:val="auto"/>
          <w:szCs w:val="32"/>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_Toc32332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rPr>
        <w:t>第二章 项目需求说明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_Toc24282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_Toc7338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_Toc17889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rPr>
        <w:t>第一节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_Toc12341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rPr>
        <w:t>第二节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_Toc4029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rPr>
        <w:t>第三节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_Toc25674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rPr>
        <w:t>第四节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_Toc24870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rPr>
        <w:t>第五节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_Toc16186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rPr>
        <w:t>第六节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_Toc6779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rPr>
        <w:t>第七节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_Toc3566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rPr>
        <w:t>第八节 例外处理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_Toc13025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rPr>
        <w:t>第四章 评标办法及评分标准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_Toc22869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rPr>
        <w:t>第五章 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_Toc7087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_Toc29638 </w:instrText>
      </w:r>
      <w:r>
        <w:rPr>
          <w:rFonts w:hint="eastAsia" w:ascii="宋体" w:hAnsi="宋体" w:cs="宋体"/>
          <w:color w:val="auto"/>
          <w:highlight w:val="none"/>
        </w:rPr>
        <w:fldChar w:fldCharType="separate"/>
      </w:r>
      <w:r>
        <w:rPr>
          <w:rFonts w:hint="eastAsia" w:ascii="宋体" w:hAnsi="宋体" w:cs="宋体"/>
          <w:color w:val="auto"/>
          <w:highlight w:val="none"/>
        </w:rPr>
        <w:t>44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14"/>
        <w:ind w:firstLine="422"/>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auto"/>
          <w:szCs w:val="32"/>
          <w:highlight w:val="none"/>
        </w:rPr>
        <w:fldChar w:fldCharType="end"/>
      </w:r>
    </w:p>
    <w:p>
      <w:pPr>
        <w:pStyle w:val="4"/>
        <w:rPr>
          <w:rFonts w:hint="eastAsia" w:eastAsia="宋体"/>
          <w:color w:val="auto"/>
          <w:highlight w:val="none"/>
          <w:lang w:eastAsia="zh-CN"/>
        </w:rPr>
      </w:pPr>
      <w:bookmarkStart w:id="1" w:name="_Toc12653"/>
      <w:bookmarkStart w:id="2" w:name="_Toc32332"/>
      <w:bookmarkStart w:id="3" w:name="_Toc452457411"/>
      <w:r>
        <w:rPr>
          <w:rFonts w:hint="eastAsia" w:cs="宋体"/>
          <w:color w:val="auto"/>
          <w:highlight w:val="none"/>
        </w:rPr>
        <w:t>第一章 招标公告</w:t>
      </w:r>
      <w:bookmarkEnd w:id="1"/>
      <w:bookmarkEnd w:id="2"/>
      <w:r>
        <w:rPr>
          <w:rFonts w:hint="eastAsia" w:cs="宋体"/>
          <w:color w:val="auto"/>
          <w:highlight w:val="none"/>
          <w:lang w:eastAsia="zh-CN"/>
        </w:rPr>
        <w:t>（</w:t>
      </w:r>
      <w:r>
        <w:rPr>
          <w:rFonts w:hint="eastAsia" w:cs="宋体"/>
          <w:color w:val="auto"/>
          <w:highlight w:val="none"/>
          <w:lang w:val="en-US" w:eastAsia="zh-CN"/>
        </w:rPr>
        <w:t>非政府采购</w:t>
      </w:r>
      <w:r>
        <w:rPr>
          <w:rFonts w:hint="eastAsia" w:cs="宋体"/>
          <w:color w:val="auto"/>
          <w:highlight w:val="none"/>
          <w:lang w:eastAsia="zh-CN"/>
        </w:rPr>
        <w:t>）</w:t>
      </w:r>
    </w:p>
    <w:p>
      <w:pPr>
        <w:pStyle w:val="5"/>
        <w:jc w:val="center"/>
        <w:rPr>
          <w:rFonts w:ascii="宋体" w:hAnsi="宋体" w:cs="宋体"/>
          <w:color w:val="auto"/>
          <w:highlight w:val="none"/>
        </w:rPr>
      </w:pPr>
      <w:bookmarkStart w:id="4" w:name="_Toc18001"/>
      <w:r>
        <w:rPr>
          <w:rFonts w:hint="eastAsia" w:ascii="宋体" w:hAnsi="宋体" w:cs="宋体"/>
          <w:color w:val="auto"/>
          <w:highlight w:val="none"/>
        </w:rPr>
        <w:t>关于</w:t>
      </w:r>
      <w:r>
        <w:rPr>
          <w:rFonts w:hint="eastAsia" w:ascii="宋体" w:hAnsi="宋体" w:cs="宋体"/>
          <w:color w:val="auto"/>
          <w:highlight w:val="none"/>
          <w:lang w:eastAsia="zh-CN"/>
        </w:rPr>
        <w:t>维修材料定点供应商</w:t>
      </w:r>
      <w:r>
        <w:rPr>
          <w:rFonts w:hint="eastAsia" w:ascii="宋体" w:hAnsi="宋体" w:cs="宋体"/>
          <w:color w:val="auto"/>
          <w:highlight w:val="none"/>
        </w:rPr>
        <w:t>的</w:t>
      </w:r>
      <w:r>
        <w:rPr>
          <w:rFonts w:hint="eastAsia" w:ascii="宋体" w:hAnsi="宋体" w:cs="宋体"/>
          <w:color w:val="auto"/>
          <w:highlight w:val="none"/>
          <w:lang w:eastAsia="zh-CN"/>
        </w:rPr>
        <w:t>公开</w:t>
      </w:r>
      <w:r>
        <w:rPr>
          <w:rFonts w:hint="eastAsia" w:ascii="宋体" w:hAnsi="宋体" w:cs="宋体"/>
          <w:color w:val="auto"/>
          <w:highlight w:val="none"/>
        </w:rPr>
        <w:t>招标公告</w:t>
      </w:r>
      <w:bookmarkEnd w:id="4"/>
    </w:p>
    <w:p>
      <w:pPr>
        <w:ind w:firstLine="480"/>
        <w:rPr>
          <w:color w:val="auto"/>
          <w:highlight w:val="none"/>
        </w:rPr>
      </w:pPr>
      <w:r>
        <w:rPr>
          <w:rFonts w:hint="eastAsia"/>
          <w:color w:val="auto"/>
          <w:highlight w:val="none"/>
        </w:rPr>
        <w:t>浙江五石工程咨询有限公司受</w:t>
      </w:r>
      <w:r>
        <w:rPr>
          <w:rFonts w:hint="eastAsia"/>
          <w:color w:val="auto"/>
          <w:highlight w:val="none"/>
          <w:lang w:eastAsia="zh-CN"/>
        </w:rPr>
        <w:t>杭州文一教育发展有限公司</w:t>
      </w:r>
      <w:r>
        <w:rPr>
          <w:rFonts w:hint="eastAsia"/>
          <w:color w:val="auto"/>
          <w:highlight w:val="none"/>
        </w:rPr>
        <w:t>委托，就</w:t>
      </w:r>
      <w:r>
        <w:rPr>
          <w:rFonts w:hint="eastAsia"/>
          <w:color w:val="auto"/>
          <w:highlight w:val="none"/>
          <w:lang w:eastAsia="zh-CN"/>
        </w:rPr>
        <w:t>维修材料定点供应商</w:t>
      </w:r>
      <w:r>
        <w:rPr>
          <w:rFonts w:hint="eastAsia"/>
          <w:color w:val="auto"/>
          <w:highlight w:val="none"/>
        </w:rPr>
        <w:t>进行公开招标采购，欢迎国内合格的供应商前来投标。具体如下：</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lang w:eastAsia="zh-CN"/>
        </w:rPr>
        <w:t>ZJWSBJ-WY-202001G</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p>
    <w:p>
      <w:pPr>
        <w:pStyle w:val="5"/>
        <w:rPr>
          <w:rStyle w:val="42"/>
          <w:rFonts w:hint="eastAsia" w:ascii="宋体" w:hAnsi="宋体" w:cs="宋体"/>
          <w:b/>
          <w:color w:val="auto"/>
          <w:sz w:val="24"/>
          <w:szCs w:val="24"/>
          <w:highlight w:val="none"/>
        </w:rPr>
      </w:pPr>
      <w:r>
        <w:rPr>
          <w:rStyle w:val="42"/>
          <w:rFonts w:hint="eastAsia" w:ascii="宋体" w:hAnsi="宋体" w:cs="宋体"/>
          <w:b/>
          <w:color w:val="auto"/>
          <w:sz w:val="24"/>
          <w:szCs w:val="24"/>
          <w:highlight w:val="none"/>
        </w:rPr>
        <w:t>三、招标项目概况</w:t>
      </w:r>
    </w:p>
    <w:tbl>
      <w:tblPr>
        <w:tblStyle w:val="3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17"/>
        <w:gridCol w:w="1050"/>
        <w:gridCol w:w="1659"/>
        <w:gridCol w:w="982"/>
        <w:gridCol w:w="99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项目名称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rPr>
              <w:t>单位</w:t>
            </w:r>
            <w:r>
              <w:rPr>
                <w:rFonts w:hint="eastAsia" w:ascii="宋体" w:hAnsi="宋体"/>
                <w:color w:val="auto"/>
                <w:sz w:val="22"/>
                <w:szCs w:val="22"/>
                <w:highlight w:val="none"/>
                <w:lang w:eastAsia="zh-CN"/>
              </w:rPr>
              <w:t>）</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预算金额</w:t>
            </w: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服务期</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入围家数</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sz w:val="22"/>
                <w:szCs w:val="22"/>
                <w:highlight w:val="none"/>
              </w:rPr>
            </w:pPr>
            <w:r>
              <w:rPr>
                <w:rFonts w:hint="eastAsia" w:ascii="宋体" w:hAnsi="宋体"/>
                <w:color w:val="auto"/>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highlight w:val="none"/>
              </w:rPr>
            </w:pPr>
            <w:r>
              <w:rPr>
                <w:rFonts w:hint="eastAsia" w:ascii="宋体" w:hAnsi="宋体"/>
                <w:color w:val="auto"/>
                <w:highlight w:val="none"/>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维修材料定点供应商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项</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highlight w:val="none"/>
              </w:rPr>
            </w:pPr>
            <w:r>
              <w:rPr>
                <w:rFonts w:hint="eastAsia" w:ascii="宋体" w:hAnsi="宋体" w:cs="Arial"/>
                <w:color w:val="auto"/>
                <w:spacing w:val="-6"/>
                <w:sz w:val="21"/>
                <w:szCs w:val="21"/>
                <w:highlight w:val="none"/>
              </w:rPr>
              <w:t>约</w:t>
            </w:r>
            <w:r>
              <w:rPr>
                <w:rFonts w:hint="eastAsia" w:ascii="宋体" w:hAnsi="宋体" w:cs="Arial"/>
                <w:color w:val="auto"/>
                <w:spacing w:val="-6"/>
                <w:sz w:val="21"/>
                <w:szCs w:val="21"/>
                <w:highlight w:val="none"/>
                <w:lang w:val="en-US" w:eastAsia="zh-CN"/>
              </w:rPr>
              <w:t>400</w:t>
            </w:r>
            <w:r>
              <w:rPr>
                <w:rFonts w:hint="eastAsia" w:ascii="宋体" w:hAnsi="宋体" w:cs="Arial"/>
                <w:color w:val="auto"/>
                <w:spacing w:val="-6"/>
                <w:sz w:val="21"/>
                <w:szCs w:val="21"/>
                <w:highlight w:val="none"/>
              </w:rPr>
              <w:t>万元/</w:t>
            </w:r>
            <w:r>
              <w:rPr>
                <w:rFonts w:hint="eastAsia" w:ascii="宋体" w:hAnsi="宋体" w:cs="Arial"/>
                <w:color w:val="auto"/>
                <w:spacing w:val="-6"/>
                <w:sz w:val="21"/>
                <w:szCs w:val="21"/>
                <w:highlight w:val="none"/>
                <w:lang w:val="en-US" w:eastAsia="zh-CN"/>
              </w:rPr>
              <w:t>2</w:t>
            </w:r>
            <w:r>
              <w:rPr>
                <w:rFonts w:hint="eastAsia" w:ascii="宋体" w:hAnsi="宋体" w:cs="Arial"/>
                <w:color w:val="auto"/>
                <w:spacing w:val="-6"/>
                <w:sz w:val="21"/>
                <w:szCs w:val="21"/>
                <w:highlight w:val="none"/>
              </w:rPr>
              <w:t>年</w:t>
            </w: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2年</w:t>
            </w:r>
          </w:p>
        </w:tc>
        <w:tc>
          <w:tcPr>
            <w:tcW w:w="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olor w:val="auto"/>
                <w:highlight w:val="none"/>
                <w:lang w:val="en-US"/>
              </w:rPr>
            </w:pPr>
            <w:r>
              <w:rPr>
                <w:rFonts w:hint="eastAsia" w:ascii="宋体" w:hAnsi="宋体"/>
                <w:color w:val="auto"/>
                <w:highlight w:val="none"/>
                <w:lang w:val="en-US" w:eastAsia="zh-CN"/>
              </w:rPr>
              <w:t>2家</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auto"/>
                <w:highlight w:val="none"/>
              </w:rPr>
            </w:pPr>
            <w:r>
              <w:rPr>
                <w:rFonts w:hint="eastAsia" w:ascii="宋体" w:hAnsi="宋体" w:cs="Arial"/>
                <w:color w:val="auto"/>
                <w:spacing w:val="-6"/>
                <w:sz w:val="21"/>
                <w:szCs w:val="21"/>
                <w:highlight w:val="none"/>
              </w:rPr>
              <w:t>水电五金及建筑五金配送供应商招标，详见采购需求</w:t>
            </w:r>
          </w:p>
        </w:tc>
      </w:tr>
    </w:tbl>
    <w:p>
      <w:pPr>
        <w:pStyle w:val="14"/>
        <w:rPr>
          <w:color w:val="auto"/>
          <w:highlight w:val="none"/>
        </w:rPr>
      </w:pP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四、投标供应商资格要求:</w:t>
      </w:r>
    </w:p>
    <w:p>
      <w:pPr>
        <w:pStyle w:val="6"/>
        <w:rPr>
          <w:rFonts w:ascii="宋体" w:hAnsi="宋体" w:cs="宋体"/>
          <w:color w:val="auto"/>
          <w:highlight w:val="none"/>
        </w:rPr>
      </w:pPr>
      <w:r>
        <w:rPr>
          <w:rFonts w:hint="eastAsia" w:ascii="宋体" w:hAnsi="宋体" w:cs="宋体"/>
          <w:color w:val="auto"/>
          <w:highlight w:val="none"/>
        </w:rPr>
        <w:t>（一）基本资格要求</w:t>
      </w:r>
      <w:r>
        <w:rPr>
          <w:rFonts w:hint="eastAsia" w:ascii="宋体" w:hAnsi="宋体" w:cs="宋体"/>
          <w:color w:val="auto"/>
          <w:highlight w:val="none"/>
          <w:lang w:eastAsia="zh-CN"/>
        </w:rPr>
        <w:t xml:space="preserve"> </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具有独立承担民事责任的能力；</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具有良好的商业信誉和健全的财务会计制度；</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具有履行合同所必需的设备和专业技术能力；</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有依法缴纳税收和社会保障资金的良好记录；</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参加政府采购活动前三年内，在经营活动中没有重大违法记录；</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法律、行政法规规定的其他条件。</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.未被信用中国网站（www.creditchina.gov.cn）列入失信被执行人、重大税收违法案件当事人名单，未被中国政府采购网（www.ccgp.gov.cn）列入政府采购严重违法失信行为记录名单。</w:t>
      </w:r>
    </w:p>
    <w:p>
      <w:pPr>
        <w:pStyle w:val="6"/>
        <w:rPr>
          <w:rFonts w:hint="default" w:ascii="宋体" w:hAnsi="宋体" w:eastAsia="宋体" w:cs="宋体"/>
          <w:color w:val="auto"/>
          <w:highlight w:val="none"/>
          <w:lang w:val="en-US" w:eastAsia="zh-CN"/>
        </w:rPr>
      </w:pPr>
      <w:r>
        <w:rPr>
          <w:rFonts w:hint="eastAsia" w:ascii="宋体" w:hAnsi="宋体" w:cs="宋体"/>
          <w:color w:val="auto"/>
          <w:highlight w:val="none"/>
        </w:rPr>
        <w:t>（二）特定资格要求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w:t>
      </w:r>
    </w:p>
    <w:p>
      <w:pPr>
        <w:pStyle w:val="6"/>
        <w:rPr>
          <w:rFonts w:hint="default" w:ascii="宋体" w:hAnsi="宋体" w:eastAsia="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三</w:t>
      </w:r>
      <w:r>
        <w:rPr>
          <w:rFonts w:hint="eastAsia" w:ascii="宋体" w:hAnsi="宋体" w:cs="宋体"/>
          <w:color w:val="auto"/>
          <w:highlight w:val="none"/>
        </w:rPr>
        <w:t>）</w:t>
      </w:r>
      <w:r>
        <w:rPr>
          <w:rFonts w:hint="eastAsia" w:ascii="宋体" w:hAnsi="宋体" w:cs="宋体"/>
          <w:color w:val="auto"/>
          <w:highlight w:val="none"/>
          <w:lang w:val="en-US" w:eastAsia="zh-CN"/>
        </w:rPr>
        <w:t>联合体投标：</w:t>
      </w:r>
    </w:p>
    <w:p>
      <w:pPr>
        <w:pStyle w:val="36"/>
        <w:spacing w:before="75" w:beforeAutospacing="0" w:after="75"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1.本项目不接受联合体投标。</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五、招标文件的报名/发售时间、地址、售价:</w:t>
      </w:r>
    </w:p>
    <w:p>
      <w:pPr>
        <w:ind w:firstLine="482"/>
        <w:rPr>
          <w:rFonts w:hint="default" w:ascii="宋体" w:hAnsi="宋体" w:eastAsia="宋体" w:cs="宋体"/>
          <w:color w:val="auto"/>
          <w:highlight w:val="none"/>
          <w:lang w:val="en-US" w:eastAsia="zh-CN"/>
        </w:rPr>
      </w:pPr>
      <w:r>
        <w:rPr>
          <w:rStyle w:val="42"/>
          <w:rFonts w:hint="eastAsia" w:ascii="宋体" w:hAnsi="宋体" w:cs="宋体"/>
          <w:color w:val="auto"/>
          <w:highlight w:val="none"/>
        </w:rPr>
        <w:t>1．报名（发售／获取）时间：</w:t>
      </w:r>
      <w:r>
        <w:rPr>
          <w:rFonts w:hint="eastAsia" w:ascii="宋体" w:hAnsi="宋体" w:cs="宋体"/>
          <w:b/>
          <w:bCs/>
          <w:color w:val="auto"/>
          <w:highlight w:val="none"/>
        </w:rPr>
        <w:t>20</w:t>
      </w:r>
      <w:r>
        <w:rPr>
          <w:rFonts w:hint="eastAsia" w:ascii="宋体" w:hAnsi="宋体" w:cs="宋体"/>
          <w:b/>
          <w:bCs/>
          <w:color w:val="auto"/>
          <w:highlight w:val="none"/>
          <w:lang w:val="en-US" w:eastAsia="zh-CN"/>
        </w:rPr>
        <w:t>20</w:t>
      </w:r>
      <w:r>
        <w:rPr>
          <w:rFonts w:hint="eastAsia" w:ascii="宋体" w:hAnsi="宋体" w:cs="宋体"/>
          <w:b/>
          <w:bCs/>
          <w:color w:val="auto"/>
          <w:highlight w:val="none"/>
        </w:rPr>
        <w:t>-0</w:t>
      </w:r>
      <w:r>
        <w:rPr>
          <w:rFonts w:hint="eastAsia" w:ascii="宋体" w:hAnsi="宋体" w:cs="宋体"/>
          <w:b/>
          <w:bCs/>
          <w:color w:val="auto"/>
          <w:highlight w:val="none"/>
          <w:lang w:val="en-US" w:eastAsia="zh-CN"/>
        </w:rPr>
        <w:t>6</w:t>
      </w:r>
      <w:r>
        <w:rPr>
          <w:rFonts w:hint="eastAsia" w:ascii="宋体" w:hAnsi="宋体" w:cs="宋体"/>
          <w:b/>
          <w:bCs/>
          <w:color w:val="auto"/>
          <w:highlight w:val="none"/>
        </w:rPr>
        <w:t>-</w:t>
      </w:r>
      <w:r>
        <w:rPr>
          <w:rFonts w:hint="eastAsia" w:ascii="宋体" w:hAnsi="宋体" w:cs="宋体"/>
          <w:b/>
          <w:bCs/>
          <w:color w:val="auto"/>
          <w:highlight w:val="none"/>
          <w:lang w:val="en-US" w:eastAsia="zh-CN"/>
        </w:rPr>
        <w:t>11</w:t>
      </w:r>
      <w:r>
        <w:rPr>
          <w:rFonts w:hint="eastAsia" w:ascii="宋体" w:hAnsi="宋体" w:cs="宋体"/>
          <w:b/>
          <w:bCs/>
          <w:color w:val="auto"/>
          <w:highlight w:val="none"/>
        </w:rPr>
        <w:t>至20</w:t>
      </w:r>
      <w:r>
        <w:rPr>
          <w:rFonts w:hint="eastAsia" w:ascii="宋体" w:hAnsi="宋体" w:cs="宋体"/>
          <w:b/>
          <w:bCs/>
          <w:color w:val="auto"/>
          <w:highlight w:val="none"/>
          <w:lang w:val="en-US" w:eastAsia="zh-CN"/>
        </w:rPr>
        <w:t>20</w:t>
      </w:r>
      <w:r>
        <w:rPr>
          <w:rFonts w:hint="eastAsia" w:ascii="宋体" w:hAnsi="宋体" w:cs="宋体"/>
          <w:b/>
          <w:bCs/>
          <w:color w:val="auto"/>
          <w:highlight w:val="none"/>
        </w:rPr>
        <w:t>-0</w:t>
      </w:r>
      <w:r>
        <w:rPr>
          <w:rFonts w:hint="eastAsia" w:ascii="宋体" w:hAnsi="宋体" w:cs="宋体"/>
          <w:b/>
          <w:bCs/>
          <w:color w:val="auto"/>
          <w:highlight w:val="none"/>
          <w:lang w:val="en-US" w:eastAsia="zh-CN"/>
        </w:rPr>
        <w:t>6</w:t>
      </w:r>
      <w:r>
        <w:rPr>
          <w:rFonts w:hint="eastAsia" w:ascii="宋体" w:hAnsi="宋体" w:cs="宋体"/>
          <w:b/>
          <w:bCs/>
          <w:color w:val="auto"/>
          <w:highlight w:val="none"/>
        </w:rPr>
        <w:t>-</w:t>
      </w:r>
      <w:r>
        <w:rPr>
          <w:rFonts w:hint="eastAsia" w:ascii="宋体" w:hAnsi="宋体" w:cs="宋体"/>
          <w:b/>
          <w:bCs/>
          <w:color w:val="auto"/>
          <w:highlight w:val="none"/>
          <w:lang w:val="en-US" w:eastAsia="zh-CN"/>
        </w:rPr>
        <w:t>18</w:t>
      </w:r>
    </w:p>
    <w:p>
      <w:pPr>
        <w:ind w:firstLine="964" w:firstLineChars="400"/>
        <w:rPr>
          <w:rFonts w:ascii="宋体" w:hAnsi="宋体" w:cs="宋体"/>
          <w:color w:val="auto"/>
          <w:highlight w:val="none"/>
        </w:rPr>
      </w:pPr>
      <w:r>
        <w:rPr>
          <w:rStyle w:val="42"/>
          <w:rFonts w:hint="eastAsia" w:ascii="宋体" w:hAnsi="宋体" w:cs="宋体"/>
          <w:color w:val="auto"/>
          <w:highlight w:val="none"/>
        </w:rPr>
        <w:t>上午：</w:t>
      </w:r>
      <w:r>
        <w:rPr>
          <w:rFonts w:hint="eastAsia" w:ascii="宋体" w:hAnsi="宋体" w:cs="宋体"/>
          <w:color w:val="auto"/>
          <w:highlight w:val="none"/>
        </w:rPr>
        <w:t>09:00-11:30；</w:t>
      </w:r>
      <w:r>
        <w:rPr>
          <w:rStyle w:val="42"/>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2"/>
          <w:rFonts w:hint="eastAsia" w:ascii="宋体" w:hAnsi="宋体" w:cs="宋体"/>
          <w:color w:val="auto"/>
          <w:highlight w:val="none"/>
        </w:rPr>
        <w:t>2．报名（发售／获取）地址：</w:t>
      </w:r>
    </w:p>
    <w:p>
      <w:pPr>
        <w:spacing w:line="360" w:lineRule="auto"/>
        <w:ind w:firstLine="422"/>
        <w:rPr>
          <w:rFonts w:hint="eastAsia" w:ascii="宋体" w:hAnsi="宋体"/>
          <w:color w:val="auto"/>
          <w:highlight w:val="none"/>
        </w:rPr>
      </w:pPr>
      <w:r>
        <w:rPr>
          <w:rFonts w:hint="eastAsia" w:ascii="宋体" w:hAnsi="宋体"/>
          <w:color w:val="auto"/>
          <w:highlight w:val="none"/>
        </w:rPr>
        <w:t>（1）现场报名：现场报名需携带报名资料</w:t>
      </w:r>
      <w:r>
        <w:rPr>
          <w:rFonts w:hint="eastAsia" w:ascii="宋体" w:hAnsi="宋体"/>
          <w:color w:val="auto"/>
          <w:highlight w:val="none"/>
          <w:lang w:eastAsia="zh-CN"/>
        </w:rPr>
        <w:t>（</w:t>
      </w:r>
      <w:r>
        <w:rPr>
          <w:rFonts w:hint="eastAsia" w:ascii="宋体" w:hAnsi="宋体"/>
          <w:color w:val="auto"/>
          <w:kern w:val="0"/>
          <w:highlight w:val="none"/>
        </w:rPr>
        <w:t>杭州市滨江区东方通信科技园启迪楼2楼1207室</w:t>
      </w:r>
      <w:r>
        <w:rPr>
          <w:rFonts w:hint="eastAsia" w:ascii="宋体" w:hAnsi="宋体"/>
          <w:color w:val="auto"/>
          <w:highlight w:val="none"/>
          <w:lang w:eastAsia="zh-CN"/>
        </w:rPr>
        <w:t>）</w:t>
      </w:r>
      <w:r>
        <w:rPr>
          <w:rFonts w:hint="eastAsia" w:ascii="宋体" w:hAnsi="宋体"/>
          <w:color w:val="auto"/>
          <w:highlight w:val="none"/>
        </w:rPr>
        <w:t>；（2）网上报名：前往浙江五石工程咨询有限公司官网：http://zjwsbidding.com/招投标专区进行报名；</w:t>
      </w:r>
      <w:r>
        <w:rPr>
          <w:rStyle w:val="42"/>
          <w:rFonts w:hint="eastAsia" w:ascii="宋体" w:hAnsi="宋体"/>
          <w:color w:val="auto"/>
          <w:highlight w:val="none"/>
          <w:u w:val="single"/>
        </w:rPr>
        <w:t>本项目在新型冠状病毒感染的肺炎疫情防控期间，建议非现场报名，</w:t>
      </w:r>
      <w:r>
        <w:rPr>
          <w:rFonts w:hint="eastAsia" w:ascii="宋体" w:hAnsi="宋体"/>
          <w:color w:val="auto"/>
          <w:highlight w:val="none"/>
        </w:rPr>
        <w:t>但未以记名方式登记、报名并获取招标文件的投标单位参与本项目投标，其投标将被拒绝。（3）供应商报名时应提交的资料：</w:t>
      </w:r>
    </w:p>
    <w:p>
      <w:pPr>
        <w:spacing w:line="360" w:lineRule="auto"/>
        <w:ind w:firstLine="422"/>
        <w:rPr>
          <w:rFonts w:hint="eastAsia" w:ascii="宋体" w:hAnsi="宋体"/>
          <w:color w:val="auto"/>
          <w:highlight w:val="none"/>
        </w:rPr>
      </w:pPr>
      <w:r>
        <w:rPr>
          <w:rFonts w:hint="eastAsia" w:ascii="宋体" w:hAnsi="宋体"/>
          <w:color w:val="auto"/>
          <w:highlight w:val="none"/>
        </w:rPr>
        <w:t>1）营业执照副本复印件（加盖单位公章）；</w:t>
      </w:r>
    </w:p>
    <w:p>
      <w:pPr>
        <w:spacing w:line="360" w:lineRule="auto"/>
        <w:ind w:firstLine="422"/>
        <w:rPr>
          <w:rFonts w:hint="eastAsia" w:ascii="宋体" w:hAnsi="宋体"/>
          <w:color w:val="auto"/>
          <w:highlight w:val="none"/>
        </w:rPr>
      </w:pPr>
      <w:r>
        <w:rPr>
          <w:rFonts w:hint="eastAsia" w:ascii="宋体" w:hAnsi="宋体"/>
          <w:color w:val="auto"/>
          <w:highlight w:val="none"/>
        </w:rPr>
        <w:t>2）受委托代理人身份证原件及复印件（加盖单位公章）；</w:t>
      </w:r>
    </w:p>
    <w:p>
      <w:pPr>
        <w:spacing w:line="360" w:lineRule="auto"/>
        <w:ind w:firstLine="422"/>
        <w:rPr>
          <w:rFonts w:hint="eastAsia" w:ascii="宋体" w:hAnsi="宋体"/>
          <w:color w:val="auto"/>
          <w:highlight w:val="none"/>
        </w:rPr>
      </w:pPr>
      <w:r>
        <w:rPr>
          <w:rFonts w:hint="eastAsia" w:ascii="宋体" w:hAnsi="宋体"/>
          <w:color w:val="auto"/>
          <w:highlight w:val="none"/>
        </w:rPr>
        <w:t>3）法定代表人授权委托书原件；</w:t>
      </w:r>
    </w:p>
    <w:p>
      <w:pPr>
        <w:spacing w:line="360" w:lineRule="auto"/>
        <w:ind w:firstLine="422"/>
        <w:rPr>
          <w:rFonts w:hint="eastAsia" w:ascii="宋体" w:hAnsi="宋体"/>
          <w:color w:val="auto"/>
          <w:highlight w:val="none"/>
        </w:rPr>
      </w:pPr>
      <w:r>
        <w:rPr>
          <w:rFonts w:hint="eastAsia" w:ascii="宋体" w:hAnsi="宋体"/>
          <w:color w:val="auto"/>
          <w:highlight w:val="none"/>
        </w:rPr>
        <w:t>4）供应商报名登记表（网上报名则不需要提供）。</w:t>
      </w:r>
    </w:p>
    <w:p>
      <w:pPr>
        <w:ind w:firstLine="480"/>
        <w:rPr>
          <w:rFonts w:hint="eastAsia" w:ascii="宋体" w:hAnsi="宋体" w:cs="宋体"/>
          <w:color w:val="auto"/>
          <w:kern w:val="0"/>
          <w:sz w:val="24"/>
          <w:szCs w:val="32"/>
          <w:highlight w:val="none"/>
        </w:rPr>
      </w:pPr>
      <w:r>
        <w:rPr>
          <w:rFonts w:hint="eastAsia" w:ascii="宋体" w:hAnsi="宋体" w:cs="宋体"/>
          <w:b/>
          <w:bCs/>
          <w:color w:val="auto"/>
          <w:kern w:val="0"/>
          <w:sz w:val="24"/>
          <w:szCs w:val="32"/>
          <w:highlight w:val="none"/>
          <w:lang w:val="en-US" w:eastAsia="zh-CN"/>
        </w:rPr>
        <w:t>备注：</w:t>
      </w:r>
      <w:r>
        <w:rPr>
          <w:rFonts w:hint="eastAsia" w:ascii="宋体" w:hAnsi="宋体" w:cs="宋体"/>
          <w:color w:val="auto"/>
          <w:kern w:val="0"/>
          <w:sz w:val="24"/>
          <w:szCs w:val="32"/>
          <w:highlight w:val="none"/>
        </w:rPr>
        <w:t>(</w:t>
      </w:r>
      <w:r>
        <w:rPr>
          <w:rFonts w:hint="eastAsia" w:ascii="宋体" w:hAnsi="宋体" w:cs="宋体"/>
          <w:color w:val="auto"/>
          <w:kern w:val="0"/>
          <w:sz w:val="24"/>
          <w:szCs w:val="32"/>
          <w:highlight w:val="none"/>
          <w:lang w:val="en-US" w:eastAsia="zh-CN"/>
        </w:rPr>
        <w:t>a</w:t>
      </w:r>
      <w:r>
        <w:rPr>
          <w:rFonts w:hint="eastAsia" w:ascii="宋体" w:hAnsi="宋体" w:cs="宋体"/>
          <w:color w:val="auto"/>
          <w:kern w:val="0"/>
          <w:sz w:val="24"/>
          <w:szCs w:val="32"/>
          <w:highlight w:val="none"/>
        </w:rPr>
        <w:t>)投标人未在采购代理机构办理报名手续的投标文件予以拒收。</w:t>
      </w:r>
    </w:p>
    <w:p>
      <w:pPr>
        <w:ind w:left="1440" w:leftChars="500" w:hanging="240" w:hangingChars="100"/>
        <w:rPr>
          <w:rFonts w:hint="eastAsia"/>
          <w:color w:val="auto"/>
          <w:highlight w:val="none"/>
          <w:lang w:eastAsia="zh-CN"/>
        </w:rPr>
      </w:pPr>
      <w:r>
        <w:rPr>
          <w:rFonts w:hint="eastAsia" w:ascii="宋体" w:hAnsi="宋体" w:cs="宋体"/>
          <w:color w:val="auto"/>
          <w:kern w:val="0"/>
          <w:sz w:val="24"/>
          <w:szCs w:val="32"/>
          <w:highlight w:val="none"/>
        </w:rPr>
        <w:t>(</w:t>
      </w:r>
      <w:r>
        <w:rPr>
          <w:rFonts w:hint="eastAsia" w:ascii="宋体" w:hAnsi="宋体" w:cs="宋体"/>
          <w:color w:val="auto"/>
          <w:kern w:val="0"/>
          <w:sz w:val="24"/>
          <w:szCs w:val="32"/>
          <w:highlight w:val="none"/>
          <w:lang w:val="en-US" w:eastAsia="zh-CN"/>
        </w:rPr>
        <w:t>b</w:t>
      </w:r>
      <w:r>
        <w:rPr>
          <w:rFonts w:hint="eastAsia" w:ascii="宋体" w:hAnsi="宋体" w:cs="宋体"/>
          <w:color w:val="auto"/>
          <w:kern w:val="0"/>
          <w:sz w:val="24"/>
          <w:szCs w:val="32"/>
          <w:highlight w:val="none"/>
        </w:rPr>
        <w:t>)招标文件发售截止之后有潜在投标人提出要求获取招标文件的允许其获取，如对招标文件有质疑的应在规定质疑期限内提出。</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六、投标截止时间：</w:t>
      </w:r>
      <w:r>
        <w:rPr>
          <w:rFonts w:hint="eastAsia" w:ascii="宋体" w:hAnsi="宋体" w:cs="宋体"/>
          <w:color w:val="auto"/>
          <w:sz w:val="24"/>
          <w:szCs w:val="24"/>
          <w:highlight w:val="none"/>
          <w:lang w:eastAsia="zh-CN"/>
        </w:rPr>
        <w:t xml:space="preserve"> 2020年07月01日 下午13时30分 </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七、投标地址：</w:t>
      </w:r>
      <w:r>
        <w:rPr>
          <w:rFonts w:hint="eastAsia" w:ascii="宋体" w:hAnsi="宋体" w:cs="宋体"/>
          <w:color w:val="auto"/>
          <w:sz w:val="24"/>
          <w:szCs w:val="24"/>
          <w:highlight w:val="none"/>
          <w:lang w:eastAsia="zh-CN"/>
        </w:rPr>
        <w:t xml:space="preserve"> 杭州市滨江区东方通信科技园启迪楼1楼创客教室</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八、开标时间：</w:t>
      </w:r>
      <w:r>
        <w:rPr>
          <w:rFonts w:hint="eastAsia" w:ascii="宋体" w:hAnsi="宋体" w:cs="宋体"/>
          <w:color w:val="auto"/>
          <w:sz w:val="24"/>
          <w:szCs w:val="24"/>
          <w:highlight w:val="none"/>
          <w:lang w:eastAsia="zh-CN"/>
        </w:rPr>
        <w:t xml:space="preserve"> 2020年07月01日 下午13时30分 </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九、开标地址：</w:t>
      </w:r>
      <w:r>
        <w:rPr>
          <w:rFonts w:hint="eastAsia" w:ascii="宋体" w:hAnsi="宋体" w:cs="宋体"/>
          <w:color w:val="auto"/>
          <w:sz w:val="24"/>
          <w:szCs w:val="24"/>
          <w:highlight w:val="none"/>
          <w:lang w:eastAsia="zh-CN"/>
        </w:rPr>
        <w:t xml:space="preserve"> 杭州市滨江区东方通信科技园启迪楼1楼创客教室</w:t>
      </w:r>
    </w:p>
    <w:p>
      <w:pPr>
        <w:pStyle w:val="5"/>
        <w:rPr>
          <w:rStyle w:val="42"/>
          <w:rFonts w:hint="eastAsia" w:ascii="宋体" w:hAnsi="宋体" w:cs="宋体"/>
          <w:b/>
          <w:color w:val="auto"/>
          <w:sz w:val="24"/>
          <w:szCs w:val="24"/>
          <w:highlight w:val="none"/>
        </w:rPr>
      </w:pPr>
      <w:r>
        <w:rPr>
          <w:rStyle w:val="42"/>
          <w:rFonts w:hint="eastAsia" w:ascii="宋体" w:hAnsi="宋体" w:cs="宋体"/>
          <w:b/>
          <w:color w:val="auto"/>
          <w:sz w:val="24"/>
          <w:szCs w:val="24"/>
          <w:highlight w:val="none"/>
        </w:rPr>
        <w:t>十、投标保证金：</w:t>
      </w:r>
      <w:bookmarkStart w:id="89" w:name="_GoBack"/>
      <w:bookmarkEnd w:id="89"/>
    </w:p>
    <w:p>
      <w:pPr>
        <w:spacing w:line="360" w:lineRule="auto"/>
        <w:ind w:firstLine="420"/>
        <w:rPr>
          <w:rFonts w:hint="eastAsia" w:ascii="宋体" w:hAnsi="宋体"/>
          <w:color w:val="auto"/>
          <w:highlight w:val="none"/>
        </w:rPr>
      </w:pPr>
      <w:r>
        <w:rPr>
          <w:rFonts w:hint="eastAsia" w:ascii="宋体" w:hAnsi="宋体"/>
          <w:color w:val="auto"/>
          <w:highlight w:val="none"/>
        </w:rPr>
        <w:t>投标保证金：</w:t>
      </w:r>
      <w:r>
        <w:rPr>
          <w:rFonts w:hint="eastAsia" w:ascii="宋体" w:hAnsi="宋体"/>
          <w:color w:val="auto"/>
          <w:highlight w:val="none"/>
          <w:lang w:val="en-US" w:eastAsia="zh-CN"/>
        </w:rPr>
        <w:t>10</w:t>
      </w:r>
      <w:r>
        <w:rPr>
          <w:rFonts w:hint="eastAsia" w:ascii="宋体" w:hAnsi="宋体"/>
          <w:color w:val="auto"/>
          <w:highlight w:val="none"/>
        </w:rPr>
        <w:t>000元。于2020年0</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30</w:t>
      </w:r>
      <w:r>
        <w:rPr>
          <w:rFonts w:hint="eastAsia" w:ascii="宋体" w:hAnsi="宋体"/>
          <w:color w:val="auto"/>
          <w:highlight w:val="none"/>
        </w:rPr>
        <w:t>日下午14:30前须电汇到达指定账号（电汇时请注明招标编号）提交投标保证金。</w:t>
      </w:r>
    </w:p>
    <w:p>
      <w:pPr>
        <w:spacing w:line="360" w:lineRule="auto"/>
        <w:ind w:firstLine="420"/>
        <w:rPr>
          <w:rFonts w:hint="eastAsia" w:ascii="宋体" w:hAnsi="宋体"/>
          <w:color w:val="auto"/>
          <w:highlight w:val="none"/>
        </w:rPr>
      </w:pPr>
      <w:r>
        <w:rPr>
          <w:rFonts w:hint="eastAsia" w:ascii="宋体" w:hAnsi="宋体"/>
          <w:color w:val="auto"/>
          <w:highlight w:val="none"/>
        </w:rPr>
        <w:t>单位名称：浙江五石工程咨询有限公司</w:t>
      </w:r>
    </w:p>
    <w:p>
      <w:pPr>
        <w:spacing w:line="360" w:lineRule="auto"/>
        <w:ind w:firstLine="420"/>
        <w:rPr>
          <w:rFonts w:hint="eastAsia" w:ascii="宋体" w:hAnsi="宋体"/>
          <w:color w:val="auto"/>
          <w:highlight w:val="none"/>
        </w:rPr>
      </w:pPr>
      <w:r>
        <w:rPr>
          <w:rFonts w:hint="eastAsia" w:ascii="宋体" w:hAnsi="宋体"/>
          <w:color w:val="auto"/>
          <w:highlight w:val="none"/>
        </w:rPr>
        <w:t>账    号：583595811900015</w:t>
      </w:r>
    </w:p>
    <w:p>
      <w:pPr>
        <w:spacing w:line="360" w:lineRule="auto"/>
        <w:ind w:firstLine="420"/>
        <w:rPr>
          <w:rStyle w:val="42"/>
          <w:rFonts w:hint="eastAsia" w:ascii="宋体" w:hAnsi="宋体" w:cs="宋体"/>
          <w:b/>
          <w:color w:val="auto"/>
          <w:sz w:val="24"/>
          <w:szCs w:val="24"/>
          <w:highlight w:val="none"/>
        </w:rPr>
      </w:pPr>
      <w:r>
        <w:rPr>
          <w:rFonts w:hint="eastAsia" w:ascii="宋体" w:hAnsi="宋体"/>
          <w:color w:val="auto"/>
          <w:highlight w:val="none"/>
        </w:rPr>
        <w:t>开户行：浙江民泰商业银行杭州钱江新城支行</w:t>
      </w:r>
    </w:p>
    <w:p>
      <w:pPr>
        <w:pStyle w:val="5"/>
        <w:numPr>
          <w:ilvl w:val="0"/>
          <w:numId w:val="4"/>
        </w:numPr>
        <w:rPr>
          <w:rStyle w:val="42"/>
          <w:rFonts w:hint="eastAsia" w:ascii="宋体" w:hAnsi="宋体" w:cs="宋体"/>
          <w:b/>
          <w:color w:val="auto"/>
          <w:sz w:val="24"/>
          <w:szCs w:val="24"/>
          <w:highlight w:val="none"/>
        </w:rPr>
      </w:pPr>
      <w:r>
        <w:rPr>
          <w:rStyle w:val="42"/>
          <w:rFonts w:hint="eastAsia" w:ascii="宋体" w:hAnsi="宋体" w:cs="宋体"/>
          <w:b/>
          <w:color w:val="auto"/>
          <w:sz w:val="24"/>
          <w:szCs w:val="24"/>
          <w:highlight w:val="none"/>
        </w:rPr>
        <w:t>其他事项：</w:t>
      </w:r>
    </w:p>
    <w:p>
      <w:pPr>
        <w:spacing w:line="360" w:lineRule="auto"/>
        <w:ind w:firstLine="480" w:firstLineChars="200"/>
        <w:rPr>
          <w:rFonts w:hint="eastAsia" w:ascii="宋体" w:hAnsi="宋体" w:cs="Times New Roman"/>
          <w:color w:val="auto"/>
          <w:kern w:val="0"/>
          <w:highlight w:val="none"/>
        </w:rPr>
      </w:pPr>
      <w:r>
        <w:rPr>
          <w:rFonts w:hint="eastAsia" w:ascii="宋体" w:hAnsi="宋体" w:cs="Times New Roman"/>
          <w:color w:val="auto"/>
          <w:kern w:val="0"/>
          <w:highlight w:val="none"/>
          <w:lang w:val="en-US" w:eastAsia="zh-CN"/>
        </w:rPr>
        <w:t>投标人</w:t>
      </w:r>
      <w:r>
        <w:rPr>
          <w:rFonts w:hint="eastAsia" w:ascii="宋体" w:hAnsi="宋体" w:cs="Times New Roman"/>
          <w:color w:val="auto"/>
          <w:kern w:val="0"/>
          <w:highlight w:val="none"/>
        </w:rPr>
        <w:t>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十二、联系方式</w:t>
      </w:r>
    </w:p>
    <w:p>
      <w:pPr>
        <w:spacing w:line="360" w:lineRule="auto"/>
        <w:ind w:firstLine="480" w:firstLineChars="200"/>
        <w:rPr>
          <w:rFonts w:hint="eastAsia" w:ascii="宋体" w:hAnsi="宋体" w:eastAsia="宋体"/>
          <w:color w:val="auto"/>
          <w:highlight w:val="none"/>
          <w:lang w:eastAsia="zh-CN"/>
        </w:rPr>
      </w:pPr>
      <w:r>
        <w:rPr>
          <w:rFonts w:hint="eastAsia" w:ascii="宋体" w:hAnsi="宋体"/>
          <w:color w:val="auto"/>
          <w:kern w:val="0"/>
          <w:highlight w:val="none"/>
        </w:rPr>
        <w:t>1.采购人名称：</w:t>
      </w:r>
      <w:r>
        <w:rPr>
          <w:rFonts w:hint="eastAsia" w:ascii="宋体" w:hAnsi="宋体"/>
          <w:color w:val="auto"/>
          <w:highlight w:val="none"/>
          <w:lang w:eastAsia="zh-CN"/>
        </w:rPr>
        <w:t>杭州文一教育发展有限公司</w:t>
      </w:r>
    </w:p>
    <w:p>
      <w:pPr>
        <w:spacing w:line="360" w:lineRule="auto"/>
        <w:ind w:firstLine="720" w:firstLineChars="3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val="en-US" w:eastAsia="zh-CN"/>
        </w:rPr>
        <w:t>楼</w:t>
      </w:r>
      <w:r>
        <w:rPr>
          <w:rFonts w:hint="eastAsia" w:ascii="宋体" w:hAnsi="宋体"/>
          <w:color w:val="auto"/>
          <w:highlight w:val="none"/>
        </w:rPr>
        <w:t>老师</w:t>
      </w:r>
    </w:p>
    <w:p>
      <w:pPr>
        <w:spacing w:line="360" w:lineRule="auto"/>
        <w:ind w:firstLine="720" w:firstLineChars="300"/>
        <w:rPr>
          <w:rFonts w:ascii="宋体" w:hAnsi="宋体"/>
          <w:color w:val="auto"/>
          <w:highlight w:val="none"/>
        </w:rPr>
      </w:pPr>
      <w:r>
        <w:rPr>
          <w:rFonts w:hint="eastAsia" w:ascii="宋体" w:hAnsi="宋体"/>
          <w:color w:val="auto"/>
          <w:highlight w:val="none"/>
        </w:rPr>
        <w:t>联系电话：0871-86919200</w:t>
      </w:r>
    </w:p>
    <w:p>
      <w:pPr>
        <w:spacing w:line="360" w:lineRule="auto"/>
        <w:ind w:firstLine="720" w:firstLineChars="300"/>
        <w:rPr>
          <w:rFonts w:ascii="宋体" w:hAnsi="宋体"/>
          <w:color w:val="auto"/>
          <w:highlight w:val="none"/>
        </w:rPr>
      </w:pPr>
      <w:r>
        <w:rPr>
          <w:rFonts w:hint="eastAsia" w:ascii="宋体" w:hAnsi="宋体"/>
          <w:color w:val="auto"/>
          <w:highlight w:val="none"/>
        </w:rPr>
        <w:t>采购项目联系人：</w:t>
      </w:r>
      <w:r>
        <w:rPr>
          <w:rFonts w:hint="eastAsia" w:ascii="宋体" w:hAnsi="宋体"/>
          <w:color w:val="auto"/>
          <w:highlight w:val="none"/>
          <w:lang w:val="en-US" w:eastAsia="zh-CN"/>
        </w:rPr>
        <w:t>马</w:t>
      </w:r>
      <w:r>
        <w:rPr>
          <w:rFonts w:hint="eastAsia" w:ascii="宋体" w:hAnsi="宋体"/>
          <w:color w:val="auto"/>
          <w:highlight w:val="none"/>
        </w:rPr>
        <w:t>老师</w:t>
      </w:r>
    </w:p>
    <w:p>
      <w:pPr>
        <w:spacing w:line="360" w:lineRule="auto"/>
        <w:ind w:firstLine="720" w:firstLineChars="300"/>
        <w:rPr>
          <w:rFonts w:hint="default" w:ascii="宋体" w:hAnsi="宋体" w:eastAsia="宋体"/>
          <w:color w:val="auto"/>
          <w:highlight w:val="none"/>
          <w:lang w:val="en-US" w:eastAsia="zh-CN"/>
        </w:rPr>
      </w:pPr>
      <w:r>
        <w:rPr>
          <w:rFonts w:hint="eastAsia" w:ascii="宋体" w:hAnsi="宋体"/>
          <w:color w:val="auto"/>
          <w:highlight w:val="none"/>
        </w:rPr>
        <w:t>联系电话：</w:t>
      </w:r>
      <w:r>
        <w:rPr>
          <w:rFonts w:hint="eastAsia" w:ascii="宋体" w:hAnsi="宋体"/>
          <w:color w:val="auto"/>
          <w:highlight w:val="none"/>
          <w:lang w:val="en-US" w:eastAsia="zh-CN"/>
        </w:rPr>
        <w:t>0571-86919252</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地址：杭州市经济技术开发区白杨街道学林街948号</w:t>
      </w:r>
    </w:p>
    <w:p>
      <w:pPr>
        <w:spacing w:line="360" w:lineRule="auto"/>
        <w:ind w:firstLine="480" w:firstLineChars="200"/>
        <w:rPr>
          <w:rFonts w:hint="eastAsia" w:ascii="宋体" w:hAnsi="宋体"/>
          <w:color w:val="auto"/>
          <w:kern w:val="0"/>
          <w:highlight w:val="none"/>
        </w:rPr>
      </w:pPr>
      <w:r>
        <w:rPr>
          <w:rFonts w:hint="eastAsia" w:ascii="宋体" w:hAnsi="宋体"/>
          <w:color w:val="auto"/>
          <w:kern w:val="0"/>
          <w:highlight w:val="none"/>
        </w:rPr>
        <w:t xml:space="preserve">2.代理机构名称：浙江五石工程咨询有限公司  </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项目联系人：陈工</w:t>
      </w:r>
    </w:p>
    <w:p>
      <w:pPr>
        <w:spacing w:line="360" w:lineRule="auto"/>
        <w:ind w:firstLine="720" w:firstLineChars="300"/>
        <w:rPr>
          <w:rFonts w:hint="default" w:ascii="宋体" w:hAnsi="宋体" w:eastAsia="宋体"/>
          <w:color w:val="auto"/>
          <w:kern w:val="0"/>
          <w:highlight w:val="none"/>
          <w:lang w:val="en-US" w:eastAsia="zh-CN"/>
        </w:rPr>
      </w:pPr>
      <w:r>
        <w:rPr>
          <w:rFonts w:hint="eastAsia" w:ascii="宋体" w:hAnsi="宋体"/>
          <w:color w:val="auto"/>
          <w:kern w:val="0"/>
          <w:highlight w:val="none"/>
        </w:rPr>
        <w:t>联系电话：0571-86098397-808</w:t>
      </w:r>
      <w:r>
        <w:rPr>
          <w:rFonts w:hint="eastAsia" w:ascii="宋体" w:hAnsi="宋体"/>
          <w:color w:val="auto"/>
          <w:kern w:val="0"/>
          <w:highlight w:val="none"/>
          <w:lang w:val="en-US" w:eastAsia="zh-CN"/>
        </w:rPr>
        <w:t>/17746802645</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报名联系人：梁工</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联系电话：17746806483</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邮箱：2810140286@qq.com</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质疑联系人及电话：毛工/0571-87919156</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浙江五石工程咨询有限公司官网：http://zjwsbidding.com/</w:t>
      </w:r>
    </w:p>
    <w:p>
      <w:pPr>
        <w:spacing w:line="360" w:lineRule="auto"/>
        <w:ind w:firstLine="720" w:firstLineChars="300"/>
        <w:rPr>
          <w:rFonts w:hint="eastAsia" w:ascii="宋体" w:hAnsi="宋体"/>
          <w:color w:val="auto"/>
          <w:kern w:val="0"/>
          <w:highlight w:val="none"/>
        </w:rPr>
      </w:pPr>
      <w:r>
        <w:rPr>
          <w:rFonts w:hint="eastAsia" w:ascii="宋体" w:hAnsi="宋体"/>
          <w:color w:val="auto"/>
          <w:kern w:val="0"/>
          <w:highlight w:val="none"/>
        </w:rPr>
        <w:t>地址：杭州市滨江区东方通信科技园启迪楼2楼1207室</w:t>
      </w:r>
    </w:p>
    <w:p>
      <w:pPr>
        <w:pStyle w:val="14"/>
        <w:rPr>
          <w:color w:val="auto"/>
          <w:highlight w:val="none"/>
        </w:rPr>
      </w:pPr>
    </w:p>
    <w:p>
      <w:pPr>
        <w:pStyle w:val="2"/>
        <w:rPr>
          <w:color w:val="auto"/>
          <w:highlight w:val="none"/>
        </w:rPr>
      </w:pPr>
    </w:p>
    <w:p>
      <w:pPr>
        <w:ind w:firstLine="720" w:firstLineChars="300"/>
        <w:rPr>
          <w:rFonts w:ascii="宋体" w:hAnsi="宋体" w:cs="宋体"/>
          <w:color w:val="auto"/>
          <w:highlight w:val="none"/>
        </w:rPr>
      </w:pP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fmt="decimal" w:start="1"/>
          <w:cols w:space="720" w:num="1"/>
          <w:docGrid w:linePitch="381" w:charSpace="0"/>
        </w:sectPr>
      </w:pPr>
    </w:p>
    <w:bookmarkEnd w:id="3"/>
    <w:p>
      <w:pPr>
        <w:pStyle w:val="4"/>
        <w:rPr>
          <w:color w:val="auto"/>
          <w:highlight w:val="none"/>
        </w:rPr>
      </w:pPr>
      <w:bookmarkStart w:id="5" w:name="_Toc24282"/>
      <w:r>
        <w:rPr>
          <w:rFonts w:hint="eastAsia" w:cs="宋体"/>
          <w:color w:val="auto"/>
          <w:highlight w:val="none"/>
        </w:rPr>
        <w:t>第二章 项目需求说明</w:t>
      </w:r>
      <w:bookmarkEnd w:id="5"/>
    </w:p>
    <w:p>
      <w:pPr>
        <w:pStyle w:val="5"/>
        <w:bidi w:val="0"/>
        <w:rPr>
          <w:rFonts w:hint="eastAsia"/>
          <w:color w:val="auto"/>
          <w:highlight w:val="none"/>
        </w:rPr>
      </w:pPr>
      <w:bookmarkStart w:id="6" w:name="_Toc4822"/>
      <w:bookmarkStart w:id="7" w:name="_Toc6282"/>
      <w:bookmarkStart w:id="8" w:name="_Toc450840085"/>
      <w:r>
        <w:rPr>
          <w:rFonts w:hint="eastAsia"/>
          <w:color w:val="auto"/>
          <w:highlight w:val="none"/>
          <w:lang w:val="en-US" w:eastAsia="zh-CN"/>
        </w:rPr>
        <w:t>一</w:t>
      </w:r>
      <w:r>
        <w:rPr>
          <w:rFonts w:hint="eastAsia"/>
          <w:color w:val="auto"/>
          <w:highlight w:val="none"/>
        </w:rPr>
        <w:t>、采购资金的支付方式、时间、条件：</w:t>
      </w:r>
    </w:p>
    <w:tbl>
      <w:tblPr>
        <w:tblStyle w:val="3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履约质量保证金</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合同签订时，中标方向采购人交纳合同履约质量保证金人民币</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val="en-US" w:eastAsia="zh-CN"/>
              </w:rPr>
              <w:t>十万</w:t>
            </w:r>
            <w:r>
              <w:rPr>
                <w:rFonts w:hint="eastAsia"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元整，无违约情况，合同期满后无息退还。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付款条件</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1、货到验收合格后，中标方需提供当月供货发票,发票金额按自然月所供货款。如中标方为增值税一般纳税人，需提供增值税专用发票；如供应商为小规模纳税人，需向税务局代开增值税专用发票。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货到验收合格后隔月结算货款，中标方在杭电后勤采供与核算管理系统中核对账款，如有疑问与采购人对账核算人员核对确认。采购人应在中标方货款结算审核确认后一个月内付款，寒暑假、节假日等则顺延至开学后；如有特殊情况，必须经采购人同意方可提前支付货款。</w:t>
            </w:r>
          </w:p>
        </w:tc>
      </w:tr>
    </w:tbl>
    <w:p>
      <w:pPr>
        <w:bidi w:val="0"/>
        <w:rPr>
          <w:rFonts w:hint="eastAsia"/>
          <w:color w:val="auto"/>
          <w:highlight w:val="none"/>
        </w:rPr>
      </w:pPr>
    </w:p>
    <w:p>
      <w:pPr>
        <w:pStyle w:val="5"/>
        <w:bidi w:val="0"/>
        <w:rPr>
          <w:rFonts w:hint="eastAsia" w:cs="Times New Roman"/>
          <w:color w:val="auto"/>
          <w:highlight w:val="none"/>
        </w:rPr>
      </w:pPr>
      <w:r>
        <w:rPr>
          <w:rFonts w:hint="eastAsia" w:cs="Times New Roman"/>
          <w:color w:val="auto"/>
          <w:highlight w:val="none"/>
          <w:lang w:val="en-US" w:eastAsia="zh-CN"/>
        </w:rPr>
        <w:t>二</w:t>
      </w:r>
      <w:r>
        <w:rPr>
          <w:rFonts w:hint="eastAsia" w:cs="Times New Roman"/>
          <w:color w:val="auto"/>
          <w:highlight w:val="none"/>
        </w:rPr>
        <w:t>、服务要求（技术要求里另有注明的以技术要求为准）：</w:t>
      </w:r>
    </w:p>
    <w:tbl>
      <w:tblPr>
        <w:tblStyle w:val="3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质保期</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所有维修材料按国家标准执行，无国家标准的质保期不少于1年。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定点供货期</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供货时间和地点</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供货时间：按采购人通知的要求送货上门。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供货地点：采购人指定的地点。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pacing w:val="-6"/>
                <w:sz w:val="21"/>
                <w:szCs w:val="21"/>
                <w:highlight w:val="none"/>
              </w:rPr>
            </w:pPr>
            <w:r>
              <w:rPr>
                <w:rFonts w:hint="eastAsia" w:ascii="宋体" w:hAnsi="宋体" w:cs="宋体"/>
                <w:color w:val="auto"/>
                <w:sz w:val="21"/>
                <w:szCs w:val="21"/>
                <w:highlight w:val="none"/>
              </w:rPr>
              <w:t>配送、服务要求</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中标方必须承诺，在接到采购人供货通知后，在规定时间内将供货产品送至采购人指定地点。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其他要求</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1、中标方应确保供货产品的质量符合国家有关规定，不得提供冒牌及不合格产品，否则一旦查实，采购人有权取消其定点供应商资格，并要求赔偿相应损失。</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2、投标报价须包含货物费用、服务费、运输费（送至招标人指定地点）、税金等所需的全部费用。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3、投标人应提供详细的售后服务及技术服务方案。在定点供货期内，中标方必须提供相应的技术支持服务。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color w:val="auto"/>
                <w:highlight w:val="none"/>
              </w:rPr>
            </w:pPr>
            <w:r>
              <w:rPr>
                <w:rFonts w:hint="eastAsia" w:ascii="宋体" w:hAnsi="宋体" w:cs="宋体"/>
                <w:color w:val="auto"/>
                <w:sz w:val="21"/>
                <w:szCs w:val="21"/>
                <w:highlight w:val="none"/>
              </w:rPr>
              <w:t>4、采购人将对中标方进行定期考核，考核不合格的，采购人有权提前终止定点供货合同。</w:t>
            </w:r>
          </w:p>
        </w:tc>
      </w:tr>
    </w:tbl>
    <w:p>
      <w:pPr>
        <w:bidi w:val="0"/>
        <w:rPr>
          <w:rFonts w:hint="eastAsia"/>
          <w:color w:val="auto"/>
          <w:highlight w:val="none"/>
        </w:rPr>
      </w:pPr>
    </w:p>
    <w:p>
      <w:pPr>
        <w:pStyle w:val="5"/>
        <w:bidi w:val="0"/>
        <w:rPr>
          <w:rFonts w:hint="eastAsia"/>
          <w:color w:val="auto"/>
          <w:highlight w:val="none"/>
        </w:rPr>
      </w:pPr>
      <w:r>
        <w:rPr>
          <w:rFonts w:hint="eastAsia"/>
          <w:color w:val="auto"/>
          <w:highlight w:val="none"/>
          <w:lang w:val="en-US" w:eastAsia="zh-CN"/>
        </w:rPr>
        <w:t>三</w:t>
      </w:r>
      <w:r>
        <w:rPr>
          <w:rFonts w:hint="eastAsia"/>
          <w:color w:val="auto"/>
          <w:highlight w:val="none"/>
        </w:rPr>
        <w:t>、技术要求（含采购清单）</w:t>
      </w:r>
    </w:p>
    <w:p>
      <w:pPr>
        <w:pStyle w:val="6"/>
        <w:bidi w:val="0"/>
        <w:rPr>
          <w:rFonts w:hint="eastAsia"/>
          <w:color w:val="auto"/>
          <w:highlight w:val="none"/>
        </w:rPr>
      </w:pPr>
      <w:bookmarkStart w:id="9" w:name="_Toc272147102"/>
      <w:bookmarkStart w:id="10" w:name="_Toc132888832"/>
      <w:bookmarkStart w:id="11" w:name="_Toc248215384"/>
      <w:bookmarkStart w:id="12" w:name="_Toc248228517"/>
      <w:bookmarkStart w:id="13" w:name="_Toc272145147"/>
      <w:bookmarkStart w:id="14" w:name="_Toc248227203"/>
      <w:bookmarkStart w:id="15" w:name="_Toc248058822"/>
      <w:bookmarkStart w:id="16" w:name="_Toc272144931"/>
      <w:bookmarkStart w:id="17" w:name="_Toc248212195"/>
      <w:bookmarkStart w:id="18" w:name="_Toc318801981"/>
      <w:bookmarkStart w:id="19" w:name="_Toc441569382"/>
      <w:r>
        <w:rPr>
          <w:rFonts w:hint="eastAsia"/>
          <w:color w:val="auto"/>
          <w:highlight w:val="none"/>
        </w:rPr>
        <w:t>一、项目概</w:t>
      </w:r>
      <w:bookmarkEnd w:id="9"/>
      <w:bookmarkEnd w:id="10"/>
      <w:bookmarkEnd w:id="11"/>
      <w:bookmarkEnd w:id="12"/>
      <w:bookmarkEnd w:id="13"/>
      <w:bookmarkEnd w:id="14"/>
      <w:bookmarkEnd w:id="15"/>
      <w:bookmarkEnd w:id="16"/>
      <w:bookmarkEnd w:id="17"/>
      <w:bookmarkEnd w:id="18"/>
      <w:r>
        <w:rPr>
          <w:rFonts w:hint="eastAsia"/>
          <w:color w:val="auto"/>
          <w:highlight w:val="none"/>
        </w:rPr>
        <w:t>况</w:t>
      </w:r>
      <w:bookmarkEnd w:id="19"/>
    </w:p>
    <w:p>
      <w:pPr>
        <w:adjustRightInd w:val="0"/>
        <w:snapToGrid w:val="0"/>
        <w:spacing w:line="288" w:lineRule="auto"/>
        <w:ind w:firstLine="514" w:firstLineChars="245"/>
        <w:rPr>
          <w:rFonts w:hint="eastAsia" w:ascii="宋体" w:hAnsi="宋体" w:cs="宋体"/>
          <w:color w:val="auto"/>
          <w:sz w:val="21"/>
          <w:szCs w:val="21"/>
          <w:highlight w:val="none"/>
        </w:rPr>
      </w:pPr>
      <w:bookmarkStart w:id="20" w:name="_Toc132888833"/>
      <w:bookmarkStart w:id="21" w:name="_Toc248215385"/>
      <w:bookmarkStart w:id="22" w:name="_Toc248227204"/>
      <w:bookmarkStart w:id="23" w:name="_Toc248228518"/>
      <w:bookmarkStart w:id="24" w:name="_Toc248212196"/>
      <w:bookmarkStart w:id="25" w:name="_Toc272147103"/>
      <w:bookmarkStart w:id="26" w:name="_Toc272145148"/>
      <w:bookmarkStart w:id="27" w:name="_Toc248058823"/>
      <w:bookmarkStart w:id="28" w:name="_Toc272144932"/>
      <w:r>
        <w:rPr>
          <w:rFonts w:hint="eastAsia" w:ascii="宋体" w:hAnsi="宋体" w:cs="宋体"/>
          <w:color w:val="auto"/>
          <w:sz w:val="21"/>
          <w:szCs w:val="21"/>
          <w:highlight w:val="none"/>
        </w:rPr>
        <w:t>本次所采购的货物和服务为</w:t>
      </w:r>
      <w:r>
        <w:rPr>
          <w:rFonts w:hint="eastAsia" w:ascii="宋体" w:hAnsi="宋体" w:cs="宋体"/>
          <w:color w:val="auto"/>
          <w:kern w:val="0"/>
          <w:sz w:val="21"/>
          <w:szCs w:val="21"/>
          <w:highlight w:val="none"/>
        </w:rPr>
        <w:t>杭州文一教育发展有限公司维修材料供应，</w:t>
      </w:r>
      <w:r>
        <w:rPr>
          <w:rFonts w:hint="eastAsia" w:ascii="宋体" w:hAnsi="宋体" w:cs="宋体"/>
          <w:color w:val="auto"/>
          <w:sz w:val="21"/>
          <w:szCs w:val="21"/>
          <w:highlight w:val="none"/>
        </w:rPr>
        <w:t>投标人根据所提供采购货物的名称、式样、数量、规格、用途情况，结合本次采购的特点从供应，服务等诸方面综合考虑。</w:t>
      </w:r>
    </w:p>
    <w:bookmarkEnd w:id="20"/>
    <w:bookmarkEnd w:id="21"/>
    <w:bookmarkEnd w:id="22"/>
    <w:bookmarkEnd w:id="23"/>
    <w:bookmarkEnd w:id="24"/>
    <w:bookmarkEnd w:id="25"/>
    <w:bookmarkEnd w:id="26"/>
    <w:bookmarkEnd w:id="27"/>
    <w:bookmarkEnd w:id="28"/>
    <w:p>
      <w:pPr>
        <w:pStyle w:val="6"/>
        <w:bidi w:val="0"/>
        <w:rPr>
          <w:rFonts w:hint="eastAsia"/>
          <w:color w:val="auto"/>
          <w:highlight w:val="none"/>
        </w:rPr>
      </w:pPr>
      <w:bookmarkStart w:id="29" w:name="_Toc247289977"/>
      <w:bookmarkStart w:id="30" w:name="_Toc235869999"/>
      <w:bookmarkStart w:id="31" w:name="_Toc205101077"/>
      <w:bookmarkStart w:id="32" w:name="_Toc185935260"/>
      <w:r>
        <w:rPr>
          <w:rFonts w:hint="eastAsia"/>
          <w:color w:val="auto"/>
          <w:highlight w:val="none"/>
        </w:rPr>
        <w:t>二、服务要求</w:t>
      </w:r>
      <w:bookmarkEnd w:id="29"/>
      <w:bookmarkEnd w:id="30"/>
      <w:bookmarkEnd w:id="31"/>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bookmarkEnd w:id="32"/>
    <w:p>
      <w:pPr>
        <w:adjustRightInd w:val="0"/>
        <w:snapToGrid w:val="0"/>
        <w:spacing w:line="288" w:lineRule="auto"/>
        <w:jc w:val="left"/>
        <w:rPr>
          <w:rFonts w:hint="eastAsia" w:ascii="宋体" w:hAnsi="宋体" w:cs="宋体"/>
          <w:b/>
          <w:bCs/>
          <w:color w:val="auto"/>
          <w:sz w:val="21"/>
          <w:szCs w:val="21"/>
          <w:highlight w:val="none"/>
        </w:rPr>
      </w:pPr>
    </w:p>
    <w:p>
      <w:pPr>
        <w:pStyle w:val="6"/>
        <w:bidi w:val="0"/>
        <w:rPr>
          <w:rFonts w:hint="eastAsia"/>
          <w:color w:val="auto"/>
          <w:highlight w:val="none"/>
        </w:rPr>
      </w:pPr>
      <w:r>
        <w:rPr>
          <w:rFonts w:hint="eastAsia"/>
          <w:color w:val="auto"/>
          <w:highlight w:val="none"/>
        </w:rPr>
        <w:t>三、订货、交货时间及地点</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每天送货：为采购人报单后48小时内送达。</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送货地点：采购人维修仓库或其他指定地点。</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报单方式：采购人可采用电话、电子邮件、微信或采购人采购核算系统等方式报单。中标方按订货单确定的品种、数量及要求送货。若采购人出现紧急订货等特殊情况，中标方亦应予以满足。</w:t>
      </w:r>
    </w:p>
    <w:p>
      <w:pPr>
        <w:adjustRightInd w:val="0"/>
        <w:snapToGrid w:val="0"/>
        <w:spacing w:line="288" w:lineRule="auto"/>
        <w:jc w:val="left"/>
        <w:rPr>
          <w:rFonts w:hint="eastAsia" w:ascii="宋体" w:hAnsi="宋体" w:cs="宋体"/>
          <w:b/>
          <w:bCs/>
          <w:color w:val="auto"/>
          <w:sz w:val="21"/>
          <w:szCs w:val="21"/>
          <w:highlight w:val="none"/>
        </w:rPr>
      </w:pPr>
    </w:p>
    <w:p>
      <w:pPr>
        <w:pStyle w:val="6"/>
        <w:bidi w:val="0"/>
        <w:rPr>
          <w:rFonts w:hint="eastAsia"/>
          <w:color w:val="auto"/>
          <w:highlight w:val="none"/>
        </w:rPr>
      </w:pPr>
      <w:r>
        <w:rPr>
          <w:rFonts w:hint="eastAsia"/>
          <w:color w:val="auto"/>
          <w:highlight w:val="none"/>
        </w:rPr>
        <w:t>四、定点供货清单</w:t>
      </w:r>
    </w:p>
    <w:p>
      <w:pPr>
        <w:adjustRightInd w:val="0"/>
        <w:snapToGrid w:val="0"/>
        <w:spacing w:line="288" w:lineRule="auto"/>
        <w:ind w:firstLine="480" w:firstLineChars="200"/>
        <w:jc w:val="left"/>
        <w:rPr>
          <w:rFonts w:hint="eastAsia" w:ascii="宋体" w:hAnsi="宋体" w:cs="宋体"/>
          <w:color w:val="auto"/>
          <w:sz w:val="21"/>
          <w:szCs w:val="21"/>
          <w:highlight w:val="none"/>
        </w:rPr>
      </w:pPr>
      <w:r>
        <w:rPr>
          <w:rFonts w:hint="eastAsia" w:ascii="宋体" w:hAnsi="宋体" w:cs="宋体"/>
          <w:bCs/>
          <w:color w:val="auto"/>
          <w:kern w:val="0"/>
          <w:szCs w:val="21"/>
          <w:highlight w:val="none"/>
        </w:rPr>
        <w:t>★</w:t>
      </w:r>
      <w:r>
        <w:rPr>
          <w:rFonts w:hint="eastAsia" w:ascii="宋体" w:hAnsi="宋体" w:cs="宋体"/>
          <w:color w:val="auto"/>
          <w:sz w:val="21"/>
          <w:szCs w:val="21"/>
          <w:highlight w:val="none"/>
        </w:rPr>
        <w:t>投标人必须对下列供货清单进行报价，合同执行过程中按中标单价据实结算。</w:t>
      </w:r>
    </w:p>
    <w:p>
      <w:pPr>
        <w:pStyle w:val="2"/>
        <w:jc w:val="center"/>
        <w:rPr>
          <w:rFonts w:hint="eastAsia"/>
          <w:b/>
          <w:bCs/>
          <w:color w:val="auto"/>
          <w:sz w:val="21"/>
          <w:szCs w:val="21"/>
          <w:highlight w:val="none"/>
        </w:rPr>
      </w:pPr>
      <w:r>
        <w:rPr>
          <w:rFonts w:hint="eastAsia"/>
          <w:b/>
          <w:bCs/>
          <w:color w:val="auto"/>
          <w:sz w:val="21"/>
          <w:szCs w:val="21"/>
          <w:highlight w:val="none"/>
        </w:rPr>
        <w:t>维修材料招标用清单（该项清单报价装订到报价文件中）</w:t>
      </w:r>
    </w:p>
    <w:tbl>
      <w:tblPr>
        <w:tblStyle w:val="39"/>
        <w:tblW w:w="10005" w:type="dxa"/>
        <w:jc w:val="center"/>
        <w:shd w:val="clear" w:color="auto" w:fill="auto"/>
        <w:tblLayout w:type="fixed"/>
        <w:tblCellMar>
          <w:top w:w="0" w:type="dxa"/>
          <w:left w:w="108" w:type="dxa"/>
          <w:bottom w:w="0" w:type="dxa"/>
          <w:right w:w="108" w:type="dxa"/>
        </w:tblCellMar>
      </w:tblPr>
      <w:tblGrid>
        <w:gridCol w:w="1054"/>
        <w:gridCol w:w="908"/>
        <w:gridCol w:w="2005"/>
        <w:gridCol w:w="1514"/>
        <w:gridCol w:w="1527"/>
        <w:gridCol w:w="1715"/>
        <w:gridCol w:w="1282"/>
      </w:tblGrid>
      <w:tr>
        <w:tblPrEx>
          <w:tblCellMar>
            <w:top w:w="0" w:type="dxa"/>
            <w:left w:w="108" w:type="dxa"/>
            <w:bottom w:w="0" w:type="dxa"/>
            <w:right w:w="108" w:type="dxa"/>
          </w:tblCellMar>
        </w:tblPrEx>
        <w:trPr>
          <w:trHeight w:val="570" w:hRule="atLeast"/>
          <w:jc w:val="center"/>
        </w:trPr>
        <w:tc>
          <w:tcPr>
            <w:tcW w:w="10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种类</w:t>
            </w:r>
          </w:p>
        </w:tc>
        <w:tc>
          <w:tcPr>
            <w:tcW w:w="9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20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物料名称</w:t>
            </w:r>
          </w:p>
        </w:tc>
        <w:tc>
          <w:tcPr>
            <w:tcW w:w="15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现用品牌</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型号</w:t>
            </w:r>
          </w:p>
        </w:tc>
        <w:tc>
          <w:tcPr>
            <w:tcW w:w="17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规格</w:t>
            </w:r>
          </w:p>
        </w:tc>
        <w:tc>
          <w:tcPr>
            <w:tcW w:w="12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计量单位</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2"/>
                <w:szCs w:val="22"/>
                <w:highlight w:val="none"/>
              </w:rPr>
              <w:t>水暖材料</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台盆短落水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MP33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三角阀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205B</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快开水嘴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摇摆水嘴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半自动</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LXS-20E</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1.6MPa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减压阀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719过滤型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高温闸阀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1.6MPa(108)</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铜球阀手柄</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PPR内丝接头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PPR内丝弯头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PPR三通</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PPR直接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PPR直接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PVC直接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塑料台盆下水管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大明仔</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伸缩</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ABS台盆下水S弯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铁骑马</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地漏芯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地漏芯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φ75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哈夫节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国兴</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100*400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镀锌异径弯头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镀锌外螺丝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镀锌三通</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镀锌三通</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镀锌闷头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镀锌闷头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蹲坑不锈钢立管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川南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金洲</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100*3.5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高温球阀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Q11F-16C</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生料带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（长20m，宽26mm）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台盆水嘴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十字梅花手轮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大便冲洗阀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D25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小便按钮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快开水嘴阀芯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双牙水嘴阀芯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不锈钢落水口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A1B1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双扣</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1.5M长</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塑料淋浴头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手持式</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坐便器进水阀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台盆水嘴阀芯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台盆水嘴手轮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大便冲冼阀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座封弹性暗杆闸阀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法兰铸钢闸阀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不锈钢浮球阀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铜闸阀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铜浮球阀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消音止回阀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PPR外丝活接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φ63*50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镀锌管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哈夫节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焊接法兰</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焊接法兰</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φ159</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焊接法兰片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玛钢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全铜地漏</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水池</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3#（陶瓷）</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丝口法兰片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丝口法兰片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PVC大小头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φ50*40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PPR大小头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杯苏</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伟星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蹲坑大小头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橡皮</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75*30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花洒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电气材料</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启辉器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飞利浦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日光灯管T8</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飞利浦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3U23W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飞利浦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3U14W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220V50W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4.5WLED</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罗口吊灯头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2U</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LED平板灯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60*60LED</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插口节能灯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T8LED日光灯管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T8日光灯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16WLED</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百分百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百分百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T5日光灯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雷士</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筒灯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LED射灯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LED格栅灯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7W（E27灯头）</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日光灯管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T816W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LEDT8灯管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LED灯管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吸顶灯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LED平板灯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金属卤化灯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亚明</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C651P10A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C651P16A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C652P63A带漏保</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DPNC651P20A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C654P20A带漏保</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C654P40A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5(20)机械表</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5(20)电子表</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鸿雁空开箱面板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10P</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A86K1110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A86K1210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A86K2110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A86K2210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时控</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KG316T</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明合</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A86Z22310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A86Z1316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A86Z1416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A86Z1425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CZ12T10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闷板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A86ZBN</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调速开关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300WZ86TS300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调速开关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Z86TS250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瓷灯头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插头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二芯电话线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网络水晶头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超五类网线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五芯</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四芯</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双色线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BVR6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绞织线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BVVB3*2.5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BVVB2*0.5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BVVB2*2.5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BVVB3*1.5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多股线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BV1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护套软线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RVV3*1.5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万马</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YZ5*6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锦州</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同步电机</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永磁3r/min4W50HZ</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熔断器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RT36-00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JR36-20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CJX2-1810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交流接触器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CJX2-251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接线柱H2519-3</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黄腊管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黄腊管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φ5(阻燃)</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10MM铜鼻子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16MM铜鼻子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25MM铜鼻子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10A铜开口鼻</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10A</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200A铜开口鼻</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200A</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300A铜开口鼻子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300A</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电子整流器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18WT8面包型</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电容</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五京</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1.2UF</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电容</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五京</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2.4UF</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电池</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触发器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欧司朗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波达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5CM不锈钢地板槽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小便冲洗阀感应器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LED电子变压器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LED吸顶灯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众辉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LED吸顶灯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佛山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塑料电表箱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三相电表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20(80)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明装配电箱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明装配电箱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明装空开箱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36P</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漏保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100ACM1-100L/3300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C120H4P80A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C651P50A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C651P63A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C652P6A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C653P50A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C653P63A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C65N3P100A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C654P63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C652P32A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DPNa1P16A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DPNa1P25A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DPNa1P40A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带漏保空开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4P25A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A86K3210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E27螺旋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E27螺旋</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CJX2-0901380V</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B85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西门子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62E</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交流接触器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CJT1-20A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汇流排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4P63A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电子整流器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电子整流器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电扇热保护</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95度</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触发器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欧士朗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一次性插件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SCT10B250A</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消防应急灯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赛安达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建筑材料</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中石子</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吨</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φ10圆钢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外墙腻子粉</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浙江钱潮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11KG/桶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内墙涂料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内墙乳胶漆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内墙腻子粉</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大桶</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PVC胶水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黄沙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江沙</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吨</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红砖</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红柳桉木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15.5cm*2cm*200cm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瓜子片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吨</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干砂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复合窨井</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复合窨井</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50*50*6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复合窨井盖板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片</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防水涂料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防水涂料</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雨虹</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 厚2.75mm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2cm*4cm（6米/支）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 厚2.75-3mm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5cm*6cm（6米/支）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570"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热镀锌 厚3-4mm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6cm*8cm（6米/支）</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堵漏王</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立邦</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窗纱</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1米宽（塑料）</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标准杉木档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4cm*6cm*400cm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保温管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厚2-2.5cm</w:t>
            </w:r>
          </w:p>
        </w:tc>
        <w:tc>
          <w:tcPr>
            <w:tcW w:w="171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8字砖</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φ19（国标）</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5*5（国标）</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胶泥</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杭卓</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20公斤</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30*30*600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扁铁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扁铁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螺纹钢</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松木档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3cm*5cm*300cm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黑磁漆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20KG（白）</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铝粉漆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墙面保护剂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耐帮</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（中黄）2.5KG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外墙乳胶漆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云石胶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得玛茜</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地板漆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（中灰）17KG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（白）2.5KG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保温管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醇酸调和漆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（黑）13KG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防锈漆</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（铁红）20KG</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tblCellMar>
            <w:top w:w="0" w:type="dxa"/>
            <w:left w:w="108" w:type="dxa"/>
            <w:bottom w:w="0" w:type="dxa"/>
            <w:right w:w="108" w:type="dxa"/>
          </w:tblCellMar>
        </w:tblPrEx>
        <w:trPr>
          <w:trHeight w:val="315" w:hRule="atLeast"/>
          <w:jc w:val="center"/>
        </w:trPr>
        <w:tc>
          <w:tcPr>
            <w:tcW w:w="105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小五金</w:t>
            </w: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瓷砖钻头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合金钻头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合金钻头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小滚筒芯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滚筒</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漆刷</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加厚</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漆刷</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加厚</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美工刀片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LB62H</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数字钳形万用表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胜利牌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DM6015F</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麻花钻头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麻花钻头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砂轮片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片</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锯条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（细齿）</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片</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手枪钻</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OBM10RE</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干砂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加强铝合金双梯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高升牌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2米</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加强铝合金双梯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高升牌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2.5米</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拉手</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铁膨胀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暗箱扣</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NSK</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NSK</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螺帽</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自攻螺丝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晋亿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自攻螺丝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晋亿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自攻螺丝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晋亿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角码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3*3(小）</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枪钉</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F30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塑料线卡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塑料线卡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塑料线卡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抽屉轨道</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阿里山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抽屉轨道</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阿里山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40CM</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不锈钢门吸</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标志牌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不锈钢插销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球形锁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创奇木柄</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（5831木球）</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三保险锁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556</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铜锁芯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75双开</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执手锁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固得异</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F22838</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黑抽屉锁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贴力王</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136-22</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球形锁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星维</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三柱式3067p/s加长</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铁挂锁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梅花</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电焊条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金桥牌</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罗批</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世达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钢丝钳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绿林</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7寸</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尖嘴钳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6寸</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尖嘴钳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世达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6寸</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美工刀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LC-620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管子钳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得力</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麻花钻头</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扎带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电笔</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世达</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6201</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熔接器</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中财</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PPR(20-63)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半自动钉枪</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汉斯</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切割机</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GDM13-34</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电锤</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博世</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TBH260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高压皮吸</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好太太</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大号</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6309</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法兰座</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高迪</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不锈钢合页</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红双鹰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铜锁芯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90双开</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抽屉锁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金珠王</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138-32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把</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耐高温油脂</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美孚</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2KG</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桶</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定向轮连架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万向轮连架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明尔指示灯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明尔</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LA125B-11TD</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永德信灶前球阀</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永德信</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德力西时控开关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德力西</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KG316T</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万向轮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力帆</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300ml</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道康宁</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电气胶带</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永乐</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假草皮</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厚30mm</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2米*25米</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平方</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6202</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6201</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细木工板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千年舟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1220*2440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白结构胶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喜安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590ml</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防火门锁芯</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通开</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不锈钢定风钩</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φ8钢丝绳</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φ8</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米</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三夹板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千年舟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1220*2440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白执手</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金瑞</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塑钢窗</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吸顶扇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永生</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1400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换气扇</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乘风</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300*300</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厕所门锁(黑)</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塑料</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黑结构胶</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喜安</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590ml</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451</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φ19衣托</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铝合金</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452</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家具包边条</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卷</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453</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铝扣板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佳斯宝</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454</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不锈钢角码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国标</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30*30*16</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455</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铝塑板</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吉祥</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PE813</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1220*2440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张</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456</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月牙锁</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瑞仕</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带钩</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457</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大扁头螺丝螺母</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458</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六角螺丝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459</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六角螺丝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8*20</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460</w:t>
            </w:r>
          </w:p>
        </w:tc>
        <w:tc>
          <w:tcPr>
            <w:tcW w:w="200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大扁头螺丝</w:t>
            </w:r>
          </w:p>
        </w:tc>
        <w:tc>
          <w:tcPr>
            <w:tcW w:w="151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6*25</w:t>
            </w:r>
          </w:p>
        </w:tc>
        <w:tc>
          <w:tcPr>
            <w:tcW w:w="128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vMerge w:val="continue"/>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461</w:t>
            </w:r>
          </w:p>
        </w:tc>
        <w:tc>
          <w:tcPr>
            <w:tcW w:w="20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大扁头螺丝螺母</w:t>
            </w:r>
          </w:p>
        </w:tc>
        <w:tc>
          <w:tcPr>
            <w:tcW w:w="15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7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6*20</w:t>
            </w:r>
          </w:p>
        </w:tc>
        <w:tc>
          <w:tcPr>
            <w:tcW w:w="12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shd w:val="clear" w:color="auto" w:fill="auto"/>
          <w:tblCellMar>
            <w:top w:w="0" w:type="dxa"/>
            <w:left w:w="108" w:type="dxa"/>
            <w:bottom w:w="0" w:type="dxa"/>
            <w:right w:w="108" w:type="dxa"/>
          </w:tblCellMar>
        </w:tblPrEx>
        <w:trPr>
          <w:trHeight w:val="285" w:hRule="atLeast"/>
          <w:jc w:val="center"/>
        </w:trPr>
        <w:tc>
          <w:tcPr>
            <w:tcW w:w="1054" w:type="dxa"/>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90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462</w:t>
            </w:r>
          </w:p>
        </w:tc>
        <w:tc>
          <w:tcPr>
            <w:tcW w:w="20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伸缩铁花篮</w:t>
            </w:r>
          </w:p>
        </w:tc>
        <w:tc>
          <w:tcPr>
            <w:tcW w:w="151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p>
        </w:tc>
        <w:tc>
          <w:tcPr>
            <w:tcW w:w="171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20cm</w:t>
            </w:r>
          </w:p>
        </w:tc>
        <w:tc>
          <w:tcPr>
            <w:tcW w:w="12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w:t>
            </w:r>
          </w:p>
        </w:tc>
      </w:tr>
    </w:tbl>
    <w:p>
      <w:pPr>
        <w:adjustRightInd w:val="0"/>
        <w:snapToGrid w:val="0"/>
        <w:spacing w:line="288" w:lineRule="auto"/>
        <w:jc w:val="left"/>
        <w:rPr>
          <w:rFonts w:hint="eastAsia" w:ascii="宋体" w:hAnsi="宋体" w:cs="宋体"/>
          <w:b/>
          <w:bCs/>
          <w:color w:val="auto"/>
          <w:sz w:val="21"/>
          <w:szCs w:val="21"/>
          <w:highlight w:val="none"/>
        </w:rPr>
      </w:pPr>
    </w:p>
    <w:p>
      <w:pPr>
        <w:pStyle w:val="2"/>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因原设施配套零配件需要，需指定如下品牌：</w:t>
      </w:r>
    </w:p>
    <w:p>
      <w:pPr>
        <w:pStyle w:val="2"/>
        <w:rPr>
          <w:rFonts w:hint="eastAsia"/>
          <w:color w:val="auto"/>
          <w:highlight w:val="none"/>
        </w:rPr>
      </w:pPr>
    </w:p>
    <w:tbl>
      <w:tblPr>
        <w:tblStyle w:val="39"/>
        <w:tblW w:w="10320" w:type="dxa"/>
        <w:jc w:val="center"/>
        <w:tblLayout w:type="fixed"/>
        <w:tblCellMar>
          <w:top w:w="0" w:type="dxa"/>
          <w:left w:w="108" w:type="dxa"/>
          <w:bottom w:w="0" w:type="dxa"/>
          <w:right w:w="108" w:type="dxa"/>
        </w:tblCellMar>
      </w:tblPr>
      <w:tblGrid>
        <w:gridCol w:w="945"/>
        <w:gridCol w:w="883"/>
        <w:gridCol w:w="2435"/>
        <w:gridCol w:w="1610"/>
        <w:gridCol w:w="2540"/>
        <w:gridCol w:w="975"/>
        <w:gridCol w:w="932"/>
      </w:tblGrid>
      <w:tr>
        <w:tblPrEx>
          <w:tblCellMar>
            <w:top w:w="0" w:type="dxa"/>
            <w:left w:w="108" w:type="dxa"/>
            <w:bottom w:w="0" w:type="dxa"/>
            <w:right w:w="108" w:type="dxa"/>
          </w:tblCellMar>
        </w:tblPrEx>
        <w:trPr>
          <w:trHeight w:val="570"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种类</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3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物料名称</w:t>
            </w:r>
          </w:p>
        </w:tc>
        <w:tc>
          <w:tcPr>
            <w:tcW w:w="161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品牌</w:t>
            </w:r>
          </w:p>
        </w:tc>
        <w:tc>
          <w:tcPr>
            <w:tcW w:w="254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w:t>
            </w:r>
          </w:p>
        </w:tc>
        <w:tc>
          <w:tcPr>
            <w:tcW w:w="97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w:t>
            </w:r>
          </w:p>
        </w:tc>
        <w:tc>
          <w:tcPr>
            <w:tcW w:w="93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计量单位</w:t>
            </w:r>
          </w:p>
        </w:tc>
      </w:tr>
      <w:tr>
        <w:tblPrEx>
          <w:tblCellMar>
            <w:top w:w="0" w:type="dxa"/>
            <w:left w:w="108" w:type="dxa"/>
            <w:bottom w:w="0" w:type="dxa"/>
            <w:right w:w="108" w:type="dxa"/>
          </w:tblCellMar>
        </w:tblPrEx>
        <w:trPr>
          <w:trHeight w:val="499"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维修及变电所材料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463</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旋转式插座</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鸿雁</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464</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施耐德空开</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3P150A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施耐德空开</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3P250A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466</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刀熔式隔离开关</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315A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4"/>
                <w:szCs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467</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互感器电表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西子</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6A</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w:t>
            </w:r>
          </w:p>
        </w:tc>
      </w:tr>
      <w:tr>
        <w:tblPrEx>
          <w:tblCellMar>
            <w:top w:w="0" w:type="dxa"/>
            <w:left w:w="108" w:type="dxa"/>
            <w:bottom w:w="0" w:type="dxa"/>
            <w:right w:w="108" w:type="dxa"/>
          </w:tblCellMar>
        </w:tblPrEx>
        <w:trPr>
          <w:trHeight w:val="285" w:hRule="atLeast"/>
          <w:jc w:val="center"/>
        </w:trPr>
        <w:tc>
          <w:tcPr>
            <w:tcW w:w="945"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变电所材料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468</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B75C（线圈电压220V）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469</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B50C（线圈电压220V）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470</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B30C（线圈电压220V）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471</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上海人民</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B25C（线圈电压220V）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472</w:t>
            </w:r>
          </w:p>
        </w:tc>
        <w:tc>
          <w:tcPr>
            <w:tcW w:w="24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切换电容器交流接触器</w:t>
            </w:r>
          </w:p>
        </w:tc>
        <w:tc>
          <w:tcPr>
            <w:tcW w:w="16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开化七一电力</w:t>
            </w:r>
          </w:p>
        </w:tc>
        <w:tc>
          <w:tcPr>
            <w:tcW w:w="25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CJX8C-50（线圈电压220V）</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473</w:t>
            </w:r>
          </w:p>
        </w:tc>
        <w:tc>
          <w:tcPr>
            <w:tcW w:w="2435"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一次插件</w:t>
            </w:r>
          </w:p>
        </w:tc>
        <w:tc>
          <w:tcPr>
            <w:tcW w:w="161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苏州恒华电气</w:t>
            </w:r>
          </w:p>
        </w:tc>
        <w:tc>
          <w:tcPr>
            <w:tcW w:w="2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JCT20-400A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474</w:t>
            </w:r>
          </w:p>
        </w:tc>
        <w:tc>
          <w:tcPr>
            <w:tcW w:w="2435"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一次插件</w:t>
            </w:r>
          </w:p>
        </w:tc>
        <w:tc>
          <w:tcPr>
            <w:tcW w:w="161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苏州恒华电气</w:t>
            </w:r>
          </w:p>
        </w:tc>
        <w:tc>
          <w:tcPr>
            <w:tcW w:w="2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JCT20-250A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475</w:t>
            </w:r>
          </w:p>
        </w:tc>
        <w:tc>
          <w:tcPr>
            <w:tcW w:w="2435"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远传压力表</w:t>
            </w:r>
          </w:p>
        </w:tc>
        <w:tc>
          <w:tcPr>
            <w:tcW w:w="161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上海自动化仪表</w:t>
            </w:r>
          </w:p>
        </w:tc>
        <w:tc>
          <w:tcPr>
            <w:tcW w:w="2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YTZ-150(0-1.6MPa)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BSMJ0.4－40－3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BKMJ0.44－25－3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BKMJ0.44－12－3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BKMJ0.44－14－3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BSMJ0.4－16－3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BKMJ0.44－20－3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BKMJ0.44－40－4</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自愈式并联电容器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上海电器</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BSMJ0.4－25－3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4"/>
                <w:szCs w:val="24"/>
                <w:highlight w:val="none"/>
              </w:rPr>
              <w:t>水泵房材料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3TB43 22－OX</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3TH82 62－OX</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B85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CJX2－0910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JRS5－20/F/22A/11A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JRS5－60/F/67A</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JR36－20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JRS4－32353</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JRS4－09312</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热继电器</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施耐德</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LR021K2</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DN40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DN65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DN65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DN65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DN80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止回阀（立式）</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DN150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507</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闸阀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508</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509</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遥控止回阀</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DN200\DN100</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510</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排污泵</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诸暨超前</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QY6-18-0.75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水泵轴承</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哈尔滨轴承</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7306AC\7312AC\7306AC</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电机轴承</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哈尔滨轴承</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7309\6309\6308</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液位变送器</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TD5M110E</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514</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液位开关</w:t>
            </w:r>
          </w:p>
        </w:tc>
        <w:tc>
          <w:tcPr>
            <w:tcW w:w="161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力普</w:t>
            </w:r>
          </w:p>
        </w:tc>
        <w:tc>
          <w:tcPr>
            <w:tcW w:w="25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LPF-A3.15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515</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铜浮球阀</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埃美柯</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4分</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
                <w:bCs/>
                <w:color w:val="auto"/>
                <w:kern w:val="0"/>
                <w:sz w:val="21"/>
                <w:szCs w:val="21"/>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516</w:t>
            </w:r>
          </w:p>
        </w:tc>
        <w:tc>
          <w:tcPr>
            <w:tcW w:w="243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电磁阀</w:t>
            </w:r>
          </w:p>
        </w:tc>
        <w:tc>
          <w:tcPr>
            <w:tcW w:w="16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yuyaogaojie </w:t>
            </w:r>
          </w:p>
        </w:tc>
        <w:tc>
          <w:tcPr>
            <w:tcW w:w="25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2W-160-15</w:t>
            </w:r>
          </w:p>
        </w:tc>
        <w:tc>
          <w:tcPr>
            <w:tcW w:w="9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通用</w:t>
            </w:r>
          </w:p>
        </w:tc>
        <w:tc>
          <w:tcPr>
            <w:tcW w:w="93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bl>
    <w:p>
      <w:pPr>
        <w:pStyle w:val="2"/>
        <w:rPr>
          <w:rFonts w:hint="eastAsia"/>
          <w:color w:val="auto"/>
          <w:highlight w:val="none"/>
        </w:rPr>
      </w:pPr>
    </w:p>
    <w:p>
      <w:pPr>
        <w:pStyle w:val="6"/>
        <w:bidi w:val="0"/>
        <w:rPr>
          <w:rFonts w:hint="eastAsia"/>
          <w:color w:val="auto"/>
          <w:highlight w:val="none"/>
        </w:rPr>
      </w:pPr>
      <w:r>
        <w:rPr>
          <w:rFonts w:hint="eastAsia"/>
          <w:color w:val="auto"/>
          <w:highlight w:val="none"/>
        </w:rPr>
        <w:t>五、其他要求</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投标人提供的项目团队人员，需定职定岗。未经采购人同意，不得在任何时期擅自更换投标文件中规定的项目负责人和询定价人员，同时必须确保项目团队人员的数量和水平与投标文件一致，否则采购人有权终止合同。</w:t>
      </w:r>
    </w:p>
    <w:p>
      <w:pPr>
        <w:adjustRightInd w:val="0"/>
        <w:snapToGrid w:val="0"/>
        <w:spacing w:line="288"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2.服务考核</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2.1在合同有效期内，采购人将不定期组织采购单位人员、专家等组成监管小组，对供货商的产品价格、质量、服务等方面进行监督管理。</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2.2将按参照《政府采购货物和服务招标投标管理办法》(中华人民共和国财政部第87号令)和《杭州市政府采购供货商监督考核暂行办法》（杭财购[2008]910号）及货物供货标准、服务要求等对供货商进行考核，采购人不定期对合同的履约情况进行检查，发现弄虚作假，偷工减料，以次充好，达不到国家、行业有关标准和技术文件规定的，一经查实，采购人将视情况提请罚没履约保证金，终止合同，并给予通报，禁止其在三年内参与采购人相关采购活动，给采购单位造成损失的，供货商须承担赔偿责任。</w:t>
      </w:r>
    </w:p>
    <w:p>
      <w:pPr>
        <w:adjustRightInd w:val="0"/>
        <w:snapToGrid w:val="0"/>
        <w:spacing w:line="288"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2.3维修材料质量监控督查及处罚细则</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45"/>
        <w:gridCol w:w="449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检查项目</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项目明细</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处罚规定</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restart"/>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送货时间</w:t>
            </w:r>
          </w:p>
        </w:tc>
        <w:tc>
          <w:tcPr>
            <w:tcW w:w="1545" w:type="dxa"/>
            <w:vMerge w:val="restart"/>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为报货后按合同约定时间内货物送达；有特殊送货时间要求，以双方约定为准。</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迟到1小时内罚款200元，计入供货商考评。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迟到1-2小时，罚款500元，计入供货商考评。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迟到2小时以上，罚款1000元，并进行书面警告，计入供货商考评。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合同期内累计迟到3次以上或对正常维修工作造成严重影响的，采购人有权终止供应合同扣除履约保证金。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如送货、报价时间超过24小时或以各种理由不送货的（如：缺货、断货），由采购人自行采购的，差价在履约保证金中扣除并处以罚款2000元。</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pStyle w:val="2"/>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color w:val="auto"/>
                <w:sz w:val="21"/>
                <w:szCs w:val="21"/>
                <w:highlight w:val="none"/>
              </w:rPr>
              <w:t>数量规定</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未满足采购人订货量</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采购人有权对供货商进行处罚，处罚金额为：单品定货量乘以单品价格即为处罚金额同时按订货量补足。（4小时内完成，应急货物根据用户的要求）</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以订单为准。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超出采购人订货量</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超出部分可以不验收。</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以订单为准。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pStyle w:val="2"/>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color w:val="auto"/>
                <w:sz w:val="21"/>
                <w:szCs w:val="21"/>
                <w:highlight w:val="none"/>
              </w:rPr>
              <w:t>质量约定</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出现质量和样品不一致或不符合报单规格要求</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供应商无条件退换货，根据服务态度及换货及时性，第一次给予警告，取消该品种配送资格；若连续出现两次，采购人可以处罚200-500元并取消50%的配送品种。合同期内若累计出现三次采购人有权终止供应合同并没收全部履约保证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材料验收由采购人人员与中标方配送人员现场检收、签字确认。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如使用中发生因质量破损的</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供应商无条件退换货，质保期重新计算</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以重新安装日起开始计算。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质量产生争议</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双方现场取样送第三方专业检测机构检测，合格：采购人承担检测费；不合格：检测费有中标方承担并扣除50%的履约保证金，确认为假冒产品的采购人有权立即终止合同没收全部履约保证金，</w:t>
            </w:r>
            <w:r>
              <w:rPr>
                <w:rFonts w:hint="eastAsia" w:ascii="宋体" w:hAnsi="宋体"/>
                <w:snapToGrid w:val="0"/>
                <w:color w:val="auto"/>
                <w:kern w:val="0"/>
                <w:sz w:val="21"/>
                <w:szCs w:val="21"/>
                <w:highlight w:val="none"/>
              </w:rPr>
              <w:t>取消中标方及法定代表人五年在采购人的投标资格并赔偿采购人的经济损失。</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以第三方检测为准。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其他突发事件</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服务及应急预案相应措施</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因（天气、交通）等因素造成的突发事件，如能及时采取应急预案，不影响采购人正常工作的情况下不作处罚。若不采取应急预案，采购人有权终止合同并扣除全部合同履约保证金、再按履约保证金的50%-100%作为赔偿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细则见合同与招投标文件。</w:t>
            </w:r>
          </w:p>
        </w:tc>
      </w:tr>
    </w:tbl>
    <w:p>
      <w:pPr>
        <w:adjustRightInd w:val="0"/>
        <w:snapToGrid w:val="0"/>
        <w:spacing w:line="240" w:lineRule="atLeast"/>
        <w:rPr>
          <w:rFonts w:hint="eastAsia" w:ascii="宋体" w:hAnsi="宋体"/>
          <w:color w:val="auto"/>
          <w:sz w:val="21"/>
          <w:szCs w:val="21"/>
          <w:highlight w:val="none"/>
        </w:rPr>
      </w:pPr>
    </w:p>
    <w:p>
      <w:pPr>
        <w:spacing w:before="120" w:line="360" w:lineRule="auto"/>
        <w:ind w:firstLine="240" w:firstLineChars="100"/>
        <w:rPr>
          <w:rFonts w:hint="eastAsia" w:ascii="宋体" w:hAnsi="宋体"/>
          <w:color w:val="auto"/>
          <w:sz w:val="24"/>
          <w:szCs w:val="24"/>
          <w:highlight w:val="none"/>
        </w:rPr>
      </w:pPr>
    </w:p>
    <w:bookmarkEnd w:id="6"/>
    <w:bookmarkEnd w:id="7"/>
    <w:p>
      <w:pPr>
        <w:pStyle w:val="2"/>
        <w:rPr>
          <w:rFonts w:hint="eastAsia" w:ascii="宋体" w:hAnsi="宋体" w:cs="宋体"/>
          <w:color w:val="auto"/>
          <w:szCs w:val="32"/>
          <w:highlight w:val="none"/>
        </w:rPr>
      </w:pPr>
    </w:p>
    <w:p>
      <w:pPr>
        <w:pStyle w:val="47"/>
        <w:rPr>
          <w:rFonts w:hint="eastAsia"/>
          <w:color w:val="auto"/>
          <w:highlight w:val="none"/>
        </w:rPr>
      </w:pPr>
    </w:p>
    <w:p>
      <w:pPr>
        <w:pStyle w:val="3"/>
        <w:rPr>
          <w:rFonts w:hint="eastAsia"/>
          <w:color w:val="auto"/>
          <w:highlight w:val="none"/>
          <w:lang w:val="en-US" w:eastAsia="zh-CN"/>
        </w:rPr>
        <w:sectPr>
          <w:headerReference r:id="rId14" w:type="first"/>
          <w:footerReference r:id="rId16" w:type="first"/>
          <w:footerReference r:id="rId15" w:type="default"/>
          <w:pgSz w:w="11907" w:h="16840"/>
          <w:pgMar w:top="1247" w:right="1304" w:bottom="1021" w:left="1304" w:header="720" w:footer="720" w:gutter="0"/>
          <w:pgNumType w:fmt="decimal"/>
          <w:cols w:space="720" w:num="1"/>
          <w:docGrid w:linePitch="326" w:charSpace="0"/>
        </w:sectPr>
      </w:pPr>
    </w:p>
    <w:bookmarkEnd w:id="8"/>
    <w:p>
      <w:pPr>
        <w:pStyle w:val="4"/>
        <w:rPr>
          <w:color w:val="auto"/>
          <w:highlight w:val="none"/>
        </w:rPr>
      </w:pPr>
      <w:bookmarkStart w:id="33" w:name="_Toc7338"/>
      <w:r>
        <w:rPr>
          <w:rFonts w:hint="eastAsia" w:cs="宋体"/>
          <w:color w:val="auto"/>
          <w:highlight w:val="none"/>
        </w:rPr>
        <w:t>第三章 投标人须知</w:t>
      </w:r>
      <w:bookmarkEnd w:id="33"/>
    </w:p>
    <w:p>
      <w:pPr>
        <w:pStyle w:val="5"/>
        <w:jc w:val="center"/>
        <w:rPr>
          <w:rFonts w:ascii="宋体" w:hAnsi="宋体" w:cs="宋体"/>
          <w:color w:val="auto"/>
          <w:highlight w:val="none"/>
        </w:rPr>
      </w:pPr>
      <w:bookmarkStart w:id="34" w:name="_Toc452457413"/>
      <w:bookmarkStart w:id="35" w:name="_Toc2290"/>
      <w:bookmarkStart w:id="36" w:name="_Toc17889"/>
      <w:r>
        <w:rPr>
          <w:rFonts w:hint="eastAsia" w:ascii="宋体" w:hAnsi="宋体" w:cs="宋体"/>
          <w:color w:val="auto"/>
          <w:highlight w:val="none"/>
        </w:rPr>
        <w:t>前附表</w:t>
      </w:r>
      <w:bookmarkEnd w:id="34"/>
      <w:bookmarkEnd w:id="35"/>
      <w:bookmarkEnd w:id="36"/>
    </w:p>
    <w:tbl>
      <w:tblPr>
        <w:tblStyle w:val="3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维修材料定点供应商</w:t>
            </w:r>
          </w:p>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招标编号：</w:t>
            </w:r>
            <w:r>
              <w:rPr>
                <w:rFonts w:hint="eastAsia" w:ascii="宋体" w:hAnsi="宋体" w:cs="宋体"/>
                <w:color w:val="auto"/>
                <w:highlight w:val="none"/>
                <w:lang w:eastAsia="zh-CN"/>
              </w:rPr>
              <w:t>ZJWSBJ-WY-202001G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2"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投标书递交至：</w:t>
            </w:r>
            <w:r>
              <w:rPr>
                <w:rFonts w:hint="eastAsia" w:ascii="宋体" w:hAnsi="宋体" w:cs="宋体"/>
                <w:color w:val="auto"/>
                <w:highlight w:val="none"/>
                <w:lang w:eastAsia="zh-CN"/>
              </w:rPr>
              <w:t>杭州市滨江区东方通信科技园启迪楼1楼创客教室</w:t>
            </w:r>
            <w:r>
              <w:rPr>
                <w:rFonts w:hint="eastAsia" w:ascii="宋体" w:hAnsi="宋体" w:cs="宋体"/>
                <w:color w:val="auto"/>
                <w:highlight w:val="none"/>
              </w:rPr>
              <w:t>。</w:t>
            </w:r>
          </w:p>
          <w:p>
            <w:pPr>
              <w:ind w:firstLine="0" w:firstLineChars="0"/>
              <w:rPr>
                <w:rFonts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eastAsia="zh-CN"/>
              </w:rPr>
              <w:t>2020年07月01日 下午13时30分</w:t>
            </w:r>
            <w:r>
              <w:rPr>
                <w:rFonts w:hint="eastAsia" w:ascii="宋体" w:hAnsi="宋体" w:cs="宋体"/>
                <w:color w:val="auto"/>
                <w:highlight w:val="none"/>
              </w:rPr>
              <w:t xml:space="preserve">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2020年07月01日 下午13时30分</w:t>
            </w:r>
            <w:r>
              <w:rPr>
                <w:rFonts w:hint="eastAsia" w:ascii="宋体" w:hAnsi="宋体" w:cs="宋体"/>
                <w:color w:val="auto"/>
                <w:highlight w:val="none"/>
              </w:rPr>
              <w:t>(北京时间)</w:t>
            </w:r>
          </w:p>
          <w:p>
            <w:pPr>
              <w:ind w:firstLine="0" w:firstLineChars="0"/>
              <w:rPr>
                <w:rFonts w:ascii="宋体" w:hAnsi="宋体" w:cs="宋体"/>
                <w:color w:val="auto"/>
                <w:highlight w:val="none"/>
              </w:rPr>
            </w:pPr>
            <w:r>
              <w:rPr>
                <w:rFonts w:hint="eastAsia" w:ascii="宋体" w:hAnsi="宋体" w:cs="宋体"/>
                <w:color w:val="auto"/>
                <w:highlight w:val="none"/>
              </w:rPr>
              <w:t>开标地点：</w:t>
            </w:r>
            <w:r>
              <w:rPr>
                <w:rFonts w:hint="eastAsia" w:ascii="宋体" w:hAnsi="宋体" w:cs="宋体"/>
                <w:color w:val="auto"/>
                <w:highlight w:val="none"/>
                <w:lang w:eastAsia="zh-CN"/>
              </w:rPr>
              <w:t>杭州市滨江区东方通信科技园启迪楼1楼创客教室</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w:t>
            </w:r>
            <w:r>
              <w:rPr>
                <w:rFonts w:hint="eastAsia"/>
                <w:color w:val="auto"/>
                <w:highlight w:val="none"/>
              </w:rPr>
              <w:t>可编辑Word版。</w:t>
            </w:r>
            <w:r>
              <w:rPr>
                <w:rFonts w:hint="eastAsia" w:ascii="宋体" w:hAnsi="宋体" w:cs="宋体"/>
                <w:b/>
                <w:bCs/>
                <w:color w:val="auto"/>
                <w:highlight w:val="none"/>
              </w:rPr>
              <w:t>U盘存储</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color w:val="auto"/>
                <w:highlight w:val="none"/>
              </w:rPr>
            </w:pPr>
            <w:r>
              <w:rPr>
                <w:rFonts w:hint="eastAsia" w:ascii="宋体" w:hAnsi="宋体" w:cs="宋体"/>
                <w:b/>
                <w:color w:val="auto"/>
                <w:highlight w:val="none"/>
              </w:rPr>
              <w:t>投标保证金的退回</w:t>
            </w:r>
            <w:r>
              <w:rPr>
                <w:rFonts w:hint="eastAsia" w:ascii="宋体" w:hAnsi="宋体" w:cs="宋体"/>
                <w:color w:val="auto"/>
                <w:highlight w:val="none"/>
              </w:rPr>
              <w:t>：</w:t>
            </w:r>
          </w:p>
          <w:p>
            <w:pPr>
              <w:ind w:firstLine="0" w:firstLineChars="0"/>
              <w:rPr>
                <w:rFonts w:ascii="宋体" w:hAnsi="宋体" w:cs="宋体"/>
                <w:color w:val="auto"/>
                <w:highlight w:val="none"/>
              </w:rPr>
            </w:pPr>
            <w:r>
              <w:rPr>
                <w:rFonts w:hint="eastAsia" w:ascii="宋体" w:hAnsi="宋体" w:cs="宋体"/>
                <w:color w:val="auto"/>
                <w:highlight w:val="none"/>
              </w:rPr>
              <w:t>（1）中标人的投标保证金在与招标人签订了合同并付清中标服务费后，凭合同复印件和缴纳凭证退还（因投标人自身原因导致无法及时退还的除外）。</w:t>
            </w:r>
          </w:p>
          <w:p>
            <w:pPr>
              <w:ind w:firstLine="0" w:firstLineChars="0"/>
              <w:rPr>
                <w:rFonts w:ascii="宋体" w:hAnsi="宋体" w:cs="宋体"/>
                <w:color w:val="auto"/>
                <w:highlight w:val="none"/>
              </w:rPr>
            </w:pPr>
            <w:r>
              <w:rPr>
                <w:rFonts w:hint="eastAsia" w:ascii="宋体" w:hAnsi="宋体" w:cs="宋体"/>
                <w:color w:val="auto"/>
                <w:highlight w:val="none"/>
              </w:rPr>
              <w:t>（2）未中标人的投标保证金将在中标公告发出后5个工作日凭缴纳凭证原额退还（因投标人自身原因导致无法及时退还的除外）。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numPr>
                <w:ilvl w:val="0"/>
                <w:numId w:val="5"/>
              </w:numPr>
              <w:ind w:left="425" w:leftChars="0" w:hanging="425" w:firstLineChars="0"/>
              <w:jc w:val="center"/>
              <w:rPr>
                <w:rFonts w:ascii="宋体" w:hAnsi="宋体" w:cs="宋体"/>
                <w:color w:val="auto"/>
                <w:kern w:val="0"/>
                <w:szCs w:val="32"/>
                <w:highlight w:val="none"/>
              </w:rPr>
            </w:pPr>
          </w:p>
        </w:tc>
        <w:tc>
          <w:tcPr>
            <w:tcW w:w="8128" w:type="dxa"/>
          </w:tcPr>
          <w:p>
            <w:pPr>
              <w:ind w:firstLine="0" w:firstLineChars="0"/>
              <w:rPr>
                <w:color w:val="auto"/>
                <w:highlight w:val="none"/>
              </w:rPr>
            </w:pPr>
            <w:r>
              <w:rPr>
                <w:rFonts w:hint="eastAsia"/>
                <w:color w:val="auto"/>
                <w:highlight w:val="none"/>
              </w:rPr>
              <w:t>★投标报价：</w:t>
            </w:r>
          </w:p>
          <w:p>
            <w:pPr>
              <w:ind w:firstLine="480"/>
              <w:rPr>
                <w:rFonts w:eastAsia="宋体"/>
                <w:color w:val="auto"/>
                <w:highlight w:val="none"/>
              </w:rPr>
            </w:pPr>
            <w:r>
              <w:rPr>
                <w:rFonts w:hint="eastAsia"/>
                <w:color w:val="auto"/>
                <w:highlight w:val="none"/>
              </w:rPr>
              <w:t>投标报价是指一次性报出不得更改的价格；报价包括提供所有规定产品及完成服务工作所产生的全部费用，采购文件未列明，而投标人认为必需的费用也需列入报价</w:t>
            </w:r>
            <w:r>
              <w:rPr>
                <w:rFonts w:hint="eastAsia"/>
                <w:color w:val="auto"/>
                <w:highlight w:val="none"/>
                <w:lang w:val="zh-CN"/>
              </w:rPr>
              <w:t>。</w:t>
            </w:r>
            <w:r>
              <w:rPr>
                <w:rFonts w:hint="eastAsia"/>
                <w:color w:val="auto"/>
                <w:highlight w:val="none"/>
              </w:rPr>
              <w:t>《投标（开标）一览表》是报价的唯一载体</w:t>
            </w:r>
            <w:r>
              <w:rPr>
                <w:rFonts w:hint="eastAsia"/>
                <w:color w:val="auto"/>
                <w:highlight w:val="none"/>
                <w:lang w:val="zh-CN"/>
              </w:rPr>
              <w:t>。投标文件中价格全部采用人民币报价。招标文件未列明，而投标人认为必需的费用也需列入报价。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32"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8128" w:type="dxa"/>
            <w:vAlign w:val="center"/>
          </w:tcPr>
          <w:p>
            <w:pPr>
              <w:pStyle w:val="2"/>
              <w:rPr>
                <w:rFonts w:hint="eastAsia" w:ascii="宋体" w:hAnsi="宋体" w:eastAsia="宋体" w:cs="宋体"/>
                <w:color w:val="auto"/>
                <w:spacing w:val="-6"/>
                <w:kern w:val="2"/>
                <w:highlight w:val="none"/>
              </w:rPr>
            </w:pPr>
            <w:r>
              <w:rPr>
                <w:rFonts w:hint="eastAsia" w:ascii="宋体" w:hAnsi="宋体" w:eastAsia="宋体" w:cs="宋体"/>
                <w:color w:val="auto"/>
                <w:spacing w:val="-6"/>
                <w:kern w:val="2"/>
                <w:highlight w:val="none"/>
              </w:rPr>
              <w:t>招标代理服务费：</w:t>
            </w:r>
          </w:p>
          <w:p>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1.按照预算金额</w:t>
            </w:r>
            <w:r>
              <w:rPr>
                <w:rFonts w:hint="eastAsia" w:ascii="宋体" w:hAnsi="宋体" w:cs="宋体"/>
                <w:color w:val="auto"/>
                <w:sz w:val="24"/>
                <w:highlight w:val="none"/>
              </w:rPr>
              <w:t>参照浙价服[2003]77号文规定的招标费率七折收取，按照中标（成交）通知书确定的金额，向中标（成交）人收取服务费，不足3000按3000收取。</w:t>
            </w:r>
          </w:p>
          <w:p>
            <w:pPr>
              <w:ind w:firstLine="480"/>
              <w:rPr>
                <w:rFonts w:hint="eastAsia" w:ascii="宋体" w:hAnsi="宋体" w:cs="宋体"/>
                <w:color w:val="auto"/>
                <w:sz w:val="24"/>
                <w:highlight w:val="none"/>
              </w:rPr>
            </w:pPr>
            <w:r>
              <w:rPr>
                <w:rFonts w:hint="eastAsia" w:ascii="宋体" w:hAnsi="宋体" w:cs="宋体"/>
                <w:color w:val="auto"/>
                <w:sz w:val="24"/>
                <w:highlight w:val="none"/>
              </w:rPr>
              <w:t>(2)中标（成交）人在领取中标（成交）通知书前，应向采购代理机构交纳招标代理服务费。</w:t>
            </w:r>
          </w:p>
          <w:p>
            <w:pPr>
              <w:ind w:firstLine="480"/>
              <w:rPr>
                <w:rFonts w:hint="eastAsia" w:ascii="宋体" w:hAnsi="宋体" w:cs="宋体"/>
                <w:color w:val="auto"/>
                <w:sz w:val="24"/>
                <w:highlight w:val="none"/>
              </w:rPr>
            </w:pPr>
            <w:r>
              <w:rPr>
                <w:rFonts w:hint="eastAsia" w:ascii="宋体" w:hAnsi="宋体" w:cs="宋体"/>
                <w:color w:val="auto"/>
                <w:sz w:val="24"/>
                <w:highlight w:val="none"/>
              </w:rPr>
              <w:t>(3)招标代理服务费以电汇方式支付。中标（成交）人如未按上述规定办理，本招标代理机构有权从其参加招标活动的投标保证金中收取采招标代理服务费，并对不足部分进行追索。</w:t>
            </w:r>
          </w:p>
          <w:p>
            <w:pPr>
              <w:ind w:firstLine="480"/>
              <w:rPr>
                <w:rFonts w:hint="eastAsia" w:ascii="宋体" w:hAnsi="宋体" w:cs="宋体"/>
                <w:color w:val="auto"/>
                <w:sz w:val="24"/>
                <w:highlight w:val="none"/>
              </w:rPr>
            </w:pPr>
            <w:r>
              <w:rPr>
                <w:rFonts w:hint="eastAsia" w:ascii="宋体" w:hAnsi="宋体" w:cs="宋体"/>
                <w:color w:val="auto"/>
                <w:sz w:val="24"/>
                <w:highlight w:val="none"/>
              </w:rPr>
              <w:t>(4)服务费缴纳账号：</w:t>
            </w:r>
          </w:p>
          <w:p>
            <w:pPr>
              <w:ind w:firstLine="480"/>
              <w:rPr>
                <w:rFonts w:hint="eastAsia" w:ascii="宋体" w:hAnsi="宋体" w:cs="宋体"/>
                <w:color w:val="auto"/>
                <w:sz w:val="24"/>
                <w:highlight w:val="none"/>
              </w:rPr>
            </w:pPr>
            <w:r>
              <w:rPr>
                <w:rFonts w:hint="eastAsia" w:ascii="宋体" w:hAnsi="宋体" w:cs="宋体"/>
                <w:color w:val="auto"/>
                <w:sz w:val="24"/>
                <w:highlight w:val="none"/>
              </w:rPr>
              <w:t>单位名称：浙江五石工程咨询有限公司萧山分公司</w:t>
            </w:r>
          </w:p>
          <w:p>
            <w:pPr>
              <w:ind w:firstLine="480"/>
              <w:rPr>
                <w:rFonts w:hint="eastAsia" w:ascii="宋体" w:hAnsi="宋体" w:cs="宋体"/>
                <w:color w:val="auto"/>
                <w:sz w:val="24"/>
                <w:highlight w:val="none"/>
              </w:rPr>
            </w:pPr>
            <w:r>
              <w:rPr>
                <w:rFonts w:hint="eastAsia" w:ascii="宋体" w:hAnsi="宋体" w:cs="宋体"/>
                <w:color w:val="auto"/>
                <w:sz w:val="24"/>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sz w:val="24"/>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numPr>
                <w:ilvl w:val="0"/>
                <w:numId w:val="5"/>
              </w:numPr>
              <w:ind w:left="425" w:leftChars="0" w:hanging="425" w:firstLineChars="0"/>
              <w:jc w:val="center"/>
              <w:rPr>
                <w:rFonts w:ascii="宋体" w:hAnsi="宋体" w:cs="宋体"/>
                <w:color w:val="auto"/>
                <w:kern w:val="0"/>
                <w:szCs w:val="32"/>
                <w:highlight w:val="none"/>
              </w:rPr>
            </w:pP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投诉：质疑投标人对招标人、招标代理机构的答复不满意或者招标人、招标代理机构未在规定的时间内作出答复的，可以在答复期满后十五个工作日内向采购监督管理部门投诉。</w:t>
            </w:r>
          </w:p>
        </w:tc>
      </w:tr>
    </w:tbl>
    <w:p>
      <w:pPr>
        <w:pStyle w:val="5"/>
        <w:jc w:val="center"/>
        <w:rPr>
          <w:rFonts w:ascii="宋体" w:hAnsi="宋体" w:cs="宋体"/>
          <w:color w:val="auto"/>
          <w:highlight w:val="none"/>
        </w:rPr>
      </w:pPr>
      <w:bookmarkStart w:id="37" w:name="_Toc246996175"/>
      <w:bookmarkStart w:id="38" w:name="_Toc452457414"/>
      <w:bookmarkStart w:id="39" w:name="_Toc152045529"/>
      <w:bookmarkStart w:id="40" w:name="_Toc296602420"/>
      <w:bookmarkStart w:id="41" w:name="_Toc144974497"/>
      <w:bookmarkStart w:id="42" w:name="_Toc179632546"/>
      <w:bookmarkStart w:id="43" w:name="_Toc247085689"/>
      <w:bookmarkStart w:id="44" w:name="_Toc246996918"/>
      <w:bookmarkStart w:id="45" w:name="_Toc152042305"/>
      <w:r>
        <w:rPr>
          <w:rFonts w:hint="eastAsia" w:ascii="宋体" w:hAnsi="宋体" w:cs="宋体"/>
          <w:color w:val="auto"/>
          <w:highlight w:val="none"/>
        </w:rPr>
        <w:br w:type="page"/>
      </w:r>
      <w:bookmarkEnd w:id="37"/>
      <w:bookmarkEnd w:id="38"/>
      <w:bookmarkEnd w:id="39"/>
      <w:bookmarkEnd w:id="40"/>
      <w:bookmarkEnd w:id="41"/>
      <w:bookmarkEnd w:id="42"/>
      <w:bookmarkEnd w:id="43"/>
      <w:bookmarkEnd w:id="44"/>
      <w:bookmarkEnd w:id="45"/>
      <w:bookmarkStart w:id="46" w:name="_Toc12341"/>
      <w:bookmarkStart w:id="47" w:name="_Toc2440"/>
      <w:bookmarkStart w:id="48" w:name="_Toc246996919"/>
      <w:bookmarkStart w:id="49" w:name="_Toc152042306"/>
      <w:bookmarkStart w:id="50" w:name="_Toc296602421"/>
      <w:bookmarkStart w:id="51" w:name="_Toc144974498"/>
      <w:bookmarkStart w:id="52" w:name="_Toc246996176"/>
      <w:bookmarkStart w:id="53" w:name="_Toc152045530"/>
      <w:bookmarkStart w:id="54" w:name="_Toc247085690"/>
      <w:bookmarkStart w:id="55" w:name="_Toc179632547"/>
      <w:r>
        <w:rPr>
          <w:rFonts w:hint="eastAsia" w:ascii="宋体" w:hAnsi="宋体" w:cs="宋体"/>
          <w:color w:val="auto"/>
          <w:highlight w:val="none"/>
        </w:rPr>
        <w:t>第一节 总则</w:t>
      </w:r>
      <w:bookmarkEnd w:id="46"/>
      <w:bookmarkEnd w:id="47"/>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杭州文一教育发展有限公司</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2.中标人在领取中标通知书前，应向招标代理机构交纳招标代理服务费，收费标准见“第一章投标人须知前附表-15”。</w:t>
      </w:r>
    </w:p>
    <w:p>
      <w:pPr>
        <w:pStyle w:val="6"/>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4.关于要求原厂商授权的说明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szCs w:val="32"/>
          <w:highlight w:val="none"/>
        </w:rPr>
      </w:pPr>
    </w:p>
    <w:p>
      <w:pPr>
        <w:pStyle w:val="2"/>
        <w:rPr>
          <w:color w:val="auto"/>
          <w:highlight w:val="none"/>
        </w:rPr>
      </w:pPr>
    </w:p>
    <w:p>
      <w:pPr>
        <w:pStyle w:val="5"/>
        <w:jc w:val="center"/>
        <w:rPr>
          <w:rFonts w:ascii="宋体" w:hAnsi="宋体" w:cs="宋体"/>
          <w:color w:val="auto"/>
          <w:highlight w:val="none"/>
        </w:rPr>
      </w:pPr>
      <w:bookmarkStart w:id="56" w:name="_Toc4029"/>
      <w:bookmarkStart w:id="57" w:name="_Toc21367"/>
      <w:r>
        <w:rPr>
          <w:rFonts w:hint="eastAsia" w:ascii="宋体" w:hAnsi="宋体" w:cs="宋体"/>
          <w:color w:val="auto"/>
          <w:highlight w:val="none"/>
        </w:rPr>
        <w:t>第二节 招标文件</w:t>
      </w:r>
      <w:bookmarkEnd w:id="56"/>
      <w:bookmarkEnd w:id="57"/>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ascii="宋体" w:hAnsi="宋体" w:cs="宋体"/>
          <w:color w:val="auto"/>
          <w:highlight w:val="none"/>
        </w:rPr>
      </w:pPr>
      <w:bookmarkStart w:id="58" w:name="_Toc1096"/>
      <w:bookmarkStart w:id="59" w:name="_Toc82873324"/>
      <w:bookmarkStart w:id="60" w:name="_Toc450840075"/>
      <w:bookmarkStart w:id="61" w:name="_Toc25674"/>
      <w:bookmarkStart w:id="62" w:name="_Toc82338241"/>
      <w:r>
        <w:rPr>
          <w:rFonts w:hint="eastAsia" w:ascii="宋体" w:hAnsi="宋体" w:cs="宋体"/>
          <w:color w:val="auto"/>
          <w:highlight w:val="none"/>
        </w:rPr>
        <w:t>第三节 投标文件</w:t>
      </w:r>
      <w:bookmarkEnd w:id="58"/>
      <w:bookmarkEnd w:id="59"/>
      <w:bookmarkEnd w:id="60"/>
      <w:bookmarkEnd w:id="61"/>
      <w:bookmarkEnd w:id="62"/>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olor w:val="auto"/>
          <w:szCs w:val="32"/>
          <w:highlight w:val="none"/>
        </w:rPr>
        <w:t>提供有效的依法缴纳税收证明（完税凭证或税务部门出具的证明，新成立单位出具银行资信证明）；（近</w:t>
      </w:r>
      <w:r>
        <w:rPr>
          <w:rFonts w:hint="eastAsia" w:ascii="宋体" w:hAnsi="宋体"/>
          <w:color w:val="auto"/>
          <w:szCs w:val="32"/>
          <w:highlight w:val="none"/>
          <w:lang w:val="en-US" w:eastAsia="zh-CN"/>
        </w:rPr>
        <w:t>6</w:t>
      </w:r>
      <w:r>
        <w:rPr>
          <w:rFonts w:hint="eastAsia" w:ascii="宋体" w:hAnsi="宋体"/>
          <w:color w:val="auto"/>
          <w:szCs w:val="32"/>
          <w:highlight w:val="none"/>
        </w:rPr>
        <w:t>个月任意一个月）</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olor w:val="auto"/>
          <w:szCs w:val="32"/>
          <w:highlight w:val="none"/>
        </w:rPr>
        <w:t>提供有效的依法缴纳社会保障资金证明（缴纳凭证或人社部门出具的证明）；（近</w:t>
      </w:r>
      <w:r>
        <w:rPr>
          <w:rFonts w:hint="eastAsia" w:ascii="宋体" w:hAnsi="宋体"/>
          <w:color w:val="auto"/>
          <w:szCs w:val="32"/>
          <w:highlight w:val="none"/>
          <w:lang w:val="en-US" w:eastAsia="zh-CN"/>
        </w:rPr>
        <w:t>6</w:t>
      </w:r>
      <w:r>
        <w:rPr>
          <w:rFonts w:hint="eastAsia" w:ascii="宋体" w:hAnsi="宋体"/>
          <w:color w:val="auto"/>
          <w:szCs w:val="32"/>
          <w:highlight w:val="none"/>
        </w:rPr>
        <w:t>个月任意一个月）</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rPr>
        <w:t>5.投标保证金(提供投标保证金缴纳凭证）；</w:t>
      </w:r>
    </w:p>
    <w:p>
      <w:pPr>
        <w:ind w:firstLine="480"/>
        <w:rPr>
          <w:rFonts w:ascii="宋体" w:hAnsi="宋体" w:cs="宋体"/>
          <w:color w:val="auto"/>
          <w:highlight w:val="none"/>
        </w:rPr>
      </w:pPr>
      <w:r>
        <w:rPr>
          <w:rFonts w:hint="eastAsia" w:ascii="宋体" w:hAnsi="宋体" w:cs="宋体"/>
          <w:color w:val="auto"/>
          <w:highlight w:val="none"/>
        </w:rPr>
        <w:t>6.信用记录：投标人在投标文件中提供投标截止前三个工作日的查询信息网站截图：查询渠道：“信用中国”（www.creditchina.gov.cn）、“中国政府采购网”（www.ccgp.gov.cn），最终审查以代理机构在投标截止前一个工作日查询的最新信息为准；</w:t>
      </w:r>
    </w:p>
    <w:p>
      <w:pPr>
        <w:ind w:firstLine="480"/>
        <w:rPr>
          <w:rFonts w:hint="eastAsia" w:ascii="宋体" w:hAnsi="宋体" w:cs="宋体"/>
          <w:color w:val="auto"/>
          <w:highlight w:val="none"/>
        </w:rPr>
      </w:pPr>
      <w:r>
        <w:rPr>
          <w:rFonts w:hint="eastAsia" w:ascii="宋体" w:hAnsi="宋体" w:cs="宋体"/>
          <w:color w:val="auto"/>
          <w:highlight w:val="none"/>
        </w:rPr>
        <w:t>7.法定代表人证明书，法定代表人授权书（见附件）（法定代表人参加投标的无须提供）、授权委托人身份证复印件、授权委托人社保证明（被委托人必须为本单位在职员工，并提供至少开标前</w:t>
      </w:r>
      <w:r>
        <w:rPr>
          <w:rFonts w:hint="eastAsia" w:ascii="宋体" w:hAnsi="宋体" w:cs="宋体"/>
          <w:color w:val="auto"/>
          <w:highlight w:val="none"/>
          <w:lang w:val="en-US" w:eastAsia="zh-CN"/>
        </w:rPr>
        <w:t>6</w:t>
      </w:r>
      <w:r>
        <w:rPr>
          <w:rFonts w:hint="eastAsia" w:ascii="宋体" w:hAnsi="宋体" w:cs="宋体"/>
          <w:color w:val="auto"/>
          <w:highlight w:val="none"/>
        </w:rPr>
        <w:t>个月任1个月的社保证明）；本项不作为资格证明文件审查内容。</w:t>
      </w:r>
    </w:p>
    <w:p>
      <w:pPr>
        <w:ind w:firstLine="480"/>
        <w:rPr>
          <w:rFonts w:ascii="宋体" w:hAnsi="宋体" w:cs="宋体"/>
          <w:color w:val="auto"/>
          <w:highlight w:val="none"/>
        </w:rPr>
      </w:pP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w:t>
      </w:r>
    </w:p>
    <w:p>
      <w:pPr>
        <w:ind w:firstLine="480"/>
        <w:rPr>
          <w:rFonts w:hint="eastAsia" w:ascii="宋体" w:hAnsi="宋体" w:cs="宋体"/>
          <w:color w:val="auto"/>
          <w:highlight w:val="none"/>
        </w:rPr>
      </w:pPr>
      <w:r>
        <w:rPr>
          <w:rFonts w:hint="eastAsia" w:ascii="宋体" w:hAnsi="宋体" w:cs="宋体"/>
          <w:color w:val="auto"/>
          <w:highlight w:val="none"/>
        </w:rPr>
        <w:t>2.开标一览表；</w:t>
      </w:r>
    </w:p>
    <w:p>
      <w:pPr>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报价明细表</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（1）资信技术标评分索引表</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（3）法定代表人的身份证和法定代表人授权委托书（投标人的代表若为非法定代表人的，必须提交法定代表人授权书；身份证复印件、授权委托人社保证明（至少开标前三个月任1个月的社保证明）；</w:t>
      </w:r>
    </w:p>
    <w:p>
      <w:pPr>
        <w:ind w:firstLine="480"/>
        <w:rPr>
          <w:rFonts w:ascii="宋体" w:hAnsi="宋体" w:cs="宋体"/>
          <w:color w:val="auto"/>
          <w:highlight w:val="none"/>
        </w:rPr>
      </w:pPr>
      <w:r>
        <w:rPr>
          <w:rFonts w:hint="eastAsia" w:ascii="宋体" w:hAnsi="宋体" w:cs="宋体"/>
          <w:color w:val="auto"/>
          <w:highlight w:val="none"/>
        </w:rPr>
        <w:t>（4）201</w:t>
      </w:r>
      <w:r>
        <w:rPr>
          <w:rFonts w:hint="eastAsia" w:ascii="宋体" w:hAnsi="宋体" w:cs="宋体"/>
          <w:color w:val="auto"/>
          <w:highlight w:val="none"/>
          <w:lang w:val="en-US" w:eastAsia="zh-CN"/>
        </w:rPr>
        <w:t>7-2019</w:t>
      </w:r>
      <w:r>
        <w:rPr>
          <w:rFonts w:hint="eastAsia" w:ascii="宋体" w:hAnsi="宋体" w:cs="宋体"/>
          <w:color w:val="auto"/>
          <w:highlight w:val="none"/>
        </w:rPr>
        <w:t>年财务报表（原则上需经过审计的财务报表，含“四表一注”的资产负债表、利润表、现金流量表、所有者权益变动表及其附注）；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（5）投标声明书（</w:t>
      </w:r>
      <w:r>
        <w:rPr>
          <w:rFonts w:hint="eastAsia" w:ascii="宋体" w:hAnsi="宋体" w:cs="宋体"/>
          <w:color w:val="auto"/>
          <w:highlight w:val="none"/>
          <w:lang w:val="en-US" w:eastAsia="zh-CN"/>
        </w:rPr>
        <w:t>格式见</w:t>
      </w:r>
      <w:r>
        <w:rPr>
          <w:rFonts w:hint="eastAsia" w:ascii="宋体" w:hAnsi="宋体" w:cs="宋体"/>
          <w:color w:val="auto"/>
          <w:highlight w:val="none"/>
        </w:rPr>
        <w:t>附件）</w:t>
      </w:r>
    </w:p>
    <w:p>
      <w:pPr>
        <w:ind w:firstLine="480"/>
        <w:rPr>
          <w:rFonts w:ascii="宋体" w:hAnsi="宋体" w:cs="宋体"/>
          <w:color w:val="auto"/>
          <w:highlight w:val="none"/>
        </w:rPr>
      </w:pPr>
      <w:r>
        <w:rPr>
          <w:rFonts w:hint="eastAsia" w:ascii="宋体" w:hAnsi="宋体" w:cs="宋体"/>
          <w:color w:val="auto"/>
          <w:highlight w:val="none"/>
        </w:rPr>
        <w:t>（6）廉政承诺书（</w:t>
      </w:r>
      <w:r>
        <w:rPr>
          <w:rFonts w:hint="eastAsia" w:ascii="宋体" w:hAnsi="宋体" w:cs="宋体"/>
          <w:color w:val="auto"/>
          <w:highlight w:val="none"/>
          <w:lang w:val="en-US" w:eastAsia="zh-CN"/>
        </w:rPr>
        <w:t>格式见</w:t>
      </w:r>
      <w:r>
        <w:rPr>
          <w:rFonts w:hint="eastAsia" w:ascii="宋体" w:hAnsi="宋体" w:cs="宋体"/>
          <w:color w:val="auto"/>
          <w:highlight w:val="none"/>
        </w:rPr>
        <w:t>附件）</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）投标方情况表（</w:t>
      </w:r>
      <w:r>
        <w:rPr>
          <w:rFonts w:hint="eastAsia" w:ascii="宋体" w:hAnsi="宋体" w:cs="宋体"/>
          <w:color w:val="auto"/>
          <w:highlight w:val="none"/>
          <w:lang w:val="en-US" w:eastAsia="zh-CN"/>
        </w:rPr>
        <w:t>格式见</w:t>
      </w:r>
      <w:r>
        <w:rPr>
          <w:rFonts w:hint="eastAsia" w:ascii="宋体" w:hAnsi="宋体" w:cs="宋体"/>
          <w:color w:val="auto"/>
          <w:highlight w:val="none"/>
        </w:rPr>
        <w:t>附件）</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）同类项目实施情况一览表：201</w:t>
      </w:r>
      <w:r>
        <w:rPr>
          <w:rFonts w:hint="eastAsia" w:ascii="宋体" w:hAnsi="宋体" w:cs="宋体"/>
          <w:color w:val="auto"/>
          <w:highlight w:val="none"/>
          <w:lang w:val="en-US" w:eastAsia="zh-CN"/>
        </w:rPr>
        <w:t>7</w:t>
      </w:r>
      <w:r>
        <w:rPr>
          <w:rFonts w:hint="eastAsia" w:ascii="宋体" w:hAnsi="宋体" w:cs="宋体"/>
          <w:color w:val="auto"/>
          <w:highlight w:val="none"/>
        </w:rPr>
        <w:t>年</w:t>
      </w:r>
      <w:r>
        <w:rPr>
          <w:rFonts w:hint="eastAsia" w:ascii="宋体" w:hAnsi="宋体" w:cs="宋体"/>
          <w:color w:val="auto"/>
          <w:highlight w:val="none"/>
          <w:lang w:val="en-US" w:eastAsia="zh-CN"/>
        </w:rPr>
        <w:t>1</w:t>
      </w:r>
      <w:r>
        <w:rPr>
          <w:rFonts w:hint="eastAsia" w:ascii="宋体" w:hAnsi="宋体" w:cs="宋体"/>
          <w:color w:val="auto"/>
          <w:highlight w:val="none"/>
        </w:rPr>
        <w:t>月（以合同签订时间为准）相关成功案例和业绩证明（原件现场备查）（要求提供有关情况，包括：项目名称、项目基本内容、业主名称、联系人及电话，项目金额、实施日期等，</w:t>
      </w:r>
      <w:r>
        <w:rPr>
          <w:rFonts w:hint="eastAsia" w:ascii="宋体" w:hAnsi="宋体" w:cs="宋体"/>
          <w:color w:val="auto"/>
          <w:highlight w:val="none"/>
          <w:lang w:val="en-US" w:eastAsia="zh-CN"/>
        </w:rPr>
        <w:t>格式见</w:t>
      </w:r>
      <w:r>
        <w:rPr>
          <w:rFonts w:hint="eastAsia" w:ascii="宋体" w:hAnsi="宋体" w:cs="宋体"/>
          <w:color w:val="auto"/>
          <w:highlight w:val="none"/>
        </w:rPr>
        <w:t>附件）</w:t>
      </w:r>
    </w:p>
    <w:p>
      <w:pPr>
        <w:ind w:firstLine="482"/>
        <w:rPr>
          <w:rFonts w:hint="eastAsia" w:ascii="宋体" w:hAnsi="宋体" w:cs="宋体"/>
          <w:color w:val="auto"/>
          <w:sz w:val="24"/>
          <w:szCs w:val="32"/>
          <w:highlight w:val="none"/>
        </w:rPr>
      </w:pPr>
      <w:r>
        <w:rPr>
          <w:rFonts w:hint="eastAsia" w:ascii="宋体" w:hAnsi="宋体" w:cs="宋体"/>
          <w:b/>
          <w:color w:val="auto"/>
          <w:highlight w:val="none"/>
        </w:rPr>
        <w:t>2.技术部分</w:t>
      </w:r>
    </w:p>
    <w:p>
      <w:pPr>
        <w:ind w:firstLine="48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采购需求</w:t>
      </w:r>
      <w:r>
        <w:rPr>
          <w:rFonts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p>
    <w:p>
      <w:pPr>
        <w:ind w:firstLine="480"/>
        <w:rPr>
          <w:rFonts w:hint="eastAsia" w:ascii="宋体" w:hAnsi="宋体" w:cs="宋体"/>
          <w:color w:val="auto"/>
          <w:highlight w:val="none"/>
        </w:rPr>
      </w:pPr>
      <w:r>
        <w:rPr>
          <w:rFonts w:hint="eastAsia" w:ascii="宋体" w:hAnsi="宋体" w:cs="宋体"/>
          <w:color w:val="auto"/>
          <w:highlight w:val="none"/>
        </w:rPr>
        <w:t>（2）项目实施方案（投入设备、人员投入状况、配备、配送时间等）</w:t>
      </w:r>
    </w:p>
    <w:p>
      <w:pPr>
        <w:ind w:firstLine="480"/>
        <w:rPr>
          <w:rFonts w:hint="eastAsia" w:ascii="宋体" w:hAnsi="宋体" w:cs="宋体"/>
          <w:color w:val="auto"/>
          <w:highlight w:val="none"/>
        </w:rPr>
      </w:pPr>
      <w:r>
        <w:rPr>
          <w:rFonts w:hint="eastAsia" w:ascii="宋体" w:hAnsi="宋体" w:cs="宋体"/>
          <w:color w:val="auto"/>
          <w:highlight w:val="none"/>
        </w:rPr>
        <w:t>（3）售后服务方案、技术服务、技术培训的内容和措施</w:t>
      </w:r>
    </w:p>
    <w:p>
      <w:pPr>
        <w:ind w:firstLine="480"/>
        <w:rPr>
          <w:rFonts w:hint="eastAsia" w:ascii="宋体" w:hAnsi="宋体" w:cs="宋体"/>
          <w:color w:val="auto"/>
          <w:highlight w:val="none"/>
        </w:rPr>
      </w:pPr>
      <w:r>
        <w:rPr>
          <w:rFonts w:hint="eastAsia" w:ascii="宋体" w:hAnsi="宋体" w:cs="宋体"/>
          <w:color w:val="auto"/>
          <w:highlight w:val="none"/>
        </w:rPr>
        <w:t>（4）优惠条件：投标人承诺给予采购人的各种优惠条件</w:t>
      </w:r>
    </w:p>
    <w:p>
      <w:pPr>
        <w:ind w:firstLine="48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cs="宋体"/>
          <w:color w:val="auto"/>
          <w:highlight w:val="none"/>
        </w:rPr>
        <w:t>其它本招标文件评分表要求提供的材料或投标人认为需要的其他技术文件资料或说明。（格式自拟）</w:t>
      </w: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四、投标保证金</w:t>
      </w:r>
    </w:p>
    <w:p>
      <w:pPr>
        <w:ind w:firstLine="480"/>
        <w:rPr>
          <w:rFonts w:ascii="宋体" w:hAnsi="宋体" w:cs="宋体"/>
          <w:color w:val="auto"/>
          <w:highlight w:val="none"/>
        </w:rPr>
      </w:pPr>
      <w:r>
        <w:rPr>
          <w:rFonts w:hint="eastAsia" w:ascii="宋体" w:hAnsi="宋体" w:cs="宋体"/>
          <w:color w:val="auto"/>
          <w:highlight w:val="none"/>
        </w:rPr>
        <w:t>1.投标方应按规定提供投标保证金。</w:t>
      </w:r>
    </w:p>
    <w:p>
      <w:pPr>
        <w:ind w:firstLine="480"/>
        <w:rPr>
          <w:rFonts w:ascii="宋体" w:hAnsi="宋体" w:cs="宋体"/>
          <w:color w:val="auto"/>
          <w:highlight w:val="none"/>
        </w:rPr>
      </w:pPr>
      <w:r>
        <w:rPr>
          <w:rFonts w:hint="eastAsia" w:ascii="宋体" w:hAnsi="宋体" w:cs="宋体"/>
          <w:color w:val="auto"/>
          <w:highlight w:val="none"/>
        </w:rPr>
        <w:t>2.投标保证金应采用形式为：银行汇票、电汇，而不接受其他形式的保证金；汇款人名称应当与投标方的名称相一致。</w:t>
      </w:r>
    </w:p>
    <w:p>
      <w:pPr>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开标截止时间前</w:t>
      </w:r>
      <w:r>
        <w:rPr>
          <w:rFonts w:hint="eastAsia" w:ascii="宋体" w:hAnsi="宋体" w:cs="宋体"/>
          <w:color w:val="auto"/>
          <w:highlight w:val="none"/>
        </w:rPr>
        <w:t>投标保证金未到账的投标将被视为无效投标。</w:t>
      </w:r>
    </w:p>
    <w:p>
      <w:pPr>
        <w:ind w:firstLine="480"/>
        <w:rPr>
          <w:rFonts w:ascii="宋体" w:hAnsi="宋体" w:cs="宋体"/>
          <w:color w:val="auto"/>
          <w:highlight w:val="none"/>
        </w:rPr>
      </w:pPr>
      <w:r>
        <w:rPr>
          <w:rFonts w:hint="eastAsia" w:ascii="宋体" w:hAnsi="宋体" w:cs="宋体"/>
          <w:color w:val="auto"/>
          <w:highlight w:val="none"/>
        </w:rPr>
        <w:t>4.中标人的投标保证金在与招标人签订了合同并付清中标服务费后，凭合同复印件和缴纳凭证复印件退还。</w:t>
      </w:r>
    </w:p>
    <w:p>
      <w:pPr>
        <w:ind w:firstLine="480"/>
        <w:rPr>
          <w:rFonts w:ascii="宋体" w:hAnsi="宋体" w:cs="宋体"/>
          <w:color w:val="auto"/>
          <w:highlight w:val="none"/>
        </w:rPr>
      </w:pPr>
      <w:r>
        <w:rPr>
          <w:rFonts w:hint="eastAsia" w:ascii="宋体" w:hAnsi="宋体" w:cs="宋体"/>
          <w:color w:val="auto"/>
          <w:highlight w:val="none"/>
        </w:rPr>
        <w:t>5.未中标人的投标保证金将在中标公告发出后5个工作日内</w:t>
      </w:r>
      <w:r>
        <w:rPr>
          <w:rFonts w:hint="eastAsia" w:ascii="宋体" w:hAnsi="宋体" w:cs="宋体"/>
          <w:color w:val="auto"/>
          <w:highlight w:val="none"/>
          <w:lang w:val="en-US" w:eastAsia="zh-CN"/>
        </w:rPr>
        <w:t>联系财务核对账号后</w:t>
      </w:r>
      <w:r>
        <w:rPr>
          <w:rFonts w:hint="eastAsia" w:ascii="宋体" w:hAnsi="宋体" w:cs="宋体"/>
          <w:color w:val="auto"/>
          <w:highlight w:val="none"/>
        </w:rPr>
        <w:t>退还。</w:t>
      </w:r>
    </w:p>
    <w:p>
      <w:pPr>
        <w:ind w:firstLine="480"/>
        <w:rPr>
          <w:rFonts w:ascii="宋体" w:hAnsi="宋体" w:cs="宋体"/>
          <w:color w:val="auto"/>
          <w:highlight w:val="none"/>
        </w:rPr>
      </w:pPr>
      <w:r>
        <w:rPr>
          <w:rFonts w:hint="eastAsia" w:ascii="宋体" w:hAnsi="宋体" w:cs="宋体"/>
          <w:color w:val="auto"/>
          <w:highlight w:val="none"/>
        </w:rPr>
        <w:t>6.发生下列情况之一，保证金将作为违约金全部不予退还。</w:t>
      </w:r>
    </w:p>
    <w:p>
      <w:pPr>
        <w:ind w:firstLine="480"/>
        <w:rPr>
          <w:rFonts w:ascii="宋体" w:hAnsi="宋体" w:cs="宋体"/>
          <w:color w:val="auto"/>
          <w:highlight w:val="none"/>
        </w:rPr>
      </w:pPr>
      <w:r>
        <w:rPr>
          <w:rFonts w:hint="eastAsia" w:ascii="宋体" w:hAnsi="宋体" w:cs="宋体"/>
          <w:color w:val="auto"/>
          <w:highlight w:val="none"/>
        </w:rPr>
        <w:t>（1）开标后在投标有效期间内，投标方撤回其投标的；</w:t>
      </w:r>
    </w:p>
    <w:p>
      <w:pPr>
        <w:ind w:firstLine="480"/>
        <w:rPr>
          <w:rFonts w:ascii="宋体" w:hAnsi="宋体" w:cs="宋体"/>
          <w:color w:val="auto"/>
          <w:highlight w:val="none"/>
        </w:rPr>
      </w:pPr>
      <w:r>
        <w:rPr>
          <w:rFonts w:hint="eastAsia" w:ascii="宋体" w:hAnsi="宋体" w:cs="宋体"/>
          <w:color w:val="auto"/>
          <w:highlight w:val="none"/>
        </w:rPr>
        <w:t>（2）中标人不按本招标招标文件或有关法律、法规及规章的规定签订合同的；</w:t>
      </w:r>
    </w:p>
    <w:p>
      <w:pPr>
        <w:ind w:firstLine="480"/>
        <w:rPr>
          <w:rFonts w:ascii="宋体" w:hAnsi="宋体" w:cs="宋体"/>
          <w:color w:val="auto"/>
          <w:highlight w:val="none"/>
        </w:rPr>
      </w:pPr>
      <w:r>
        <w:rPr>
          <w:rFonts w:hint="eastAsia" w:ascii="宋体" w:hAnsi="宋体" w:cs="宋体"/>
          <w:color w:val="auto"/>
          <w:highlight w:val="none"/>
        </w:rPr>
        <w:t>（3）拒绝提交了履约保证金（若有）或拒绝履行合同义务的；</w:t>
      </w:r>
    </w:p>
    <w:p>
      <w:pPr>
        <w:ind w:firstLine="480"/>
        <w:rPr>
          <w:rFonts w:ascii="宋体" w:hAnsi="宋体" w:cs="宋体"/>
          <w:color w:val="auto"/>
          <w:highlight w:val="none"/>
        </w:rPr>
      </w:pPr>
      <w:r>
        <w:rPr>
          <w:rFonts w:hint="eastAsia" w:ascii="宋体" w:hAnsi="宋体" w:cs="宋体"/>
          <w:color w:val="auto"/>
          <w:highlight w:val="none"/>
        </w:rPr>
        <w:t>（4）将中标项目转让他人的，或未在投标文件中声明且未经招标人同意将中标项目分包给他人的；</w:t>
      </w:r>
    </w:p>
    <w:p>
      <w:pPr>
        <w:ind w:firstLine="480"/>
        <w:rPr>
          <w:rFonts w:ascii="宋体" w:hAnsi="宋体" w:cs="宋体"/>
          <w:color w:val="auto"/>
          <w:highlight w:val="none"/>
        </w:rPr>
      </w:pPr>
      <w:r>
        <w:rPr>
          <w:rFonts w:hint="eastAsia" w:ascii="宋体" w:hAnsi="宋体" w:cs="宋体"/>
          <w:color w:val="auto"/>
          <w:highlight w:val="none"/>
        </w:rPr>
        <w:t>（5）非法干扰本招标投标等采购程序、无理取闹影响采购公平公正、虚假投标的等违法违规行为；</w:t>
      </w:r>
    </w:p>
    <w:p>
      <w:pPr>
        <w:ind w:firstLine="480"/>
        <w:rPr>
          <w:rFonts w:ascii="宋体" w:hAnsi="宋体" w:cs="宋体"/>
          <w:color w:val="auto"/>
          <w:highlight w:val="none"/>
        </w:rPr>
      </w:pPr>
      <w:r>
        <w:rPr>
          <w:rFonts w:hint="eastAsia" w:ascii="宋体" w:hAnsi="宋体" w:cs="宋体"/>
          <w:color w:val="auto"/>
          <w:highlight w:val="none"/>
        </w:rPr>
        <w:t>（6）中标人有违反诚实守信原则的行为或事项的；</w:t>
      </w:r>
    </w:p>
    <w:p>
      <w:pPr>
        <w:ind w:firstLine="480"/>
        <w:rPr>
          <w:rFonts w:ascii="宋体" w:hAnsi="宋体" w:cs="宋体"/>
          <w:color w:val="auto"/>
          <w:highlight w:val="none"/>
        </w:rPr>
      </w:pPr>
      <w:r>
        <w:rPr>
          <w:rFonts w:hint="eastAsia" w:ascii="宋体" w:hAnsi="宋体" w:cs="宋体"/>
          <w:color w:val="auto"/>
          <w:highlight w:val="none"/>
        </w:rPr>
        <w:t>（7）其他违反国家有关招标投标法律、法规与规章的。</w:t>
      </w:r>
    </w:p>
    <w:p>
      <w:pPr>
        <w:pStyle w:val="6"/>
        <w:rPr>
          <w:rFonts w:ascii="宋体" w:hAnsi="宋体" w:cs="宋体"/>
          <w:color w:val="auto"/>
          <w:highlight w:val="none"/>
        </w:rPr>
      </w:pPr>
      <w:r>
        <w:rPr>
          <w:rFonts w:hint="eastAsia" w:ascii="宋体" w:hAnsi="宋体" w:cs="宋体"/>
          <w:color w:val="auto"/>
          <w:highlight w:val="none"/>
        </w:rPr>
        <w:t>五、投标文件的签署及规定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63" w:name="_Toc12521"/>
      <w:bookmarkStart w:id="64" w:name="_Toc24870"/>
      <w:r>
        <w:rPr>
          <w:rFonts w:hint="eastAsia" w:ascii="宋体" w:hAnsi="宋体" w:cs="宋体"/>
          <w:color w:val="auto"/>
          <w:highlight w:val="none"/>
        </w:rPr>
        <w:t>第四节 投标文件的递交</w:t>
      </w:r>
      <w:bookmarkEnd w:id="63"/>
      <w:bookmarkEnd w:id="64"/>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w:t>
      </w:r>
      <w:r>
        <w:rPr>
          <w:rFonts w:hint="eastAsia" w:ascii="宋体" w:hAnsi="宋体" w:cs="宋体"/>
          <w:b/>
          <w:bCs/>
          <w:color w:val="auto"/>
          <w:highlight w:val="none"/>
        </w:rPr>
        <w:t>U盘</w:t>
      </w:r>
      <w:r>
        <w:rPr>
          <w:rFonts w:hint="eastAsia" w:ascii="宋体" w:hAnsi="宋体" w:cs="宋体"/>
          <w:color w:val="auto"/>
          <w:highlight w:val="none"/>
        </w:rPr>
        <w:t>存储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概不退还</w:t>
      </w:r>
      <w:r>
        <w:rPr>
          <w:rFonts w:hint="eastAsia" w:ascii="宋体" w:hAnsi="宋体" w:cs="宋体"/>
          <w:color w:val="auto"/>
          <w:highlight w:val="none"/>
          <w:lang w:eastAsia="zh-CN"/>
        </w:rPr>
        <w:t>）</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4.如果投标方未按上述要求密封及加写标记，招标方对投标文件的误投和提前启封概不负责。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hint="eastAsia"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2"/>
        <w:rPr>
          <w:color w:val="auto"/>
          <w:highlight w:val="none"/>
        </w:rPr>
      </w:pPr>
    </w:p>
    <w:p>
      <w:pPr>
        <w:pStyle w:val="5"/>
        <w:jc w:val="center"/>
        <w:rPr>
          <w:rFonts w:ascii="宋体" w:hAnsi="宋体" w:cs="宋体"/>
          <w:color w:val="auto"/>
          <w:highlight w:val="none"/>
        </w:rPr>
      </w:pPr>
      <w:bookmarkStart w:id="65" w:name="_Toc16186"/>
      <w:bookmarkStart w:id="66" w:name="_Toc27893"/>
      <w:r>
        <w:rPr>
          <w:rFonts w:hint="eastAsia" w:ascii="宋体" w:hAnsi="宋体" w:cs="宋体"/>
          <w:color w:val="auto"/>
          <w:highlight w:val="none"/>
        </w:rPr>
        <w:t>第五节 开标</w:t>
      </w:r>
      <w:bookmarkEnd w:id="65"/>
      <w:bookmarkEnd w:id="66"/>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67" w:name="_Toc6779"/>
      <w:bookmarkStart w:id="68" w:name="_Toc13687"/>
      <w:r>
        <w:rPr>
          <w:rFonts w:hint="eastAsia" w:ascii="宋体" w:hAnsi="宋体" w:cs="宋体"/>
          <w:color w:val="auto"/>
          <w:highlight w:val="none"/>
        </w:rPr>
        <w:t>第六节 评标</w:t>
      </w:r>
      <w:bookmarkEnd w:id="67"/>
      <w:bookmarkEnd w:id="68"/>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ind w:firstLine="480"/>
        <w:rPr>
          <w:rFonts w:ascii="宋体" w:hAnsi="宋体" w:cs="宋体"/>
          <w:color w:val="auto"/>
          <w:highlight w:val="none"/>
        </w:rPr>
      </w:pPr>
      <w:r>
        <w:rPr>
          <w:rFonts w:hint="eastAsia" w:ascii="宋体" w:hAnsi="宋体" w:cs="宋体"/>
          <w:color w:val="auto"/>
          <w:highlight w:val="none"/>
        </w:rPr>
        <w:t>（6）不同投标人的投标保证金从同一单位或者个人的账户转出。</w:t>
      </w:r>
    </w:p>
    <w:p>
      <w:pPr>
        <w:pStyle w:val="6"/>
        <w:rPr>
          <w:rFonts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69" w:name="_Toc24239"/>
      <w:bookmarkStart w:id="70" w:name="_Toc3566"/>
      <w:r>
        <w:rPr>
          <w:rFonts w:hint="eastAsia" w:ascii="宋体" w:hAnsi="宋体" w:cs="宋体"/>
          <w:color w:val="auto"/>
          <w:highlight w:val="none"/>
        </w:rPr>
        <w:t>第七节 授予合同</w:t>
      </w:r>
      <w:bookmarkEnd w:id="69"/>
      <w:bookmarkEnd w:id="70"/>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杭州文一教育发展有限公司</w:t>
      </w:r>
      <w:r>
        <w:rPr>
          <w:rFonts w:hint="eastAsia" w:ascii="宋体" w:hAnsi="宋体" w:cs="宋体"/>
          <w:color w:val="auto"/>
          <w:highlight w:val="none"/>
        </w:rPr>
        <w:t>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二、招标方在授标时有变更数量的权力</w:t>
      </w:r>
    </w:p>
    <w:p>
      <w:pPr>
        <w:ind w:firstLine="480"/>
        <w:rPr>
          <w:rFonts w:ascii="宋体" w:hAnsi="宋体" w:cs="宋体"/>
          <w:color w:val="auto"/>
          <w:highlight w:val="none"/>
        </w:rPr>
      </w:pPr>
      <w:r>
        <w:rPr>
          <w:rFonts w:hint="eastAsia" w:ascii="宋体" w:hAnsi="宋体" w:cs="宋体"/>
          <w:color w:val="auto"/>
          <w:highlight w:val="none"/>
        </w:rPr>
        <w:t>在向投标方授予中标通知书时，招标方有权变更数量。</w:t>
      </w:r>
    </w:p>
    <w:p>
      <w:pPr>
        <w:pStyle w:val="6"/>
        <w:rPr>
          <w:rFonts w:ascii="宋体" w:hAnsi="宋体" w:cs="宋体"/>
          <w:color w:val="auto"/>
          <w:highlight w:val="none"/>
        </w:rPr>
      </w:pPr>
      <w:r>
        <w:rPr>
          <w:rFonts w:hint="eastAsia" w:ascii="宋体" w:hAnsi="宋体" w:cs="宋体"/>
          <w:color w:val="auto"/>
          <w:highlight w:val="none"/>
        </w:rPr>
        <w:t>三、招标方接受和拒绝任何或所有投标的权力</w:t>
      </w:r>
    </w:p>
    <w:p>
      <w:pPr>
        <w:ind w:firstLine="480"/>
        <w:rPr>
          <w:rFonts w:ascii="宋体" w:hAnsi="宋体" w:cs="宋体"/>
          <w:color w:val="auto"/>
          <w:highlight w:val="none"/>
        </w:rPr>
      </w:pPr>
      <w:r>
        <w:rPr>
          <w:rFonts w:hint="eastAsia" w:ascii="宋体" w:hAnsi="宋体" w:cs="宋体"/>
          <w:color w:val="auto"/>
          <w:highlight w:val="none"/>
        </w:rPr>
        <w:t>为维护国家公共利益，招标方在授予合同之前仍有选择或拒绝任何投标方中标的权力，并对所采取的行为不说明原因（非涉及秘密的除外），不受第19条规定之约束。</w:t>
      </w:r>
    </w:p>
    <w:p>
      <w:pPr>
        <w:pStyle w:val="6"/>
        <w:rPr>
          <w:rFonts w:ascii="宋体" w:hAnsi="宋体" w:cs="宋体"/>
          <w:color w:val="auto"/>
          <w:highlight w:val="none"/>
        </w:rPr>
      </w:pPr>
      <w:r>
        <w:rPr>
          <w:rFonts w:hint="eastAsia" w:ascii="宋体" w:hAnsi="宋体" w:cs="宋体"/>
          <w:color w:val="auto"/>
          <w:highlight w:val="none"/>
        </w:rPr>
        <w:t>四、签订合同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ind w:firstLine="480"/>
        <w:rPr>
          <w:rFonts w:ascii="宋体" w:hAnsi="宋体" w:cs="宋体"/>
          <w:color w:val="auto"/>
          <w:highlight w:val="none"/>
        </w:rPr>
      </w:pPr>
    </w:p>
    <w:p>
      <w:pPr>
        <w:pStyle w:val="5"/>
        <w:jc w:val="center"/>
        <w:rPr>
          <w:rFonts w:ascii="宋体" w:hAnsi="宋体" w:cs="宋体"/>
          <w:color w:val="auto"/>
          <w:highlight w:val="none"/>
        </w:rPr>
      </w:pPr>
      <w:bookmarkStart w:id="71" w:name="_Toc12481"/>
      <w:bookmarkStart w:id="72" w:name="_Toc13025"/>
      <w:r>
        <w:rPr>
          <w:rFonts w:hint="eastAsia" w:ascii="宋体" w:hAnsi="宋体" w:cs="宋体"/>
          <w:color w:val="auto"/>
          <w:highlight w:val="none"/>
        </w:rPr>
        <w:t>第八节 例外处理</w:t>
      </w:r>
      <w:bookmarkEnd w:id="71"/>
      <w:bookmarkEnd w:id="72"/>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w:t>
      </w:r>
      <w:r>
        <w:rPr>
          <w:rFonts w:hint="eastAsia" w:ascii="宋体" w:hAnsi="宋体" w:cs="宋体"/>
          <w:color w:val="auto"/>
          <w:highlight w:val="none"/>
          <w:lang w:val="en-US" w:eastAsia="zh-CN"/>
        </w:rPr>
        <w:t>四</w:t>
      </w:r>
      <w:r>
        <w:rPr>
          <w:rFonts w:hint="eastAsia" w:ascii="宋体" w:hAnsi="宋体" w:cs="宋体"/>
          <w:color w:val="auto"/>
          <w:highlight w:val="none"/>
        </w:rPr>
        <w:t>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hint="eastAsia" w:ascii="宋体" w:hAnsi="宋体" w:cs="宋体"/>
          <w:color w:val="auto"/>
          <w:highlight w:val="none"/>
        </w:rPr>
      </w:pPr>
      <w:r>
        <w:rPr>
          <w:rFonts w:hint="eastAsia" w:ascii="宋体" w:hAnsi="宋体" w:cs="宋体"/>
          <w:color w:val="auto"/>
          <w:highlight w:val="none"/>
        </w:rPr>
        <w:t>2.采用其他采购方式组织采购。</w:t>
      </w:r>
    </w:p>
    <w:p>
      <w:pPr>
        <w:pStyle w:val="2"/>
        <w:rPr>
          <w:rFonts w:hint="eastAsia" w:ascii="宋体" w:hAnsi="宋体" w:cs="宋体"/>
          <w:color w:val="auto"/>
          <w:highlight w:val="none"/>
        </w:rPr>
      </w:pPr>
    </w:p>
    <w:p>
      <w:pPr>
        <w:pStyle w:val="3"/>
        <w:rPr>
          <w:color w:val="auto"/>
          <w:highlight w:val="none"/>
        </w:rPr>
        <w:sectPr>
          <w:footerReference r:id="rId17" w:type="default"/>
          <w:pgSz w:w="11906" w:h="16838"/>
          <w:pgMar w:top="1247" w:right="1247" w:bottom="1247" w:left="1247" w:header="170" w:footer="567" w:gutter="0"/>
          <w:pgNumType w:fmt="decimal"/>
          <w:cols w:space="720" w:num="1"/>
          <w:docGrid w:linePitch="381" w:charSpace="0"/>
        </w:sectPr>
      </w:pPr>
    </w:p>
    <w:p>
      <w:pPr>
        <w:pStyle w:val="4"/>
        <w:rPr>
          <w:color w:val="auto"/>
          <w:highlight w:val="none"/>
        </w:rPr>
      </w:pPr>
      <w:bookmarkStart w:id="73" w:name="_Toc82873316"/>
      <w:bookmarkStart w:id="74" w:name="_Toc450840079"/>
      <w:bookmarkStart w:id="75" w:name="_Toc82338233"/>
      <w:bookmarkStart w:id="76" w:name="_Toc22869"/>
      <w:r>
        <w:rPr>
          <w:rFonts w:hint="eastAsia" w:cs="宋体"/>
          <w:color w:val="auto"/>
          <w:highlight w:val="none"/>
        </w:rPr>
        <w:t xml:space="preserve">第四章 </w:t>
      </w:r>
      <w:bookmarkEnd w:id="73"/>
      <w:bookmarkEnd w:id="74"/>
      <w:bookmarkEnd w:id="75"/>
      <w:r>
        <w:rPr>
          <w:rFonts w:hint="eastAsia" w:cs="宋体"/>
          <w:color w:val="auto"/>
          <w:highlight w:val="none"/>
        </w:rPr>
        <w:t>评标办法及评分标准</w:t>
      </w:r>
      <w:bookmarkEnd w:id="76"/>
    </w:p>
    <w:p>
      <w:pPr>
        <w:pStyle w:val="5"/>
        <w:rPr>
          <w:rFonts w:ascii="宋体" w:hAnsi="宋体" w:cs="宋体"/>
          <w:color w:val="auto"/>
          <w:highlight w:val="none"/>
        </w:rPr>
      </w:pPr>
      <w:bookmarkStart w:id="77" w:name="_Toc11391"/>
      <w:bookmarkStart w:id="78" w:name="_Toc3110"/>
      <w:bookmarkStart w:id="79" w:name="OLE_LINK3"/>
      <w:r>
        <w:rPr>
          <w:rFonts w:hint="eastAsia" w:ascii="宋体" w:hAnsi="宋体" w:cs="宋体"/>
          <w:color w:val="auto"/>
          <w:highlight w:val="none"/>
        </w:rPr>
        <w:t>一、评分总则</w:t>
      </w:r>
      <w:bookmarkEnd w:id="77"/>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以招标文件要求为基础，考虑各项相关因素的影响，将相关因素以定量计算的方法转换成分数表示形式，以最高“评标分数”确定评标结果顺序。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hint="eastAsia" w:ascii="宋体" w:hAnsi="宋体" w:cs="宋体"/>
          <w:color w:val="auto"/>
          <w:highlight w:val="none"/>
        </w:rPr>
      </w:pP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w:t>
      </w:r>
      <w:r>
        <w:rPr>
          <w:rFonts w:hint="eastAsia" w:ascii="宋体" w:hAnsi="宋体" w:cs="宋体"/>
          <w:color w:val="auto"/>
          <w:highlight w:val="none"/>
          <w:lang w:val="en-US" w:eastAsia="zh-CN"/>
        </w:rPr>
        <w:t>评</w:t>
      </w:r>
      <w:r>
        <w:rPr>
          <w:rFonts w:hAnsi="宋体"/>
          <w:bCs/>
          <w:color w:val="auto"/>
          <w:szCs w:val="21"/>
          <w:highlight w:val="none"/>
        </w:rPr>
        <w:t>分过程中采用四舍五入法，并保留小数</w:t>
      </w:r>
      <w:r>
        <w:rPr>
          <w:bCs/>
          <w:color w:val="auto"/>
          <w:szCs w:val="21"/>
          <w:highlight w:val="none"/>
        </w:rPr>
        <w:t>2</w:t>
      </w:r>
      <w:r>
        <w:rPr>
          <w:rFonts w:hAnsi="宋体"/>
          <w:bCs/>
          <w:color w:val="auto"/>
          <w:szCs w:val="21"/>
          <w:highlight w:val="none"/>
        </w:rPr>
        <w:t>位。评审小组推荐</w:t>
      </w:r>
      <w:r>
        <w:rPr>
          <w:rFonts w:hAnsi="宋体"/>
          <w:color w:val="auto"/>
          <w:szCs w:val="21"/>
          <w:highlight w:val="none"/>
        </w:rPr>
        <w:t>得分</w:t>
      </w:r>
      <w:r>
        <w:rPr>
          <w:rFonts w:hAnsi="宋体"/>
          <w:bCs/>
          <w:color w:val="auto"/>
          <w:szCs w:val="21"/>
          <w:highlight w:val="none"/>
        </w:rPr>
        <w:t>排列前</w:t>
      </w:r>
      <w:r>
        <w:rPr>
          <w:rFonts w:hint="eastAsia"/>
          <w:bCs/>
          <w:color w:val="auto"/>
          <w:szCs w:val="21"/>
          <w:highlight w:val="none"/>
          <w:u w:val="single"/>
          <w:lang w:val="en-US" w:eastAsia="zh-CN"/>
        </w:rPr>
        <w:t>2</w:t>
      </w:r>
      <w:r>
        <w:rPr>
          <w:rFonts w:hAnsi="宋体"/>
          <w:bCs/>
          <w:color w:val="auto"/>
          <w:szCs w:val="21"/>
          <w:highlight w:val="none"/>
        </w:rPr>
        <w:t>名的供应商为</w:t>
      </w:r>
      <w:r>
        <w:rPr>
          <w:rFonts w:hint="eastAsia" w:hAnsi="宋体"/>
          <w:bCs/>
          <w:color w:val="auto"/>
          <w:szCs w:val="21"/>
          <w:highlight w:val="none"/>
          <w:lang w:val="en-US" w:eastAsia="zh-CN"/>
        </w:rPr>
        <w:t>入围中标</w:t>
      </w:r>
      <w:r>
        <w:rPr>
          <w:rFonts w:hAnsi="宋体"/>
          <w:bCs/>
          <w:color w:val="auto"/>
          <w:szCs w:val="21"/>
          <w:highlight w:val="none"/>
        </w:rPr>
        <w:t>候选人</w:t>
      </w:r>
      <w:r>
        <w:rPr>
          <w:rFonts w:hint="eastAsia" w:hAnsi="宋体"/>
          <w:bCs/>
          <w:color w:val="auto"/>
          <w:szCs w:val="21"/>
          <w:highlight w:val="none"/>
          <w:lang w:eastAsia="zh-CN"/>
        </w:rPr>
        <w:t>；若提交最后报价的供应商等于三家，则作废标处理。</w:t>
      </w:r>
    </w:p>
    <w:p>
      <w:pPr>
        <w:ind w:firstLine="480"/>
        <w:rPr>
          <w:rFonts w:ascii="宋体" w:hAnsi="宋体" w:cs="宋体"/>
          <w:color w:val="auto"/>
          <w:highlight w:val="none"/>
        </w:rPr>
      </w:pPr>
      <w:r>
        <w:rPr>
          <w:rFonts w:hint="eastAsia" w:ascii="宋体" w:hAnsi="宋体" w:cs="宋体"/>
          <w:color w:val="auto"/>
          <w:highlight w:val="none"/>
        </w:rPr>
        <w:t>投标人评标综合得分=商务技术分+价格分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numPr>
          <w:ilvl w:val="0"/>
          <w:numId w:val="6"/>
        </w:numPr>
        <w:rPr>
          <w:rFonts w:hint="eastAsia" w:ascii="宋体" w:hAnsi="宋体" w:cs="宋体"/>
          <w:color w:val="auto"/>
          <w:highlight w:val="none"/>
        </w:rPr>
      </w:pPr>
      <w:r>
        <w:rPr>
          <w:rFonts w:hint="eastAsia" w:ascii="宋体" w:hAnsi="宋体" w:cs="宋体"/>
          <w:color w:val="auto"/>
          <w:highlight w:val="none"/>
        </w:rPr>
        <w:t>评分内容及标准</w:t>
      </w:r>
      <w:bookmarkEnd w:id="78"/>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14"/>
        <w:gridCol w:w="669"/>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评分项目</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180" w:type="dxa"/>
            <w:gridSpan w:val="4"/>
            <w:noWrap w:val="0"/>
            <w:vAlign w:val="center"/>
          </w:tcPr>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价格分（</w:t>
            </w:r>
            <w:r>
              <w:rPr>
                <w:rFonts w:hint="eastAsia" w:ascii="宋体" w:hAnsi="宋体" w:cs="宋体"/>
                <w:b/>
                <w:bCs/>
                <w:color w:val="auto"/>
                <w:sz w:val="21"/>
                <w:szCs w:val="21"/>
                <w:highlight w:val="none"/>
                <w:lang w:val="en-US" w:eastAsia="zh-CN"/>
              </w:rPr>
              <w:t>55</w:t>
            </w:r>
            <w:r>
              <w:rPr>
                <w:rFonts w:hint="eastAsia" w:ascii="宋体" w:hAnsi="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color w:val="auto"/>
                <w:spacing w:val="-6"/>
                <w:sz w:val="21"/>
                <w:szCs w:val="21"/>
                <w:highlight w:val="none"/>
              </w:rPr>
              <w:t>投标报价</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价格分采用低价优先法计算，即满足招标文件要求且投标价格最低的投标报价为评标基准价，其价格分为满分。其他投标人的价格分按照下列公式计算：</w:t>
            </w:r>
          </w:p>
          <w:p>
            <w:pPr>
              <w:pStyle w:val="2"/>
              <w:keepNext w:val="0"/>
              <w:keepLines w:val="0"/>
              <w:pageBreakBefore w:val="0"/>
              <w:widowControl w:val="0"/>
              <w:kinsoku/>
              <w:wordWrap/>
              <w:overflowPunct/>
              <w:topLinePunct w:val="0"/>
              <w:bidi w:val="0"/>
              <w:snapToGrid/>
              <w:spacing w:line="240" w:lineRule="auto"/>
              <w:ind w:firstLine="0" w:firstLineChars="0"/>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价格分=（评标基准价/投标报价）×价格权值×100，最高55分。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80" w:type="dxa"/>
            <w:gridSpan w:val="4"/>
            <w:noWrap w:val="0"/>
            <w:vAlign w:val="center"/>
          </w:tcPr>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商务业绩分（10分）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业绩</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投标人自201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年1月1日以来（以合同签订时间为准）同类项目业绩（以提供的完整合同复印件为准）：每提供1份合同业绩得1分，最高得8分。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olor w:val="auto"/>
                <w:spacing w:val="-6"/>
                <w:sz w:val="21"/>
                <w:szCs w:val="21"/>
                <w:highlight w:val="none"/>
              </w:rPr>
              <w:t>投标文件制作</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ascii="宋体" w:hAnsi="宋体"/>
                <w:color w:val="auto"/>
                <w:spacing w:val="-6"/>
                <w:sz w:val="21"/>
                <w:szCs w:val="21"/>
                <w:highlight w:val="none"/>
              </w:rPr>
              <w:t>2</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olor w:val="auto"/>
                <w:spacing w:val="-6"/>
                <w:sz w:val="21"/>
                <w:szCs w:val="21"/>
                <w:highlight w:val="none"/>
              </w:rPr>
              <w:t>装订、目录编制、提供相关资料是否完善，表格等制作情况酌情评分。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80" w:type="dxa"/>
            <w:gridSpan w:val="4"/>
            <w:noWrap w:val="0"/>
            <w:vAlign w:val="center"/>
          </w:tcPr>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技术分（30分）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olor w:val="auto"/>
                <w:spacing w:val="-6"/>
                <w:sz w:val="21"/>
                <w:szCs w:val="21"/>
                <w:highlight w:val="none"/>
              </w:rPr>
              <w:t>投标产品的响应程度</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olor w:val="auto"/>
                <w:spacing w:val="-6"/>
                <w:sz w:val="21"/>
                <w:szCs w:val="21"/>
                <w:highlight w:val="none"/>
              </w:rPr>
              <w:t>15</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不符合（负偏离）技术要求中标注“★”条款（不可偏离）的投标无效；</w:t>
            </w:r>
          </w:p>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olor w:val="auto"/>
                <w:sz w:val="21"/>
                <w:szCs w:val="21"/>
                <w:highlight w:val="none"/>
              </w:rPr>
              <w:t>投标产品全部满足招标文件明确的功能、性能和技术指标品牌要求，得1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分；允许偏离的功能、性能和技术指标低于招标需求（负偏离）的，每项扣1.5分，扣完为止。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项目实施方案</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5</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olor w:val="auto"/>
                <w:sz w:val="21"/>
                <w:szCs w:val="21"/>
                <w:highlight w:val="none"/>
              </w:rPr>
            </w:pPr>
            <w:r>
              <w:rPr>
                <w:rFonts w:hint="eastAsia" w:ascii="宋体" w:hAnsi="宋体"/>
                <w:color w:val="auto"/>
                <w:highlight w:val="none"/>
              </w:rPr>
              <w:t>根据本项目特点制定的实施组织方案，包括项目实施组织安排、</w:t>
            </w:r>
            <w:r>
              <w:rPr>
                <w:rFonts w:hint="eastAsia" w:ascii="宋体" w:hAnsi="宋体"/>
                <w:color w:val="auto"/>
                <w:highlight w:val="none"/>
                <w:lang w:val="en-US" w:eastAsia="zh-CN"/>
              </w:rPr>
              <w:t>人员投入状况</w:t>
            </w:r>
            <w:r>
              <w:rPr>
                <w:rFonts w:hint="eastAsia" w:ascii="宋体" w:hAnsi="宋体"/>
                <w:color w:val="auto"/>
                <w:highlight w:val="none"/>
              </w:rPr>
              <w:t>、主要设备工具配备等。按照实施安排的合理性，科学性，专业性及工具的完备程度等进行评分。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pacing w:val="20"/>
                <w:sz w:val="21"/>
                <w:szCs w:val="21"/>
                <w:highlight w:val="none"/>
              </w:rPr>
            </w:pPr>
            <w:r>
              <w:rPr>
                <w:rFonts w:hint="eastAsia" w:ascii="宋体" w:hAnsi="宋体" w:cs="宋体"/>
                <w:color w:val="auto"/>
                <w:spacing w:val="20"/>
                <w:sz w:val="21"/>
                <w:szCs w:val="21"/>
                <w:highlight w:val="none"/>
              </w:rPr>
              <w:t>送货时间</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送货8小时以内（当天）的，得6分；16小时以上24小时以内（第二天）的，得2分；48小时以上（超过二天）的，不得分。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pacing w:val="20"/>
                <w:sz w:val="21"/>
                <w:szCs w:val="21"/>
                <w:highlight w:val="none"/>
              </w:rPr>
            </w:pPr>
            <w:r>
              <w:rPr>
                <w:rFonts w:hint="eastAsia" w:ascii="宋体" w:hAnsi="宋体" w:cs="宋体"/>
                <w:color w:val="auto"/>
                <w:spacing w:val="20"/>
                <w:sz w:val="21"/>
                <w:szCs w:val="21"/>
                <w:highlight w:val="none"/>
              </w:rPr>
              <w:t>售后服务及技术服务方案</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项目维护计划的有效性和售后服务的响应情况，以及具体技术解决方案、实施计划。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7"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14"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pacing w:val="20"/>
                <w:sz w:val="21"/>
                <w:szCs w:val="21"/>
                <w:highlight w:val="none"/>
              </w:rPr>
            </w:pPr>
            <w:r>
              <w:rPr>
                <w:rFonts w:hint="eastAsia" w:ascii="宋体" w:hAnsi="宋体" w:cs="宋体"/>
                <w:color w:val="auto"/>
                <w:spacing w:val="20"/>
                <w:sz w:val="21"/>
                <w:szCs w:val="21"/>
                <w:highlight w:val="none"/>
              </w:rPr>
              <w:t>优惠措施、特殊承诺</w:t>
            </w:r>
          </w:p>
        </w:tc>
        <w:tc>
          <w:tcPr>
            <w:tcW w:w="669" w:type="dxa"/>
            <w:noWrap w:val="0"/>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6650" w:type="dxa"/>
            <w:noWrap w:val="0"/>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供应商对后续服务等方面的承诺，以及针对本项目的</w:t>
            </w:r>
            <w:r>
              <w:rPr>
                <w:rFonts w:hint="eastAsia" w:ascii="宋体" w:hAnsi="宋体" w:cs="宋体"/>
                <w:color w:val="auto"/>
                <w:spacing w:val="20"/>
                <w:sz w:val="21"/>
                <w:szCs w:val="21"/>
                <w:highlight w:val="none"/>
              </w:rPr>
              <w:t>优惠措施、</w:t>
            </w:r>
            <w:r>
              <w:rPr>
                <w:rFonts w:hint="eastAsia" w:ascii="宋体" w:hAnsi="宋体" w:cs="宋体"/>
                <w:color w:val="auto"/>
                <w:sz w:val="21"/>
                <w:szCs w:val="21"/>
                <w:highlight w:val="none"/>
              </w:rPr>
              <w:t>特殊承诺情况等，酌情打分。</w:t>
            </w:r>
          </w:p>
        </w:tc>
      </w:tr>
    </w:tbl>
    <w:p>
      <w:pPr>
        <w:widowControl w:val="0"/>
        <w:numPr>
          <w:ilvl w:val="0"/>
          <w:numId w:val="0"/>
        </w:numPr>
        <w:spacing w:line="360" w:lineRule="auto"/>
        <w:jc w:val="both"/>
        <w:rPr>
          <w:color w:val="auto"/>
          <w:highlight w:val="none"/>
        </w:rPr>
      </w:pPr>
    </w:p>
    <w:bookmarkEnd w:id="79"/>
    <w:p>
      <w:pPr>
        <w:pStyle w:val="3"/>
        <w:ind w:left="0" w:leftChars="0" w:firstLine="0" w:firstLineChars="0"/>
        <w:rPr>
          <w:rFonts w:ascii="宋体" w:hAnsi="宋体" w:eastAsia="宋体" w:cs="宋体"/>
          <w:color w:val="auto"/>
          <w:highlight w:val="none"/>
        </w:rPr>
      </w:pPr>
      <w:bookmarkStart w:id="80" w:name="_Toc82873317"/>
      <w:bookmarkStart w:id="81" w:name="_Toc82338234"/>
      <w:bookmarkStart w:id="82" w:name="_Toc450840083"/>
    </w:p>
    <w:p>
      <w:pPr>
        <w:pStyle w:val="2"/>
        <w:rPr>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pgNumType w:fmt="decimal"/>
          <w:cols w:space="720" w:num="1"/>
          <w:docGrid w:linePitch="286" w:charSpace="0"/>
        </w:sectPr>
      </w:pPr>
    </w:p>
    <w:bookmarkEnd w:id="80"/>
    <w:bookmarkEnd w:id="81"/>
    <w:bookmarkEnd w:id="82"/>
    <w:p>
      <w:pPr>
        <w:pStyle w:val="4"/>
        <w:ind w:firstLine="643"/>
        <w:rPr>
          <w:color w:val="auto"/>
          <w:szCs w:val="24"/>
          <w:highlight w:val="none"/>
        </w:rPr>
      </w:pPr>
      <w:bookmarkStart w:id="83" w:name="_Toc7087"/>
      <w:r>
        <w:rPr>
          <w:rFonts w:hint="eastAsia" w:cs="宋体"/>
          <w:color w:val="auto"/>
          <w:szCs w:val="32"/>
          <w:highlight w:val="none"/>
        </w:rPr>
        <w:t>第五章 合同格式</w:t>
      </w:r>
      <w:bookmarkEnd w:id="83"/>
    </w:p>
    <w:p>
      <w:pPr>
        <w:ind w:firstLine="440"/>
        <w:rPr>
          <w:rFonts w:hint="eastAsia" w:ascii="Times New Roman" w:hAnsi="Times New Roman"/>
          <w:color w:val="auto"/>
          <w:szCs w:val="20"/>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bookmarkStart w:id="84" w:name="_Toc450840088"/>
    </w:p>
    <w:p>
      <w:pPr>
        <w:pStyle w:val="20"/>
        <w:adjustRightInd w:val="0"/>
        <w:spacing w:before="120" w:after="120"/>
        <w:ind w:firstLine="415" w:firstLineChars="197"/>
        <w:jc w:val="left"/>
        <w:rPr>
          <w:rFonts w:hint="eastAsia" w:hAnsi="宋体" w:cs="宋体"/>
          <w:b/>
          <w:color w:val="auto"/>
          <w:highlight w:val="none"/>
        </w:rPr>
      </w:pPr>
      <w:r>
        <w:rPr>
          <w:rFonts w:hint="eastAsia" w:hAnsi="宋体"/>
          <w:b/>
          <w:color w:val="auto"/>
          <w:highlight w:val="none"/>
          <w:lang w:val="en-US" w:eastAsia="zh-CN"/>
        </w:rPr>
        <w:t>维修材料</w:t>
      </w:r>
      <w:r>
        <w:rPr>
          <w:rFonts w:hint="eastAsia" w:hAnsi="宋体"/>
          <w:b/>
          <w:color w:val="auto"/>
          <w:highlight w:val="none"/>
        </w:rPr>
        <w:t>合同将由</w:t>
      </w:r>
      <w:r>
        <w:rPr>
          <w:rFonts w:hint="eastAsia" w:hAnsi="宋体" w:cs="Arial"/>
          <w:b/>
          <w:color w:val="auto"/>
          <w:highlight w:val="none"/>
        </w:rPr>
        <w:t>杭州文一教育发展有限公司</w:t>
      </w:r>
      <w:r>
        <w:rPr>
          <w:rFonts w:hint="eastAsia" w:hAnsi="宋体"/>
          <w:b/>
          <w:color w:val="auto"/>
          <w:highlight w:val="none"/>
        </w:rPr>
        <w:t>（以下简称甲方）与经评审最终确定的中标人（以下简称乙方）结合本项目具体情况协商后签订。</w:t>
      </w:r>
    </w:p>
    <w:p>
      <w:pPr>
        <w:spacing w:line="360" w:lineRule="auto"/>
        <w:ind w:left="7108" w:hanging="7108" w:hangingChars="2950"/>
        <w:rPr>
          <w:b/>
          <w:color w:val="auto"/>
          <w:sz w:val="24"/>
          <w:highlight w:val="none"/>
        </w:rPr>
      </w:pPr>
    </w:p>
    <w:p>
      <w:pPr>
        <w:spacing w:line="360" w:lineRule="auto"/>
        <w:rPr>
          <w:color w:val="auto"/>
          <w:spacing w:val="-6"/>
          <w:sz w:val="24"/>
          <w:szCs w:val="21"/>
          <w:highlight w:val="none"/>
        </w:rPr>
      </w:pPr>
      <w:r>
        <w:rPr>
          <w:rFonts w:hint="eastAsia"/>
          <w:color w:val="auto"/>
          <w:spacing w:val="-6"/>
          <w:sz w:val="24"/>
          <w:szCs w:val="21"/>
          <w:highlight w:val="none"/>
        </w:rPr>
        <w:t>甲方（需方）：</w:t>
      </w:r>
      <w:r>
        <w:rPr>
          <w:rFonts w:hint="eastAsia"/>
          <w:b/>
          <w:color w:val="auto"/>
          <w:spacing w:val="-6"/>
          <w:sz w:val="24"/>
          <w:szCs w:val="21"/>
          <w:highlight w:val="none"/>
          <w:u w:val="single"/>
        </w:rPr>
        <w:t>杭州文一教育发展有限公司</w:t>
      </w:r>
    </w:p>
    <w:p>
      <w:pPr>
        <w:spacing w:line="360" w:lineRule="auto"/>
        <w:rPr>
          <w:color w:val="auto"/>
          <w:spacing w:val="-6"/>
          <w:sz w:val="24"/>
          <w:szCs w:val="21"/>
          <w:highlight w:val="none"/>
          <w:u w:val="single"/>
        </w:rPr>
      </w:pPr>
      <w:r>
        <w:rPr>
          <w:rFonts w:hint="eastAsia"/>
          <w:color w:val="auto"/>
          <w:spacing w:val="-6"/>
          <w:sz w:val="24"/>
          <w:szCs w:val="21"/>
          <w:highlight w:val="none"/>
        </w:rPr>
        <w:t>乙方（供方）：</w:t>
      </w:r>
    </w:p>
    <w:p>
      <w:pPr>
        <w:spacing w:line="360" w:lineRule="auto"/>
        <w:rPr>
          <w:color w:val="auto"/>
          <w:spacing w:val="-6"/>
          <w:sz w:val="24"/>
          <w:szCs w:val="21"/>
          <w:highlight w:val="none"/>
        </w:rPr>
      </w:pPr>
      <w:r>
        <w:rPr>
          <w:rFonts w:hint="eastAsia"/>
          <w:color w:val="auto"/>
          <w:spacing w:val="-6"/>
          <w:sz w:val="24"/>
          <w:szCs w:val="21"/>
          <w:highlight w:val="none"/>
        </w:rPr>
        <w:t>签约时间、地点： 2020 年  月   日，杭州</w:t>
      </w:r>
    </w:p>
    <w:p>
      <w:pPr>
        <w:spacing w:line="400" w:lineRule="atLeas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根据《中华人民共和国合同法》及</w:t>
      </w:r>
      <w:r>
        <w:rPr>
          <w:rFonts w:hint="eastAsia" w:ascii="宋体" w:hAnsi="宋体"/>
          <w:color w:val="auto"/>
          <w:sz w:val="24"/>
          <w:highlight w:val="none"/>
        </w:rPr>
        <w:t>杭州文一教育发展有限公司维修材料定点</w:t>
      </w:r>
      <w:r>
        <w:rPr>
          <w:rFonts w:hint="eastAsia" w:ascii="宋体" w:hAnsi="宋体" w:cs="宋体"/>
          <w:color w:val="auto"/>
          <w:sz w:val="24"/>
          <w:highlight w:val="none"/>
        </w:rPr>
        <w:t>供应商入围采购</w:t>
      </w:r>
      <w:r>
        <w:rPr>
          <w:rFonts w:hint="eastAsia" w:ascii="宋体" w:hAnsi="宋体" w:cs="宋体"/>
          <w:color w:val="auto"/>
          <w:sz w:val="24"/>
          <w:highlight w:val="none"/>
          <w:lang w:val="zh-CN"/>
        </w:rPr>
        <w:t>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的《招标文件》、乙方的《投标文件》及《中标通知书》，甲、乙双方本着公正、诚信、互惠互利、友好合作的原则，同意签订本合同。详细技术说明及其他有关合同项目的特定信息由本合同附件予以约定，本合同附件及本项目的招标文件、投标文件、《中标通知书》等均为本合同不可分割的部分。为此，就乙方向甲方供应维修材料事宜，双方一致同意签订并共同遵守如下条款：</w:t>
      </w:r>
    </w:p>
    <w:p>
      <w:pPr>
        <w:snapToGrid w:val="0"/>
        <w:spacing w:before="240" w:beforeLines="100" w:line="420" w:lineRule="exact"/>
        <w:ind w:firstLine="482" w:firstLineChars="200"/>
        <w:rPr>
          <w:rFonts w:ascii="宋体" w:hAnsi="宋体"/>
          <w:b/>
          <w:color w:val="auto"/>
          <w:sz w:val="24"/>
          <w:highlight w:val="none"/>
        </w:rPr>
      </w:pPr>
      <w:r>
        <w:rPr>
          <w:rFonts w:hint="eastAsia" w:ascii="宋体" w:hAnsi="宋体"/>
          <w:b/>
          <w:color w:val="auto"/>
          <w:sz w:val="24"/>
          <w:highlight w:val="none"/>
        </w:rPr>
        <w:t>第一条 供应品种及区域</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甲方向乙方所购产品为</w:t>
      </w:r>
      <w:r>
        <w:rPr>
          <w:rFonts w:hint="eastAsia" w:ascii="宋体" w:hAnsi="宋体"/>
          <w:b/>
          <w:color w:val="auto"/>
          <w:sz w:val="24"/>
          <w:highlight w:val="none"/>
          <w:u w:val="single"/>
        </w:rPr>
        <w:t>维修材料</w:t>
      </w:r>
      <w:r>
        <w:rPr>
          <w:rFonts w:hint="eastAsia" w:ascii="宋体" w:hAnsi="宋体"/>
          <w:color w:val="auto"/>
          <w:sz w:val="24"/>
          <w:highlight w:val="none"/>
        </w:rPr>
        <w:t>，乙方应按甲方要求配送至甲方及甲方指定地点。</w:t>
      </w:r>
    </w:p>
    <w:p>
      <w:pPr>
        <w:snapToGrid w:val="0"/>
        <w:spacing w:before="240" w:beforeLines="100" w:line="420" w:lineRule="exact"/>
        <w:ind w:firstLine="482" w:firstLineChars="200"/>
        <w:rPr>
          <w:rFonts w:ascii="宋体" w:hAnsi="宋体"/>
          <w:b/>
          <w:color w:val="auto"/>
          <w:sz w:val="24"/>
          <w:highlight w:val="none"/>
        </w:rPr>
      </w:pPr>
      <w:r>
        <w:rPr>
          <w:rFonts w:hint="eastAsia" w:ascii="宋体" w:hAnsi="宋体"/>
          <w:b/>
          <w:color w:val="auto"/>
          <w:sz w:val="24"/>
          <w:highlight w:val="none"/>
        </w:rPr>
        <w:t>第二条 合同期限</w:t>
      </w:r>
    </w:p>
    <w:p>
      <w:pPr>
        <w:adjustRightInd w:val="0"/>
        <w:snapToGrid w:val="0"/>
        <w:spacing w:line="420" w:lineRule="exact"/>
        <w:ind w:left="161" w:leftChars="67" w:firstLine="360" w:firstLineChars="150"/>
        <w:rPr>
          <w:rFonts w:ascii="宋体" w:hAnsi="宋体"/>
          <w:color w:val="auto"/>
          <w:sz w:val="24"/>
          <w:highlight w:val="none"/>
        </w:rPr>
      </w:pPr>
      <w:r>
        <w:rPr>
          <w:rFonts w:hint="eastAsia" w:ascii="宋体" w:hAnsi="宋体"/>
          <w:color w:val="auto"/>
          <w:sz w:val="24"/>
          <w:highlight w:val="none"/>
        </w:rPr>
        <w:t>合同期限为：</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240" w:beforeLines="100" w:line="420" w:lineRule="exact"/>
        <w:ind w:firstLine="482" w:firstLineChars="200"/>
        <w:rPr>
          <w:rFonts w:ascii="宋体" w:hAnsi="宋体"/>
          <w:b/>
          <w:color w:val="auto"/>
          <w:sz w:val="24"/>
          <w:highlight w:val="none"/>
        </w:rPr>
      </w:pPr>
      <w:r>
        <w:rPr>
          <w:rFonts w:hint="eastAsia" w:ascii="宋体" w:hAnsi="宋体"/>
          <w:b/>
          <w:color w:val="auto"/>
          <w:sz w:val="24"/>
          <w:highlight w:val="none"/>
        </w:rPr>
        <w:t>第三条 供应规定、结算方式与合同履约保证金</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一、供应规定</w:t>
      </w:r>
    </w:p>
    <w:p>
      <w:pPr>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1、每天送货：为甲方报单后</w:t>
      </w:r>
      <w:r>
        <w:rPr>
          <w:rFonts w:hint="eastAsia" w:ascii="宋体" w:hAnsi="宋体"/>
          <w:color w:val="auto"/>
          <w:sz w:val="24"/>
          <w:highlight w:val="none"/>
          <w:u w:val="single"/>
        </w:rPr>
        <w:t xml:space="preserve">   </w:t>
      </w:r>
      <w:r>
        <w:rPr>
          <w:rFonts w:hint="eastAsia" w:ascii="宋体" w:hAnsi="宋体"/>
          <w:color w:val="auto"/>
          <w:sz w:val="24"/>
          <w:highlight w:val="none"/>
        </w:rPr>
        <w:t>小时内送达。</w:t>
      </w:r>
    </w:p>
    <w:p>
      <w:pPr>
        <w:spacing w:line="420" w:lineRule="exact"/>
        <w:ind w:firstLine="840" w:firstLineChars="350"/>
        <w:jc w:val="left"/>
        <w:rPr>
          <w:rFonts w:ascii="宋体" w:hAnsi="宋体"/>
          <w:color w:val="auto"/>
          <w:sz w:val="24"/>
          <w:highlight w:val="none"/>
        </w:rPr>
      </w:pPr>
      <w:r>
        <w:rPr>
          <w:rFonts w:hint="eastAsia" w:ascii="宋体" w:hAnsi="宋体"/>
          <w:color w:val="auto"/>
          <w:sz w:val="24"/>
          <w:highlight w:val="none"/>
        </w:rPr>
        <w:t>送货地点：甲方维修仓库或指定地点。</w:t>
      </w:r>
    </w:p>
    <w:p>
      <w:pPr>
        <w:spacing w:line="420" w:lineRule="exact"/>
        <w:ind w:firstLine="840" w:firstLineChars="350"/>
        <w:jc w:val="left"/>
        <w:rPr>
          <w:rFonts w:ascii="宋体" w:hAnsi="宋体" w:cs="宋体"/>
          <w:color w:val="auto"/>
          <w:sz w:val="24"/>
          <w:highlight w:val="none"/>
        </w:rPr>
      </w:pPr>
      <w:r>
        <w:rPr>
          <w:rFonts w:hint="eastAsia" w:ascii="宋体" w:hAnsi="宋体"/>
          <w:color w:val="auto"/>
          <w:sz w:val="24"/>
          <w:highlight w:val="none"/>
        </w:rPr>
        <w:t>报单方式：甲方可采用电话、电子邮件、微信或甲方采购核算系统等方式报单。</w:t>
      </w:r>
      <w:r>
        <w:rPr>
          <w:rFonts w:hint="eastAsia" w:ascii="宋体" w:hAnsi="宋体" w:cs="宋体"/>
          <w:color w:val="auto"/>
          <w:sz w:val="24"/>
          <w:highlight w:val="none"/>
        </w:rPr>
        <w:t>乙方按订货单确定</w:t>
      </w:r>
      <w:r>
        <w:rPr>
          <w:rFonts w:ascii="宋体" w:hAnsi="宋体" w:cs="宋体"/>
          <w:color w:val="auto"/>
          <w:sz w:val="24"/>
          <w:highlight w:val="none"/>
        </w:rPr>
        <w:t>的</w:t>
      </w:r>
      <w:r>
        <w:rPr>
          <w:rFonts w:hint="eastAsia" w:ascii="宋体" w:hAnsi="宋体" w:cs="宋体"/>
          <w:color w:val="auto"/>
          <w:sz w:val="24"/>
          <w:highlight w:val="none"/>
        </w:rPr>
        <w:t>品种、数量及要求送货。</w:t>
      </w:r>
      <w:r>
        <w:rPr>
          <w:rFonts w:hint="eastAsia" w:ascii="宋体" w:hAnsi="宋体"/>
          <w:color w:val="auto"/>
          <w:sz w:val="24"/>
          <w:highlight w:val="none"/>
        </w:rPr>
        <w:t>若甲方出现紧急订货等特殊情况，乙方亦应予以满足。</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2、供应价格按照以下条款执行：</w:t>
      </w:r>
    </w:p>
    <w:p>
      <w:pPr>
        <w:spacing w:line="420" w:lineRule="exact"/>
        <w:ind w:right="68" w:firstLine="480" w:firstLineChars="200"/>
        <w:jc w:val="left"/>
        <w:rPr>
          <w:rFonts w:ascii="宋体" w:hAnsi="宋体" w:cs="宋体"/>
          <w:bCs/>
          <w:color w:val="auto"/>
          <w:sz w:val="24"/>
          <w:highlight w:val="none"/>
        </w:rPr>
      </w:pPr>
      <w:r>
        <w:rPr>
          <w:rFonts w:hint="eastAsia" w:ascii="宋体" w:hAnsi="宋体"/>
          <w:color w:val="auto"/>
          <w:sz w:val="24"/>
          <w:highlight w:val="none"/>
        </w:rPr>
        <w:t>（1）供应价格</w:t>
      </w:r>
      <w:r>
        <w:rPr>
          <w:rFonts w:hint="eastAsia" w:ascii="宋体" w:hAnsi="宋体" w:cs="宋体"/>
          <w:bCs/>
          <w:color w:val="auto"/>
          <w:sz w:val="24"/>
          <w:highlight w:val="none"/>
        </w:rPr>
        <w:t>为中标价。</w:t>
      </w:r>
      <w:r>
        <w:rPr>
          <w:rFonts w:hint="eastAsia" w:ascii="宋体" w:hAnsi="宋体"/>
          <w:color w:val="auto"/>
          <w:sz w:val="24"/>
          <w:highlight w:val="none"/>
        </w:rPr>
        <w:t>供应价格</w:t>
      </w:r>
      <w:r>
        <w:rPr>
          <w:rFonts w:hint="eastAsia" w:ascii="宋体" w:hAnsi="宋体" w:cs="宋体"/>
          <w:bCs/>
          <w:color w:val="auto"/>
          <w:sz w:val="24"/>
          <w:highlight w:val="none"/>
        </w:rPr>
        <w:t>定价</w:t>
      </w:r>
      <w:r>
        <w:rPr>
          <w:rFonts w:hint="eastAsia" w:ascii="宋体" w:hAnsi="宋体" w:cs="宋体"/>
          <w:color w:val="auto"/>
          <w:sz w:val="24"/>
          <w:highlight w:val="none"/>
        </w:rPr>
        <w:t>包含材料价格、材料损耗、运费、仓储、搬运、税费、检测费，人员费用及其他完成本次项目的一切所需费用。</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（2）定价方式：①在招标报价单以外的品种，甲方报单后（需看样品的乙方看样后）</w:t>
      </w:r>
      <w:r>
        <w:rPr>
          <w:rFonts w:hint="eastAsia" w:ascii="宋体" w:hAnsi="宋体"/>
          <w:b/>
          <w:color w:val="auto"/>
          <w:sz w:val="24"/>
          <w:highlight w:val="none"/>
          <w:u w:val="single"/>
        </w:rPr>
        <w:t>4</w:t>
      </w:r>
      <w:r>
        <w:rPr>
          <w:rFonts w:hint="eastAsia" w:ascii="宋体" w:hAnsi="宋体"/>
          <w:color w:val="auto"/>
          <w:sz w:val="24"/>
          <w:highlight w:val="none"/>
        </w:rPr>
        <w:t>小时内乙方书面报价，甲方采购部门、用户部门、监控部门组成询价定价小组参考乙方报价后定价。</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②招标品种合同签订一年内不调价。一年后当市场价格波动超出10%以上：乙方提出书面申请并报价（附厂家调价通知），甲方采购部门、用户部门、监控部门组成询价定价小组参考乙方报价后定价。</w:t>
      </w:r>
    </w:p>
    <w:p>
      <w:pPr>
        <w:adjustRightInd w:val="0"/>
        <w:snapToGrid w:val="0"/>
        <w:spacing w:line="420" w:lineRule="exact"/>
        <w:ind w:firstLine="1080" w:firstLineChars="450"/>
        <w:rPr>
          <w:rFonts w:ascii="宋体" w:hAnsi="宋体"/>
          <w:color w:val="auto"/>
          <w:sz w:val="24"/>
          <w:highlight w:val="none"/>
        </w:rPr>
      </w:pPr>
      <w:r>
        <w:rPr>
          <w:rFonts w:hint="eastAsia" w:ascii="宋体" w:hAnsi="宋体"/>
          <w:color w:val="auto"/>
          <w:sz w:val="24"/>
          <w:highlight w:val="none"/>
        </w:rPr>
        <w:t>③调价原则上一月一次。每月25日为调价日乙方必须在调价日前7个工作日提出调价申请。</w:t>
      </w:r>
    </w:p>
    <w:p>
      <w:pPr>
        <w:pStyle w:val="2"/>
        <w:rPr>
          <w:color w:val="auto"/>
          <w:highlight w:val="none"/>
        </w:rPr>
      </w:pPr>
    </w:p>
    <w:p>
      <w:pPr>
        <w:adjustRightInd w:val="0"/>
        <w:snapToGrid w:val="0"/>
        <w:spacing w:line="420" w:lineRule="exact"/>
        <w:ind w:firstLine="360" w:firstLineChars="150"/>
        <w:rPr>
          <w:rFonts w:ascii="宋体" w:hAnsi="宋体"/>
          <w:color w:val="auto"/>
          <w:sz w:val="24"/>
          <w:highlight w:val="none"/>
        </w:rPr>
      </w:pPr>
      <w:r>
        <w:rPr>
          <w:rFonts w:hint="eastAsia" w:ascii="宋体" w:hAnsi="宋体"/>
          <w:color w:val="auto"/>
          <w:sz w:val="24"/>
          <w:highlight w:val="none"/>
        </w:rPr>
        <w:t>3、供应质量按照以下条款执行。</w:t>
      </w:r>
    </w:p>
    <w:p>
      <w:pPr>
        <w:spacing w:line="420" w:lineRule="exact"/>
        <w:ind w:firstLine="460" w:firstLineChars="192"/>
        <w:rPr>
          <w:rFonts w:ascii="宋体" w:hAnsi="宋体" w:cs="宋体"/>
          <w:color w:val="auto"/>
          <w:sz w:val="24"/>
          <w:highlight w:val="none"/>
        </w:rPr>
      </w:pPr>
      <w:r>
        <w:rPr>
          <w:rFonts w:hint="eastAsia" w:ascii="宋体" w:hAnsi="宋体"/>
          <w:color w:val="auto"/>
          <w:sz w:val="24"/>
          <w:highlight w:val="none"/>
        </w:rPr>
        <w:t>甲乙双方约定的产品规格、技术标准、品牌等作为实际配送时的验收标准，</w:t>
      </w:r>
      <w:r>
        <w:rPr>
          <w:rFonts w:hint="eastAsia" w:ascii="宋体" w:hAnsi="宋体" w:cs="宋体"/>
          <w:color w:val="auto"/>
          <w:sz w:val="24"/>
          <w:highlight w:val="none"/>
        </w:rPr>
        <w:t>供应的维修材料必须符合国家相关法律法规的要求。</w:t>
      </w:r>
    </w:p>
    <w:p>
      <w:pPr>
        <w:spacing w:line="420" w:lineRule="exact"/>
        <w:ind w:firstLine="437" w:firstLineChars="192"/>
        <w:rPr>
          <w:color w:val="auto"/>
          <w:spacing w:val="-6"/>
          <w:sz w:val="24"/>
          <w:szCs w:val="21"/>
          <w:highlight w:val="none"/>
        </w:rPr>
      </w:pPr>
      <w:r>
        <w:rPr>
          <w:rFonts w:hint="eastAsia"/>
          <w:color w:val="auto"/>
          <w:spacing w:val="-6"/>
          <w:sz w:val="24"/>
          <w:szCs w:val="21"/>
          <w:highlight w:val="none"/>
        </w:rPr>
        <w:t>如在使用过程中发生质量问题，乙方在接到甲方通知后在</w:t>
      </w:r>
      <w:r>
        <w:rPr>
          <w:rFonts w:hint="eastAsia"/>
          <w:color w:val="auto"/>
          <w:spacing w:val="-6"/>
          <w:sz w:val="24"/>
          <w:szCs w:val="21"/>
          <w:highlight w:val="none"/>
          <w:u w:val="single"/>
        </w:rPr>
        <w:t xml:space="preserve"> 4</w:t>
      </w:r>
      <w:r>
        <w:rPr>
          <w:rFonts w:hint="eastAsia"/>
          <w:color w:val="auto"/>
          <w:spacing w:val="-6"/>
          <w:sz w:val="24"/>
          <w:szCs w:val="21"/>
          <w:highlight w:val="none"/>
        </w:rPr>
        <w:t>小时内到达甲方现场，最迟在</w:t>
      </w:r>
      <w:r>
        <w:rPr>
          <w:rFonts w:hint="eastAsia"/>
          <w:color w:val="auto"/>
          <w:spacing w:val="-6"/>
          <w:sz w:val="24"/>
          <w:szCs w:val="21"/>
          <w:highlight w:val="none"/>
          <w:u w:val="single"/>
        </w:rPr>
        <w:t>1</w:t>
      </w:r>
      <w:r>
        <w:rPr>
          <w:rFonts w:hint="eastAsia"/>
          <w:color w:val="auto"/>
          <w:spacing w:val="-6"/>
          <w:sz w:val="24"/>
          <w:szCs w:val="21"/>
          <w:highlight w:val="none"/>
        </w:rPr>
        <w:t>个工作日内修复或采取调换等措施，以保证甲方的正常工作。</w:t>
      </w:r>
    </w:p>
    <w:p>
      <w:pPr>
        <w:adjustRightInd w:val="0"/>
        <w:snapToGrid w:val="0"/>
        <w:spacing w:line="420" w:lineRule="exact"/>
        <w:ind w:firstLine="456" w:firstLineChars="200"/>
        <w:rPr>
          <w:rFonts w:hint="eastAsia" w:ascii="宋体" w:hAnsi="宋体"/>
          <w:color w:val="auto"/>
          <w:sz w:val="24"/>
          <w:highlight w:val="none"/>
        </w:rPr>
      </w:pPr>
      <w:r>
        <w:rPr>
          <w:rFonts w:hint="eastAsia"/>
          <w:color w:val="auto"/>
          <w:spacing w:val="-6"/>
          <w:sz w:val="24"/>
          <w:szCs w:val="21"/>
          <w:highlight w:val="none"/>
        </w:rPr>
        <w:t>如发现有重大的质量问题，甲乙双方均同意提请有相应资质的检测机构鉴定，如检测结果证明产品无质量问题，由甲方承担检测费用；如检测结果证明产品有质量问题，由乙方承担检测费用，</w:t>
      </w:r>
      <w:r>
        <w:rPr>
          <w:rFonts w:hint="eastAsia" w:ascii="宋体" w:hAnsi="宋体"/>
          <w:color w:val="auto"/>
          <w:sz w:val="24"/>
          <w:highlight w:val="none"/>
        </w:rPr>
        <w:t>同时乙方同意甲方无条件退货并支付给甲方货款总价10％的赔偿金。</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4、材料验收</w:t>
      </w:r>
    </w:p>
    <w:p>
      <w:pPr>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配送到甲方仓库的材料由甲方仓库人员与乙方配送人员现场验收，配送到甲方施工现场或使用部门的由使用管理方与乙方配送人员现场验收，对供应产品的质量无异议数量准确无误后，双方签字，各自留存，为乙方办理结算的重要依据。</w:t>
      </w:r>
    </w:p>
    <w:p>
      <w:pPr>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材料在验收时有不符合要求的，一律退回，乙方无条件重新更换配送原料</w:t>
      </w:r>
      <w:r>
        <w:rPr>
          <w:rFonts w:hint="eastAsia"/>
          <w:color w:val="auto"/>
          <w:spacing w:val="-6"/>
          <w:sz w:val="24"/>
          <w:szCs w:val="21"/>
          <w:highlight w:val="none"/>
        </w:rPr>
        <w:t>同时应承担该货物的费用</w:t>
      </w:r>
      <w:r>
        <w:rPr>
          <w:rFonts w:hint="eastAsia" w:ascii="宋体" w:hAnsi="宋体" w:cs="宋体"/>
          <w:color w:val="auto"/>
          <w:sz w:val="24"/>
          <w:highlight w:val="none"/>
        </w:rPr>
        <w:t>，更换后仍然不符合甲方要求的乙方承担该品种本次配送金额的两倍赔偿责任并按验收处罚细则相关条款处罚。</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在质保期内，乙方应对货物出现的质量及安全问题负责处理解决并承担一切费用。</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到货后出现非甲方人为因素造成的无法排除的故障，由乙方予以调换并由乙方承担所发生的全部费用。</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乙方应按国家相关法律法规的要求向甲方提供产品的质量检测报告，报告中的品种必须和供货品种相一致。</w:t>
      </w:r>
    </w:p>
    <w:p>
      <w:pPr>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验收时若发现送货数量与订货数量不相符，甲方有权根据实际情况决定是否进行验收。一般情况下，乙方所送材料超过甲方订单数时，超过部分甲方可不验收；乙方所送货物低于甲方订单数时，乙方必须负责及时补足。</w:t>
      </w:r>
    </w:p>
    <w:p>
      <w:pPr>
        <w:adjustRightInd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二、结算方式</w:t>
      </w:r>
    </w:p>
    <w:p>
      <w:pPr>
        <w:numPr>
          <w:ilvl w:val="0"/>
          <w:numId w:val="7"/>
        </w:numPr>
        <w:adjustRightInd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货到验收合格后，乙方需提供当月供货发票,发票金额按自然月提供所供货款。如乙方为增值税一般纳税人，需提供增值税专用发票；如供应商为小规模纳税人，需向税务局代开增值税专用发票。</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到验收合格后隔月结算货款，乙方在甲方的采供与核算管理系统与核对账款，如有疑问与甲方对账核算人员核对确认。甲方应在乙方货款结算审核确认后一个月内付款，寒暑假、节假日等则顺延至开学后的一个月内结算；如有特殊情况，必须经甲方同意方可提前支付货款。</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w:t>
      </w:r>
      <w:r>
        <w:rPr>
          <w:rFonts w:hint="eastAsia" w:ascii="宋体" w:hAnsi="宋体"/>
          <w:color w:val="auto"/>
          <w:sz w:val="24"/>
          <w:highlight w:val="none"/>
        </w:rPr>
        <w:t>合同履约保证金</w:t>
      </w:r>
    </w:p>
    <w:p>
      <w:pPr>
        <w:adjustRightInd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合同签订时，乙方向</w:t>
      </w:r>
      <w:r>
        <w:rPr>
          <w:rFonts w:hint="eastAsia" w:ascii="宋体" w:hAnsi="宋体"/>
          <w:color w:val="auto"/>
          <w:sz w:val="24"/>
          <w:highlight w:val="none"/>
        </w:rPr>
        <w:t>甲方</w:t>
      </w:r>
      <w:r>
        <w:rPr>
          <w:rFonts w:ascii="宋体" w:hAnsi="宋体"/>
          <w:color w:val="auto"/>
          <w:sz w:val="24"/>
          <w:highlight w:val="none"/>
        </w:rPr>
        <w:t>交纳</w:t>
      </w:r>
      <w:r>
        <w:rPr>
          <w:rFonts w:hint="eastAsia" w:ascii="宋体" w:hAnsi="宋体"/>
          <w:color w:val="auto"/>
          <w:sz w:val="24"/>
          <w:highlight w:val="none"/>
        </w:rPr>
        <w:t>合同履约</w:t>
      </w:r>
      <w:r>
        <w:rPr>
          <w:rFonts w:ascii="宋体" w:hAnsi="宋体"/>
          <w:color w:val="auto"/>
          <w:sz w:val="24"/>
          <w:highlight w:val="none"/>
        </w:rPr>
        <w:t>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十万</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人民币</w:t>
      </w:r>
      <w:r>
        <w:rPr>
          <w:rFonts w:ascii="宋体" w:hAnsi="宋体"/>
          <w:color w:val="auto"/>
          <w:sz w:val="24"/>
          <w:highlight w:val="none"/>
        </w:rPr>
        <w:t>整，无违约</w:t>
      </w:r>
      <w:r>
        <w:rPr>
          <w:rFonts w:hint="eastAsia" w:ascii="宋体" w:hAnsi="宋体"/>
          <w:color w:val="auto"/>
          <w:sz w:val="24"/>
          <w:highlight w:val="none"/>
        </w:rPr>
        <w:t>行为的</w:t>
      </w:r>
      <w:r>
        <w:rPr>
          <w:rFonts w:ascii="宋体" w:hAnsi="宋体"/>
          <w:color w:val="auto"/>
          <w:sz w:val="24"/>
          <w:highlight w:val="none"/>
        </w:rPr>
        <w:t>，合同期满后无息退还。</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第四条、技术资料</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1、乙方应按招投标文件规定的时间向甲方提供合同货物的有关技术资料和必备的附件。</w:t>
      </w:r>
    </w:p>
    <w:p>
      <w:pPr>
        <w:adjustRightInd w:val="0"/>
        <w:snapToGrid w:val="0"/>
        <w:spacing w:line="420" w:lineRule="exact"/>
        <w:ind w:firstLine="480" w:firstLineChars="200"/>
        <w:rPr>
          <w:color w:val="auto"/>
          <w:spacing w:val="-6"/>
          <w:sz w:val="24"/>
          <w:szCs w:val="21"/>
          <w:highlight w:val="none"/>
        </w:rPr>
      </w:pPr>
      <w:r>
        <w:rPr>
          <w:rFonts w:hint="eastAsia" w:ascii="宋体" w:hAnsi="宋体" w:cs="宋体"/>
          <w:color w:val="auto"/>
          <w:sz w:val="24"/>
          <w:highlight w:val="none"/>
        </w:rPr>
        <w:t>2、没有甲方事先书面同意，乙方不得将由甲方提供的有关合同或任何合同条文或资料提供给与履行本合同无关的任何其他人。即使向履行本合同有关的人员提供，也应注意保密并限于履行合同的必需范围。</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第五条、知识产权</w:t>
      </w:r>
    </w:p>
    <w:p>
      <w:pPr>
        <w:snapToGrid w:val="0"/>
        <w:spacing w:line="360" w:lineRule="auto"/>
        <w:ind w:firstLine="480" w:firstLineChars="200"/>
        <w:rPr>
          <w:color w:val="auto"/>
          <w:spacing w:val="-6"/>
          <w:sz w:val="24"/>
          <w:szCs w:val="21"/>
          <w:highlight w:val="none"/>
        </w:rPr>
      </w:pPr>
      <w:r>
        <w:rPr>
          <w:rFonts w:hint="eastAsia" w:ascii="宋体" w:hAnsi="宋体" w:cs="宋体"/>
          <w:color w:val="auto"/>
          <w:sz w:val="24"/>
          <w:highlight w:val="none"/>
        </w:rPr>
        <w:t>乙方应保证所提供的货物或其任何一部分均不会侵犯任何第三方的知识产权，由此产生的任何知识产权纠纷由乙方承担全部责任。</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第六条、 双方权利与义务</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一、甲方权利与义务</w:t>
      </w:r>
    </w:p>
    <w:p>
      <w:pPr>
        <w:adjustRightInd w:val="0"/>
        <w:snapToGrid w:val="0"/>
        <w:spacing w:line="420" w:lineRule="exact"/>
        <w:ind w:firstLine="570"/>
        <w:rPr>
          <w:rFonts w:ascii="宋体" w:hAnsi="宋体"/>
          <w:color w:val="auto"/>
          <w:sz w:val="24"/>
          <w:highlight w:val="none"/>
        </w:rPr>
      </w:pPr>
      <w:r>
        <w:rPr>
          <w:rFonts w:ascii="宋体" w:hAnsi="宋体"/>
          <w:color w:val="auto"/>
          <w:sz w:val="24"/>
          <w:highlight w:val="none"/>
        </w:rPr>
        <w:t>1、甲方</w:t>
      </w:r>
      <w:r>
        <w:rPr>
          <w:rFonts w:hint="eastAsia" w:ascii="宋体" w:hAnsi="宋体"/>
          <w:color w:val="auto"/>
          <w:sz w:val="24"/>
          <w:highlight w:val="none"/>
        </w:rPr>
        <w:t>应</w:t>
      </w:r>
      <w:r>
        <w:rPr>
          <w:rFonts w:ascii="宋体" w:hAnsi="宋体"/>
          <w:color w:val="auto"/>
          <w:sz w:val="24"/>
          <w:highlight w:val="none"/>
        </w:rPr>
        <w:t>按合同</w:t>
      </w:r>
      <w:r>
        <w:rPr>
          <w:rFonts w:hint="eastAsia" w:ascii="宋体" w:hAnsi="宋体"/>
          <w:color w:val="auto"/>
          <w:sz w:val="24"/>
          <w:highlight w:val="none"/>
        </w:rPr>
        <w:t>约定</w:t>
      </w:r>
      <w:r>
        <w:rPr>
          <w:rFonts w:ascii="宋体" w:hAnsi="宋体"/>
          <w:color w:val="auto"/>
          <w:sz w:val="24"/>
          <w:highlight w:val="none"/>
        </w:rPr>
        <w:t>凭乙方</w:t>
      </w:r>
      <w:r>
        <w:rPr>
          <w:rFonts w:hint="eastAsia" w:ascii="宋体" w:hAnsi="宋体"/>
          <w:color w:val="auto"/>
          <w:sz w:val="24"/>
          <w:highlight w:val="none"/>
        </w:rPr>
        <w:t>开具的税务票据</w:t>
      </w:r>
      <w:r>
        <w:rPr>
          <w:rFonts w:ascii="宋体" w:hAnsi="宋体"/>
          <w:color w:val="auto"/>
          <w:sz w:val="24"/>
          <w:highlight w:val="none"/>
        </w:rPr>
        <w:t>，及时支付</w:t>
      </w:r>
      <w:r>
        <w:rPr>
          <w:rFonts w:hint="eastAsia" w:ascii="宋体" w:hAnsi="宋体"/>
          <w:color w:val="auto"/>
          <w:sz w:val="24"/>
          <w:highlight w:val="none"/>
        </w:rPr>
        <w:t>乙方</w:t>
      </w:r>
      <w:r>
        <w:rPr>
          <w:rFonts w:ascii="宋体" w:hAnsi="宋体"/>
          <w:color w:val="auto"/>
          <w:sz w:val="24"/>
          <w:highlight w:val="none"/>
        </w:rPr>
        <w:t>货款</w:t>
      </w:r>
      <w:r>
        <w:rPr>
          <w:rFonts w:hint="eastAsia" w:ascii="宋体" w:hAnsi="宋体"/>
          <w:color w:val="auto"/>
          <w:sz w:val="24"/>
          <w:highlight w:val="none"/>
        </w:rPr>
        <w:t>。</w:t>
      </w:r>
    </w:p>
    <w:p>
      <w:pPr>
        <w:adjustRightInd w:val="0"/>
        <w:snapToGrid w:val="0"/>
        <w:spacing w:line="420" w:lineRule="exact"/>
        <w:ind w:firstLine="570"/>
        <w:rPr>
          <w:rFonts w:ascii="宋体" w:hAnsi="宋体"/>
          <w:color w:val="auto"/>
          <w:sz w:val="24"/>
          <w:highlight w:val="none"/>
        </w:rPr>
      </w:pPr>
      <w:r>
        <w:rPr>
          <w:rFonts w:hint="eastAsia" w:ascii="宋体" w:hAnsi="宋体"/>
          <w:color w:val="auto"/>
          <w:sz w:val="24"/>
          <w:highlight w:val="none"/>
        </w:rPr>
        <w:t>2、在乙方不违反招标文件、投标文件和本合同相关内容条款前提下，甲方不得自行采购或委托其他方采购该标的产品。甲方零星应急采购及合同发生变更或终止等情形除外。</w:t>
      </w:r>
    </w:p>
    <w:p>
      <w:pPr>
        <w:adjustRightInd w:val="0"/>
        <w:snapToGrid w:val="0"/>
        <w:spacing w:line="420" w:lineRule="exact"/>
        <w:ind w:firstLine="570"/>
        <w:rPr>
          <w:rFonts w:ascii="宋体" w:hAnsi="宋体"/>
          <w:color w:val="auto"/>
          <w:sz w:val="24"/>
          <w:highlight w:val="none"/>
        </w:rPr>
      </w:pPr>
      <w:r>
        <w:rPr>
          <w:rFonts w:hint="eastAsia" w:ascii="宋体" w:hAnsi="宋体"/>
          <w:color w:val="auto"/>
          <w:sz w:val="24"/>
          <w:highlight w:val="none"/>
        </w:rPr>
        <w:t>3、甲方必须严格按照招标文件关于“报名商家、投标商家、合同主体与货款结算主体”四个一致的要求，做好合同管理、索证索票、产品验收和商家管理等工作。</w:t>
      </w:r>
    </w:p>
    <w:p>
      <w:pPr>
        <w:adjustRightInd w:val="0"/>
        <w:snapToGrid w:val="0"/>
        <w:spacing w:line="420" w:lineRule="exact"/>
        <w:ind w:firstLine="57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甲方应积极向乙方阐述甲方采购订货、材料配送、货款结算等相关管理要求，为乙方提供必要的办事流程、联系方式、货物验收等方面信息，在乙方产品配送过程中给予积极配合，</w:t>
      </w:r>
    </w:p>
    <w:p>
      <w:pPr>
        <w:adjustRightInd w:val="0"/>
        <w:snapToGrid w:val="0"/>
        <w:spacing w:line="420" w:lineRule="exact"/>
        <w:ind w:firstLine="570"/>
        <w:rPr>
          <w:rFonts w:ascii="宋体" w:hAnsi="宋体"/>
          <w:color w:val="auto"/>
          <w:sz w:val="24"/>
          <w:highlight w:val="none"/>
        </w:rPr>
      </w:pPr>
      <w:r>
        <w:rPr>
          <w:rFonts w:hint="eastAsia" w:ascii="宋体" w:hAnsi="宋体"/>
          <w:color w:val="auto"/>
          <w:sz w:val="24"/>
          <w:highlight w:val="none"/>
        </w:rPr>
        <w:t>5、甲方要严格遵守廉洁采购法律及单位规章的要求。</w:t>
      </w:r>
    </w:p>
    <w:p>
      <w:pPr>
        <w:spacing w:line="420" w:lineRule="exact"/>
        <w:ind w:firstLine="600" w:firstLineChars="250"/>
        <w:rPr>
          <w:rFonts w:ascii="宋体" w:hAnsi="宋体" w:cs="宋体"/>
          <w:color w:val="auto"/>
          <w:sz w:val="24"/>
          <w:highlight w:val="none"/>
        </w:rPr>
      </w:pPr>
      <w:r>
        <w:rPr>
          <w:rFonts w:hint="eastAsia" w:ascii="宋体" w:hAnsi="宋体"/>
          <w:color w:val="auto"/>
          <w:sz w:val="24"/>
          <w:highlight w:val="none"/>
        </w:rPr>
        <w:t>6、甲方有权对乙方进行定期或不定期的考核与检查。在乙方有违反招标文件、投标文件和本合同相关内容条款时，甲方有权调整、减少、取消配送区域和配送品种及数量。</w:t>
      </w:r>
      <w:r>
        <w:rPr>
          <w:rFonts w:hint="eastAsia" w:ascii="宋体" w:hAnsi="宋体" w:cs="宋体"/>
          <w:color w:val="auto"/>
          <w:sz w:val="24"/>
          <w:highlight w:val="none"/>
        </w:rPr>
        <w:t>建立责任追究制度，对配送企业提供不合格产品或不按要求配送，影响甲方正常工作严重的，取消配送资格，造成责任事故的将追究其法律责任。</w:t>
      </w:r>
    </w:p>
    <w:p>
      <w:pPr>
        <w:adjustRightInd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二、乙方</w:t>
      </w:r>
      <w:r>
        <w:rPr>
          <w:rFonts w:hint="eastAsia" w:ascii="宋体" w:hAnsi="宋体"/>
          <w:color w:val="auto"/>
          <w:sz w:val="24"/>
          <w:highlight w:val="none"/>
        </w:rPr>
        <w:t>权利义务</w:t>
      </w:r>
    </w:p>
    <w:p>
      <w:pPr>
        <w:adjustRightInd w:val="0"/>
        <w:snapToGrid w:val="0"/>
        <w:spacing w:line="420" w:lineRule="exact"/>
        <w:ind w:firstLine="57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乙方的企业经营运作必须符合国家、地方法律法规规范，拥有健全的财务会计制度，具备履行合同所必需的专业能力与依法缴纳税收和员工社保的良好记录，无违法违规以及不诚信记录。</w:t>
      </w:r>
    </w:p>
    <w:p>
      <w:pPr>
        <w:adjustRightInd w:val="0"/>
        <w:snapToGrid w:val="0"/>
        <w:spacing w:line="420" w:lineRule="exact"/>
        <w:ind w:firstLine="570"/>
        <w:rPr>
          <w:rFonts w:ascii="宋体" w:hAnsi="宋体"/>
          <w:color w:val="auto"/>
          <w:sz w:val="24"/>
          <w:highlight w:val="none"/>
        </w:rPr>
      </w:pPr>
      <w:r>
        <w:rPr>
          <w:rFonts w:hint="eastAsia" w:ascii="宋体" w:hAnsi="宋体"/>
          <w:color w:val="auto"/>
          <w:sz w:val="24"/>
          <w:highlight w:val="none"/>
        </w:rPr>
        <w:t>2、合同期内，乙方出现工商注册变更等事项，发生证件变更时，乙方须在变更前10个工作日内提前告知甲方，并按甲方管理规定做好合同履约、货款结算等方面的衔接工作，同时应在变更后5个工作日内向甲方提交变更后的证件材料。若因乙方原因，导致履约受到影响的，由乙方承担全部责任，造成甲方损失的，由乙方进行违约赔偿。</w:t>
      </w:r>
    </w:p>
    <w:p>
      <w:pPr>
        <w:spacing w:line="420" w:lineRule="exact"/>
        <w:ind w:firstLine="480" w:firstLineChars="200"/>
        <w:rPr>
          <w:rFonts w:ascii="宋体" w:hAnsi="宋体" w:cs="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、乙方必须根据要求按时、按量、按</w:t>
      </w:r>
      <w:r>
        <w:rPr>
          <w:rFonts w:hint="eastAsia" w:ascii="宋体" w:hAnsi="宋体"/>
          <w:color w:val="auto"/>
          <w:sz w:val="24"/>
          <w:highlight w:val="none"/>
        </w:rPr>
        <w:t>要求</w:t>
      </w:r>
      <w:r>
        <w:rPr>
          <w:rFonts w:ascii="宋体" w:hAnsi="宋体"/>
          <w:color w:val="auto"/>
          <w:sz w:val="24"/>
          <w:highlight w:val="none"/>
        </w:rPr>
        <w:t>质量配送</w:t>
      </w:r>
      <w:r>
        <w:rPr>
          <w:rFonts w:hint="eastAsia" w:ascii="宋体" w:hAnsi="宋体"/>
          <w:color w:val="auto"/>
          <w:sz w:val="24"/>
          <w:highlight w:val="none"/>
        </w:rPr>
        <w:t>产品</w:t>
      </w:r>
      <w:r>
        <w:rPr>
          <w:rFonts w:ascii="宋体" w:hAnsi="宋体"/>
          <w:color w:val="auto"/>
          <w:sz w:val="24"/>
          <w:highlight w:val="none"/>
        </w:rPr>
        <w:t>，所供</w:t>
      </w:r>
      <w:r>
        <w:rPr>
          <w:rFonts w:hint="eastAsia" w:ascii="宋体" w:hAnsi="宋体"/>
          <w:color w:val="auto"/>
          <w:sz w:val="24"/>
          <w:highlight w:val="none"/>
        </w:rPr>
        <w:t>产品</w:t>
      </w:r>
      <w:r>
        <w:rPr>
          <w:rFonts w:ascii="宋体" w:hAnsi="宋体"/>
          <w:color w:val="auto"/>
          <w:sz w:val="24"/>
          <w:highlight w:val="none"/>
        </w:rPr>
        <w:t>必须符合</w:t>
      </w:r>
      <w:r>
        <w:rPr>
          <w:rFonts w:hint="eastAsia" w:ascii="宋体" w:hAnsi="宋体"/>
          <w:color w:val="auto"/>
          <w:sz w:val="24"/>
          <w:highlight w:val="none"/>
        </w:rPr>
        <w:t>最新颁布的</w:t>
      </w:r>
      <w:r>
        <w:rPr>
          <w:rFonts w:ascii="宋体" w:hAnsi="宋体"/>
          <w:color w:val="auto"/>
          <w:sz w:val="24"/>
          <w:highlight w:val="none"/>
        </w:rPr>
        <w:t>国家</w:t>
      </w:r>
      <w:r>
        <w:rPr>
          <w:rFonts w:hint="eastAsia" w:ascii="宋体" w:hAnsi="宋体"/>
          <w:color w:val="auto"/>
          <w:sz w:val="24"/>
          <w:highlight w:val="none"/>
        </w:rPr>
        <w:t>或行业相关标准与规范及合同相关约定要求</w:t>
      </w:r>
      <w:r>
        <w:rPr>
          <w:rFonts w:hint="eastAsia" w:ascii="宋体" w:hAnsi="宋体" w:cs="宋体"/>
          <w:color w:val="auto"/>
          <w:sz w:val="24"/>
          <w:highlight w:val="none"/>
        </w:rPr>
        <w:t>。</w:t>
      </w:r>
      <w:r>
        <w:rPr>
          <w:rFonts w:hint="eastAsia" w:ascii="宋体" w:hAnsi="宋体"/>
          <w:color w:val="auto"/>
          <w:sz w:val="24"/>
          <w:highlight w:val="none"/>
        </w:rPr>
        <w:t>乙方必须服从定价周期制度及方式</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olor w:val="auto"/>
          <w:sz w:val="24"/>
          <w:highlight w:val="none"/>
        </w:rPr>
        <w:t>4</w:t>
      </w:r>
      <w:r>
        <w:rPr>
          <w:rFonts w:ascii="宋体" w:hAnsi="宋体"/>
          <w:color w:val="auto"/>
          <w:sz w:val="24"/>
          <w:highlight w:val="none"/>
        </w:rPr>
        <w:t>、乙方承诺的服务必须兑现</w:t>
      </w:r>
      <w:r>
        <w:rPr>
          <w:rFonts w:hint="eastAsia" w:ascii="宋体" w:hAnsi="宋体"/>
          <w:color w:val="auto"/>
          <w:sz w:val="24"/>
          <w:highlight w:val="none"/>
        </w:rPr>
        <w:t>。乙方应定期对产品使用和配送服务情况进行回访，做好客户的维护工作，并积极向甲方提供相关行业动态、市场行情等信息，提出合理化建议。</w:t>
      </w:r>
      <w:r>
        <w:rPr>
          <w:rFonts w:hint="eastAsia" w:ascii="宋体" w:hAnsi="宋体" w:cs="宋体"/>
          <w:color w:val="auto"/>
          <w:sz w:val="24"/>
          <w:highlight w:val="none"/>
        </w:rPr>
        <w:t>做好采购溯源记录。（在合同期内，甲方有权查验）</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、乙方送货车辆及专职人员进入甲方学校内，严格遵守校内各项规章制度，若有违规，责任自负</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、乙方在产品配送的过程中遇到不可抗力因素时，必须在第一时间利用电话等方式通知</w:t>
      </w:r>
      <w:r>
        <w:rPr>
          <w:rFonts w:hint="eastAsia" w:ascii="宋体" w:hAnsi="宋体"/>
          <w:color w:val="auto"/>
          <w:sz w:val="24"/>
          <w:highlight w:val="none"/>
        </w:rPr>
        <w:t>到</w:t>
      </w:r>
      <w:r>
        <w:rPr>
          <w:rFonts w:ascii="宋体" w:hAnsi="宋体"/>
          <w:color w:val="auto"/>
          <w:sz w:val="24"/>
          <w:highlight w:val="none"/>
        </w:rPr>
        <w:t>甲方</w:t>
      </w:r>
      <w:r>
        <w:rPr>
          <w:rFonts w:hint="eastAsia" w:ascii="宋体" w:hAnsi="宋体"/>
          <w:color w:val="auto"/>
          <w:sz w:val="24"/>
          <w:highlight w:val="none"/>
        </w:rPr>
        <w:t>管理人员</w:t>
      </w:r>
      <w:r>
        <w:rPr>
          <w:rFonts w:ascii="宋体" w:hAnsi="宋体"/>
          <w:color w:val="auto"/>
          <w:sz w:val="24"/>
          <w:highlight w:val="none"/>
        </w:rPr>
        <w:t>，并采取相应补救措施满足甲方所提出的合理要求</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、乙方提供给甲方的产品，质量安全必须符合国家</w:t>
      </w:r>
      <w:r>
        <w:rPr>
          <w:rFonts w:hint="eastAsia" w:ascii="宋体" w:hAnsi="宋体"/>
          <w:color w:val="auto"/>
          <w:sz w:val="24"/>
          <w:highlight w:val="none"/>
        </w:rPr>
        <w:t>相</w:t>
      </w:r>
      <w:r>
        <w:rPr>
          <w:rFonts w:ascii="宋体" w:hAnsi="宋体"/>
          <w:color w:val="auto"/>
          <w:sz w:val="24"/>
          <w:highlight w:val="none"/>
        </w:rPr>
        <w:t>关部门的标准，并提供有关证件和检测报告</w:t>
      </w:r>
      <w:r>
        <w:rPr>
          <w:rFonts w:hint="eastAsia" w:ascii="宋体" w:hAnsi="宋体"/>
          <w:color w:val="auto"/>
          <w:sz w:val="24"/>
          <w:highlight w:val="none"/>
        </w:rPr>
        <w:t>或其他合格证明材料</w:t>
      </w:r>
      <w:r>
        <w:rPr>
          <w:rFonts w:ascii="宋体" w:hAnsi="宋体"/>
          <w:color w:val="auto"/>
          <w:sz w:val="24"/>
          <w:highlight w:val="none"/>
        </w:rPr>
        <w:t>。</w:t>
      </w:r>
      <w:r>
        <w:rPr>
          <w:rFonts w:hint="eastAsia" w:ascii="宋体" w:hAnsi="宋体"/>
          <w:color w:val="auto"/>
          <w:sz w:val="24"/>
          <w:highlight w:val="none"/>
        </w:rPr>
        <w:t>若</w:t>
      </w:r>
      <w:r>
        <w:rPr>
          <w:rFonts w:ascii="宋体" w:hAnsi="宋体"/>
          <w:color w:val="auto"/>
          <w:sz w:val="24"/>
          <w:highlight w:val="none"/>
        </w:rPr>
        <w:t>乙方提供的产品被甲方服务对象投诉属实，由乙方承担一切责任，并赔偿甲方的相应损失</w:t>
      </w:r>
      <w:r>
        <w:rPr>
          <w:rFonts w:hint="eastAsia" w:ascii="宋体" w:hAnsi="宋体"/>
          <w:color w:val="auto"/>
          <w:sz w:val="24"/>
          <w:highlight w:val="none"/>
        </w:rPr>
        <w:t>；</w:t>
      </w:r>
      <w:r>
        <w:rPr>
          <w:rFonts w:ascii="宋体" w:hAnsi="宋体"/>
          <w:color w:val="auto"/>
          <w:sz w:val="24"/>
          <w:highlight w:val="none"/>
        </w:rPr>
        <w:t>如乙方被政府有关部门或媒体曝光，</w:t>
      </w:r>
      <w:r>
        <w:rPr>
          <w:rFonts w:hint="eastAsia" w:ascii="宋体" w:hAnsi="宋体"/>
          <w:color w:val="auto"/>
          <w:sz w:val="24"/>
          <w:highlight w:val="none"/>
        </w:rPr>
        <w:t>甲方有权提前解除</w:t>
      </w:r>
      <w:r>
        <w:rPr>
          <w:rFonts w:ascii="宋体" w:hAnsi="宋体"/>
          <w:color w:val="auto"/>
          <w:sz w:val="24"/>
          <w:highlight w:val="none"/>
        </w:rPr>
        <w:t>本</w:t>
      </w:r>
      <w:r>
        <w:rPr>
          <w:rFonts w:hint="eastAsia" w:ascii="宋体" w:hAnsi="宋体"/>
          <w:color w:val="auto"/>
          <w:sz w:val="24"/>
          <w:highlight w:val="none"/>
        </w:rPr>
        <w:t>合同</w:t>
      </w:r>
      <w:r>
        <w:rPr>
          <w:rFonts w:ascii="宋体" w:hAnsi="宋体"/>
          <w:color w:val="auto"/>
          <w:sz w:val="24"/>
          <w:highlight w:val="none"/>
        </w:rPr>
        <w:t>，同时保留追究乙方责任的权利</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、甲方在使用乙方</w:t>
      </w:r>
      <w:r>
        <w:rPr>
          <w:rFonts w:hint="eastAsia" w:ascii="宋体" w:hAnsi="宋体"/>
          <w:color w:val="auto"/>
          <w:sz w:val="24"/>
          <w:highlight w:val="none"/>
        </w:rPr>
        <w:t>产品</w:t>
      </w:r>
      <w:r>
        <w:rPr>
          <w:rFonts w:ascii="宋体" w:hAnsi="宋体"/>
          <w:color w:val="auto"/>
          <w:sz w:val="24"/>
          <w:highlight w:val="none"/>
        </w:rPr>
        <w:t>的过程中，若发生质量、</w:t>
      </w:r>
      <w:r>
        <w:rPr>
          <w:rFonts w:hint="eastAsia" w:ascii="宋体" w:hAnsi="宋体"/>
          <w:color w:val="auto"/>
          <w:sz w:val="24"/>
          <w:highlight w:val="none"/>
        </w:rPr>
        <w:t>消防</w:t>
      </w:r>
      <w:r>
        <w:rPr>
          <w:rFonts w:ascii="宋体" w:hAnsi="宋体"/>
          <w:color w:val="auto"/>
          <w:sz w:val="24"/>
          <w:highlight w:val="none"/>
        </w:rPr>
        <w:t>、服务等方面的问题，乙方必须在第一时间内赶赴现场与甲方有关人员分析原因，积极处理。由此造成的各项损失，由乙方承担</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、乙方</w:t>
      </w:r>
      <w:r>
        <w:rPr>
          <w:rFonts w:hint="eastAsia" w:ascii="宋体" w:hAnsi="宋体"/>
          <w:color w:val="auto"/>
          <w:sz w:val="24"/>
          <w:highlight w:val="none"/>
        </w:rPr>
        <w:t>要严格遵守禁止商业贿赂的相关规定。若乙方发现甲方人员有索贿受贿以及徇私舞弊、滥用职权等行为时，有义务向甲方举报。</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第七条、违约责任</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一、</w:t>
      </w:r>
      <w:r>
        <w:rPr>
          <w:rFonts w:hint="eastAsia" w:ascii="宋体" w:hAnsi="宋体"/>
          <w:color w:val="auto"/>
          <w:sz w:val="24"/>
          <w:highlight w:val="none"/>
        </w:rPr>
        <w:t>若</w:t>
      </w:r>
      <w:r>
        <w:rPr>
          <w:rFonts w:ascii="宋体" w:hAnsi="宋体"/>
          <w:color w:val="auto"/>
          <w:sz w:val="24"/>
          <w:highlight w:val="none"/>
        </w:rPr>
        <w:t>乙方</w:t>
      </w:r>
      <w:r>
        <w:rPr>
          <w:rFonts w:hint="eastAsia" w:ascii="宋体" w:hAnsi="宋体"/>
          <w:color w:val="auto"/>
          <w:sz w:val="24"/>
          <w:highlight w:val="none"/>
        </w:rPr>
        <w:t>无法履行本合同约定的义务，或出现国家相关法律法规等其他</w:t>
      </w:r>
      <w:r>
        <w:rPr>
          <w:rFonts w:ascii="宋体" w:hAnsi="宋体"/>
          <w:color w:val="auto"/>
          <w:sz w:val="24"/>
          <w:highlight w:val="none"/>
        </w:rPr>
        <w:t>行为，</w:t>
      </w:r>
      <w:r>
        <w:rPr>
          <w:rFonts w:hint="eastAsia" w:ascii="宋体" w:hAnsi="宋体"/>
          <w:color w:val="auto"/>
          <w:sz w:val="24"/>
          <w:highlight w:val="none"/>
        </w:rPr>
        <w:t>甲方可提前解除</w:t>
      </w:r>
      <w:r>
        <w:rPr>
          <w:rFonts w:ascii="宋体" w:hAnsi="宋体"/>
          <w:color w:val="auto"/>
          <w:sz w:val="24"/>
          <w:highlight w:val="none"/>
        </w:rPr>
        <w:t>供应合同</w:t>
      </w:r>
      <w:r>
        <w:rPr>
          <w:rFonts w:hint="eastAsia" w:ascii="宋体" w:hAnsi="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olor w:val="auto"/>
          <w:sz w:val="24"/>
          <w:highlight w:val="none"/>
        </w:rPr>
        <w:t>1、乙方发生供货质量、消防安全、服务不到位，被投诉并查实的，由甲方向乙方送达违约告知单，并按合同的约定予以处罚，罚金在3个工作日内缴纳，如未缴纳，甲方将在履约保证金中扣除，同时供货商应在扣除保证金之日起五个工作日内补足合同履约保证金金额。如供货商未能在五个工作日内补足保证金金额，采购方有权立即终止合同，并没收履约</w:t>
      </w:r>
      <w:r>
        <w:rPr>
          <w:rFonts w:hint="eastAsia" w:ascii="宋体" w:hAnsi="宋体" w:cs="宋体"/>
          <w:color w:val="auto"/>
          <w:sz w:val="24"/>
          <w:highlight w:val="none"/>
        </w:rPr>
        <w:t>保证金(</w:t>
      </w:r>
      <w:r>
        <w:rPr>
          <w:rFonts w:hint="eastAsia" w:ascii="宋体" w:hAnsi="宋体"/>
          <w:color w:val="auto"/>
          <w:sz w:val="24"/>
          <w:highlight w:val="none"/>
        </w:rPr>
        <w:t>具体违约责任承担细则见合同附件。</w:t>
      </w:r>
      <w:r>
        <w:rPr>
          <w:rFonts w:hint="eastAsia" w:ascii="宋体" w:hAnsi="宋体" w:cs="宋体"/>
          <w:color w:val="auto"/>
          <w:sz w:val="24"/>
          <w:highlight w:val="none"/>
        </w:rPr>
        <w:t>)。</w:t>
      </w:r>
    </w:p>
    <w:p>
      <w:pPr>
        <w:adjustRightInd w:val="0"/>
        <w:snapToGrid w:val="0"/>
        <w:spacing w:line="42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 乙方未经甲方书面批准单方面终止合同的或者供货商被政府有关部门查实或媒体曝光违法经营行为的，甲方有权立即无条件终止本合同、没收全部履约保证金，并取消乙方及法定代表人五年在甲方的相关投标资格。</w:t>
      </w:r>
    </w:p>
    <w:p>
      <w:pPr>
        <w:adjustRightIn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备案从事本次项目的管理服务人员（项目负责人、车辆、配送员、驾驶员等）的情况说明表及持有的健康证明、社保证明等。本次项目的管理服务人员必须为乙方单位人员，且与投标时拟派的管理层人员一致，若在服务期间，需更换本项目的管理服人员，应得到甲方确认，并将更换人员的信息资料在甲方处重新备案，更换的管理服务人员也必须为乙方单位人员。若擅自更换或实际参与的管理层人员非乙方本单位人员，视为乙方违约，甲方有权终止合同并</w:t>
      </w:r>
      <w:r>
        <w:rPr>
          <w:rFonts w:hint="eastAsia" w:ascii="宋体" w:hAnsi="宋体"/>
          <w:snapToGrid w:val="0"/>
          <w:color w:val="auto"/>
          <w:kern w:val="0"/>
          <w:sz w:val="24"/>
          <w:highlight w:val="none"/>
        </w:rPr>
        <w:t>没收</w:t>
      </w:r>
      <w:r>
        <w:rPr>
          <w:rFonts w:hint="eastAsia" w:ascii="宋体" w:hAnsi="宋体"/>
          <w:color w:val="auto"/>
          <w:sz w:val="24"/>
          <w:highlight w:val="none"/>
        </w:rPr>
        <w:t>全部履约保证金。</w:t>
      </w:r>
    </w:p>
    <w:p>
      <w:pPr>
        <w:adjustRightInd w:val="0"/>
        <w:snapToGrid w:val="0"/>
        <w:spacing w:line="42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5、合同规定的供货服务期满，供货自然终止。</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snapToGrid w:val="0"/>
          <w:color w:val="auto"/>
          <w:kern w:val="0"/>
          <w:sz w:val="24"/>
          <w:highlight w:val="none"/>
        </w:rPr>
        <w:t>6、</w:t>
      </w:r>
      <w:r>
        <w:rPr>
          <w:rFonts w:hint="eastAsia" w:ascii="宋体" w:hAnsi="宋体"/>
          <w:color w:val="auto"/>
          <w:sz w:val="24"/>
          <w:highlight w:val="none"/>
        </w:rPr>
        <w:t>具体违约责任承担细则见合同附件。</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7、在合同执行期内甲方发现乙方在招标过程和合同执行过程中所提供的材料有造假行为的，甲方有权终止合同并</w:t>
      </w:r>
      <w:r>
        <w:rPr>
          <w:rFonts w:hint="eastAsia" w:ascii="宋体" w:hAnsi="宋体"/>
          <w:snapToGrid w:val="0"/>
          <w:color w:val="auto"/>
          <w:kern w:val="0"/>
          <w:sz w:val="24"/>
          <w:highlight w:val="none"/>
        </w:rPr>
        <w:t>没收</w:t>
      </w:r>
      <w:r>
        <w:rPr>
          <w:rFonts w:hint="eastAsia" w:ascii="宋体" w:hAnsi="宋体"/>
          <w:color w:val="auto"/>
          <w:sz w:val="24"/>
          <w:highlight w:val="none"/>
        </w:rPr>
        <w:t>全部履约保证金，</w:t>
      </w:r>
      <w:r>
        <w:rPr>
          <w:rFonts w:hint="eastAsia" w:ascii="宋体" w:hAnsi="宋体"/>
          <w:snapToGrid w:val="0"/>
          <w:color w:val="auto"/>
          <w:kern w:val="0"/>
          <w:sz w:val="24"/>
          <w:highlight w:val="none"/>
        </w:rPr>
        <w:t>并取消乙方及法定代表人五年在甲方的相关投标资格</w:t>
      </w:r>
      <w:r>
        <w:rPr>
          <w:rFonts w:hint="eastAsia" w:ascii="宋体" w:hAnsi="宋体"/>
          <w:color w:val="auto"/>
          <w:sz w:val="24"/>
          <w:highlight w:val="none"/>
        </w:rPr>
        <w:t>。</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若合同期内，发现乙方在税务票据、货款结算、社保税收缴纳、廉政建设等方面存在违法违规情形，或出现乙方因产品安全质量、企业信誉和经营管理等方面问题被政府或媒体曝光时，甲方有权立即终止合同，对甲方造成损失的，乙方须无条件进行赔偿，</w:t>
      </w:r>
      <w:r>
        <w:rPr>
          <w:rFonts w:hint="eastAsia" w:ascii="宋体" w:hAnsi="宋体"/>
          <w:snapToGrid w:val="0"/>
          <w:color w:val="auto"/>
          <w:kern w:val="0"/>
          <w:sz w:val="24"/>
          <w:highlight w:val="none"/>
        </w:rPr>
        <w:t>并取消乙方及法定代表人五年在甲方的相关投标资格。</w:t>
      </w:r>
    </w:p>
    <w:p>
      <w:pPr>
        <w:adjustRightInd w:val="0"/>
        <w:snapToGrid w:val="0"/>
        <w:spacing w:line="42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三、乙方若在合同期内放弃中标配送权利，甲方没收合同履约保证金，造成损失的可要求乙方进行违约赔偿。</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四、如验收不能达到质量功能（性能）标准，产品由乙方在验收后一周内运离交货地点，所需费用由乙方承担。如乙方在一个月内不处理（搬走）产品，视为乙方放弃该产品，甲方有权自行处置（包括废物处理）。同时，乙方要支付给甲方总货款的20％作为违约赔偿金。</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五、乙方所交的货物品种、型号、规格、技术参数、质量不符合合同规定及招投标文件规定标准的，甲方有权拒收该货物，乙方愿意更换货物但逾期交货的，按乙方逾期交货处理。乙方拒绝更换货物的，甲方有权解除合同，同时没收乙方的履约保证金。</w:t>
      </w:r>
    </w:p>
    <w:p>
      <w:pPr>
        <w:pStyle w:val="2"/>
        <w:ind w:firstLine="480" w:firstLineChars="200"/>
        <w:rPr>
          <w:rFonts w:hint="eastAsia"/>
          <w:color w:val="auto"/>
          <w:highlight w:val="none"/>
        </w:rPr>
      </w:pPr>
      <w:r>
        <w:rPr>
          <w:rFonts w:hint="eastAsia"/>
          <w:color w:val="auto"/>
          <w:highlight w:val="none"/>
        </w:rPr>
        <w:t>六、乙方未按本合同约定时间送货、报价、逾期时间超过24小时的，按</w:t>
      </w:r>
      <w:r>
        <w:rPr>
          <w:rFonts w:hint="eastAsia" w:ascii="宋体" w:hAnsi="宋体"/>
          <w:color w:val="auto"/>
          <w:highlight w:val="none"/>
        </w:rPr>
        <w:t>质量监控督查及处罚细则处理。</w:t>
      </w:r>
      <w:r>
        <w:rPr>
          <w:rFonts w:hint="eastAsia"/>
          <w:color w:val="auto"/>
          <w:highlight w:val="none"/>
        </w:rPr>
        <w:t xml:space="preserve"> </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以上乙方违约情形处理中，若甲方实际损失大于处理赔偿约定的，乙方仍须无条件赔偿甲方相应损失。 </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第八条、合同附件</w:t>
      </w:r>
    </w:p>
    <w:p>
      <w:pPr>
        <w:adjustRightInd w:val="0"/>
        <w:snapToGrid w:val="0"/>
        <w:spacing w:line="420" w:lineRule="exact"/>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下列附件及经</w:t>
      </w:r>
      <w:r>
        <w:rPr>
          <w:rFonts w:hint="eastAsia" w:ascii="宋体" w:hAnsi="宋体"/>
          <w:snapToGrid w:val="0"/>
          <w:color w:val="auto"/>
          <w:kern w:val="0"/>
          <w:sz w:val="24"/>
          <w:highlight w:val="none"/>
        </w:rPr>
        <w:t>甲乙方</w:t>
      </w:r>
      <w:r>
        <w:rPr>
          <w:rFonts w:ascii="宋体" w:hAnsi="宋体"/>
          <w:snapToGrid w:val="0"/>
          <w:color w:val="auto"/>
          <w:kern w:val="0"/>
          <w:sz w:val="24"/>
          <w:highlight w:val="none"/>
        </w:rPr>
        <w:t>双方共同确认的其他附件是本合同不可分割的组成部分，具有与本合同相同的效力。</w:t>
      </w:r>
    </w:p>
    <w:p>
      <w:pPr>
        <w:adjustRightInd w:val="0"/>
        <w:snapToGrid w:val="0"/>
        <w:spacing w:line="420" w:lineRule="exact"/>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一、廉政协议</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、质量</w:t>
      </w:r>
      <w:r>
        <w:rPr>
          <w:rFonts w:hint="eastAsia" w:ascii="宋体" w:hAnsi="宋体"/>
          <w:color w:val="auto"/>
          <w:sz w:val="24"/>
          <w:highlight w:val="none"/>
        </w:rPr>
        <w:t>、配送</w:t>
      </w:r>
      <w:r>
        <w:rPr>
          <w:rFonts w:ascii="宋体" w:hAnsi="宋体"/>
          <w:color w:val="auto"/>
          <w:sz w:val="24"/>
          <w:highlight w:val="none"/>
        </w:rPr>
        <w:t>服务承诺书</w:t>
      </w:r>
    </w:p>
    <w:p>
      <w:pPr>
        <w:adjustRightInd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三、质量监控督查及违约责任承担细则</w:t>
      </w:r>
    </w:p>
    <w:p>
      <w:pPr>
        <w:adjustRightInd w:val="0"/>
        <w:snapToGrid w:val="0"/>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第九条、其他事项</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一、为确保产品质量，对产品质量进行权威、有效监督和抽查。争议产品的取样必须以争议双方现场取样、确认为准</w:t>
      </w:r>
      <w:r>
        <w:rPr>
          <w:rFonts w:hint="eastAsia" w:ascii="宋体" w:hAnsi="宋体"/>
          <w:color w:val="auto"/>
          <w:sz w:val="24"/>
          <w:highlight w:val="none"/>
        </w:rPr>
        <w:t>。抽样后甲方送至第三方专业检测检验机构检测，合格：检测费用由甲方承担，不合格：检测费用由乙方承担并退换产品同时扣除50%的履约保证金。</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甲乙双方出现服务、质量纠纷，依据招标文件、供应合同及国家相关法律法规等执行。</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三、该标的招标文件中所规定的条款和内容，商家投标文件所承诺的事项等，均作为该合同的当然附件执行。</w:t>
      </w:r>
    </w:p>
    <w:p>
      <w:pPr>
        <w:spacing w:line="420" w:lineRule="exact"/>
        <w:ind w:firstLine="480" w:firstLineChars="200"/>
        <w:rPr>
          <w:color w:val="auto"/>
          <w:spacing w:val="-6"/>
          <w:sz w:val="24"/>
          <w:szCs w:val="21"/>
          <w:highlight w:val="none"/>
        </w:rPr>
      </w:pPr>
      <w:r>
        <w:rPr>
          <w:rFonts w:hint="eastAsia" w:ascii="宋体" w:hAnsi="宋体"/>
          <w:color w:val="auto"/>
          <w:sz w:val="24"/>
          <w:highlight w:val="none"/>
        </w:rPr>
        <w:t>四、甲乙双方可对具体配送细节进行约定，但相关约定内容不得与招标文件、供应合同违背。</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第十条：争议解决</w:t>
      </w:r>
    </w:p>
    <w:p>
      <w:pPr>
        <w:snapToGrid w:val="0"/>
        <w:spacing w:line="360" w:lineRule="auto"/>
        <w:ind w:right="26" w:rightChars="11" w:firstLine="456" w:firstLineChars="200"/>
        <w:rPr>
          <w:color w:val="auto"/>
          <w:spacing w:val="-6"/>
          <w:sz w:val="24"/>
          <w:szCs w:val="21"/>
          <w:highlight w:val="none"/>
        </w:rPr>
      </w:pPr>
      <w:r>
        <w:rPr>
          <w:rFonts w:hint="eastAsia"/>
          <w:color w:val="auto"/>
          <w:spacing w:val="-6"/>
          <w:sz w:val="24"/>
          <w:szCs w:val="21"/>
          <w:highlight w:val="none"/>
        </w:rPr>
        <w:t>本合同未尽事宜由甲乙双方协商解决，并签订必要的书面协议。如协商不成，提交甲方所在地人民法院裁决，违约方应赔偿守约方为解决纠纷而产生的诉讼费、律师费等一切损失。</w:t>
      </w:r>
    </w:p>
    <w:p>
      <w:pPr>
        <w:snapToGrid w:val="0"/>
        <w:spacing w:before="240" w:beforeLines="100"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第十一条：合同生效</w:t>
      </w:r>
    </w:p>
    <w:p>
      <w:pPr>
        <w:snapToGrid w:val="0"/>
        <w:spacing w:line="360" w:lineRule="auto"/>
        <w:ind w:firstLine="456" w:firstLineChars="200"/>
        <w:rPr>
          <w:color w:val="auto"/>
          <w:spacing w:val="-6"/>
          <w:sz w:val="24"/>
          <w:szCs w:val="21"/>
          <w:highlight w:val="none"/>
        </w:rPr>
      </w:pPr>
      <w:r>
        <w:rPr>
          <w:rFonts w:hint="eastAsia"/>
          <w:color w:val="auto"/>
          <w:spacing w:val="-6"/>
          <w:sz w:val="24"/>
          <w:szCs w:val="21"/>
          <w:highlight w:val="none"/>
        </w:rPr>
        <w:t>1、合同经甲方、乙方和鉴证方法定代表人或授权代表签字并加盖叁方单位公章（或合同专用章）后生效。</w:t>
      </w:r>
    </w:p>
    <w:p>
      <w:pPr>
        <w:snapToGrid w:val="0"/>
        <w:spacing w:line="360" w:lineRule="auto"/>
        <w:ind w:firstLine="456" w:firstLineChars="200"/>
        <w:rPr>
          <w:color w:val="auto"/>
          <w:spacing w:val="-6"/>
          <w:sz w:val="24"/>
          <w:szCs w:val="21"/>
          <w:highlight w:val="none"/>
        </w:rPr>
      </w:pPr>
      <w:r>
        <w:rPr>
          <w:rFonts w:hint="eastAsia"/>
          <w:color w:val="auto"/>
          <w:spacing w:val="-6"/>
          <w:sz w:val="24"/>
          <w:szCs w:val="21"/>
          <w:highlight w:val="none"/>
        </w:rPr>
        <w:t>2、本合同未尽事宜，遵照《中华人民共和国合同法》有关条文执行。</w:t>
      </w:r>
    </w:p>
    <w:p>
      <w:pPr>
        <w:snapToGrid w:val="0"/>
        <w:spacing w:line="360" w:lineRule="auto"/>
        <w:ind w:firstLine="456" w:firstLineChars="200"/>
        <w:rPr>
          <w:color w:val="auto"/>
          <w:spacing w:val="-6"/>
          <w:sz w:val="24"/>
          <w:szCs w:val="21"/>
          <w:highlight w:val="none"/>
        </w:rPr>
      </w:pPr>
      <w:r>
        <w:rPr>
          <w:rFonts w:hint="eastAsia"/>
          <w:color w:val="auto"/>
          <w:spacing w:val="-6"/>
          <w:sz w:val="24"/>
          <w:szCs w:val="21"/>
          <w:highlight w:val="none"/>
        </w:rPr>
        <w:t>3、本合同一式肆份，甲方执叁份，乙方执壹份、鉴证方执壹份。</w:t>
      </w:r>
    </w:p>
    <w:p>
      <w:pPr>
        <w:snapToGrid w:val="0"/>
        <w:spacing w:line="360" w:lineRule="auto"/>
        <w:ind w:firstLine="456" w:firstLineChars="200"/>
        <w:rPr>
          <w:color w:val="auto"/>
          <w:spacing w:val="-6"/>
          <w:sz w:val="24"/>
          <w:szCs w:val="21"/>
          <w:highlight w:val="none"/>
        </w:rPr>
      </w:pPr>
      <w:r>
        <w:rPr>
          <w:rFonts w:hint="eastAsia"/>
          <w:color w:val="auto"/>
          <w:spacing w:val="-6"/>
          <w:sz w:val="24"/>
          <w:szCs w:val="21"/>
          <w:highlight w:val="none"/>
        </w:rPr>
        <w:t>4、相关招投标文件、询标承诺等与本合同具有同等法律效力。</w:t>
      </w:r>
    </w:p>
    <w:tbl>
      <w:tblPr>
        <w:tblStyle w:val="3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甲方（需方）：（公章或合同专用章）</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乙方（供方）：（公章或合同专用章）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法定代表人或受委托人（签字）：</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 xml:space="preserve">地址： </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地址：</w:t>
            </w:r>
            <w:r>
              <w:rPr>
                <w:rFonts w:hint="eastAsia"/>
                <w:color w:val="auto"/>
                <w:spacing w:val="-6"/>
                <w:sz w:val="24"/>
                <w:szCs w:val="21"/>
                <w:highlight w:val="none"/>
              </w:rPr>
              <w:tab/>
            </w:r>
            <w:r>
              <w:rPr>
                <w:rFonts w:hint="eastAsia"/>
                <w:color w:val="auto"/>
                <w:spacing w:val="-6"/>
                <w:sz w:val="24"/>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 xml:space="preserve">邮编： </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邮编：</w:t>
            </w:r>
            <w:r>
              <w:rPr>
                <w:rFonts w:hint="eastAsia"/>
                <w:color w:val="auto"/>
                <w:spacing w:val="-6"/>
                <w:sz w:val="24"/>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 xml:space="preserve">电话： </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pacing w:val="-6"/>
                <w:sz w:val="24"/>
                <w:szCs w:val="21"/>
                <w:highlight w:val="none"/>
              </w:rPr>
            </w:pPr>
            <w:r>
              <w:rPr>
                <w:rFonts w:hint="eastAsia"/>
                <w:color w:val="auto"/>
                <w:spacing w:val="-6"/>
                <w:sz w:val="24"/>
                <w:szCs w:val="21"/>
                <w:highlight w:val="none"/>
              </w:rPr>
              <w:t>电话：</w:t>
            </w:r>
            <w:r>
              <w:rPr>
                <w:rFonts w:hint="eastAsia"/>
                <w:color w:val="auto"/>
                <w:spacing w:val="-6"/>
                <w:sz w:val="24"/>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pacing w:val="-6"/>
                <w:sz w:val="24"/>
                <w:szCs w:val="21"/>
                <w:highlight w:val="none"/>
              </w:rPr>
            </w:pPr>
            <w:r>
              <w:rPr>
                <w:rFonts w:hint="eastAsia"/>
                <w:color w:val="auto"/>
                <w:spacing w:val="-6"/>
                <w:sz w:val="24"/>
                <w:szCs w:val="21"/>
                <w:highlight w:val="none"/>
              </w:rPr>
              <w:t>签字日期：      年   月   日</w:t>
            </w:r>
          </w:p>
        </w:tc>
      </w:tr>
    </w:tbl>
    <w:p>
      <w:pPr>
        <w:rPr>
          <w:rFonts w:hint="eastAsia"/>
          <w:color w:val="auto"/>
          <w:highlight w:val="none"/>
        </w:rPr>
      </w:pPr>
    </w:p>
    <w:p>
      <w:pPr>
        <w:pStyle w:val="2"/>
        <w:rPr>
          <w:rFonts w:ascii="宋体" w:hAnsi="宋体" w:eastAsia="宋体" w:cs="宋体"/>
          <w:color w:val="auto"/>
          <w:highlight w:val="none"/>
        </w:rPr>
      </w:pPr>
    </w:p>
    <w:p>
      <w:pPr>
        <w:ind w:left="0" w:leftChars="0" w:firstLine="0" w:firstLineChars="0"/>
        <w:rPr>
          <w:rFonts w:ascii="宋体" w:hAnsi="宋体" w:eastAsia="宋体" w:cs="宋体"/>
          <w:color w:val="auto"/>
          <w:highlight w:val="none"/>
        </w:rPr>
      </w:pPr>
    </w:p>
    <w:p>
      <w:pPr>
        <w:pStyle w:val="2"/>
        <w:rPr>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pgNumType w:fmt="decimal"/>
          <w:cols w:space="720" w:num="1"/>
          <w:docGrid w:linePitch="286" w:charSpace="0"/>
        </w:sectPr>
      </w:pPr>
    </w:p>
    <w:p>
      <w:pPr>
        <w:pStyle w:val="4"/>
        <w:rPr>
          <w:color w:val="auto"/>
          <w:highlight w:val="none"/>
        </w:rPr>
      </w:pPr>
      <w:bookmarkStart w:id="85" w:name="_Toc29638"/>
      <w:r>
        <w:rPr>
          <w:rFonts w:hint="eastAsia" w:cs="宋体"/>
          <w:color w:val="auto"/>
          <w:highlight w:val="none"/>
        </w:rPr>
        <w:t>第六章 投标文件格式</w:t>
      </w:r>
      <w:bookmarkEnd w:id="84"/>
      <w:bookmarkEnd w:id="85"/>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hint="default" w:ascii="宋体" w:hAnsi="宋体" w:eastAsia="宋体" w:cs="宋体"/>
          <w:b/>
          <w:bCs/>
          <w:color w:val="auto"/>
          <w:spacing w:val="-6"/>
          <w:highlight w:val="none"/>
          <w:lang w:val="en-US" w:eastAsia="zh-CN"/>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spacing w:line="360" w:lineRule="auto"/>
        <w:rPr>
          <w:b/>
          <w:color w:val="auto"/>
          <w:highlight w:val="none"/>
        </w:rPr>
      </w:pPr>
      <w:r>
        <w:rPr>
          <w:rFonts w:hint="eastAsia" w:ascii="宋体" w:hAnsi="宋体"/>
          <w:b/>
          <w:color w:val="auto"/>
          <w:spacing w:val="-6"/>
          <w:sz w:val="30"/>
          <w:szCs w:val="30"/>
          <w:highlight w:val="none"/>
        </w:rPr>
        <w:t xml:space="preserve">授权代表姓名：       手机号：          钉钉号：       电子邮箱：   </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hint="eastAsia"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
        <w:rPr>
          <w:rFonts w:hint="eastAsia" w:ascii="宋体" w:hAnsi="宋体" w:cs="宋体"/>
          <w:bCs/>
          <w:color w:val="auto"/>
          <w:spacing w:val="-6"/>
          <w:sz w:val="30"/>
          <w:szCs w:val="30"/>
          <w:highlight w:val="none"/>
        </w:rPr>
      </w:pPr>
    </w:p>
    <w:p>
      <w:pPr>
        <w:pStyle w:val="3"/>
        <w:rPr>
          <w:rFonts w:hint="eastAsia" w:ascii="宋体" w:hAnsi="宋体" w:cs="宋体"/>
          <w:bCs/>
          <w:color w:val="auto"/>
          <w:spacing w:val="-6"/>
          <w:sz w:val="30"/>
          <w:szCs w:val="30"/>
          <w:highlight w:val="none"/>
        </w:rPr>
      </w:pPr>
    </w:p>
    <w:p>
      <w:pPr>
        <w:rPr>
          <w:rFonts w:hint="eastAsia" w:ascii="宋体" w:hAnsi="宋体" w:cs="宋体"/>
          <w:bCs/>
          <w:color w:val="auto"/>
          <w:spacing w:val="-6"/>
          <w:sz w:val="30"/>
          <w:szCs w:val="30"/>
          <w:highlight w:val="none"/>
        </w:rPr>
      </w:pP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w:pict>
          <v:shape id="文本框 2" o:spid="_x0000_s1029" o:spt="202" type="#_x0000_t202" style="position:absolute;left:0pt;margin-left:358.4pt;margin-top:13.95pt;height:39.95pt;width:110.5pt;z-index:-1024;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投标文件封面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r>
        <w:rPr>
          <w:rFonts w:hint="eastAsia" w:ascii="宋体" w:hAnsi="宋体"/>
          <w:b/>
          <w:color w:val="auto"/>
          <w:spacing w:val="-6"/>
          <w:sz w:val="30"/>
          <w:szCs w:val="30"/>
          <w:highlight w:val="none"/>
        </w:rPr>
        <w:t xml:space="preserve">授权代表姓名：       手机号：          钉钉号：       </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sectPr>
          <w:pgSz w:w="11907" w:h="16840"/>
          <w:pgMar w:top="1247" w:right="1304" w:bottom="1021" w:left="1304" w:header="720" w:footer="720" w:gutter="0"/>
          <w:pgNumType w:fmt="decimal"/>
          <w:cols w:space="720" w:num="1"/>
          <w:docGrid w:linePitch="286" w:charSpace="0"/>
        </w:sectPr>
      </w:pPr>
      <w:r>
        <w:rPr>
          <w:rFonts w:hint="eastAsia" w:ascii="宋体" w:hAnsi="宋体" w:cs="宋体"/>
          <w:color w:val="auto"/>
          <w:sz w:val="30"/>
          <w:szCs w:val="30"/>
          <w:highlight w:val="none"/>
        </w:rPr>
        <w:t>日期：    年  月  日</w:t>
      </w:r>
    </w:p>
    <w:p>
      <w:pPr>
        <w:pStyle w:val="6"/>
        <w:rPr>
          <w:rFonts w:hint="eastAsia" w:ascii="宋体" w:hAnsi="宋体" w:cs="宋体"/>
          <w:color w:val="auto"/>
          <w:highlight w:val="none"/>
        </w:rPr>
      </w:pPr>
      <w:r>
        <w:rPr>
          <w:rFonts w:hint="eastAsia" w:ascii="宋体" w:hAnsi="宋体" w:cs="宋体"/>
          <w:color w:val="auto"/>
          <w:highlight w:val="none"/>
        </w:rPr>
        <w:t>资信技术标评分索引</w:t>
      </w:r>
    </w:p>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bidi w:val="0"/>
      </w:pPr>
    </w:p>
    <w:p>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根据评分标准自行更改。</w:t>
      </w:r>
    </w:p>
    <w:p>
      <w:pPr>
        <w:pStyle w:val="2"/>
      </w:pPr>
    </w:p>
    <w:p>
      <w:pPr>
        <w:rPr>
          <w:rFonts w:ascii="宋体" w:hAnsi="宋体" w:cs="宋体"/>
          <w:color w:val="auto"/>
          <w:highlight w:val="none"/>
        </w:rPr>
      </w:pPr>
    </w:p>
    <w:p>
      <w:pPr>
        <w:pStyle w:val="2"/>
        <w:sectPr>
          <w:pgSz w:w="11907" w:h="16840"/>
          <w:pgMar w:top="1247" w:right="1304" w:bottom="1021" w:left="1304" w:header="720" w:footer="720" w:gutter="0"/>
          <w:pgNumType w:fmt="decimal"/>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杭州文一教育发展有限公司</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ind w:firstLine="480"/>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（投标方全称）授权 </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w:t>
      </w:r>
      <w:r>
        <w:rPr>
          <w:rFonts w:hint="eastAsia" w:ascii="宋体" w:hAnsi="宋体" w:cs="宋体"/>
          <w:color w:val="auto"/>
          <w:highlight w:val="none"/>
          <w:u w:val="single"/>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 xml:space="preserve">        </w:t>
      </w:r>
    </w:p>
    <w:p>
      <w:pPr>
        <w:ind w:firstLine="480"/>
        <w:rPr>
          <w:rFonts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（招标编号、招标项目名称）招标的有关活动，并对</w:t>
      </w:r>
      <w:r>
        <w:rPr>
          <w:rFonts w:hint="eastAsia" w:ascii="宋体" w:hAnsi="宋体" w:cs="宋体"/>
          <w:color w:val="auto"/>
          <w:highlight w:val="none"/>
          <w:u w:val="single"/>
        </w:rPr>
        <w:t xml:space="preserve">             </w:t>
      </w:r>
    </w:p>
    <w:p>
      <w:pPr>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（标段号）进行投标。据此函，全权代表宣布同意如下：</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9"/>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9"/>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9"/>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投标项目的总投标价为：人民币（大写）：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pStyle w:val="2"/>
        <w:rPr>
          <w:rFonts w:hint="default" w:eastAsia="黑体"/>
          <w:color w:val="auto"/>
          <w:highlight w:val="none"/>
          <w:lang w:val="en-US" w:eastAsia="zh-CN"/>
        </w:rPr>
      </w:pP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小写：</w:t>
      </w:r>
      <w:r>
        <w:rPr>
          <w:rFonts w:hint="eastAsia" w:ascii="宋体" w:hAnsi="宋体" w:eastAsia="宋体" w:cs="宋体"/>
          <w:color w:val="auto"/>
          <w:kern w:val="2"/>
          <w:sz w:val="24"/>
          <w:szCs w:val="24"/>
          <w:highlight w:val="none"/>
          <w:u w:val="single"/>
          <w:lang w:val="en-US" w:eastAsia="zh-CN" w:bidi="ar-SA"/>
        </w:rPr>
        <w:t xml:space="preserve">  ¥               </w:t>
      </w:r>
      <w:r>
        <w:rPr>
          <w:rFonts w:hint="eastAsia" w:ascii="宋体" w:hAnsi="宋体" w:eastAsia="宋体" w:cs="宋体"/>
          <w:color w:val="auto"/>
          <w:kern w:val="2"/>
          <w:sz w:val="24"/>
          <w:szCs w:val="24"/>
          <w:highlight w:val="none"/>
          <w:lang w:val="en-US" w:eastAsia="zh-CN" w:bidi="ar-SA"/>
        </w:rPr>
        <w:t>元</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8"/>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电话：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u w:val="single"/>
        </w:rPr>
        <w:t xml:space="preserve">             </w:t>
      </w:r>
      <w:r>
        <w:rPr>
          <w:rFonts w:hint="eastAsia" w:ascii="宋体" w:hAnsi="宋体" w:cs="宋体"/>
          <w:color w:val="auto"/>
          <w:highlight w:val="none"/>
        </w:rPr>
        <w:t>电子邮件：</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bidi w:val="0"/>
        <w:rPr>
          <w:color w:val="auto"/>
          <w:highlight w:val="none"/>
        </w:rPr>
      </w:pPr>
      <w:r>
        <w:rPr>
          <w:rFonts w:hint="eastAsia"/>
          <w:color w:val="auto"/>
          <w:highlight w:val="none"/>
        </w:rPr>
        <w:t>附件二 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hint="eastAsia" w:ascii="宋体" w:hAnsi="宋体" w:cs="宋体"/>
          <w:color w:val="auto"/>
          <w:spacing w:val="-6"/>
          <w:highlight w:val="none"/>
          <w:u w:val="single"/>
        </w:rPr>
      </w:pPr>
      <w:r>
        <w:rPr>
          <w:rFonts w:hint="eastAsia" w:ascii="宋体" w:hAnsi="宋体" w:cs="宋体"/>
          <w:color w:val="auto"/>
          <w:spacing w:val="-6"/>
          <w:highlight w:val="none"/>
        </w:rPr>
        <w:t>投标供应商名称：</w:t>
      </w:r>
      <w:r>
        <w:rPr>
          <w:rFonts w:hint="eastAsia" w:ascii="宋体" w:hAnsi="宋体" w:cs="宋体"/>
          <w:color w:val="auto"/>
          <w:spacing w:val="-6"/>
          <w:highlight w:val="none"/>
          <w:u w:val="single"/>
        </w:rPr>
        <w:t xml:space="preserve">                     </w:t>
      </w:r>
    </w:p>
    <w:p>
      <w:pPr>
        <w:pStyle w:val="2"/>
        <w:rPr>
          <w:color w:val="auto"/>
          <w:highlight w:val="none"/>
        </w:rPr>
      </w:pPr>
    </w:p>
    <w:tbl>
      <w:tblPr>
        <w:tblStyle w:val="39"/>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3"/>
        <w:gridCol w:w="3195"/>
        <w:gridCol w:w="4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pacing w:val="-6"/>
                <w:sz w:val="24"/>
                <w:highlight w:val="none"/>
                <w:lang w:val="en-US" w:eastAsia="zh-CN"/>
              </w:rPr>
            </w:pPr>
            <w:r>
              <w:rPr>
                <w:rFonts w:hint="eastAsia" w:ascii="宋体" w:hAnsi="宋体"/>
                <w:color w:val="auto"/>
                <w:spacing w:val="-6"/>
                <w:sz w:val="24"/>
                <w:highlight w:val="none"/>
                <w:lang w:val="en-US" w:eastAsia="zh-CN"/>
              </w:rPr>
              <w:t>序号</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pacing w:val="-6"/>
                <w:sz w:val="24"/>
                <w:highlight w:val="none"/>
                <w:lang w:val="en-US" w:eastAsia="zh-CN"/>
              </w:rPr>
            </w:pPr>
            <w:r>
              <w:rPr>
                <w:rFonts w:hint="eastAsia" w:ascii="宋体" w:hAnsi="宋体"/>
                <w:color w:val="auto"/>
                <w:spacing w:val="-6"/>
                <w:sz w:val="24"/>
                <w:highlight w:val="none"/>
                <w:lang w:val="en-US" w:eastAsia="zh-CN"/>
              </w:rPr>
              <w:t>分项报价</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pacing w:val="-6"/>
                <w:sz w:val="24"/>
                <w:highlight w:val="none"/>
                <w:lang w:val="en-US" w:eastAsia="zh-CN"/>
              </w:rPr>
            </w:pPr>
            <w:r>
              <w:rPr>
                <w:rFonts w:hint="eastAsia" w:ascii="宋体" w:hAnsi="宋体"/>
                <w:color w:val="auto"/>
                <w:spacing w:val="-6"/>
                <w:sz w:val="24"/>
                <w:highlight w:val="none"/>
                <w:lang w:val="en-US" w:eastAsia="zh-CN"/>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pacing w:val="-6"/>
                <w:sz w:val="24"/>
                <w:highlight w:val="none"/>
                <w:lang w:val="en-US" w:eastAsia="zh-CN"/>
              </w:rPr>
            </w:pPr>
            <w:r>
              <w:rPr>
                <w:rFonts w:hint="eastAsia" w:ascii="宋体" w:hAnsi="宋体"/>
                <w:color w:val="auto"/>
                <w:spacing w:val="-6"/>
                <w:sz w:val="24"/>
                <w:highlight w:val="none"/>
                <w:lang w:val="en-US" w:eastAsia="zh-CN"/>
              </w:rPr>
              <w:t>1</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spacing w:val="-6"/>
                <w:sz w:val="24"/>
                <w:highlight w:val="none"/>
              </w:rPr>
            </w:pPr>
            <w:r>
              <w:rPr>
                <w:rFonts w:hint="eastAsia" w:ascii="宋体" w:hAnsi="宋体"/>
                <w:color w:val="auto"/>
                <w:spacing w:val="-6"/>
                <w:sz w:val="24"/>
                <w:highlight w:val="none"/>
                <w:lang w:val="en-US" w:eastAsia="zh-CN"/>
              </w:rPr>
              <w:t>单价汇总合计（一）</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olor w:val="auto"/>
                <w:spacing w:val="-6"/>
                <w:sz w:val="24"/>
                <w:highlight w:val="none"/>
                <w:lang w:val="en-US" w:eastAsia="zh-CN"/>
              </w:rPr>
            </w:pPr>
            <w:r>
              <w:rPr>
                <w:rFonts w:hint="eastAsia" w:ascii="宋体" w:hAnsi="宋体"/>
                <w:color w:val="auto"/>
                <w:spacing w:val="-6"/>
                <w:sz w:val="24"/>
                <w:highlight w:val="none"/>
                <w:lang w:val="en-US" w:eastAsia="zh-CN"/>
              </w:rPr>
              <w:t>2</w:t>
            </w:r>
          </w:p>
        </w:tc>
        <w:tc>
          <w:tcPr>
            <w:tcW w:w="3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spacing w:val="-6"/>
                <w:sz w:val="24"/>
                <w:highlight w:val="none"/>
              </w:rPr>
            </w:pPr>
            <w:r>
              <w:rPr>
                <w:rFonts w:hint="eastAsia" w:ascii="宋体" w:hAnsi="宋体"/>
                <w:color w:val="auto"/>
                <w:spacing w:val="-6"/>
                <w:sz w:val="24"/>
                <w:highlight w:val="none"/>
                <w:lang w:val="en-US" w:eastAsia="zh-CN"/>
              </w:rPr>
              <w:t>单价汇总合计（二）</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7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0" w:firstLineChars="0"/>
              <w:jc w:val="center"/>
              <w:textAlignment w:val="auto"/>
              <w:rPr>
                <w:rFonts w:hint="eastAsia"/>
                <w:color w:val="auto"/>
                <w:highlight w:val="none"/>
                <w:lang w:val="en-US" w:eastAsia="zh-CN"/>
              </w:rPr>
            </w:pPr>
            <w:r>
              <w:rPr>
                <w:rFonts w:hint="eastAsia"/>
                <w:color w:val="auto"/>
                <w:sz w:val="24"/>
                <w:szCs w:val="32"/>
                <w:highlight w:val="none"/>
                <w:lang w:val="en-US" w:eastAsia="zh-CN"/>
              </w:rPr>
              <w:t>投标总价：</w:t>
            </w:r>
          </w:p>
        </w:tc>
        <w:tc>
          <w:tcPr>
            <w:tcW w:w="4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spacing w:line="480" w:lineRule="auto"/>
              <w:ind w:firstLine="0" w:firstLineChars="0"/>
              <w:jc w:val="left"/>
              <w:textAlignment w:val="auto"/>
              <w:rPr>
                <w:rFonts w:hint="eastAsia" w:ascii="宋体" w:hAnsi="宋体"/>
                <w:color w:val="auto"/>
                <w:spacing w:val="-6"/>
                <w:sz w:val="24"/>
                <w:highlight w:val="none"/>
                <w:lang w:val="en-US" w:eastAsia="zh-CN"/>
              </w:rPr>
            </w:pPr>
            <w:r>
              <w:rPr>
                <w:rFonts w:hint="eastAsia" w:ascii="宋体" w:hAnsi="宋体"/>
                <w:color w:val="auto"/>
                <w:spacing w:val="-6"/>
                <w:sz w:val="24"/>
                <w:highlight w:val="none"/>
                <w:lang w:val="en-US" w:eastAsia="zh-CN"/>
              </w:rPr>
              <w:t>大写：</w:t>
            </w:r>
          </w:p>
          <w:p>
            <w:pPr>
              <w:keepNext w:val="0"/>
              <w:keepLines w:val="0"/>
              <w:pageBreakBefore w:val="0"/>
              <w:widowControl w:val="0"/>
              <w:tabs>
                <w:tab w:val="left" w:pos="1418"/>
              </w:tabs>
              <w:kinsoku/>
              <w:wordWrap/>
              <w:overflowPunct/>
              <w:topLinePunct w:val="0"/>
              <w:autoSpaceDE/>
              <w:autoSpaceDN/>
              <w:bidi w:val="0"/>
              <w:adjustRightInd/>
              <w:snapToGrid/>
              <w:spacing w:line="480" w:lineRule="auto"/>
              <w:ind w:firstLine="0" w:firstLineChars="0"/>
              <w:jc w:val="both"/>
              <w:textAlignment w:val="auto"/>
              <w:rPr>
                <w:rFonts w:hint="eastAsia" w:ascii="宋体" w:hAnsi="宋体"/>
                <w:color w:val="auto"/>
                <w:spacing w:val="-6"/>
                <w:sz w:val="24"/>
                <w:highlight w:val="none"/>
                <w:lang w:val="en-US" w:eastAsia="zh-CN"/>
              </w:rPr>
            </w:pPr>
            <w:r>
              <w:rPr>
                <w:rFonts w:hint="eastAsia" w:ascii="宋体" w:hAnsi="宋体"/>
                <w:color w:val="auto"/>
                <w:spacing w:val="-6"/>
                <w:sz w:val="24"/>
                <w:highlight w:val="none"/>
                <w:lang w:val="en-US" w:eastAsia="zh-CN"/>
              </w:rPr>
              <w:t>小写：</w:t>
            </w:r>
          </w:p>
        </w:tc>
      </w:tr>
    </w:tbl>
    <w:p>
      <w:pPr>
        <w:ind w:firstLine="456"/>
        <w:jc w:val="left"/>
        <w:rPr>
          <w:rFonts w:ascii="宋体" w:hAnsi="宋体" w:cs="宋体"/>
          <w:color w:val="auto"/>
          <w:spacing w:val="-6"/>
          <w:highlight w:val="none"/>
        </w:rPr>
      </w:pPr>
    </w:p>
    <w:p>
      <w:pPr>
        <w:pStyle w:val="47"/>
        <w:rPr>
          <w:color w:val="auto"/>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numPr>
          <w:ilvl w:val="0"/>
          <w:numId w:val="10"/>
        </w:numPr>
        <w:ind w:firstLine="458"/>
        <w:jc w:val="left"/>
        <w:rPr>
          <w:rFonts w:hint="eastAsia" w:ascii="宋体" w:hAnsi="宋体" w:cs="宋体"/>
          <w:b/>
          <w:color w:val="auto"/>
          <w:spacing w:val="-6"/>
          <w:highlight w:val="none"/>
        </w:rPr>
      </w:pPr>
      <w:r>
        <w:rPr>
          <w:rFonts w:hint="eastAsia" w:ascii="宋体" w:hAnsi="宋体" w:cs="宋体"/>
          <w:b/>
          <w:color w:val="auto"/>
          <w:spacing w:val="-6"/>
          <w:highlight w:val="none"/>
        </w:rPr>
        <w:t>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2.投标总价为报价清单中所有物品的单价汇总，作为此次采购报价得分的计算基数，用于报价比较和评审，中标后按采购人要求实际供货量分批供货并按成交单价结算。</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pgNumType w:fmt="decimal"/>
          <w:cols w:space="720" w:num="1"/>
          <w:docGrid w:linePitch="286" w:charSpace="0"/>
        </w:sectPr>
      </w:pPr>
    </w:p>
    <w:p>
      <w:pPr>
        <w:pStyle w:val="6"/>
        <w:bidi w:val="0"/>
        <w:rPr>
          <w:rFonts w:hint="default"/>
          <w:color w:val="auto"/>
          <w:highlight w:val="none"/>
          <w:lang w:val="en-US" w:eastAsia="zh-CN"/>
        </w:rPr>
      </w:pPr>
      <w:r>
        <w:rPr>
          <w:rFonts w:hint="eastAsia"/>
          <w:color w:val="auto"/>
          <w:highlight w:val="none"/>
        </w:rPr>
        <w:t>附件</w:t>
      </w:r>
      <w:r>
        <w:rPr>
          <w:rFonts w:hint="eastAsia"/>
          <w:color w:val="auto"/>
          <w:highlight w:val="none"/>
          <w:lang w:val="en-US" w:eastAsia="zh-CN"/>
        </w:rPr>
        <w:t>三</w:t>
      </w:r>
      <w:r>
        <w:rPr>
          <w:rFonts w:hint="eastAsia"/>
          <w:color w:val="auto"/>
          <w:highlight w:val="none"/>
        </w:rPr>
        <w:t xml:space="preserve"> </w:t>
      </w:r>
      <w:r>
        <w:rPr>
          <w:rFonts w:hint="eastAsia"/>
          <w:color w:val="auto"/>
          <w:highlight w:val="none"/>
          <w:lang w:val="en-US" w:eastAsia="zh-CN"/>
        </w:rPr>
        <w:t>投标报价明细表</w:t>
      </w:r>
    </w:p>
    <w:p>
      <w:pPr>
        <w:rPr>
          <w:rFonts w:hint="eastAsia" w:ascii="宋体" w:hAnsi="宋体"/>
          <w:color w:val="auto"/>
          <w:highlight w:val="none"/>
        </w:rPr>
      </w:pPr>
    </w:p>
    <w:p>
      <w:pPr>
        <w:spacing w:line="360" w:lineRule="auto"/>
        <w:ind w:left="0" w:leftChars="0" w:firstLine="0" w:firstLineChars="0"/>
        <w:rPr>
          <w:rFonts w:hint="eastAsia" w:hAnsi="宋体"/>
          <w:color w:val="auto"/>
          <w:spacing w:val="-6"/>
          <w:highlight w:val="none"/>
        </w:rPr>
      </w:pPr>
      <w:r>
        <w:rPr>
          <w:rFonts w:hint="eastAsia" w:ascii="宋体" w:hAnsi="宋体"/>
          <w:color w:val="auto"/>
          <w:spacing w:val="-6"/>
          <w:highlight w:val="none"/>
        </w:rPr>
        <w:t>项目名称：</w:t>
      </w:r>
      <w:r>
        <w:rPr>
          <w:rFonts w:hint="eastAsia" w:ascii="宋体" w:hAnsi="宋体"/>
          <w:color w:val="auto"/>
          <w:spacing w:val="-6"/>
          <w:highlight w:val="none"/>
          <w:lang w:val="en-US" w:eastAsia="zh-CN"/>
        </w:rPr>
        <w:t xml:space="preserve">                     </w:t>
      </w:r>
      <w:r>
        <w:rPr>
          <w:rFonts w:hint="eastAsia" w:hAnsi="宋体"/>
          <w:color w:val="auto"/>
          <w:spacing w:val="-6"/>
          <w:highlight w:val="none"/>
        </w:rPr>
        <w:t xml:space="preserve">项目编号：                                                </w:t>
      </w:r>
    </w:p>
    <w:p>
      <w:pPr>
        <w:spacing w:line="360" w:lineRule="auto"/>
        <w:ind w:left="0" w:leftChars="0" w:firstLine="0" w:firstLineChars="0"/>
        <w:jc w:val="right"/>
        <w:rPr>
          <w:rFonts w:hint="eastAsia" w:eastAsia="宋体"/>
          <w:color w:val="auto"/>
          <w:highlight w:val="none"/>
          <w:lang w:eastAsia="zh-CN"/>
        </w:rPr>
      </w:pPr>
      <w:r>
        <w:rPr>
          <w:rFonts w:hint="eastAsia" w:hAnsi="宋体"/>
          <w:color w:val="auto"/>
          <w:spacing w:val="-6"/>
          <w:highlight w:val="none"/>
        </w:rPr>
        <w:t>金额单位：人民币（元）</w:t>
      </w:r>
    </w:p>
    <w:p>
      <w:pPr>
        <w:ind w:left="0" w:leftChars="0" w:firstLine="0" w:firstLineChars="0"/>
        <w:rPr>
          <w:rFonts w:hint="eastAsia" w:ascii="宋体" w:hAnsi="宋体" w:cs="宋体"/>
          <w:color w:val="auto"/>
          <w:sz w:val="21"/>
          <w:szCs w:val="21"/>
          <w:highlight w:val="none"/>
        </w:rPr>
      </w:pPr>
      <w:r>
        <w:rPr>
          <w:rFonts w:hint="eastAsia" w:ascii="宋体" w:hAnsi="宋体" w:cs="宋体"/>
          <w:bCs/>
          <w:color w:val="auto"/>
          <w:kern w:val="0"/>
          <w:szCs w:val="21"/>
          <w:highlight w:val="none"/>
        </w:rPr>
        <w:t>★</w:t>
      </w:r>
      <w:r>
        <w:rPr>
          <w:rFonts w:hint="eastAsia" w:ascii="宋体" w:hAnsi="宋体" w:cs="宋体"/>
          <w:color w:val="auto"/>
          <w:sz w:val="21"/>
          <w:szCs w:val="21"/>
          <w:highlight w:val="none"/>
        </w:rPr>
        <w:t>投标人必须对下列供货清单进行报价，合同执行过程中按中标单价据实结算。</w:t>
      </w:r>
    </w:p>
    <w:p>
      <w:pPr>
        <w:pStyle w:val="2"/>
        <w:rPr>
          <w:rFonts w:hint="default" w:eastAsia="黑体"/>
          <w:color w:val="auto"/>
          <w:highlight w:val="none"/>
          <w:lang w:val="en-US" w:eastAsia="zh-CN"/>
        </w:rPr>
      </w:pPr>
      <w:r>
        <w:rPr>
          <w:rFonts w:hint="eastAsia" w:eastAsia="黑体"/>
          <w:color w:val="auto"/>
          <w:highlight w:val="none"/>
          <w:lang w:val="en-US" w:eastAsia="zh-CN"/>
        </w:rPr>
        <w:t>投标报价明细表</w:t>
      </w:r>
      <w:r>
        <w:rPr>
          <w:rFonts w:hint="eastAsia"/>
          <w:color w:val="auto"/>
          <w:highlight w:val="none"/>
          <w:lang w:val="en-US" w:eastAsia="zh-CN"/>
        </w:rPr>
        <w:t>一：</w:t>
      </w:r>
    </w:p>
    <w:tbl>
      <w:tblPr>
        <w:tblStyle w:val="39"/>
        <w:tblW w:w="4994" w:type="pct"/>
        <w:jc w:val="center"/>
        <w:shd w:val="clear" w:color="auto" w:fill="auto"/>
        <w:tblLayout w:type="fixed"/>
        <w:tblCellMar>
          <w:top w:w="0" w:type="dxa"/>
          <w:left w:w="108" w:type="dxa"/>
          <w:bottom w:w="0" w:type="dxa"/>
          <w:right w:w="108" w:type="dxa"/>
        </w:tblCellMar>
      </w:tblPr>
      <w:tblGrid>
        <w:gridCol w:w="496"/>
        <w:gridCol w:w="574"/>
        <w:gridCol w:w="1287"/>
        <w:gridCol w:w="1250"/>
        <w:gridCol w:w="1229"/>
        <w:gridCol w:w="1621"/>
        <w:gridCol w:w="637"/>
        <w:gridCol w:w="729"/>
        <w:gridCol w:w="743"/>
        <w:gridCol w:w="939"/>
      </w:tblGrid>
      <w:tr>
        <w:tblPrEx>
          <w:tblCellMar>
            <w:top w:w="0" w:type="dxa"/>
            <w:left w:w="108" w:type="dxa"/>
            <w:bottom w:w="0" w:type="dxa"/>
            <w:right w:w="108" w:type="dxa"/>
          </w:tblCellMar>
        </w:tblPrEx>
        <w:trPr>
          <w:trHeight w:val="570" w:hRule="atLeast"/>
          <w:jc w:val="center"/>
        </w:trPr>
        <w:tc>
          <w:tcPr>
            <w:tcW w:w="26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种类</w:t>
            </w:r>
          </w:p>
        </w:tc>
        <w:tc>
          <w:tcPr>
            <w:tcW w:w="30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7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物料名称</w:t>
            </w:r>
          </w:p>
        </w:tc>
        <w:tc>
          <w:tcPr>
            <w:tcW w:w="65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现用</w:t>
            </w:r>
            <w:r>
              <w:rPr>
                <w:rFonts w:hint="eastAsia" w:ascii="宋体" w:hAnsi="宋体" w:cs="宋体"/>
                <w:b/>
                <w:bCs/>
                <w:color w:val="auto"/>
                <w:kern w:val="0"/>
                <w:sz w:val="24"/>
                <w:highlight w:val="none"/>
              </w:rPr>
              <w:t>品牌</w:t>
            </w:r>
          </w:p>
        </w:tc>
        <w:tc>
          <w:tcPr>
            <w:tcW w:w="6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投标品牌</w:t>
            </w:r>
          </w:p>
        </w:tc>
        <w:tc>
          <w:tcPr>
            <w:tcW w:w="85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型号</w:t>
            </w:r>
          </w:p>
        </w:tc>
        <w:tc>
          <w:tcPr>
            <w:tcW w:w="718"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规格</w:t>
            </w:r>
          </w:p>
        </w:tc>
        <w:tc>
          <w:tcPr>
            <w:tcW w:w="390"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计量单位</w:t>
            </w:r>
          </w:p>
        </w:tc>
        <w:tc>
          <w:tcPr>
            <w:tcW w:w="49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单价（元）</w:t>
            </w:r>
          </w:p>
        </w:tc>
      </w:tr>
      <w:tr>
        <w:tblPrEx>
          <w:tblCellMar>
            <w:top w:w="0" w:type="dxa"/>
            <w:left w:w="108" w:type="dxa"/>
            <w:bottom w:w="0" w:type="dxa"/>
            <w:right w:w="108" w:type="dxa"/>
          </w:tblCellMar>
        </w:tblPrEx>
        <w:trPr>
          <w:trHeight w:val="285" w:hRule="atLeast"/>
          <w:jc w:val="center"/>
        </w:trPr>
        <w:tc>
          <w:tcPr>
            <w:tcW w:w="260" w:type="pct"/>
            <w:vMerge w:val="restart"/>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水暖材料</w:t>
            </w: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台盆短落水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MP33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大便冲冼阀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B13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DN25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三角阀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205B</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DN15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波纹管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波纹管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波纹管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快开水嘴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1301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DN15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摇摆水嘴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半自动</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水表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LXS-20E</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（216型）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截止阀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1.6MPa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减压阀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shd w:val="clear" w:color="auto" w:fill="auto"/>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719过滤型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高温闸阀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1.6MPa(108)</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铜球阀手柄</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（216型）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φ32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PPR内丝接头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PPR内丝弯头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PPR三通</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PPR直接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PPR直接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PVC直接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PE管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φ32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PE管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塑料台盆下水管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大明仔</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伸缩</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ABS台盆下水S弯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φ32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铁骑马</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地漏芯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DN40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地漏芯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DN40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φ75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哈夫节</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国兴</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100*400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镀锌异径弯头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外螺丝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镀锌外螺丝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镀锌三通</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镀锌三通</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镀锌闷头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镀锌闷头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蹲坑不锈钢立管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川南</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金洲</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100*3.5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高温球阀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Q11F-16C</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生料带</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兴牌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（长20m，宽26mm）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卷</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台盆水嘴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十字梅花手轮</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大便冲洗阀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日新</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D25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小便按钮</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B13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大便阀芯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B13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小便阀芯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B13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快开水嘴阀芯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双牙水嘴阀芯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不锈钢落水口</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大便冲冼阀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A1B1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淋浴管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双扣</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1.5M长</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塑料淋浴头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手持式</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大便冲冼阀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坐便器进水阀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台盆水嘴阀芯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台盆水嘴手轮</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大便冲冼阀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桂花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(216型）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(216型）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（108型）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（108型）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座封弹性暗杆闸阀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法兰铸钢闸阀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φ32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不锈钢浮球阀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铜闸阀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（108型）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铜浮球阀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消音止回阀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埃美坷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φ63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PPR活接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PPR活接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φ32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PPR活接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PPR活接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PPR外丝活接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φ63*50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φ160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镀锌管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哈夫节</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φ160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焊接法兰</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焊接法兰</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φ159</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焊接法兰片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快接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快接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快接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玛钢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全铜地漏</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107</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水池</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3#（陶瓷）</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丝口法兰片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丝口法兰片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PVC大小头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φ50*40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PPR大小头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杯苏</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伟星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蹲坑大小头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橡皮</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75*30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花洒</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多功能</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PE管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restart"/>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电气材料</w:t>
            </w: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投光灯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索日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启辉器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飞利浦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S10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日光灯管T8</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三雄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T818W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飞利浦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3U23W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飞利浦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3U14W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2U</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2U</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2U</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2U</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灯杯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220V50W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LED灯杯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4.5WLED</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罗口吊灯头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海雄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E27</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2U</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2U</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LED平板灯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60*60LED</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插口节能灯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T8LED日光灯管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T8日光灯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16WLED</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T5日光灯管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百分百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T5日光灯管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T5日光灯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百分百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T5日光灯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LED筒灯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雷士</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LED筒灯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欧普</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LED灯泡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欧普</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筒灯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筒灯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LED射灯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雷泰</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LED格栅灯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LED灯泡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7W（E27灯头）</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LED灯泡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LED灯泡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7W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日光灯管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T816W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LEDT8灯管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LED灯管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灯泡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西湖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吸顶灯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美科</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25W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LED平板灯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60*60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金属卤化灯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亚明</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C651P10A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C651P16A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C651P25A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C651P32A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C652P20A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C653P20A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C653P25A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C653P32A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C652P63A带漏保</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DPNC651P20A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C654P20A带漏保</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C654P40A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单相电表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5(20)机械表</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169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单相电表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5(20)电子表</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鸿雁空开箱面板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10P</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A86K1110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A86K1210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A86K2110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A86K2210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时控</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KG316T</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明合</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86型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A86Z22310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A86Z1310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179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A86Z1316</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A86Z1416</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A86Z1425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面板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CZ12T10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闷板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A86ZBN</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调速开关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300WZ86TS300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调速开关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Z86TS250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250W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瓷灯头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E27</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插头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T310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二芯电话线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卷</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网络水晶头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超五类网线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橡套线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五芯</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3*4+2*2.5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橡套线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四芯</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双色线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BVR1.5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双色线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BVR2.5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双色线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BVR4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双色线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BVR6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绞织线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BVVB2*1</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199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BVVB2*1.5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BVVB3*2.5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BVVB2*1.5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BVVB2*0.5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BVVB2*2.5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BVVB3*1.5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多股线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单芯线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单芯线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单芯线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单芯线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单芯线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BV1</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护套软线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元通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RVV3*1.5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万马</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YZ5*6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自愈式并联电容器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锦州</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BKMJ</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同步电机</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永磁3r/min4W50HZ</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熔断器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正泰</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RT36-00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热继电器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上民</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JR36-20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接触器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CJX2-1810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交流接触器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上民</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CJX2-251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219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接线柱H2519-3</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黄腊管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黄腊管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φ5(阻燃)</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10MM铜鼻子</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10MM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16MM铜鼻子</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16MM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25MM铜鼻子</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25MM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10A铜开口鼻</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10A</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200A铜开口鼻</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200A</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300A铜开口鼻子</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300A</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电子整流器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四通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18WT8面包型</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电容</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五京</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1.2UF</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电容</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五京</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2.4UF</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电池</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南孚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触发器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欧司朗</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PVC线槽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波达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PVC线槽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pvc线槽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PVC线槽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5CM不锈钢地板槽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小便冲洗阀感应器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239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LED电子变压器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LED吸顶灯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众辉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LED吸顶灯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佛山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塑料电表箱</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20*30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三相电表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三相电表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20(80)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明装配电箱</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40*60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明装配电箱</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明装空开箱</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36P</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漏保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常熟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100ACM1-100L/3300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C120H4P80A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C651P20A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C651P50A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C651P63A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C652P32A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C652P63A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C652P6A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C653P40A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C653P50A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C653P63A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空气开关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C65N3P100A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C654P63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C652P25A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C652P32A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DPNa1P16A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DPNa1P25A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施耐德</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DPNa1P40A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269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4P20A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带漏保空开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4P25A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A86K3210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E27螺旋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节能灯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E27螺旋</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85W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接触器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CJX2-0901380V</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接触器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人民</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B85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接触器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西门子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62E</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交流接触器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正泰</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CJT1-20A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汇流排</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4P63A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279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防水盒</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电子整流器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22W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电子整流器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电扇热保护</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95度</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触发器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欧士朗</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1000W</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一次性插件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SCT10B250A</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消防应急灯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赛安达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restart"/>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建筑材料</w:t>
            </w: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中石子</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吨</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圆钢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φ6圆钢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289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φ8圆钢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φ10圆钢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外墙腻子粉</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立邦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水泥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浙江钱潮</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清漆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11KG/桶</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内墙涂料</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立邦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（大桶）</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内墙乳胶漆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（大桶）</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内墙腻子粉</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立邦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角铁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（6米/支）</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角铁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（6米/支）</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299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胶水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801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大桶</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胶水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立邦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901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胶水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502</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PVC胶水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鸿雁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黄沙</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江沙</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吨</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红砖</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95</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红柳桉木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15.5cm*2cm*200cm</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瓜子片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吨</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干砂</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240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张</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复合窨井</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60*60*6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复合窨井</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50*50*6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复合窨井盖板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40*50CM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片</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防水涂料</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911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组</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防水涂料</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雨虹</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热镀锌 厚2.75mm</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2cm*4cm（6米/支）</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热镀锌 厚2.75-3mm</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5cm*6cm（6米/支）</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570"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热镀锌 厚3-4mm</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6cm*8cm（6米/支）</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堵漏王</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立邦</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窗纱</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1米宽（塑料）</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卷</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标准杉木档</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4cm*6cm*400cm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319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保温管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厚2-2.5cm</w:t>
            </w:r>
          </w:p>
        </w:tc>
        <w:tc>
          <w:tcPr>
            <w:tcW w:w="718" w:type="pct"/>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8字砖</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φ19（国标）</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5*5（国标）</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胶泥</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杭卓</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20公斤</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角铁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30*30*600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扁铁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扁铁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螺纹钢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329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螺纹钢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螺纹钢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螺纹钢</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方管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松木档</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3cm*5cm*300cm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黑磁漆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胶水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中南</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901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调和漆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20KG（白）</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铝粉漆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墙面保护剂</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耐帮</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调和漆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（中黄）2.5KG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外墙乳胶漆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云石胶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得玛茜</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组</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地板漆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（中灰）17KG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调和漆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（白）2.5KG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保温管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φ110*2</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醇酸调和漆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（黑）13KG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防锈漆</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（铁红）20KG</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315" w:hRule="atLeast"/>
          <w:jc w:val="center"/>
        </w:trPr>
        <w:tc>
          <w:tcPr>
            <w:tcW w:w="260" w:type="pct"/>
            <w:vMerge w:val="restart"/>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小五金</w:t>
            </w: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瓷砖钻头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合金钻头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349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合金钻头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小滚筒芯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滚筒</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漆刷</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加厚</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漆刷</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加厚</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美工刀片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田岛</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LB62H</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数字钳形万用表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胜利牌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DM6015F</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麻花钻头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麻花钻头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砂轮片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博世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片</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359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锯条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钢花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（细齿）</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片</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手枪钻</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博世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OBM10RE</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干砂</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180#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张</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加强铝合金双梯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高升牌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2米</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加强铝合金双梯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高升牌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2.5米</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卷</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拉手</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铁膨胀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铁膨胀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铁膨胀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369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铁膨胀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暗箱扣</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合页</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合页</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NSK</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6203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NSK</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6001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7310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不锈钢合页</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6206</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螺帽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379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螺帽</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自攻螺丝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晋亿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自攻螺丝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晋亿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自攻螺丝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晋亿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角码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3*3(小）</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枪钉</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F30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塑料线卡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塑料线卡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合</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塑料线卡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抽屉轨道</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阿里山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389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抽屉轨道</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阿里山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40CM</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插销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不锈钢门吸</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标志牌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不锈钢插销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不锈钢插销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不锈钢插销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不锈钢插销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球形锁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创奇木柄</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（5831木球）</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三保险锁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固力</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556</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铜锁芯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75双开</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399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执手锁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固得异</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F22838</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黑抽屉锁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贴力王</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136-22</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球形锁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星维</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三柱式3067p/s加长</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铁挂锁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梅花</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电焊条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金桥牌</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罗批</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世达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钢丝钳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绿林</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7寸</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尖嘴钳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得力</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6寸</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尖嘴钳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世达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6寸</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美工刀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田岛</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LC-620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409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管子钳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得力</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麻花钻头</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扎带</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电笔</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世达</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6201</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熔接器</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中财</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PPR(20-63)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半自动钉枪</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汉斯</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切割机</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博世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GDM13-34</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电锤</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博世</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TBH260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高压皮吸</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好太太</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大号</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6309</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419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法兰座</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高迪</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不锈钢合页</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红双鹰</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铜锁芯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90双开</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抽屉锁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金珠王</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138-32</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耐高温油脂</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美孚</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2KG</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定向轮连架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万向轮连架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万向轮</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明尔指示灯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明尔</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LA125B-11TD</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万向轮架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429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永德信灶前球阀</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永德信</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φ15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万向轮架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德力西时控开关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德力西</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KG316T</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万向轮</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玻璃胶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力帆</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300ml</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玻璃胶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道康宁</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（防水）</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胶带</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3M</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1500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卷</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电气胶带</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永乐</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假草皮</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厚30mm</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2米*25米</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平方</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哈尔滨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6202</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439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轴承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哈尔滨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6201</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细木工板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千年舟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1220*2440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白结构胶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喜安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590ml</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防火门锁芯</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大地</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通开</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不锈钢定风钩</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付</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φ8钢丝绳</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φ8</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三夹板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千年舟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1220*2440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白执手</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金瑞</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塑钢窗</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吸顶扇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永生</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1400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换气扇</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乘风</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300*300</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449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厕所门锁(黑)</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塑料</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黑结构胶</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喜安</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590ml</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支</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451</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φ19衣托</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铝合金</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452</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家具包边条</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卷</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453</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铝扣板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佳斯宝</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60*60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454</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不锈钢角码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国标</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30*30*16</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455</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铝塑板</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吉祥</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PE813</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1220*2440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456</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月牙锁</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瑞仕</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带钩</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457</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大扁头螺丝螺母</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8*20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458</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六角螺丝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10*60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459</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六角螺丝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8*20</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460</w:t>
            </w:r>
          </w:p>
        </w:tc>
        <w:tc>
          <w:tcPr>
            <w:tcW w:w="67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大扁头螺丝</w:t>
            </w:r>
          </w:p>
        </w:tc>
        <w:tc>
          <w:tcPr>
            <w:tcW w:w="65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6*25</w:t>
            </w:r>
          </w:p>
        </w:tc>
        <w:tc>
          <w:tcPr>
            <w:tcW w:w="3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vMerge w:val="continue"/>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461</w:t>
            </w:r>
          </w:p>
        </w:tc>
        <w:tc>
          <w:tcPr>
            <w:tcW w:w="67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大扁头螺丝螺母</w:t>
            </w:r>
          </w:p>
        </w:tc>
        <w:tc>
          <w:tcPr>
            <w:tcW w:w="65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718"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6*20</w:t>
            </w:r>
          </w:p>
        </w:tc>
        <w:tc>
          <w:tcPr>
            <w:tcW w:w="390"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9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shd w:val="clear" w:color="auto" w:fill="auto"/>
          <w:tblCellMar>
            <w:top w:w="0" w:type="dxa"/>
            <w:left w:w="108" w:type="dxa"/>
            <w:bottom w:w="0" w:type="dxa"/>
            <w:right w:w="108" w:type="dxa"/>
          </w:tblCellMar>
        </w:tblPrEx>
        <w:trPr>
          <w:trHeight w:val="285" w:hRule="atLeast"/>
          <w:jc w:val="center"/>
        </w:trPr>
        <w:tc>
          <w:tcPr>
            <w:tcW w:w="260" w:type="pct"/>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0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462</w:t>
            </w:r>
          </w:p>
        </w:tc>
        <w:tc>
          <w:tcPr>
            <w:tcW w:w="67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伸缩铁花篮</w:t>
            </w:r>
          </w:p>
        </w:tc>
        <w:tc>
          <w:tcPr>
            <w:tcW w:w="657"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通用</w:t>
            </w:r>
          </w:p>
        </w:tc>
        <w:tc>
          <w:tcPr>
            <w:tcW w:w="6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4"/>
                <w:highlight w:val="none"/>
              </w:rPr>
            </w:pPr>
          </w:p>
        </w:tc>
        <w:tc>
          <w:tcPr>
            <w:tcW w:w="852"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c>
          <w:tcPr>
            <w:tcW w:w="718"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20cm</w:t>
            </w:r>
          </w:p>
        </w:tc>
        <w:tc>
          <w:tcPr>
            <w:tcW w:w="390"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付</w:t>
            </w:r>
          </w:p>
        </w:tc>
        <w:tc>
          <w:tcPr>
            <w:tcW w:w="49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850" w:hRule="atLeast"/>
          <w:jc w:val="center"/>
        </w:trPr>
        <w:tc>
          <w:tcPr>
            <w:tcW w:w="260" w:type="pc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3470" w:type="pct"/>
            <w:gridSpan w:val="6"/>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b/>
                <w:bCs/>
                <w:color w:val="auto"/>
                <w:kern w:val="0"/>
                <w:sz w:val="28"/>
                <w:szCs w:val="28"/>
                <w:highlight w:val="none"/>
                <w:lang w:val="en-US" w:eastAsia="zh-CN"/>
              </w:rPr>
              <w:t>单价汇总合计（一）：</w:t>
            </w:r>
          </w:p>
        </w:tc>
        <w:tc>
          <w:tcPr>
            <w:tcW w:w="1268" w:type="pct"/>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bl>
    <w:p>
      <w:pPr>
        <w:adjustRightInd w:val="0"/>
        <w:snapToGrid w:val="0"/>
        <w:spacing w:line="288" w:lineRule="auto"/>
        <w:jc w:val="left"/>
        <w:rPr>
          <w:rFonts w:hint="eastAsia" w:ascii="宋体" w:hAnsi="宋体" w:cs="宋体"/>
          <w:b/>
          <w:bCs/>
          <w:color w:val="auto"/>
          <w:sz w:val="21"/>
          <w:szCs w:val="21"/>
          <w:highlight w:val="none"/>
        </w:rPr>
      </w:pPr>
    </w:p>
    <w:p>
      <w:pPr>
        <w:pStyle w:val="2"/>
        <w:rPr>
          <w:rFonts w:hint="eastAsia" w:ascii="宋体" w:hAnsi="宋体" w:cs="宋体"/>
          <w:b/>
          <w:bCs/>
          <w:color w:val="auto"/>
          <w:sz w:val="21"/>
          <w:szCs w:val="21"/>
          <w:highlight w:val="none"/>
        </w:rPr>
      </w:pPr>
    </w:p>
    <w:p>
      <w:pPr>
        <w:pStyle w:val="3"/>
        <w:rPr>
          <w:rFonts w:hint="eastAsia" w:ascii="宋体" w:hAnsi="宋体" w:cs="宋体"/>
          <w:b/>
          <w:bCs/>
          <w:color w:val="auto"/>
          <w:sz w:val="21"/>
          <w:szCs w:val="21"/>
          <w:highlight w:val="none"/>
        </w:rPr>
      </w:pPr>
    </w:p>
    <w:p>
      <w:pPr>
        <w:rPr>
          <w:rFonts w:hint="eastAsia"/>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ind w:left="0" w:leftChars="0" w:firstLine="0" w:firstLineChars="0"/>
        <w:rPr>
          <w:rFonts w:hint="eastAsia" w:ascii="宋体" w:hAnsi="宋体" w:cs="宋体"/>
          <w:b/>
          <w:bCs/>
          <w:color w:val="auto"/>
          <w:sz w:val="21"/>
          <w:szCs w:val="21"/>
          <w:highlight w:val="none"/>
        </w:rPr>
      </w:pPr>
    </w:p>
    <w:p>
      <w:pPr>
        <w:pStyle w:val="2"/>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br w:type="page"/>
      </w:r>
    </w:p>
    <w:p>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投标报价明细表二：</w:t>
      </w:r>
    </w:p>
    <w:tbl>
      <w:tblPr>
        <w:tblStyle w:val="39"/>
        <w:tblW w:w="11346" w:type="dxa"/>
        <w:jc w:val="center"/>
        <w:tblLayout w:type="fixed"/>
        <w:tblCellMar>
          <w:top w:w="0" w:type="dxa"/>
          <w:left w:w="108" w:type="dxa"/>
          <w:bottom w:w="0" w:type="dxa"/>
          <w:right w:w="108" w:type="dxa"/>
        </w:tblCellMar>
      </w:tblPr>
      <w:tblGrid>
        <w:gridCol w:w="945"/>
        <w:gridCol w:w="883"/>
        <w:gridCol w:w="2441"/>
        <w:gridCol w:w="1541"/>
        <w:gridCol w:w="2427"/>
        <w:gridCol w:w="1050"/>
        <w:gridCol w:w="751"/>
        <w:gridCol w:w="1308"/>
      </w:tblGrid>
      <w:tr>
        <w:trPr>
          <w:trHeight w:val="570"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种类</w:t>
            </w:r>
          </w:p>
        </w:tc>
        <w:tc>
          <w:tcPr>
            <w:tcW w:w="883"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物料名称</w:t>
            </w:r>
          </w:p>
        </w:tc>
        <w:tc>
          <w:tcPr>
            <w:tcW w:w="154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品牌</w:t>
            </w:r>
          </w:p>
        </w:tc>
        <w:tc>
          <w:tcPr>
            <w:tcW w:w="242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型号</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规格</w:t>
            </w:r>
          </w:p>
        </w:tc>
        <w:tc>
          <w:tcPr>
            <w:tcW w:w="751"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计量单位</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单价（元）</w:t>
            </w:r>
          </w:p>
        </w:tc>
      </w:tr>
      <w:tr>
        <w:tblPrEx>
          <w:tblCellMar>
            <w:top w:w="0" w:type="dxa"/>
            <w:left w:w="108" w:type="dxa"/>
            <w:bottom w:w="0" w:type="dxa"/>
            <w:right w:w="108" w:type="dxa"/>
          </w:tblCellMar>
        </w:tblPrEx>
        <w:trPr>
          <w:trHeight w:val="499"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维修及变电所材料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463</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旋转式插座</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鸿雁</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16A</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464</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施耐德空开</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3P150A</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465</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施耐德空开</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3P250A</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466</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刀熔式隔离开关</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315A</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467</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互感器电表</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西子</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6A</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945"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变电所材料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468</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切换电容器交流接触器</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上海人民</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B75C（线圈电压220V）</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469</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切换电容器交流接触器</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上海人民</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B50C（线圈电压220V）</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470</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切换电容器交流接触器</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上海人民</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B30C（线圈电压220V）</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471</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切换电容器交流接触器</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上海人民</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B25C（线圈电压220V）</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472</w:t>
            </w:r>
          </w:p>
        </w:tc>
        <w:tc>
          <w:tcPr>
            <w:tcW w:w="2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切换电容器交流接触器</w:t>
            </w:r>
          </w:p>
        </w:tc>
        <w:tc>
          <w:tcPr>
            <w:tcW w:w="15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开化七一电力</w:t>
            </w:r>
          </w:p>
        </w:tc>
        <w:tc>
          <w:tcPr>
            <w:tcW w:w="2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CJX8C-50（线圈电压220V）</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473</w:t>
            </w:r>
          </w:p>
        </w:tc>
        <w:tc>
          <w:tcPr>
            <w:tcW w:w="244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一次插件</w:t>
            </w:r>
          </w:p>
        </w:tc>
        <w:tc>
          <w:tcPr>
            <w:tcW w:w="154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苏州恒华电气</w:t>
            </w:r>
          </w:p>
        </w:tc>
        <w:tc>
          <w:tcPr>
            <w:tcW w:w="24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JCT20-400A</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474</w:t>
            </w:r>
          </w:p>
        </w:tc>
        <w:tc>
          <w:tcPr>
            <w:tcW w:w="244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一次插件</w:t>
            </w:r>
          </w:p>
        </w:tc>
        <w:tc>
          <w:tcPr>
            <w:tcW w:w="154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苏州恒华电气</w:t>
            </w:r>
          </w:p>
        </w:tc>
        <w:tc>
          <w:tcPr>
            <w:tcW w:w="24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JCT20-250A</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57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475</w:t>
            </w:r>
          </w:p>
        </w:tc>
        <w:tc>
          <w:tcPr>
            <w:tcW w:w="244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远传压力表</w:t>
            </w:r>
          </w:p>
        </w:tc>
        <w:tc>
          <w:tcPr>
            <w:tcW w:w="154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上海自动化仪表</w:t>
            </w:r>
          </w:p>
        </w:tc>
        <w:tc>
          <w:tcPr>
            <w:tcW w:w="242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YTZ-150(0-1.6MPa)</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476</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BSMJ0.4－40－3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477</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BKMJ0.44－25－3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478</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BKMJ0.44－12－3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479</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BKMJ0.44－14－3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480</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BSMJ0.4－16－3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481</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BKMJ0.44－20－3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482</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BKMJ0.44－40－4</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 w:val="24"/>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483</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自愈式并联电容器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上海电器</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BSMJ0.4－25－3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b/>
                <w:bCs/>
                <w:color w:val="auto"/>
                <w:kern w:val="0"/>
                <w:szCs w:val="28"/>
                <w:highlight w:val="none"/>
              </w:rPr>
            </w:pPr>
            <w:r>
              <w:rPr>
                <w:rFonts w:hint="eastAsia" w:ascii="宋体" w:hAnsi="宋体" w:cs="宋体"/>
                <w:b/>
                <w:bCs/>
                <w:color w:val="auto"/>
                <w:kern w:val="0"/>
                <w:szCs w:val="28"/>
                <w:highlight w:val="none"/>
              </w:rPr>
              <w:t>水泵房材料</w:t>
            </w: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484</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接触器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3TB43 22－OX</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485</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接触器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3TH82 62－OX</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486</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接触器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B85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487</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接触器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CJX2－0910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488</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热继电器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JRS5－20/F/22A/11A</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489</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热继电器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JRS5－60/F/67A</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490</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热继电器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JR36－20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491</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热继电器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JRS4－32353</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492</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热继电器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JRS4－09312</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493</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热继电器</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施耐德</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LR021K2</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494</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DN40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495</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截止阀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DN40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496</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DN40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497</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截止阀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DN50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498</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DN50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499</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DN50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截止阀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DN65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501</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DN65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502</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DN65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503</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DN80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504</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DN100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505</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DN100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506</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止回阀（立式）</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DN150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507</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DN200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508</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DN200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509</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遥控止回阀</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DN200\DN100</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510</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排污泵</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诸暨超前</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QY6-18-0.75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511</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水泵轴承</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哈尔滨轴承</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7306AC\7312AC\7306AC</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512</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电机轴承</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哈尔滨轴承</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7309\6309\6308</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513</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液位变送器</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上海</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TD5M110E</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514</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液位开关</w:t>
            </w:r>
          </w:p>
        </w:tc>
        <w:tc>
          <w:tcPr>
            <w:tcW w:w="15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力普</w:t>
            </w:r>
          </w:p>
        </w:tc>
        <w:tc>
          <w:tcPr>
            <w:tcW w:w="242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LPF-A3.15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rPr>
          <w:trHeight w:val="402"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515</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铜浮球阀</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埃美柯</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4分</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402" w:hRule="atLeast"/>
          <w:jc w:val="center"/>
        </w:trPr>
        <w:tc>
          <w:tcPr>
            <w:tcW w:w="945" w:type="dxa"/>
            <w:vMerge w:val="continue"/>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883"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516</w:t>
            </w:r>
          </w:p>
        </w:tc>
        <w:tc>
          <w:tcPr>
            <w:tcW w:w="24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电磁阀</w:t>
            </w:r>
          </w:p>
        </w:tc>
        <w:tc>
          <w:tcPr>
            <w:tcW w:w="154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yuyaogaojie </w:t>
            </w:r>
          </w:p>
        </w:tc>
        <w:tc>
          <w:tcPr>
            <w:tcW w:w="242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2W-160-15</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通用</w:t>
            </w:r>
          </w:p>
        </w:tc>
        <w:tc>
          <w:tcPr>
            <w:tcW w:w="751"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1308"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906" w:hRule="atLeast"/>
          <w:jc w:val="center"/>
        </w:trPr>
        <w:tc>
          <w:tcPr>
            <w:tcW w:w="94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cs="宋体"/>
                <w:b/>
                <w:bCs/>
                <w:color w:val="auto"/>
                <w:kern w:val="0"/>
                <w:szCs w:val="28"/>
                <w:highlight w:val="none"/>
              </w:rPr>
            </w:pPr>
          </w:p>
        </w:tc>
        <w:tc>
          <w:tcPr>
            <w:tcW w:w="9093"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b/>
                <w:bCs/>
                <w:color w:val="auto"/>
                <w:kern w:val="0"/>
                <w:sz w:val="24"/>
                <w:szCs w:val="24"/>
                <w:highlight w:val="none"/>
                <w:lang w:val="en-US" w:eastAsia="zh-CN"/>
              </w:rPr>
              <w:t>单价汇总合计（二）：</w:t>
            </w:r>
          </w:p>
        </w:tc>
        <w:tc>
          <w:tcPr>
            <w:tcW w:w="130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cs="宋体"/>
                <w:color w:val="auto"/>
                <w:kern w:val="0"/>
                <w:sz w:val="22"/>
                <w:szCs w:val="22"/>
                <w:highlight w:val="none"/>
              </w:rPr>
            </w:pPr>
          </w:p>
        </w:tc>
      </w:tr>
    </w:tbl>
    <w:p>
      <w:pPr>
        <w:bidi w:val="0"/>
        <w:rPr>
          <w:rFonts w:hint="eastAsia"/>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bidi w:val="0"/>
        <w:ind w:left="0" w:leftChars="0" w:firstLine="0" w:firstLineChars="0"/>
        <w:rPr>
          <w:rFonts w:hint="eastAsia"/>
          <w:color w:val="auto"/>
          <w:highlight w:val="none"/>
        </w:rPr>
      </w:pPr>
    </w:p>
    <w:p>
      <w:pPr>
        <w:pStyle w:val="6"/>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附件四 </w:t>
      </w: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p>
      <w:pPr>
        <w:ind w:firstLine="0" w:firstLineChars="0"/>
        <w:rPr>
          <w:rFonts w:ascii="宋体" w:hAnsi="宋体" w:cs="宋体"/>
          <w:color w:val="auto"/>
          <w:highlight w:val="none"/>
        </w:rPr>
      </w:pPr>
    </w:p>
    <w:tbl>
      <w:tblPr>
        <w:tblStyle w:val="3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633"/>
        <w:gridCol w:w="2318"/>
        <w:gridCol w:w="184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b/>
                <w:color w:val="auto"/>
                <w:spacing w:val="-6"/>
                <w:sz w:val="24"/>
                <w:highlight w:val="none"/>
              </w:rPr>
            </w:pPr>
            <w:r>
              <w:rPr>
                <w:rFonts w:hint="eastAsia" w:ascii="宋体" w:hAnsi="宋体"/>
                <w:b/>
                <w:color w:val="auto"/>
                <w:spacing w:val="-6"/>
                <w:sz w:val="24"/>
                <w:highlight w:val="none"/>
              </w:rPr>
              <w:t>序号</w:t>
            </w:r>
          </w:p>
        </w:tc>
        <w:tc>
          <w:tcPr>
            <w:tcW w:w="1385"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b/>
                <w:color w:val="auto"/>
                <w:spacing w:val="-6"/>
                <w:sz w:val="24"/>
                <w:highlight w:val="none"/>
              </w:rPr>
            </w:pPr>
            <w:r>
              <w:rPr>
                <w:rFonts w:hint="eastAsia" w:ascii="宋体" w:hAnsi="宋体"/>
                <w:b/>
                <w:color w:val="auto"/>
                <w:spacing w:val="-6"/>
                <w:sz w:val="24"/>
                <w:highlight w:val="none"/>
              </w:rPr>
              <w:t>招标文件要求</w:t>
            </w: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b/>
                <w:color w:val="auto"/>
                <w:spacing w:val="-6"/>
                <w:sz w:val="24"/>
                <w:highlight w:val="none"/>
              </w:rPr>
            </w:pPr>
            <w:r>
              <w:rPr>
                <w:rFonts w:hint="eastAsia" w:ascii="宋体" w:hAnsi="宋体"/>
                <w:b/>
                <w:color w:val="auto"/>
                <w:spacing w:val="-6"/>
                <w:sz w:val="24"/>
                <w:highlight w:val="none"/>
              </w:rPr>
              <w:t>响应规格</w:t>
            </w: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b/>
                <w:color w:val="auto"/>
                <w:spacing w:val="-6"/>
                <w:sz w:val="24"/>
                <w:highlight w:val="none"/>
              </w:rPr>
            </w:pPr>
            <w:r>
              <w:rPr>
                <w:rFonts w:hint="eastAsia" w:ascii="宋体" w:hAnsi="宋体"/>
                <w:b/>
                <w:color w:val="auto"/>
                <w:spacing w:val="-6"/>
                <w:sz w:val="24"/>
                <w:highlight w:val="none"/>
              </w:rPr>
              <w:t>是否偏离</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b/>
                <w:color w:val="auto"/>
                <w:spacing w:val="-6"/>
                <w:sz w:val="24"/>
                <w:highlight w:val="none"/>
              </w:rPr>
            </w:pPr>
            <w:r>
              <w:rPr>
                <w:rFonts w:hint="eastAsia" w:ascii="宋体" w:hAnsi="宋体"/>
                <w:b/>
                <w:color w:val="auto"/>
                <w:spacing w:val="-6"/>
                <w:sz w:val="24"/>
                <w:highlight w:val="none"/>
              </w:rPr>
              <w:t>（提供说明）</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s="Times New Roman"/>
                <w:b/>
                <w:color w:val="auto"/>
                <w:spacing w:val="-6"/>
                <w:sz w:val="24"/>
                <w:highlight w:val="none"/>
              </w:rPr>
            </w:pPr>
            <w:r>
              <w:rPr>
                <w:rFonts w:hint="eastAsia" w:ascii="宋体" w:hAnsi="宋体" w:cs="Times New Roman"/>
                <w:b/>
                <w:color w:val="auto"/>
                <w:spacing w:val="-6"/>
                <w:sz w:val="24"/>
                <w:highlight w:val="none"/>
              </w:rPr>
              <w:t>备注</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b/>
                <w:color w:val="auto"/>
                <w:spacing w:val="-6"/>
                <w:sz w:val="24"/>
                <w:highlight w:val="none"/>
              </w:rPr>
            </w:pPr>
            <w:r>
              <w:rPr>
                <w:rFonts w:hint="eastAsia" w:ascii="宋体" w:hAnsi="宋体" w:cs="Times New Roman"/>
                <w:b/>
                <w:color w:val="auto"/>
                <w:spacing w:val="-6"/>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7" w:type="pct"/>
            <w:gridSpan w:val="4"/>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一</w:t>
            </w:r>
            <w:r>
              <w:rPr>
                <w:rFonts w:ascii="宋体" w:hAnsi="宋体"/>
                <w:color w:val="auto"/>
                <w:sz w:val="21"/>
                <w:szCs w:val="21"/>
                <w:highlight w:val="none"/>
              </w:rPr>
              <w:t>、</w:t>
            </w:r>
            <w:r>
              <w:rPr>
                <w:rFonts w:hint="eastAsia" w:ascii="宋体" w:hAnsi="宋体"/>
                <w:color w:val="auto"/>
                <w:sz w:val="21"/>
                <w:szCs w:val="21"/>
                <w:highlight w:val="none"/>
              </w:rPr>
              <w:t>采购资金的支付方式、时间、条件：</w:t>
            </w:r>
          </w:p>
        </w:tc>
        <w:tc>
          <w:tcPr>
            <w:tcW w:w="1062"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pacing w:val="-6"/>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ascii="宋体" w:hAnsi="宋体"/>
                <w:color w:val="auto"/>
                <w:spacing w:val="-6"/>
                <w:sz w:val="21"/>
                <w:szCs w:val="21"/>
                <w:highlight w:val="none"/>
              </w:rPr>
              <w:t>……</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pacing w:val="-6"/>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7"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宋体" w:hAnsi="宋体"/>
                <w:color w:val="auto"/>
                <w:spacing w:val="-6"/>
                <w:sz w:val="21"/>
                <w:szCs w:val="21"/>
                <w:highlight w:val="none"/>
              </w:rPr>
            </w:pP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服务</w:t>
            </w:r>
            <w:r>
              <w:rPr>
                <w:rFonts w:ascii="宋体" w:hAnsi="宋体"/>
                <w:color w:val="auto"/>
                <w:sz w:val="21"/>
                <w:szCs w:val="21"/>
                <w:highlight w:val="none"/>
              </w:rPr>
              <w:t>要求</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pacing w:val="-6"/>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ascii="宋体" w:hAnsi="宋体"/>
                <w:color w:val="auto"/>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ascii="宋体" w:hAnsi="宋体"/>
                <w:color w:val="auto"/>
                <w:spacing w:val="-6"/>
                <w:sz w:val="21"/>
                <w:szCs w:val="21"/>
                <w:highlight w:val="none"/>
              </w:rPr>
              <w:t>……</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7"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三</w:t>
            </w:r>
            <w:r>
              <w:rPr>
                <w:rFonts w:ascii="宋体" w:hAnsi="宋体"/>
                <w:color w:val="auto"/>
                <w:spacing w:val="-6"/>
                <w:sz w:val="21"/>
                <w:szCs w:val="21"/>
                <w:highlight w:val="none"/>
              </w:rPr>
              <w:t>、技术要求</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rPr>
                <w:rFonts w:hint="eastAsia" w:ascii="宋体" w:hAnsi="宋体"/>
                <w:color w:val="auto"/>
                <w:spacing w:val="-6"/>
                <w:sz w:val="21"/>
                <w:szCs w:val="21"/>
                <w:highlight w:val="none"/>
              </w:rPr>
            </w:pPr>
          </w:p>
        </w:tc>
      </w:tr>
      <w:tr>
        <w:tblPrEx>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1</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 xml:space="preserve"> </w:t>
            </w: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hint="eastAsia" w:ascii="宋体" w:hAnsi="宋体"/>
                <w:color w:val="auto"/>
                <w:spacing w:val="-6"/>
                <w:sz w:val="21"/>
                <w:szCs w:val="21"/>
                <w:highlight w:val="none"/>
              </w:rPr>
              <w:t>2</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r>
              <w:rPr>
                <w:rFonts w:ascii="宋体" w:hAnsi="宋体"/>
                <w:color w:val="auto"/>
                <w:spacing w:val="-6"/>
                <w:sz w:val="21"/>
                <w:szCs w:val="21"/>
                <w:highlight w:val="none"/>
              </w:rPr>
              <w:t>……</w:t>
            </w:r>
          </w:p>
        </w:tc>
        <w:tc>
          <w:tcPr>
            <w:tcW w:w="1385" w:type="pct"/>
            <w:noWrap w:val="0"/>
            <w:vAlign w:val="center"/>
          </w:tcPr>
          <w:p>
            <w:pPr>
              <w:keepNext w:val="0"/>
              <w:keepLines w:val="0"/>
              <w:pageBreakBefore w:val="0"/>
              <w:widowControl w:val="0"/>
              <w:kinsoku/>
              <w:wordWrap/>
              <w:overflowPunct/>
              <w:topLinePunct w:val="0"/>
              <w:autoSpaceDE/>
              <w:autoSpaceDN/>
              <w:bidi w:val="0"/>
              <w:adjustRightInd/>
              <w:spacing w:line="288" w:lineRule="auto"/>
              <w:ind w:firstLine="0" w:firstLineChars="0"/>
              <w:jc w:val="center"/>
              <w:textAlignment w:val="auto"/>
              <w:rPr>
                <w:rFonts w:hint="eastAsia" w:ascii="宋体" w:hAnsi="宋体"/>
                <w:color w:val="auto"/>
                <w:sz w:val="21"/>
                <w:szCs w:val="21"/>
                <w:highlight w:val="none"/>
              </w:rPr>
            </w:pPr>
          </w:p>
        </w:tc>
        <w:tc>
          <w:tcPr>
            <w:tcW w:w="1219"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971"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宋体" w:hAnsi="宋体"/>
                <w:color w:val="auto"/>
                <w:spacing w:val="-6"/>
                <w:sz w:val="21"/>
                <w:szCs w:val="21"/>
                <w:highlight w:val="none"/>
              </w:rPr>
            </w:pPr>
          </w:p>
        </w:tc>
      </w:tr>
    </w:tbl>
    <w:p>
      <w:pPr>
        <w:pStyle w:val="2"/>
        <w:rPr>
          <w:color w:val="auto"/>
          <w:highlight w:val="none"/>
        </w:rPr>
      </w:pPr>
    </w:p>
    <w:p>
      <w:pPr>
        <w:adjustRightInd w:val="0"/>
        <w:snapToGrid w:val="0"/>
        <w:spacing w:line="312" w:lineRule="auto"/>
        <w:ind w:firstLine="0" w:firstLineChars="0"/>
        <w:rPr>
          <w:rFonts w:hint="eastAsia" w:ascii="宋体" w:hAnsi="宋体" w:cs="宋体"/>
          <w:color w:val="auto"/>
          <w:sz w:val="22"/>
          <w:szCs w:val="21"/>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sectPr>
          <w:footerReference r:id="rId19" w:type="default"/>
          <w:pgSz w:w="11907" w:h="16840"/>
          <w:pgMar w:top="1247" w:right="1304" w:bottom="1021" w:left="1304" w:header="720" w:footer="720" w:gutter="0"/>
          <w:pgNumType w:fmt="decimal"/>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五</w:t>
      </w:r>
      <w:r>
        <w:rPr>
          <w:rFonts w:hint="eastAsia" w:ascii="宋体" w:hAnsi="宋体" w:cs="宋体"/>
          <w:color w:val="auto"/>
          <w:highlight w:val="none"/>
        </w:rPr>
        <w:t xml:space="preserve">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w:t>
      </w:r>
      <w:r>
        <w:rPr>
          <w:rFonts w:hint="eastAsia" w:ascii="宋体" w:hAnsi="宋体" w:cs="宋体"/>
          <w:b/>
          <w:bCs/>
          <w:i w:val="0"/>
          <w:iCs/>
          <w:color w:val="auto"/>
          <w:spacing w:val="4"/>
          <w:highlight w:val="none"/>
          <w:lang w:val="en-US" w:eastAsia="zh-CN"/>
        </w:rPr>
        <w:t>格式可自拟</w:t>
      </w:r>
      <w:r>
        <w:rPr>
          <w:rFonts w:hint="eastAsia" w:ascii="宋体" w:hAnsi="宋体" w:cs="宋体"/>
          <w:i/>
          <w:color w:val="auto"/>
          <w:spacing w:val="4"/>
          <w:highlight w:val="none"/>
        </w:rPr>
        <w:t>）</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bidi w:val="0"/>
        <w:rPr>
          <w:rFonts w:hint="eastAsia"/>
          <w:color w:val="auto"/>
          <w:highlight w:val="none"/>
        </w:rPr>
      </w:pPr>
      <w:bookmarkStart w:id="86" w:name="_Toc188842693"/>
      <w:bookmarkStart w:id="87" w:name="_Toc188943147"/>
      <w:bookmarkStart w:id="88" w:name="_Toc189033156"/>
      <w:r>
        <w:rPr>
          <w:rFonts w:hint="eastAsia"/>
          <w:color w:val="auto"/>
          <w:highlight w:val="none"/>
        </w:rPr>
        <w:t>附件</w:t>
      </w:r>
      <w:r>
        <w:rPr>
          <w:rFonts w:hint="eastAsia"/>
          <w:color w:val="auto"/>
          <w:highlight w:val="none"/>
          <w:lang w:val="en-US" w:eastAsia="zh-CN"/>
        </w:rPr>
        <w:t>六</w:t>
      </w:r>
      <w:r>
        <w:rPr>
          <w:rFonts w:hint="eastAsia"/>
          <w:color w:val="auto"/>
          <w:highlight w:val="none"/>
        </w:rPr>
        <w:t xml:space="preserve"> 拟投入本项目的服务团队情况表</w:t>
      </w:r>
    </w:p>
    <w:p>
      <w:pPr>
        <w:rPr>
          <w:rFonts w:hint="eastAsia"/>
          <w:color w:val="auto"/>
          <w:highlight w:val="none"/>
        </w:rPr>
      </w:pPr>
    </w:p>
    <w:p>
      <w:pPr>
        <w:adjustRightInd w:val="0"/>
        <w:snapToGrid w:val="0"/>
        <w:spacing w:line="360" w:lineRule="auto"/>
        <w:jc w:val="center"/>
        <w:rPr>
          <w:rFonts w:hint="eastAsia" w:ascii="宋体" w:hAnsi="宋体"/>
          <w:b/>
          <w:color w:val="auto"/>
          <w:highlight w:val="none"/>
        </w:rPr>
      </w:pPr>
      <w:r>
        <w:rPr>
          <w:rFonts w:hint="eastAsia" w:ascii="宋体" w:hAnsi="宋体"/>
          <w:b/>
          <w:color w:val="auto"/>
          <w:highlight w:val="none"/>
        </w:rPr>
        <w:t>(一)拟投入本项目的服务团队人员汇总表</w:t>
      </w:r>
    </w:p>
    <w:tbl>
      <w:tblPr>
        <w:tblStyle w:val="39"/>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b/>
                <w:color w:val="auto"/>
                <w:kern w:val="0"/>
                <w:highlight w:val="none"/>
              </w:rPr>
            </w:pPr>
            <w:r>
              <w:rPr>
                <w:rFonts w:hint="eastAsia" w:ascii="宋体" w:hAnsi="宋体"/>
                <w:b/>
                <w:color w:val="auto"/>
                <w:kern w:val="0"/>
                <w:highlight w:val="none"/>
              </w:rPr>
              <w:t>序号</w:t>
            </w:r>
          </w:p>
        </w:tc>
        <w:tc>
          <w:tcPr>
            <w:tcW w:w="125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b/>
                <w:color w:val="auto"/>
                <w:kern w:val="0"/>
                <w:highlight w:val="none"/>
              </w:rPr>
            </w:pPr>
            <w:r>
              <w:rPr>
                <w:rFonts w:hint="eastAsia" w:ascii="宋体" w:hAnsi="宋体"/>
                <w:b/>
                <w:color w:val="auto"/>
                <w:kern w:val="0"/>
                <w:highlight w:val="none"/>
              </w:rPr>
              <w:t>姓名</w:t>
            </w:r>
          </w:p>
        </w:tc>
        <w:tc>
          <w:tcPr>
            <w:tcW w:w="33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b/>
                <w:color w:val="auto"/>
                <w:kern w:val="0"/>
                <w:highlight w:val="none"/>
              </w:rPr>
            </w:pPr>
            <w:r>
              <w:rPr>
                <w:rFonts w:hint="eastAsia" w:ascii="宋体" w:hAnsi="宋体"/>
                <w:b/>
                <w:color w:val="auto"/>
                <w:kern w:val="0"/>
                <w:highlight w:val="none"/>
              </w:rPr>
              <w:t>职称及相关专业认证（或执业资格）情况（如评分需要）</w:t>
            </w:r>
          </w:p>
        </w:tc>
        <w:tc>
          <w:tcPr>
            <w:tcW w:w="14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b/>
                <w:color w:val="auto"/>
                <w:kern w:val="0"/>
                <w:highlight w:val="none"/>
              </w:rPr>
            </w:pPr>
            <w:r>
              <w:rPr>
                <w:rFonts w:hint="eastAsia" w:ascii="宋体" w:hAnsi="宋体"/>
                <w:b/>
                <w:color w:val="auto"/>
                <w:kern w:val="0"/>
                <w:highlight w:val="none"/>
              </w:rPr>
              <w:t>在本单位工作年限</w:t>
            </w:r>
          </w:p>
        </w:tc>
        <w:tc>
          <w:tcPr>
            <w:tcW w:w="155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b/>
                <w:color w:val="auto"/>
                <w:kern w:val="0"/>
                <w:highlight w:val="none"/>
              </w:rPr>
            </w:pPr>
            <w:r>
              <w:rPr>
                <w:rFonts w:hint="eastAsia" w:ascii="宋体" w:hAnsi="宋体"/>
                <w:b/>
                <w:color w:val="auto"/>
                <w:kern w:val="0"/>
                <w:highlight w:val="none"/>
              </w:rPr>
              <w:t>在本项目中拟担任职务</w:t>
            </w:r>
          </w:p>
        </w:tc>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b/>
                <w:color w:val="auto"/>
                <w:kern w:val="0"/>
                <w:highlight w:val="none"/>
              </w:rPr>
            </w:pPr>
            <w:r>
              <w:rPr>
                <w:rFonts w:hint="eastAsia" w:ascii="宋体" w:hAnsi="宋体"/>
                <w:b/>
                <w:color w:val="auto"/>
                <w:kern w:val="0"/>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olor w:val="auto"/>
                <w:kern w:val="0"/>
                <w:highlight w:val="none"/>
              </w:rPr>
            </w:pPr>
            <w:r>
              <w:rPr>
                <w:rFonts w:hint="eastAsia" w:ascii="宋体" w:hAnsi="宋体"/>
                <w:color w:val="auto"/>
                <w:kern w:val="0"/>
                <w:highlight w:val="none"/>
              </w:rPr>
              <w:t>1</w:t>
            </w:r>
          </w:p>
        </w:tc>
        <w:tc>
          <w:tcPr>
            <w:tcW w:w="125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33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4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55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r>
              <w:rPr>
                <w:rFonts w:hint="eastAsia" w:ascii="宋体" w:hAnsi="宋体"/>
                <w:color w:val="auto"/>
                <w:kern w:val="0"/>
                <w:highlight w:val="none"/>
              </w:rPr>
              <w:t>项目负责人</w:t>
            </w:r>
          </w:p>
        </w:tc>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olor w:val="auto"/>
                <w:kern w:val="0"/>
                <w:highlight w:val="none"/>
              </w:rPr>
            </w:pPr>
            <w:r>
              <w:rPr>
                <w:rFonts w:hint="eastAsia" w:ascii="宋体" w:hAnsi="宋体"/>
                <w:color w:val="auto"/>
                <w:kern w:val="0"/>
                <w:highlight w:val="none"/>
              </w:rPr>
              <w:t>2</w:t>
            </w:r>
          </w:p>
        </w:tc>
        <w:tc>
          <w:tcPr>
            <w:tcW w:w="125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33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4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55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olor w:val="auto"/>
                <w:kern w:val="0"/>
                <w:highlight w:val="none"/>
              </w:rPr>
            </w:pPr>
            <w:r>
              <w:rPr>
                <w:rFonts w:hint="eastAsia" w:ascii="宋体" w:hAnsi="宋体"/>
                <w:color w:val="auto"/>
                <w:kern w:val="0"/>
                <w:highlight w:val="none"/>
              </w:rPr>
              <w:t>3</w:t>
            </w:r>
          </w:p>
        </w:tc>
        <w:tc>
          <w:tcPr>
            <w:tcW w:w="125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33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4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55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olor w:val="auto"/>
                <w:kern w:val="0"/>
                <w:highlight w:val="none"/>
              </w:rPr>
            </w:pPr>
            <w:r>
              <w:rPr>
                <w:rFonts w:hint="eastAsia" w:ascii="宋体" w:hAnsi="宋体"/>
                <w:color w:val="auto"/>
                <w:kern w:val="0"/>
                <w:highlight w:val="none"/>
              </w:rPr>
              <w:t>…</w:t>
            </w:r>
          </w:p>
        </w:tc>
        <w:tc>
          <w:tcPr>
            <w:tcW w:w="125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33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4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55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c>
          <w:tcPr>
            <w:tcW w:w="10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color w:val="auto"/>
                <w:kern w:val="0"/>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242"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b/>
                <w:color w:val="auto"/>
                <w:kern w:val="0"/>
                <w:highlight w:val="none"/>
              </w:rPr>
            </w:pPr>
            <w:r>
              <w:rPr>
                <w:rFonts w:hint="eastAsia" w:ascii="宋体" w:hAnsi="宋体"/>
                <w:b/>
                <w:color w:val="auto"/>
                <w:kern w:val="0"/>
                <w:highlight w:val="none"/>
              </w:rPr>
              <w:t>其他说明：（如有）</w:t>
            </w:r>
          </w:p>
        </w:tc>
      </w:tr>
    </w:tbl>
    <w:p>
      <w:pPr>
        <w:adjustRightInd w:val="0"/>
        <w:snapToGrid w:val="0"/>
        <w:spacing w:line="360" w:lineRule="auto"/>
        <w:rPr>
          <w:rFonts w:hint="eastAsia" w:ascii="宋体" w:hAnsi="宋体"/>
          <w:color w:val="auto"/>
          <w:highlight w:val="none"/>
        </w:rPr>
      </w:pPr>
      <w:r>
        <w:rPr>
          <w:rFonts w:hint="eastAsia" w:ascii="宋体" w:hAnsi="宋体"/>
          <w:b/>
          <w:color w:val="auto"/>
          <w:kern w:val="0"/>
          <w:highlight w:val="none"/>
        </w:rPr>
        <w:t>注：本表后附对应的人员详细情况表及其为投标人正式员工的证明文件（投标人为其缴纳的社保记录或劳务合同等证明文件，其中社保记录可在资格后审材料中勾注，劳务合同可附在对应的人员详细情况表后）。</w:t>
      </w:r>
    </w:p>
    <w:p>
      <w:pPr>
        <w:adjustRightInd w:val="0"/>
        <w:snapToGrid w:val="0"/>
        <w:spacing w:line="360" w:lineRule="auto"/>
        <w:jc w:val="center"/>
        <w:rPr>
          <w:rFonts w:hint="eastAsia" w:ascii="宋体" w:hAnsi="宋体"/>
          <w:b/>
          <w:color w:val="auto"/>
          <w:highlight w:val="none"/>
        </w:rPr>
      </w:pPr>
    </w:p>
    <w:p>
      <w:pPr>
        <w:adjustRightInd w:val="0"/>
        <w:snapToGrid w:val="0"/>
        <w:spacing w:line="360" w:lineRule="auto"/>
        <w:jc w:val="center"/>
        <w:rPr>
          <w:rFonts w:hint="eastAsia" w:ascii="宋体" w:hAnsi="宋体"/>
          <w:b/>
          <w:color w:val="auto"/>
          <w:highlight w:val="none"/>
        </w:rPr>
      </w:pPr>
      <w:r>
        <w:rPr>
          <w:rFonts w:hint="eastAsia" w:ascii="宋体" w:hAnsi="宋体"/>
          <w:b/>
          <w:color w:val="auto"/>
          <w:highlight w:val="none"/>
        </w:rPr>
        <w:t>(二)拟投入本项目的服务团队人员详细情况表</w:t>
      </w:r>
    </w:p>
    <w:tbl>
      <w:tblPr>
        <w:tblStyle w:val="3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序号</w:t>
            </w:r>
          </w:p>
        </w:tc>
        <w:tc>
          <w:tcPr>
            <w:tcW w:w="6995"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color w:val="auto"/>
                <w:highlight w:val="none"/>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02" w:type="dxa"/>
            <w:gridSpan w:val="5"/>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r>
              <w:rPr>
                <w:rFonts w:hint="eastAsia" w:ascii="宋体" w:hAnsi="宋体"/>
                <w:b/>
                <w:color w:val="auto"/>
                <w:highlight w:val="none"/>
              </w:rPr>
              <w:t xml:space="preserve">                   一般情况</w:t>
            </w:r>
          </w:p>
        </w:tc>
        <w:tc>
          <w:tcPr>
            <w:tcW w:w="141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证明材料</w:t>
            </w: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姓名</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highlight w:val="none"/>
              </w:rPr>
            </w:pPr>
            <w:r>
              <w:rPr>
                <w:rFonts w:hint="eastAsia" w:ascii="宋体" w:hAnsi="宋体"/>
                <w:color w:val="auto"/>
                <w:highlight w:val="none"/>
              </w:rPr>
              <w:t>身份证复印件</w:t>
            </w:r>
          </w:p>
        </w:tc>
        <w:tc>
          <w:tcPr>
            <w:tcW w:w="908" w:type="dxa"/>
            <w:vMerge w:val="restart"/>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年龄</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highlight w:val="none"/>
              </w:rPr>
            </w:pPr>
          </w:p>
        </w:tc>
        <w:tc>
          <w:tcPr>
            <w:tcW w:w="908" w:type="dxa"/>
            <w:vMerge w:val="continue"/>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是否为正式员工</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highlight w:val="none"/>
              </w:rPr>
            </w:pPr>
            <w:r>
              <w:rPr>
                <w:rFonts w:hint="eastAsia" w:ascii="宋体" w:hAnsi="宋体"/>
                <w:color w:val="auto"/>
                <w:highlight w:val="none"/>
              </w:rPr>
              <w:t>社保记录或劳务合同等</w:t>
            </w:r>
          </w:p>
        </w:tc>
        <w:tc>
          <w:tcPr>
            <w:tcW w:w="908" w:type="dxa"/>
            <w:vMerge w:val="restart"/>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在本单位任职时间</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highlight w:val="none"/>
              </w:rPr>
            </w:pPr>
          </w:p>
        </w:tc>
        <w:tc>
          <w:tcPr>
            <w:tcW w:w="908" w:type="dxa"/>
            <w:vMerge w:val="continue"/>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职务（本单位）</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r>
              <w:rPr>
                <w:rFonts w:hint="eastAsia" w:ascii="宋体" w:hAnsi="宋体"/>
                <w:color w:val="auto"/>
                <w:highlight w:val="none"/>
              </w:rPr>
              <w:t>\</w:t>
            </w:r>
          </w:p>
        </w:tc>
        <w:tc>
          <w:tcPr>
            <w:tcW w:w="908" w:type="dxa"/>
            <w:vMerge w:val="restart"/>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r>
              <w:rPr>
                <w:rFonts w:hint="eastAsia" w:ascii="宋体" w:hAnsi="宋体"/>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职务/职责（本项目）</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08" w:type="dxa"/>
            <w:vMerge w:val="continue"/>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学历</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highlight w:val="none"/>
              </w:rPr>
            </w:pPr>
            <w:r>
              <w:rPr>
                <w:rFonts w:hint="eastAsia" w:ascii="宋体" w:hAnsi="宋体"/>
                <w:color w:val="auto"/>
                <w:highlight w:val="none"/>
              </w:rPr>
              <w:t>相关证书复印件</w:t>
            </w:r>
          </w:p>
        </w:tc>
        <w:tc>
          <w:tcPr>
            <w:tcW w:w="908" w:type="dxa"/>
            <w:vMerge w:val="restart"/>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职称及相关专业认证（或执业资格）</w:t>
            </w:r>
          </w:p>
        </w:tc>
        <w:tc>
          <w:tcPr>
            <w:tcW w:w="4669" w:type="dxa"/>
            <w:gridSpan w:val="3"/>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08" w:type="dxa"/>
            <w:vMerge w:val="continue"/>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554" w:type="dxa"/>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r>
              <w:rPr>
                <w:rFonts w:hint="eastAsia" w:ascii="宋体" w:hAnsi="宋体"/>
                <w:b/>
                <w:color w:val="auto"/>
                <w:highlight w:val="none"/>
              </w:rPr>
              <w:t>序号</w:t>
            </w:r>
          </w:p>
        </w:tc>
        <w:tc>
          <w:tcPr>
            <w:tcW w:w="3657" w:type="dxa"/>
            <w:gridSpan w:val="2"/>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项目名称</w:t>
            </w:r>
          </w:p>
        </w:tc>
        <w:tc>
          <w:tcPr>
            <w:tcW w:w="169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合同签订时间</w:t>
            </w:r>
          </w:p>
        </w:tc>
        <w:tc>
          <w:tcPr>
            <w:tcW w:w="993"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该项目中任职</w:t>
            </w:r>
          </w:p>
        </w:tc>
        <w:tc>
          <w:tcPr>
            <w:tcW w:w="141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证明材料</w:t>
            </w: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rPr>
            </w:pPr>
            <w:r>
              <w:rPr>
                <w:rFonts w:hint="eastAsia" w:ascii="宋体" w:hAnsi="宋体"/>
                <w:b/>
                <w:color w:val="auto"/>
                <w:highlight w:val="none"/>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p>
        </w:tc>
        <w:tc>
          <w:tcPr>
            <w:tcW w:w="3657" w:type="dxa"/>
            <w:gridSpan w:val="2"/>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69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93"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r>
              <w:rPr>
                <w:rFonts w:hint="eastAsia" w:ascii="宋体" w:hAnsi="宋体"/>
                <w:color w:val="auto"/>
                <w:highlight w:val="none"/>
              </w:rPr>
              <w:t>按评分办法要求提供合同复印件等</w:t>
            </w: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p>
        </w:tc>
        <w:tc>
          <w:tcPr>
            <w:tcW w:w="3657" w:type="dxa"/>
            <w:gridSpan w:val="2"/>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69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93"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554" w:type="dxa"/>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p>
        </w:tc>
        <w:tc>
          <w:tcPr>
            <w:tcW w:w="3657" w:type="dxa"/>
            <w:gridSpan w:val="2"/>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69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93"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p>
        </w:tc>
        <w:tc>
          <w:tcPr>
            <w:tcW w:w="3657" w:type="dxa"/>
            <w:gridSpan w:val="2"/>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69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93"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color w:val="auto"/>
                <w:highlight w:val="none"/>
              </w:rPr>
            </w:pPr>
          </w:p>
        </w:tc>
        <w:tc>
          <w:tcPr>
            <w:tcW w:w="3657" w:type="dxa"/>
            <w:gridSpan w:val="2"/>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698"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93"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141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c>
          <w:tcPr>
            <w:tcW w:w="908" w:type="dxa"/>
            <w:tcBorders>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olor w:val="auto"/>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highlight w:val="none"/>
              </w:rPr>
            </w:pPr>
            <w:r>
              <w:rPr>
                <w:rFonts w:hint="eastAsia" w:ascii="宋体" w:hAnsi="宋体"/>
                <w:b/>
                <w:color w:val="auto"/>
                <w:highlight w:val="none"/>
              </w:rPr>
              <w:t>备注：</w:t>
            </w:r>
          </w:p>
        </w:tc>
      </w:tr>
    </w:tbl>
    <w:p>
      <w:pPr>
        <w:adjustRightInd w:val="0"/>
        <w:snapToGrid w:val="0"/>
        <w:spacing w:line="360" w:lineRule="auto"/>
        <w:rPr>
          <w:rFonts w:hint="eastAsia" w:ascii="宋体" w:hAnsi="宋体"/>
          <w:b/>
          <w:color w:val="auto"/>
          <w:highlight w:val="none"/>
        </w:rPr>
      </w:pPr>
      <w:r>
        <w:rPr>
          <w:rFonts w:hint="eastAsia" w:ascii="宋体" w:hAnsi="宋体"/>
          <w:b/>
          <w:color w:val="auto"/>
          <w:highlight w:val="none"/>
        </w:rPr>
        <w:t>注：本表后附对应的证明材料；“职称及相关专业认证”、“以往经验”仅在评分办法有对应评分项时填写；具体内容见评分办法。</w:t>
      </w:r>
    </w:p>
    <w:p>
      <w:pPr>
        <w:pStyle w:val="2"/>
        <w:rPr>
          <w:rFonts w:hint="eastAsia" w:ascii="宋体" w:hAnsi="宋体" w:eastAsia="宋体" w:cs="宋体"/>
          <w:b/>
          <w:color w:val="auto"/>
          <w:highlight w:val="none"/>
        </w:rPr>
      </w:pPr>
    </w:p>
    <w:p>
      <w:pPr>
        <w:adjustRightInd w:val="0"/>
        <w:snapToGrid w:val="0"/>
        <w:ind w:firstLine="0" w:firstLineChars="0"/>
        <w:rPr>
          <w:rFonts w:ascii="宋体" w:hAnsi="宋体" w:cs="宋体"/>
          <w:color w:val="auto"/>
          <w:szCs w:val="22"/>
          <w:highlight w:val="none"/>
        </w:rPr>
      </w:pPr>
    </w:p>
    <w:p>
      <w:pPr>
        <w:ind w:left="-720" w:right="-965" w:firstLine="0" w:firstLineChars="0"/>
        <w:jc w:val="center"/>
        <w:rPr>
          <w:rFonts w:ascii="宋体" w:hAnsi="宋体" w:cs="宋体"/>
          <w:b/>
          <w:bCs/>
          <w:color w:val="auto"/>
          <w:spacing w:val="30"/>
          <w:highlight w:val="none"/>
        </w:rPr>
      </w:pPr>
    </w:p>
    <w:bookmarkEnd w:id="86"/>
    <w:bookmarkEnd w:id="87"/>
    <w:bookmarkEnd w:id="88"/>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20" w:type="default"/>
          <w:footerReference r:id="rId21" w:type="even"/>
          <w:pgSz w:w="11906" w:h="16838"/>
          <w:pgMar w:top="1440" w:right="1106" w:bottom="1440" w:left="1622" w:header="851" w:footer="851" w:gutter="0"/>
          <w:pgNumType w:fmt="decimal"/>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七</w:t>
      </w:r>
      <w:r>
        <w:rPr>
          <w:rFonts w:hint="eastAsia" w:ascii="宋体" w:hAnsi="宋体" w:cs="宋体"/>
          <w:color w:val="auto"/>
          <w:highlight w:val="none"/>
        </w:rPr>
        <w:t xml:space="preserve">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pgNumType w:fmt="decimal"/>
          <w:cols w:space="720" w:num="1"/>
          <w:docGrid w:linePitch="271" w:charSpace="0"/>
        </w:sectPr>
      </w:pP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八</w:t>
      </w:r>
      <w:r>
        <w:rPr>
          <w:rFonts w:hint="eastAsia" w:ascii="宋体" w:hAnsi="宋体" w:cs="宋体"/>
          <w:color w:val="auto"/>
          <w:highlight w:val="none"/>
        </w:rPr>
        <w:t xml:space="preserve">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lang w:eastAsia="zh-CN"/>
        </w:rPr>
        <w:t>杭州文一教育发展有限公司</w:t>
      </w:r>
      <w:r>
        <w:rPr>
          <w:rFonts w:hint="eastAsia" w:ascii="宋体" w:hAnsi="宋体" w:cs="宋体"/>
          <w:color w:val="auto"/>
          <w:spacing w:val="-6"/>
          <w:highlight w:val="none"/>
          <w:u w:val="single"/>
        </w:rPr>
        <w:t>、浙江五石工程咨询有限公司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（投标人名称）系中华人民共和国合法企业，经营地址</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我方愿意参加贵方组织的</w:t>
      </w:r>
      <w:r>
        <w:rPr>
          <w:rFonts w:hint="eastAsia" w:ascii="宋体" w:hAnsi="宋体" w:cs="宋体"/>
          <w:color w:val="auto"/>
          <w:spacing w:val="-6"/>
          <w:highlight w:val="none"/>
          <w:lang w:eastAsia="zh-CN"/>
        </w:rPr>
        <w:t>杭州文一教育发展有限公司</w:t>
      </w:r>
      <w:r>
        <w:rPr>
          <w:rFonts w:hint="eastAsia" w:ascii="宋体" w:hAnsi="宋体" w:cs="宋体"/>
          <w:color w:val="auto"/>
          <w:spacing w:val="-6"/>
          <w:highlight w:val="none"/>
        </w:rPr>
        <w:t xml:space="preserve"> </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7"/>
        <w:ind w:firstLine="456"/>
        <w:rPr>
          <w:rFonts w:ascii="宋体" w:hAnsi="宋体" w:cs="宋体"/>
          <w:color w:val="auto"/>
          <w:spacing w:val="-6"/>
          <w:szCs w:val="24"/>
          <w:highlight w:val="none"/>
        </w:rPr>
      </w:pPr>
    </w:p>
    <w:p>
      <w:pPr>
        <w:pStyle w:val="137"/>
        <w:ind w:firstLine="456"/>
        <w:rPr>
          <w:rFonts w:ascii="宋体" w:hAnsi="宋体" w:cs="宋体"/>
          <w:color w:val="auto"/>
          <w:spacing w:val="-6"/>
          <w:szCs w:val="24"/>
          <w:highlight w:val="none"/>
        </w:rPr>
      </w:pPr>
    </w:p>
    <w:p>
      <w:pPr>
        <w:pStyle w:val="137"/>
        <w:ind w:firstLine="456"/>
        <w:rPr>
          <w:rFonts w:ascii="宋体" w:hAnsi="宋体" w:cs="宋体"/>
          <w:color w:val="auto"/>
          <w:spacing w:val="-6"/>
          <w:szCs w:val="24"/>
          <w:highlight w:val="none"/>
        </w:rPr>
      </w:pPr>
    </w:p>
    <w:p>
      <w:pPr>
        <w:pStyle w:val="137"/>
        <w:ind w:firstLine="456"/>
        <w:rPr>
          <w:rFonts w:ascii="宋体" w:hAnsi="宋体" w:cs="宋体"/>
          <w:color w:val="auto"/>
          <w:spacing w:val="-6"/>
          <w:szCs w:val="24"/>
          <w:highlight w:val="none"/>
        </w:rPr>
      </w:pPr>
    </w:p>
    <w:p>
      <w:pPr>
        <w:pStyle w:val="137"/>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ind w:firstLine="480"/>
        <w:rPr>
          <w:rFonts w:ascii="宋体" w:hAnsi="宋体" w:cs="宋体"/>
          <w:color w:val="auto"/>
          <w:highlight w:val="none"/>
        </w:rPr>
      </w:pPr>
    </w:p>
    <w:p>
      <w:pPr>
        <w:ind w:firstLine="480"/>
        <w:rPr>
          <w:rFonts w:ascii="宋体" w:hAnsi="宋体" w:cs="宋体"/>
          <w:iCs/>
          <w:color w:val="auto"/>
          <w:szCs w:val="40"/>
          <w:highlight w:val="none"/>
        </w:rPr>
      </w:pPr>
    </w:p>
    <w:p>
      <w:pPr>
        <w:rPr>
          <w:rFonts w:hint="eastAsia"/>
          <w:color w:val="auto"/>
          <w:highlight w:val="none"/>
        </w:rPr>
      </w:pPr>
    </w:p>
    <w:p>
      <w:pPr>
        <w:pStyle w:val="6"/>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hint="eastAsia" w:ascii="宋体" w:hAnsi="宋体"/>
          <w:b/>
          <w:color w:val="auto"/>
          <w:spacing w:val="-6"/>
          <w:highlight w:val="none"/>
        </w:rPr>
      </w:pPr>
    </w:p>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pPr>
      <w:r>
        <w:rPr>
          <w:rFonts w:hint="eastAsia" w:ascii="宋体" w:hAnsi="宋体" w:cs="宋体"/>
          <w:color w:val="auto"/>
          <w:sz w:val="40"/>
          <w:highlight w:val="none"/>
        </w:rPr>
        <w:br w:type="page"/>
      </w:r>
      <w:r>
        <w:rPr>
          <w:rFonts w:hint="eastAsia" w:ascii="宋体" w:hAnsi="宋体" w:cs="宋体"/>
          <w:iCs/>
          <w:color w:val="auto"/>
          <w:highlight w:val="none"/>
        </w:rPr>
        <w:t xml:space="preserve">附件十 </w:t>
      </w:r>
      <w:r>
        <w:rPr>
          <w:rFonts w:hint="eastAsia" w:ascii="宋体" w:hAnsi="宋体" w:cs="宋体"/>
          <w:iCs/>
          <w:color w:val="auto"/>
          <w:highlight w:val="none"/>
          <w:lang w:eastAsia="zh-CN"/>
        </w:rPr>
        <w:t>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杭州文一教育发展有限公司</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6"/>
        <w:rPr>
          <w:rFonts w:hint="eastAsia" w:ascii="宋体" w:hAnsi="宋体"/>
          <w:color w:val="auto"/>
          <w:spacing w:val="-6"/>
          <w:highlight w:val="none"/>
        </w:rPr>
      </w:pPr>
      <w:r>
        <w:rPr>
          <w:rFonts w:hint="eastAsia" w:ascii="宋体" w:hAnsi="宋体"/>
          <w:color w:val="auto"/>
          <w:spacing w:val="-6"/>
          <w:highlight w:val="none"/>
        </w:rPr>
        <w:t>投标方全称（盖章）：</w:t>
      </w:r>
    </w:p>
    <w:p>
      <w:pPr>
        <w:ind w:firstLine="480" w:firstLineChars="200"/>
        <w:rPr>
          <w:color w:val="auto"/>
          <w:highlight w:val="none"/>
        </w:rPr>
      </w:pPr>
      <w:r>
        <w:rPr>
          <w:rFonts w:hint="eastAsia" w:ascii="宋体" w:hAnsi="宋体" w:cs="宋体"/>
          <w:color w:val="auto"/>
          <w:highlight w:val="none"/>
        </w:rPr>
        <w:t>法定代表人（签字或签章）：</w:t>
      </w:r>
    </w:p>
    <w:p>
      <w:pPr>
        <w:ind w:right="456" w:firstLine="456"/>
        <w:rPr>
          <w:rFonts w:hint="eastAsia" w:ascii="宋体" w:hAnsi="宋体"/>
          <w:bCs/>
          <w:color w:val="auto"/>
          <w:spacing w:val="-6"/>
          <w:highlight w:val="none"/>
        </w:rPr>
      </w:pPr>
      <w:r>
        <w:rPr>
          <w:rFonts w:hint="eastAsia" w:ascii="宋体" w:hAnsi="宋体"/>
          <w:bCs/>
          <w:color w:val="auto"/>
          <w:spacing w:val="-6"/>
          <w:highlight w:val="none"/>
        </w:rPr>
        <w:t xml:space="preserve">日期：  </w:t>
      </w:r>
      <w:r>
        <w:rPr>
          <w:rFonts w:ascii="宋体" w:hAnsi="宋体"/>
          <w:bCs/>
          <w:color w:val="auto"/>
          <w:spacing w:val="-6"/>
          <w:highlight w:val="none"/>
        </w:rPr>
        <w:t xml:space="preserve">  </w:t>
      </w:r>
      <w:r>
        <w:rPr>
          <w:rFonts w:hint="eastAsia" w:ascii="宋体" w:hAnsi="宋体"/>
          <w:bCs/>
          <w:color w:val="auto"/>
          <w:spacing w:val="-6"/>
          <w:highlight w:val="none"/>
        </w:rPr>
        <w:t>年  月  日</w:t>
      </w:r>
    </w:p>
    <w:p>
      <w:pPr>
        <w:pStyle w:val="14"/>
        <w:rPr>
          <w:rFonts w:hint="eastAsia" w:ascii="宋体" w:hAnsi="宋体"/>
          <w:bCs/>
          <w:color w:val="auto"/>
          <w:spacing w:val="-6"/>
          <w:highlight w:val="none"/>
        </w:rPr>
      </w:pPr>
    </w:p>
    <w:p>
      <w:pPr>
        <w:pStyle w:val="14"/>
        <w:rPr>
          <w:rFonts w:hint="eastAsia" w:ascii="宋体" w:hAnsi="宋体"/>
          <w:bCs/>
          <w:color w:val="auto"/>
          <w:spacing w:val="-6"/>
          <w:highlight w:val="none"/>
        </w:rPr>
        <w:sectPr>
          <w:pgSz w:w="11907" w:h="16840"/>
          <w:pgMar w:top="1247" w:right="1304" w:bottom="1021" w:left="1304" w:header="720" w:footer="720" w:gutter="0"/>
          <w:pgNumType w:fmt="decimal"/>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杭州文一教育发展有限公司</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（投标方全称）法定代表人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一</w:t>
      </w:r>
      <w:r>
        <w:rPr>
          <w:rFonts w:hint="eastAsia" w:ascii="宋体" w:hAnsi="宋体" w:cs="宋体"/>
          <w:color w:val="auto"/>
          <w:highlight w:val="none"/>
        </w:rPr>
        <w:t xml:space="preserve">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杭州文一教育发展有限公司</w:t>
      </w:r>
      <w:r>
        <w:rPr>
          <w:rFonts w:hint="eastAsia" w:ascii="宋体" w:hAnsi="宋体" w:cs="宋体"/>
          <w:color w:val="auto"/>
          <w:highlight w:val="none"/>
        </w:rPr>
        <w:t>：</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lang w:eastAsia="zh-CN"/>
        </w:rPr>
        <w:t xml:space="preserve"> </w:t>
      </w:r>
      <w:r>
        <w:rPr>
          <w:rFonts w:hint="eastAsia" w:ascii="宋体" w:hAnsi="宋体" w:cs="宋体"/>
          <w:color w:val="auto"/>
          <w:highlight w:val="none"/>
        </w:rPr>
        <w:t>年  月  日</w:t>
      </w:r>
    </w:p>
    <w:p>
      <w:pPr>
        <w:ind w:firstLine="480"/>
        <w:rPr>
          <w:rFonts w:ascii="宋体" w:hAnsi="宋体" w:cs="宋体"/>
          <w:color w:val="auto"/>
          <w:szCs w:val="40"/>
          <w:highlight w:val="none"/>
        </w:rPr>
        <w:sectPr>
          <w:pgSz w:w="11907" w:h="16840"/>
          <w:pgMar w:top="1247" w:right="1304" w:bottom="1021" w:left="1304" w:header="720" w:footer="720" w:gutter="0"/>
          <w:pgNumType w:fmt="decimal"/>
          <w:cols w:space="720" w:num="1"/>
          <w:docGrid w:linePitch="286" w:charSpace="0"/>
        </w:sectPr>
      </w:pPr>
    </w:p>
    <w:p>
      <w:pPr>
        <w:pStyle w:val="6"/>
        <w:rPr>
          <w:color w:val="auto"/>
          <w:highlight w:val="none"/>
        </w:rPr>
      </w:pPr>
      <w:r>
        <w:rPr>
          <w:rFonts w:hint="eastAsia" w:ascii="宋体" w:hAnsi="宋体" w:cs="宋体"/>
          <w:iCs/>
          <w:color w:val="auto"/>
          <w:highlight w:val="none"/>
        </w:rPr>
        <w:t>附件十</w:t>
      </w:r>
      <w:r>
        <w:rPr>
          <w:rFonts w:hint="eastAsia" w:ascii="宋体" w:hAnsi="宋体" w:cs="宋体"/>
          <w:iCs/>
          <w:color w:val="auto"/>
          <w:highlight w:val="none"/>
          <w:lang w:val="en-US" w:eastAsia="zh-CN"/>
        </w:rPr>
        <w:t>二</w:t>
      </w:r>
      <w:r>
        <w:rPr>
          <w:rFonts w:hint="eastAsia" w:ascii="宋体" w:hAnsi="宋体" w:cs="宋体"/>
          <w:iCs/>
          <w:color w:val="auto"/>
          <w:highlight w:val="none"/>
        </w:rPr>
        <w:t xml:space="preserve"> </w:t>
      </w:r>
      <w:r>
        <w:rPr>
          <w:color w:val="auto"/>
          <w:highlight w:val="none"/>
        </w:rPr>
        <w:t>供货单位产品质量、配送服务承诺书</w:t>
      </w:r>
    </w:p>
    <w:p>
      <w:pPr>
        <w:rPr>
          <w:color w:val="auto"/>
          <w:highlight w:val="none"/>
        </w:rPr>
      </w:pPr>
    </w:p>
    <w:p>
      <w:pPr>
        <w:spacing w:line="360" w:lineRule="auto"/>
        <w:ind w:firstLine="482" w:firstLineChars="200"/>
        <w:rPr>
          <w:rFonts w:ascii="宋体" w:hAnsi="宋体"/>
          <w:b/>
          <w:color w:val="auto"/>
          <w:sz w:val="24"/>
          <w:highlight w:val="none"/>
          <w:u w:val="single"/>
        </w:rPr>
      </w:pPr>
      <w:r>
        <w:rPr>
          <w:rFonts w:hint="eastAsia" w:ascii="宋体" w:hAnsi="宋体"/>
          <w:b/>
          <w:color w:val="auto"/>
          <w:sz w:val="24"/>
          <w:highlight w:val="none"/>
          <w:u w:val="single"/>
        </w:rPr>
        <w:t>杭州文一教育发展有限公司：</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为保证高校</w:t>
      </w:r>
      <w:r>
        <w:rPr>
          <w:rFonts w:hint="eastAsia" w:ascii="宋体" w:hAnsi="宋体"/>
          <w:color w:val="auto"/>
          <w:sz w:val="24"/>
          <w:highlight w:val="none"/>
        </w:rPr>
        <w:t>维修材料</w:t>
      </w:r>
      <w:r>
        <w:rPr>
          <w:rFonts w:ascii="宋体" w:hAnsi="宋体"/>
          <w:color w:val="auto"/>
          <w:sz w:val="24"/>
          <w:highlight w:val="none"/>
        </w:rPr>
        <w:t>物资的产品配送品质及做好售后服务工作，构建和谐、双赢的供需关系，接受社会监督，承担社会责任,根据《中华人民共和国消费者权益保护法》等法律法规的规定，本单位承诺如下：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1、本单位要站在维护高校稳定的大局，本着诚信服务的原则，严格按照国家法律法规及产品所约定的标准进行配送，确保配送产品的品质稳定性。</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2、保证本单位所配送的产品技术指标符合国家相关标准和合同约定要求。</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3、本单位对产品的生产过程将进行严格的监督，重视技术培训，能及时提供产品品质监控台账和相关检测报告。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4、本单位对</w:t>
      </w:r>
      <w:r>
        <w:rPr>
          <w:rFonts w:hint="eastAsia" w:ascii="宋体" w:hAnsi="宋体"/>
          <w:color w:val="auto"/>
          <w:sz w:val="24"/>
          <w:highlight w:val="none"/>
        </w:rPr>
        <w:t>贵单位</w:t>
      </w:r>
      <w:r>
        <w:rPr>
          <w:rFonts w:ascii="宋体" w:hAnsi="宋体"/>
          <w:color w:val="auto"/>
          <w:sz w:val="24"/>
          <w:highlight w:val="none"/>
        </w:rPr>
        <w:t>产品使用意见高度重视，接到电话等投诉后，保证及时快速</w:t>
      </w:r>
      <w:r>
        <w:rPr>
          <w:rFonts w:hint="eastAsia" w:ascii="宋体" w:hAnsi="宋体"/>
          <w:color w:val="auto"/>
          <w:sz w:val="24"/>
          <w:highlight w:val="none"/>
        </w:rPr>
        <w:t>地</w:t>
      </w:r>
      <w:r>
        <w:rPr>
          <w:rFonts w:ascii="宋体" w:hAnsi="宋体"/>
          <w:color w:val="auto"/>
          <w:sz w:val="24"/>
          <w:highlight w:val="none"/>
        </w:rPr>
        <w:t>进行售后处理。</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5、</w:t>
      </w:r>
      <w:r>
        <w:rPr>
          <w:rFonts w:ascii="宋体" w:hAnsi="宋体"/>
          <w:b/>
          <w:color w:val="auto"/>
          <w:sz w:val="24"/>
          <w:highlight w:val="none"/>
        </w:rPr>
        <w:t>本单位产品售后服务热线（固话）：</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rPr>
        <w:t>；</w:t>
      </w:r>
    </w:p>
    <w:p>
      <w:pPr>
        <w:spacing w:line="360" w:lineRule="auto"/>
        <w:ind w:firstLine="843" w:firstLineChars="350"/>
        <w:rPr>
          <w:rFonts w:ascii="宋体" w:hAnsi="宋体"/>
          <w:b/>
          <w:color w:val="auto"/>
          <w:sz w:val="24"/>
          <w:highlight w:val="none"/>
        </w:rPr>
      </w:pPr>
      <w:r>
        <w:rPr>
          <w:rFonts w:ascii="宋体" w:hAnsi="宋体"/>
          <w:b/>
          <w:color w:val="auto"/>
          <w:sz w:val="24"/>
          <w:highlight w:val="none"/>
        </w:rPr>
        <w:t>本单位产品售后服务联系人姓名：</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rPr>
        <w:t>；手机：</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ascii="宋体" w:hAnsi="宋体"/>
          <w:b/>
          <w:color w:val="auto"/>
          <w:sz w:val="24"/>
          <w:highlight w:val="none"/>
        </w:rPr>
        <w:t>。</w:t>
      </w:r>
    </w:p>
    <w:p>
      <w:pPr>
        <w:spacing w:line="360" w:lineRule="auto"/>
        <w:ind w:firstLine="843" w:firstLineChars="350"/>
        <w:rPr>
          <w:rFonts w:ascii="宋体" w:hAnsi="宋体"/>
          <w:b/>
          <w:color w:val="auto"/>
          <w:sz w:val="24"/>
          <w:highlight w:val="none"/>
        </w:rPr>
      </w:pPr>
      <w:r>
        <w:rPr>
          <w:rFonts w:hint="eastAsia" w:ascii="宋体" w:hAnsi="宋体"/>
          <w:b/>
          <w:color w:val="auto"/>
          <w:sz w:val="24"/>
          <w:highlight w:val="none"/>
        </w:rPr>
        <w:t>本单位工作邮箱：</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6、严格依照消费者权益保护法等相关法律从事经营活动，如销售出去的</w:t>
      </w:r>
      <w:r>
        <w:rPr>
          <w:rFonts w:hint="eastAsia" w:ascii="宋体" w:hAnsi="宋体"/>
          <w:color w:val="auto"/>
          <w:sz w:val="24"/>
          <w:highlight w:val="none"/>
        </w:rPr>
        <w:t>维修材料</w:t>
      </w:r>
      <w:r>
        <w:rPr>
          <w:rFonts w:ascii="宋体" w:hAnsi="宋体"/>
          <w:color w:val="auto"/>
          <w:sz w:val="24"/>
          <w:highlight w:val="none"/>
        </w:rPr>
        <w:t>出现品质问题，我们愿意承担一切法律责任并接受合同约定处罚。</w:t>
      </w:r>
    </w:p>
    <w:p>
      <w:pPr>
        <w:spacing w:line="360" w:lineRule="auto"/>
        <w:ind w:firstLine="480" w:firstLineChars="200"/>
        <w:rPr>
          <w:rFonts w:ascii="宋体" w:hAnsi="宋体"/>
          <w:color w:val="auto"/>
          <w:sz w:val="24"/>
          <w:highlight w:val="none"/>
        </w:rPr>
      </w:pPr>
      <w:r>
        <w:rPr>
          <w:rFonts w:ascii="宋体" w:hAnsi="宋体"/>
          <w:color w:val="auto"/>
          <w:sz w:val="24"/>
          <w:highlight w:val="none"/>
        </w:rPr>
        <w:t>本协议作为供应合同的附件，</w:t>
      </w:r>
      <w:r>
        <w:rPr>
          <w:rFonts w:hint="eastAsia" w:ascii="宋体" w:hAnsi="宋体" w:cs="宋体"/>
          <w:bCs/>
          <w:color w:val="auto"/>
          <w:sz w:val="24"/>
          <w:highlight w:val="none"/>
        </w:rPr>
        <w:t>一式肆份，由甲方执叄份、乙方执壹份，</w:t>
      </w:r>
      <w:r>
        <w:rPr>
          <w:rFonts w:ascii="宋体" w:hAnsi="宋体"/>
          <w:color w:val="auto"/>
          <w:sz w:val="24"/>
          <w:highlight w:val="none"/>
        </w:rPr>
        <w:t>有效期与</w:t>
      </w:r>
      <w:r>
        <w:rPr>
          <w:rFonts w:hint="eastAsia" w:ascii="宋体" w:hAnsi="宋体"/>
          <w:color w:val="auto"/>
          <w:sz w:val="24"/>
          <w:highlight w:val="none"/>
        </w:rPr>
        <w:t>供应合同</w:t>
      </w:r>
      <w:r>
        <w:rPr>
          <w:rFonts w:ascii="宋体" w:hAnsi="宋体"/>
          <w:color w:val="auto"/>
          <w:sz w:val="24"/>
          <w:highlight w:val="none"/>
        </w:rPr>
        <w:t>同步。</w:t>
      </w:r>
    </w:p>
    <w:p>
      <w:pPr>
        <w:pStyle w:val="2"/>
        <w:rPr>
          <w:color w:val="auto"/>
          <w:highlight w:val="none"/>
        </w:rPr>
      </w:pPr>
    </w:p>
    <w:p>
      <w:pPr>
        <w:spacing w:line="360" w:lineRule="auto"/>
        <w:ind w:firstLine="3480" w:firstLineChars="1450"/>
        <w:rPr>
          <w:rFonts w:ascii="宋体" w:hAnsi="宋体"/>
          <w:color w:val="auto"/>
          <w:sz w:val="24"/>
          <w:highlight w:val="none"/>
        </w:rPr>
      </w:pPr>
      <w:r>
        <w:rPr>
          <w:rFonts w:ascii="宋体" w:hAnsi="宋体"/>
          <w:color w:val="auto"/>
          <w:sz w:val="24"/>
          <w:highlight w:val="none"/>
        </w:rPr>
        <w:t>承诺单位名称（盖章）：</w:t>
      </w:r>
    </w:p>
    <w:p>
      <w:pPr>
        <w:pStyle w:val="2"/>
        <w:rPr>
          <w:color w:val="auto"/>
          <w:highlight w:val="none"/>
        </w:rPr>
      </w:pPr>
    </w:p>
    <w:p>
      <w:pPr>
        <w:spacing w:line="360" w:lineRule="auto"/>
        <w:ind w:firstLine="3480" w:firstLineChars="1450"/>
        <w:rPr>
          <w:color w:val="auto"/>
          <w:highlight w:val="none"/>
        </w:rPr>
      </w:pPr>
      <w:r>
        <w:rPr>
          <w:rFonts w:ascii="宋体" w:hAnsi="宋体"/>
          <w:color w:val="auto"/>
          <w:sz w:val="24"/>
          <w:highlight w:val="none"/>
        </w:rPr>
        <w:t>单位负责人签字：</w:t>
      </w:r>
    </w:p>
    <w:p>
      <w:pPr>
        <w:pStyle w:val="2"/>
        <w:rPr>
          <w:color w:val="auto"/>
          <w:highlight w:val="none"/>
        </w:rPr>
      </w:pPr>
    </w:p>
    <w:p>
      <w:pPr>
        <w:spacing w:line="360" w:lineRule="auto"/>
        <w:ind w:firstLine="3480" w:firstLineChars="1450"/>
        <w:rPr>
          <w:rFonts w:ascii="宋体" w:hAnsi="宋体"/>
          <w:color w:val="auto"/>
          <w:sz w:val="24"/>
          <w:highlight w:val="none"/>
        </w:rPr>
      </w:pPr>
      <w:r>
        <w:rPr>
          <w:rFonts w:ascii="宋体" w:hAnsi="宋体"/>
          <w:color w:val="auto"/>
          <w:sz w:val="24"/>
          <w:highlight w:val="none"/>
        </w:rPr>
        <w:t>签订时间     年   月   日</w:t>
      </w:r>
    </w:p>
    <w:p>
      <w:pPr>
        <w:ind w:left="0" w:leftChars="0" w:firstLine="0" w:firstLineChars="0"/>
        <w:rPr>
          <w:color w:val="auto"/>
          <w:highlight w:val="none"/>
        </w:rPr>
      </w:pPr>
    </w:p>
    <w:p>
      <w:pPr>
        <w:ind w:left="0" w:leftChars="0" w:firstLine="0" w:firstLineChars="0"/>
        <w:rPr>
          <w:rFonts w:hint="eastAsia" w:hAnsi="宋体"/>
          <w:b/>
          <w:color w:val="auto"/>
          <w:spacing w:val="-6"/>
          <w:highlight w:val="none"/>
        </w:rPr>
      </w:pPr>
    </w:p>
    <w:p>
      <w:pPr>
        <w:jc w:val="center"/>
        <w:rPr>
          <w:rFonts w:hAnsi="宋体"/>
          <w:b/>
          <w:color w:val="auto"/>
          <w:spacing w:val="-6"/>
          <w:sz w:val="32"/>
          <w:szCs w:val="32"/>
          <w:highlight w:val="none"/>
        </w:rPr>
      </w:pPr>
      <w:r>
        <w:rPr>
          <w:rFonts w:hAnsi="宋体"/>
          <w:b/>
          <w:color w:val="auto"/>
          <w:spacing w:val="-6"/>
          <w:sz w:val="32"/>
          <w:szCs w:val="32"/>
          <w:highlight w:val="none"/>
        </w:rPr>
        <w:br w:type="page"/>
      </w:r>
      <w:r>
        <w:rPr>
          <w:rFonts w:hint="eastAsia" w:ascii="宋体" w:hAnsi="宋体"/>
          <w:color w:val="auto"/>
          <w:sz w:val="24"/>
          <w:highlight w:val="none"/>
        </w:rPr>
        <w:t>质量监控督查及违约责任承担细则</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45"/>
        <w:gridCol w:w="449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检查项目</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项目明细</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处罚规定</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restart"/>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送货时间</w:t>
            </w:r>
          </w:p>
        </w:tc>
        <w:tc>
          <w:tcPr>
            <w:tcW w:w="1545" w:type="dxa"/>
            <w:vMerge w:val="restart"/>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为报货后按合同约定时间内货物送达；有特殊送货时间要求，以双方约定为准。</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迟到1小时内罚款200元，计入供货商考评。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迟到1-2小时，罚款500元，计入供货商考评。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迟到2小时以上，罚款1000元，并进行书面警告，计入供货商考评。</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合同期内累计迟到3次以上或对正常维修工作造成严重影响的，采购人有权终止供应合同扣除履约保证金。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8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vMerge w:val="continue"/>
            <w:noWrap w:val="0"/>
            <w:vAlign w:val="center"/>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如送货、报价时间超过24小时或以各种理由不送货的（如：缺货、断货），由采购人自行采购的，差价在履约保证金中扣除并处以罚款2000元。</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迟到以按合同约定时间后开始计时、以到仓库门口或指定地点为准。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pStyle w:val="2"/>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color w:val="auto"/>
                <w:sz w:val="21"/>
                <w:szCs w:val="21"/>
                <w:highlight w:val="none"/>
              </w:rPr>
              <w:t>数量规定</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未满足采购人订货量</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采购人有权对供货商进行处罚，处罚金额为：单品定货量乘以单品价格即为处罚金额同时按订货量补足。（4小时内完成，应急货物根据用户的要求）</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以订单为准。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超出采购人订货量</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超出部分可以不验收。</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以订单为准。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pStyle w:val="2"/>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color w:val="auto"/>
                <w:sz w:val="21"/>
                <w:szCs w:val="21"/>
                <w:highlight w:val="none"/>
              </w:rPr>
              <w:t>质量约定</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出现质量和样品不一致或不符合报单规格要求</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供应商无条件退换货，根据服务态度及换货及时性，第一次给予警告，取消该品种配送资格；若连续出现两次，采购人可以处罚200-500元并取消50%的配送品种。合同期内若累计出现三次采购人有权终止供应合同并没收全部履约保证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材料验收由采购人人员与中标方配送人员现场检收、签字确认。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如使用中发生因质量破损的</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供应商无条件退换货，质保期重新计算</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以重新安装日起开始计算。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top"/>
          </w:tcPr>
          <w:p>
            <w:pPr>
              <w:pStyle w:val="2"/>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质量产生争议</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双方现场取样送第三方专业检测机构检测，合格：采购人承担检测费；不合格：检测费有中标方承担并扣除50%的履约保证金，确认为假冒产品的采购人有权立即终止合同没收全部履约保证金，</w:t>
            </w:r>
            <w:r>
              <w:rPr>
                <w:rFonts w:hint="eastAsia" w:ascii="宋体" w:hAnsi="宋体"/>
                <w:snapToGrid w:val="0"/>
                <w:color w:val="auto"/>
                <w:kern w:val="0"/>
                <w:sz w:val="21"/>
                <w:szCs w:val="21"/>
                <w:highlight w:val="none"/>
              </w:rPr>
              <w:t>取消中标方及法定代表人五年在采购人的投标资格并赔偿采购人的经济损失。</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s="宋体"/>
                <w:color w:val="auto"/>
                <w:sz w:val="21"/>
                <w:szCs w:val="21"/>
                <w:highlight w:val="none"/>
              </w:rPr>
              <w:t>以第三方检测为准。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keepNext w:val="0"/>
              <w:keepLines w:val="0"/>
              <w:pageBreakBefore w:val="0"/>
              <w:widowControl w:val="0"/>
              <w:kinsoku/>
              <w:wordWrap/>
              <w:overflowPunct/>
              <w:topLinePunct w:val="0"/>
              <w:bidi w:val="0"/>
              <w:snapToGrid/>
              <w:ind w:firstLine="0" w:firstLineChars="0"/>
              <w:jc w:val="center"/>
              <w:textAlignment w:val="auto"/>
              <w:rPr>
                <w:rFonts w:hint="eastAsia"/>
                <w:color w:val="auto"/>
                <w:sz w:val="21"/>
                <w:szCs w:val="21"/>
                <w:highlight w:val="none"/>
              </w:rPr>
            </w:pPr>
            <w:r>
              <w:rPr>
                <w:rFonts w:hint="eastAsia" w:ascii="宋体" w:hAnsi="宋体"/>
                <w:color w:val="auto"/>
                <w:sz w:val="21"/>
                <w:szCs w:val="21"/>
                <w:highlight w:val="none"/>
              </w:rPr>
              <w:t>其他突发事件</w:t>
            </w:r>
          </w:p>
        </w:tc>
        <w:tc>
          <w:tcPr>
            <w:tcW w:w="1545"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服务及应急预案相应措施</w:t>
            </w:r>
          </w:p>
        </w:tc>
        <w:tc>
          <w:tcPr>
            <w:tcW w:w="4491"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因（天气、交通）等因素造成的突发事件，如能及时采取应急预案，不影响采购人正常工作的情况下不作处罚。若不采取应急预案，采购人有权终止合同并扣除全部合同履约保证金、再按履约保证金的50%-100%作为赔偿金。</w:t>
            </w:r>
          </w:p>
        </w:tc>
        <w:tc>
          <w:tcPr>
            <w:tcW w:w="2407" w:type="dxa"/>
            <w:noWrap w:val="0"/>
            <w:vAlign w:val="center"/>
          </w:tcPr>
          <w:p>
            <w:pPr>
              <w:keepNext w:val="0"/>
              <w:keepLines w:val="0"/>
              <w:pageBreakBefore w:val="0"/>
              <w:widowControl w:val="0"/>
              <w:kinsoku/>
              <w:wordWrap/>
              <w:overflowPunct/>
              <w:topLinePunct w:val="0"/>
              <w:bidi w:val="0"/>
              <w:snapToGrid/>
              <w:ind w:firstLine="0" w:firstLineChars="0"/>
              <w:textAlignment w:val="auto"/>
              <w:rPr>
                <w:rFonts w:hint="eastAsia"/>
                <w:color w:val="auto"/>
                <w:sz w:val="21"/>
                <w:szCs w:val="21"/>
                <w:highlight w:val="none"/>
              </w:rPr>
            </w:pPr>
            <w:r>
              <w:rPr>
                <w:rFonts w:hint="eastAsia" w:ascii="宋体" w:hAnsi="宋体"/>
                <w:color w:val="auto"/>
                <w:sz w:val="21"/>
                <w:szCs w:val="21"/>
                <w:highlight w:val="none"/>
              </w:rPr>
              <w:t>细则见合同与招投标文件。</w:t>
            </w:r>
          </w:p>
        </w:tc>
      </w:tr>
    </w:tbl>
    <w:p>
      <w:pPr>
        <w:rPr>
          <w:rFonts w:hint="eastAsia" w:hAnsi="宋体"/>
          <w:b/>
          <w:color w:val="auto"/>
          <w:spacing w:val="-6"/>
          <w:sz w:val="32"/>
          <w:szCs w:val="32"/>
          <w:highlight w:val="none"/>
        </w:rPr>
      </w:pPr>
    </w:p>
    <w:p>
      <w:pPr>
        <w:bidi w:val="0"/>
        <w:rPr>
          <w:rFonts w:hint="eastAsia"/>
          <w:color w:val="auto"/>
          <w:highlight w:val="none"/>
        </w:rPr>
      </w:pPr>
    </w:p>
    <w:p>
      <w:pPr>
        <w:snapToGrid w:val="0"/>
        <w:spacing w:before="50" w:after="120" w:afterLines="50" w:line="288" w:lineRule="auto"/>
        <w:rPr>
          <w:rStyle w:val="54"/>
          <w:rFonts w:hint="eastAsia"/>
          <w:color w:val="auto"/>
          <w:highlight w:val="none"/>
        </w:rPr>
      </w:pPr>
      <w:r>
        <w:rPr>
          <w:rFonts w:hint="eastAsia" w:ascii="宋体" w:hAnsi="宋体" w:cs="宋体"/>
          <w:color w:val="auto"/>
          <w:szCs w:val="22"/>
          <w:highlight w:val="none"/>
        </w:rPr>
        <w:br w:type="page"/>
      </w:r>
      <w:r>
        <w:rPr>
          <w:rStyle w:val="54"/>
          <w:rFonts w:hint="eastAsia"/>
          <w:color w:val="auto"/>
          <w:highlight w:val="none"/>
        </w:rPr>
        <w:t>附件十</w:t>
      </w:r>
      <w:r>
        <w:rPr>
          <w:rStyle w:val="54"/>
          <w:rFonts w:hint="eastAsia"/>
          <w:color w:val="auto"/>
          <w:highlight w:val="none"/>
          <w:lang w:val="en-US" w:eastAsia="zh-CN"/>
        </w:rPr>
        <w:t>四</w:t>
      </w:r>
      <w:r>
        <w:rPr>
          <w:rStyle w:val="54"/>
          <w:rFonts w:hint="eastAsia"/>
          <w:color w:val="auto"/>
          <w:highlight w:val="none"/>
        </w:rPr>
        <w:t xml:space="preserve"> 投标保证金缴纳凭证拟投入设备配置清单（不含报价）</w:t>
      </w:r>
    </w:p>
    <w:p>
      <w:pPr>
        <w:pStyle w:val="2"/>
        <w:rPr>
          <w:color w:val="auto"/>
          <w:highlight w:val="none"/>
        </w:rPr>
      </w:pP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1100"/>
        <w:gridCol w:w="2019"/>
        <w:gridCol w:w="192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r>
              <w:rPr>
                <w:rFonts w:hint="eastAsia" w:ascii="宋体" w:hAnsi="宋体"/>
                <w:b/>
                <w:color w:val="auto"/>
                <w:sz w:val="24"/>
                <w:highlight w:val="none"/>
              </w:rPr>
              <w:t>序号</w:t>
            </w: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r>
              <w:rPr>
                <w:rFonts w:hint="eastAsia" w:ascii="宋体" w:hAnsi="宋体"/>
                <w:b/>
                <w:color w:val="auto"/>
                <w:sz w:val="24"/>
                <w:highlight w:val="none"/>
              </w:rPr>
              <w:t>名称</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r>
              <w:rPr>
                <w:rFonts w:hint="eastAsia" w:ascii="宋体" w:hAnsi="宋体"/>
                <w:b/>
                <w:color w:val="auto"/>
                <w:sz w:val="24"/>
                <w:highlight w:val="none"/>
              </w:rPr>
              <w:t>数量</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r>
              <w:rPr>
                <w:rFonts w:hint="eastAsia" w:ascii="宋体" w:hAnsi="宋体"/>
                <w:b/>
                <w:color w:val="auto"/>
                <w:sz w:val="24"/>
                <w:highlight w:val="none"/>
              </w:rPr>
              <w:t>品牌型号</w:t>
            </w: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ascii="宋体" w:eastAsia="宋体"/>
                <w:b/>
                <w:color w:val="auto"/>
                <w:kern w:val="2"/>
                <w:highlight w:val="none"/>
              </w:rPr>
            </w:pPr>
            <w:r>
              <w:rPr>
                <w:rFonts w:ascii="宋体" w:eastAsia="宋体"/>
                <w:b/>
                <w:color w:val="auto"/>
                <w:kern w:val="2"/>
                <w:highlight w:val="none"/>
              </w:rPr>
              <w:t>配置（</w:t>
            </w:r>
            <w:r>
              <w:rPr>
                <w:rFonts w:hint="default" w:ascii="宋体" w:eastAsia="宋体"/>
                <w:b/>
                <w:color w:val="auto"/>
                <w:kern w:val="2"/>
                <w:highlight w:val="none"/>
              </w:rPr>
              <w:t>可另附页）</w:t>
            </w: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r>
              <w:rPr>
                <w:rFonts w:ascii="宋体" w:eastAsia="宋体"/>
                <w:b/>
                <w:color w:val="auto"/>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宋体" w:hAnsi="宋体"/>
                <w:b/>
                <w:color w:val="auto"/>
                <w:sz w:val="24"/>
                <w:highlight w:val="none"/>
              </w:rPr>
            </w:pPr>
          </w:p>
        </w:tc>
        <w:tc>
          <w:tcPr>
            <w:tcW w:w="1924"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kern w:val="2"/>
                <w:highlight w:val="none"/>
              </w:rPr>
            </w:pPr>
          </w:p>
        </w:tc>
        <w:tc>
          <w:tcPr>
            <w:tcW w:w="1747" w:type="dxa"/>
            <w:noWrap w:val="0"/>
            <w:vAlign w:val="center"/>
          </w:tcPr>
          <w:p>
            <w:pPr>
              <w:pStyle w:val="12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rPr>
                <w:rFonts w:hint="default" w:ascii="宋体" w:eastAsia="宋体"/>
                <w:b/>
                <w:color w:val="auto"/>
                <w:highlight w:val="none"/>
              </w:rPr>
            </w:pPr>
          </w:p>
        </w:tc>
      </w:tr>
    </w:tbl>
    <w:p>
      <w:pPr>
        <w:snapToGrid w:val="0"/>
        <w:spacing w:before="50" w:after="50" w:line="288"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bidi w:val="0"/>
        <w:rPr>
          <w:rFonts w:hint="eastAsia"/>
          <w:color w:val="auto"/>
          <w:highlight w:val="none"/>
        </w:rPr>
      </w:pPr>
    </w:p>
    <w:p>
      <w:pPr>
        <w:pStyle w:val="6"/>
        <w:rPr>
          <w:rFonts w:ascii="宋体" w:hAnsi="宋体" w:cs="宋体"/>
          <w:color w:val="auto"/>
          <w:highlight w:val="none"/>
        </w:rPr>
      </w:pPr>
      <w:r>
        <w:rPr>
          <w:rFonts w:hint="eastAsia" w:ascii="宋体" w:hAnsi="宋体" w:cs="宋体"/>
          <w:color w:val="auto"/>
          <w:szCs w:val="22"/>
          <w:highlight w:val="none"/>
        </w:rPr>
        <w:br w:type="page"/>
      </w:r>
      <w:r>
        <w:rPr>
          <w:rFonts w:hint="eastAsia" w:ascii="宋体" w:hAnsi="宋体" w:cs="宋体"/>
          <w:color w:val="auto"/>
          <w:szCs w:val="22"/>
          <w:highlight w:val="none"/>
        </w:rPr>
        <w:t>附件十</w:t>
      </w:r>
      <w:r>
        <w:rPr>
          <w:rFonts w:hint="eastAsia" w:ascii="宋体" w:hAnsi="宋体" w:cs="宋体"/>
          <w:color w:val="auto"/>
          <w:szCs w:val="22"/>
          <w:highlight w:val="none"/>
          <w:lang w:val="en-US" w:eastAsia="zh-CN"/>
        </w:rPr>
        <w:t>三</w:t>
      </w:r>
      <w:r>
        <w:rPr>
          <w:rFonts w:hint="eastAsia" w:ascii="宋体" w:hAnsi="宋体" w:cs="宋体"/>
          <w:color w:val="auto"/>
          <w:szCs w:val="22"/>
          <w:highlight w:val="none"/>
        </w:rPr>
        <w:t xml:space="preserve"> </w:t>
      </w:r>
      <w:r>
        <w:rPr>
          <w:rFonts w:hint="eastAsia" w:ascii="宋体" w:hAnsi="宋体" w:cs="宋体"/>
          <w:color w:val="auto"/>
          <w:highlight w:val="none"/>
        </w:rPr>
        <w:t>投标保证金缴纳凭证</w:t>
      </w:r>
    </w:p>
    <w:p>
      <w:pPr>
        <w:spacing w:line="240" w:lineRule="auto"/>
        <w:ind w:firstLine="480" w:firstLineChars="0"/>
        <w:rPr>
          <w:rFonts w:ascii="宋体" w:hAnsi="宋体" w:cs="宋体"/>
          <w:color w:val="auto"/>
          <w:szCs w:val="32"/>
          <w:highlight w:val="none"/>
        </w:rPr>
      </w:pPr>
    </w:p>
    <w:p>
      <w:pPr>
        <w:spacing w:line="240" w:lineRule="auto"/>
        <w:ind w:firstLine="480" w:firstLineChars="0"/>
        <w:rPr>
          <w:rFonts w:ascii="宋体" w:hAnsi="宋体" w:cs="宋体"/>
          <w:color w:val="auto"/>
          <w:szCs w:val="32"/>
          <w:highlight w:val="none"/>
        </w:rPr>
      </w:pPr>
    </w:p>
    <w:tbl>
      <w:tblPr>
        <w:tblStyle w:val="39"/>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92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此处粘贴投标保证金缴纳凭证复印件</w:t>
            </w:r>
          </w:p>
          <w:p>
            <w:pPr>
              <w:spacing w:line="240" w:lineRule="auto"/>
              <w:ind w:firstLine="0" w:firstLineChars="0"/>
              <w:jc w:val="center"/>
              <w:rPr>
                <w:rFonts w:ascii="宋体" w:hAnsi="宋体" w:cs="宋体"/>
                <w:color w:val="auto"/>
                <w:szCs w:val="32"/>
                <w:highlight w:val="none"/>
              </w:rPr>
            </w:pPr>
          </w:p>
        </w:tc>
      </w:tr>
    </w:tbl>
    <w:p>
      <w:pPr>
        <w:ind w:firstLine="199" w:firstLineChars="83"/>
        <w:rPr>
          <w:rFonts w:ascii="宋体" w:hAnsi="宋体" w:cs="宋体"/>
          <w:color w:val="auto"/>
          <w:szCs w:val="40"/>
          <w:highlight w:val="none"/>
        </w:rPr>
        <w:sectPr>
          <w:pgSz w:w="11907" w:h="16840"/>
          <w:pgMar w:top="1247" w:right="1304" w:bottom="1021" w:left="1304" w:header="720" w:footer="720" w:gutter="0"/>
          <w:pgNumType w:fmt="decimal"/>
          <w:cols w:space="720" w:num="1"/>
          <w:docGrid w:linePitch="286" w:charSpace="0"/>
        </w:sectPr>
      </w:pPr>
    </w:p>
    <w:bookmarkEnd w:id="48"/>
    <w:bookmarkEnd w:id="49"/>
    <w:bookmarkEnd w:id="50"/>
    <w:bookmarkEnd w:id="51"/>
    <w:bookmarkEnd w:id="52"/>
    <w:bookmarkEnd w:id="53"/>
    <w:bookmarkEnd w:id="54"/>
    <w:bookmarkEnd w:id="55"/>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四</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pgSz w:w="11906" w:h="16838"/>
      <w:pgMar w:top="1440" w:right="1304" w:bottom="1020"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Arial"/>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6" o:spid="_x0000_s2066"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46</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7" o:spid="_x0000_s206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50</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8" o:spid="_x0000_s2068"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64</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242" w:y="-173"/>
      <w:ind w:firstLine="360"/>
      <w:rPr>
        <w:rStyle w:val="43"/>
      </w:rPr>
    </w:pPr>
    <w:r>
      <w:fldChar w:fldCharType="begin"/>
    </w:r>
    <w:r>
      <w:rPr>
        <w:rStyle w:val="43"/>
      </w:rPr>
      <w:instrText xml:space="preserve">PAGE  </w:instrText>
    </w:r>
    <w:r>
      <w:fldChar w:fldCharType="separate"/>
    </w:r>
    <w:r>
      <w:rPr>
        <w:rStyle w:val="43"/>
        <w:lang w:val="en-US" w:eastAsia="zh-CN"/>
      </w:rPr>
      <w:t>52</w:t>
    </w:r>
    <w:r>
      <w:fldChar w:fldCharType="end"/>
    </w:r>
  </w:p>
  <w:p>
    <w:pPr>
      <w:pStyle w:val="25"/>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eastAsia="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eastAsia="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3" o:spid="_x0000_s206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5</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4" o:spid="_x0000_s2064"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13</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30</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lang w:eastAsia="zh-CN"/>
      </w:rPr>
      <w:t>浙江五石工程咨询有限公司</w:t>
    </w:r>
    <w:r>
      <w:rPr>
        <w:rFonts w:hint="eastAsia"/>
        <w:sz w:val="24"/>
        <w:szCs w:val="24"/>
        <w:lang w:val="en-US" w:eastAsia="zh-CN"/>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r>
      <w:rPr>
        <w:rFonts w:hint="eastAsia"/>
        <w:i/>
        <w:iCs/>
        <w:sz w:val="24"/>
        <w:szCs w:val="24"/>
        <w:lang w:eastAsia="zh-CN"/>
      </w:rPr>
      <w:t>浙江五石工程咨询有限公司</w:t>
    </w:r>
    <w:r>
      <w:rPr>
        <w:rFonts w:hint="eastAsia"/>
        <w:sz w:val="24"/>
        <w:szCs w:val="24"/>
        <w:lang w:val="en-US" w:eastAsia="zh-CN"/>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04EC6"/>
    <w:multiLevelType w:val="singleLevel"/>
    <w:tmpl w:val="E8404EC6"/>
    <w:lvl w:ilvl="0" w:tentative="0">
      <w:start w:val="2"/>
      <w:numFmt w:val="chineseCounting"/>
      <w:suff w:val="nothing"/>
      <w:lvlText w:val="%1、"/>
      <w:lvlJc w:val="left"/>
      <w:rPr>
        <w:rFonts w:hint="eastAsia"/>
      </w:rPr>
    </w:lvl>
  </w:abstractNum>
  <w:abstractNum w:abstractNumId="1">
    <w:nsid w:val="16F0D3C8"/>
    <w:multiLevelType w:val="singleLevel"/>
    <w:tmpl w:val="16F0D3C8"/>
    <w:lvl w:ilvl="0" w:tentative="0">
      <w:start w:val="1"/>
      <w:numFmt w:val="decimal"/>
      <w:suff w:val="nothing"/>
      <w:lvlText w:val="%1、"/>
      <w:lvlJc w:val="left"/>
    </w:lvl>
  </w:abstractNum>
  <w:abstractNum w:abstractNumId="2">
    <w:nsid w:val="179D693D"/>
    <w:multiLevelType w:val="singleLevel"/>
    <w:tmpl w:val="179D693D"/>
    <w:lvl w:ilvl="0" w:tentative="0">
      <w:start w:val="1"/>
      <w:numFmt w:val="decimal"/>
      <w:lvlText w:val="%1."/>
      <w:lvlJc w:val="left"/>
      <w:pPr>
        <w:ind w:left="425" w:hanging="425"/>
      </w:pPr>
      <w:rPr>
        <w:rFonts w:hint="default"/>
      </w:rPr>
    </w:lvl>
  </w:abstractNum>
  <w:abstractNum w:abstractNumId="3">
    <w:nsid w:val="1C100ABC"/>
    <w:multiLevelType w:val="singleLevel"/>
    <w:tmpl w:val="1C100ABC"/>
    <w:lvl w:ilvl="0" w:tentative="0">
      <w:start w:val="11"/>
      <w:numFmt w:val="chineseCounting"/>
      <w:suff w:val="nothing"/>
      <w:lvlText w:val="%1、"/>
      <w:lvlJc w:val="left"/>
      <w:rPr>
        <w:rFonts w:hint="eastAsia"/>
      </w:rPr>
    </w:lvl>
  </w:abstractNum>
  <w:abstractNum w:abstractNumId="4">
    <w:nsid w:val="2B1A34EB"/>
    <w:multiLevelType w:val="multilevel"/>
    <w:tmpl w:val="2B1A34EB"/>
    <w:lvl w:ilvl="0" w:tentative="0">
      <w:start w:val="1"/>
      <w:numFmt w:val="decimal"/>
      <w:lvlText w:val="%1."/>
      <w:lvlJc w:val="left"/>
      <w:pPr>
        <w:ind w:left="420" w:hanging="420"/>
      </w:pPr>
    </w:lvl>
    <w:lvl w:ilvl="1" w:tentative="0">
      <w:start w:val="1"/>
      <w:numFmt w:val="lowerLetter"/>
      <w:pStyle w:val="139"/>
      <w:lvlText w:val="%2)"/>
      <w:lvlJc w:val="left"/>
      <w:pPr>
        <w:ind w:left="840" w:hanging="420"/>
      </w:pPr>
    </w:lvl>
    <w:lvl w:ilvl="2" w:tentative="0">
      <w:start w:val="1"/>
      <w:numFmt w:val="lowerRoman"/>
      <w:pStyle w:val="13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6">
    <w:nsid w:val="57D2168F"/>
    <w:multiLevelType w:val="singleLevel"/>
    <w:tmpl w:val="57D2168F"/>
    <w:lvl w:ilvl="0" w:tentative="0">
      <w:start w:val="1"/>
      <w:numFmt w:val="decimal"/>
      <w:suff w:val="nothing"/>
      <w:lvlText w:val="%1、"/>
      <w:lvlJc w:val="left"/>
    </w:lvl>
  </w:abstractNum>
  <w:abstractNum w:abstractNumId="7">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7"/>
  </w:num>
  <w:num w:numId="2">
    <w:abstractNumId w:val="8"/>
  </w:num>
  <w:num w:numId="3">
    <w:abstractNumId w:val="4"/>
  </w:num>
  <w:num w:numId="4">
    <w:abstractNumId w:val="3"/>
  </w:num>
  <w:num w:numId="5">
    <w:abstractNumId w:val="2"/>
  </w:num>
  <w:num w:numId="6">
    <w:abstractNumId w:val="0"/>
  </w:num>
  <w:num w:numId="7">
    <w:abstractNumId w:val="6"/>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2F66D3"/>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2392"/>
    <w:rsid w:val="00516B63"/>
    <w:rsid w:val="005206C3"/>
    <w:rsid w:val="00521C7F"/>
    <w:rsid w:val="00522CAF"/>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44D8"/>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42628DB"/>
    <w:rsid w:val="04AF5198"/>
    <w:rsid w:val="050B7F9E"/>
    <w:rsid w:val="05273450"/>
    <w:rsid w:val="058148AE"/>
    <w:rsid w:val="05B01605"/>
    <w:rsid w:val="06003B6B"/>
    <w:rsid w:val="060843FB"/>
    <w:rsid w:val="060B7C3E"/>
    <w:rsid w:val="0677142F"/>
    <w:rsid w:val="06F32C4C"/>
    <w:rsid w:val="07221759"/>
    <w:rsid w:val="07661701"/>
    <w:rsid w:val="07996EB4"/>
    <w:rsid w:val="079E733B"/>
    <w:rsid w:val="07C26905"/>
    <w:rsid w:val="08BA72F1"/>
    <w:rsid w:val="08C1326E"/>
    <w:rsid w:val="08C52EB5"/>
    <w:rsid w:val="08DC3925"/>
    <w:rsid w:val="08E714EF"/>
    <w:rsid w:val="09046980"/>
    <w:rsid w:val="094B0040"/>
    <w:rsid w:val="094B0CF2"/>
    <w:rsid w:val="096D0679"/>
    <w:rsid w:val="09B73184"/>
    <w:rsid w:val="09D51869"/>
    <w:rsid w:val="0A662919"/>
    <w:rsid w:val="0BC60279"/>
    <w:rsid w:val="0C2A284B"/>
    <w:rsid w:val="0CA8083B"/>
    <w:rsid w:val="0D0505A7"/>
    <w:rsid w:val="0D6F3619"/>
    <w:rsid w:val="0EC64290"/>
    <w:rsid w:val="0EE43718"/>
    <w:rsid w:val="0EE90B68"/>
    <w:rsid w:val="0EF86C59"/>
    <w:rsid w:val="0F0953D8"/>
    <w:rsid w:val="0F3E7A11"/>
    <w:rsid w:val="0FBC0D1A"/>
    <w:rsid w:val="0FDD19F3"/>
    <w:rsid w:val="1013417E"/>
    <w:rsid w:val="101E2C7C"/>
    <w:rsid w:val="102927A5"/>
    <w:rsid w:val="103373AC"/>
    <w:rsid w:val="104C58A2"/>
    <w:rsid w:val="107F0091"/>
    <w:rsid w:val="11847F37"/>
    <w:rsid w:val="120E0E48"/>
    <w:rsid w:val="123F4C14"/>
    <w:rsid w:val="12AF5C2A"/>
    <w:rsid w:val="12B1627A"/>
    <w:rsid w:val="12F12AA5"/>
    <w:rsid w:val="141A42B8"/>
    <w:rsid w:val="142423C1"/>
    <w:rsid w:val="147A2410"/>
    <w:rsid w:val="1536263F"/>
    <w:rsid w:val="15871E93"/>
    <w:rsid w:val="15947852"/>
    <w:rsid w:val="15EE6B6D"/>
    <w:rsid w:val="15F003C1"/>
    <w:rsid w:val="15F61009"/>
    <w:rsid w:val="15FC3115"/>
    <w:rsid w:val="169A7843"/>
    <w:rsid w:val="16C27844"/>
    <w:rsid w:val="17445402"/>
    <w:rsid w:val="18E00489"/>
    <w:rsid w:val="18EE2526"/>
    <w:rsid w:val="19101EA7"/>
    <w:rsid w:val="19282791"/>
    <w:rsid w:val="19810432"/>
    <w:rsid w:val="1A2F49D8"/>
    <w:rsid w:val="1AB83062"/>
    <w:rsid w:val="1C351D65"/>
    <w:rsid w:val="1CB82993"/>
    <w:rsid w:val="1CEA6A45"/>
    <w:rsid w:val="1D7C153E"/>
    <w:rsid w:val="1ED624B7"/>
    <w:rsid w:val="1F8A0112"/>
    <w:rsid w:val="1FC0414A"/>
    <w:rsid w:val="1FDA1E10"/>
    <w:rsid w:val="1FF510AA"/>
    <w:rsid w:val="200C3AA1"/>
    <w:rsid w:val="20CB3924"/>
    <w:rsid w:val="21904D75"/>
    <w:rsid w:val="21BF72A1"/>
    <w:rsid w:val="21C3592D"/>
    <w:rsid w:val="21C55F53"/>
    <w:rsid w:val="225A2932"/>
    <w:rsid w:val="22953685"/>
    <w:rsid w:val="22A84E37"/>
    <w:rsid w:val="23594B35"/>
    <w:rsid w:val="23D15519"/>
    <w:rsid w:val="23EA5690"/>
    <w:rsid w:val="243646B4"/>
    <w:rsid w:val="244157BB"/>
    <w:rsid w:val="247240E4"/>
    <w:rsid w:val="24D54DB0"/>
    <w:rsid w:val="24F82B87"/>
    <w:rsid w:val="26704373"/>
    <w:rsid w:val="274F2171"/>
    <w:rsid w:val="275E0F3C"/>
    <w:rsid w:val="27797DE0"/>
    <w:rsid w:val="27965B8B"/>
    <w:rsid w:val="286D2C57"/>
    <w:rsid w:val="28FC2B68"/>
    <w:rsid w:val="29223179"/>
    <w:rsid w:val="29523F82"/>
    <w:rsid w:val="297F63E2"/>
    <w:rsid w:val="29902D3F"/>
    <w:rsid w:val="29AA4023"/>
    <w:rsid w:val="2A456589"/>
    <w:rsid w:val="2A5B4807"/>
    <w:rsid w:val="2A685319"/>
    <w:rsid w:val="2A7D5A22"/>
    <w:rsid w:val="2AB922C2"/>
    <w:rsid w:val="2AC46B39"/>
    <w:rsid w:val="2ADE0C2E"/>
    <w:rsid w:val="2B152379"/>
    <w:rsid w:val="2B53670E"/>
    <w:rsid w:val="2B95738C"/>
    <w:rsid w:val="2BAB0D46"/>
    <w:rsid w:val="2C0E274C"/>
    <w:rsid w:val="2C1864B9"/>
    <w:rsid w:val="2C264454"/>
    <w:rsid w:val="2C3042EA"/>
    <w:rsid w:val="2C5466FC"/>
    <w:rsid w:val="2D225481"/>
    <w:rsid w:val="2D4477EE"/>
    <w:rsid w:val="2DC41DAC"/>
    <w:rsid w:val="2DD4300E"/>
    <w:rsid w:val="2DDC3961"/>
    <w:rsid w:val="2E413F38"/>
    <w:rsid w:val="2EB71104"/>
    <w:rsid w:val="2EC14611"/>
    <w:rsid w:val="2F65359E"/>
    <w:rsid w:val="2FB16340"/>
    <w:rsid w:val="2FC050D1"/>
    <w:rsid w:val="305E4CC4"/>
    <w:rsid w:val="31F5436E"/>
    <w:rsid w:val="32243194"/>
    <w:rsid w:val="323E2121"/>
    <w:rsid w:val="3263631F"/>
    <w:rsid w:val="328D5269"/>
    <w:rsid w:val="32C00D78"/>
    <w:rsid w:val="331620A8"/>
    <w:rsid w:val="33222A9A"/>
    <w:rsid w:val="332D1CBE"/>
    <w:rsid w:val="335A0E9F"/>
    <w:rsid w:val="33881F97"/>
    <w:rsid w:val="342C29F9"/>
    <w:rsid w:val="349A334C"/>
    <w:rsid w:val="34CA78C0"/>
    <w:rsid w:val="35140DD7"/>
    <w:rsid w:val="35502D7D"/>
    <w:rsid w:val="35586223"/>
    <w:rsid w:val="35925F3F"/>
    <w:rsid w:val="35A418C4"/>
    <w:rsid w:val="35DB5B56"/>
    <w:rsid w:val="36253B84"/>
    <w:rsid w:val="362702D5"/>
    <w:rsid w:val="364E5BB1"/>
    <w:rsid w:val="368920CF"/>
    <w:rsid w:val="370362B0"/>
    <w:rsid w:val="37947373"/>
    <w:rsid w:val="38991DD1"/>
    <w:rsid w:val="39104B12"/>
    <w:rsid w:val="3919329D"/>
    <w:rsid w:val="3B216441"/>
    <w:rsid w:val="3B7E554D"/>
    <w:rsid w:val="3BC30664"/>
    <w:rsid w:val="3C38585A"/>
    <w:rsid w:val="3C673753"/>
    <w:rsid w:val="3C68303C"/>
    <w:rsid w:val="3CAA46F7"/>
    <w:rsid w:val="3DBD668D"/>
    <w:rsid w:val="3E217459"/>
    <w:rsid w:val="3EFD4C69"/>
    <w:rsid w:val="3F255D56"/>
    <w:rsid w:val="3F416A26"/>
    <w:rsid w:val="3FDB7E68"/>
    <w:rsid w:val="40721405"/>
    <w:rsid w:val="4082593F"/>
    <w:rsid w:val="40E608DB"/>
    <w:rsid w:val="41681941"/>
    <w:rsid w:val="41E47D60"/>
    <w:rsid w:val="429E3B11"/>
    <w:rsid w:val="42D21572"/>
    <w:rsid w:val="42D62202"/>
    <w:rsid w:val="44560F40"/>
    <w:rsid w:val="44720E16"/>
    <w:rsid w:val="44C41913"/>
    <w:rsid w:val="44D619FA"/>
    <w:rsid w:val="45155B8C"/>
    <w:rsid w:val="457635F1"/>
    <w:rsid w:val="45F2509C"/>
    <w:rsid w:val="462F04C5"/>
    <w:rsid w:val="46E47CFD"/>
    <w:rsid w:val="46FC055A"/>
    <w:rsid w:val="471B595C"/>
    <w:rsid w:val="482B2304"/>
    <w:rsid w:val="4853715D"/>
    <w:rsid w:val="48857FBF"/>
    <w:rsid w:val="48D967F4"/>
    <w:rsid w:val="48DE11B8"/>
    <w:rsid w:val="49022AE3"/>
    <w:rsid w:val="49205619"/>
    <w:rsid w:val="4922547B"/>
    <w:rsid w:val="4AB7573A"/>
    <w:rsid w:val="4AC04E40"/>
    <w:rsid w:val="4AEE4198"/>
    <w:rsid w:val="4B8A72CF"/>
    <w:rsid w:val="4C1065B5"/>
    <w:rsid w:val="4C70027F"/>
    <w:rsid w:val="4CC7173F"/>
    <w:rsid w:val="4D413F1A"/>
    <w:rsid w:val="4D943011"/>
    <w:rsid w:val="4DDF3F73"/>
    <w:rsid w:val="4DFA458E"/>
    <w:rsid w:val="4E864991"/>
    <w:rsid w:val="4E9A44D5"/>
    <w:rsid w:val="4EAB4754"/>
    <w:rsid w:val="4F8119B1"/>
    <w:rsid w:val="4F893E05"/>
    <w:rsid w:val="4F92238A"/>
    <w:rsid w:val="4FD32667"/>
    <w:rsid w:val="4FDF3083"/>
    <w:rsid w:val="5043798C"/>
    <w:rsid w:val="50731BAF"/>
    <w:rsid w:val="50A65A97"/>
    <w:rsid w:val="50C41155"/>
    <w:rsid w:val="50F77A20"/>
    <w:rsid w:val="510E0E2A"/>
    <w:rsid w:val="518E52ED"/>
    <w:rsid w:val="52B010B3"/>
    <w:rsid w:val="53561F28"/>
    <w:rsid w:val="53BB1858"/>
    <w:rsid w:val="53E733D6"/>
    <w:rsid w:val="54453B17"/>
    <w:rsid w:val="54867EC0"/>
    <w:rsid w:val="54963849"/>
    <w:rsid w:val="55323649"/>
    <w:rsid w:val="55960AF7"/>
    <w:rsid w:val="55D634ED"/>
    <w:rsid w:val="56364BC0"/>
    <w:rsid w:val="56842244"/>
    <w:rsid w:val="56B332E9"/>
    <w:rsid w:val="56B51879"/>
    <w:rsid w:val="56BB2C0B"/>
    <w:rsid w:val="56FF3B4B"/>
    <w:rsid w:val="57C62622"/>
    <w:rsid w:val="57E32407"/>
    <w:rsid w:val="585D5FB5"/>
    <w:rsid w:val="5886225D"/>
    <w:rsid w:val="58AD3065"/>
    <w:rsid w:val="5A5261C7"/>
    <w:rsid w:val="5A6A00A3"/>
    <w:rsid w:val="5B763363"/>
    <w:rsid w:val="5BA509FF"/>
    <w:rsid w:val="5C0B789C"/>
    <w:rsid w:val="5C5D1EF1"/>
    <w:rsid w:val="5CE760ED"/>
    <w:rsid w:val="5CF43403"/>
    <w:rsid w:val="5DA075B1"/>
    <w:rsid w:val="5DE7655E"/>
    <w:rsid w:val="5E030253"/>
    <w:rsid w:val="5E0D74EF"/>
    <w:rsid w:val="5E20265B"/>
    <w:rsid w:val="5EA62EF7"/>
    <w:rsid w:val="5EBA517D"/>
    <w:rsid w:val="5EEC4DA1"/>
    <w:rsid w:val="5EEC561A"/>
    <w:rsid w:val="5F281498"/>
    <w:rsid w:val="5FB5194D"/>
    <w:rsid w:val="600960AF"/>
    <w:rsid w:val="600D5AA5"/>
    <w:rsid w:val="611D51AD"/>
    <w:rsid w:val="62726A45"/>
    <w:rsid w:val="62CE0974"/>
    <w:rsid w:val="62E0024A"/>
    <w:rsid w:val="63463232"/>
    <w:rsid w:val="63CD3AF7"/>
    <w:rsid w:val="64147942"/>
    <w:rsid w:val="641724DD"/>
    <w:rsid w:val="648D4DC3"/>
    <w:rsid w:val="648E383C"/>
    <w:rsid w:val="64937B40"/>
    <w:rsid w:val="64A35F71"/>
    <w:rsid w:val="64E414E0"/>
    <w:rsid w:val="652420D1"/>
    <w:rsid w:val="6561342C"/>
    <w:rsid w:val="65991807"/>
    <w:rsid w:val="665F1C74"/>
    <w:rsid w:val="66A43656"/>
    <w:rsid w:val="67EC7CB4"/>
    <w:rsid w:val="680F0D3C"/>
    <w:rsid w:val="687C191D"/>
    <w:rsid w:val="6881497D"/>
    <w:rsid w:val="68AA0D64"/>
    <w:rsid w:val="68F63773"/>
    <w:rsid w:val="69DC4125"/>
    <w:rsid w:val="6A3515DE"/>
    <w:rsid w:val="6A862475"/>
    <w:rsid w:val="6B4332E8"/>
    <w:rsid w:val="6B865118"/>
    <w:rsid w:val="6BA33D7F"/>
    <w:rsid w:val="6BF32268"/>
    <w:rsid w:val="6BFC2786"/>
    <w:rsid w:val="6C1E03F6"/>
    <w:rsid w:val="6C2C2459"/>
    <w:rsid w:val="6C887360"/>
    <w:rsid w:val="6D13747F"/>
    <w:rsid w:val="6D815F35"/>
    <w:rsid w:val="6DA02920"/>
    <w:rsid w:val="6DD97473"/>
    <w:rsid w:val="6E39307B"/>
    <w:rsid w:val="6E3A2D68"/>
    <w:rsid w:val="6E5C7D3A"/>
    <w:rsid w:val="6E685EF1"/>
    <w:rsid w:val="6F2C13F5"/>
    <w:rsid w:val="6F2F1140"/>
    <w:rsid w:val="6FBD4952"/>
    <w:rsid w:val="704B5D1E"/>
    <w:rsid w:val="70730315"/>
    <w:rsid w:val="710117C9"/>
    <w:rsid w:val="71AB7919"/>
    <w:rsid w:val="721B69C2"/>
    <w:rsid w:val="72BC0BF9"/>
    <w:rsid w:val="72D14842"/>
    <w:rsid w:val="74425093"/>
    <w:rsid w:val="74CA1E69"/>
    <w:rsid w:val="752418EF"/>
    <w:rsid w:val="75587C2E"/>
    <w:rsid w:val="75597AFD"/>
    <w:rsid w:val="758461E8"/>
    <w:rsid w:val="75DC2DB7"/>
    <w:rsid w:val="76445621"/>
    <w:rsid w:val="76C5546F"/>
    <w:rsid w:val="76C84CCD"/>
    <w:rsid w:val="76F01E2B"/>
    <w:rsid w:val="7847337E"/>
    <w:rsid w:val="787F20C6"/>
    <w:rsid w:val="78BA3308"/>
    <w:rsid w:val="79143D48"/>
    <w:rsid w:val="79BC26BF"/>
    <w:rsid w:val="7A6F7C6F"/>
    <w:rsid w:val="7AA01F48"/>
    <w:rsid w:val="7B0A05EE"/>
    <w:rsid w:val="7B4125B3"/>
    <w:rsid w:val="7BC22610"/>
    <w:rsid w:val="7C4A2412"/>
    <w:rsid w:val="7C4D5033"/>
    <w:rsid w:val="7C8B5068"/>
    <w:rsid w:val="7CBA5871"/>
    <w:rsid w:val="7CD71330"/>
    <w:rsid w:val="7D437327"/>
    <w:rsid w:val="7D67007A"/>
    <w:rsid w:val="7E0703F2"/>
    <w:rsid w:val="7E792606"/>
    <w:rsid w:val="7F09109D"/>
    <w:rsid w:val="7F261B69"/>
    <w:rsid w:val="7F6E164F"/>
    <w:rsid w:val="7FCD59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8"/>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3"/>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9"/>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54"/>
    <w:qFormat/>
    <w:uiPriority w:val="0"/>
    <w:pPr>
      <w:keepNext/>
      <w:keepLines/>
      <w:ind w:firstLine="0" w:firstLineChars="0"/>
      <w:outlineLvl w:val="2"/>
    </w:pPr>
    <w:rPr>
      <w:b/>
      <w:bCs/>
      <w:szCs w:val="32"/>
    </w:rPr>
  </w:style>
  <w:style w:type="paragraph" w:styleId="7">
    <w:name w:val="heading 4"/>
    <w:basedOn w:val="1"/>
    <w:next w:val="1"/>
    <w:link w:val="98"/>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2"/>
    <w:unhideWhenUsed/>
    <w:qFormat/>
    <w:uiPriority w:val="0"/>
    <w:pPr>
      <w:spacing w:line="240" w:lineRule="auto"/>
      <w:ind w:firstLine="420" w:firstLineChars="0"/>
    </w:pPr>
    <w:rPr>
      <w:sz w:val="21"/>
    </w:rPr>
  </w:style>
  <w:style w:type="paragraph" w:styleId="10">
    <w:name w:val="Document Map"/>
    <w:basedOn w:val="1"/>
    <w:link w:val="66"/>
    <w:unhideWhenUsed/>
    <w:qFormat/>
    <w:uiPriority w:val="0"/>
    <w:rPr>
      <w:rFonts w:ascii="宋体" w:hAnsi="Times New Roman"/>
      <w:kern w:val="0"/>
      <w:sz w:val="18"/>
      <w:szCs w:val="18"/>
    </w:rPr>
  </w:style>
  <w:style w:type="paragraph" w:styleId="11">
    <w:name w:val="annotation text"/>
    <w:basedOn w:val="1"/>
    <w:link w:val="81"/>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6"/>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70"/>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next w:val="1"/>
    <w:link w:val="79"/>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4"/>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100"/>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50"/>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8"/>
    <w:unhideWhenUsed/>
    <w:qFormat/>
    <w:uiPriority w:val="0"/>
    <w:rPr>
      <w:rFonts w:ascii="Times New Roman" w:hAnsi="Times New Roman"/>
      <w:kern w:val="0"/>
      <w:sz w:val="18"/>
      <w:szCs w:val="18"/>
    </w:rPr>
  </w:style>
  <w:style w:type="paragraph" w:styleId="25">
    <w:name w:val="footer"/>
    <w:basedOn w:val="1"/>
    <w:link w:val="68"/>
    <w:unhideWhenUsed/>
    <w:qFormat/>
    <w:uiPriority w:val="99"/>
    <w:pPr>
      <w:tabs>
        <w:tab w:val="center" w:pos="4153"/>
        <w:tab w:val="right" w:pos="8306"/>
      </w:tabs>
      <w:snapToGrid w:val="0"/>
      <w:jc w:val="left"/>
    </w:pPr>
    <w:rPr>
      <w:kern w:val="0"/>
      <w:sz w:val="18"/>
      <w:szCs w:val="18"/>
    </w:rPr>
  </w:style>
  <w:style w:type="paragraph" w:styleId="26">
    <w:name w:val="header"/>
    <w:basedOn w:val="1"/>
    <w:link w:val="8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2"/>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8"/>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val="0"/>
      <w:kinsoku w:val="0"/>
      <w:overflowPunct w:val="0"/>
      <w:autoSpaceDE w:val="0"/>
      <w:autoSpaceDN w:val="0"/>
      <w:adjustRightInd w:val="0"/>
      <w:snapToGrid w:val="0"/>
      <w:spacing w:beforeAutospacing="1" w:afterAutospacing="1" w:line="240" w:lineRule="auto"/>
      <w:ind w:leftChars="0" w:firstLine="0" w:firstLineChars="0"/>
      <w:jc w:val="left"/>
      <w:textAlignment w:val="center"/>
    </w:pPr>
    <w:rPr>
      <w:rFonts w:ascii="宋体" w:hAnsi="宋体" w:eastAsia="宋体"/>
      <w:kern w:val="0"/>
      <w:sz w:val="20"/>
    </w:rPr>
  </w:style>
  <w:style w:type="paragraph" w:styleId="37">
    <w:name w:val="Title"/>
    <w:basedOn w:val="1"/>
    <w:link w:val="97"/>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5"/>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paragraph" w:customStyle="1" w:styleId="4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8">
    <w:name w:val="font71"/>
    <w:qFormat/>
    <w:uiPriority w:val="0"/>
    <w:rPr>
      <w:rFonts w:ascii="Arial" w:hAnsi="Arial" w:cs="Arial"/>
      <w:b/>
      <w:color w:val="333333"/>
      <w:sz w:val="20"/>
      <w:szCs w:val="20"/>
      <w:u w:val="none"/>
    </w:rPr>
  </w:style>
  <w:style w:type="character" w:customStyle="1" w:styleId="49">
    <w:name w:val="HTML 预设格式 Char"/>
    <w:link w:val="35"/>
    <w:semiHidden/>
    <w:qFormat/>
    <w:uiPriority w:val="0"/>
    <w:rPr>
      <w:rFonts w:ascii="Arial Unicode MS" w:hAnsi="Arial Unicode MS" w:eastAsia="Arial Unicode MS" w:cs="Arial Unicode MS"/>
    </w:rPr>
  </w:style>
  <w:style w:type="character" w:customStyle="1" w:styleId="50">
    <w:name w:val="正文文本缩进 2 Char"/>
    <w:link w:val="23"/>
    <w:semiHidden/>
    <w:qFormat/>
    <w:uiPriority w:val="0"/>
    <w:rPr>
      <w:rFonts w:ascii="宋体" w:hAnsi="Times New Roman"/>
      <w:sz w:val="24"/>
    </w:rPr>
  </w:style>
  <w:style w:type="character" w:customStyle="1" w:styleId="51">
    <w:name w:val="wz1"/>
    <w:basedOn w:val="41"/>
    <w:qFormat/>
    <w:uiPriority w:val="0"/>
  </w:style>
  <w:style w:type="character" w:customStyle="1" w:styleId="52">
    <w:name w:val="button1"/>
    <w:qFormat/>
    <w:uiPriority w:val="0"/>
    <w:rPr>
      <w:rFonts w:hint="default" w:ascii="Verdana" w:hAnsi="Verdana"/>
      <w:b/>
      <w:bCs/>
      <w:sz w:val="20"/>
      <w:szCs w:val="20"/>
    </w:rPr>
  </w:style>
  <w:style w:type="character" w:customStyle="1" w:styleId="53">
    <w:name w:val="font01"/>
    <w:qFormat/>
    <w:uiPriority w:val="0"/>
    <w:rPr>
      <w:rFonts w:hint="eastAsia" w:ascii="宋体" w:hAnsi="宋体" w:eastAsia="宋体" w:cs="宋体"/>
      <w:b/>
      <w:color w:val="333333"/>
      <w:sz w:val="20"/>
      <w:szCs w:val="20"/>
      <w:u w:val="none"/>
    </w:rPr>
  </w:style>
  <w:style w:type="character" w:customStyle="1" w:styleId="54">
    <w:name w:val="标题 3 Char"/>
    <w:link w:val="6"/>
    <w:qFormat/>
    <w:uiPriority w:val="0"/>
    <w:rPr>
      <w:b/>
      <w:bCs/>
      <w:kern w:val="2"/>
      <w:sz w:val="24"/>
      <w:szCs w:val="32"/>
    </w:rPr>
  </w:style>
  <w:style w:type="character" w:customStyle="1" w:styleId="55">
    <w:name w:val="批注主题 Char"/>
    <w:link w:val="38"/>
    <w:semiHidden/>
    <w:qFormat/>
    <w:uiPriority w:val="0"/>
    <w:rPr>
      <w:rFonts w:ascii="Times New Roman" w:hAnsi="Times New Roman"/>
      <w:b/>
      <w:bCs/>
      <w:kern w:val="2"/>
      <w:sz w:val="21"/>
      <w:szCs w:val="24"/>
    </w:rPr>
  </w:style>
  <w:style w:type="character" w:customStyle="1" w:styleId="56">
    <w:name w:val="标题 Char"/>
    <w:qFormat/>
    <w:uiPriority w:val="0"/>
    <w:rPr>
      <w:rFonts w:ascii="Cambria" w:hAnsi="Cambria" w:cs="Times New Roman"/>
      <w:b/>
      <w:bCs/>
      <w:kern w:val="2"/>
      <w:sz w:val="32"/>
      <w:szCs w:val="32"/>
    </w:rPr>
  </w:style>
  <w:style w:type="character" w:customStyle="1" w:styleId="57">
    <w:name w:val="search_result_snap1"/>
    <w:qFormat/>
    <w:uiPriority w:val="0"/>
    <w:rPr>
      <w:sz w:val="21"/>
      <w:szCs w:val="21"/>
    </w:rPr>
  </w:style>
  <w:style w:type="character" w:customStyle="1" w:styleId="58">
    <w:name w:val="l17"/>
    <w:basedOn w:val="41"/>
    <w:qFormat/>
    <w:uiPriority w:val="0"/>
  </w:style>
  <w:style w:type="character" w:customStyle="1" w:styleId="59">
    <w:name w:val="s"/>
    <w:basedOn w:val="41"/>
    <w:qFormat/>
    <w:uiPriority w:val="0"/>
  </w:style>
  <w:style w:type="character" w:customStyle="1" w:styleId="60">
    <w:name w:val="(aNormal) + 宋体 Char"/>
    <w:link w:val="61"/>
    <w:qFormat/>
    <w:locked/>
    <w:uiPriority w:val="0"/>
    <w:rPr>
      <w:rFonts w:ascii="宋体" w:hAnsi="宋体"/>
      <w:lang w:val="en-GB"/>
    </w:rPr>
  </w:style>
  <w:style w:type="paragraph" w:customStyle="1" w:styleId="61">
    <w:name w:val="(aNormal) + 宋体"/>
    <w:basedOn w:val="1"/>
    <w:link w:val="60"/>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2">
    <w:name w:val="正文缩进 Char"/>
    <w:link w:val="9"/>
    <w:semiHidden/>
    <w:qFormat/>
    <w:locked/>
    <w:uiPriority w:val="0"/>
    <w:rPr>
      <w:kern w:val="2"/>
      <w:sz w:val="21"/>
      <w:szCs w:val="24"/>
    </w:rPr>
  </w:style>
  <w:style w:type="character" w:customStyle="1" w:styleId="63">
    <w:name w:val="正文文本首行缩进 字符"/>
    <w:link w:val="64"/>
    <w:semiHidden/>
    <w:qFormat/>
    <w:uiPriority w:val="0"/>
    <w:rPr>
      <w:rFonts w:ascii="Times New Roman" w:hAnsi="Times New Roman" w:eastAsia="仿宋_GB2312"/>
      <w:kern w:val="2"/>
      <w:sz w:val="21"/>
      <w:szCs w:val="24"/>
    </w:rPr>
  </w:style>
  <w:style w:type="paragraph" w:customStyle="1" w:styleId="64">
    <w:name w:val="正文文本首行缩进"/>
    <w:basedOn w:val="14"/>
    <w:link w:val="63"/>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5">
    <w:name w:val="huei12b1"/>
    <w:qFormat/>
    <w:uiPriority w:val="0"/>
    <w:rPr>
      <w:b/>
      <w:bCs/>
      <w:color w:val="333333"/>
      <w:sz w:val="20"/>
      <w:szCs w:val="20"/>
    </w:rPr>
  </w:style>
  <w:style w:type="character" w:customStyle="1" w:styleId="66">
    <w:name w:val="文档结构图 Char"/>
    <w:link w:val="10"/>
    <w:semiHidden/>
    <w:qFormat/>
    <w:uiPriority w:val="0"/>
    <w:rPr>
      <w:rFonts w:ascii="宋体" w:hAnsi="Times New Roman" w:eastAsia="宋体" w:cs="Times New Roman"/>
      <w:sz w:val="18"/>
      <w:szCs w:val="18"/>
    </w:rPr>
  </w:style>
  <w:style w:type="character" w:customStyle="1" w:styleId="67">
    <w:name w:val="content"/>
    <w:basedOn w:val="41"/>
    <w:qFormat/>
    <w:uiPriority w:val="0"/>
  </w:style>
  <w:style w:type="character" w:customStyle="1" w:styleId="68">
    <w:name w:val="页脚 Char"/>
    <w:link w:val="25"/>
    <w:qFormat/>
    <w:uiPriority w:val="99"/>
    <w:rPr>
      <w:sz w:val="18"/>
      <w:szCs w:val="18"/>
    </w:rPr>
  </w:style>
  <w:style w:type="character" w:customStyle="1" w:styleId="69">
    <w:name w:val="标题 2 Char"/>
    <w:link w:val="5"/>
    <w:qFormat/>
    <w:uiPriority w:val="0"/>
    <w:rPr>
      <w:rFonts w:ascii="Cambria" w:hAnsi="Cambria" w:eastAsia="宋体"/>
      <w:b/>
      <w:bCs/>
      <w:kern w:val="2"/>
      <w:sz w:val="28"/>
      <w:szCs w:val="32"/>
    </w:rPr>
  </w:style>
  <w:style w:type="character" w:customStyle="1" w:styleId="70">
    <w:name w:val="正文文本 Char"/>
    <w:link w:val="14"/>
    <w:semiHidden/>
    <w:qFormat/>
    <w:uiPriority w:val="0"/>
    <w:rPr>
      <w:rFonts w:ascii="仿宋_GB2312" w:hAnsi="Times New Roman" w:eastAsia="仿宋_GB2312"/>
      <w:sz w:val="28"/>
    </w:rPr>
  </w:style>
  <w:style w:type="character" w:customStyle="1" w:styleId="71">
    <w:name w:val="style8"/>
    <w:basedOn w:val="41"/>
    <w:qFormat/>
    <w:uiPriority w:val="0"/>
  </w:style>
  <w:style w:type="character" w:customStyle="1" w:styleId="72">
    <w:name w:val="正文文本缩进 字符"/>
    <w:qFormat/>
    <w:uiPriority w:val="0"/>
    <w:rPr>
      <w:rFonts w:ascii="仿宋_GB2312" w:eastAsia="仿宋_GB2312"/>
      <w:kern w:val="2"/>
      <w:sz w:val="28"/>
      <w:lang w:val="en-US" w:eastAsia="zh-CN" w:bidi="ar-SA"/>
    </w:rPr>
  </w:style>
  <w:style w:type="character" w:customStyle="1" w:styleId="73">
    <w:name w:val="标题 1 Char"/>
    <w:link w:val="4"/>
    <w:qFormat/>
    <w:uiPriority w:val="0"/>
    <w:rPr>
      <w:rFonts w:ascii="宋体" w:hAnsi="宋体" w:cs="宋体"/>
      <w:b/>
      <w:bCs/>
      <w:kern w:val="44"/>
      <w:sz w:val="32"/>
      <w:szCs w:val="52"/>
    </w:rPr>
  </w:style>
  <w:style w:type="character" w:customStyle="1" w:styleId="74">
    <w:name w:val="页脚 字符"/>
    <w:qFormat/>
    <w:uiPriority w:val="99"/>
    <w:rPr>
      <w:rFonts w:eastAsia="宋体"/>
      <w:kern w:val="2"/>
      <w:sz w:val="18"/>
      <w:lang w:val="en-US" w:eastAsia="zh-CN" w:bidi="ar-SA"/>
    </w:rPr>
  </w:style>
  <w:style w:type="character" w:customStyle="1" w:styleId="75">
    <w:name w:val="不明显强调1"/>
    <w:qFormat/>
    <w:uiPriority w:val="0"/>
    <w:rPr>
      <w:i/>
      <w:iCs/>
      <w:color w:val="808080"/>
    </w:rPr>
  </w:style>
  <w:style w:type="character" w:customStyle="1" w:styleId="76">
    <w:name w:val="Char Char2"/>
    <w:qFormat/>
    <w:uiPriority w:val="0"/>
    <w:rPr>
      <w:rFonts w:hint="eastAsia" w:ascii="宋体" w:hAnsi="Courier New" w:eastAsia="宋体"/>
      <w:kern w:val="2"/>
      <w:sz w:val="21"/>
    </w:rPr>
  </w:style>
  <w:style w:type="character" w:customStyle="1" w:styleId="77">
    <w:name w:val="Char Char"/>
    <w:qFormat/>
    <w:uiPriority w:val="0"/>
    <w:rPr>
      <w:rFonts w:hint="eastAsia" w:ascii="宋体" w:hAnsi="Courier New" w:eastAsia="宋体"/>
      <w:kern w:val="2"/>
      <w:sz w:val="21"/>
      <w:lang w:val="en-US" w:eastAsia="zh-CN" w:bidi="ar-SA"/>
    </w:rPr>
  </w:style>
  <w:style w:type="character" w:customStyle="1" w:styleId="78">
    <w:name w:val="正文文本 2 Char"/>
    <w:link w:val="34"/>
    <w:semiHidden/>
    <w:qFormat/>
    <w:uiPriority w:val="0"/>
    <w:rPr>
      <w:rFonts w:ascii="Times New Roman" w:hAnsi="Times New Roman"/>
      <w:b/>
      <w:bCs/>
      <w:color w:val="000000"/>
      <w:kern w:val="2"/>
      <w:sz w:val="28"/>
      <w:szCs w:val="24"/>
    </w:rPr>
  </w:style>
  <w:style w:type="character" w:customStyle="1" w:styleId="79">
    <w:name w:val="正文文本缩进 Char"/>
    <w:link w:val="15"/>
    <w:semiHidden/>
    <w:qFormat/>
    <w:uiPriority w:val="0"/>
    <w:rPr>
      <w:rFonts w:ascii="宋体" w:hAnsi="Times New Roman"/>
      <w:sz w:val="24"/>
    </w:rPr>
  </w:style>
  <w:style w:type="character" w:customStyle="1" w:styleId="80">
    <w:name w:val="纯文本 字符"/>
    <w:qFormat/>
    <w:uiPriority w:val="0"/>
    <w:rPr>
      <w:rFonts w:ascii="宋体" w:hAnsi="Courier New" w:eastAsia="宋体" w:cs="Courier New"/>
      <w:kern w:val="2"/>
      <w:sz w:val="21"/>
      <w:szCs w:val="21"/>
      <w:lang w:val="en-US" w:eastAsia="zh-CN" w:bidi="ar-SA"/>
    </w:rPr>
  </w:style>
  <w:style w:type="character" w:customStyle="1" w:styleId="81">
    <w:name w:val="批注文字 Char"/>
    <w:link w:val="11"/>
    <w:semiHidden/>
    <w:qFormat/>
    <w:uiPriority w:val="0"/>
    <w:rPr>
      <w:rFonts w:ascii="Times New Roman" w:hAnsi="Times New Roman"/>
      <w:kern w:val="2"/>
      <w:sz w:val="21"/>
      <w:szCs w:val="24"/>
    </w:rPr>
  </w:style>
  <w:style w:type="character" w:customStyle="1" w:styleId="82">
    <w:name w:val="正文文本缩进 3 Char"/>
    <w:link w:val="31"/>
    <w:semiHidden/>
    <w:qFormat/>
    <w:uiPriority w:val="0"/>
    <w:rPr>
      <w:rFonts w:ascii="Times New Roman" w:hAnsi="Times New Roman" w:eastAsia="黑体"/>
      <w:color w:val="000000"/>
      <w:kern w:val="2"/>
      <w:sz w:val="24"/>
      <w:szCs w:val="24"/>
    </w:rPr>
  </w:style>
  <w:style w:type="character" w:customStyle="1" w:styleId="83">
    <w:name w:val="无间隔 Char"/>
    <w:link w:val="84"/>
    <w:qFormat/>
    <w:locked/>
    <w:uiPriority w:val="0"/>
    <w:rPr>
      <w:rFonts w:cs="Calibri"/>
      <w:kern w:val="2"/>
      <w:sz w:val="21"/>
      <w:szCs w:val="22"/>
      <w:lang w:val="en-US" w:eastAsia="zh-CN" w:bidi="ar-SA"/>
    </w:rPr>
  </w:style>
  <w:style w:type="paragraph" w:styleId="84">
    <w:name w:val="No Spacing"/>
    <w:link w:val="83"/>
    <w:qFormat/>
    <w:uiPriority w:val="0"/>
    <w:pPr>
      <w:widowControl w:val="0"/>
      <w:jc w:val="both"/>
    </w:pPr>
    <w:rPr>
      <w:rFonts w:ascii="Calibri" w:hAnsi="Calibri" w:eastAsia="宋体" w:cs="Calibri"/>
      <w:kern w:val="2"/>
      <w:sz w:val="21"/>
      <w:szCs w:val="22"/>
      <w:lang w:val="en-US" w:eastAsia="zh-CN" w:bidi="ar-SA"/>
    </w:rPr>
  </w:style>
  <w:style w:type="character" w:customStyle="1" w:styleId="85">
    <w:name w:val="unnamed1"/>
    <w:basedOn w:val="41"/>
    <w:qFormat/>
    <w:uiPriority w:val="0"/>
  </w:style>
  <w:style w:type="character" w:customStyle="1" w:styleId="86">
    <w:name w:val="Char Char3"/>
    <w:qFormat/>
    <w:uiPriority w:val="0"/>
    <w:rPr>
      <w:rFonts w:hint="eastAsia" w:ascii="宋体" w:hAnsi="Courier New" w:eastAsia="宋体"/>
      <w:kern w:val="2"/>
      <w:sz w:val="21"/>
      <w:lang w:val="en-US" w:eastAsia="zh-CN" w:bidi="ar-SA"/>
    </w:rPr>
  </w:style>
  <w:style w:type="character" w:customStyle="1" w:styleId="87">
    <w:name w:val="纯文本 Char"/>
    <w:qFormat/>
    <w:uiPriority w:val="0"/>
    <w:rPr>
      <w:rFonts w:ascii="宋体" w:hAnsi="Courier New" w:cs="Courier New"/>
      <w:kern w:val="2"/>
      <w:sz w:val="21"/>
      <w:szCs w:val="21"/>
    </w:rPr>
  </w:style>
  <w:style w:type="character" w:customStyle="1" w:styleId="88">
    <w:name w:val="批注框文本 Char"/>
    <w:link w:val="24"/>
    <w:semiHidden/>
    <w:qFormat/>
    <w:uiPriority w:val="0"/>
    <w:rPr>
      <w:rFonts w:ascii="Times New Roman" w:hAnsi="Times New Roman" w:eastAsia="宋体" w:cs="Times New Roman"/>
      <w:sz w:val="18"/>
      <w:szCs w:val="18"/>
    </w:rPr>
  </w:style>
  <w:style w:type="character" w:customStyle="1" w:styleId="89">
    <w:name w:val="页眉 Char"/>
    <w:link w:val="26"/>
    <w:qFormat/>
    <w:uiPriority w:val="99"/>
    <w:rPr>
      <w:sz w:val="18"/>
      <w:szCs w:val="18"/>
    </w:rPr>
  </w:style>
  <w:style w:type="character" w:customStyle="1" w:styleId="90">
    <w:name w:val="body001"/>
    <w:qFormat/>
    <w:uiPriority w:val="0"/>
    <w:rPr>
      <w:rFonts w:hint="default" w:ascii="ˎ̥" w:hAnsi="ˎ̥"/>
      <w:color w:val="333333"/>
      <w:sz w:val="18"/>
      <w:szCs w:val="18"/>
    </w:rPr>
  </w:style>
  <w:style w:type="character" w:customStyle="1" w:styleId="91">
    <w:name w:val="search_content1"/>
    <w:qFormat/>
    <w:uiPriority w:val="0"/>
    <w:rPr>
      <w:sz w:val="20"/>
      <w:szCs w:val="20"/>
    </w:rPr>
  </w:style>
  <w:style w:type="character" w:customStyle="1" w:styleId="92">
    <w:name w:val="apple-converted-space"/>
    <w:basedOn w:val="41"/>
    <w:qFormat/>
    <w:uiPriority w:val="0"/>
  </w:style>
  <w:style w:type="character" w:customStyle="1" w:styleId="93">
    <w:name w:val="style1"/>
    <w:basedOn w:val="41"/>
    <w:qFormat/>
    <w:uiPriority w:val="0"/>
  </w:style>
  <w:style w:type="character" w:customStyle="1" w:styleId="94">
    <w:name w:val="纯文本 Char1"/>
    <w:link w:val="20"/>
    <w:qFormat/>
    <w:locked/>
    <w:uiPriority w:val="0"/>
    <w:rPr>
      <w:rFonts w:ascii="宋体" w:hAnsi="Courier New"/>
      <w:kern w:val="2"/>
      <w:sz w:val="21"/>
    </w:rPr>
  </w:style>
  <w:style w:type="character" w:customStyle="1" w:styleId="95">
    <w:name w:val="hei16b1"/>
    <w:qFormat/>
    <w:uiPriority w:val="0"/>
    <w:rPr>
      <w:rFonts w:hint="default" w:ascii="Arial" w:hAnsi="Arial" w:cs="Arial"/>
      <w:b/>
      <w:bCs/>
      <w:color w:val="000000"/>
      <w:sz w:val="24"/>
      <w:szCs w:val="24"/>
    </w:rPr>
  </w:style>
  <w:style w:type="character" w:customStyle="1" w:styleId="96">
    <w:name w:val="正文文本 3 Char"/>
    <w:link w:val="12"/>
    <w:semiHidden/>
    <w:qFormat/>
    <w:uiPriority w:val="0"/>
    <w:rPr>
      <w:rFonts w:ascii="楷体_GB2312" w:hAnsi="Times New Roman" w:eastAsia="楷体_GB2312"/>
      <w:b/>
      <w:color w:val="000000"/>
      <w:kern w:val="2"/>
      <w:sz w:val="30"/>
      <w:szCs w:val="24"/>
    </w:rPr>
  </w:style>
  <w:style w:type="character" w:customStyle="1" w:styleId="97">
    <w:name w:val="标题 Char1"/>
    <w:link w:val="37"/>
    <w:qFormat/>
    <w:locked/>
    <w:uiPriority w:val="0"/>
    <w:rPr>
      <w:rFonts w:ascii="Times New Roman" w:hAnsi="Times New Roman"/>
      <w:kern w:val="2"/>
      <w:sz w:val="30"/>
      <w:szCs w:val="24"/>
    </w:rPr>
  </w:style>
  <w:style w:type="character" w:customStyle="1" w:styleId="98">
    <w:name w:val="标题 4 Char"/>
    <w:link w:val="7"/>
    <w:qFormat/>
    <w:uiPriority w:val="9"/>
    <w:rPr>
      <w:rFonts w:ascii="Cambria" w:hAnsi="Cambria" w:eastAsia="宋体" w:cs="Times New Roman"/>
      <w:b/>
      <w:bCs/>
      <w:kern w:val="2"/>
      <w:sz w:val="21"/>
      <w:szCs w:val="28"/>
    </w:rPr>
  </w:style>
  <w:style w:type="character" w:customStyle="1" w:styleId="99">
    <w:name w:val="unnamed51"/>
    <w:qFormat/>
    <w:uiPriority w:val="0"/>
    <w:rPr>
      <w:sz w:val="22"/>
      <w:szCs w:val="22"/>
    </w:rPr>
  </w:style>
  <w:style w:type="character" w:customStyle="1" w:styleId="100">
    <w:name w:val="日期 Char"/>
    <w:link w:val="22"/>
    <w:semiHidden/>
    <w:qFormat/>
    <w:uiPriority w:val="0"/>
    <w:rPr>
      <w:rFonts w:ascii="Times New Roman" w:hAnsi="Times New Roman"/>
      <w:color w:val="000000"/>
      <w:kern w:val="2"/>
      <w:sz w:val="24"/>
      <w:szCs w:val="24"/>
    </w:rPr>
  </w:style>
  <w:style w:type="character" w:customStyle="1" w:styleId="101">
    <w:name w:val="页眉 字符"/>
    <w:qFormat/>
    <w:locked/>
    <w:uiPriority w:val="0"/>
    <w:rPr>
      <w:rFonts w:eastAsia="宋体"/>
      <w:kern w:val="2"/>
      <w:sz w:val="18"/>
      <w:lang w:val="en-US" w:eastAsia="zh-CN" w:bidi="ar-SA"/>
    </w:rPr>
  </w:style>
  <w:style w:type="paragraph" w:customStyle="1" w:styleId="1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4">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5">
    <w:name w:val="标题3"/>
    <w:basedOn w:val="6"/>
    <w:qFormat/>
    <w:uiPriority w:val="0"/>
    <w:pPr>
      <w:spacing w:before="260" w:after="260" w:line="415" w:lineRule="auto"/>
    </w:pPr>
    <w:rPr>
      <w:rFonts w:ascii="宋体" w:hAnsi="宋体"/>
      <w:sz w:val="28"/>
      <w:szCs w:val="28"/>
    </w:rPr>
  </w:style>
  <w:style w:type="paragraph" w:customStyle="1" w:styleId="106">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9">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10">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1">
    <w:name w:val="样式1"/>
    <w:basedOn w:val="1"/>
    <w:qFormat/>
    <w:uiPriority w:val="0"/>
    <w:pPr>
      <w:spacing w:line="360" w:lineRule="exact"/>
    </w:pPr>
    <w:rPr>
      <w:rFonts w:ascii="Arial" w:hAnsi="Arial"/>
      <w:sz w:val="21"/>
    </w:rPr>
  </w:style>
  <w:style w:type="paragraph" w:customStyle="1" w:styleId="112">
    <w:name w:val="_Style 40"/>
    <w:basedOn w:val="1"/>
    <w:qFormat/>
    <w:uiPriority w:val="0"/>
    <w:pPr>
      <w:spacing w:line="240" w:lineRule="auto"/>
      <w:ind w:firstLine="0" w:firstLineChars="0"/>
    </w:pPr>
  </w:style>
  <w:style w:type="paragraph" w:customStyle="1" w:styleId="11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4">
    <w:name w:val="TOC 标题1"/>
    <w:basedOn w:val="5"/>
    <w:next w:val="1"/>
    <w:qFormat/>
    <w:uiPriority w:val="39"/>
    <w:pPr>
      <w:widowControl/>
      <w:spacing w:line="240" w:lineRule="auto"/>
      <w:outlineLvl w:val="9"/>
    </w:pPr>
    <w:rPr>
      <w:kern w:val="0"/>
      <w:sz w:val="21"/>
      <w:szCs w:val="28"/>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8">
    <w:name w:val="列表段落"/>
    <w:basedOn w:val="1"/>
    <w:qFormat/>
    <w:uiPriority w:val="0"/>
    <w:pPr>
      <w:ind w:firstLine="420"/>
    </w:pPr>
  </w:style>
  <w:style w:type="paragraph" w:customStyle="1" w:styleId="11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1">
    <w:name w:val="Char Char Char Char Char Char Char Char"/>
    <w:basedOn w:val="1"/>
    <w:qFormat/>
    <w:uiPriority w:val="0"/>
    <w:pPr>
      <w:tabs>
        <w:tab w:val="left" w:pos="360"/>
      </w:tabs>
      <w:spacing w:line="240" w:lineRule="auto"/>
      <w:ind w:firstLine="0" w:firstLineChars="0"/>
    </w:pPr>
    <w:rPr>
      <w:szCs w:val="20"/>
    </w:rPr>
  </w:style>
  <w:style w:type="paragraph" w:customStyle="1" w:styleId="122">
    <w:name w:val="正文格式"/>
    <w:basedOn w:val="1"/>
    <w:qFormat/>
    <w:uiPriority w:val="0"/>
    <w:pPr>
      <w:widowControl/>
      <w:adjustRightInd w:val="0"/>
      <w:snapToGrid w:val="0"/>
      <w:ind w:firstLine="482" w:firstLineChars="0"/>
    </w:pPr>
    <w:rPr>
      <w:kern w:val="0"/>
      <w:szCs w:val="20"/>
    </w:rPr>
  </w:style>
  <w:style w:type="paragraph" w:customStyle="1" w:styleId="123">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4">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5">
    <w:name w:val="Char Char Char Char Char Char"/>
    <w:basedOn w:val="1"/>
    <w:qFormat/>
    <w:uiPriority w:val="0"/>
    <w:pPr>
      <w:spacing w:line="240" w:lineRule="auto"/>
    </w:pPr>
    <w:rPr>
      <w:rFonts w:ascii="Tahoma" w:hAnsi="Tahoma"/>
      <w:szCs w:val="20"/>
    </w:rPr>
  </w:style>
  <w:style w:type="paragraph" w:customStyle="1" w:styleId="1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7">
    <w:name w:val="小标题2"/>
    <w:basedOn w:val="1"/>
    <w:next w:val="1"/>
    <w:qFormat/>
    <w:uiPriority w:val="0"/>
    <w:pPr>
      <w:spacing w:beforeLines="20" w:afterLines="20" w:line="400" w:lineRule="exact"/>
    </w:pPr>
    <w:rPr>
      <w:rFonts w:eastAsia="楷体_GB2312"/>
    </w:rPr>
  </w:style>
  <w:style w:type="paragraph" w:customStyle="1" w:styleId="128">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9">
    <w:name w:val="_Style 54"/>
    <w:basedOn w:val="1"/>
    <w:qFormat/>
    <w:uiPriority w:val="0"/>
    <w:pPr>
      <w:spacing w:line="240" w:lineRule="auto"/>
      <w:ind w:firstLine="0" w:firstLineChars="0"/>
    </w:pPr>
  </w:style>
  <w:style w:type="paragraph" w:customStyle="1" w:styleId="130">
    <w:name w:val="p16"/>
    <w:basedOn w:val="1"/>
    <w:qFormat/>
    <w:uiPriority w:val="0"/>
    <w:pPr>
      <w:widowControl/>
      <w:spacing w:line="240" w:lineRule="auto"/>
      <w:ind w:left="420" w:hanging="420" w:firstLineChars="0"/>
    </w:pPr>
    <w:rPr>
      <w:kern w:val="0"/>
      <w:szCs w:val="21"/>
    </w:rPr>
  </w:style>
  <w:style w:type="paragraph" w:customStyle="1" w:styleId="131">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2">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4">
    <w:name w:val="head 1.1.1"/>
    <w:basedOn w:val="118"/>
    <w:qFormat/>
    <w:uiPriority w:val="0"/>
    <w:pPr>
      <w:numPr>
        <w:ilvl w:val="2"/>
        <w:numId w:val="3"/>
      </w:numPr>
      <w:spacing w:line="240" w:lineRule="auto"/>
      <w:ind w:firstLine="0" w:firstLineChars="0"/>
    </w:pPr>
    <w:rPr>
      <w:bCs/>
      <w:szCs w:val="22"/>
    </w:rPr>
  </w:style>
  <w:style w:type="paragraph" w:customStyle="1" w:styleId="1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6">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7">
    <w:name w:val="默认段落字体 Para Char Char Char Char Char Char Char Char Char1 Char Char Char Char"/>
    <w:basedOn w:val="1"/>
    <w:qFormat/>
    <w:uiPriority w:val="0"/>
    <w:rPr>
      <w:rFonts w:ascii="Tahoma" w:hAnsi="Tahoma"/>
      <w:szCs w:val="20"/>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9">
    <w:name w:val="head 1.1"/>
    <w:basedOn w:val="118"/>
    <w:qFormat/>
    <w:uiPriority w:val="0"/>
    <w:pPr>
      <w:numPr>
        <w:ilvl w:val="1"/>
        <w:numId w:val="3"/>
      </w:numPr>
      <w:spacing w:before="260" w:after="260" w:line="240" w:lineRule="auto"/>
      <w:ind w:firstLine="0" w:firstLineChars="0"/>
    </w:pPr>
    <w:rPr>
      <w:rFonts w:ascii="宋体" w:hAnsi="宋体"/>
      <w:bCs/>
      <w:szCs w:val="22"/>
    </w:rPr>
  </w:style>
  <w:style w:type="paragraph" w:customStyle="1" w:styleId="140">
    <w:name w:val="Char2"/>
    <w:basedOn w:val="1"/>
    <w:qFormat/>
    <w:uiPriority w:val="0"/>
    <w:pPr>
      <w:spacing w:line="240" w:lineRule="auto"/>
      <w:ind w:firstLine="0" w:firstLineChars="0"/>
    </w:pPr>
    <w:rPr>
      <w:rFonts w:ascii="仿宋_GB2312" w:eastAsia="仿宋_GB2312"/>
      <w:b/>
      <w:sz w:val="32"/>
      <w:szCs w:val="32"/>
    </w:rPr>
  </w:style>
  <w:style w:type="paragraph" w:customStyle="1" w:styleId="141">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2">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4">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5">
    <w:name w:val="p0"/>
    <w:basedOn w:val="1"/>
    <w:qFormat/>
    <w:uiPriority w:val="0"/>
    <w:pPr>
      <w:widowControl/>
      <w:spacing w:line="240" w:lineRule="auto"/>
      <w:ind w:firstLine="0" w:firstLineChars="0"/>
    </w:pPr>
    <w:rPr>
      <w:kern w:val="0"/>
      <w:szCs w:val="21"/>
    </w:rPr>
  </w:style>
  <w:style w:type="paragraph" w:customStyle="1" w:styleId="1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7">
    <w:name w:val="正文－恩普"/>
    <w:basedOn w:val="9"/>
    <w:qFormat/>
    <w:uiPriority w:val="0"/>
    <w:pPr>
      <w:widowControl/>
      <w:spacing w:afterLines="50" w:line="360" w:lineRule="auto"/>
      <w:ind w:firstLine="480" w:firstLineChars="200"/>
      <w:jc w:val="left"/>
    </w:p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9">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1">
    <w:name w:val="Blockquote"/>
    <w:basedOn w:val="1"/>
    <w:qFormat/>
    <w:uiPriority w:val="0"/>
    <w:pPr>
      <w:autoSpaceDE w:val="0"/>
      <w:autoSpaceDN w:val="0"/>
      <w:adjustRightInd w:val="0"/>
      <w:spacing w:before="100" w:after="100"/>
      <w:ind w:left="360" w:right="360"/>
      <w:jc w:val="left"/>
    </w:pPr>
    <w:rPr>
      <w:kern w:val="0"/>
    </w:rPr>
  </w:style>
  <w:style w:type="paragraph" w:customStyle="1" w:styleId="152">
    <w:name w:val="Char Char Char"/>
    <w:basedOn w:val="1"/>
    <w:qFormat/>
    <w:uiPriority w:val="0"/>
    <w:pPr>
      <w:spacing w:line="240" w:lineRule="auto"/>
      <w:ind w:firstLine="0" w:firstLineChars="0"/>
    </w:pPr>
    <w:rPr>
      <w:rFonts w:ascii="Tahoma" w:hAnsi="Tahoma"/>
      <w:szCs w:val="20"/>
    </w:rPr>
  </w:style>
  <w:style w:type="paragraph" w:customStyle="1" w:styleId="153">
    <w:name w:val="列出段落1"/>
    <w:basedOn w:val="1"/>
    <w:qFormat/>
    <w:uiPriority w:val="0"/>
    <w:pPr>
      <w:spacing w:line="240" w:lineRule="auto"/>
      <w:ind w:firstLine="420"/>
    </w:pPr>
  </w:style>
  <w:style w:type="paragraph" w:customStyle="1" w:styleId="154">
    <w:name w:val="Char"/>
    <w:basedOn w:val="1"/>
    <w:qFormat/>
    <w:uiPriority w:val="0"/>
    <w:pPr>
      <w:spacing w:line="240" w:lineRule="auto"/>
      <w:ind w:firstLine="0" w:firstLineChars="0"/>
    </w:pPr>
    <w:rPr>
      <w:rFonts w:ascii="仿宋_GB2312" w:eastAsia="仿宋_GB2312"/>
      <w:b/>
      <w:sz w:val="32"/>
      <w:szCs w:val="32"/>
    </w:rPr>
  </w:style>
  <w:style w:type="paragraph" w:customStyle="1" w:styleId="1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6">
    <w:name w:val="默认段落字体 Para Char"/>
    <w:basedOn w:val="1"/>
    <w:qFormat/>
    <w:uiPriority w:val="0"/>
    <w:pPr>
      <w:spacing w:line="240" w:lineRule="auto"/>
      <w:ind w:firstLine="0" w:firstLineChars="0"/>
    </w:pPr>
  </w:style>
  <w:style w:type="paragraph" w:customStyle="1" w:styleId="157">
    <w:name w:val="Char1"/>
    <w:basedOn w:val="1"/>
    <w:qFormat/>
    <w:uiPriority w:val="0"/>
    <w:rPr>
      <w:rFonts w:ascii="Tahoma" w:hAnsi="Tahoma"/>
      <w:szCs w:val="20"/>
    </w:rPr>
  </w:style>
  <w:style w:type="paragraph" w:customStyle="1" w:styleId="158">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9">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60">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1">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5">
    <w:name w:val="font11"/>
    <w:basedOn w:val="41"/>
    <w:qFormat/>
    <w:uiPriority w:val="0"/>
    <w:rPr>
      <w:rFonts w:hint="eastAsia" w:ascii="宋体" w:hAnsi="宋体" w:eastAsia="宋体" w:cs="宋体"/>
      <w:color w:val="000000"/>
      <w:sz w:val="40"/>
      <w:szCs w:val="40"/>
      <w:u w:val="none"/>
    </w:rPr>
  </w:style>
  <w:style w:type="character" w:customStyle="1" w:styleId="166">
    <w:name w:val="font101"/>
    <w:qFormat/>
    <w:uiPriority w:val="0"/>
    <w:rPr>
      <w:rFonts w:hint="eastAsia" w:ascii="宋体" w:hAnsi="宋体" w:eastAsia="宋体" w:cs="宋体"/>
      <w:color w:val="000000"/>
      <w:sz w:val="18"/>
      <w:szCs w:val="18"/>
      <w:u w:val="none"/>
    </w:rPr>
  </w:style>
  <w:style w:type="paragraph" w:customStyle="1" w:styleId="167">
    <w:name w:val="样式2"/>
    <w:basedOn w:val="14"/>
    <w:qFormat/>
    <w:uiPriority w:val="0"/>
    <w:pPr>
      <w:spacing w:before="100" w:beforeAutospacing="1" w:line="240" w:lineRule="auto"/>
    </w:pPr>
    <w:rPr>
      <w:rFonts w:ascii="仿宋_GB2312" w:hAnsi="仿宋_GB2312" w:eastAsia="宋体"/>
      <w:sz w:val="21"/>
    </w:rPr>
  </w:style>
  <w:style w:type="character" w:customStyle="1" w:styleId="168">
    <w:name w:val="NormalCharacter"/>
    <w:link w:val="1"/>
    <w:qFormat/>
    <w:uiPriority w:val="0"/>
    <w:rPr>
      <w:rFonts w:ascii="Calibri" w:hAnsi="Calibri" w:eastAsia="宋体" w:cs="Times New Roman"/>
      <w:kern w:val="2"/>
      <w:sz w:val="24"/>
      <w:szCs w:val="24"/>
      <w:lang w:val="en-US" w:eastAsia="zh-CN" w:bidi="ar-SA"/>
    </w:rPr>
  </w:style>
  <w:style w:type="paragraph" w:styleId="169">
    <w:name w:val="List Paragraph"/>
    <w:basedOn w:val="1"/>
    <w:qFormat/>
    <w:uiPriority w:val="34"/>
    <w:pPr>
      <w:ind w:firstLine="420"/>
    </w:pPr>
    <w:rPr>
      <w:szCs w:val="22"/>
    </w:rPr>
  </w:style>
  <w:style w:type="paragraph" w:customStyle="1" w:styleId="17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4"/>
    <customShpInfo spid="_x0000_s2065"/>
    <customShpInfo spid="_x0000_s2066"/>
    <customShpInfo spid="_x0000_s2067"/>
    <customShpInfo spid="_x0000_s206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6229</Words>
  <Characters>35511</Characters>
  <Lines>295</Lines>
  <Paragraphs>83</Paragraphs>
  <TotalTime>20</TotalTime>
  <ScaleCrop>false</ScaleCrop>
  <LinksUpToDate>false</LinksUpToDate>
  <CharactersWithSpaces>41657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2019-01-18T09:07:00Z</dcterms:created>
  <dc:creator>Administrator</dc:creator>
  <cp:lastModifiedBy>TZ</cp:lastModifiedBy>
  <cp:lastPrinted>2018-11-09T14:35:00Z</cp:lastPrinted>
  <dcterms:modified xsi:type="dcterms:W3CDTF">2020-06-11T08:31:38Z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