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 xml:space="preserve">杭州市临安区第五人民医院保安保洁勤务服务采购项目 </w:t>
      </w:r>
    </w:p>
    <w:p>
      <w:pPr>
        <w:jc w:val="center"/>
        <w:rPr>
          <w:rFonts w:hint="eastAsia" w:eastAsiaTheme="minorEastAsia"/>
          <w:b/>
          <w:bCs/>
          <w:sz w:val="32"/>
          <w:szCs w:val="32"/>
          <w:lang w:val="en-US" w:eastAsia="zh-CN"/>
        </w:rPr>
      </w:pPr>
      <w:r>
        <w:rPr>
          <w:rFonts w:hint="eastAsia"/>
          <w:b/>
          <w:bCs/>
          <w:sz w:val="32"/>
          <w:szCs w:val="32"/>
          <w:lang w:val="en-US" w:eastAsia="zh-CN"/>
        </w:rPr>
        <w:t>更正公告</w:t>
      </w:r>
    </w:p>
    <w:p>
      <w:pPr>
        <w:rPr>
          <w:rFonts w:hint="eastAsia"/>
          <w:b w:val="0"/>
          <w:bCs w:val="0"/>
          <w:sz w:val="28"/>
          <w:szCs w:val="28"/>
          <w:lang w:val="en-US" w:eastAsia="zh-CN"/>
        </w:rPr>
      </w:pPr>
      <w:r>
        <w:rPr>
          <w:rFonts w:hint="eastAsia"/>
          <w:b w:val="0"/>
          <w:bCs w:val="0"/>
          <w:sz w:val="28"/>
          <w:szCs w:val="28"/>
          <w:lang w:val="en-US" w:eastAsia="zh-CN"/>
        </w:rPr>
        <w:t>各投标供应商：</w:t>
      </w:r>
    </w:p>
    <w:p>
      <w:pPr>
        <w:ind w:firstLine="560" w:firstLineChars="200"/>
        <w:rPr>
          <w:rFonts w:hint="eastAsia"/>
          <w:b w:val="0"/>
          <w:bCs w:val="0"/>
          <w:sz w:val="28"/>
          <w:szCs w:val="28"/>
          <w:lang w:val="en-US" w:eastAsia="zh-CN"/>
        </w:rPr>
      </w:pPr>
      <w:r>
        <w:rPr>
          <w:rFonts w:hint="eastAsia"/>
          <w:b w:val="0"/>
          <w:bCs w:val="0"/>
          <w:sz w:val="28"/>
          <w:szCs w:val="28"/>
          <w:lang w:val="en-US" w:eastAsia="zh-CN"/>
        </w:rPr>
        <w:t>杭州市临安区第五人民医院保安保洁勤务服务采购项目已进入招投标阶段，现将采购文件中有关事项作如下补充更正：</w:t>
      </w:r>
    </w:p>
    <w:p>
      <w:pPr>
        <w:numPr>
          <w:ilvl w:val="0"/>
          <w:numId w:val="1"/>
        </w:numPr>
        <w:rPr>
          <w:rFonts w:hint="eastAsia"/>
          <w:b w:val="0"/>
          <w:bCs w:val="0"/>
          <w:sz w:val="28"/>
          <w:szCs w:val="28"/>
          <w:lang w:val="en-US" w:eastAsia="zh-CN"/>
        </w:rPr>
      </w:pPr>
      <w:r>
        <w:rPr>
          <w:rFonts w:hint="eastAsia"/>
          <w:b w:val="0"/>
          <w:bCs w:val="0"/>
          <w:sz w:val="28"/>
          <w:szCs w:val="28"/>
          <w:lang w:val="en-US" w:eastAsia="zh-CN"/>
        </w:rPr>
        <w:t>“第三章评标办法及评标标准”中的“评分细则”现做出如下更正调整。</w:t>
      </w:r>
    </w:p>
    <w:tbl>
      <w:tblPr>
        <w:tblStyle w:val="6"/>
        <w:tblW w:w="95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73"/>
        <w:gridCol w:w="1375"/>
        <w:gridCol w:w="1375"/>
        <w:gridCol w:w="64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373" w:type="dxa"/>
            <w:noWrap w:val="0"/>
            <w:vAlign w:val="center"/>
          </w:tcPr>
          <w:p>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750" w:type="dxa"/>
            <w:gridSpan w:val="2"/>
            <w:noWrap w:val="0"/>
            <w:vAlign w:val="center"/>
          </w:tcPr>
          <w:p>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考评项目</w:t>
            </w:r>
          </w:p>
        </w:tc>
        <w:tc>
          <w:tcPr>
            <w:tcW w:w="6438" w:type="dxa"/>
            <w:noWrap w:val="0"/>
            <w:vAlign w:val="center"/>
          </w:tcPr>
          <w:p>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评分细则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73" w:type="dxa"/>
            <w:vMerge w:val="restart"/>
            <w:noWrap w:val="0"/>
            <w:vAlign w:val="center"/>
          </w:tcPr>
          <w:p>
            <w:pPr>
              <w:widowControl/>
              <w:spacing w:line="32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375" w:type="dxa"/>
            <w:vMerge w:val="restart"/>
            <w:noWrap w:val="0"/>
            <w:vAlign w:val="center"/>
          </w:tcPr>
          <w:p>
            <w:pPr>
              <w:widowControl/>
              <w:spacing w:line="32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商务资信分（20分）</w:t>
            </w:r>
          </w:p>
        </w:tc>
        <w:tc>
          <w:tcPr>
            <w:tcW w:w="1375" w:type="dxa"/>
            <w:noWrap w:val="0"/>
            <w:vAlign w:val="center"/>
          </w:tcPr>
          <w:p>
            <w:pPr>
              <w:spacing w:line="320" w:lineRule="exact"/>
              <w:jc w:val="left"/>
              <w:rPr>
                <w:rFonts w:hint="eastAsia" w:ascii="宋体" w:hAnsi="宋体" w:cs="宋体"/>
                <w:color w:val="FF0000"/>
                <w:kern w:val="0"/>
                <w:sz w:val="24"/>
                <w:highlight w:val="none"/>
                <w:lang w:val="en-US" w:eastAsia="zh-CN"/>
              </w:rPr>
            </w:pPr>
            <w:r>
              <w:rPr>
                <w:rFonts w:hint="eastAsia" w:ascii="宋体" w:hAnsi="宋体" w:cs="宋体"/>
                <w:color w:val="FF0000"/>
              </w:rPr>
              <w:t>企业信誉（0-</w:t>
            </w:r>
            <w:r>
              <w:rPr>
                <w:rFonts w:hint="eastAsia" w:ascii="宋体" w:hAnsi="宋体" w:cs="宋体"/>
                <w:color w:val="FF0000"/>
                <w:lang w:val="en-US" w:eastAsia="zh-CN"/>
              </w:rPr>
              <w:t>3</w:t>
            </w:r>
            <w:r>
              <w:rPr>
                <w:rFonts w:hint="eastAsia" w:ascii="宋体" w:hAnsi="宋体" w:cs="宋体"/>
                <w:color w:val="FF0000"/>
              </w:rPr>
              <w:t>分）</w:t>
            </w:r>
          </w:p>
        </w:tc>
        <w:tc>
          <w:tcPr>
            <w:tcW w:w="6438" w:type="dxa"/>
            <w:noWrap w:val="0"/>
            <w:vAlign w:val="center"/>
          </w:tcPr>
          <w:p>
            <w:pPr>
              <w:pStyle w:val="5"/>
              <w:spacing w:line="360" w:lineRule="auto"/>
              <w:ind w:firstLine="0" w:firstLineChars="0"/>
              <w:rPr>
                <w:rFonts w:hint="eastAsia" w:hAnsi="宋体" w:cs="宋体"/>
                <w:color w:val="FF0000"/>
                <w:sz w:val="21"/>
                <w:szCs w:val="21"/>
              </w:rPr>
            </w:pPr>
            <w:r>
              <w:rPr>
                <w:rFonts w:hint="eastAsia" w:hAnsi="宋体" w:cs="宋体"/>
                <w:color w:val="FF0000"/>
                <w:sz w:val="21"/>
                <w:szCs w:val="21"/>
              </w:rPr>
              <w:t>1、投标人具有AAA</w:t>
            </w:r>
            <w:r>
              <w:rPr>
                <w:rFonts w:hint="eastAsia" w:hAnsi="宋体" w:cs="宋体"/>
                <w:color w:val="FF0000"/>
                <w:sz w:val="21"/>
                <w:szCs w:val="21"/>
                <w:lang w:eastAsia="zh-CN"/>
              </w:rPr>
              <w:t>级</w:t>
            </w:r>
            <w:r>
              <w:rPr>
                <w:rFonts w:hint="eastAsia" w:hAnsi="宋体" w:cs="宋体"/>
                <w:color w:val="FF0000"/>
                <w:sz w:val="21"/>
                <w:szCs w:val="21"/>
              </w:rPr>
              <w:t>企业信用等级证书得</w:t>
            </w:r>
            <w:r>
              <w:rPr>
                <w:rFonts w:hint="eastAsia" w:hAnsi="宋体" w:cs="宋体"/>
                <w:color w:val="FF0000"/>
                <w:sz w:val="21"/>
                <w:szCs w:val="21"/>
                <w:lang w:val="en-US" w:eastAsia="zh-CN"/>
              </w:rPr>
              <w:t>1</w:t>
            </w:r>
            <w:r>
              <w:rPr>
                <w:rFonts w:hint="eastAsia" w:hAnsi="宋体" w:cs="宋体"/>
                <w:color w:val="FF0000"/>
                <w:sz w:val="21"/>
                <w:szCs w:val="21"/>
              </w:rPr>
              <w:t>分，AA</w:t>
            </w:r>
            <w:r>
              <w:rPr>
                <w:rFonts w:hint="eastAsia" w:hAnsi="宋体" w:cs="宋体"/>
                <w:color w:val="FF0000"/>
                <w:sz w:val="21"/>
                <w:szCs w:val="21"/>
                <w:lang w:val="en-US" w:eastAsia="zh-CN"/>
              </w:rPr>
              <w:t>A级质量服务信誉单位</w:t>
            </w:r>
            <w:r>
              <w:rPr>
                <w:rFonts w:hint="eastAsia" w:hAnsi="宋体" w:cs="宋体"/>
                <w:color w:val="FF0000"/>
                <w:sz w:val="21"/>
                <w:szCs w:val="21"/>
              </w:rPr>
              <w:t>的得</w:t>
            </w:r>
            <w:r>
              <w:rPr>
                <w:rFonts w:hint="eastAsia" w:hAnsi="宋体" w:cs="宋体"/>
                <w:color w:val="FF0000"/>
                <w:sz w:val="21"/>
                <w:szCs w:val="21"/>
                <w:lang w:val="en-US" w:eastAsia="zh-CN"/>
              </w:rPr>
              <w:t>1</w:t>
            </w:r>
            <w:r>
              <w:rPr>
                <w:rFonts w:hint="eastAsia" w:hAnsi="宋体" w:cs="宋体"/>
                <w:color w:val="FF0000"/>
                <w:sz w:val="21"/>
                <w:szCs w:val="21"/>
              </w:rPr>
              <w:t>分，A</w:t>
            </w:r>
            <w:r>
              <w:rPr>
                <w:rFonts w:hint="eastAsia" w:hAnsi="宋体" w:cs="宋体"/>
                <w:color w:val="FF0000"/>
                <w:sz w:val="21"/>
                <w:szCs w:val="21"/>
                <w:lang w:val="en-US" w:eastAsia="zh-CN"/>
              </w:rPr>
              <w:t>AA级重合同守信用单位</w:t>
            </w:r>
            <w:r>
              <w:rPr>
                <w:rFonts w:hint="eastAsia" w:hAnsi="宋体" w:cs="宋体"/>
                <w:color w:val="FF0000"/>
                <w:sz w:val="21"/>
                <w:szCs w:val="21"/>
              </w:rPr>
              <w:t>的得</w:t>
            </w:r>
            <w:r>
              <w:rPr>
                <w:rFonts w:hint="eastAsia" w:hAnsi="宋体" w:cs="宋体"/>
                <w:color w:val="FF0000"/>
                <w:sz w:val="21"/>
                <w:szCs w:val="21"/>
                <w:lang w:val="en-US" w:eastAsia="zh-CN"/>
              </w:rPr>
              <w:t>1</w:t>
            </w:r>
            <w:r>
              <w:rPr>
                <w:rFonts w:hint="eastAsia" w:hAnsi="宋体" w:cs="宋体"/>
                <w:color w:val="FF0000"/>
                <w:sz w:val="21"/>
                <w:szCs w:val="21"/>
              </w:rPr>
              <w:t>分。（0-</w:t>
            </w:r>
            <w:r>
              <w:rPr>
                <w:rFonts w:hint="eastAsia" w:hAnsi="宋体" w:cs="宋体"/>
                <w:color w:val="FF0000"/>
                <w:sz w:val="21"/>
                <w:szCs w:val="21"/>
                <w:lang w:val="en-US" w:eastAsia="zh-CN"/>
              </w:rPr>
              <w:t>3</w:t>
            </w:r>
            <w:r>
              <w:rPr>
                <w:rFonts w:hint="eastAsia" w:hAnsi="宋体" w:cs="宋体"/>
                <w:color w:val="FF0000"/>
                <w:sz w:val="21"/>
                <w:szCs w:val="21"/>
              </w:rPr>
              <w:t>分）</w:t>
            </w:r>
          </w:p>
          <w:p>
            <w:pPr>
              <w:widowControl/>
              <w:spacing w:line="360" w:lineRule="auto"/>
              <w:rPr>
                <w:rFonts w:hint="default" w:ascii="宋体" w:hAnsi="宋体" w:eastAsia="宋体" w:cs="宋体"/>
                <w:color w:val="FF0000"/>
                <w:kern w:val="0"/>
                <w:sz w:val="24"/>
                <w:highlight w:val="none"/>
                <w:lang w:val="en-US" w:eastAsia="zh-CN"/>
              </w:rPr>
            </w:pPr>
            <w:r>
              <w:rPr>
                <w:rFonts w:hint="eastAsia" w:ascii="宋体" w:hAnsi="宋体" w:cs="宋体"/>
                <w:color w:val="FF0000"/>
              </w:rPr>
              <w:t>（提供</w:t>
            </w:r>
            <w:r>
              <w:rPr>
                <w:rFonts w:hint="eastAsia" w:ascii="宋体" w:hAnsi="宋体" w:cs="宋体"/>
                <w:color w:val="FF0000"/>
                <w:lang w:eastAsia="zh-CN"/>
              </w:rPr>
              <w:t>有效期内</w:t>
            </w:r>
            <w:r>
              <w:rPr>
                <w:rFonts w:hint="eastAsia" w:ascii="宋体" w:hAnsi="宋体" w:cs="宋体"/>
                <w:color w:val="FF0000"/>
              </w:rPr>
              <w:t>证明文件复印件</w:t>
            </w:r>
            <w:r>
              <w:rPr>
                <w:rFonts w:hint="eastAsia" w:ascii="宋体" w:hAnsi="宋体" w:cs="宋体"/>
                <w:color w:val="FF0000"/>
                <w:lang w:eastAsia="zh-CN"/>
              </w:rPr>
              <w:t>并</w:t>
            </w:r>
            <w:r>
              <w:rPr>
                <w:rFonts w:hint="eastAsia" w:ascii="宋体" w:hAnsi="宋体" w:cs="宋体"/>
                <w:color w:val="FF0000"/>
              </w:rPr>
              <w:t>加盖公章，不提供不得分。）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 w:hRule="atLeast"/>
          <w:jc w:val="center"/>
        </w:trPr>
        <w:tc>
          <w:tcPr>
            <w:tcW w:w="373" w:type="dxa"/>
            <w:vMerge w:val="continue"/>
            <w:noWrap w:val="0"/>
            <w:vAlign w:val="center"/>
          </w:tcPr>
          <w:p>
            <w:pPr>
              <w:widowControl/>
              <w:spacing w:line="320" w:lineRule="exact"/>
              <w:jc w:val="center"/>
              <w:rPr>
                <w:rFonts w:hint="eastAsia" w:ascii="宋体" w:hAnsi="宋体" w:cs="宋体"/>
                <w:color w:val="auto"/>
                <w:kern w:val="0"/>
                <w:sz w:val="24"/>
                <w:highlight w:val="none"/>
              </w:rPr>
            </w:pPr>
          </w:p>
        </w:tc>
        <w:tc>
          <w:tcPr>
            <w:tcW w:w="1375" w:type="dxa"/>
            <w:vMerge w:val="continue"/>
            <w:noWrap w:val="0"/>
            <w:vAlign w:val="center"/>
          </w:tcPr>
          <w:p>
            <w:pPr>
              <w:widowControl/>
              <w:spacing w:line="320" w:lineRule="exact"/>
              <w:jc w:val="center"/>
              <w:rPr>
                <w:rFonts w:hint="eastAsia" w:ascii="宋体" w:hAnsi="宋体" w:cs="宋体"/>
                <w:color w:val="auto"/>
                <w:kern w:val="0"/>
                <w:sz w:val="24"/>
                <w:highlight w:val="none"/>
              </w:rPr>
            </w:pPr>
          </w:p>
        </w:tc>
        <w:tc>
          <w:tcPr>
            <w:tcW w:w="1375" w:type="dxa"/>
            <w:noWrap w:val="0"/>
            <w:vAlign w:val="center"/>
          </w:tcPr>
          <w:p>
            <w:pPr>
              <w:widowControl/>
              <w:spacing w:line="360" w:lineRule="auto"/>
              <w:jc w:val="center"/>
              <w:rPr>
                <w:rFonts w:hint="eastAsia" w:ascii="宋体" w:hAnsi="宋体" w:cs="宋体"/>
                <w:color w:val="FF0000"/>
              </w:rPr>
            </w:pPr>
            <w:r>
              <w:rPr>
                <w:rFonts w:hint="eastAsia" w:ascii="宋体" w:hAnsi="宋体" w:cs="宋体"/>
                <w:color w:val="FF0000"/>
              </w:rPr>
              <w:t>业绩</w:t>
            </w:r>
          </w:p>
          <w:p>
            <w:pPr>
              <w:spacing w:line="320" w:lineRule="exact"/>
              <w:jc w:val="left"/>
              <w:rPr>
                <w:rFonts w:hint="eastAsia" w:ascii="宋体" w:hAnsi="宋体" w:cs="宋体"/>
                <w:color w:val="FF0000"/>
                <w:kern w:val="0"/>
                <w:sz w:val="24"/>
                <w:highlight w:val="none"/>
                <w:lang w:val="en-US" w:eastAsia="zh-CN"/>
              </w:rPr>
            </w:pPr>
            <w:r>
              <w:rPr>
                <w:rFonts w:hint="eastAsia" w:ascii="宋体" w:hAnsi="宋体" w:cs="宋体"/>
                <w:color w:val="FF0000"/>
              </w:rPr>
              <w:t>（0-</w:t>
            </w:r>
            <w:r>
              <w:rPr>
                <w:rFonts w:hint="eastAsia" w:ascii="宋体" w:hAnsi="宋体" w:cs="宋体"/>
                <w:color w:val="FF0000"/>
                <w:lang w:val="en-US" w:eastAsia="zh-CN"/>
              </w:rPr>
              <w:t>8</w:t>
            </w:r>
            <w:bookmarkStart w:id="0" w:name="_GoBack"/>
            <w:bookmarkEnd w:id="0"/>
            <w:r>
              <w:rPr>
                <w:rFonts w:hint="eastAsia" w:ascii="宋体" w:hAnsi="宋体" w:cs="宋体"/>
                <w:color w:val="FF0000"/>
              </w:rPr>
              <w:t>分）</w:t>
            </w:r>
          </w:p>
        </w:tc>
        <w:tc>
          <w:tcPr>
            <w:tcW w:w="6438" w:type="dxa"/>
            <w:noWrap w:val="0"/>
            <w:vAlign w:val="center"/>
          </w:tcPr>
          <w:p>
            <w:pPr>
              <w:numPr>
                <w:ilvl w:val="0"/>
                <w:numId w:val="0"/>
              </w:numPr>
              <w:spacing w:line="360" w:lineRule="auto"/>
              <w:rPr>
                <w:rFonts w:hint="default" w:ascii="宋体" w:hAnsi="宋体" w:eastAsia="宋体"/>
                <w:color w:val="FF0000"/>
                <w:sz w:val="24"/>
                <w:highlight w:val="none"/>
                <w:lang w:val="en-US" w:eastAsia="zh-CN"/>
              </w:rPr>
            </w:pPr>
            <w:r>
              <w:rPr>
                <w:rFonts w:hint="eastAsia" w:ascii="宋体" w:hAnsi="宋体" w:cs="宋体"/>
                <w:color w:val="FF0000"/>
              </w:rPr>
              <w:t>投标人</w:t>
            </w:r>
            <w:r>
              <w:rPr>
                <w:rFonts w:hint="eastAsia" w:ascii="宋体" w:hAnsi="宋体" w:cs="宋体"/>
                <w:color w:val="FF0000"/>
                <w:lang w:eastAsia="zh-CN"/>
              </w:rPr>
              <w:t>自</w:t>
            </w:r>
            <w:r>
              <w:rPr>
                <w:rFonts w:hint="eastAsia" w:ascii="宋体" w:hAnsi="宋体" w:cs="宋体"/>
                <w:color w:val="FF0000"/>
              </w:rPr>
              <w:t>2017年1月1日以来，具有</w:t>
            </w:r>
            <w:r>
              <w:rPr>
                <w:rFonts w:hint="eastAsia" w:ascii="宋体" w:hAnsi="宋体" w:cs="宋体"/>
                <w:color w:val="FF0000"/>
                <w:lang w:eastAsia="zh-CN"/>
              </w:rPr>
              <w:t>类似</w:t>
            </w:r>
            <w:r>
              <w:rPr>
                <w:rFonts w:hint="eastAsia" w:ascii="宋体" w:hAnsi="宋体" w:cs="宋体"/>
                <w:color w:val="FF0000"/>
              </w:rPr>
              <w:t>医院物业服务项目的</w:t>
            </w:r>
            <w:r>
              <w:rPr>
                <w:rFonts w:hint="eastAsia" w:ascii="宋体" w:hAnsi="宋体" w:cs="宋体"/>
                <w:color w:val="FF0000"/>
                <w:lang w:eastAsia="zh-CN"/>
              </w:rPr>
              <w:t>一个</w:t>
            </w:r>
            <w:r>
              <w:rPr>
                <w:rFonts w:hint="eastAsia" w:ascii="宋体" w:hAnsi="宋体" w:cs="宋体"/>
                <w:color w:val="FF0000"/>
              </w:rPr>
              <w:t>得</w:t>
            </w:r>
            <w:r>
              <w:rPr>
                <w:rFonts w:hint="eastAsia" w:ascii="宋体" w:hAnsi="宋体" w:cs="宋体"/>
                <w:color w:val="FF0000"/>
                <w:lang w:val="en-US" w:eastAsia="zh-CN"/>
              </w:rPr>
              <w:t>2</w:t>
            </w:r>
            <w:r>
              <w:rPr>
                <w:rFonts w:hint="eastAsia" w:ascii="宋体" w:hAnsi="宋体" w:cs="宋体"/>
                <w:color w:val="FF0000"/>
              </w:rPr>
              <w:t>分</w:t>
            </w:r>
            <w:r>
              <w:rPr>
                <w:rFonts w:hint="eastAsia" w:ascii="宋体" w:hAnsi="宋体" w:cs="宋体"/>
                <w:color w:val="FF0000"/>
                <w:lang w:eastAsia="zh-CN"/>
              </w:rPr>
              <w:t>，最高得</w:t>
            </w:r>
            <w:r>
              <w:rPr>
                <w:rFonts w:hint="eastAsia" w:ascii="宋体" w:hAnsi="宋体" w:cs="宋体"/>
                <w:color w:val="FF0000"/>
                <w:lang w:val="en-US" w:eastAsia="zh-CN"/>
              </w:rPr>
              <w:t>8分</w:t>
            </w:r>
            <w:r>
              <w:rPr>
                <w:rFonts w:hint="eastAsia" w:ascii="宋体" w:hAnsi="宋体" w:cs="宋体"/>
                <w:color w:val="FF0000"/>
              </w:rPr>
              <w:t>。（提供合同关键页复印件或中标通知书复印件加盖公章，不提供不得分）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 w:hRule="atLeast"/>
          <w:jc w:val="center"/>
        </w:trPr>
        <w:tc>
          <w:tcPr>
            <w:tcW w:w="373" w:type="dxa"/>
            <w:vMerge w:val="continue"/>
            <w:noWrap w:val="0"/>
            <w:vAlign w:val="center"/>
          </w:tcPr>
          <w:p>
            <w:pPr>
              <w:widowControl/>
              <w:spacing w:line="320" w:lineRule="exact"/>
              <w:jc w:val="center"/>
              <w:rPr>
                <w:rFonts w:hint="eastAsia" w:ascii="宋体" w:hAnsi="宋体" w:cs="宋体"/>
                <w:color w:val="auto"/>
                <w:kern w:val="0"/>
                <w:sz w:val="24"/>
                <w:highlight w:val="none"/>
              </w:rPr>
            </w:pPr>
          </w:p>
        </w:tc>
        <w:tc>
          <w:tcPr>
            <w:tcW w:w="1375" w:type="dxa"/>
            <w:vMerge w:val="continue"/>
            <w:noWrap w:val="0"/>
            <w:vAlign w:val="center"/>
          </w:tcPr>
          <w:p>
            <w:pPr>
              <w:widowControl/>
              <w:spacing w:line="320" w:lineRule="exact"/>
              <w:jc w:val="center"/>
              <w:rPr>
                <w:rFonts w:hint="eastAsia" w:ascii="宋体" w:hAnsi="宋体" w:cs="宋体"/>
                <w:color w:val="auto"/>
                <w:kern w:val="0"/>
                <w:sz w:val="24"/>
                <w:highlight w:val="none"/>
              </w:rPr>
            </w:pPr>
          </w:p>
        </w:tc>
        <w:tc>
          <w:tcPr>
            <w:tcW w:w="1375" w:type="dxa"/>
            <w:noWrap w:val="0"/>
            <w:vAlign w:val="center"/>
          </w:tcPr>
          <w:p>
            <w:pPr>
              <w:widowControl/>
              <w:numPr>
                <w:ilvl w:val="0"/>
                <w:numId w:val="0"/>
              </w:numPr>
              <w:spacing w:line="320" w:lineRule="exact"/>
              <w:ind w:leftChars="-100" w:firstLine="210" w:firstLineChars="100"/>
              <w:jc w:val="center"/>
              <w:rPr>
                <w:rFonts w:hint="eastAsia" w:cs="Times New Roman"/>
                <w:color w:val="FF0000"/>
                <w:lang w:eastAsia="zh-CN"/>
              </w:rPr>
            </w:pPr>
            <w:r>
              <w:rPr>
                <w:rFonts w:hint="eastAsia" w:cs="Times New Roman"/>
                <w:color w:val="FF0000"/>
                <w:lang w:eastAsia="zh-CN"/>
              </w:rPr>
              <w:t>证书</w:t>
            </w:r>
          </w:p>
          <w:p>
            <w:pPr>
              <w:widowControl/>
              <w:numPr>
                <w:ilvl w:val="0"/>
                <w:numId w:val="0"/>
              </w:numPr>
              <w:spacing w:line="320" w:lineRule="exact"/>
              <w:ind w:leftChars="-100" w:firstLine="210" w:firstLineChars="100"/>
              <w:jc w:val="center"/>
              <w:rPr>
                <w:rFonts w:hint="eastAsia" w:cs="Times New Roman"/>
                <w:color w:val="FF0000"/>
                <w:lang w:eastAsia="zh-CN"/>
              </w:rPr>
            </w:pPr>
            <w:r>
              <w:rPr>
                <w:rFonts w:hint="eastAsia" w:cs="Times New Roman"/>
                <w:color w:val="FF0000"/>
                <w:lang w:eastAsia="zh-CN"/>
              </w:rPr>
              <w:t>（</w:t>
            </w:r>
            <w:r>
              <w:rPr>
                <w:rFonts w:hint="eastAsia" w:cs="Times New Roman"/>
                <w:color w:val="FF0000"/>
                <w:lang w:val="en-US" w:eastAsia="zh-CN"/>
              </w:rPr>
              <w:t>6分</w:t>
            </w:r>
            <w:r>
              <w:rPr>
                <w:rFonts w:hint="eastAsia" w:cs="Times New Roman"/>
                <w:color w:val="FF0000"/>
                <w:lang w:eastAsia="zh-CN"/>
              </w:rPr>
              <w:t>）</w:t>
            </w:r>
          </w:p>
        </w:tc>
        <w:tc>
          <w:tcPr>
            <w:tcW w:w="6438" w:type="dxa"/>
            <w:noWrap w:val="0"/>
            <w:vAlign w:val="center"/>
          </w:tcPr>
          <w:p>
            <w:pPr>
              <w:widowControl/>
              <w:numPr>
                <w:ilvl w:val="0"/>
                <w:numId w:val="2"/>
              </w:numPr>
              <w:spacing w:line="320" w:lineRule="exact"/>
              <w:ind w:leftChars="-100" w:firstLine="420" w:firstLineChars="200"/>
              <w:jc w:val="left"/>
              <w:rPr>
                <w:rFonts w:hint="eastAsia" w:cs="Times New Roman"/>
                <w:color w:val="FF0000"/>
                <w:lang w:val="en-US" w:eastAsia="zh-CN"/>
              </w:rPr>
            </w:pPr>
            <w:r>
              <w:rPr>
                <w:rFonts w:hint="eastAsia" w:cs="Times New Roman"/>
                <w:color w:val="FF0000"/>
                <w:lang w:eastAsia="zh-CN"/>
              </w:rPr>
              <w:t>拟投入项目经理具有本科及以上学历得</w:t>
            </w:r>
            <w:r>
              <w:rPr>
                <w:rFonts w:hint="eastAsia" w:cs="Times New Roman"/>
                <w:color w:val="FF0000"/>
                <w:lang w:val="en-US" w:eastAsia="zh-CN"/>
              </w:rPr>
              <w:t>2分，具有物业管理从</w:t>
            </w:r>
          </w:p>
          <w:p>
            <w:pPr>
              <w:widowControl/>
              <w:numPr>
                <w:ilvl w:val="0"/>
                <w:numId w:val="0"/>
              </w:numPr>
              <w:spacing w:line="320" w:lineRule="exact"/>
              <w:ind w:leftChars="100"/>
              <w:jc w:val="left"/>
              <w:rPr>
                <w:rFonts w:hint="eastAsia" w:cs="Times New Roman"/>
                <w:color w:val="FF0000"/>
                <w:lang w:val="en-US" w:eastAsia="zh-CN"/>
              </w:rPr>
            </w:pPr>
            <w:r>
              <w:rPr>
                <w:rFonts w:hint="eastAsia" w:cs="Times New Roman"/>
                <w:color w:val="FF0000"/>
                <w:lang w:val="en-US" w:eastAsia="zh-CN"/>
              </w:rPr>
              <w:t>业人员岗位证书的得2分（提供本单位社保缴纳证明、身份证复印件、学历证书、物业经理上岗证书）。</w:t>
            </w:r>
          </w:p>
          <w:p>
            <w:pPr>
              <w:widowControl/>
              <w:numPr>
                <w:ilvl w:val="0"/>
                <w:numId w:val="2"/>
              </w:numPr>
              <w:spacing w:line="320" w:lineRule="exact"/>
              <w:ind w:left="-210" w:leftChars="-100" w:firstLine="420" w:firstLineChars="200"/>
              <w:jc w:val="left"/>
              <w:rPr>
                <w:rFonts w:hint="eastAsia" w:hAnsi="宋体" w:cs="宋体"/>
                <w:b w:val="0"/>
                <w:bCs w:val="0"/>
                <w:color w:val="FF0000"/>
                <w:spacing w:val="0"/>
                <w:kern w:val="0"/>
                <w:sz w:val="21"/>
                <w:szCs w:val="21"/>
                <w:highlight w:val="none"/>
                <w:lang w:val="en-US" w:eastAsia="zh-CN" w:bidi="ar-SA"/>
              </w:rPr>
            </w:pPr>
            <w:r>
              <w:rPr>
                <w:rFonts w:hint="eastAsia" w:ascii="宋体" w:hAnsi="宋体" w:eastAsia="宋体" w:cs="宋体"/>
                <w:b w:val="0"/>
                <w:bCs w:val="0"/>
                <w:color w:val="FF0000"/>
                <w:spacing w:val="0"/>
                <w:kern w:val="0"/>
                <w:sz w:val="21"/>
                <w:szCs w:val="21"/>
                <w:highlight w:val="none"/>
                <w:lang w:val="en-US" w:eastAsia="zh-CN" w:bidi="ar-SA"/>
              </w:rPr>
              <w:t>供应商须具有公安机关核发的保安服务许可证</w:t>
            </w:r>
            <w:r>
              <w:rPr>
                <w:rFonts w:hint="eastAsia" w:hAnsi="宋体" w:cs="宋体"/>
                <w:b w:val="0"/>
                <w:bCs w:val="0"/>
                <w:color w:val="FF0000"/>
                <w:spacing w:val="0"/>
                <w:kern w:val="0"/>
                <w:sz w:val="21"/>
                <w:szCs w:val="21"/>
                <w:highlight w:val="none"/>
                <w:lang w:val="en-US" w:eastAsia="zh-CN" w:bidi="ar-SA"/>
              </w:rPr>
              <w:t>，最高得2分（以</w:t>
            </w:r>
          </w:p>
          <w:p>
            <w:pPr>
              <w:widowControl/>
              <w:numPr>
                <w:ilvl w:val="0"/>
                <w:numId w:val="0"/>
              </w:numPr>
              <w:spacing w:line="320" w:lineRule="exact"/>
              <w:ind w:leftChars="100"/>
              <w:jc w:val="left"/>
              <w:rPr>
                <w:rFonts w:hint="eastAsia" w:cs="Times New Roman"/>
                <w:color w:val="FF0000"/>
                <w:lang w:eastAsia="zh-CN"/>
              </w:rPr>
            </w:pPr>
            <w:r>
              <w:rPr>
                <w:rFonts w:hint="eastAsia" w:hAnsi="宋体" w:cs="宋体"/>
                <w:b w:val="0"/>
                <w:bCs w:val="0"/>
                <w:color w:val="FF0000"/>
                <w:spacing w:val="0"/>
                <w:kern w:val="0"/>
                <w:sz w:val="21"/>
                <w:szCs w:val="21"/>
                <w:highlight w:val="none"/>
                <w:lang w:val="en-US" w:eastAsia="zh-CN" w:bidi="ar-SA"/>
              </w:rPr>
              <w:t>提供证书复印件为准，加盖公章，未提供不得分）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3" w:hRule="atLeast"/>
          <w:jc w:val="center"/>
        </w:trPr>
        <w:tc>
          <w:tcPr>
            <w:tcW w:w="373" w:type="dxa"/>
            <w:vMerge w:val="continue"/>
            <w:noWrap w:val="0"/>
            <w:vAlign w:val="center"/>
          </w:tcPr>
          <w:p>
            <w:pPr>
              <w:widowControl/>
              <w:spacing w:line="320" w:lineRule="exact"/>
              <w:jc w:val="center"/>
              <w:rPr>
                <w:rFonts w:hint="eastAsia" w:ascii="宋体" w:hAnsi="宋体" w:cs="宋体"/>
                <w:color w:val="auto"/>
                <w:kern w:val="0"/>
                <w:sz w:val="24"/>
                <w:highlight w:val="none"/>
              </w:rPr>
            </w:pPr>
          </w:p>
        </w:tc>
        <w:tc>
          <w:tcPr>
            <w:tcW w:w="1375" w:type="dxa"/>
            <w:vMerge w:val="continue"/>
            <w:noWrap w:val="0"/>
            <w:vAlign w:val="center"/>
          </w:tcPr>
          <w:p>
            <w:pPr>
              <w:widowControl/>
              <w:spacing w:line="320" w:lineRule="exact"/>
              <w:jc w:val="center"/>
              <w:rPr>
                <w:rFonts w:hint="eastAsia" w:ascii="宋体" w:hAnsi="宋体" w:cs="宋体"/>
                <w:color w:val="auto"/>
                <w:kern w:val="0"/>
                <w:sz w:val="24"/>
                <w:highlight w:val="none"/>
              </w:rPr>
            </w:pPr>
          </w:p>
        </w:tc>
        <w:tc>
          <w:tcPr>
            <w:tcW w:w="1375" w:type="dxa"/>
            <w:noWrap w:val="0"/>
            <w:vAlign w:val="center"/>
          </w:tcPr>
          <w:p>
            <w:pPr>
              <w:widowControl/>
              <w:spacing w:line="32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1"/>
                <w:szCs w:val="21"/>
                <w:highlight w:val="none"/>
              </w:rPr>
              <w:t>投标文件编制（</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分）</w:t>
            </w:r>
          </w:p>
        </w:tc>
        <w:tc>
          <w:tcPr>
            <w:tcW w:w="6438" w:type="dxa"/>
            <w:noWrap w:val="0"/>
            <w:vAlign w:val="center"/>
          </w:tcPr>
          <w:p>
            <w:pPr>
              <w:widowControl/>
              <w:spacing w:line="320" w:lineRule="exact"/>
              <w:jc w:val="left"/>
              <w:rPr>
                <w:rFonts w:hint="default" w:ascii="宋体" w:hAnsi="宋体" w:cs="宋体"/>
                <w:color w:val="auto"/>
                <w:kern w:val="0"/>
                <w:sz w:val="24"/>
                <w:highlight w:val="none"/>
                <w:lang w:val="en-US" w:eastAsia="zh-CN"/>
              </w:rPr>
            </w:pPr>
            <w:r>
              <w:rPr>
                <w:rFonts w:hint="eastAsia" w:ascii="宋体" w:hAnsi="宋体" w:cs="宋体"/>
                <w:color w:val="auto"/>
                <w:kern w:val="0"/>
                <w:sz w:val="21"/>
                <w:szCs w:val="21"/>
              </w:rPr>
              <w:t>根据供应商</w:t>
            </w:r>
            <w:r>
              <w:rPr>
                <w:rFonts w:hint="eastAsia" w:ascii="宋体" w:cs="宋体"/>
                <w:color w:val="auto"/>
                <w:kern w:val="0"/>
                <w:sz w:val="21"/>
                <w:szCs w:val="21"/>
                <w:lang w:eastAsia="zh-CN"/>
              </w:rPr>
              <w:t>电子投标文件完整性、规范性以及有无关联，关联点是否准确等酌情给分，最高得</w:t>
            </w:r>
            <w:r>
              <w:rPr>
                <w:rFonts w:hint="eastAsia" w:ascii="宋体" w:cs="宋体"/>
                <w:color w:val="auto"/>
                <w:kern w:val="0"/>
                <w:sz w:val="21"/>
                <w:szCs w:val="21"/>
                <w:lang w:val="en-US" w:eastAsia="zh-CN"/>
              </w:rPr>
              <w:t>3</w:t>
            </w:r>
            <w:r>
              <w:rPr>
                <w:rFonts w:hint="eastAsia" w:ascii="宋体" w:cs="宋体"/>
                <w:color w:val="auto"/>
                <w:kern w:val="0"/>
                <w:sz w:val="21"/>
                <w:szCs w:val="21"/>
                <w:lang w:eastAsia="zh-CN"/>
              </w:rPr>
              <w:t>分。</w:t>
            </w:r>
            <w:r>
              <w:rPr>
                <w:rFonts w:hint="eastAsia" w:ascii="宋体" w:hAnsi="宋体" w:cs="宋体"/>
                <w:color w:val="auto"/>
                <w:sz w:val="21"/>
                <w:szCs w:val="21"/>
                <w:highlight w:val="none"/>
              </w:rPr>
              <w:t>投标文件有关内容前后矛盾、与</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要求不一致等，评标委员会允许且需要通过询标等程序进行澄清的，该项不得分。</w:t>
            </w:r>
            <w:r>
              <w:rPr>
                <w:rFonts w:hint="eastAsia" w:hAnsi="宋体"/>
                <w:b w:val="0"/>
                <w:bCs/>
                <w:color w:val="auto"/>
                <w:sz w:val="21"/>
                <w:szCs w:val="21"/>
              </w:rPr>
              <w:t>投标文件存在其他错漏的，每项（次）扣 0.5分，扣完该项得分为止</w:t>
            </w:r>
            <w:r>
              <w:rPr>
                <w:rFonts w:hint="eastAsia" w:hAnsi="宋体"/>
                <w:b w:val="0"/>
                <w:bCs/>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jc w:val="center"/>
        </w:trPr>
        <w:tc>
          <w:tcPr>
            <w:tcW w:w="373" w:type="dxa"/>
            <w:vMerge w:val="restart"/>
            <w:noWrap w:val="0"/>
            <w:vAlign w:val="center"/>
          </w:tcPr>
          <w:p>
            <w:pPr>
              <w:widowControl/>
              <w:spacing w:line="3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75" w:type="dxa"/>
            <w:vMerge w:val="restart"/>
            <w:noWrap w:val="0"/>
            <w:vAlign w:val="center"/>
          </w:tcPr>
          <w:p>
            <w:pPr>
              <w:widowControl/>
              <w:spacing w:line="320" w:lineRule="exact"/>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技术分</w:t>
            </w:r>
          </w:p>
          <w:p>
            <w:pPr>
              <w:widowControl/>
              <w:spacing w:line="32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50分</w:t>
            </w:r>
            <w:r>
              <w:rPr>
                <w:rFonts w:hint="eastAsia" w:ascii="宋体" w:hAnsi="宋体" w:cs="宋体"/>
                <w:color w:val="auto"/>
                <w:kern w:val="0"/>
                <w:sz w:val="24"/>
                <w:highlight w:val="none"/>
                <w:lang w:eastAsia="zh-CN"/>
              </w:rPr>
              <w:t>）</w:t>
            </w:r>
          </w:p>
        </w:tc>
        <w:tc>
          <w:tcPr>
            <w:tcW w:w="1375" w:type="dxa"/>
            <w:noWrap w:val="0"/>
            <w:vAlign w:val="center"/>
          </w:tcPr>
          <w:p>
            <w:pPr>
              <w:widowControl/>
              <w:spacing w:line="320" w:lineRule="exact"/>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1"/>
                <w:szCs w:val="21"/>
              </w:rPr>
              <w:t>后勤服务管理运作流程设计和工作组织实施方案（0-</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tc>
        <w:tc>
          <w:tcPr>
            <w:tcW w:w="6438" w:type="dxa"/>
            <w:noWrap w:val="0"/>
            <w:vAlign w:val="center"/>
          </w:tcPr>
          <w:p>
            <w:pPr>
              <w:widowControl/>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根据投标人对本项目的管理工作（包括</w:t>
            </w:r>
            <w:r>
              <w:rPr>
                <w:rFonts w:hint="eastAsia" w:ascii="宋体" w:hAnsi="宋体" w:eastAsia="宋体" w:cs="宋体"/>
                <w:color w:val="auto"/>
                <w:sz w:val="21"/>
                <w:szCs w:val="21"/>
                <w:lang w:eastAsia="zh-CN"/>
              </w:rPr>
              <w:t>物业</w:t>
            </w:r>
            <w:r>
              <w:rPr>
                <w:rFonts w:hint="eastAsia" w:ascii="宋体" w:hAnsi="宋体" w:eastAsia="宋体" w:cs="宋体"/>
                <w:color w:val="auto"/>
                <w:sz w:val="21"/>
                <w:szCs w:val="21"/>
              </w:rPr>
              <w:t>保洁、</w:t>
            </w:r>
            <w:r>
              <w:rPr>
                <w:rFonts w:hint="eastAsia" w:ascii="宋体" w:hAnsi="宋体" w:eastAsia="宋体" w:cs="宋体"/>
                <w:color w:val="auto"/>
                <w:sz w:val="21"/>
                <w:szCs w:val="21"/>
                <w:lang w:eastAsia="zh-CN"/>
              </w:rPr>
              <w:t>护工、保安</w:t>
            </w:r>
            <w:r>
              <w:rPr>
                <w:rFonts w:hint="eastAsia" w:ascii="宋体" w:hAnsi="宋体" w:eastAsia="宋体" w:cs="宋体"/>
                <w:color w:val="auto"/>
                <w:sz w:val="21"/>
                <w:szCs w:val="21"/>
              </w:rPr>
              <w:t>等）的组织设计、实施方案进行综合评审。要求管理机构设立方案完善，运作流程清晰，有标准化的服务管理体系，由评委综合评定打分。（0-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bidi w:val="0"/>
              <w:rPr>
                <w:rFonts w:hint="default"/>
                <w:color w:val="auto"/>
                <w:lang w:val="en-US" w:eastAsia="zh-CN"/>
              </w:rPr>
            </w:pPr>
            <w:r>
              <w:rPr>
                <w:rFonts w:hint="eastAsia" w:ascii="宋体" w:hAnsi="宋体" w:eastAsia="宋体" w:cs="宋体"/>
                <w:color w:val="auto"/>
                <w:sz w:val="21"/>
                <w:szCs w:val="21"/>
                <w:lang w:val="en-US" w:eastAsia="zh-CN"/>
              </w:rPr>
              <w:t>2、建立绩效奖励考核体系、绩效奖励分配机制，能着力提升队伍的归属感和凝聚力，</w:t>
            </w:r>
            <w:r>
              <w:rPr>
                <w:rFonts w:hint="eastAsia" w:ascii="宋体" w:hAnsi="宋体" w:eastAsia="宋体" w:cs="宋体"/>
                <w:color w:val="auto"/>
                <w:sz w:val="21"/>
                <w:szCs w:val="21"/>
              </w:rPr>
              <w:t>由评委综合评定打分。（0-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73" w:type="dxa"/>
            <w:vMerge w:val="continue"/>
            <w:noWrap w:val="0"/>
            <w:vAlign w:val="center"/>
          </w:tcPr>
          <w:p>
            <w:pPr>
              <w:widowControl/>
              <w:spacing w:line="320" w:lineRule="exact"/>
              <w:jc w:val="center"/>
              <w:rPr>
                <w:rFonts w:hint="eastAsia" w:ascii="宋体" w:hAnsi="宋体" w:cs="宋体"/>
                <w:color w:val="auto"/>
                <w:kern w:val="0"/>
                <w:sz w:val="24"/>
                <w:highlight w:val="none"/>
              </w:rPr>
            </w:pPr>
          </w:p>
        </w:tc>
        <w:tc>
          <w:tcPr>
            <w:tcW w:w="1375" w:type="dxa"/>
            <w:vMerge w:val="continue"/>
            <w:noWrap w:val="0"/>
            <w:vAlign w:val="center"/>
          </w:tcPr>
          <w:p>
            <w:pPr>
              <w:widowControl/>
              <w:spacing w:line="320" w:lineRule="exact"/>
              <w:jc w:val="center"/>
              <w:rPr>
                <w:rFonts w:hint="eastAsia" w:ascii="宋体" w:hAnsi="宋体" w:cs="宋体"/>
                <w:color w:val="auto"/>
                <w:kern w:val="0"/>
                <w:sz w:val="24"/>
                <w:highlight w:val="none"/>
              </w:rPr>
            </w:pPr>
          </w:p>
        </w:tc>
        <w:tc>
          <w:tcPr>
            <w:tcW w:w="1375" w:type="dxa"/>
            <w:noWrap w:val="0"/>
            <w:vAlign w:val="center"/>
          </w:tcPr>
          <w:p>
            <w:pPr>
              <w:widowControl/>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设施设备配置情况</w:t>
            </w:r>
          </w:p>
          <w:p>
            <w:pPr>
              <w:widowControl/>
              <w:spacing w:line="32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6438" w:type="dxa"/>
            <w:noWrap w:val="0"/>
            <w:vAlign w:val="center"/>
          </w:tcPr>
          <w:p>
            <w:pPr>
              <w:pStyle w:val="2"/>
              <w:numPr>
                <w:ilvl w:val="0"/>
                <w:numId w:val="0"/>
              </w:numPr>
              <w:ind w:left="0" w:leftChars="0" w:firstLine="0" w:firstLineChars="0"/>
              <w:rPr>
                <w:rFonts w:hint="default" w:ascii="宋体" w:hAnsi="宋体" w:cs="宋体"/>
                <w:color w:val="auto"/>
                <w:kern w:val="0"/>
                <w:sz w:val="24"/>
                <w:highlight w:val="none"/>
                <w:lang w:val="en-US" w:eastAsia="zh-CN"/>
              </w:rPr>
            </w:pPr>
            <w:r>
              <w:rPr>
                <w:rFonts w:hint="eastAsia" w:ascii="宋体" w:hAnsi="宋体" w:eastAsia="宋体" w:cs="宋体"/>
                <w:color w:val="auto"/>
                <w:sz w:val="21"/>
                <w:szCs w:val="21"/>
                <w:lang w:val="en-US" w:eastAsia="zh-CN"/>
              </w:rPr>
              <w:t>根据投标人拟投入本项目的设施设备配置情况是否完善，</w:t>
            </w:r>
            <w:r>
              <w:rPr>
                <w:rFonts w:hint="eastAsia" w:ascii="宋体" w:hAnsi="宋体" w:eastAsia="宋体" w:cs="宋体"/>
                <w:color w:val="auto"/>
                <w:sz w:val="21"/>
                <w:szCs w:val="21"/>
              </w:rPr>
              <w:t>由评委综合评定打分。（0-</w:t>
            </w:r>
            <w:r>
              <w:rPr>
                <w:rFonts w:hint="eastAsia"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373"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noWrap w:val="0"/>
            <w:vAlign w:val="center"/>
          </w:tcPr>
          <w:p>
            <w:pPr>
              <w:widowControl/>
              <w:spacing w:line="320" w:lineRule="exact"/>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1"/>
                <w:szCs w:val="21"/>
              </w:rPr>
              <w:t>质量保证措施情况（0-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6438" w:type="dxa"/>
            <w:noWrap w:val="0"/>
            <w:vAlign w:val="center"/>
          </w:tcPr>
          <w:p>
            <w:pPr>
              <w:widowControl/>
              <w:spacing w:line="320" w:lineRule="exact"/>
              <w:jc w:val="left"/>
              <w:rPr>
                <w:rFonts w:hint="eastAsia" w:ascii="宋体" w:hAnsi="宋体" w:eastAsia="Calibri" w:cs="宋体"/>
                <w:color w:val="auto"/>
                <w:kern w:val="0"/>
                <w:sz w:val="24"/>
                <w:highlight w:val="none"/>
                <w:lang w:eastAsia="zh-CN"/>
              </w:rPr>
            </w:pPr>
            <w:r>
              <w:rPr>
                <w:rFonts w:hint="eastAsia" w:ascii="宋体" w:hAnsi="宋体" w:eastAsia="宋体" w:cs="宋体"/>
                <w:color w:val="auto"/>
                <w:sz w:val="21"/>
                <w:szCs w:val="21"/>
              </w:rPr>
              <w:t>根据响应文件是否有明确的物业管理</w:t>
            </w:r>
            <w:r>
              <w:rPr>
                <w:rFonts w:hint="eastAsia" w:ascii="宋体" w:hAnsi="宋体" w:eastAsia="宋体" w:cs="宋体"/>
                <w:color w:val="auto"/>
                <w:sz w:val="21"/>
                <w:szCs w:val="21"/>
                <w:lang w:eastAsia="zh-CN"/>
              </w:rPr>
              <w:t>、护工管理、保安管理的</w:t>
            </w:r>
            <w:r>
              <w:rPr>
                <w:rFonts w:hint="eastAsia" w:ascii="宋体" w:hAnsi="宋体" w:eastAsia="宋体" w:cs="宋体"/>
                <w:color w:val="auto"/>
                <w:sz w:val="21"/>
                <w:szCs w:val="21"/>
              </w:rPr>
              <w:t>质量控制标准及保证措施情况，由评委综合评定打分。（0-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373"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noWrap w:val="0"/>
            <w:vAlign w:val="center"/>
          </w:tcPr>
          <w:p>
            <w:pPr>
              <w:adjustRightInd w:val="0"/>
              <w:snapToGrid w:val="0"/>
              <w:spacing w:line="360" w:lineRule="auto"/>
              <w:rPr>
                <w:rFonts w:hint="eastAsia" w:ascii="宋体" w:hAnsi="宋体" w:cs="新宋体"/>
                <w:bCs/>
                <w:color w:val="auto"/>
                <w:sz w:val="22"/>
                <w:szCs w:val="22"/>
                <w:lang w:eastAsia="zh-CN"/>
              </w:rPr>
            </w:pPr>
            <w:r>
              <w:rPr>
                <w:rFonts w:hint="eastAsia" w:ascii="宋体" w:hAnsi="宋体" w:eastAsia="宋体" w:cs="宋体"/>
                <w:color w:val="auto"/>
                <w:sz w:val="21"/>
                <w:szCs w:val="21"/>
              </w:rPr>
              <w:t>相关制度建设</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lang w:eastAsia="zh-CN"/>
              </w:rPr>
              <w:t>）</w:t>
            </w:r>
          </w:p>
        </w:tc>
        <w:tc>
          <w:tcPr>
            <w:tcW w:w="6438" w:type="dxa"/>
            <w:noWrap w:val="0"/>
            <w:vAlign w:val="center"/>
          </w:tcPr>
          <w:p>
            <w:pPr>
              <w:widowControl/>
              <w:spacing w:line="320" w:lineRule="exact"/>
              <w:jc w:val="left"/>
              <w:rPr>
                <w:rFonts w:hint="eastAsia" w:ascii="宋体" w:hAnsi="宋体" w:cs="新宋体"/>
                <w:bCs/>
                <w:color w:val="auto"/>
                <w:sz w:val="22"/>
                <w:szCs w:val="22"/>
                <w:lang w:eastAsia="zh-CN"/>
              </w:rPr>
            </w:pPr>
            <w:r>
              <w:rPr>
                <w:rFonts w:hint="eastAsia" w:ascii="宋体" w:hAnsi="宋体" w:eastAsia="宋体" w:cs="宋体"/>
                <w:color w:val="auto"/>
                <w:sz w:val="21"/>
                <w:szCs w:val="21"/>
              </w:rPr>
              <w:t>保安相关制度建设</w:t>
            </w:r>
            <w:r>
              <w:rPr>
                <w:rFonts w:hint="eastAsia" w:ascii="宋体" w:hAnsi="宋体" w:eastAsia="宋体" w:cs="宋体"/>
                <w:color w:val="auto"/>
                <w:sz w:val="21"/>
                <w:szCs w:val="21"/>
                <w:lang w:eastAsia="zh-CN"/>
              </w:rPr>
              <w:t>，物业保洁相关制度建设，以及护工相关制度建设，根据相关制度的科学性合理性打分。（</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373"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noWrap w:val="0"/>
            <w:vAlign w:val="center"/>
          </w:tcPr>
          <w:p>
            <w:pPr>
              <w:adjustRightInd w:val="0"/>
              <w:snapToGrid w:val="0"/>
              <w:spacing w:line="240" w:lineRule="auto"/>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垃圾分类实施方案</w:t>
            </w:r>
          </w:p>
          <w:p>
            <w:pPr>
              <w:adjustRightInd w:val="0"/>
              <w:snapToGrid w:val="0"/>
              <w:spacing w:line="240" w:lineRule="auto"/>
              <w:jc w:val="center"/>
              <w:rPr>
                <w:rFonts w:hint="eastAsia" w:ascii="宋体" w:hAnsi="宋体" w:cs="宋体"/>
                <w:color w:val="auto"/>
                <w:kern w:val="0"/>
                <w:sz w:val="24"/>
                <w:highlight w:val="none"/>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0-3分</w:t>
            </w:r>
            <w:r>
              <w:rPr>
                <w:rFonts w:hint="eastAsia" w:ascii="宋体" w:hAnsi="宋体" w:cs="宋体"/>
                <w:color w:val="auto"/>
                <w:sz w:val="21"/>
                <w:szCs w:val="21"/>
                <w:lang w:eastAsia="zh-CN"/>
              </w:rPr>
              <w:t>）</w:t>
            </w:r>
          </w:p>
        </w:tc>
        <w:tc>
          <w:tcPr>
            <w:tcW w:w="6438" w:type="dxa"/>
            <w:noWrap w:val="0"/>
            <w:vAlign w:val="center"/>
          </w:tcPr>
          <w:p>
            <w:pPr>
              <w:widowControl/>
              <w:spacing w:line="320" w:lineRule="exact"/>
              <w:jc w:val="left"/>
              <w:rPr>
                <w:rFonts w:hint="default" w:ascii="宋体" w:hAnsi="宋体" w:cs="宋体"/>
                <w:color w:val="auto"/>
                <w:kern w:val="0"/>
                <w:sz w:val="24"/>
                <w:highlight w:val="none"/>
                <w:lang w:val="en-US" w:eastAsia="zh-CN"/>
              </w:rPr>
            </w:pPr>
            <w:r>
              <w:rPr>
                <w:rFonts w:hint="eastAsia" w:ascii="宋体" w:hAnsi="宋体" w:cs="宋体"/>
                <w:color w:val="auto"/>
                <w:sz w:val="21"/>
                <w:szCs w:val="21"/>
                <w:lang w:eastAsia="zh-CN"/>
              </w:rPr>
              <w:t>根据</w:t>
            </w:r>
            <w:r>
              <w:rPr>
                <w:rFonts w:hint="eastAsia" w:ascii="宋体" w:hAnsi="宋体" w:eastAsia="宋体" w:cs="宋体"/>
                <w:color w:val="auto"/>
                <w:sz w:val="21"/>
                <w:szCs w:val="21"/>
              </w:rPr>
              <w:t>投标人针对本项目制定日常垃圾分类方案</w:t>
            </w:r>
            <w:r>
              <w:rPr>
                <w:rFonts w:hint="eastAsia" w:ascii="宋体" w:hAnsi="宋体" w:eastAsia="宋体" w:cs="宋体"/>
                <w:color w:val="auto"/>
                <w:sz w:val="21"/>
                <w:szCs w:val="21"/>
                <w:highlight w:val="none"/>
              </w:rPr>
              <w:t>的合理性和可操作性</w:t>
            </w:r>
            <w:r>
              <w:rPr>
                <w:rFonts w:hint="eastAsia" w:ascii="宋体" w:hAnsi="宋体" w:eastAsia="宋体" w:cs="宋体"/>
                <w:color w:val="auto"/>
                <w:sz w:val="21"/>
                <w:szCs w:val="21"/>
              </w:rPr>
              <w:t>，由评委综合评定打分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0-3分</w:t>
            </w:r>
            <w:r>
              <w:rPr>
                <w:rFonts w:hint="eastAsia" w:ascii="宋体" w:hAnsi="宋体" w:cs="宋体"/>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373"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noWrap w:val="0"/>
            <w:vAlign w:val="center"/>
          </w:tcPr>
          <w:p>
            <w:pPr>
              <w:widowControl/>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人员管理（0-1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438" w:type="dxa"/>
            <w:noWrap w:val="0"/>
            <w:vAlign w:val="center"/>
          </w:tcPr>
          <w:p>
            <w:pPr>
              <w:widowControl/>
              <w:numPr>
                <w:ilvl w:val="0"/>
                <w:numId w:val="3"/>
              </w:num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投标人有详细的员工招聘和稳定员工队伍方案，能否满足招标文件的要求，由评委综合评定打分。（0-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pStyle w:val="2"/>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特殊节假日期间人员安排方案的合理性。（0-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pStyle w:val="2"/>
              <w:numPr>
                <w:ilvl w:val="0"/>
                <w:numId w:val="0"/>
              </w:numPr>
              <w:ind w:left="0" w:leftChars="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投标人有详细的员工岗位培训和在岗培训方案，培训方案是否完善且有针对性，能否满足招标文件的要求，是否有详细的年度培训计划等，由评委综合评定打分。（0-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373"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vMerge w:val="continue"/>
            <w:noWrap w:val="0"/>
            <w:vAlign w:val="center"/>
          </w:tcPr>
          <w:p>
            <w:pPr>
              <w:widowControl/>
              <w:spacing w:line="320" w:lineRule="exact"/>
              <w:jc w:val="left"/>
              <w:rPr>
                <w:rFonts w:ascii="宋体" w:hAnsi="宋体" w:cs="宋体"/>
                <w:color w:val="auto"/>
                <w:kern w:val="0"/>
                <w:sz w:val="24"/>
                <w:highlight w:val="none"/>
              </w:rPr>
            </w:pPr>
          </w:p>
        </w:tc>
        <w:tc>
          <w:tcPr>
            <w:tcW w:w="1375" w:type="dxa"/>
            <w:noWrap w:val="0"/>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突发情况应急措施（0-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6438" w:type="dxa"/>
            <w:noWrap w:val="0"/>
            <w:vAlign w:val="center"/>
          </w:tcPr>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根据投标人针对本项目</w:t>
            </w:r>
            <w:r>
              <w:rPr>
                <w:rFonts w:hint="eastAsia" w:ascii="宋体" w:hAnsi="宋体" w:eastAsia="宋体" w:cs="宋体"/>
                <w:color w:val="auto"/>
                <w:sz w:val="21"/>
                <w:szCs w:val="21"/>
                <w:highlight w:val="none"/>
                <w:lang w:eastAsia="zh-CN"/>
              </w:rPr>
              <w:t>的突发情况</w:t>
            </w:r>
            <w:r>
              <w:rPr>
                <w:rFonts w:hint="eastAsia" w:ascii="宋体" w:hAnsi="宋体" w:eastAsia="宋体" w:cs="宋体"/>
                <w:color w:val="auto"/>
                <w:sz w:val="21"/>
                <w:szCs w:val="21"/>
                <w:highlight w:val="none"/>
              </w:rPr>
              <w:t>应急保障预案的合理性和可操作性</w:t>
            </w:r>
            <w:r>
              <w:rPr>
                <w:rFonts w:hint="eastAsia" w:ascii="宋体" w:hAnsi="宋体" w:eastAsia="宋体" w:cs="宋体"/>
                <w:color w:val="auto"/>
                <w:sz w:val="21"/>
                <w:szCs w:val="21"/>
              </w:rPr>
              <w:t>，由评委综合评定打分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w:t>
            </w:r>
          </w:p>
          <w:p>
            <w:pPr>
              <w:widowControl/>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应急响应能力：</w:t>
            </w:r>
            <w:r>
              <w:rPr>
                <w:rFonts w:hint="eastAsia" w:ascii="宋体" w:hAnsi="宋体" w:cs="宋体"/>
                <w:color w:val="auto"/>
                <w:sz w:val="21"/>
                <w:szCs w:val="21"/>
                <w:lang w:eastAsia="zh-CN"/>
              </w:rPr>
              <w:t>投标单位承诺，如业主单位发生紧急情况，人员不足，在业主提出增派人员的要求后</w:t>
            </w:r>
            <w:r>
              <w:rPr>
                <w:rFonts w:hint="eastAsia" w:ascii="宋体" w:hAnsi="宋体" w:cs="宋体"/>
                <w:color w:val="auto"/>
                <w:sz w:val="21"/>
                <w:szCs w:val="21"/>
                <w:lang w:val="en-US" w:eastAsia="zh-CN"/>
              </w:rPr>
              <w:t>30分钟内，加派人手到达现场。（承诺函格式自拟，须法定代表人签字并加盖公章，无承诺函不得分）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0-3分</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highlight w:val="none"/>
              </w:rPr>
              <w:t>（提供承诺函，未提供的不得分）</w:t>
            </w:r>
          </w:p>
        </w:tc>
      </w:tr>
    </w:tbl>
    <w:p>
      <w:pPr>
        <w:numPr>
          <w:numId w:val="0"/>
        </w:numPr>
        <w:rPr>
          <w:rFonts w:hint="eastAsia"/>
          <w:b w:val="0"/>
          <w:bCs w:val="0"/>
          <w:sz w:val="28"/>
          <w:szCs w:val="28"/>
          <w:lang w:val="en-US" w:eastAsia="zh-CN"/>
        </w:rPr>
      </w:pPr>
    </w:p>
    <w:p>
      <w:pPr>
        <w:numPr>
          <w:ilvl w:val="0"/>
          <w:numId w:val="1"/>
        </w:numPr>
        <w:rPr>
          <w:rFonts w:hint="eastAsia"/>
          <w:b w:val="0"/>
          <w:bCs w:val="0"/>
          <w:sz w:val="28"/>
          <w:szCs w:val="28"/>
          <w:lang w:val="en-US" w:eastAsia="zh-CN"/>
        </w:rPr>
      </w:pPr>
      <w:r>
        <w:rPr>
          <w:rFonts w:hint="eastAsia"/>
          <w:b w:val="0"/>
          <w:bCs w:val="0"/>
          <w:sz w:val="28"/>
          <w:szCs w:val="28"/>
          <w:lang w:val="en-US" w:eastAsia="zh-CN"/>
        </w:rPr>
        <w:t>本补充通知是采购文件的组成部分，凡本补充通知与采购文件内容不一致之处，一律以本补充通知为准。</w:t>
      </w:r>
    </w:p>
    <w:p>
      <w:pPr>
        <w:numPr>
          <w:ilvl w:val="0"/>
          <w:numId w:val="0"/>
        </w:numPr>
        <w:rPr>
          <w:rFonts w:hint="eastAsia"/>
          <w:b w:val="0"/>
          <w:bCs w:val="0"/>
          <w:sz w:val="28"/>
          <w:szCs w:val="28"/>
          <w:lang w:val="en-US" w:eastAsia="zh-CN"/>
        </w:rPr>
      </w:pPr>
    </w:p>
    <w:p>
      <w:pPr>
        <w:numPr>
          <w:ilvl w:val="0"/>
          <w:numId w:val="0"/>
        </w:numPr>
        <w:rPr>
          <w:rFonts w:hint="eastAsia"/>
          <w:b w:val="0"/>
          <w:bCs w:val="0"/>
          <w:sz w:val="28"/>
          <w:szCs w:val="28"/>
          <w:lang w:val="en-US" w:eastAsia="zh-CN"/>
        </w:rPr>
      </w:pPr>
    </w:p>
    <w:p>
      <w:pPr>
        <w:numPr>
          <w:ilvl w:val="0"/>
          <w:numId w:val="0"/>
        </w:numPr>
        <w:rPr>
          <w:rFonts w:hint="eastAsia"/>
          <w:b w:val="0"/>
          <w:bCs w:val="0"/>
          <w:sz w:val="28"/>
          <w:szCs w:val="28"/>
          <w:lang w:val="en-US" w:eastAsia="zh-CN"/>
        </w:rPr>
      </w:pPr>
      <w:r>
        <w:rPr>
          <w:rFonts w:hint="eastAsia"/>
          <w:b w:val="0"/>
          <w:bCs w:val="0"/>
          <w:sz w:val="28"/>
          <w:szCs w:val="28"/>
          <w:lang w:val="en-US" w:eastAsia="zh-CN"/>
        </w:rPr>
        <w:t>招标单位：杭州市临安区第五人民医院</w:t>
      </w:r>
    </w:p>
    <w:p>
      <w:pPr>
        <w:numPr>
          <w:ilvl w:val="0"/>
          <w:numId w:val="0"/>
        </w:numPr>
        <w:rPr>
          <w:rFonts w:hint="eastAsia"/>
          <w:b w:val="0"/>
          <w:bCs w:val="0"/>
          <w:sz w:val="28"/>
          <w:szCs w:val="28"/>
          <w:lang w:val="en-US" w:eastAsia="zh-CN"/>
        </w:rPr>
      </w:pPr>
      <w:r>
        <w:rPr>
          <w:rFonts w:hint="eastAsia"/>
          <w:b w:val="0"/>
          <w:bCs w:val="0"/>
          <w:sz w:val="28"/>
          <w:szCs w:val="28"/>
          <w:lang w:val="en-US" w:eastAsia="zh-CN"/>
        </w:rPr>
        <w:t>代理单位：浙江新诚信工程咨询有限公司</w:t>
      </w:r>
    </w:p>
    <w:p>
      <w:pPr>
        <w:numPr>
          <w:ilvl w:val="0"/>
          <w:numId w:val="0"/>
        </w:numPr>
        <w:rPr>
          <w:rFonts w:hint="default"/>
          <w:b w:val="0"/>
          <w:bCs w:val="0"/>
          <w:sz w:val="28"/>
          <w:szCs w:val="28"/>
          <w:lang w:val="en-US" w:eastAsia="zh-CN"/>
        </w:rPr>
      </w:pPr>
      <w:r>
        <w:rPr>
          <w:rFonts w:hint="eastAsia"/>
          <w:b w:val="0"/>
          <w:bCs w:val="0"/>
          <w:sz w:val="28"/>
          <w:szCs w:val="28"/>
          <w:lang w:val="en-US" w:eastAsia="zh-CN"/>
        </w:rPr>
        <w:t>日期：2021年2月3日</w:t>
      </w:r>
    </w:p>
    <w:p>
      <w:pPr>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E8D8A"/>
    <w:multiLevelType w:val="singleLevel"/>
    <w:tmpl w:val="A1EE8D8A"/>
    <w:lvl w:ilvl="0" w:tentative="0">
      <w:start w:val="1"/>
      <w:numFmt w:val="chineseCounting"/>
      <w:suff w:val="nothing"/>
      <w:lvlText w:val="%1、"/>
      <w:lvlJc w:val="left"/>
      <w:rPr>
        <w:rFonts w:hint="eastAsia"/>
      </w:rPr>
    </w:lvl>
  </w:abstractNum>
  <w:abstractNum w:abstractNumId="1">
    <w:nsid w:val="3CE93CCF"/>
    <w:multiLevelType w:val="singleLevel"/>
    <w:tmpl w:val="3CE93CCF"/>
    <w:lvl w:ilvl="0" w:tentative="0">
      <w:start w:val="1"/>
      <w:numFmt w:val="decimal"/>
      <w:suff w:val="nothing"/>
      <w:lvlText w:val="%1、"/>
      <w:lvlJc w:val="left"/>
    </w:lvl>
  </w:abstractNum>
  <w:abstractNum w:abstractNumId="2">
    <w:nsid w:val="746F9D57"/>
    <w:multiLevelType w:val="singleLevel"/>
    <w:tmpl w:val="746F9D5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002625"/>
    <w:rsid w:val="0E9D79F7"/>
    <w:rsid w:val="0FD94F2F"/>
    <w:rsid w:val="12155651"/>
    <w:rsid w:val="2B742409"/>
    <w:rsid w:val="3194783C"/>
    <w:rsid w:val="323421B0"/>
    <w:rsid w:val="3DD05337"/>
    <w:rsid w:val="4F626E20"/>
    <w:rsid w:val="528F6806"/>
    <w:rsid w:val="5BE2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0"/>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rPr>
      <w:rFonts w:ascii="Calibri" w:hAnsi="Calibri"/>
      <w:sz w:val="21"/>
      <w:szCs w:val="22"/>
    </w:rPr>
  </w:style>
  <w:style w:type="paragraph" w:styleId="3">
    <w:name w:val="Body Text"/>
    <w:basedOn w:val="1"/>
    <w:next w:val="2"/>
    <w:qFormat/>
    <w:uiPriority w:val="0"/>
    <w:pPr>
      <w:spacing w:after="120"/>
    </w:pPr>
    <w:rPr>
      <w:sz w:val="28"/>
    </w:r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Body Text First Indent 2"/>
    <w:basedOn w:val="4"/>
    <w:qFormat/>
    <w:uiPriority w:val="0"/>
    <w:pPr>
      <w:spacing w:beforeLines="0"/>
      <w:ind w:firstLine="420" w:firstLineChars="200"/>
    </w:pPr>
    <w:rPr>
      <w:rFonts w:ascii="宋体" w:hAnsi="Courier New"/>
      <w:spacing w:val="-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Enemies-one</cp:lastModifiedBy>
  <dcterms:modified xsi:type="dcterms:W3CDTF">2021-02-03T07:19:02Z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