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ind w:firstLine="883"/>
        <w:rPr>
          <w:rFonts w:ascii="宋体" w:hAnsi="宋体" w:cs="宋体"/>
          <w:b/>
          <w:sz w:val="44"/>
          <w:szCs w:val="44"/>
        </w:rPr>
      </w:pPr>
    </w:p>
    <w:p>
      <w:pPr>
        <w:spacing w:line="500" w:lineRule="exact"/>
        <w:jc w:val="center"/>
        <w:rPr>
          <w:rFonts w:ascii="宋体" w:hAnsi="宋体" w:cs="宋体"/>
          <w:b/>
          <w:sz w:val="40"/>
          <w:szCs w:val="40"/>
        </w:rPr>
      </w:pPr>
      <w:r>
        <w:rPr>
          <w:rFonts w:hint="eastAsia" w:ascii="宋体" w:hAnsi="宋体" w:cs="宋体"/>
          <w:b/>
          <w:sz w:val="40"/>
          <w:szCs w:val="40"/>
        </w:rPr>
        <w:t>慈溪市慈通（掌起）创新产业区配套基础设施一期工程</w:t>
      </w:r>
      <w:r>
        <w:rPr>
          <w:rFonts w:hint="eastAsia" w:ascii="宋体" w:hAnsi="宋体" w:cs="宋体"/>
          <w:b/>
          <w:sz w:val="40"/>
          <w:szCs w:val="40"/>
          <w:lang w:eastAsia="zh-CN"/>
        </w:rPr>
        <w:t>-交通疏解管理服务采购项目</w:t>
      </w:r>
      <w:r>
        <w:rPr>
          <w:rFonts w:hint="eastAsia" w:ascii="宋体" w:hAnsi="宋体" w:cs="宋体"/>
          <w:b/>
          <w:sz w:val="40"/>
          <w:szCs w:val="40"/>
        </w:rPr>
        <w:t xml:space="preserve"> </w:t>
      </w:r>
    </w:p>
    <w:p>
      <w:pPr>
        <w:pStyle w:val="45"/>
        <w:ind w:firstLine="480"/>
      </w:pPr>
    </w:p>
    <w:p>
      <w:pPr>
        <w:jc w:val="center"/>
        <w:rPr>
          <w:rFonts w:ascii="宋体" w:hAnsi="宋体" w:cs="宋体"/>
          <w:b/>
          <w:sz w:val="22"/>
          <w:szCs w:val="22"/>
        </w:rPr>
      </w:pPr>
      <w:r>
        <w:rPr>
          <w:rFonts w:hint="eastAsia" w:ascii="宋体" w:hAnsi="宋体" w:cs="宋体"/>
          <w:b/>
          <w:sz w:val="22"/>
          <w:szCs w:val="22"/>
        </w:rPr>
        <w:t>(</w:t>
      </w:r>
      <w:r>
        <w:rPr>
          <w:rFonts w:ascii="宋体" w:hAnsi="宋体" w:cs="宋体"/>
          <w:b/>
          <w:sz w:val="22"/>
          <w:szCs w:val="22"/>
        </w:rPr>
        <w:t>采购编号：</w:t>
      </w:r>
      <w:r>
        <w:rPr>
          <w:rFonts w:hint="eastAsia" w:ascii="宋体" w:hAnsi="宋体" w:cs="宋体"/>
          <w:b/>
          <w:sz w:val="22"/>
          <w:szCs w:val="22"/>
        </w:rPr>
        <w:t xml:space="preserve"> </w:t>
      </w:r>
      <w:r>
        <w:rPr>
          <w:rFonts w:ascii="宋体" w:hAnsi="宋体" w:cs="宋体"/>
          <w:b/>
          <w:sz w:val="22"/>
          <w:szCs w:val="22"/>
        </w:rPr>
        <w:t xml:space="preserve">QTGGZY20220    </w:t>
      </w:r>
      <w:r>
        <w:rPr>
          <w:rFonts w:hint="eastAsia" w:ascii="宋体" w:hAnsi="宋体" w:cs="宋体"/>
          <w:b/>
          <w:sz w:val="22"/>
          <w:szCs w:val="22"/>
        </w:rPr>
        <w:t>)</w:t>
      </w:r>
    </w:p>
    <w:p>
      <w:pPr>
        <w:rPr>
          <w:rFonts w:ascii="宋体" w:hAnsi="宋体" w:cs="宋体"/>
          <w:b/>
          <w:szCs w:val="21"/>
        </w:rPr>
      </w:pPr>
    </w:p>
    <w:p>
      <w:pPr>
        <w:rPr>
          <w:rFonts w:ascii="宋体" w:hAnsi="宋体" w:cs="宋体"/>
          <w:b/>
          <w:bCs/>
          <w:szCs w:val="21"/>
        </w:rPr>
      </w:pPr>
    </w:p>
    <w:p>
      <w:pPr>
        <w:pStyle w:val="45"/>
        <w:ind w:firstLine="400"/>
        <w:rPr>
          <w:rFonts w:ascii="Verdana" w:hAnsi="Verdana"/>
          <w:kern w:val="0"/>
          <w:sz w:val="20"/>
        </w:rPr>
      </w:pPr>
    </w:p>
    <w:p>
      <w:pPr>
        <w:rPr>
          <w:rFonts w:ascii="宋体" w:hAnsi="宋体" w:cs="宋体"/>
          <w:b/>
          <w:bCs/>
          <w:szCs w:val="21"/>
        </w:rPr>
      </w:pPr>
    </w:p>
    <w:p>
      <w:pPr>
        <w:jc w:val="center"/>
        <w:rPr>
          <w:rFonts w:ascii="宋体" w:hAnsi="宋体" w:cs="宋体"/>
          <w:b/>
          <w:bCs/>
          <w:sz w:val="72"/>
          <w:szCs w:val="72"/>
        </w:rPr>
      </w:pPr>
      <w:r>
        <w:rPr>
          <w:rFonts w:ascii="宋体" w:hAnsi="宋体" w:cs="宋体"/>
          <w:b/>
          <w:bCs/>
          <w:sz w:val="72"/>
          <w:szCs w:val="72"/>
        </w:rPr>
        <w:t>公</w:t>
      </w:r>
    </w:p>
    <w:p>
      <w:pPr>
        <w:jc w:val="center"/>
        <w:rPr>
          <w:rFonts w:ascii="宋体" w:hAnsi="宋体" w:cs="宋体"/>
          <w:b/>
          <w:bCs/>
          <w:sz w:val="72"/>
          <w:szCs w:val="72"/>
        </w:rPr>
      </w:pPr>
      <w:r>
        <w:rPr>
          <w:rFonts w:ascii="宋体" w:hAnsi="宋体" w:cs="宋体"/>
          <w:b/>
          <w:bCs/>
          <w:sz w:val="72"/>
          <w:szCs w:val="72"/>
        </w:rPr>
        <w:t>开</w:t>
      </w:r>
    </w:p>
    <w:p>
      <w:pPr>
        <w:jc w:val="center"/>
        <w:rPr>
          <w:rFonts w:ascii="宋体" w:hAnsi="宋体" w:cs="宋体"/>
          <w:b/>
          <w:bCs/>
          <w:sz w:val="72"/>
          <w:szCs w:val="72"/>
        </w:rPr>
      </w:pPr>
      <w:r>
        <w:rPr>
          <w:rFonts w:ascii="宋体" w:hAnsi="宋体" w:cs="宋体"/>
          <w:b/>
          <w:bCs/>
          <w:sz w:val="72"/>
          <w:szCs w:val="72"/>
        </w:rPr>
        <w:t>招</w:t>
      </w:r>
    </w:p>
    <w:p>
      <w:pPr>
        <w:jc w:val="center"/>
        <w:rPr>
          <w:rFonts w:ascii="宋体" w:hAnsi="宋体" w:cs="宋体"/>
          <w:b/>
          <w:bCs/>
          <w:sz w:val="72"/>
          <w:szCs w:val="72"/>
        </w:rPr>
      </w:pPr>
      <w:r>
        <w:rPr>
          <w:rFonts w:ascii="宋体" w:hAnsi="宋体" w:cs="宋体"/>
          <w:b/>
          <w:bCs/>
          <w:sz w:val="72"/>
          <w:szCs w:val="72"/>
        </w:rPr>
        <w:t>标</w:t>
      </w:r>
    </w:p>
    <w:p>
      <w:pPr>
        <w:jc w:val="center"/>
        <w:rPr>
          <w:rFonts w:ascii="宋体" w:hAnsi="宋体" w:cs="宋体"/>
          <w:b/>
          <w:bCs/>
          <w:sz w:val="72"/>
          <w:szCs w:val="72"/>
        </w:rPr>
      </w:pPr>
      <w:r>
        <w:rPr>
          <w:rFonts w:ascii="宋体" w:hAnsi="宋体" w:cs="宋体"/>
          <w:b/>
          <w:bCs/>
          <w:sz w:val="72"/>
          <w:szCs w:val="72"/>
        </w:rPr>
        <w:t>文</w:t>
      </w:r>
    </w:p>
    <w:p>
      <w:pPr>
        <w:jc w:val="center"/>
        <w:rPr>
          <w:rFonts w:ascii="宋体" w:hAnsi="宋体" w:cs="宋体"/>
          <w:b/>
          <w:bCs/>
          <w:sz w:val="72"/>
          <w:szCs w:val="72"/>
        </w:rPr>
      </w:pPr>
      <w:r>
        <w:rPr>
          <w:rFonts w:ascii="宋体" w:hAnsi="宋体" w:cs="宋体"/>
          <w:b/>
          <w:bCs/>
          <w:sz w:val="72"/>
          <w:szCs w:val="72"/>
        </w:rPr>
        <w:t>件</w:t>
      </w:r>
    </w:p>
    <w:p>
      <w:pPr>
        <w:pStyle w:val="45"/>
        <w:ind w:firstLine="1446"/>
        <w:rPr>
          <w:rFonts w:ascii="宋体" w:hAnsi="宋体" w:cs="宋体"/>
          <w:b/>
          <w:bCs/>
          <w:sz w:val="72"/>
          <w:szCs w:val="72"/>
        </w:rPr>
      </w:pPr>
    </w:p>
    <w:p>
      <w:pPr>
        <w:pStyle w:val="45"/>
        <w:ind w:firstLine="1446"/>
        <w:rPr>
          <w:rFonts w:ascii="宋体" w:hAnsi="宋体" w:cs="宋体"/>
          <w:b/>
          <w:bCs/>
          <w:sz w:val="72"/>
          <w:szCs w:val="72"/>
        </w:rPr>
      </w:pPr>
    </w:p>
    <w:p>
      <w:pPr>
        <w:adjustRightInd w:val="0"/>
        <w:snapToGrid w:val="0"/>
        <w:spacing w:line="700" w:lineRule="exact"/>
        <w:rPr>
          <w:rFonts w:ascii="宋体" w:hAnsi="宋体"/>
          <w:b/>
          <w:bCs/>
          <w:sz w:val="30"/>
          <w:szCs w:val="30"/>
        </w:rPr>
      </w:pPr>
      <w:r>
        <w:rPr>
          <w:rFonts w:hint="eastAsia" w:ascii="宋体" w:hAnsi="宋体"/>
          <w:b/>
          <w:bCs/>
          <w:sz w:val="30"/>
          <w:szCs w:val="30"/>
        </w:rPr>
        <w:t xml:space="preserve">           招 标 人：慈溪市慈通建设发展有限公司</w:t>
      </w:r>
    </w:p>
    <w:p>
      <w:pPr>
        <w:adjustRightInd w:val="0"/>
        <w:snapToGrid w:val="0"/>
        <w:spacing w:line="700" w:lineRule="exact"/>
        <w:rPr>
          <w:rFonts w:ascii="宋体" w:hAnsi="宋体"/>
          <w:b/>
          <w:bCs/>
          <w:sz w:val="30"/>
          <w:szCs w:val="30"/>
        </w:rPr>
      </w:pPr>
      <w:r>
        <w:rPr>
          <w:rFonts w:hint="eastAsia" w:ascii="宋体" w:hAnsi="宋体"/>
          <w:b/>
          <w:bCs/>
          <w:sz w:val="30"/>
          <w:szCs w:val="30"/>
        </w:rPr>
        <w:t xml:space="preserve">           代理机构：浙江天成项目管理有限公司</w:t>
      </w:r>
    </w:p>
    <w:p>
      <w:pPr>
        <w:adjustRightInd w:val="0"/>
        <w:snapToGrid w:val="0"/>
        <w:spacing w:line="700" w:lineRule="exact"/>
        <w:ind w:firstLine="280" w:firstLineChars="93"/>
        <w:rPr>
          <w:rFonts w:ascii="宋体" w:hAnsi="宋体"/>
          <w:b/>
          <w:bCs/>
          <w:sz w:val="30"/>
          <w:szCs w:val="30"/>
        </w:rPr>
      </w:pPr>
      <w:r>
        <w:rPr>
          <w:rFonts w:hint="eastAsia" w:ascii="宋体" w:hAnsi="宋体"/>
          <w:b/>
          <w:bCs/>
          <w:sz w:val="30"/>
          <w:szCs w:val="30"/>
        </w:rPr>
        <w:t xml:space="preserve">         编制日期：202</w:t>
      </w:r>
      <w:r>
        <w:rPr>
          <w:rFonts w:ascii="宋体" w:hAnsi="宋体"/>
          <w:b/>
          <w:bCs/>
          <w:sz w:val="30"/>
          <w:szCs w:val="30"/>
        </w:rPr>
        <w:t>2</w:t>
      </w:r>
      <w:r>
        <w:rPr>
          <w:rFonts w:hint="eastAsia" w:ascii="宋体" w:hAnsi="宋体"/>
          <w:b/>
          <w:bCs/>
          <w:sz w:val="30"/>
          <w:szCs w:val="30"/>
        </w:rPr>
        <w:t>年</w:t>
      </w:r>
      <w:r>
        <w:rPr>
          <w:rFonts w:ascii="宋体" w:hAnsi="宋体"/>
          <w:b/>
          <w:bCs/>
          <w:sz w:val="30"/>
          <w:szCs w:val="30"/>
        </w:rPr>
        <w:t>9</w:t>
      </w:r>
      <w:r>
        <w:rPr>
          <w:rFonts w:hint="eastAsia" w:ascii="宋体" w:hAnsi="宋体"/>
          <w:b/>
          <w:bCs/>
          <w:sz w:val="30"/>
          <w:szCs w:val="30"/>
        </w:rPr>
        <w:t>月</w:t>
      </w:r>
    </w:p>
    <w:p>
      <w:pPr>
        <w:spacing w:line="360" w:lineRule="auto"/>
        <w:jc w:val="center"/>
        <w:rPr>
          <w:rFonts w:ascii="宋体" w:hAnsi="宋体" w:cs="宋体"/>
          <w:b/>
          <w:bCs/>
          <w:sz w:val="24"/>
          <w:szCs w:val="24"/>
          <w:u w:val="single"/>
        </w:rPr>
        <w:sectPr>
          <w:headerReference r:id="rId3" w:type="default"/>
          <w:footerReference r:id="rId4" w:type="even"/>
          <w:pgSz w:w="11906" w:h="16838"/>
          <w:pgMar w:top="1701" w:right="1418" w:bottom="1134" w:left="1418" w:header="851" w:footer="992" w:gutter="0"/>
          <w:pgNumType w:start="1"/>
          <w:cols w:space="720" w:num="1"/>
          <w:docGrid w:linePitch="312" w:charSpace="0"/>
        </w:sectPr>
      </w:pPr>
      <w:r>
        <w:rPr>
          <w:rFonts w:hint="eastAsia" w:ascii="宋体" w:hAnsi="宋体" w:cs="宋体"/>
          <w:b/>
          <w:bCs/>
          <w:sz w:val="24"/>
          <w:szCs w:val="24"/>
        </w:rPr>
        <w:t xml:space="preserve">  </w:t>
      </w:r>
    </w:p>
    <w:p>
      <w:pPr>
        <w:spacing w:line="1000" w:lineRule="exact"/>
        <w:jc w:val="center"/>
        <w:rPr>
          <w:rFonts w:ascii="宋体" w:hAnsi="宋体" w:cs="宋体"/>
          <w:sz w:val="48"/>
          <w:szCs w:val="48"/>
        </w:rPr>
      </w:pPr>
      <w:r>
        <w:rPr>
          <w:rFonts w:hint="eastAsia" w:ascii="宋体" w:hAnsi="宋体" w:cs="宋体"/>
          <w:b/>
          <w:sz w:val="52"/>
          <w:szCs w:val="52"/>
        </w:rPr>
        <w:tab/>
      </w:r>
      <w:r>
        <w:rPr>
          <w:rFonts w:hint="eastAsia" w:ascii="宋体" w:hAnsi="宋体" w:cs="宋体"/>
          <w:b/>
          <w:sz w:val="48"/>
          <w:szCs w:val="48"/>
          <w:lang w:bidi="ar"/>
        </w:rPr>
        <w:t>温馨提醒</w:t>
      </w:r>
    </w:p>
    <w:p>
      <w:pPr>
        <w:spacing w:line="1000" w:lineRule="exact"/>
        <w:jc w:val="center"/>
        <w:rPr>
          <w:rFonts w:ascii="宋体" w:hAnsi="宋体" w:cs="宋体"/>
          <w:sz w:val="32"/>
          <w:szCs w:val="32"/>
        </w:rPr>
      </w:pPr>
    </w:p>
    <w:p>
      <w:pPr>
        <w:spacing w:line="360" w:lineRule="auto"/>
        <w:jc w:val="left"/>
        <w:rPr>
          <w:rFonts w:ascii="宋体" w:hAnsi="宋体" w:cs="宋体"/>
          <w:b/>
          <w:sz w:val="30"/>
          <w:szCs w:val="30"/>
        </w:rPr>
      </w:pPr>
      <w:r>
        <w:rPr>
          <w:rFonts w:hint="eastAsia" w:ascii="宋体" w:hAnsi="宋体" w:cs="宋体"/>
          <w:b/>
          <w:sz w:val="30"/>
          <w:szCs w:val="30"/>
          <w:lang w:bidi="ar"/>
        </w:rPr>
        <w:t>1、乐采云 报名是否成功，以乐采云 短信通知为准。</w:t>
      </w:r>
    </w:p>
    <w:p>
      <w:pPr>
        <w:spacing w:line="360" w:lineRule="auto"/>
        <w:jc w:val="left"/>
        <w:rPr>
          <w:rFonts w:ascii="宋体" w:hAnsi="宋体" w:cs="宋体"/>
          <w:b/>
          <w:sz w:val="30"/>
          <w:szCs w:val="30"/>
        </w:rPr>
      </w:pPr>
      <w:r>
        <w:rPr>
          <w:rFonts w:hint="eastAsia" w:ascii="宋体" w:hAnsi="宋体" w:cs="宋体"/>
          <w:b/>
          <w:sz w:val="30"/>
          <w:szCs w:val="30"/>
          <w:lang w:bidi="ar"/>
        </w:rPr>
        <w:t>2、采购人可以对已发出的招标文件进行必要的澄清或者修改，将以“澄清公告”的形式发布在乐采云平台，供应商应及时登录乐采云平台，进行浏览并下载，未及时浏览下载的责任自负。</w:t>
      </w:r>
    </w:p>
    <w:p>
      <w:pPr>
        <w:pStyle w:val="3"/>
        <w:keepLines/>
        <w:spacing w:before="340" w:after="330" w:line="360" w:lineRule="auto"/>
        <w:rPr>
          <w:rFonts w:ascii="宋体" w:hAnsi="宋体"/>
          <w:sz w:val="36"/>
          <w:szCs w:val="36"/>
        </w:rPr>
      </w:pPr>
    </w:p>
    <w:p>
      <w:pPr>
        <w:rPr>
          <w:rFonts w:ascii="宋体" w:hAnsi="宋体"/>
          <w:sz w:val="36"/>
          <w:szCs w:val="36"/>
        </w:rPr>
      </w:pPr>
    </w:p>
    <w:p>
      <w:pPr>
        <w:pStyle w:val="45"/>
        <w:ind w:firstLine="720"/>
        <w:rPr>
          <w:rFonts w:ascii="宋体" w:hAnsi="宋体"/>
          <w:sz w:val="36"/>
          <w:szCs w:val="36"/>
        </w:rPr>
      </w:pPr>
    </w:p>
    <w:p>
      <w:pPr>
        <w:pStyle w:val="45"/>
        <w:ind w:firstLine="720"/>
        <w:rPr>
          <w:rFonts w:ascii="宋体" w:hAnsi="宋体"/>
          <w:sz w:val="36"/>
          <w:szCs w:val="36"/>
        </w:rPr>
      </w:pPr>
    </w:p>
    <w:p>
      <w:pPr>
        <w:pStyle w:val="45"/>
        <w:ind w:firstLine="720"/>
        <w:rPr>
          <w:rFonts w:ascii="宋体" w:hAnsi="宋体"/>
          <w:sz w:val="36"/>
          <w:szCs w:val="36"/>
        </w:rPr>
      </w:pPr>
    </w:p>
    <w:p>
      <w:pPr>
        <w:pStyle w:val="45"/>
        <w:ind w:firstLine="720"/>
        <w:rPr>
          <w:rFonts w:ascii="宋体" w:hAnsi="宋体"/>
          <w:sz w:val="36"/>
          <w:szCs w:val="36"/>
        </w:rPr>
      </w:pPr>
    </w:p>
    <w:p>
      <w:pPr>
        <w:pStyle w:val="45"/>
        <w:ind w:firstLine="720"/>
        <w:rPr>
          <w:rFonts w:ascii="宋体" w:hAnsi="宋体"/>
          <w:sz w:val="36"/>
          <w:szCs w:val="36"/>
        </w:rPr>
      </w:pPr>
    </w:p>
    <w:p>
      <w:pPr>
        <w:pStyle w:val="45"/>
        <w:ind w:firstLine="720"/>
        <w:rPr>
          <w:rFonts w:ascii="宋体" w:hAnsi="宋体"/>
          <w:sz w:val="36"/>
          <w:szCs w:val="36"/>
        </w:rPr>
      </w:pPr>
    </w:p>
    <w:p>
      <w:pPr>
        <w:pStyle w:val="45"/>
        <w:ind w:firstLine="720"/>
        <w:rPr>
          <w:rFonts w:ascii="宋体" w:hAnsi="宋体"/>
          <w:sz w:val="36"/>
          <w:szCs w:val="36"/>
        </w:rPr>
      </w:pPr>
    </w:p>
    <w:p>
      <w:pPr>
        <w:pStyle w:val="45"/>
        <w:ind w:firstLine="720"/>
        <w:rPr>
          <w:rFonts w:ascii="宋体" w:hAnsi="宋体"/>
          <w:sz w:val="36"/>
          <w:szCs w:val="36"/>
        </w:rPr>
      </w:pPr>
    </w:p>
    <w:p>
      <w:pPr>
        <w:pStyle w:val="45"/>
        <w:ind w:firstLine="720"/>
        <w:rPr>
          <w:rFonts w:ascii="宋体" w:hAnsi="宋体"/>
          <w:sz w:val="36"/>
          <w:szCs w:val="36"/>
        </w:rPr>
      </w:pPr>
    </w:p>
    <w:p>
      <w:pPr>
        <w:pStyle w:val="45"/>
        <w:ind w:firstLine="720"/>
        <w:rPr>
          <w:rFonts w:ascii="宋体" w:hAnsi="宋体"/>
          <w:sz w:val="36"/>
          <w:szCs w:val="36"/>
        </w:rPr>
      </w:pPr>
    </w:p>
    <w:p>
      <w:pPr>
        <w:pStyle w:val="45"/>
        <w:ind w:firstLine="720"/>
        <w:rPr>
          <w:rFonts w:ascii="宋体" w:hAnsi="宋体"/>
          <w:sz w:val="36"/>
          <w:szCs w:val="36"/>
        </w:rPr>
      </w:pPr>
    </w:p>
    <w:p>
      <w:pPr>
        <w:pStyle w:val="45"/>
        <w:ind w:firstLine="720"/>
        <w:rPr>
          <w:rFonts w:ascii="宋体" w:hAnsi="宋体"/>
          <w:sz w:val="36"/>
          <w:szCs w:val="36"/>
        </w:rPr>
      </w:pPr>
    </w:p>
    <w:p>
      <w:pPr>
        <w:pStyle w:val="45"/>
        <w:ind w:firstLine="720"/>
        <w:rPr>
          <w:rFonts w:ascii="宋体" w:hAnsi="宋体"/>
          <w:sz w:val="36"/>
          <w:szCs w:val="36"/>
        </w:rPr>
      </w:pPr>
    </w:p>
    <w:p>
      <w:pPr>
        <w:pStyle w:val="45"/>
        <w:ind w:firstLine="720"/>
        <w:rPr>
          <w:rFonts w:ascii="宋体" w:hAnsi="宋体"/>
          <w:sz w:val="36"/>
          <w:szCs w:val="36"/>
        </w:rPr>
      </w:pPr>
    </w:p>
    <w:p>
      <w:pPr>
        <w:pStyle w:val="45"/>
        <w:ind w:firstLine="720"/>
        <w:rPr>
          <w:rFonts w:ascii="宋体" w:hAnsi="宋体"/>
          <w:sz w:val="36"/>
          <w:szCs w:val="36"/>
        </w:rPr>
      </w:pPr>
    </w:p>
    <w:p>
      <w:pPr>
        <w:pStyle w:val="45"/>
        <w:ind w:firstLine="720"/>
        <w:rPr>
          <w:rFonts w:ascii="宋体" w:hAnsi="宋体"/>
          <w:sz w:val="36"/>
          <w:szCs w:val="36"/>
        </w:rPr>
      </w:pPr>
    </w:p>
    <w:p>
      <w:pPr>
        <w:pStyle w:val="45"/>
        <w:ind w:firstLine="720"/>
        <w:rPr>
          <w:rFonts w:ascii="宋体" w:hAnsi="宋体"/>
          <w:sz w:val="36"/>
          <w:szCs w:val="36"/>
        </w:rPr>
      </w:pPr>
    </w:p>
    <w:p>
      <w:pPr>
        <w:rPr>
          <w:rFonts w:ascii="宋体" w:hAnsi="宋体"/>
          <w:sz w:val="36"/>
          <w:szCs w:val="36"/>
        </w:rPr>
      </w:pPr>
    </w:p>
    <w:p>
      <w:pPr>
        <w:pStyle w:val="45"/>
        <w:ind w:firstLine="480"/>
      </w:pPr>
    </w:p>
    <w:p>
      <w:pPr>
        <w:pStyle w:val="3"/>
        <w:keepLines/>
        <w:spacing w:before="340" w:after="330" w:line="360" w:lineRule="auto"/>
        <w:rPr>
          <w:rFonts w:ascii="宋体" w:hAnsi="宋体"/>
          <w:sz w:val="36"/>
          <w:szCs w:val="36"/>
        </w:rPr>
        <w:sectPr>
          <w:headerReference r:id="rId5" w:type="default"/>
          <w:footerReference r:id="rId6" w:type="default"/>
          <w:type w:val="nextColumn"/>
          <w:pgSz w:w="11906" w:h="16838"/>
          <w:pgMar w:top="1134" w:right="1418" w:bottom="1134" w:left="1418" w:header="851" w:footer="992" w:gutter="0"/>
          <w:pgNumType w:start="1"/>
          <w:cols w:space="720" w:num="1"/>
          <w:docGrid w:linePitch="312" w:charSpace="0"/>
        </w:sectPr>
      </w:pPr>
    </w:p>
    <w:p>
      <w:pPr>
        <w:spacing w:line="360" w:lineRule="auto"/>
        <w:jc w:val="center"/>
        <w:rPr>
          <w:rFonts w:ascii="宋体" w:hAnsi="宋体" w:cs="宋体"/>
          <w:b/>
          <w:szCs w:val="21"/>
        </w:rPr>
      </w:pPr>
    </w:p>
    <w:p>
      <w:pPr>
        <w:pStyle w:val="3"/>
        <w:keepLines/>
        <w:spacing w:before="340" w:after="330" w:line="360" w:lineRule="auto"/>
        <w:rPr>
          <w:rFonts w:ascii="宋体" w:hAnsi="宋体"/>
          <w:sz w:val="36"/>
          <w:szCs w:val="36"/>
        </w:rPr>
      </w:pPr>
      <w:bookmarkStart w:id="0" w:name="_Toc2328"/>
      <w:r>
        <w:rPr>
          <w:rFonts w:hint="eastAsia" w:ascii="宋体" w:hAnsi="宋体"/>
          <w:sz w:val="36"/>
          <w:szCs w:val="36"/>
        </w:rPr>
        <w:t>第一章  采购公告</w:t>
      </w:r>
      <w:bookmarkEnd w:id="0"/>
    </w:p>
    <w:p>
      <w:pPr>
        <w:spacing w:line="400" w:lineRule="exact"/>
        <w:ind w:firstLine="630" w:firstLineChars="300"/>
        <w:rPr>
          <w:rFonts w:ascii="宋体" w:hAnsi="宋体" w:cs="宋体"/>
          <w:szCs w:val="21"/>
        </w:rPr>
      </w:pPr>
      <w:r>
        <w:rPr>
          <w:rFonts w:hint="eastAsia" w:ascii="宋体" w:hAnsi="宋体" w:cs="宋体"/>
          <w:szCs w:val="21"/>
        </w:rPr>
        <w:t>根据《中华人民共和国招标投标法》、《关于规范国有企业货物和服务招标采购的指导意见（试行）》等有关规定，浙江天成项目管理有限公司受慈溪市慈通建设发展有限公司的委托，就慈溪市慈通（掌起）创新产业区配套基础设施一期工程</w:t>
      </w:r>
      <w:r>
        <w:rPr>
          <w:rFonts w:hint="eastAsia" w:ascii="宋体" w:hAnsi="宋体" w:cs="宋体"/>
          <w:szCs w:val="21"/>
          <w:lang w:eastAsia="zh-CN"/>
        </w:rPr>
        <w:t>-交通疏解管理服务采购项目</w:t>
      </w:r>
      <w:bookmarkStart w:id="73" w:name="_GoBack"/>
      <w:bookmarkEnd w:id="73"/>
      <w:r>
        <w:rPr>
          <w:rFonts w:hint="eastAsia" w:ascii="宋体" w:hAnsi="宋体" w:cs="宋体"/>
          <w:szCs w:val="21"/>
        </w:rPr>
        <w:t>进行公开招标，欢迎符合要求的供应商前来投标，现将有关事项公告如下：</w:t>
      </w:r>
    </w:p>
    <w:p>
      <w:pPr>
        <w:spacing w:line="400" w:lineRule="exact"/>
        <w:rPr>
          <w:rFonts w:ascii="宋体" w:hAnsi="宋体" w:cs="宋体"/>
        </w:rPr>
      </w:pPr>
      <w:r>
        <w:rPr>
          <w:rFonts w:hint="eastAsia" w:ascii="宋体" w:hAnsi="宋体" w:cs="宋体"/>
        </w:rPr>
        <w:t>一、项目基本情况</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3、预算金额：10</w:t>
      </w:r>
      <w:r>
        <w:rPr>
          <w:rFonts w:hint="eastAsia" w:ascii="宋体" w:hAnsi="宋体" w:cs="宋体"/>
          <w:color w:val="auto"/>
          <w:szCs w:val="21"/>
          <w:highlight w:val="none"/>
          <w:lang w:val="en-US" w:eastAsia="zh-CN"/>
        </w:rPr>
        <w:t>800</w:t>
      </w:r>
      <w:r>
        <w:rPr>
          <w:rFonts w:hint="eastAsia" w:ascii="宋体" w:hAnsi="宋体" w:cs="宋体"/>
          <w:color w:val="auto"/>
          <w:szCs w:val="21"/>
          <w:highlight w:val="none"/>
        </w:rPr>
        <w:t>00元/年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4、最高限价：10</w:t>
      </w:r>
      <w:r>
        <w:rPr>
          <w:rFonts w:hint="eastAsia" w:ascii="宋体" w:hAnsi="宋体" w:cs="宋体"/>
          <w:color w:val="auto"/>
          <w:szCs w:val="21"/>
          <w:highlight w:val="none"/>
          <w:lang w:val="en-US" w:eastAsia="zh-CN"/>
        </w:rPr>
        <w:t>800</w:t>
      </w:r>
      <w:r>
        <w:rPr>
          <w:rFonts w:hint="eastAsia" w:ascii="宋体" w:hAnsi="宋体" w:cs="宋体"/>
          <w:color w:val="auto"/>
          <w:szCs w:val="21"/>
          <w:highlight w:val="none"/>
        </w:rPr>
        <w:t>00元/年</w:t>
      </w:r>
      <w:r>
        <w:rPr>
          <w:rFonts w:hint="eastAsia" w:ascii="宋体" w:hAnsi="宋体" w:cs="宋体"/>
          <w:b/>
          <w:color w:val="auto"/>
          <w:szCs w:val="21"/>
          <w:highlight w:val="none"/>
        </w:rPr>
        <w:t>（</w:t>
      </w:r>
      <w:r>
        <w:rPr>
          <w:rFonts w:hint="eastAsia" w:ascii="宋体" w:hAnsi="宋体" w:cs="宋体"/>
          <w:b/>
          <w:bCs/>
          <w:color w:val="auto"/>
          <w:szCs w:val="21"/>
          <w:highlight w:val="none"/>
        </w:rPr>
        <w:t>最高限价：</w:t>
      </w:r>
      <w:r>
        <w:rPr>
          <w:rFonts w:hint="eastAsia" w:ascii="宋体" w:hAnsi="宋体" w:cs="宋体"/>
          <w:b/>
          <w:bCs/>
          <w:color w:val="auto"/>
          <w:szCs w:val="21"/>
          <w:highlight w:val="none"/>
          <w:u w:val="single"/>
        </w:rPr>
        <w:t>23元/工时</w:t>
      </w:r>
      <w:r>
        <w:rPr>
          <w:rFonts w:hint="eastAsia" w:ascii="宋体" w:hAnsi="宋体" w:cs="宋体"/>
          <w:b/>
          <w:color w:val="auto"/>
          <w:szCs w:val="21"/>
          <w:highlight w:val="none"/>
        </w:rPr>
        <w:t>）。</w:t>
      </w:r>
    </w:p>
    <w:p>
      <w:pPr>
        <w:widowControl/>
        <w:spacing w:line="400" w:lineRule="exact"/>
        <w:ind w:firstLine="420" w:firstLineChars="200"/>
        <w:rPr>
          <w:color w:val="auto"/>
          <w:highlight w:val="none"/>
        </w:rPr>
      </w:pPr>
      <w:r>
        <w:rPr>
          <w:rFonts w:hint="eastAsia" w:ascii="宋体" w:hAnsi="宋体" w:cs="宋体"/>
          <w:color w:val="auto"/>
          <w:szCs w:val="21"/>
          <w:highlight w:val="none"/>
        </w:rPr>
        <w:t>5、采购需求：</w:t>
      </w:r>
      <w:r>
        <w:rPr>
          <w:rFonts w:hint="eastAsia" w:ascii="宋体" w:hAnsi="宋体"/>
          <w:color w:val="auto"/>
          <w:szCs w:val="21"/>
          <w:highlight w:val="none"/>
        </w:rPr>
        <w:t>暂定20人次/天，120工时</w:t>
      </w:r>
      <w:r>
        <w:rPr>
          <w:rFonts w:hint="eastAsia" w:ascii="宋体" w:hAnsi="宋体" w:cs="宋体"/>
          <w:color w:val="auto"/>
          <w:szCs w:val="21"/>
          <w:highlight w:val="none"/>
        </w:rPr>
        <w:t>/天，暂定</w:t>
      </w:r>
      <w:r>
        <w:rPr>
          <w:rFonts w:hint="eastAsia" w:ascii="宋体" w:hAnsi="宋体" w:cs="宋体"/>
          <w:color w:val="auto"/>
          <w:szCs w:val="21"/>
          <w:highlight w:val="none"/>
          <w:lang w:val="en-US" w:eastAsia="zh-CN"/>
        </w:rPr>
        <w:t>46956</w:t>
      </w:r>
      <w:r>
        <w:rPr>
          <w:rFonts w:hint="eastAsia" w:ascii="宋体" w:hAnsi="宋体" w:cs="宋体"/>
          <w:color w:val="auto"/>
          <w:szCs w:val="21"/>
          <w:highlight w:val="none"/>
        </w:rPr>
        <w:t>工时/年，每天按两班（早晚高峰和平峰）工作安排，每班工作时长按6小时计；具体要求见采购文件第五章采购项目需求。</w:t>
      </w:r>
    </w:p>
    <w:p>
      <w:pPr>
        <w:tabs>
          <w:tab w:val="left" w:pos="1243"/>
        </w:tabs>
        <w:autoSpaceDE w:val="0"/>
        <w:autoSpaceDN w:val="0"/>
        <w:adjustRightInd w:val="0"/>
        <w:snapToGrid w:val="0"/>
        <w:spacing w:line="440" w:lineRule="exact"/>
        <w:ind w:firstLine="420"/>
        <w:textAlignment w:val="bottom"/>
        <w:rPr>
          <w:rFonts w:ascii="宋体" w:hAnsi="宋体" w:cs="宋体"/>
          <w:color w:val="auto"/>
          <w:szCs w:val="21"/>
          <w:highlight w:val="none"/>
        </w:rPr>
      </w:pPr>
      <w:r>
        <w:rPr>
          <w:rFonts w:hint="eastAsia" w:ascii="宋体" w:hAnsi="宋体" w:cs="宋体"/>
          <w:color w:val="auto"/>
          <w:szCs w:val="21"/>
          <w:highlight w:val="none"/>
        </w:rPr>
        <w:t>6、合同履行期限：本项目服务期一年或采购费用达到预算金额，以先达到者为准。服务期满或采购费用达到合同金额后，经采购人考核合格并达到续签条件后，报慈溪市公共资源交易管理办公室备案，合同可续签一年或一次，最多可续签二年或二次</w:t>
      </w:r>
      <w:r>
        <w:rPr>
          <w:rFonts w:hint="eastAsia"/>
          <w:color w:val="auto"/>
          <w:szCs w:val="21"/>
          <w:highlight w:val="none"/>
        </w:rPr>
        <w:t>。</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7、本项目</w:t>
      </w:r>
      <w:r>
        <w:rPr>
          <w:rFonts w:hint="eastAsia" w:ascii="宋体" w:hAnsi="宋体" w:cs="宋体"/>
          <w:color w:val="auto"/>
          <w:szCs w:val="21"/>
          <w:highlight w:val="none"/>
          <w:u w:val="single"/>
        </w:rPr>
        <w:t>不接受</w:t>
      </w:r>
      <w:r>
        <w:rPr>
          <w:rFonts w:hint="eastAsia" w:ascii="宋体" w:hAnsi="宋体" w:cs="宋体"/>
          <w:color w:val="auto"/>
          <w:szCs w:val="21"/>
          <w:highlight w:val="none"/>
        </w:rPr>
        <w:t>联合体投标。</w:t>
      </w:r>
    </w:p>
    <w:p>
      <w:pPr>
        <w:spacing w:line="400" w:lineRule="exact"/>
        <w:rPr>
          <w:rFonts w:ascii="宋体" w:hAnsi="宋体" w:cs="宋体"/>
        </w:rPr>
      </w:pPr>
      <w:r>
        <w:rPr>
          <w:rFonts w:hint="eastAsia" w:ascii="宋体" w:hAnsi="宋体" w:cs="宋体"/>
        </w:rPr>
        <w:t>二、申请人的资格要求：</w:t>
      </w:r>
    </w:p>
    <w:p>
      <w:pPr>
        <w:snapToGrid w:val="0"/>
        <w:spacing w:line="360" w:lineRule="auto"/>
        <w:ind w:firstLine="420" w:firstLineChars="200"/>
        <w:rPr>
          <w:rFonts w:ascii="宋体" w:hAnsi="宋体" w:cs="宋体"/>
          <w:szCs w:val="21"/>
        </w:rPr>
      </w:pPr>
      <w:r>
        <w:rPr>
          <w:rFonts w:hint="eastAsia" w:ascii="宋体" w:hAnsi="宋体" w:cs="宋体"/>
          <w:szCs w:val="21"/>
        </w:rPr>
        <w:t>1、符合招标投标法规定的有关投标人的资格条件；</w:t>
      </w:r>
    </w:p>
    <w:p>
      <w:pPr>
        <w:snapToGrid w:val="0"/>
        <w:spacing w:line="360" w:lineRule="auto"/>
        <w:ind w:firstLine="420" w:firstLineChars="200"/>
        <w:rPr>
          <w:rFonts w:ascii="宋体" w:hAnsi="宋体" w:cs="宋体"/>
          <w:szCs w:val="21"/>
        </w:rPr>
      </w:pPr>
      <w:r>
        <w:rPr>
          <w:rFonts w:hint="eastAsia" w:ascii="宋体" w:hAnsi="宋体" w:cs="宋体"/>
          <w:szCs w:val="21"/>
        </w:rPr>
        <w:t>2、具有独立承担民事责任的能力；</w:t>
      </w:r>
    </w:p>
    <w:p>
      <w:pPr>
        <w:snapToGrid w:val="0"/>
        <w:spacing w:line="360" w:lineRule="auto"/>
        <w:ind w:firstLine="420" w:firstLineChars="200"/>
        <w:rPr>
          <w:rFonts w:ascii="宋体" w:hAnsi="宋体" w:cs="宋体"/>
          <w:szCs w:val="21"/>
        </w:rPr>
      </w:pPr>
      <w:r>
        <w:rPr>
          <w:rFonts w:hint="eastAsia" w:ascii="宋体" w:hAnsi="宋体" w:cs="宋体"/>
          <w:szCs w:val="21"/>
        </w:rPr>
        <w:t>3、具有良好的商业信誉和健全的财务会计制度；</w:t>
      </w:r>
    </w:p>
    <w:p>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pPr>
        <w:snapToGrid w:val="0"/>
        <w:spacing w:line="360" w:lineRule="auto"/>
        <w:ind w:firstLine="420" w:firstLineChars="200"/>
        <w:rPr>
          <w:rFonts w:ascii="宋体" w:hAnsi="宋体" w:cs="宋体"/>
          <w:szCs w:val="21"/>
        </w:rPr>
      </w:pPr>
      <w:r>
        <w:rPr>
          <w:rFonts w:hint="eastAsia" w:ascii="宋体" w:hAnsi="宋体" w:cs="宋体"/>
          <w:szCs w:val="21"/>
        </w:rPr>
        <w:t>5、参加招标活动前三年内，在经营活动中没有重大违法记录；</w:t>
      </w:r>
    </w:p>
    <w:p>
      <w:pPr>
        <w:snapToGrid w:val="0"/>
        <w:spacing w:line="360" w:lineRule="auto"/>
        <w:ind w:firstLine="420" w:firstLineChars="200"/>
        <w:rPr>
          <w:rFonts w:ascii="宋体" w:hAnsi="宋体" w:cs="宋体"/>
          <w:szCs w:val="21"/>
        </w:rPr>
      </w:pPr>
      <w:r>
        <w:rPr>
          <w:rFonts w:hint="eastAsia" w:ascii="宋体" w:hAnsi="宋体" w:cs="宋体"/>
          <w:szCs w:val="21"/>
        </w:rPr>
        <w:t>6、投标人须具有公安机关核发的保安服务许可证；</w:t>
      </w:r>
    </w:p>
    <w:p>
      <w:pPr>
        <w:snapToGrid w:val="0"/>
        <w:spacing w:line="400" w:lineRule="exact"/>
        <w:ind w:firstLine="420" w:firstLineChars="200"/>
        <w:rPr>
          <w:rFonts w:ascii="宋体" w:hAnsi="宋体" w:cs="宋体"/>
        </w:rPr>
      </w:pPr>
      <w:r>
        <w:rPr>
          <w:rFonts w:hint="eastAsia" w:ascii="宋体" w:hAnsi="宋体" w:cs="宋体"/>
          <w:szCs w:val="21"/>
        </w:rPr>
        <w:t>7、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供应商需提供相关证明资料）；</w:t>
      </w:r>
    </w:p>
    <w:p>
      <w:pPr>
        <w:widowControl/>
        <w:spacing w:line="400" w:lineRule="exact"/>
        <w:ind w:firstLine="422" w:firstLineChars="200"/>
        <w:rPr>
          <w:rFonts w:ascii="宋体" w:hAnsi="宋体" w:cs="宋体"/>
          <w:b/>
          <w:bCs/>
          <w:kern w:val="0"/>
          <w:szCs w:val="21"/>
        </w:rPr>
      </w:pPr>
      <w:r>
        <w:rPr>
          <w:rFonts w:hint="eastAsia" w:ascii="宋体" w:hAnsi="宋体" w:cs="宋体"/>
          <w:b/>
          <w:bCs/>
          <w:kern w:val="0"/>
          <w:szCs w:val="21"/>
        </w:rPr>
        <w:t>三、招标文件的获取：</w:t>
      </w:r>
    </w:p>
    <w:p>
      <w:pPr>
        <w:spacing w:line="400" w:lineRule="exact"/>
        <w:ind w:firstLine="420" w:firstLineChars="200"/>
        <w:rPr>
          <w:rFonts w:ascii="宋体" w:hAnsi="宋体" w:cs="宋体"/>
          <w:szCs w:val="21"/>
        </w:rPr>
      </w:pPr>
      <w:r>
        <w:rPr>
          <w:rFonts w:hint="eastAsia" w:ascii="宋体" w:hAnsi="宋体" w:cs="宋体"/>
          <w:szCs w:val="21"/>
        </w:rPr>
        <w:t>1、时间：自招标公告发布之日起至2022年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日14:30止，每天上午00：00至12：00，下午12：00至23：59（北京时间）；</w:t>
      </w:r>
    </w:p>
    <w:p>
      <w:pPr>
        <w:spacing w:line="400" w:lineRule="exact"/>
        <w:ind w:firstLine="420" w:firstLineChars="200"/>
        <w:rPr>
          <w:rFonts w:ascii="宋体" w:hAnsi="宋体" w:cs="宋体"/>
          <w:szCs w:val="21"/>
        </w:rPr>
      </w:pPr>
      <w:r>
        <w:rPr>
          <w:rFonts w:hint="eastAsia" w:ascii="宋体" w:hAnsi="宋体" w:cs="宋体"/>
          <w:szCs w:val="21"/>
        </w:rPr>
        <w:t>2、地点：乐采云平台（</w:t>
      </w:r>
      <w:r>
        <w:rPr>
          <w:rFonts w:ascii="宋体" w:hAnsi="宋体" w:cs="宋体"/>
          <w:szCs w:val="21"/>
        </w:rPr>
        <w:t>www.lecaiyun.com</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3、方式：本项目不提供纸制版招标文件，投标人可通过“浙江政府采购网”在线获取（采购公告下方选取“潜在供应商”处“获取采购文件”）；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p>
    <w:p>
      <w:pPr>
        <w:spacing w:line="400" w:lineRule="exact"/>
        <w:ind w:firstLine="420" w:firstLineChars="200"/>
        <w:rPr>
          <w:rFonts w:ascii="宋体" w:hAnsi="宋体" w:cs="宋体"/>
          <w:szCs w:val="21"/>
        </w:rPr>
      </w:pPr>
      <w:r>
        <w:rPr>
          <w:rFonts w:hint="eastAsia" w:ascii="宋体" w:hAnsi="宋体" w:cs="宋体"/>
          <w:szCs w:val="21"/>
        </w:rPr>
        <w:t>4、招标文件售价：免费。</w:t>
      </w:r>
    </w:p>
    <w:p>
      <w:pPr>
        <w:widowControl/>
        <w:spacing w:line="400" w:lineRule="exact"/>
        <w:ind w:firstLine="422" w:firstLineChars="200"/>
        <w:rPr>
          <w:rFonts w:ascii="宋体" w:hAnsi="宋体" w:cs="宋体"/>
          <w:b/>
          <w:bCs/>
          <w:kern w:val="0"/>
          <w:szCs w:val="21"/>
        </w:rPr>
      </w:pPr>
      <w:r>
        <w:rPr>
          <w:rFonts w:hint="eastAsia" w:ascii="宋体" w:hAnsi="宋体" w:cs="宋体"/>
          <w:b/>
          <w:bCs/>
          <w:kern w:val="0"/>
          <w:szCs w:val="21"/>
        </w:rPr>
        <w:t>四、</w:t>
      </w:r>
      <w:r>
        <w:rPr>
          <w:rFonts w:hint="eastAsia" w:cs="宋体"/>
          <w:b/>
          <w:kern w:val="0"/>
        </w:rPr>
        <w:t>提交投标文件截止时间、开标时间和地点</w:t>
      </w:r>
      <w:r>
        <w:rPr>
          <w:rFonts w:hint="eastAsia" w:ascii="宋体" w:hAnsi="宋体" w:cs="宋体"/>
          <w:b/>
          <w:bCs/>
          <w:kern w:val="0"/>
          <w:szCs w:val="21"/>
        </w:rPr>
        <w:t>：</w:t>
      </w:r>
    </w:p>
    <w:p>
      <w:pPr>
        <w:spacing w:line="400" w:lineRule="exact"/>
        <w:ind w:firstLine="420" w:firstLineChars="200"/>
        <w:rPr>
          <w:rFonts w:ascii="宋体" w:hAnsi="宋体" w:cs="宋体"/>
          <w:szCs w:val="21"/>
        </w:rPr>
      </w:pPr>
      <w:r>
        <w:rPr>
          <w:rFonts w:hint="eastAsia" w:ascii="宋体" w:hAnsi="宋体" w:cs="宋体"/>
          <w:szCs w:val="21"/>
        </w:rPr>
        <w:t>1、提交投标文件截止时间：2022年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日14:30（北京时间）。</w:t>
      </w:r>
    </w:p>
    <w:p>
      <w:pPr>
        <w:spacing w:line="400" w:lineRule="exact"/>
        <w:ind w:firstLine="420" w:firstLineChars="200"/>
        <w:rPr>
          <w:rFonts w:ascii="宋体" w:hAnsi="宋体" w:cs="宋体"/>
          <w:szCs w:val="21"/>
        </w:rPr>
      </w:pPr>
      <w:r>
        <w:rPr>
          <w:rFonts w:hint="eastAsia" w:ascii="宋体" w:hAnsi="宋体" w:cs="宋体"/>
          <w:szCs w:val="21"/>
        </w:rPr>
        <w:t>2、投标地点（网址）：乐采云</w:t>
      </w:r>
      <w:r>
        <w:rPr>
          <w:rFonts w:ascii="宋体" w:hAnsi="宋体" w:cs="宋体"/>
          <w:szCs w:val="21"/>
        </w:rPr>
        <w:t xml:space="preserve"> </w:t>
      </w:r>
      <w:r>
        <w:rPr>
          <w:rFonts w:hint="eastAsia" w:ascii="宋体" w:hAnsi="宋体" w:cs="宋体"/>
          <w:szCs w:val="21"/>
        </w:rPr>
        <w:t>（</w:t>
      </w:r>
      <w:r>
        <w:rPr>
          <w:rFonts w:ascii="宋体" w:hAnsi="宋体" w:cs="宋体"/>
          <w:szCs w:val="21"/>
        </w:rPr>
        <w:t>https://www.lecaiyun.com）</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3、开标时间：2022年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日14:30（北京时间）。</w:t>
      </w:r>
    </w:p>
    <w:p>
      <w:pPr>
        <w:spacing w:line="400" w:lineRule="exact"/>
        <w:ind w:firstLine="420" w:firstLineChars="200"/>
        <w:rPr>
          <w:rFonts w:ascii="宋体" w:hAnsi="宋体" w:cs="宋体"/>
          <w:szCs w:val="21"/>
        </w:rPr>
      </w:pPr>
      <w:r>
        <w:rPr>
          <w:rFonts w:hint="eastAsia" w:ascii="宋体" w:hAnsi="宋体" w:cs="宋体"/>
          <w:szCs w:val="21"/>
        </w:rPr>
        <w:t>4、开标地点（网址）：乐采云平台开标大厅。</w:t>
      </w:r>
    </w:p>
    <w:p>
      <w:pPr>
        <w:spacing w:line="400" w:lineRule="exact"/>
        <w:ind w:firstLine="422" w:firstLineChars="200"/>
        <w:jc w:val="left"/>
        <w:rPr>
          <w:rFonts w:ascii="宋体" w:hAnsi="宋体" w:cs="仿宋_GB2312"/>
          <w:b/>
          <w:szCs w:val="21"/>
          <w:lang w:bidi="ar"/>
        </w:rPr>
      </w:pPr>
      <w:r>
        <w:rPr>
          <w:rFonts w:hint="eastAsia" w:ascii="宋体" w:hAnsi="宋体" w:cs="仿宋_GB2312"/>
          <w:b/>
          <w:szCs w:val="21"/>
          <w:lang w:bidi="ar"/>
        </w:rPr>
        <w:t>五、</w:t>
      </w:r>
      <w:r>
        <w:rPr>
          <w:rFonts w:hint="eastAsia"/>
          <w:b/>
          <w:bCs/>
          <w:szCs w:val="21"/>
        </w:rPr>
        <w:t>投标与开标注意事项：</w:t>
      </w:r>
    </w:p>
    <w:p>
      <w:pPr>
        <w:spacing w:line="400" w:lineRule="exact"/>
        <w:ind w:firstLine="420" w:firstLineChars="200"/>
        <w:rPr>
          <w:rFonts w:ascii="宋体" w:hAnsi="宋体" w:cs="宋体"/>
          <w:szCs w:val="21"/>
        </w:rPr>
      </w:pPr>
      <w:r>
        <w:rPr>
          <w:rFonts w:ascii="宋体" w:hAnsi="宋体" w:cs="宋体"/>
          <w:szCs w:val="21"/>
        </w:rPr>
        <w:t>1、投标形式：本项目实行网上投标，采用电子投标文件。</w:t>
      </w:r>
      <w:r>
        <w:rPr>
          <w:rFonts w:hint="eastAsia" w:ascii="宋体" w:hAnsi="宋体" w:cs="宋体"/>
          <w:szCs w:val="21"/>
        </w:rPr>
        <w:t>若供应商参与投标，自行承担投标一切费用。</w:t>
      </w:r>
    </w:p>
    <w:p>
      <w:pPr>
        <w:spacing w:line="400" w:lineRule="exact"/>
        <w:ind w:firstLine="420" w:firstLineChars="200"/>
        <w:rPr>
          <w:rFonts w:ascii="宋体" w:hAnsi="宋体" w:cs="宋体"/>
          <w:szCs w:val="21"/>
        </w:rPr>
      </w:pPr>
      <w:r>
        <w:rPr>
          <w:rFonts w:hint="eastAsia" w:ascii="宋体" w:hAnsi="宋体" w:cs="宋体"/>
          <w:szCs w:val="21"/>
        </w:rPr>
        <w:t>2、投标人应于提交投标文件截止时间前将电子投标文件上传到政府采购云平台，并应于提交投标文件截止时间前，将以U盘或光盘存储的电子备份投标文件密封，采用邮寄送达方式递交。 邮寄地址：浙江天成项目管理有限公司（慈溪市古塘街道大发路145号附楼三楼302室），联系人：岑工，联系电话：</w:t>
      </w:r>
      <w:r>
        <w:rPr>
          <w:rFonts w:ascii="宋体" w:hAnsi="宋体" w:cs="宋体"/>
          <w:szCs w:val="21"/>
        </w:rPr>
        <w:t>0574-58976332</w:t>
      </w:r>
      <w:r>
        <w:rPr>
          <w:rFonts w:hint="eastAsia" w:ascii="宋体" w:hAnsi="宋体" w:cs="宋体"/>
          <w:szCs w:val="21"/>
        </w:rPr>
        <w:t>，13777033530。供应商邮寄后须将邮件单号发送至代理机构电子邮箱（电子邮箱：616887762</w:t>
      </w:r>
      <w:r>
        <w:rPr>
          <w:rFonts w:ascii="宋体" w:hAnsi="宋体" w:cs="宋体"/>
          <w:szCs w:val="21"/>
        </w:rPr>
        <w:t>@qq.com</w:t>
      </w:r>
      <w:r>
        <w:rPr>
          <w:rFonts w:hint="eastAsia" w:ascii="宋体" w:hAnsi="宋体" w:cs="宋体"/>
          <w:szCs w:val="21"/>
        </w:rPr>
        <w:t xml:space="preserve">），并致电采购代理机构，以便采购代理机构查询物流记录。各供应商应当确保电子备份投标文件的密封包装在邮寄过程保持完好，并在邮寄包裹上注明项目名称、采购编号，因邮寄造成电子备份投标文件密封破损而不符合招标文件对投标文件的密封要求、或邮寄过程中导致电子备份投标文件未在投标截止时间前送达的，代理机构将拒绝其电子备份投标文件。各供应商自行考虑邮寄在途时间，电子备份投标文件送达时间以代理机构工作人员实际签收时间为准。 </w:t>
      </w:r>
    </w:p>
    <w:p>
      <w:pPr>
        <w:spacing w:line="400" w:lineRule="exact"/>
        <w:ind w:firstLine="420" w:firstLineChars="200"/>
      </w:pPr>
      <w:r>
        <w:rPr>
          <w:rFonts w:hint="eastAsia" w:ascii="宋体" w:hAnsi="宋体" w:cs="宋体"/>
          <w:szCs w:val="21"/>
        </w:rPr>
        <w:t>3、开标时间后半小时内投标人可以登录政府采购云平台，用“项目采购-开标评标”功能进行解密投标文件。投标人按时在线解密投标文件的，以在线解密的投标文件作为评审依据，若投标人在规定时间内无法解密或解密失败，则以备份电子投标文件作为评审依据（若备份电子投标文件与乐采云平台上传的投标文件被识别为不一致，仍以备份电子投标文件作为评审依据）。采购代理机构于评审结束后将备份电子投标文件退回给供应商。若投标人在规定时间内无法解密或解密失败且未提供备份电子投标文件或所提供的备份电子投标文件无法读取的，视为投标文件撤回。</w:t>
      </w:r>
    </w:p>
    <w:p>
      <w:pPr>
        <w:spacing w:line="400" w:lineRule="exact"/>
        <w:ind w:firstLine="420" w:firstLineChars="200"/>
        <w:rPr>
          <w:rFonts w:ascii="宋体" w:hAnsi="宋体" w:cs="宋体"/>
          <w:szCs w:val="21"/>
        </w:rPr>
      </w:pPr>
      <w:r>
        <w:rPr>
          <w:rFonts w:hint="eastAsia" w:ascii="宋体" w:hAnsi="宋体" w:cs="宋体"/>
          <w:szCs w:val="21"/>
        </w:rPr>
        <w:t>4、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pPr>
        <w:spacing w:line="400" w:lineRule="exact"/>
        <w:ind w:firstLine="420" w:firstLineChars="200"/>
        <w:rPr>
          <w:rFonts w:ascii="宋体" w:hAnsi="宋体" w:cs="宋体"/>
          <w:szCs w:val="21"/>
        </w:rPr>
      </w:pPr>
      <w:r>
        <w:rPr>
          <w:rFonts w:hint="eastAsia" w:ascii="宋体" w:hAnsi="宋体" w:cs="宋体"/>
          <w:szCs w:val="21"/>
        </w:rPr>
        <w:t>5、投标文件制作：</w:t>
      </w:r>
    </w:p>
    <w:p>
      <w:pPr>
        <w:spacing w:line="400" w:lineRule="exact"/>
        <w:ind w:firstLine="420" w:firstLineChars="200"/>
        <w:rPr>
          <w:rFonts w:ascii="宋体" w:hAnsi="宋体" w:cs="宋体"/>
          <w:szCs w:val="21"/>
        </w:rPr>
      </w:pPr>
      <w:r>
        <w:rPr>
          <w:rFonts w:hint="eastAsia" w:ascii="宋体" w:hAnsi="宋体" w:cs="宋体"/>
          <w:szCs w:val="21"/>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spacing w:line="400" w:lineRule="exact"/>
        <w:ind w:firstLine="420" w:firstLineChars="200"/>
        <w:rPr>
          <w:rFonts w:ascii="宋体" w:hAnsi="宋体" w:cs="宋体"/>
          <w:szCs w:val="21"/>
        </w:rPr>
      </w:pPr>
      <w:r>
        <w:rPr>
          <w:rFonts w:hint="eastAsia" w:ascii="宋体" w:hAnsi="宋体" w:cs="宋体"/>
          <w:szCs w:val="21"/>
        </w:rPr>
        <w:t>2）供应商通过政府采购云平台电子投标工具制作投标文件。电子投标工具请供应商自行前往浙江政府采购网下载并安装（下载专区-电子投标客户端）。</w:t>
      </w:r>
    </w:p>
    <w:p>
      <w:pPr>
        <w:spacing w:line="400" w:lineRule="exact"/>
        <w:ind w:firstLine="420" w:firstLineChars="200"/>
        <w:rPr>
          <w:rFonts w:ascii="宋体" w:hAnsi="宋体" w:cs="宋体"/>
          <w:szCs w:val="21"/>
        </w:rPr>
      </w:pPr>
      <w:r>
        <w:rPr>
          <w:rFonts w:hint="eastAsia" w:ascii="宋体" w:hAnsi="宋体" w:cs="宋体"/>
          <w:szCs w:val="21"/>
        </w:rPr>
        <w:t>供应商投标文件制作及电子交易操作指南详见：政府采购云平台-服务中心-帮助文档-项目采购-操作流程-电子招投标。</w:t>
      </w:r>
    </w:p>
    <w:p>
      <w:pPr>
        <w:spacing w:line="400" w:lineRule="exact"/>
        <w:ind w:firstLine="420" w:firstLineChars="200"/>
        <w:rPr>
          <w:rFonts w:ascii="宋体" w:hAnsi="宋体" w:cs="宋体"/>
          <w:szCs w:val="21"/>
        </w:rPr>
      </w:pPr>
      <w:r>
        <w:rPr>
          <w:rFonts w:hint="eastAsia" w:ascii="宋体" w:hAnsi="宋体" w:cs="宋体"/>
          <w:szCs w:val="21"/>
        </w:rPr>
        <w:t>3）以U盘或光盘存储的电子备份投标文件1份，按“项目采购-电子招投标操作指南”制作的电子备份文件，以用于异常情况处理。</w:t>
      </w:r>
    </w:p>
    <w:p>
      <w:pPr>
        <w:spacing w:line="400" w:lineRule="exact"/>
        <w:ind w:firstLine="422" w:firstLineChars="200"/>
        <w:rPr>
          <w:rFonts w:ascii="宋体" w:hAnsi="宋体" w:cs="仿宋_GB2312"/>
          <w:b/>
          <w:szCs w:val="21"/>
          <w:lang w:bidi="ar"/>
        </w:rPr>
      </w:pPr>
      <w:r>
        <w:rPr>
          <w:rFonts w:hint="eastAsia" w:ascii="宋体" w:hAnsi="宋体" w:cs="仿宋_GB2312"/>
          <w:b/>
          <w:szCs w:val="21"/>
          <w:lang w:bidi="ar"/>
        </w:rPr>
        <w:t>六、其他事项：</w:t>
      </w:r>
    </w:p>
    <w:p>
      <w:pPr>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、单位负责人为同一人或者存在直接控股、管理关系的不同投标人，不得参加同一合同项下的投标。</w:t>
      </w:r>
    </w:p>
    <w:p>
      <w:pPr>
        <w:spacing w:line="40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、与招标人存在利害关系可能影响招标公正性的法人、其他组织或者个人，不得参加投标。</w:t>
      </w:r>
    </w:p>
    <w:p>
      <w:pPr>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、未获取招标文件者的投标将被拒绝。</w:t>
      </w:r>
    </w:p>
    <w:p>
      <w:pPr>
        <w:tabs>
          <w:tab w:val="left" w:pos="540"/>
        </w:tabs>
        <w:spacing w:line="360" w:lineRule="auto"/>
        <w:ind w:firstLine="420" w:firstLineChars="200"/>
        <w:rPr>
          <w:rFonts w:ascii="宋体" w:hAnsi="宋体" w:cs="宋体"/>
          <w:szCs w:val="21"/>
        </w:rPr>
      </w:pPr>
      <w:r>
        <w:rPr>
          <w:rFonts w:hint="eastAsia" w:ascii="宋体" w:hAnsi="宋体" w:cs="宋体"/>
          <w:szCs w:val="21"/>
        </w:rPr>
        <w:t>七、采购人或其委托代理机构联系方式：</w:t>
      </w:r>
    </w:p>
    <w:p>
      <w:pPr>
        <w:tabs>
          <w:tab w:val="left" w:pos="540"/>
        </w:tabs>
        <w:spacing w:line="360" w:lineRule="auto"/>
        <w:ind w:firstLine="420" w:firstLineChars="200"/>
        <w:rPr>
          <w:rFonts w:ascii="宋体" w:hAnsi="宋体" w:cs="宋体"/>
          <w:szCs w:val="21"/>
        </w:rPr>
      </w:pPr>
      <w:r>
        <w:rPr>
          <w:rFonts w:hint="eastAsia" w:ascii="宋体" w:hAnsi="宋体" w:cs="宋体"/>
          <w:szCs w:val="21"/>
        </w:rPr>
        <w:t>招标人名称：慈溪市慈通建设发展有限公司</w:t>
      </w:r>
    </w:p>
    <w:p>
      <w:pPr>
        <w:tabs>
          <w:tab w:val="left" w:pos="540"/>
        </w:tabs>
        <w:spacing w:line="360" w:lineRule="auto"/>
        <w:ind w:firstLine="420" w:firstLineChars="200"/>
        <w:rPr>
          <w:rFonts w:ascii="宋体" w:hAnsi="宋体" w:cs="宋体"/>
          <w:szCs w:val="21"/>
        </w:rPr>
      </w:pPr>
      <w:r>
        <w:rPr>
          <w:rFonts w:hint="eastAsia" w:ascii="宋体" w:hAnsi="宋体" w:cs="宋体"/>
          <w:szCs w:val="21"/>
        </w:rPr>
        <w:t>联系人：</w:t>
      </w:r>
      <w:r>
        <w:rPr>
          <w:rFonts w:ascii="宋体" w:hAnsi="宋体" w:cs="宋体"/>
          <w:szCs w:val="21"/>
        </w:rPr>
        <w:t xml:space="preserve"> </w:t>
      </w:r>
      <w:r>
        <w:rPr>
          <w:rFonts w:hint="eastAsia" w:ascii="宋体" w:hAnsi="宋体" w:cs="宋体"/>
          <w:szCs w:val="21"/>
        </w:rPr>
        <w:t>余先生</w:t>
      </w:r>
    </w:p>
    <w:p>
      <w:pPr>
        <w:tabs>
          <w:tab w:val="left" w:pos="540"/>
        </w:tabs>
        <w:spacing w:line="360" w:lineRule="auto"/>
        <w:ind w:firstLine="420" w:firstLineChars="200"/>
        <w:rPr>
          <w:rFonts w:ascii="宋体" w:hAnsi="宋体" w:cs="宋体"/>
          <w:szCs w:val="21"/>
        </w:rPr>
      </w:pPr>
      <w:r>
        <w:rPr>
          <w:rFonts w:hint="eastAsia" w:ascii="宋体" w:hAnsi="宋体" w:cs="宋体"/>
          <w:szCs w:val="21"/>
        </w:rPr>
        <w:t>联系电话：</w:t>
      </w:r>
      <w:r>
        <w:rPr>
          <w:rFonts w:ascii="宋体" w:hAnsi="宋体" w:cs="宋体"/>
          <w:szCs w:val="21"/>
        </w:rPr>
        <w:t xml:space="preserve"> 0574- </w:t>
      </w:r>
    </w:p>
    <w:p>
      <w:pPr>
        <w:tabs>
          <w:tab w:val="left" w:pos="540"/>
        </w:tabs>
        <w:spacing w:line="360" w:lineRule="auto"/>
        <w:ind w:firstLine="420" w:firstLineChars="200"/>
        <w:rPr>
          <w:rFonts w:ascii="宋体" w:hAnsi="宋体" w:cs="宋体"/>
          <w:szCs w:val="21"/>
        </w:rPr>
      </w:pPr>
      <w:r>
        <w:rPr>
          <w:rFonts w:hint="eastAsia" w:ascii="宋体" w:hAnsi="宋体" w:cs="宋体"/>
          <w:szCs w:val="21"/>
        </w:rPr>
        <w:t>联系地址：</w:t>
      </w:r>
      <w:r>
        <w:t>慈溪市浒山街道孙塘路339号</w:t>
      </w:r>
      <w:r>
        <w:rPr>
          <w:rFonts w:hint="eastAsia" w:ascii="微软雅黑" w:hAnsi="微软雅黑" w:eastAsia="微软雅黑"/>
          <w:color w:val="333333"/>
          <w:szCs w:val="21"/>
          <w:shd w:val="clear" w:color="auto" w:fill="FFFFFF"/>
        </w:rPr>
        <w:t> </w:t>
      </w:r>
      <w:r>
        <w:rPr>
          <w:rFonts w:hint="eastAsia" w:ascii="宋体" w:hAnsi="宋体" w:cs="宋体"/>
          <w:szCs w:val="21"/>
        </w:rPr>
        <w:t xml:space="preserve">  </w:t>
      </w:r>
    </w:p>
    <w:p>
      <w:pPr>
        <w:tabs>
          <w:tab w:val="left" w:pos="540"/>
        </w:tabs>
        <w:spacing w:line="360" w:lineRule="auto"/>
        <w:ind w:firstLine="420" w:firstLineChars="200"/>
        <w:rPr>
          <w:rFonts w:ascii="宋体" w:hAnsi="宋体" w:cs="宋体"/>
          <w:szCs w:val="21"/>
        </w:rPr>
      </w:pPr>
      <w:r>
        <w:rPr>
          <w:rFonts w:hint="eastAsia" w:ascii="宋体" w:hAnsi="宋体" w:cs="宋体"/>
          <w:szCs w:val="21"/>
        </w:rPr>
        <w:t>代理机构名称：浙江天成项目管理有限公司</w:t>
      </w:r>
    </w:p>
    <w:p>
      <w:pPr>
        <w:tabs>
          <w:tab w:val="left" w:pos="540"/>
        </w:tabs>
        <w:spacing w:line="360" w:lineRule="auto"/>
        <w:ind w:firstLine="420" w:firstLineChars="200"/>
        <w:rPr>
          <w:rFonts w:ascii="宋体" w:hAnsi="宋体" w:cs="宋体"/>
          <w:szCs w:val="21"/>
        </w:rPr>
      </w:pPr>
      <w:r>
        <w:rPr>
          <w:rFonts w:hint="eastAsia" w:ascii="宋体" w:hAnsi="宋体" w:cs="宋体"/>
          <w:szCs w:val="21"/>
        </w:rPr>
        <w:t>地   址：慈溪市古塘街道大发路145号文创园附楼三楼</w:t>
      </w:r>
    </w:p>
    <w:p>
      <w:pPr>
        <w:tabs>
          <w:tab w:val="left" w:pos="540"/>
        </w:tabs>
        <w:spacing w:line="360" w:lineRule="auto"/>
        <w:ind w:firstLine="420" w:firstLineChars="200"/>
        <w:rPr>
          <w:rFonts w:ascii="宋体" w:hAnsi="宋体" w:cs="宋体"/>
          <w:szCs w:val="21"/>
        </w:rPr>
      </w:pPr>
      <w:r>
        <w:rPr>
          <w:rFonts w:hint="eastAsia" w:ascii="宋体" w:hAnsi="宋体" w:cs="宋体"/>
          <w:szCs w:val="21"/>
        </w:rPr>
        <w:t xml:space="preserve">联 系 人：岑工 </w:t>
      </w:r>
    </w:p>
    <w:p>
      <w:pPr>
        <w:tabs>
          <w:tab w:val="left" w:pos="540"/>
        </w:tabs>
        <w:spacing w:line="360" w:lineRule="auto"/>
        <w:ind w:firstLine="420" w:firstLineChars="200"/>
        <w:rPr>
          <w:rFonts w:ascii="宋体" w:hAnsi="宋体" w:cs="宋体"/>
          <w:szCs w:val="21"/>
        </w:rPr>
      </w:pPr>
      <w:r>
        <w:rPr>
          <w:rFonts w:hint="eastAsia" w:ascii="宋体" w:hAnsi="宋体" w:cs="宋体"/>
          <w:szCs w:val="21"/>
        </w:rPr>
        <w:t>联系电话：0574-58976332</w:t>
      </w:r>
    </w:p>
    <w:p>
      <w:pPr>
        <w:pStyle w:val="15"/>
        <w:rPr>
          <w:rFonts w:ascii="宋体" w:hAnsi="宋体"/>
          <w:sz w:val="36"/>
          <w:szCs w:val="36"/>
        </w:rPr>
      </w:pPr>
      <w:r>
        <w:rPr>
          <w:rFonts w:hint="eastAsia" w:ascii="宋体" w:hAnsi="宋体"/>
          <w:sz w:val="36"/>
          <w:szCs w:val="36"/>
        </w:rPr>
        <w:t xml:space="preserve"> </w:t>
      </w:r>
    </w:p>
    <w:p>
      <w:pPr>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3"/>
        <w:keepLines/>
        <w:spacing w:before="340" w:after="330" w:line="360" w:lineRule="auto"/>
        <w:rPr>
          <w:rFonts w:ascii="宋体" w:hAnsi="宋体"/>
          <w:sz w:val="36"/>
          <w:szCs w:val="36"/>
        </w:rPr>
      </w:pPr>
      <w:bookmarkStart w:id="1" w:name="_Toc14592"/>
      <w:r>
        <w:rPr>
          <w:rFonts w:hint="eastAsia" w:ascii="宋体" w:hAnsi="宋体"/>
          <w:sz w:val="36"/>
          <w:szCs w:val="36"/>
        </w:rPr>
        <w:t>第二章  投标须知</w:t>
      </w:r>
      <w:bookmarkEnd w:id="1"/>
    </w:p>
    <w:p>
      <w:pPr>
        <w:spacing w:line="400" w:lineRule="exact"/>
        <w:ind w:firstLine="422" w:firstLineChars="200"/>
        <w:rPr>
          <w:rFonts w:ascii="宋体" w:hAnsi="宋体"/>
          <w:b/>
          <w:szCs w:val="21"/>
        </w:rPr>
      </w:pPr>
      <w:r>
        <w:rPr>
          <w:rFonts w:hint="eastAsia" w:ascii="宋体" w:hAnsi="宋体"/>
          <w:b/>
          <w:szCs w:val="21"/>
        </w:rPr>
        <w:t>一、适用范围</w:t>
      </w:r>
    </w:p>
    <w:p>
      <w:pPr>
        <w:spacing w:line="400" w:lineRule="exact"/>
        <w:ind w:firstLine="420" w:firstLineChars="200"/>
        <w:jc w:val="left"/>
        <w:rPr>
          <w:rFonts w:ascii="宋体" w:hAnsi="宋体"/>
          <w:szCs w:val="21"/>
        </w:rPr>
      </w:pPr>
      <w:r>
        <w:rPr>
          <w:rFonts w:hint="eastAsia" w:ascii="宋体" w:hAnsi="宋体"/>
          <w:szCs w:val="21"/>
        </w:rPr>
        <w:t>本招标文件仅适用于本采购项目所叙述的货物（服务）的招标、评标、定标、验收、合同履约、付款等（法律、法规另有规定的，从其规定）。</w:t>
      </w:r>
    </w:p>
    <w:p>
      <w:pPr>
        <w:spacing w:line="400" w:lineRule="exact"/>
        <w:ind w:firstLine="422" w:firstLineChars="200"/>
        <w:jc w:val="left"/>
        <w:rPr>
          <w:rFonts w:ascii="宋体" w:hAnsi="宋体"/>
          <w:b/>
          <w:szCs w:val="21"/>
        </w:rPr>
      </w:pPr>
      <w:r>
        <w:rPr>
          <w:rFonts w:hint="eastAsia" w:ascii="宋体" w:hAnsi="宋体"/>
          <w:b/>
          <w:szCs w:val="21"/>
        </w:rPr>
        <w:t>二、定义</w:t>
      </w:r>
    </w:p>
    <w:p>
      <w:pPr>
        <w:spacing w:line="400" w:lineRule="exact"/>
        <w:ind w:firstLine="420" w:firstLineChars="200"/>
        <w:jc w:val="left"/>
        <w:rPr>
          <w:rFonts w:ascii="宋体" w:hAnsi="宋体" w:cs="宋体"/>
          <w:szCs w:val="21"/>
        </w:rPr>
      </w:pPr>
      <w:r>
        <w:rPr>
          <w:rFonts w:hint="eastAsia" w:ascii="宋体" w:hAnsi="宋体" w:cs="宋体"/>
          <w:szCs w:val="21"/>
          <w:lang w:bidi="ar"/>
        </w:rPr>
        <w:t>1、“采购人”系指</w:t>
      </w:r>
      <w:r>
        <w:rPr>
          <w:rFonts w:hint="eastAsia" w:ascii="宋体" w:hAnsi="宋体" w:cs="宋体"/>
          <w:szCs w:val="21"/>
          <w:u w:val="single"/>
          <w:lang w:bidi="ar"/>
        </w:rPr>
        <w:t>慈溪市慈通建设发展有限公司</w:t>
      </w:r>
      <w:r>
        <w:rPr>
          <w:rFonts w:hint="eastAsia" w:ascii="宋体" w:hAnsi="宋体" w:cs="宋体"/>
          <w:szCs w:val="21"/>
          <w:lang w:bidi="ar"/>
        </w:rPr>
        <w:t>。</w:t>
      </w:r>
    </w:p>
    <w:p>
      <w:pPr>
        <w:spacing w:line="400" w:lineRule="exact"/>
        <w:ind w:firstLine="420" w:firstLineChars="200"/>
        <w:jc w:val="left"/>
        <w:rPr>
          <w:rFonts w:ascii="宋体" w:hAnsi="宋体" w:cs="宋体"/>
          <w:szCs w:val="21"/>
        </w:rPr>
      </w:pPr>
      <w:r>
        <w:rPr>
          <w:rFonts w:hint="eastAsia" w:ascii="宋体" w:hAnsi="宋体" w:cs="宋体"/>
          <w:szCs w:val="21"/>
          <w:lang w:bidi="ar"/>
        </w:rPr>
        <w:t>2、“代理机构”系指浙江天成项目管理有限公司。</w:t>
      </w:r>
    </w:p>
    <w:p>
      <w:pPr>
        <w:spacing w:line="400" w:lineRule="exact"/>
        <w:ind w:firstLine="420" w:firstLineChars="200"/>
        <w:jc w:val="left"/>
        <w:rPr>
          <w:rFonts w:ascii="宋体" w:hAnsi="宋体" w:cs="宋体"/>
          <w:szCs w:val="21"/>
        </w:rPr>
      </w:pPr>
      <w:r>
        <w:rPr>
          <w:rFonts w:hint="eastAsia" w:ascii="宋体" w:hAnsi="宋体" w:cs="宋体"/>
          <w:szCs w:val="21"/>
          <w:lang w:bidi="ar"/>
        </w:rPr>
        <w:t>3、“供应商”系指向采购人提供投标文件的供应商。</w:t>
      </w:r>
    </w:p>
    <w:p>
      <w:pPr>
        <w:spacing w:line="400" w:lineRule="exact"/>
        <w:ind w:firstLine="420" w:firstLineChars="200"/>
        <w:jc w:val="left"/>
        <w:rPr>
          <w:rFonts w:ascii="宋体" w:hAnsi="宋体" w:cs="宋体"/>
          <w:szCs w:val="21"/>
        </w:rPr>
      </w:pPr>
      <w:r>
        <w:rPr>
          <w:rFonts w:hint="eastAsia" w:ascii="宋体" w:hAnsi="宋体" w:cs="宋体"/>
          <w:szCs w:val="21"/>
          <w:lang w:bidi="ar"/>
        </w:rPr>
        <w:t>4、“中标人”系指在本次招标中确定向采购人提供货物和服务的供应商；</w:t>
      </w:r>
    </w:p>
    <w:p>
      <w:pPr>
        <w:spacing w:line="400" w:lineRule="exact"/>
        <w:ind w:firstLine="420" w:firstLineChars="200"/>
        <w:jc w:val="left"/>
        <w:rPr>
          <w:rFonts w:ascii="宋体" w:hAnsi="宋体" w:cs="宋体"/>
          <w:szCs w:val="21"/>
        </w:rPr>
      </w:pPr>
      <w:r>
        <w:rPr>
          <w:rFonts w:hint="eastAsia" w:ascii="宋体" w:hAnsi="宋体" w:cs="宋体"/>
          <w:szCs w:val="21"/>
          <w:lang w:bidi="ar"/>
        </w:rPr>
        <w:t>5、“货物和服务”系指</w:t>
      </w:r>
      <w:r>
        <w:rPr>
          <w:rFonts w:hint="eastAsia" w:ascii="宋体" w:hAnsi="宋体" w:cs="宋体"/>
          <w:szCs w:val="21"/>
        </w:rPr>
        <w:t>慈溪市慈通（掌起）创新产业区配套基础设施一期工程</w:t>
      </w:r>
      <w:r>
        <w:rPr>
          <w:rFonts w:hint="eastAsia" w:ascii="宋体" w:hAnsi="宋体" w:cs="宋体"/>
          <w:szCs w:val="21"/>
          <w:lang w:eastAsia="zh-CN"/>
        </w:rPr>
        <w:t>-交通疏解管理服务采购项目</w:t>
      </w:r>
      <w:r>
        <w:rPr>
          <w:rFonts w:hint="eastAsia" w:ascii="宋体" w:hAnsi="宋体" w:cs="宋体"/>
          <w:szCs w:val="21"/>
        </w:rPr>
        <w:t xml:space="preserve"> </w:t>
      </w:r>
      <w:r>
        <w:rPr>
          <w:rFonts w:hint="eastAsia" w:ascii="宋体" w:hAnsi="宋体" w:cs="宋体"/>
          <w:lang w:bidi="ar"/>
        </w:rPr>
        <w:t>。</w:t>
      </w:r>
    </w:p>
    <w:p>
      <w:pPr>
        <w:spacing w:line="400" w:lineRule="exact"/>
        <w:ind w:firstLine="420" w:firstLineChars="200"/>
        <w:jc w:val="left"/>
        <w:rPr>
          <w:rFonts w:ascii="宋体" w:hAnsi="宋体"/>
          <w:szCs w:val="21"/>
        </w:rPr>
      </w:pPr>
      <w:r>
        <w:rPr>
          <w:rFonts w:hint="eastAsia" w:ascii="宋体" w:hAnsi="宋体"/>
          <w:szCs w:val="21"/>
        </w:rPr>
        <w:t>6、“</w:t>
      </w:r>
      <w:r>
        <w:rPr>
          <w:rFonts w:ascii="宋体" w:hAnsi="宋体"/>
          <w:szCs w:val="21"/>
        </w:rPr>
        <w:t>同级</w:t>
      </w:r>
      <w:r>
        <w:rPr>
          <w:rFonts w:hint="eastAsia" w:ascii="宋体" w:hAnsi="宋体"/>
          <w:szCs w:val="21"/>
        </w:rPr>
        <w:t>政府</w:t>
      </w:r>
      <w:r>
        <w:rPr>
          <w:rFonts w:ascii="宋体" w:hAnsi="宋体"/>
          <w:szCs w:val="21"/>
        </w:rPr>
        <w:t>采购监管部门</w:t>
      </w:r>
      <w:r>
        <w:rPr>
          <w:rFonts w:hint="eastAsia" w:ascii="宋体" w:hAnsi="宋体"/>
          <w:szCs w:val="21"/>
        </w:rPr>
        <w:t>”系指相关部门</w:t>
      </w:r>
      <w:r>
        <w:rPr>
          <w:rFonts w:hint="eastAsia" w:ascii="宋体" w:hAnsi="宋体"/>
          <w:kern w:val="10"/>
          <w:szCs w:val="21"/>
          <w:lang w:val="zh-CN"/>
        </w:rPr>
        <w:t>。</w:t>
      </w:r>
    </w:p>
    <w:p>
      <w:pPr>
        <w:spacing w:line="400" w:lineRule="exact"/>
        <w:ind w:firstLine="420" w:firstLineChars="200"/>
        <w:jc w:val="left"/>
        <w:rPr>
          <w:rFonts w:ascii="宋体" w:hAnsi="宋体"/>
          <w:szCs w:val="21"/>
        </w:rPr>
      </w:pPr>
      <w:r>
        <w:rPr>
          <w:rFonts w:hint="eastAsia" w:ascii="宋体" w:hAnsi="宋体"/>
          <w:szCs w:val="21"/>
        </w:rPr>
        <w:t>7、</w:t>
      </w:r>
      <w:r>
        <w:rPr>
          <w:rFonts w:ascii="宋体" w:hAnsi="宋体"/>
          <w:szCs w:val="21"/>
        </w:rPr>
        <w:t>“▲”系指实质性</w:t>
      </w:r>
      <w:r>
        <w:rPr>
          <w:rFonts w:hint="eastAsia" w:ascii="宋体" w:hAnsi="宋体"/>
          <w:szCs w:val="21"/>
        </w:rPr>
        <w:t>响应</w:t>
      </w:r>
      <w:r>
        <w:rPr>
          <w:rFonts w:ascii="宋体" w:hAnsi="宋体"/>
          <w:szCs w:val="21"/>
        </w:rPr>
        <w:t>条款。</w:t>
      </w:r>
    </w:p>
    <w:p>
      <w:pPr>
        <w:spacing w:line="400" w:lineRule="exact"/>
        <w:ind w:firstLine="422" w:firstLineChars="200"/>
        <w:jc w:val="left"/>
        <w:rPr>
          <w:rFonts w:ascii="宋体" w:hAnsi="宋体"/>
          <w:b/>
          <w:szCs w:val="21"/>
        </w:rPr>
      </w:pPr>
      <w:r>
        <w:rPr>
          <w:rFonts w:hint="eastAsia" w:ascii="宋体" w:hAnsi="宋体"/>
          <w:b/>
          <w:szCs w:val="21"/>
        </w:rPr>
        <w:t>三、供应商的资格要求</w:t>
      </w:r>
    </w:p>
    <w:p>
      <w:pPr>
        <w:spacing w:line="400" w:lineRule="exact"/>
        <w:ind w:firstLine="420" w:firstLineChars="200"/>
        <w:jc w:val="left"/>
        <w:rPr>
          <w:rFonts w:ascii="宋体" w:hAnsi="宋体"/>
          <w:szCs w:val="21"/>
        </w:rPr>
      </w:pPr>
      <w:r>
        <w:rPr>
          <w:rFonts w:hint="eastAsia" w:ascii="宋体" w:hAnsi="宋体"/>
          <w:szCs w:val="21"/>
        </w:rPr>
        <w:t>详见采购公告。</w:t>
      </w:r>
    </w:p>
    <w:p>
      <w:pPr>
        <w:spacing w:line="400" w:lineRule="exact"/>
        <w:ind w:firstLine="422" w:firstLineChars="200"/>
        <w:jc w:val="left"/>
        <w:rPr>
          <w:rFonts w:ascii="宋体" w:hAnsi="宋体"/>
          <w:b/>
          <w:szCs w:val="21"/>
        </w:rPr>
      </w:pPr>
      <w:r>
        <w:rPr>
          <w:rFonts w:hint="eastAsia" w:ascii="宋体" w:hAnsi="宋体"/>
          <w:b/>
          <w:szCs w:val="21"/>
        </w:rPr>
        <w:t>四、投标费用</w:t>
      </w:r>
    </w:p>
    <w:p>
      <w:pPr>
        <w:spacing w:line="400" w:lineRule="exact"/>
        <w:ind w:firstLine="420" w:firstLineChars="200"/>
        <w:jc w:val="left"/>
        <w:rPr>
          <w:rFonts w:ascii="宋体" w:hAnsi="宋体"/>
          <w:szCs w:val="21"/>
        </w:rPr>
      </w:pPr>
      <w:r>
        <w:rPr>
          <w:rFonts w:ascii="宋体" w:hAnsi="宋体"/>
          <w:szCs w:val="21"/>
        </w:rPr>
        <w:t>1、无论投标过程和结果如何，供应商自行承担与投标有关的全部费用</w:t>
      </w:r>
      <w:r>
        <w:rPr>
          <w:rFonts w:hint="eastAsia" w:ascii="宋体" w:hAnsi="宋体"/>
          <w:szCs w:val="21"/>
        </w:rPr>
        <w:t>，包括</w:t>
      </w:r>
      <w:r>
        <w:rPr>
          <w:rFonts w:ascii="宋体" w:hAnsi="宋体"/>
          <w:szCs w:val="21"/>
        </w:rPr>
        <w:t>交易中心</w:t>
      </w:r>
      <w:r>
        <w:rPr>
          <w:rFonts w:hint="eastAsia" w:ascii="宋体" w:hAnsi="宋体"/>
          <w:szCs w:val="21"/>
        </w:rPr>
        <w:t>交易服务费</w:t>
      </w:r>
      <w:r>
        <w:rPr>
          <w:rFonts w:ascii="宋体" w:hAnsi="宋体"/>
          <w:szCs w:val="21"/>
        </w:rPr>
        <w:t>。</w:t>
      </w:r>
    </w:p>
    <w:p>
      <w:pPr>
        <w:spacing w:line="400" w:lineRule="exact"/>
        <w:ind w:firstLine="420" w:firstLineChars="200"/>
        <w:jc w:val="left"/>
        <w:rPr>
          <w:rFonts w:ascii="宋体" w:hAnsi="宋体"/>
          <w:szCs w:val="21"/>
        </w:rPr>
      </w:pPr>
      <w:r>
        <w:rPr>
          <w:rFonts w:hint="eastAsia" w:ascii="宋体" w:hAnsi="宋体" w:cs="宋体"/>
          <w:szCs w:val="21"/>
        </w:rPr>
        <w:t>2、</w:t>
      </w:r>
      <w:r>
        <w:rPr>
          <w:rFonts w:hint="eastAsia" w:ascii="宋体" w:hAnsi="宋体"/>
          <w:szCs w:val="21"/>
        </w:rPr>
        <w:t>招标代理服务费金额：服务费按</w:t>
      </w:r>
      <w:r>
        <w:rPr>
          <w:rFonts w:ascii="宋体" w:hAnsi="宋体"/>
          <w:szCs w:val="21"/>
        </w:rPr>
        <w:t>15000</w:t>
      </w:r>
      <w:r>
        <w:rPr>
          <w:rFonts w:hint="eastAsia" w:ascii="宋体" w:hAnsi="宋体"/>
          <w:szCs w:val="21"/>
        </w:rPr>
        <w:t>元 ，向中标供应商收取招标代理服务费。</w:t>
      </w:r>
    </w:p>
    <w:p>
      <w:pPr>
        <w:spacing w:line="400" w:lineRule="exact"/>
        <w:ind w:firstLine="420" w:firstLineChars="200"/>
        <w:jc w:val="left"/>
      </w:pPr>
      <w:r>
        <w:rPr>
          <w:rFonts w:hint="eastAsia" w:ascii="宋体" w:hAnsi="宋体"/>
          <w:szCs w:val="21"/>
        </w:rPr>
        <w:t>3、</w:t>
      </w:r>
      <w:r>
        <w:rPr>
          <w:rFonts w:ascii="宋体" w:hAnsi="宋体"/>
          <w:szCs w:val="21"/>
        </w:rPr>
        <w:t>中标人需</w:t>
      </w:r>
      <w:r>
        <w:rPr>
          <w:rFonts w:hint="eastAsia" w:ascii="宋体" w:hAnsi="宋体"/>
          <w:szCs w:val="21"/>
        </w:rPr>
        <w:t>按慈溪市公共资源交易中心的规定，</w:t>
      </w:r>
      <w:r>
        <w:rPr>
          <w:rFonts w:ascii="宋体" w:hAnsi="宋体"/>
          <w:szCs w:val="21"/>
        </w:rPr>
        <w:t>缴纳中标金额0.</w:t>
      </w:r>
      <w:r>
        <w:rPr>
          <w:rFonts w:hint="eastAsia" w:ascii="宋体" w:hAnsi="宋体"/>
          <w:szCs w:val="21"/>
        </w:rPr>
        <w:t>15</w:t>
      </w:r>
      <w:r>
        <w:rPr>
          <w:rFonts w:ascii="宋体" w:hAnsi="宋体"/>
          <w:szCs w:val="21"/>
        </w:rPr>
        <w:t>‰的交易费。</w:t>
      </w:r>
    </w:p>
    <w:p>
      <w:pPr>
        <w:spacing w:line="400" w:lineRule="exact"/>
        <w:ind w:firstLine="422" w:firstLineChars="200"/>
        <w:jc w:val="left"/>
        <w:rPr>
          <w:rFonts w:ascii="宋体" w:hAnsi="宋体"/>
          <w:b/>
          <w:szCs w:val="21"/>
        </w:rPr>
      </w:pPr>
      <w:r>
        <w:rPr>
          <w:rFonts w:hint="eastAsia" w:ascii="宋体" w:hAnsi="宋体"/>
          <w:b/>
          <w:szCs w:val="21"/>
        </w:rPr>
        <w:t>五、投标报价</w:t>
      </w:r>
    </w:p>
    <w:p>
      <w:pPr>
        <w:spacing w:line="400" w:lineRule="exact"/>
        <w:ind w:firstLine="420" w:firstLineChars="200"/>
        <w:jc w:val="left"/>
        <w:rPr>
          <w:rFonts w:ascii="宋体" w:hAnsi="宋体"/>
          <w:szCs w:val="21"/>
          <w:lang w:val="zh-CN"/>
        </w:rPr>
      </w:pPr>
      <w:r>
        <w:rPr>
          <w:rFonts w:hint="eastAsia" w:ascii="宋体" w:hAnsi="宋体"/>
          <w:szCs w:val="21"/>
          <w:lang w:val="zh-CN"/>
        </w:rPr>
        <w:t>1、投标报价以人民币为结算货币。</w:t>
      </w:r>
    </w:p>
    <w:p>
      <w:pPr>
        <w:spacing w:line="400" w:lineRule="exact"/>
        <w:ind w:firstLine="420" w:firstLineChars="200"/>
        <w:jc w:val="left"/>
        <w:rPr>
          <w:rFonts w:ascii="宋体" w:hAnsi="宋体"/>
          <w:szCs w:val="21"/>
          <w:lang w:val="zh-CN"/>
        </w:rPr>
      </w:pPr>
      <w:r>
        <w:rPr>
          <w:rFonts w:hint="eastAsia" w:ascii="宋体" w:hAnsi="宋体"/>
          <w:szCs w:val="21"/>
          <w:lang w:val="zh-CN"/>
        </w:rPr>
        <w:t>（</w:t>
      </w:r>
      <w:r>
        <w:rPr>
          <w:rFonts w:hint="eastAsia" w:ascii="宋体" w:hAnsi="宋体"/>
          <w:szCs w:val="21"/>
        </w:rPr>
        <w:t>1</w:t>
      </w:r>
      <w:r>
        <w:rPr>
          <w:rFonts w:hint="eastAsia" w:ascii="宋体" w:hAnsi="宋体"/>
          <w:szCs w:val="21"/>
          <w:lang w:val="zh-CN"/>
        </w:rPr>
        <w:t>）开标时，供应商应按招标文件要求认真填写报价内容，投标文件报价前后不一致的，按以下规定修正：</w:t>
      </w:r>
    </w:p>
    <w:p>
      <w:pPr>
        <w:spacing w:line="400" w:lineRule="exact"/>
        <w:ind w:firstLine="420" w:firstLineChars="200"/>
        <w:jc w:val="left"/>
        <w:rPr>
          <w:rFonts w:ascii="宋体" w:hAnsi="宋体"/>
          <w:szCs w:val="21"/>
          <w:lang w:val="zh-CN"/>
        </w:rPr>
      </w:pPr>
      <w:r>
        <w:rPr>
          <w:rFonts w:hint="eastAsia" w:ascii="宋体" w:hAnsi="宋体"/>
          <w:szCs w:val="21"/>
          <w:lang w:val="zh-CN"/>
        </w:rPr>
        <w:t>①投标文件中开标一览表（报价表）内容与投标文件中相应内容不一致的，以开标一览表（报价表）为准；</w:t>
      </w:r>
    </w:p>
    <w:p>
      <w:pPr>
        <w:spacing w:line="400" w:lineRule="exact"/>
        <w:ind w:firstLine="420" w:firstLineChars="200"/>
        <w:jc w:val="left"/>
        <w:rPr>
          <w:rFonts w:ascii="宋体" w:hAnsi="宋体"/>
          <w:szCs w:val="21"/>
          <w:lang w:val="zh-CN"/>
        </w:rPr>
      </w:pPr>
      <w:r>
        <w:rPr>
          <w:rFonts w:hint="eastAsia" w:ascii="宋体" w:hAnsi="宋体"/>
          <w:szCs w:val="21"/>
          <w:lang w:val="zh-CN"/>
        </w:rPr>
        <w:t>②投标文件的大写金额和小写金额不一致的，以大写金额为准；</w:t>
      </w:r>
    </w:p>
    <w:p>
      <w:pPr>
        <w:spacing w:line="400" w:lineRule="exact"/>
        <w:ind w:firstLine="420" w:firstLineChars="200"/>
        <w:jc w:val="left"/>
        <w:rPr>
          <w:rFonts w:ascii="宋体" w:hAnsi="宋体"/>
          <w:szCs w:val="21"/>
          <w:lang w:val="zh-CN"/>
        </w:rPr>
      </w:pPr>
      <w:r>
        <w:rPr>
          <w:rFonts w:hint="eastAsia" w:ascii="宋体" w:hAnsi="宋体"/>
          <w:szCs w:val="21"/>
          <w:lang w:val="zh-CN"/>
        </w:rPr>
        <w:t>③单价金额小数点或者百分比有明显错位的，以开标一览表的总价为准，并修改单价；</w:t>
      </w:r>
    </w:p>
    <w:p>
      <w:pPr>
        <w:spacing w:line="400" w:lineRule="exact"/>
        <w:ind w:firstLine="420" w:firstLineChars="200"/>
        <w:jc w:val="left"/>
        <w:rPr>
          <w:rFonts w:ascii="宋体" w:hAnsi="宋体"/>
          <w:szCs w:val="21"/>
          <w:lang w:val="zh-CN"/>
        </w:rPr>
      </w:pPr>
      <w:r>
        <w:rPr>
          <w:rFonts w:hint="eastAsia" w:ascii="宋体" w:hAnsi="宋体"/>
          <w:szCs w:val="21"/>
          <w:lang w:val="zh-CN"/>
        </w:rPr>
        <w:t>④总价金额与按单价汇总金额不一致的，以单价金额计算结果为准。</w:t>
      </w:r>
    </w:p>
    <w:p>
      <w:pPr>
        <w:spacing w:line="400" w:lineRule="exact"/>
        <w:ind w:firstLine="420" w:firstLineChars="200"/>
        <w:jc w:val="left"/>
        <w:rPr>
          <w:rFonts w:ascii="宋体" w:hAnsi="宋体"/>
          <w:szCs w:val="21"/>
          <w:lang w:val="zh-CN"/>
        </w:rPr>
      </w:pPr>
      <w:r>
        <w:rPr>
          <w:rFonts w:hint="eastAsia" w:ascii="宋体" w:hAnsi="宋体"/>
          <w:szCs w:val="21"/>
          <w:lang w:val="zh-CN"/>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pPr>
        <w:spacing w:line="400" w:lineRule="exact"/>
        <w:ind w:firstLine="420" w:firstLineChars="200"/>
        <w:jc w:val="left"/>
        <w:rPr>
          <w:rFonts w:ascii="宋体" w:hAnsi="宋体"/>
          <w:szCs w:val="21"/>
          <w:lang w:val="zh-CN"/>
        </w:rPr>
      </w:pPr>
      <w:r>
        <w:rPr>
          <w:rFonts w:hint="eastAsia" w:ascii="宋体" w:hAnsi="宋体"/>
          <w:szCs w:val="21"/>
          <w:lang w:val="zh-CN"/>
        </w:rPr>
        <w:t>2、投标报价是履行合同的最终价格，包含需交纳的所有税费及其他一切相关费用。供应商少报或漏报的工作量，采购单位将视为已包含在投标总价中，并不予调整。</w:t>
      </w:r>
    </w:p>
    <w:p>
      <w:pPr>
        <w:spacing w:line="400" w:lineRule="exact"/>
        <w:ind w:firstLine="420" w:firstLineChars="200"/>
        <w:jc w:val="left"/>
        <w:rPr>
          <w:rFonts w:ascii="宋体" w:hAnsi="宋体"/>
          <w:szCs w:val="21"/>
          <w:lang w:val="zh-CN"/>
        </w:rPr>
      </w:pPr>
      <w:r>
        <w:rPr>
          <w:rFonts w:hint="eastAsia" w:ascii="宋体" w:hAnsi="宋体"/>
          <w:szCs w:val="21"/>
          <w:lang w:val="zh-CN"/>
        </w:rPr>
        <w:t>3、投标文件只允许有一个报价，有选择的或有条件的报价将不予接受。</w:t>
      </w:r>
    </w:p>
    <w:p>
      <w:pPr>
        <w:spacing w:line="400" w:lineRule="exact"/>
        <w:ind w:firstLine="422" w:firstLineChars="200"/>
        <w:jc w:val="left"/>
        <w:rPr>
          <w:rFonts w:ascii="宋体" w:hAnsi="宋体"/>
          <w:b/>
          <w:szCs w:val="21"/>
        </w:rPr>
      </w:pPr>
      <w:r>
        <w:rPr>
          <w:rFonts w:hint="eastAsia" w:ascii="宋体" w:hAnsi="宋体"/>
          <w:b/>
          <w:szCs w:val="21"/>
        </w:rPr>
        <w:t>六、投标保证金</w:t>
      </w:r>
    </w:p>
    <w:p>
      <w:pPr>
        <w:spacing w:line="400" w:lineRule="exact"/>
        <w:ind w:firstLine="420" w:firstLineChars="200"/>
        <w:jc w:val="left"/>
        <w:rPr>
          <w:rFonts w:ascii="宋体" w:hAnsi="宋体" w:cs="宋体"/>
          <w:szCs w:val="21"/>
          <w:lang w:bidi="ar"/>
        </w:rPr>
      </w:pPr>
      <w:r>
        <w:rPr>
          <w:rFonts w:hint="eastAsia" w:ascii="宋体" w:hAnsi="宋体" w:cs="宋体"/>
          <w:szCs w:val="21"/>
          <w:lang w:bidi="ar"/>
        </w:rPr>
        <w:t xml:space="preserve"> 本项目无需缴纳。</w:t>
      </w:r>
    </w:p>
    <w:p>
      <w:pPr>
        <w:spacing w:line="400" w:lineRule="exact"/>
        <w:ind w:firstLine="422" w:firstLineChars="200"/>
        <w:jc w:val="left"/>
        <w:rPr>
          <w:rFonts w:ascii="宋体" w:hAnsi="宋体"/>
          <w:b/>
          <w:szCs w:val="21"/>
        </w:rPr>
      </w:pPr>
      <w:r>
        <w:rPr>
          <w:rFonts w:hint="eastAsia" w:ascii="宋体" w:hAnsi="宋体"/>
          <w:b/>
          <w:szCs w:val="21"/>
        </w:rPr>
        <w:t>七、投标有效期</w:t>
      </w:r>
    </w:p>
    <w:p>
      <w:pPr>
        <w:spacing w:line="400" w:lineRule="exact"/>
        <w:ind w:firstLine="420" w:firstLineChars="200"/>
        <w:jc w:val="left"/>
        <w:rPr>
          <w:rFonts w:ascii="宋体" w:hAnsi="宋体" w:cs="宋体"/>
          <w:szCs w:val="21"/>
          <w:lang w:bidi="ar"/>
        </w:rPr>
      </w:pPr>
      <w:r>
        <w:rPr>
          <w:rFonts w:hint="eastAsia" w:ascii="宋体" w:hAnsi="宋体" w:cs="宋体"/>
          <w:szCs w:val="21"/>
          <w:lang w:bidi="ar"/>
        </w:rPr>
        <w:t>▲1、投标文件从开标之日起，投标有效期为90个日历天。有效期自开标日起计算，不能小于招标文件的要求。</w:t>
      </w:r>
    </w:p>
    <w:p>
      <w:pPr>
        <w:spacing w:line="400" w:lineRule="exact"/>
        <w:ind w:firstLine="420" w:firstLineChars="200"/>
        <w:jc w:val="left"/>
        <w:rPr>
          <w:rFonts w:ascii="宋体" w:hAnsi="宋体" w:cs="宋体"/>
          <w:szCs w:val="21"/>
          <w:lang w:bidi="ar"/>
        </w:rPr>
      </w:pPr>
      <w:r>
        <w:rPr>
          <w:rFonts w:hint="eastAsia" w:ascii="宋体" w:hAnsi="宋体" w:cs="宋体"/>
          <w:szCs w:val="21"/>
          <w:lang w:bidi="ar"/>
        </w:rPr>
        <w:t>2、特殊情况下，采购人可与供应商协商延缓投标文件的有效期，这种要求和答复均以书面形式进行。</w:t>
      </w:r>
    </w:p>
    <w:p>
      <w:pPr>
        <w:spacing w:line="400" w:lineRule="exact"/>
        <w:ind w:firstLine="422" w:firstLineChars="200"/>
        <w:jc w:val="left"/>
        <w:rPr>
          <w:rFonts w:ascii="宋体" w:hAnsi="宋体"/>
          <w:b/>
          <w:szCs w:val="21"/>
        </w:rPr>
      </w:pPr>
      <w:r>
        <w:rPr>
          <w:rFonts w:hint="eastAsia" w:ascii="宋体" w:hAnsi="宋体"/>
          <w:b/>
          <w:szCs w:val="21"/>
        </w:rPr>
        <w:t>八、投标文件的组成</w:t>
      </w:r>
    </w:p>
    <w:p>
      <w:pPr>
        <w:spacing w:line="400" w:lineRule="exact"/>
        <w:ind w:firstLine="422" w:firstLineChars="200"/>
        <w:jc w:val="left"/>
        <w:rPr>
          <w:rFonts w:ascii="宋体" w:hAnsi="宋体"/>
          <w:b/>
          <w:szCs w:val="21"/>
        </w:rPr>
      </w:pPr>
      <w:bookmarkStart w:id="2" w:name="_Toc28576"/>
      <w:r>
        <w:rPr>
          <w:rFonts w:hint="eastAsia" w:ascii="宋体" w:hAnsi="宋体"/>
          <w:b/>
          <w:szCs w:val="21"/>
        </w:rPr>
        <w:t>（一）投标文件的组成</w:t>
      </w:r>
      <w:bookmarkEnd w:id="2"/>
    </w:p>
    <w:p>
      <w:pPr>
        <w:spacing w:line="400" w:lineRule="exact"/>
        <w:ind w:firstLine="420" w:firstLineChars="200"/>
        <w:jc w:val="left"/>
        <w:rPr>
          <w:rFonts w:ascii="宋体" w:hAnsi="宋体" w:cs="宋体"/>
          <w:szCs w:val="21"/>
          <w:lang w:bidi="ar"/>
        </w:rPr>
      </w:pPr>
      <w:r>
        <w:rPr>
          <w:rFonts w:hint="eastAsia" w:ascii="宋体" w:hAnsi="宋体" w:cs="宋体"/>
          <w:szCs w:val="21"/>
          <w:lang w:bidi="ar"/>
        </w:rPr>
        <w:t>投标文件应当包括以下主要内容：资格审查文件、商务技术文件、报价文件。投标文件应当对招标文件提出的要求和条件作出明确响应。</w:t>
      </w:r>
    </w:p>
    <w:p>
      <w:pPr>
        <w:spacing w:line="400" w:lineRule="exact"/>
        <w:ind w:firstLine="420" w:firstLineChars="200"/>
        <w:jc w:val="left"/>
        <w:rPr>
          <w:rFonts w:ascii="宋体" w:hAnsi="宋体" w:cs="宋体"/>
          <w:szCs w:val="21"/>
          <w:lang w:bidi="ar"/>
        </w:rPr>
      </w:pPr>
      <w:r>
        <w:rPr>
          <w:rFonts w:hint="eastAsia" w:ascii="宋体" w:hAnsi="宋体" w:cs="宋体"/>
          <w:szCs w:val="21"/>
          <w:lang w:bidi="ar"/>
        </w:rPr>
        <w:t>（1）资格审查文件：</w:t>
      </w:r>
    </w:p>
    <w:p>
      <w:pPr>
        <w:spacing w:line="380" w:lineRule="exact"/>
        <w:ind w:firstLine="420" w:firstLineChars="200"/>
        <w:jc w:val="left"/>
        <w:rPr>
          <w:rFonts w:ascii="宋体" w:hAnsi="宋体" w:cs="宋体"/>
          <w:szCs w:val="21"/>
        </w:rPr>
      </w:pPr>
      <w:r>
        <w:rPr>
          <w:rFonts w:hint="eastAsia" w:ascii="宋体" w:hAnsi="宋体" w:cs="宋体"/>
          <w:szCs w:val="21"/>
        </w:rPr>
        <w:t>1、资格审查文件封面（格式见附件）；</w:t>
      </w:r>
    </w:p>
    <w:p>
      <w:pPr>
        <w:spacing w:line="380" w:lineRule="exact"/>
        <w:ind w:firstLine="420" w:firstLineChars="200"/>
        <w:jc w:val="left"/>
        <w:rPr>
          <w:rFonts w:ascii="宋体" w:hAnsi="宋体"/>
          <w:szCs w:val="21"/>
        </w:rPr>
      </w:pPr>
      <w:r>
        <w:rPr>
          <w:rFonts w:hint="eastAsia" w:ascii="宋体" w:hAnsi="宋体" w:cs="仿宋_GB2312"/>
          <w:szCs w:val="21"/>
        </w:rPr>
        <w:t>2、</w:t>
      </w:r>
      <w:r>
        <w:rPr>
          <w:rFonts w:hint="eastAsia" w:ascii="宋体" w:hAnsi="宋体"/>
          <w:szCs w:val="21"/>
        </w:rPr>
        <w:t>关于资格的声明函（</w:t>
      </w:r>
      <w:r>
        <w:rPr>
          <w:rFonts w:hint="eastAsia" w:ascii="宋体" w:hAnsi="宋体" w:cs="宋体"/>
          <w:szCs w:val="21"/>
        </w:rPr>
        <w:t>格式见附件</w:t>
      </w:r>
      <w:r>
        <w:rPr>
          <w:rFonts w:hint="eastAsia" w:ascii="宋体" w:hAnsi="宋体"/>
          <w:szCs w:val="21"/>
        </w:rPr>
        <w:t>）；</w:t>
      </w:r>
    </w:p>
    <w:p>
      <w:pPr>
        <w:spacing w:line="380" w:lineRule="exact"/>
        <w:ind w:firstLine="420" w:firstLineChars="200"/>
        <w:jc w:val="left"/>
        <w:rPr>
          <w:rFonts w:ascii="宋体" w:hAnsi="宋体" w:cs="仿宋_GB2312"/>
          <w:szCs w:val="21"/>
        </w:rPr>
      </w:pPr>
      <w:r>
        <w:rPr>
          <w:rFonts w:ascii="宋体" w:hAnsi="宋体" w:cs="仿宋_GB2312"/>
          <w:szCs w:val="21"/>
        </w:rPr>
        <w:t>3</w:t>
      </w:r>
      <w:r>
        <w:rPr>
          <w:rFonts w:hint="eastAsia" w:ascii="宋体" w:hAnsi="宋体" w:cs="仿宋_GB2312"/>
          <w:szCs w:val="21"/>
        </w:rPr>
        <w:t>、</w:t>
      </w:r>
      <w:r>
        <w:rPr>
          <w:rFonts w:hint="eastAsia" w:ascii="宋体" w:hAnsi="宋体" w:cs="宋体"/>
          <w:szCs w:val="22"/>
        </w:rPr>
        <w:t>有效的企业法人营业执照（或事业法人登记证）或其他组织（个体工商户）的营业执照或者民办非企业单位登记证书的</w:t>
      </w:r>
      <w:r>
        <w:rPr>
          <w:rFonts w:hint="eastAsia" w:ascii="宋体" w:hAnsi="宋体" w:cs="宋体"/>
          <w:szCs w:val="22"/>
          <w:lang w:bidi="ar"/>
        </w:rPr>
        <w:t>扫描件</w:t>
      </w:r>
      <w:r>
        <w:rPr>
          <w:rFonts w:hint="eastAsia" w:ascii="宋体" w:hAnsi="宋体"/>
          <w:szCs w:val="21"/>
        </w:rPr>
        <w:t>（加盖投标人公章）</w:t>
      </w:r>
      <w:r>
        <w:rPr>
          <w:rFonts w:hint="eastAsia" w:ascii="宋体" w:hAnsi="宋体" w:cs="宋体"/>
          <w:szCs w:val="22"/>
          <w:lang w:bidi="ar"/>
        </w:rPr>
        <w:t>；</w:t>
      </w:r>
    </w:p>
    <w:p>
      <w:pPr>
        <w:spacing w:line="380" w:lineRule="exact"/>
        <w:ind w:firstLine="420" w:firstLineChars="200"/>
        <w:jc w:val="left"/>
        <w:rPr>
          <w:rFonts w:ascii="宋体" w:hAnsi="宋体"/>
          <w:szCs w:val="21"/>
        </w:rPr>
      </w:pPr>
      <w:r>
        <w:rPr>
          <w:rFonts w:ascii="宋体" w:hAnsi="宋体" w:cs="仿宋_GB2312"/>
          <w:szCs w:val="21"/>
        </w:rPr>
        <w:t>4</w:t>
      </w:r>
      <w:r>
        <w:rPr>
          <w:rFonts w:hint="eastAsia" w:ascii="宋体" w:hAnsi="宋体" w:cs="仿宋_GB2312"/>
          <w:szCs w:val="21"/>
        </w:rPr>
        <w:t>、投标人一般情况（</w:t>
      </w:r>
      <w:r>
        <w:rPr>
          <w:rFonts w:hint="eastAsia" w:ascii="宋体" w:hAnsi="宋体" w:cs="宋体"/>
          <w:szCs w:val="21"/>
        </w:rPr>
        <w:t>格式见附件</w:t>
      </w:r>
      <w:r>
        <w:rPr>
          <w:rFonts w:hint="eastAsia" w:ascii="宋体" w:hAnsi="宋体" w:cs="仿宋_GB2312"/>
          <w:szCs w:val="21"/>
        </w:rPr>
        <w:t>）；</w:t>
      </w:r>
    </w:p>
    <w:p>
      <w:pPr>
        <w:spacing w:line="360" w:lineRule="exact"/>
        <w:ind w:firstLine="420" w:firstLineChars="200"/>
        <w:jc w:val="left"/>
        <w:rPr>
          <w:rFonts w:ascii="宋体" w:hAnsi="宋体"/>
          <w:szCs w:val="22"/>
        </w:rPr>
      </w:pPr>
      <w:r>
        <w:rPr>
          <w:rFonts w:hint="eastAsia" w:ascii="宋体" w:hAnsi="宋体"/>
          <w:szCs w:val="22"/>
        </w:rPr>
        <w:t>5、</w:t>
      </w:r>
      <w:r>
        <w:rPr>
          <w:rFonts w:hint="eastAsia" w:ascii="宋体" w:hAnsi="宋体" w:cs="宋体"/>
          <w:szCs w:val="21"/>
        </w:rPr>
        <w:t>具有公安机关核发的保安服务许可证</w:t>
      </w:r>
      <w:r>
        <w:rPr>
          <w:rFonts w:hint="eastAsia" w:ascii="宋体" w:hAnsi="宋体"/>
          <w:szCs w:val="22"/>
        </w:rPr>
        <w:t>。</w:t>
      </w:r>
    </w:p>
    <w:p>
      <w:pPr>
        <w:spacing w:line="360" w:lineRule="exact"/>
        <w:ind w:firstLine="420" w:firstLineChars="200"/>
        <w:jc w:val="left"/>
        <w:rPr>
          <w:rFonts w:ascii="宋体" w:hAnsi="宋体"/>
          <w:szCs w:val="22"/>
        </w:rPr>
      </w:pPr>
      <w:r>
        <w:rPr>
          <w:rFonts w:hint="eastAsia" w:ascii="宋体" w:hAnsi="宋体"/>
          <w:szCs w:val="22"/>
        </w:rPr>
        <w:t>（2）商务技术文件：</w:t>
      </w:r>
    </w:p>
    <w:p>
      <w:pPr>
        <w:spacing w:line="360" w:lineRule="exact"/>
        <w:ind w:firstLine="420" w:firstLineChars="200"/>
        <w:jc w:val="left"/>
        <w:rPr>
          <w:rFonts w:ascii="宋体" w:hAnsi="宋体"/>
          <w:szCs w:val="22"/>
        </w:rPr>
      </w:pPr>
      <w:r>
        <w:rPr>
          <w:rFonts w:hint="eastAsia" w:ascii="宋体" w:hAnsi="宋体"/>
          <w:szCs w:val="22"/>
        </w:rPr>
        <w:t>1、商务技术文件封面；</w:t>
      </w:r>
    </w:p>
    <w:p>
      <w:pPr>
        <w:spacing w:line="360" w:lineRule="exact"/>
        <w:ind w:firstLine="420" w:firstLineChars="200"/>
        <w:jc w:val="left"/>
        <w:rPr>
          <w:rFonts w:ascii="宋体" w:hAnsi="宋体"/>
          <w:szCs w:val="22"/>
        </w:rPr>
      </w:pPr>
      <w:r>
        <w:rPr>
          <w:rFonts w:ascii="宋体" w:hAnsi="宋体"/>
          <w:szCs w:val="22"/>
        </w:rPr>
        <w:t>2</w:t>
      </w:r>
      <w:r>
        <w:rPr>
          <w:rFonts w:hint="eastAsia" w:ascii="宋体" w:hAnsi="宋体"/>
          <w:szCs w:val="22"/>
        </w:rPr>
        <w:t>、商务条款响应表（格式见附件）；</w:t>
      </w:r>
    </w:p>
    <w:p>
      <w:pPr>
        <w:spacing w:line="360" w:lineRule="exact"/>
        <w:ind w:firstLine="420" w:firstLineChars="200"/>
        <w:jc w:val="left"/>
        <w:rPr>
          <w:rFonts w:ascii="宋体" w:hAnsi="宋体"/>
          <w:szCs w:val="22"/>
        </w:rPr>
      </w:pPr>
      <w:r>
        <w:rPr>
          <w:rFonts w:ascii="宋体" w:hAnsi="宋体"/>
          <w:szCs w:val="22"/>
        </w:rPr>
        <w:t>3</w:t>
      </w:r>
      <w:r>
        <w:rPr>
          <w:rFonts w:hint="eastAsia" w:ascii="宋体" w:hAnsi="宋体"/>
          <w:szCs w:val="22"/>
        </w:rPr>
        <w:t>、根据评分要求提供相关资料。</w:t>
      </w:r>
    </w:p>
    <w:p>
      <w:pPr>
        <w:spacing w:line="360" w:lineRule="exact"/>
        <w:ind w:firstLine="420" w:firstLineChars="200"/>
        <w:jc w:val="left"/>
        <w:rPr>
          <w:rFonts w:ascii="宋体" w:hAnsi="宋体"/>
          <w:szCs w:val="22"/>
        </w:rPr>
      </w:pPr>
      <w:r>
        <w:rPr>
          <w:rFonts w:hint="eastAsia" w:ascii="宋体" w:hAnsi="宋体"/>
          <w:szCs w:val="22"/>
        </w:rPr>
        <w:t>（3）报价文件：</w:t>
      </w:r>
    </w:p>
    <w:p>
      <w:pPr>
        <w:spacing w:line="360" w:lineRule="exact"/>
        <w:ind w:firstLine="420" w:firstLineChars="200"/>
        <w:jc w:val="left"/>
        <w:rPr>
          <w:rFonts w:ascii="宋体" w:hAnsi="宋体"/>
          <w:szCs w:val="22"/>
        </w:rPr>
      </w:pPr>
      <w:r>
        <w:rPr>
          <w:rFonts w:hint="eastAsia" w:ascii="宋体" w:hAnsi="宋体"/>
          <w:szCs w:val="22"/>
        </w:rPr>
        <w:t>1、报价文件封面；</w:t>
      </w:r>
    </w:p>
    <w:p>
      <w:pPr>
        <w:spacing w:line="360" w:lineRule="exact"/>
        <w:ind w:firstLine="420" w:firstLineChars="200"/>
        <w:jc w:val="left"/>
        <w:rPr>
          <w:rFonts w:ascii="宋体" w:hAnsi="宋体"/>
          <w:szCs w:val="22"/>
        </w:rPr>
      </w:pPr>
      <w:r>
        <w:rPr>
          <w:rFonts w:hint="eastAsia" w:ascii="宋体" w:hAnsi="宋体"/>
          <w:szCs w:val="22"/>
        </w:rPr>
        <w:t>2、开标一览表（格式见附件）；</w:t>
      </w:r>
    </w:p>
    <w:p>
      <w:pPr>
        <w:spacing w:line="360" w:lineRule="exact"/>
        <w:ind w:firstLine="420" w:firstLineChars="200"/>
        <w:jc w:val="left"/>
        <w:rPr>
          <w:rFonts w:ascii="宋体" w:hAnsi="宋体"/>
          <w:szCs w:val="22"/>
        </w:rPr>
      </w:pPr>
      <w:r>
        <w:rPr>
          <w:rFonts w:hint="eastAsia" w:ascii="宋体" w:hAnsi="宋体"/>
          <w:szCs w:val="22"/>
        </w:rPr>
        <w:t>3、投标报价明细表（格式见附件）；</w:t>
      </w:r>
    </w:p>
    <w:p>
      <w:pPr>
        <w:spacing w:line="360" w:lineRule="exact"/>
        <w:ind w:firstLine="420" w:firstLineChars="200"/>
        <w:jc w:val="left"/>
        <w:rPr>
          <w:rFonts w:ascii="宋体" w:hAnsi="宋体"/>
          <w:szCs w:val="22"/>
        </w:rPr>
      </w:pPr>
      <w:r>
        <w:rPr>
          <w:rFonts w:hint="eastAsia" w:ascii="宋体" w:hAnsi="宋体"/>
          <w:szCs w:val="22"/>
        </w:rPr>
        <w:t>4、中小企业声明函（若有）；</w:t>
      </w:r>
    </w:p>
    <w:p>
      <w:pPr>
        <w:spacing w:line="360" w:lineRule="exact"/>
        <w:ind w:firstLine="420" w:firstLineChars="200"/>
        <w:jc w:val="left"/>
        <w:rPr>
          <w:rFonts w:ascii="宋体" w:hAnsi="宋体"/>
          <w:szCs w:val="22"/>
        </w:rPr>
      </w:pPr>
      <w:r>
        <w:rPr>
          <w:rFonts w:hint="eastAsia" w:ascii="宋体" w:hAnsi="宋体"/>
          <w:szCs w:val="22"/>
        </w:rPr>
        <w:t xml:space="preserve">5、残疾人福利性单位声明函（若有）。 </w:t>
      </w:r>
    </w:p>
    <w:p>
      <w:pPr>
        <w:spacing w:line="360" w:lineRule="exact"/>
        <w:ind w:firstLine="420" w:firstLineChars="200"/>
        <w:jc w:val="left"/>
        <w:rPr>
          <w:rFonts w:ascii="宋体" w:hAnsi="宋体"/>
          <w:szCs w:val="22"/>
        </w:rPr>
      </w:pPr>
      <w:r>
        <w:rPr>
          <w:rFonts w:hint="eastAsia" w:ascii="宋体" w:hAnsi="宋体"/>
          <w:szCs w:val="22"/>
        </w:rPr>
        <w:t>6、投标人针对报价需要说明的其他文件和说明。</w:t>
      </w:r>
    </w:p>
    <w:p>
      <w:pPr>
        <w:spacing w:line="400" w:lineRule="exact"/>
        <w:ind w:firstLine="422" w:firstLineChars="200"/>
        <w:jc w:val="left"/>
        <w:rPr>
          <w:rFonts w:ascii="宋体" w:hAnsi="宋体"/>
          <w:b/>
          <w:szCs w:val="21"/>
        </w:rPr>
      </w:pPr>
      <w:r>
        <w:rPr>
          <w:rFonts w:hint="eastAsia" w:ascii="宋体" w:hAnsi="宋体"/>
          <w:b/>
          <w:szCs w:val="21"/>
        </w:rPr>
        <w:t>九、投标文件的份数、密封、签署</w:t>
      </w:r>
    </w:p>
    <w:p>
      <w:pPr>
        <w:spacing w:line="400" w:lineRule="exact"/>
        <w:ind w:firstLine="422" w:firstLineChars="200"/>
        <w:jc w:val="left"/>
        <w:rPr>
          <w:rFonts w:ascii="宋体" w:hAnsi="宋体"/>
          <w:b/>
          <w:szCs w:val="21"/>
        </w:rPr>
      </w:pPr>
      <w:r>
        <w:rPr>
          <w:rFonts w:hint="eastAsia" w:ascii="宋体" w:hAnsi="宋体"/>
          <w:b/>
          <w:szCs w:val="21"/>
        </w:rPr>
        <w:t>▲1、供应商应按本采购文件规定的格式和顺序编制投标文件并标注页码，投标文件内容不完整、编排混乱导致投标文件被误读、漏读或者查不到相关内容的，由供应商自行承担相关责任。</w:t>
      </w:r>
    </w:p>
    <w:p>
      <w:pPr>
        <w:spacing w:line="400" w:lineRule="exact"/>
        <w:ind w:firstLine="422" w:firstLineChars="200"/>
        <w:jc w:val="left"/>
        <w:rPr>
          <w:rFonts w:ascii="宋体" w:hAnsi="宋体" w:cs="宋体"/>
          <w:b/>
          <w:szCs w:val="21"/>
        </w:rPr>
      </w:pPr>
      <w:r>
        <w:rPr>
          <w:rFonts w:hint="eastAsia" w:ascii="宋体" w:hAnsi="宋体"/>
          <w:b/>
          <w:szCs w:val="21"/>
        </w:rPr>
        <w:t>▲2、</w:t>
      </w:r>
      <w:r>
        <w:rPr>
          <w:rFonts w:hint="eastAsia" w:ascii="宋体" w:hAnsi="宋体" w:cs="宋体"/>
          <w:b/>
          <w:szCs w:val="21"/>
        </w:rPr>
        <w:t>供应商于“乐采云 ”上提供电子投标文件（</w:t>
      </w:r>
      <w:r>
        <w:rPr>
          <w:rFonts w:hint="eastAsia" w:ascii="宋体" w:hAnsi="宋体" w:cs="宋体"/>
          <w:b/>
          <w:bCs/>
          <w:szCs w:val="21"/>
        </w:rPr>
        <w:t>电子投标文件中所须加盖公章部分均采用CA签章</w:t>
      </w:r>
      <w:r>
        <w:rPr>
          <w:rFonts w:hint="eastAsia" w:ascii="宋体" w:hAnsi="宋体" w:cs="宋体"/>
          <w:b/>
          <w:szCs w:val="21"/>
        </w:rPr>
        <w:t>），</w:t>
      </w:r>
      <w:r>
        <w:rPr>
          <w:rFonts w:hint="eastAsia" w:ascii="宋体" w:hAnsi="宋体"/>
          <w:b/>
          <w:szCs w:val="21"/>
        </w:rPr>
        <w:t>并根据“乐采云 供应商项目采购-电子招投标操作指南”及本招标文件规定的格式和顺序编制电子投标文件并进行关联定位。</w:t>
      </w:r>
      <w:r>
        <w:rPr>
          <w:rFonts w:hint="eastAsia" w:ascii="宋体" w:hAnsi="宋体" w:cs="宋体"/>
          <w:b/>
          <w:szCs w:val="21"/>
        </w:rPr>
        <w:t>未传输递交电子投标文件的，投标无效。</w:t>
      </w:r>
    </w:p>
    <w:p>
      <w:pPr>
        <w:pStyle w:val="45"/>
        <w:rPr>
          <w:rFonts w:ascii="宋体" w:hAnsi="宋体" w:eastAsia="宋体"/>
          <w:sz w:val="21"/>
          <w:szCs w:val="21"/>
          <w:lang w:bidi="ar"/>
        </w:rPr>
      </w:pPr>
      <w:r>
        <w:rPr>
          <w:rFonts w:hint="eastAsia" w:ascii="宋体" w:hAnsi="宋体" w:eastAsia="宋体"/>
          <w:sz w:val="21"/>
          <w:szCs w:val="21"/>
        </w:rPr>
        <w:t>3、备份</w:t>
      </w:r>
      <w:r>
        <w:rPr>
          <w:rFonts w:hint="eastAsia" w:ascii="宋体" w:hAnsi="宋体" w:cs="宋体"/>
          <w:sz w:val="21"/>
          <w:szCs w:val="21"/>
        </w:rPr>
        <w:t>电子投标文件：以U盘形式提供的备份电子投标文件数量1份，并单独密封递交，外包装封面上应注明供应商名称、供应商地址、投标文件名称（电子备份文件）、采购项目名称、项目编号、子包及“在  年  月  日  时  分之前不得启封”字样，并加盖供应商公章</w:t>
      </w:r>
      <w:r>
        <w:rPr>
          <w:rFonts w:hint="eastAsia" w:ascii="宋体" w:hAnsi="宋体" w:eastAsia="宋体"/>
          <w:sz w:val="21"/>
          <w:szCs w:val="21"/>
          <w:lang w:bidi="ar"/>
        </w:rPr>
        <w:t>，如果供应商未加写标记，采购人对投标文件的误投和提前启封不负责任。</w:t>
      </w:r>
    </w:p>
    <w:p>
      <w:pPr>
        <w:pStyle w:val="45"/>
        <w:ind w:firstLine="482"/>
        <w:rPr>
          <w:rFonts w:ascii="宋体" w:hAnsi="宋体" w:cs="宋体"/>
          <w:sz w:val="21"/>
          <w:szCs w:val="21"/>
        </w:rPr>
      </w:pPr>
      <w:r>
        <w:rPr>
          <w:rFonts w:hint="eastAsia" w:ascii="宋体" w:hAnsi="宋体"/>
          <w:b/>
          <w:szCs w:val="21"/>
        </w:rPr>
        <w:t>▲</w:t>
      </w:r>
      <w:r>
        <w:rPr>
          <w:rFonts w:hint="eastAsia" w:ascii="宋体" w:hAnsi="宋体" w:cs="宋体"/>
          <w:sz w:val="21"/>
          <w:szCs w:val="21"/>
        </w:rPr>
        <w:t>未按规定提供相应的备份电子投标文件，造成项目开评标活动无法进行的，其投标无效。</w:t>
      </w:r>
    </w:p>
    <w:p>
      <w:pPr>
        <w:spacing w:line="400" w:lineRule="exact"/>
        <w:ind w:firstLine="420" w:firstLineChars="200"/>
        <w:jc w:val="left"/>
        <w:rPr>
          <w:rFonts w:ascii="宋体" w:hAnsi="宋体" w:cs="宋体"/>
          <w:szCs w:val="21"/>
        </w:rPr>
      </w:pPr>
      <w:r>
        <w:rPr>
          <w:rFonts w:hint="eastAsia" w:ascii="宋体" w:hAnsi="宋体"/>
          <w:szCs w:val="21"/>
        </w:rPr>
        <w:t>4、投标文件字迹必须清楚、工整，对不同文字文本投标文件的解释发生异议的，以中文文本为准</w:t>
      </w:r>
      <w:r>
        <w:rPr>
          <w:rFonts w:hint="eastAsia" w:ascii="宋体" w:hAnsi="宋体" w:cs="宋体"/>
          <w:szCs w:val="21"/>
          <w:lang w:bidi="ar"/>
        </w:rPr>
        <w:t>。</w:t>
      </w:r>
    </w:p>
    <w:p>
      <w:pPr>
        <w:spacing w:line="400" w:lineRule="exact"/>
        <w:ind w:firstLine="422" w:firstLineChars="200"/>
        <w:jc w:val="left"/>
        <w:rPr>
          <w:rFonts w:ascii="宋体" w:hAnsi="宋体"/>
          <w:b/>
          <w:szCs w:val="21"/>
        </w:rPr>
      </w:pPr>
      <w:r>
        <w:rPr>
          <w:rFonts w:hint="eastAsia" w:ascii="宋体" w:hAnsi="宋体"/>
          <w:b/>
          <w:szCs w:val="21"/>
        </w:rPr>
        <w:t>十、</w:t>
      </w:r>
      <w:r>
        <w:rPr>
          <w:rFonts w:hint="eastAsia" w:ascii="宋体" w:hAnsi="宋体" w:cs="宋体"/>
          <w:b/>
          <w:szCs w:val="21"/>
        </w:rPr>
        <w:t>投标文件的形式、效力和递交</w:t>
      </w:r>
    </w:p>
    <w:p>
      <w:pPr>
        <w:spacing w:line="400" w:lineRule="exact"/>
        <w:ind w:firstLine="420" w:firstLineChars="200"/>
        <w:jc w:val="left"/>
        <w:rPr>
          <w:rFonts w:ascii="宋体" w:hAnsi="宋体"/>
          <w:szCs w:val="21"/>
        </w:rPr>
      </w:pPr>
      <w:r>
        <w:rPr>
          <w:rFonts w:hint="eastAsia" w:ascii="宋体" w:hAnsi="宋体"/>
          <w:szCs w:val="21"/>
        </w:rPr>
        <w:t>1、投标文件为电子投标文件，也可</w:t>
      </w:r>
      <w:r>
        <w:rPr>
          <w:rFonts w:ascii="宋体" w:hAnsi="宋体"/>
          <w:szCs w:val="21"/>
        </w:rPr>
        <w:t>用</w:t>
      </w:r>
      <w:r>
        <w:rPr>
          <w:rFonts w:hint="eastAsia" w:ascii="宋体" w:hAnsi="宋体"/>
          <w:szCs w:val="21"/>
        </w:rPr>
        <w:t>电子备份投标文件。</w:t>
      </w:r>
    </w:p>
    <w:p>
      <w:pPr>
        <w:spacing w:line="400" w:lineRule="exact"/>
        <w:ind w:firstLine="420" w:firstLineChars="200"/>
        <w:jc w:val="left"/>
        <w:rPr>
          <w:rFonts w:ascii="宋体" w:hAnsi="宋体"/>
          <w:szCs w:val="21"/>
        </w:rPr>
      </w:pPr>
      <w:r>
        <w:rPr>
          <w:rFonts w:hint="eastAsia" w:ascii="宋体" w:hAnsi="宋体"/>
          <w:szCs w:val="21"/>
        </w:rPr>
        <w:t>2、电子投标文件，按“乐采云 供应商项目采购-电子招投标操作指南”及本招标文件要求制作、加密并递交。</w:t>
      </w:r>
    </w:p>
    <w:p>
      <w:pPr>
        <w:spacing w:line="400" w:lineRule="exact"/>
        <w:ind w:firstLine="420" w:firstLineChars="200"/>
        <w:jc w:val="left"/>
        <w:rPr>
          <w:rFonts w:ascii="宋体" w:hAnsi="宋体"/>
          <w:szCs w:val="21"/>
        </w:rPr>
      </w:pPr>
      <w:r>
        <w:rPr>
          <w:rFonts w:hint="eastAsia" w:ascii="宋体" w:hAnsi="宋体"/>
          <w:szCs w:val="21"/>
        </w:rPr>
        <w:t>3、电子备份投标文件，即电子投标文件按“乐采云 供应商项目采购-电子招投标操作指南”制作的备份文件。</w:t>
      </w:r>
    </w:p>
    <w:p>
      <w:pPr>
        <w:spacing w:line="400" w:lineRule="exact"/>
        <w:ind w:firstLine="420" w:firstLineChars="200"/>
        <w:jc w:val="left"/>
        <w:rPr>
          <w:rFonts w:ascii="宋体" w:hAnsi="宋体"/>
          <w:szCs w:val="21"/>
        </w:rPr>
      </w:pPr>
      <w:r>
        <w:rPr>
          <w:rFonts w:hint="eastAsia" w:ascii="宋体" w:hAnsi="宋体"/>
          <w:szCs w:val="21"/>
        </w:rPr>
        <w:t>4、投标文件的效力</w:t>
      </w:r>
    </w:p>
    <w:p>
      <w:pPr>
        <w:spacing w:line="400" w:lineRule="exact"/>
        <w:ind w:firstLine="420" w:firstLineChars="200"/>
        <w:jc w:val="left"/>
        <w:rPr>
          <w:rFonts w:ascii="宋体" w:hAnsi="宋体"/>
          <w:szCs w:val="21"/>
        </w:rPr>
      </w:pPr>
      <w:r>
        <w:rPr>
          <w:rFonts w:hint="eastAsia" w:ascii="宋体" w:hAnsi="宋体"/>
          <w:szCs w:val="21"/>
        </w:rPr>
        <w:t>4.1投标文件的启用，按先后顺位分别为电子投标文件、电子备份投标文件。在下一顺位的投标文件启用时，前一顺位的投标文件自动失效。</w:t>
      </w:r>
    </w:p>
    <w:p>
      <w:pPr>
        <w:spacing w:line="400" w:lineRule="exact"/>
        <w:ind w:firstLine="420" w:firstLineChars="200"/>
        <w:jc w:val="left"/>
        <w:rPr>
          <w:rFonts w:ascii="宋体" w:hAnsi="宋体"/>
          <w:szCs w:val="21"/>
        </w:rPr>
      </w:pPr>
      <w:r>
        <w:rPr>
          <w:rFonts w:hint="eastAsia" w:ascii="宋体" w:hAnsi="宋体"/>
          <w:szCs w:val="21"/>
        </w:rPr>
        <w:t>4.2投标、响应文件未按时解密，供应商提供了备份投标、响应文件的，以备份投标、响应文件作为依据，否则视为投标、响应文件撤回。投标、响应文件已按时解密的，备份投标、响应文件自动失效。</w:t>
      </w:r>
    </w:p>
    <w:p>
      <w:pPr>
        <w:spacing w:line="400" w:lineRule="exact"/>
        <w:ind w:firstLine="420" w:firstLineChars="200"/>
        <w:jc w:val="left"/>
        <w:rPr>
          <w:rFonts w:ascii="宋体" w:hAnsi="宋体"/>
          <w:bCs/>
          <w:szCs w:val="21"/>
          <w:lang w:bidi="ar"/>
        </w:rPr>
      </w:pPr>
      <w:r>
        <w:rPr>
          <w:rFonts w:hint="eastAsia" w:ascii="宋体" w:hAnsi="宋体"/>
          <w:bCs/>
          <w:szCs w:val="21"/>
          <w:lang w:bidi="ar"/>
        </w:rPr>
        <w:t>5、投标文件的递交</w:t>
      </w:r>
    </w:p>
    <w:p>
      <w:pPr>
        <w:spacing w:line="400" w:lineRule="exact"/>
        <w:ind w:firstLine="420" w:firstLineChars="200"/>
        <w:jc w:val="left"/>
        <w:rPr>
          <w:rFonts w:ascii="宋体" w:hAnsi="宋体" w:cs="宋体"/>
          <w:szCs w:val="21"/>
        </w:rPr>
      </w:pPr>
      <w:r>
        <w:rPr>
          <w:rFonts w:hint="eastAsia" w:ascii="宋体" w:hAnsi="宋体"/>
          <w:szCs w:val="21"/>
        </w:rPr>
        <w:t>供应商于投标截止时间（开标时间）之前将电子投标文件上传到“乐采云 ”平台，并</w:t>
      </w:r>
      <w:r>
        <w:rPr>
          <w:rStyle w:val="55"/>
          <w:rFonts w:hint="eastAsia" w:ascii="宋体" w:hAnsi="宋体"/>
        </w:rPr>
        <w:t>于</w:t>
      </w:r>
      <w:r>
        <w:rPr>
          <w:rFonts w:hint="eastAsia" w:ascii="宋体" w:hAnsi="宋体"/>
          <w:szCs w:val="21"/>
        </w:rPr>
        <w:t>投标截止时间（开标时间）前，将以</w:t>
      </w:r>
      <w:r>
        <w:rPr>
          <w:rFonts w:hint="eastAsia" w:ascii="宋体" w:hAnsi="宋体"/>
          <w:b/>
          <w:bCs/>
          <w:szCs w:val="21"/>
        </w:rPr>
        <w:t>U盘存储的电子备份投标文件（密封）</w:t>
      </w:r>
      <w:r>
        <w:rPr>
          <w:rFonts w:hint="eastAsia" w:ascii="宋体" w:hAnsi="宋体"/>
          <w:szCs w:val="21"/>
        </w:rPr>
        <w:t>，送交到</w:t>
      </w:r>
      <w:r>
        <w:rPr>
          <w:rFonts w:hint="eastAsia" w:ascii="宋体" w:hAnsi="宋体" w:cs="宋体"/>
          <w:szCs w:val="21"/>
        </w:rPr>
        <w:t>开标地点</w:t>
      </w:r>
      <w:r>
        <w:rPr>
          <w:rFonts w:hint="eastAsia" w:ascii="宋体" w:hAnsi="宋体"/>
          <w:szCs w:val="21"/>
        </w:rPr>
        <w:t>，逾期送达不予接收</w:t>
      </w:r>
      <w:r>
        <w:rPr>
          <w:rFonts w:hint="eastAsia" w:ascii="宋体" w:hAnsi="宋体" w:cs="宋体"/>
          <w:szCs w:val="21"/>
          <w:lang w:bidi="ar"/>
        </w:rPr>
        <w:t>。</w:t>
      </w:r>
    </w:p>
    <w:p>
      <w:pPr>
        <w:spacing w:line="400" w:lineRule="exact"/>
        <w:ind w:firstLine="422" w:firstLineChars="200"/>
        <w:jc w:val="left"/>
        <w:rPr>
          <w:rFonts w:ascii="宋体" w:hAnsi="宋体" w:cs="宋体"/>
          <w:b/>
          <w:szCs w:val="21"/>
        </w:rPr>
      </w:pPr>
      <w:bookmarkStart w:id="3" w:name="_Toc496099271"/>
      <w:r>
        <w:rPr>
          <w:rFonts w:hint="eastAsia" w:ascii="宋体" w:hAnsi="宋体" w:cs="宋体"/>
          <w:b/>
          <w:szCs w:val="21"/>
          <w:lang w:bidi="ar"/>
        </w:rPr>
        <w:t>十一、</w:t>
      </w:r>
      <w:r>
        <w:rPr>
          <w:rFonts w:ascii="宋体" w:hAnsi="宋体"/>
          <w:b/>
          <w:szCs w:val="21"/>
          <w:lang w:bidi="ar"/>
        </w:rPr>
        <w:t>开评标</w:t>
      </w:r>
      <w:r>
        <w:rPr>
          <w:rFonts w:hint="eastAsia" w:ascii="宋体" w:hAnsi="宋体"/>
          <w:b/>
          <w:szCs w:val="21"/>
          <w:lang w:bidi="ar"/>
        </w:rPr>
        <w:t>程序</w:t>
      </w:r>
    </w:p>
    <w:p>
      <w:pPr>
        <w:spacing w:line="400" w:lineRule="exact"/>
        <w:ind w:firstLine="420" w:firstLineChars="200"/>
        <w:jc w:val="left"/>
        <w:rPr>
          <w:rFonts w:ascii="宋体" w:hAnsi="宋体"/>
          <w:bCs/>
          <w:szCs w:val="21"/>
          <w:lang w:bidi="ar"/>
        </w:rPr>
      </w:pPr>
      <w:r>
        <w:rPr>
          <w:rFonts w:hint="eastAsia" w:ascii="宋体" w:hAnsi="宋体"/>
          <w:bCs/>
          <w:szCs w:val="21"/>
          <w:lang w:bidi="ar"/>
        </w:rPr>
        <w:t>1.1采购人在招标文件规定的时间和地点公开开标，供应商的法定代表人或其授权代表</w:t>
      </w:r>
      <w:r>
        <w:rPr>
          <w:rFonts w:hint="eastAsia" w:ascii="宋体" w:hAnsi="宋体" w:cs="宋体"/>
          <w:bCs/>
          <w:szCs w:val="21"/>
        </w:rPr>
        <w:t>可到投标现场，供应商的法定代表人或其授权代表未参加开标会议的，事后不得对采购相关人员、开标过程和开标结果提出异议</w:t>
      </w:r>
      <w:r>
        <w:rPr>
          <w:rFonts w:hint="eastAsia" w:ascii="宋体" w:hAnsi="宋体"/>
          <w:bCs/>
          <w:szCs w:val="21"/>
          <w:lang w:bidi="ar"/>
        </w:rPr>
        <w:t>。</w:t>
      </w:r>
    </w:p>
    <w:p>
      <w:pPr>
        <w:pStyle w:val="45"/>
        <w:rPr>
          <w:rFonts w:ascii="宋体" w:hAnsi="宋体" w:eastAsia="宋体"/>
          <w:bCs/>
          <w:sz w:val="21"/>
          <w:szCs w:val="21"/>
          <w:lang w:bidi="ar"/>
        </w:rPr>
      </w:pPr>
      <w:r>
        <w:rPr>
          <w:rFonts w:hint="eastAsia" w:ascii="宋体" w:hAnsi="宋体" w:eastAsia="宋体"/>
          <w:bCs/>
          <w:sz w:val="21"/>
          <w:szCs w:val="21"/>
          <w:lang w:bidi="ar"/>
        </w:rPr>
        <w:t>1.2开标会由代理机构主持。开标时，招标（代理）人介绍参加开标会议的相关人员，如投标人认为相关人员中有需要回避的情形可以在此时要求其回避。</w:t>
      </w:r>
    </w:p>
    <w:p>
      <w:pPr>
        <w:pStyle w:val="45"/>
        <w:rPr>
          <w:rFonts w:ascii="宋体" w:hAnsi="宋体" w:eastAsia="宋体"/>
          <w:bCs/>
          <w:sz w:val="21"/>
          <w:szCs w:val="21"/>
          <w:lang w:bidi="ar"/>
        </w:rPr>
      </w:pPr>
      <w:r>
        <w:rPr>
          <w:rFonts w:hint="eastAsia" w:ascii="宋体" w:hAnsi="宋体" w:eastAsia="宋体"/>
          <w:bCs/>
          <w:sz w:val="21"/>
          <w:szCs w:val="21"/>
          <w:lang w:bidi="ar"/>
        </w:rPr>
        <w:t>需要回避的情形：</w:t>
      </w:r>
    </w:p>
    <w:p>
      <w:pPr>
        <w:pStyle w:val="45"/>
        <w:rPr>
          <w:rFonts w:ascii="宋体" w:hAnsi="宋体" w:eastAsia="宋体"/>
          <w:bCs/>
          <w:sz w:val="21"/>
          <w:szCs w:val="21"/>
          <w:lang w:bidi="ar"/>
        </w:rPr>
      </w:pPr>
      <w:r>
        <w:rPr>
          <w:rFonts w:hint="eastAsia" w:ascii="宋体" w:hAnsi="宋体" w:eastAsia="宋体"/>
          <w:bCs/>
          <w:sz w:val="21"/>
          <w:szCs w:val="21"/>
          <w:lang w:bidi="ar"/>
        </w:rPr>
        <w:t>1、参加采购活动前3年内与投标人存在劳动关系；</w:t>
      </w:r>
    </w:p>
    <w:p>
      <w:pPr>
        <w:pStyle w:val="45"/>
        <w:rPr>
          <w:rFonts w:ascii="宋体" w:hAnsi="宋体" w:eastAsia="宋体"/>
          <w:bCs/>
          <w:sz w:val="21"/>
          <w:szCs w:val="21"/>
          <w:lang w:bidi="ar"/>
        </w:rPr>
      </w:pPr>
      <w:r>
        <w:rPr>
          <w:rFonts w:hint="eastAsia" w:ascii="宋体" w:hAnsi="宋体" w:eastAsia="宋体"/>
          <w:bCs/>
          <w:sz w:val="21"/>
          <w:szCs w:val="21"/>
          <w:lang w:bidi="ar"/>
        </w:rPr>
        <w:t>2、参加采购活动前3年内担任投标人的董事、监事；</w:t>
      </w:r>
    </w:p>
    <w:p>
      <w:pPr>
        <w:pStyle w:val="45"/>
        <w:rPr>
          <w:rFonts w:ascii="宋体" w:hAnsi="宋体" w:eastAsia="宋体"/>
          <w:bCs/>
          <w:sz w:val="21"/>
          <w:szCs w:val="21"/>
          <w:lang w:bidi="ar"/>
        </w:rPr>
      </w:pPr>
      <w:r>
        <w:rPr>
          <w:rFonts w:hint="eastAsia" w:ascii="宋体" w:hAnsi="宋体" w:eastAsia="宋体"/>
          <w:bCs/>
          <w:sz w:val="21"/>
          <w:szCs w:val="21"/>
          <w:lang w:bidi="ar"/>
        </w:rPr>
        <w:t>3、参加采购活动前3年内是投标人的控股股东或者实际控制人；</w:t>
      </w:r>
    </w:p>
    <w:p>
      <w:pPr>
        <w:pStyle w:val="45"/>
        <w:rPr>
          <w:rFonts w:ascii="宋体" w:hAnsi="宋体" w:eastAsia="宋体"/>
          <w:bCs/>
          <w:sz w:val="21"/>
          <w:szCs w:val="21"/>
          <w:lang w:bidi="ar"/>
        </w:rPr>
      </w:pPr>
      <w:r>
        <w:rPr>
          <w:rFonts w:hint="eastAsia" w:ascii="宋体" w:hAnsi="宋体" w:eastAsia="宋体"/>
          <w:bCs/>
          <w:sz w:val="21"/>
          <w:szCs w:val="21"/>
          <w:lang w:bidi="ar"/>
        </w:rPr>
        <w:t>4、与投标人的法定代表人或者负责人有夫妻、直系血亲、三代以内旁系血亲或者近姻亲关系；</w:t>
      </w:r>
    </w:p>
    <w:p>
      <w:pPr>
        <w:pStyle w:val="45"/>
        <w:rPr>
          <w:rFonts w:ascii="宋体" w:hAnsi="宋体" w:eastAsia="宋体"/>
          <w:bCs/>
          <w:sz w:val="21"/>
          <w:szCs w:val="21"/>
          <w:lang w:bidi="ar"/>
        </w:rPr>
      </w:pPr>
      <w:r>
        <w:rPr>
          <w:rFonts w:hint="eastAsia" w:ascii="宋体" w:hAnsi="宋体" w:eastAsia="宋体"/>
          <w:bCs/>
          <w:sz w:val="21"/>
          <w:szCs w:val="21"/>
          <w:lang w:bidi="ar"/>
        </w:rPr>
        <w:t>5、与投标人有其他可能影响政府采购活动公平、公正进行的关系。</w:t>
      </w:r>
    </w:p>
    <w:p>
      <w:pPr>
        <w:pStyle w:val="45"/>
        <w:rPr>
          <w:rFonts w:ascii="宋体" w:hAnsi="宋体" w:eastAsia="宋体"/>
          <w:bCs/>
          <w:sz w:val="21"/>
          <w:szCs w:val="21"/>
          <w:lang w:bidi="ar"/>
        </w:rPr>
      </w:pPr>
      <w:r>
        <w:rPr>
          <w:rFonts w:hint="eastAsia" w:ascii="宋体" w:hAnsi="宋体" w:eastAsia="宋体"/>
          <w:bCs/>
          <w:sz w:val="21"/>
          <w:szCs w:val="21"/>
          <w:lang w:bidi="ar"/>
        </w:rPr>
        <w:t>出现上述情形的，投标人法定代表人或其授权代表可以申请相关人员回避。</w:t>
      </w:r>
    </w:p>
    <w:p>
      <w:pPr>
        <w:pStyle w:val="45"/>
        <w:rPr>
          <w:rFonts w:ascii="宋体" w:hAnsi="宋体" w:eastAsia="宋体"/>
          <w:bCs/>
          <w:sz w:val="21"/>
          <w:szCs w:val="21"/>
          <w:lang w:bidi="ar"/>
        </w:rPr>
      </w:pPr>
      <w:r>
        <w:rPr>
          <w:rFonts w:hint="eastAsia" w:ascii="宋体" w:hAnsi="宋体" w:eastAsia="宋体"/>
          <w:bCs/>
          <w:sz w:val="21"/>
          <w:szCs w:val="21"/>
          <w:lang w:bidi="ar"/>
        </w:rPr>
        <w:t>供应商应书面提出对参加开标会对主持人、唱读人、记录人和监督人是否有回避的请求。</w:t>
      </w:r>
    </w:p>
    <w:p>
      <w:pPr>
        <w:spacing w:line="400" w:lineRule="exact"/>
        <w:ind w:firstLine="420" w:firstLineChars="200"/>
        <w:jc w:val="left"/>
        <w:rPr>
          <w:rFonts w:ascii="宋体" w:hAnsi="宋体"/>
          <w:bCs/>
          <w:szCs w:val="21"/>
          <w:lang w:bidi="ar"/>
        </w:rPr>
      </w:pPr>
      <w:r>
        <w:rPr>
          <w:rFonts w:hint="eastAsia" w:ascii="宋体" w:hAnsi="宋体"/>
          <w:bCs/>
          <w:szCs w:val="21"/>
          <w:lang w:bidi="ar"/>
        </w:rPr>
        <w:t>1.3电子招投标开标及评审程序</w:t>
      </w:r>
    </w:p>
    <w:p>
      <w:pPr>
        <w:spacing w:line="400" w:lineRule="exact"/>
        <w:ind w:firstLine="420" w:firstLineChars="200"/>
        <w:jc w:val="left"/>
        <w:rPr>
          <w:rFonts w:ascii="宋体" w:hAnsi="宋体"/>
          <w:bCs/>
          <w:szCs w:val="21"/>
          <w:lang w:bidi="ar"/>
        </w:rPr>
      </w:pPr>
      <w:r>
        <w:rPr>
          <w:rFonts w:hint="eastAsia" w:ascii="宋体" w:hAnsi="宋体"/>
          <w:bCs/>
          <w:szCs w:val="21"/>
          <w:lang w:bidi="ar"/>
        </w:rPr>
        <w:t>1.3.1</w:t>
      </w:r>
      <w:r>
        <w:rPr>
          <w:rFonts w:ascii="宋体" w:hAnsi="宋体"/>
          <w:bCs/>
          <w:szCs w:val="21"/>
          <w:lang w:bidi="ar"/>
        </w:rPr>
        <w:t>投标截止时间后，</w:t>
      </w:r>
      <w:r>
        <w:rPr>
          <w:rFonts w:hint="eastAsia" w:ascii="宋体" w:hAnsi="宋体"/>
          <w:bCs/>
          <w:szCs w:val="21"/>
          <w:lang w:bidi="ar"/>
        </w:rPr>
        <w:t>供应商</w:t>
      </w:r>
      <w:r>
        <w:rPr>
          <w:rFonts w:ascii="宋体" w:hAnsi="宋体"/>
          <w:bCs/>
          <w:szCs w:val="21"/>
          <w:lang w:bidi="ar"/>
        </w:rPr>
        <w:t>登录乐采云平台，用“项目采购-开标评标”功能对电子投标文件进行在线解密。在线解密电子投标文件时间为开标时间起</w:t>
      </w:r>
      <w:r>
        <w:rPr>
          <w:rFonts w:hint="eastAsia" w:ascii="宋体" w:hAnsi="宋体"/>
          <w:bCs/>
          <w:szCs w:val="21"/>
          <w:lang w:bidi="ar"/>
        </w:rPr>
        <w:t>30分钟内</w:t>
      </w:r>
      <w:r>
        <w:rPr>
          <w:rFonts w:ascii="宋体" w:hAnsi="宋体"/>
          <w:bCs/>
          <w:szCs w:val="21"/>
          <w:lang w:bidi="ar"/>
        </w:rPr>
        <w:t>。</w:t>
      </w:r>
    </w:p>
    <w:p>
      <w:pPr>
        <w:spacing w:line="400" w:lineRule="exact"/>
        <w:ind w:firstLine="420" w:firstLineChars="200"/>
        <w:jc w:val="left"/>
        <w:rPr>
          <w:rFonts w:ascii="宋体" w:hAnsi="宋体"/>
          <w:bCs/>
          <w:szCs w:val="21"/>
          <w:lang w:bidi="ar"/>
        </w:rPr>
      </w:pPr>
      <w:r>
        <w:rPr>
          <w:rFonts w:hint="eastAsia" w:ascii="宋体" w:hAnsi="宋体"/>
          <w:bCs/>
          <w:szCs w:val="21"/>
          <w:lang w:bidi="ar"/>
        </w:rPr>
        <w:t>1.3.2</w:t>
      </w:r>
      <w:r>
        <w:rPr>
          <w:rFonts w:ascii="宋体" w:hAnsi="宋体"/>
          <w:bCs/>
          <w:szCs w:val="21"/>
          <w:lang w:bidi="ar"/>
        </w:rPr>
        <w:t>采购人或代理机构对</w:t>
      </w:r>
      <w:r>
        <w:rPr>
          <w:rFonts w:hint="eastAsia" w:ascii="宋体" w:hAnsi="宋体"/>
          <w:bCs/>
          <w:szCs w:val="21"/>
          <w:lang w:bidi="ar"/>
        </w:rPr>
        <w:t>供应商</w:t>
      </w:r>
      <w:r>
        <w:rPr>
          <w:rFonts w:ascii="宋体" w:hAnsi="宋体"/>
          <w:bCs/>
          <w:szCs w:val="21"/>
          <w:lang w:bidi="ar"/>
        </w:rPr>
        <w:t>的资格进行审查；</w:t>
      </w:r>
    </w:p>
    <w:p>
      <w:pPr>
        <w:spacing w:line="400" w:lineRule="exact"/>
        <w:ind w:firstLine="420" w:firstLineChars="200"/>
        <w:jc w:val="left"/>
        <w:rPr>
          <w:rFonts w:ascii="宋体" w:hAnsi="宋体"/>
          <w:bCs/>
          <w:szCs w:val="21"/>
          <w:lang w:bidi="ar"/>
        </w:rPr>
      </w:pPr>
      <w:r>
        <w:rPr>
          <w:rFonts w:hint="eastAsia" w:ascii="宋体" w:hAnsi="宋体"/>
          <w:bCs/>
          <w:szCs w:val="21"/>
          <w:lang w:bidi="ar"/>
        </w:rPr>
        <w:t>1.3.3</w:t>
      </w:r>
      <w:r>
        <w:rPr>
          <w:rFonts w:ascii="宋体" w:hAnsi="宋体"/>
          <w:bCs/>
          <w:szCs w:val="21"/>
          <w:lang w:bidi="ar"/>
        </w:rPr>
        <w:t>评标委员会对商务技术响应文件进行评审；</w:t>
      </w:r>
    </w:p>
    <w:p>
      <w:pPr>
        <w:spacing w:line="400" w:lineRule="exact"/>
        <w:ind w:firstLine="420" w:firstLineChars="200"/>
        <w:jc w:val="left"/>
        <w:rPr>
          <w:rFonts w:ascii="宋体" w:hAnsi="宋体"/>
          <w:bCs/>
          <w:szCs w:val="21"/>
          <w:lang w:bidi="ar"/>
        </w:rPr>
      </w:pPr>
      <w:r>
        <w:rPr>
          <w:rFonts w:hint="eastAsia" w:ascii="宋体" w:hAnsi="宋体"/>
          <w:bCs/>
          <w:szCs w:val="21"/>
          <w:lang w:bidi="ar"/>
        </w:rPr>
        <w:t>1.3.4</w:t>
      </w:r>
      <w:r>
        <w:rPr>
          <w:rFonts w:ascii="宋体" w:hAnsi="宋体"/>
          <w:bCs/>
          <w:szCs w:val="21"/>
          <w:lang w:bidi="ar"/>
        </w:rPr>
        <w:t>在系统上公开商务技术评审结果；</w:t>
      </w:r>
    </w:p>
    <w:p>
      <w:pPr>
        <w:spacing w:line="400" w:lineRule="exact"/>
        <w:ind w:firstLine="420" w:firstLineChars="200"/>
        <w:jc w:val="left"/>
        <w:rPr>
          <w:rFonts w:ascii="宋体" w:hAnsi="宋体"/>
          <w:bCs/>
          <w:szCs w:val="21"/>
          <w:lang w:bidi="ar"/>
        </w:rPr>
      </w:pPr>
      <w:r>
        <w:rPr>
          <w:rFonts w:hint="eastAsia" w:ascii="宋体" w:hAnsi="宋体"/>
          <w:bCs/>
          <w:szCs w:val="21"/>
          <w:lang w:bidi="ar"/>
        </w:rPr>
        <w:t>1.3.5</w:t>
      </w:r>
      <w:r>
        <w:rPr>
          <w:rFonts w:ascii="宋体" w:hAnsi="宋体"/>
          <w:bCs/>
          <w:szCs w:val="21"/>
          <w:lang w:bidi="ar"/>
        </w:rPr>
        <w:t>在系统上公开报价开标情况；</w:t>
      </w:r>
    </w:p>
    <w:p>
      <w:pPr>
        <w:spacing w:line="400" w:lineRule="exact"/>
        <w:ind w:firstLine="420" w:firstLineChars="200"/>
        <w:jc w:val="left"/>
        <w:rPr>
          <w:rFonts w:ascii="宋体" w:hAnsi="宋体"/>
          <w:bCs/>
          <w:szCs w:val="21"/>
          <w:lang w:bidi="ar"/>
        </w:rPr>
      </w:pPr>
      <w:r>
        <w:rPr>
          <w:rFonts w:hint="eastAsia" w:ascii="宋体" w:hAnsi="宋体"/>
          <w:bCs/>
          <w:szCs w:val="21"/>
          <w:lang w:bidi="ar"/>
        </w:rPr>
        <w:t>1.3.6</w:t>
      </w:r>
      <w:r>
        <w:rPr>
          <w:rFonts w:ascii="宋体" w:hAnsi="宋体"/>
          <w:bCs/>
          <w:szCs w:val="21"/>
          <w:lang w:bidi="ar"/>
        </w:rPr>
        <w:t>评标委员会对报价情况进行评审；</w:t>
      </w:r>
    </w:p>
    <w:p>
      <w:pPr>
        <w:spacing w:line="400" w:lineRule="exact"/>
        <w:ind w:firstLine="420" w:firstLineChars="200"/>
        <w:jc w:val="left"/>
        <w:rPr>
          <w:rFonts w:ascii="宋体" w:hAnsi="宋体"/>
          <w:bCs/>
          <w:szCs w:val="21"/>
          <w:lang w:bidi="ar"/>
        </w:rPr>
      </w:pPr>
      <w:r>
        <w:rPr>
          <w:rFonts w:hint="eastAsia" w:ascii="宋体" w:hAnsi="宋体"/>
          <w:bCs/>
          <w:szCs w:val="21"/>
          <w:lang w:bidi="ar"/>
        </w:rPr>
        <w:t>1.3.7</w:t>
      </w:r>
      <w:r>
        <w:rPr>
          <w:rFonts w:ascii="宋体" w:hAnsi="宋体"/>
          <w:bCs/>
          <w:szCs w:val="21"/>
          <w:lang w:bidi="ar"/>
        </w:rPr>
        <w:t>在系统上公布评审结果。</w:t>
      </w:r>
    </w:p>
    <w:p>
      <w:pPr>
        <w:spacing w:line="400" w:lineRule="exact"/>
        <w:ind w:firstLine="420" w:firstLineChars="200"/>
        <w:jc w:val="left"/>
        <w:rPr>
          <w:rFonts w:ascii="宋体" w:hAnsi="宋体"/>
          <w:bCs/>
          <w:szCs w:val="21"/>
          <w:lang w:bidi="ar"/>
        </w:rPr>
      </w:pPr>
      <w:r>
        <w:rPr>
          <w:rFonts w:hint="eastAsia" w:ascii="宋体" w:hAnsi="宋体"/>
          <w:bCs/>
          <w:szCs w:val="21"/>
          <w:lang w:bidi="ar"/>
        </w:rPr>
        <w:t>特别说明：乐采云 公司如对电子化开标及评审程序有调整的，按调整后的程序操作。</w:t>
      </w:r>
      <w:r>
        <w:rPr>
          <w:rFonts w:ascii="宋体" w:hAnsi="宋体"/>
          <w:bCs/>
          <w:szCs w:val="21"/>
          <w:lang w:bidi="ar"/>
        </w:rPr>
        <w:t xml:space="preserve"> </w:t>
      </w:r>
    </w:p>
    <w:p>
      <w:pPr>
        <w:spacing w:line="400" w:lineRule="exact"/>
        <w:ind w:firstLine="420" w:firstLineChars="200"/>
        <w:jc w:val="left"/>
        <w:rPr>
          <w:rFonts w:ascii="宋体" w:hAnsi="宋体"/>
          <w:bCs/>
          <w:szCs w:val="21"/>
          <w:lang w:bidi="ar"/>
        </w:rPr>
      </w:pPr>
      <w:r>
        <w:rPr>
          <w:rFonts w:hint="eastAsia" w:ascii="宋体" w:hAnsi="宋体"/>
          <w:bCs/>
          <w:szCs w:val="21"/>
          <w:lang w:bidi="ar"/>
        </w:rPr>
        <w:t>1.4本项目原则上采用乐采云 电子招投标开标及评审程序，但有下情形之一的，按以下情况处理：</w:t>
      </w:r>
    </w:p>
    <w:p>
      <w:pPr>
        <w:spacing w:line="400" w:lineRule="exact"/>
        <w:ind w:firstLine="420" w:firstLineChars="200"/>
        <w:jc w:val="left"/>
        <w:rPr>
          <w:rFonts w:ascii="宋体" w:hAnsi="宋体"/>
          <w:bCs/>
          <w:szCs w:val="21"/>
          <w:lang w:bidi="ar"/>
        </w:rPr>
      </w:pPr>
      <w:r>
        <w:rPr>
          <w:rFonts w:hint="eastAsia" w:ascii="宋体" w:hAnsi="宋体"/>
          <w:bCs/>
          <w:szCs w:val="21"/>
          <w:lang w:bidi="ar"/>
        </w:rPr>
        <w:t>1.4.1若供应商在规定时间内无法解密或解密失败，将开启该供应商递交的电子备份投标文件，上传至乐采云平台项目采购模块，以完成开标，其电子投标文件自动失效。</w:t>
      </w:r>
    </w:p>
    <w:p>
      <w:pPr>
        <w:spacing w:line="400" w:lineRule="exact"/>
        <w:ind w:firstLine="420" w:firstLineChars="200"/>
        <w:jc w:val="left"/>
        <w:rPr>
          <w:rFonts w:ascii="宋体" w:hAnsi="宋体"/>
          <w:bCs/>
          <w:szCs w:val="21"/>
          <w:lang w:bidi="ar"/>
        </w:rPr>
      </w:pPr>
      <w:r>
        <w:rPr>
          <w:rFonts w:hint="eastAsia" w:ascii="宋体" w:hAnsi="宋体"/>
          <w:bCs/>
          <w:szCs w:val="21"/>
          <w:lang w:bidi="ar"/>
        </w:rPr>
        <w:t>1.4.2若因乐采云平台原因无法读取或电子开评标无法正常进行，采购人将中止电子交易活动。</w:t>
      </w:r>
    </w:p>
    <w:p>
      <w:pPr>
        <w:spacing w:line="400" w:lineRule="exact"/>
        <w:ind w:firstLine="420" w:firstLineChars="200"/>
        <w:jc w:val="left"/>
        <w:rPr>
          <w:rFonts w:ascii="宋体" w:hAnsi="宋体"/>
          <w:bCs/>
          <w:szCs w:val="21"/>
          <w:lang w:bidi="ar"/>
        </w:rPr>
      </w:pPr>
      <w:r>
        <w:rPr>
          <w:rFonts w:hint="eastAsia" w:ascii="宋体" w:hAnsi="宋体"/>
          <w:bCs/>
          <w:szCs w:val="21"/>
          <w:lang w:bidi="ar"/>
        </w:rPr>
        <w:t>1.4.3采购过程中出现以下情形，导致电子交易平台无法正常运行，或者无法保证电子交易的公平、公正和安全时，采购组织机构可中止电子交易活动：</w:t>
      </w:r>
    </w:p>
    <w:p>
      <w:pPr>
        <w:spacing w:line="400" w:lineRule="exact"/>
        <w:ind w:firstLine="420" w:firstLineChars="200"/>
        <w:jc w:val="left"/>
        <w:rPr>
          <w:rFonts w:ascii="宋体" w:hAnsi="宋体"/>
          <w:bCs/>
          <w:szCs w:val="21"/>
          <w:lang w:bidi="ar"/>
        </w:rPr>
      </w:pPr>
      <w:r>
        <w:rPr>
          <w:rFonts w:hint="eastAsia" w:ascii="宋体" w:hAnsi="宋体"/>
          <w:bCs/>
          <w:szCs w:val="21"/>
          <w:lang w:bidi="ar"/>
        </w:rPr>
        <w:t xml:space="preserve">1.4.3.1电子交易平台发生故障而无法登录访问的； </w:t>
      </w:r>
    </w:p>
    <w:p>
      <w:pPr>
        <w:spacing w:line="400" w:lineRule="exact"/>
        <w:ind w:firstLine="420" w:firstLineChars="200"/>
        <w:jc w:val="left"/>
        <w:rPr>
          <w:rFonts w:ascii="宋体" w:hAnsi="宋体"/>
          <w:bCs/>
          <w:szCs w:val="21"/>
          <w:lang w:bidi="ar"/>
        </w:rPr>
      </w:pPr>
      <w:r>
        <w:rPr>
          <w:rFonts w:hint="eastAsia" w:ascii="宋体" w:hAnsi="宋体"/>
          <w:bCs/>
          <w:szCs w:val="21"/>
          <w:lang w:bidi="ar"/>
        </w:rPr>
        <w:t>1.4.3.2电子交易平台应用或数据库出现错误，不能进行正常操作的；</w:t>
      </w:r>
    </w:p>
    <w:p>
      <w:pPr>
        <w:spacing w:line="400" w:lineRule="exact"/>
        <w:ind w:firstLine="420" w:firstLineChars="200"/>
        <w:jc w:val="left"/>
        <w:rPr>
          <w:rFonts w:ascii="宋体" w:hAnsi="宋体"/>
          <w:bCs/>
          <w:szCs w:val="21"/>
          <w:lang w:bidi="ar"/>
        </w:rPr>
      </w:pPr>
      <w:r>
        <w:rPr>
          <w:rFonts w:hint="eastAsia" w:ascii="宋体" w:hAnsi="宋体"/>
          <w:bCs/>
          <w:szCs w:val="21"/>
          <w:lang w:bidi="ar"/>
        </w:rPr>
        <w:t>1.4.3.3电子交易平台发现严重安全漏洞，有潜在泄密危险的；</w:t>
      </w:r>
    </w:p>
    <w:p>
      <w:pPr>
        <w:spacing w:line="400" w:lineRule="exact"/>
        <w:ind w:firstLine="420" w:firstLineChars="200"/>
        <w:jc w:val="left"/>
        <w:rPr>
          <w:rFonts w:ascii="宋体" w:hAnsi="宋体"/>
          <w:bCs/>
          <w:szCs w:val="21"/>
          <w:lang w:bidi="ar"/>
        </w:rPr>
      </w:pPr>
      <w:r>
        <w:rPr>
          <w:rFonts w:hint="eastAsia" w:ascii="宋体" w:hAnsi="宋体"/>
          <w:bCs/>
          <w:szCs w:val="21"/>
          <w:lang w:bidi="ar"/>
        </w:rPr>
        <w:t xml:space="preserve">1.4.3.4电脑病毒导致不能进行正常操作的； </w:t>
      </w:r>
    </w:p>
    <w:p>
      <w:pPr>
        <w:spacing w:line="400" w:lineRule="exact"/>
        <w:ind w:firstLine="420" w:firstLineChars="200"/>
        <w:jc w:val="left"/>
        <w:rPr>
          <w:rFonts w:ascii="宋体" w:hAnsi="宋体"/>
          <w:bCs/>
          <w:szCs w:val="21"/>
          <w:lang w:bidi="ar"/>
        </w:rPr>
      </w:pPr>
      <w:r>
        <w:rPr>
          <w:rFonts w:hint="eastAsia" w:ascii="宋体" w:hAnsi="宋体"/>
          <w:bCs/>
          <w:szCs w:val="21"/>
          <w:lang w:bidi="ar"/>
        </w:rPr>
        <w:t>1.4.3.5其他无法保证电子交易的公平、公正和安全的情况。</w:t>
      </w:r>
    </w:p>
    <w:p>
      <w:pPr>
        <w:spacing w:line="400" w:lineRule="exact"/>
        <w:ind w:firstLine="420" w:firstLineChars="200"/>
        <w:jc w:val="left"/>
        <w:rPr>
          <w:rFonts w:ascii="宋体" w:hAnsi="宋体"/>
          <w:bCs/>
          <w:szCs w:val="21"/>
          <w:lang w:bidi="ar"/>
        </w:rPr>
      </w:pPr>
      <w:r>
        <w:rPr>
          <w:rFonts w:hint="eastAsia" w:ascii="宋体" w:hAnsi="宋体"/>
          <w:bCs/>
          <w:szCs w:val="21"/>
          <w:lang w:bidi="ar"/>
        </w:rPr>
        <w:t>出现前款规定情形，不影响采购公平、公正性的，采购组织机构可以待上述情形消除后继续组织电子交易活动。</w:t>
      </w:r>
    </w:p>
    <w:p>
      <w:pPr>
        <w:spacing w:line="400" w:lineRule="exact"/>
        <w:ind w:firstLine="420" w:firstLineChars="200"/>
        <w:jc w:val="left"/>
        <w:rPr>
          <w:rFonts w:ascii="宋体" w:hAnsi="宋体"/>
          <w:bCs/>
          <w:szCs w:val="21"/>
          <w:lang w:bidi="ar"/>
        </w:rPr>
      </w:pPr>
      <w:r>
        <w:rPr>
          <w:rFonts w:hint="eastAsia" w:ascii="宋体" w:hAnsi="宋体"/>
          <w:bCs/>
          <w:szCs w:val="21"/>
          <w:lang w:bidi="ar"/>
        </w:rPr>
        <w:t>2、评标委员会</w:t>
      </w:r>
    </w:p>
    <w:p>
      <w:pPr>
        <w:spacing w:line="400" w:lineRule="exact"/>
        <w:ind w:firstLine="420" w:firstLineChars="200"/>
        <w:jc w:val="left"/>
        <w:rPr>
          <w:rFonts w:ascii="宋体" w:hAnsi="宋体"/>
          <w:bCs/>
          <w:szCs w:val="21"/>
          <w:lang w:bidi="ar"/>
        </w:rPr>
      </w:pPr>
      <w:r>
        <w:rPr>
          <w:rFonts w:hint="eastAsia" w:ascii="宋体" w:hAnsi="宋体"/>
          <w:bCs/>
          <w:szCs w:val="21"/>
          <w:lang w:bidi="ar"/>
        </w:rPr>
        <w:t>2.1评标委员会依法由5人及以上奇数的人员组成，评标委员会对投标文件进行审查、质疑、评估和比较。</w:t>
      </w:r>
    </w:p>
    <w:p>
      <w:pPr>
        <w:spacing w:line="400" w:lineRule="exact"/>
        <w:ind w:firstLine="420" w:firstLineChars="200"/>
        <w:jc w:val="left"/>
        <w:rPr>
          <w:rFonts w:ascii="宋体" w:hAnsi="宋体"/>
          <w:bCs/>
          <w:szCs w:val="21"/>
          <w:lang w:bidi="ar"/>
        </w:rPr>
      </w:pPr>
      <w:r>
        <w:rPr>
          <w:rFonts w:hint="eastAsia" w:ascii="宋体" w:hAnsi="宋体"/>
          <w:bCs/>
          <w:szCs w:val="21"/>
          <w:lang w:bidi="ar"/>
        </w:rPr>
        <w:t>2.2询标期间，投标供应商法定代表人或授权代表必须在场，负责解答有关事宜。</w:t>
      </w:r>
    </w:p>
    <w:p>
      <w:pPr>
        <w:spacing w:line="400" w:lineRule="exact"/>
        <w:ind w:firstLine="420" w:firstLineChars="200"/>
        <w:jc w:val="left"/>
        <w:rPr>
          <w:rFonts w:ascii="宋体" w:hAnsi="宋体"/>
          <w:bCs/>
          <w:szCs w:val="21"/>
          <w:lang w:bidi="ar"/>
        </w:rPr>
      </w:pPr>
      <w:r>
        <w:rPr>
          <w:rFonts w:hint="eastAsia" w:ascii="宋体" w:hAnsi="宋体"/>
          <w:bCs/>
          <w:szCs w:val="21"/>
          <w:lang w:bidi="ar"/>
        </w:rPr>
        <w:t>3、评标原则与方法</w:t>
      </w:r>
    </w:p>
    <w:p>
      <w:pPr>
        <w:spacing w:line="400" w:lineRule="exact"/>
        <w:ind w:firstLine="420" w:firstLineChars="200"/>
        <w:jc w:val="left"/>
        <w:rPr>
          <w:rFonts w:ascii="宋体" w:hAnsi="宋体"/>
          <w:bCs/>
          <w:szCs w:val="21"/>
          <w:lang w:bidi="ar"/>
        </w:rPr>
      </w:pPr>
      <w:r>
        <w:rPr>
          <w:rFonts w:hint="eastAsia" w:ascii="宋体" w:hAnsi="宋体"/>
          <w:bCs/>
          <w:szCs w:val="21"/>
          <w:lang w:bidi="ar"/>
        </w:rPr>
        <w:t>3.1评标委员会将遵循公开、公平、公正的原则，对供应商提供的货物和服务价格、提供的货物和服务方案等进行综合分析考评，由评委按照招标文件规定的评分标准记名并独立打分，推荐综合得分排名第一的投标供应商为第一预中标人、综合得分排名第二的投标供应商为第二预中标人、综合得分排名第三投标供应商为第三预中标人。</w:t>
      </w:r>
    </w:p>
    <w:p>
      <w:pPr>
        <w:spacing w:line="400" w:lineRule="exact"/>
        <w:ind w:firstLine="420" w:firstLineChars="200"/>
        <w:jc w:val="left"/>
        <w:rPr>
          <w:rFonts w:ascii="宋体" w:hAnsi="宋体"/>
          <w:bCs/>
          <w:szCs w:val="21"/>
          <w:lang w:bidi="ar"/>
        </w:rPr>
      </w:pPr>
      <w:r>
        <w:rPr>
          <w:rFonts w:hint="eastAsia" w:ascii="宋体" w:hAnsi="宋体"/>
          <w:bCs/>
          <w:szCs w:val="21"/>
          <w:lang w:bidi="ar"/>
        </w:rPr>
        <w:t>3.2客观、公正的对待所有投标供应商，对所有投标评价，均采用相同的程序和标准。</w:t>
      </w:r>
    </w:p>
    <w:p>
      <w:pPr>
        <w:spacing w:line="400" w:lineRule="exact"/>
        <w:ind w:firstLine="420" w:firstLineChars="200"/>
        <w:jc w:val="left"/>
        <w:rPr>
          <w:rFonts w:ascii="宋体" w:hAnsi="宋体"/>
          <w:bCs/>
          <w:szCs w:val="21"/>
          <w:lang w:bidi="ar"/>
        </w:rPr>
      </w:pPr>
      <w:r>
        <w:rPr>
          <w:rFonts w:hint="eastAsia" w:ascii="宋体" w:hAnsi="宋体"/>
          <w:bCs/>
          <w:szCs w:val="21"/>
          <w:lang w:bidi="ar"/>
        </w:rPr>
        <w:t>▲3.3在开标、投标期间，投标供应商不得向评标委员会成员询问评标情况，不得进行旨在影响评标结果的活动，否则将废除其投标资格。</w:t>
      </w:r>
    </w:p>
    <w:p>
      <w:pPr>
        <w:spacing w:line="400" w:lineRule="exact"/>
        <w:ind w:firstLine="420" w:firstLineChars="200"/>
        <w:jc w:val="left"/>
        <w:rPr>
          <w:rFonts w:ascii="宋体" w:hAnsi="宋体"/>
          <w:bCs/>
          <w:szCs w:val="21"/>
          <w:lang w:bidi="ar"/>
        </w:rPr>
      </w:pPr>
      <w:r>
        <w:rPr>
          <w:rFonts w:hint="eastAsia" w:ascii="宋体" w:hAnsi="宋体"/>
          <w:bCs/>
          <w:szCs w:val="21"/>
          <w:lang w:bidi="ar"/>
        </w:rPr>
        <w:t>3.4在评标过程中，评标成员不得与投标供应商私下交换意见，在招标工作结束后，凡与评标情况有接触的人不得将评标情况扩散出评标成员之外。</w:t>
      </w:r>
    </w:p>
    <w:p>
      <w:pPr>
        <w:spacing w:line="400" w:lineRule="exact"/>
        <w:ind w:firstLine="420" w:firstLineChars="200"/>
        <w:jc w:val="left"/>
        <w:rPr>
          <w:rFonts w:ascii="宋体" w:hAnsi="宋体"/>
          <w:bCs/>
          <w:szCs w:val="21"/>
          <w:lang w:bidi="ar"/>
        </w:rPr>
      </w:pPr>
      <w:r>
        <w:rPr>
          <w:rFonts w:hint="eastAsia" w:ascii="宋体" w:hAnsi="宋体"/>
          <w:bCs/>
          <w:szCs w:val="21"/>
          <w:lang w:bidi="ar"/>
        </w:rPr>
        <w:t>3.5采购人不向落标方解释落标原因，不退还投标文件。</w:t>
      </w:r>
    </w:p>
    <w:p>
      <w:pPr>
        <w:spacing w:line="400" w:lineRule="exact"/>
        <w:ind w:firstLine="420" w:firstLineChars="200"/>
        <w:jc w:val="left"/>
        <w:rPr>
          <w:rFonts w:ascii="宋体" w:hAnsi="宋体"/>
          <w:bCs/>
          <w:szCs w:val="21"/>
          <w:lang w:bidi="ar"/>
        </w:rPr>
      </w:pPr>
      <w:r>
        <w:rPr>
          <w:rFonts w:hint="eastAsia" w:ascii="宋体" w:hAnsi="宋体"/>
          <w:bCs/>
          <w:szCs w:val="21"/>
          <w:lang w:bidi="ar"/>
        </w:rPr>
        <w:t>3.6资格性审查：</w:t>
      </w:r>
      <w:r>
        <w:rPr>
          <w:rFonts w:hint="eastAsia" w:ascii="宋体" w:hAnsi="宋体" w:cs="宋体"/>
          <w:bCs/>
          <w:szCs w:val="21"/>
          <w:lang w:bidi="ar"/>
        </w:rPr>
        <w:t>采购人或采购机构依据法律法规和招标文件的规定，对供应商的基本资格条件、特定资格条件进行审查，供应商未按照采购文件要求提供与基本资格条件、特定资格条件相应的有效资格证明材料的，视为供应商不具备采购文件中规定的资格要求，其投标无效</w:t>
      </w:r>
      <w:r>
        <w:rPr>
          <w:rFonts w:hint="eastAsia" w:ascii="宋体" w:hAnsi="宋体"/>
          <w:bCs/>
          <w:szCs w:val="21"/>
          <w:lang w:bidi="ar"/>
        </w:rPr>
        <w:t>。</w:t>
      </w:r>
      <w:r>
        <w:rPr>
          <w:rFonts w:hint="eastAsia" w:ascii="宋体" w:hAnsi="宋体" w:cs="宋体"/>
          <w:bCs/>
          <w:szCs w:val="21"/>
          <w:lang w:bidi="ar"/>
        </w:rPr>
        <w:t>对未通过资格性审查的供应商，采购人或采购机构告知其未通过的原因。合格供应商不足3家的，不再评标。</w:t>
      </w:r>
    </w:p>
    <w:p>
      <w:pPr>
        <w:spacing w:line="400" w:lineRule="exact"/>
        <w:ind w:firstLine="420" w:firstLineChars="200"/>
        <w:jc w:val="left"/>
        <w:rPr>
          <w:rFonts w:ascii="宋体" w:hAnsi="宋体"/>
          <w:bCs/>
          <w:szCs w:val="21"/>
          <w:lang w:bidi="ar"/>
        </w:rPr>
      </w:pPr>
      <w:r>
        <w:rPr>
          <w:rFonts w:hint="eastAsia" w:ascii="宋体" w:hAnsi="宋体"/>
          <w:bCs/>
          <w:szCs w:val="21"/>
          <w:lang w:bidi="ar"/>
        </w:rPr>
        <w:t>3.7符合性审查：</w:t>
      </w:r>
      <w:r>
        <w:rPr>
          <w:rFonts w:hint="eastAsia" w:ascii="宋体" w:hAnsi="宋体" w:cs="宋体"/>
          <w:bCs/>
          <w:szCs w:val="21"/>
          <w:lang w:bidi="ar"/>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供应商的义务方面造成重大的限制，纠正这些显著差异或保留将会对其他实质上响应招标文件要求的投标文件的供应商的竞争地位产生不公正的影响。评标委员会决定投标文件的响应性只根据投标文件本身的内容，而不寻求外部证据</w:t>
      </w:r>
      <w:r>
        <w:rPr>
          <w:rFonts w:hint="eastAsia" w:ascii="宋体" w:hAnsi="宋体"/>
          <w:bCs/>
          <w:szCs w:val="21"/>
          <w:lang w:bidi="ar"/>
        </w:rPr>
        <w:t>。</w:t>
      </w:r>
      <w:r>
        <w:rPr>
          <w:rFonts w:hint="eastAsia" w:ascii="宋体" w:hAnsi="宋体" w:cs="宋体"/>
          <w:bCs/>
          <w:szCs w:val="21"/>
          <w:lang w:bidi="ar"/>
        </w:rPr>
        <w:t>如果投标文件实质不响应招标文件的各项要求，评标委员会将予以拒绝，并且不允许供应商通过修改或撤销其不符合要求的差异或保留，使之成为具有实质性响应的投标。</w:t>
      </w:r>
    </w:p>
    <w:p>
      <w:pPr>
        <w:spacing w:line="400" w:lineRule="exact"/>
        <w:ind w:firstLine="420" w:firstLineChars="200"/>
        <w:jc w:val="left"/>
        <w:rPr>
          <w:rFonts w:ascii="宋体" w:hAnsi="宋体"/>
          <w:bCs/>
          <w:szCs w:val="21"/>
          <w:lang w:bidi="ar"/>
        </w:rPr>
      </w:pPr>
      <w:r>
        <w:rPr>
          <w:rFonts w:hint="eastAsia" w:ascii="宋体" w:hAnsi="宋体"/>
          <w:bCs/>
          <w:szCs w:val="21"/>
          <w:lang w:bidi="ar"/>
        </w:rPr>
        <w:t xml:space="preserve">3.8商务评议：按照第六章商务条款的各项要求，对照投标文件的响应进行比较，判定其偏差性质和程度。 </w:t>
      </w:r>
    </w:p>
    <w:p>
      <w:pPr>
        <w:spacing w:line="400" w:lineRule="exact"/>
        <w:ind w:firstLine="420" w:firstLineChars="200"/>
        <w:jc w:val="left"/>
        <w:rPr>
          <w:rFonts w:ascii="宋体" w:hAnsi="宋体"/>
          <w:bCs/>
          <w:szCs w:val="21"/>
          <w:lang w:bidi="ar"/>
        </w:rPr>
      </w:pPr>
      <w:r>
        <w:rPr>
          <w:rFonts w:hint="eastAsia" w:ascii="宋体" w:hAnsi="宋体"/>
          <w:bCs/>
          <w:szCs w:val="21"/>
          <w:lang w:bidi="ar"/>
        </w:rPr>
        <w:t>3.9技术评议：按照第五章采购项目需求的各项要求，对照投标文件的响应进行比较，判定其偏差性质和程度。</w:t>
      </w:r>
    </w:p>
    <w:p>
      <w:pPr>
        <w:spacing w:line="400" w:lineRule="exact"/>
        <w:ind w:firstLine="420" w:firstLineChars="200"/>
        <w:jc w:val="left"/>
        <w:rPr>
          <w:rFonts w:ascii="宋体" w:hAnsi="宋体"/>
          <w:bCs/>
          <w:szCs w:val="21"/>
          <w:lang w:bidi="ar"/>
        </w:rPr>
      </w:pPr>
      <w:r>
        <w:rPr>
          <w:rFonts w:hint="eastAsia" w:ascii="宋体" w:hAnsi="宋体"/>
          <w:bCs/>
          <w:szCs w:val="21"/>
          <w:lang w:bidi="ar"/>
        </w:rPr>
        <w:t>3.10综合评估：通过资格性审查、符合性审查、商务评议和技术评议的投标，评标委员会成员分别对其商务、技术和价格按第三章评标办法及标准的规定进行打分。</w:t>
      </w:r>
    </w:p>
    <w:p>
      <w:pPr>
        <w:spacing w:line="400" w:lineRule="exact"/>
        <w:ind w:firstLine="420" w:firstLineChars="200"/>
        <w:jc w:val="left"/>
        <w:rPr>
          <w:rFonts w:ascii="宋体" w:hAnsi="宋体"/>
          <w:bCs/>
          <w:szCs w:val="21"/>
          <w:lang w:bidi="ar"/>
        </w:rPr>
      </w:pPr>
      <w:r>
        <w:rPr>
          <w:rFonts w:hint="eastAsia" w:ascii="宋体" w:hAnsi="宋体"/>
          <w:bCs/>
          <w:szCs w:val="21"/>
          <w:lang w:bidi="ar"/>
        </w:rPr>
        <w:t>3.11评标委员会经过评审，认为所有投标都不符合招标文件要求的，可以否决所有投标。</w:t>
      </w:r>
    </w:p>
    <w:p>
      <w:pPr>
        <w:spacing w:line="400" w:lineRule="exact"/>
        <w:ind w:firstLine="420" w:firstLineChars="200"/>
        <w:jc w:val="left"/>
        <w:rPr>
          <w:rFonts w:ascii="宋体" w:hAnsi="宋体"/>
          <w:bCs/>
          <w:szCs w:val="21"/>
          <w:lang w:bidi="ar"/>
        </w:rPr>
      </w:pPr>
      <w:r>
        <w:rPr>
          <w:rFonts w:hint="eastAsia" w:ascii="宋体" w:hAnsi="宋体"/>
          <w:bCs/>
          <w:szCs w:val="21"/>
          <w:lang w:bidi="ar"/>
        </w:rPr>
        <w:t>3.12推荐预中标供应商</w:t>
      </w:r>
    </w:p>
    <w:p>
      <w:pPr>
        <w:spacing w:line="400" w:lineRule="exact"/>
        <w:ind w:firstLine="420" w:firstLineChars="200"/>
        <w:jc w:val="left"/>
        <w:rPr>
          <w:rFonts w:ascii="宋体" w:hAnsi="宋体"/>
          <w:bCs/>
          <w:szCs w:val="21"/>
          <w:lang w:bidi="ar"/>
        </w:rPr>
      </w:pPr>
      <w:r>
        <w:rPr>
          <w:rFonts w:hint="eastAsia" w:ascii="宋体" w:hAnsi="宋体"/>
          <w:bCs/>
          <w:szCs w:val="21"/>
          <w:lang w:bidi="ar"/>
        </w:rPr>
        <w:t>3.12.1按评分结果由高到低排序，得分相同，按投标报价由低到高顺序排列。得分且投标报价相同的并列。投标文件满足招标文件全部实质性要求，且按照评审因素的量化指标评审得分最高的供应商为本项目预中标供应商。</w:t>
      </w:r>
    </w:p>
    <w:p>
      <w:pPr>
        <w:spacing w:line="400" w:lineRule="exact"/>
        <w:ind w:firstLine="420" w:firstLineChars="200"/>
        <w:jc w:val="left"/>
        <w:rPr>
          <w:rFonts w:ascii="宋体" w:hAnsi="宋体"/>
          <w:bCs/>
          <w:szCs w:val="21"/>
          <w:lang w:bidi="ar"/>
        </w:rPr>
      </w:pPr>
      <w:r>
        <w:rPr>
          <w:rFonts w:hint="eastAsia" w:ascii="宋体" w:hAnsi="宋体"/>
          <w:bCs/>
          <w:szCs w:val="21"/>
          <w:lang w:bidi="ar"/>
        </w:rPr>
        <w:t>3.13定标</w:t>
      </w:r>
      <w:r>
        <w:rPr>
          <w:rFonts w:hint="eastAsia" w:ascii="宋体" w:hAnsi="宋体"/>
          <w:bCs/>
          <w:szCs w:val="21"/>
          <w:lang w:bidi="ar"/>
        </w:rPr>
        <w:tab/>
      </w:r>
    </w:p>
    <w:p>
      <w:pPr>
        <w:spacing w:line="400" w:lineRule="exact"/>
        <w:ind w:firstLine="420" w:firstLineChars="200"/>
        <w:jc w:val="left"/>
        <w:rPr>
          <w:rFonts w:ascii="宋体" w:hAnsi="宋体"/>
          <w:bCs/>
          <w:szCs w:val="21"/>
          <w:lang w:bidi="ar"/>
        </w:rPr>
      </w:pPr>
      <w:r>
        <w:rPr>
          <w:rFonts w:hint="eastAsia" w:ascii="宋体" w:hAnsi="宋体"/>
          <w:bCs/>
          <w:szCs w:val="21"/>
          <w:lang w:bidi="ar"/>
        </w:rPr>
        <w:t>本项目由采购人确定中标人。</w:t>
      </w:r>
    </w:p>
    <w:p>
      <w:pPr>
        <w:spacing w:line="400" w:lineRule="exact"/>
        <w:ind w:firstLine="420" w:firstLineChars="200"/>
        <w:jc w:val="left"/>
        <w:rPr>
          <w:rFonts w:ascii="宋体" w:hAnsi="宋体"/>
          <w:bCs/>
          <w:szCs w:val="21"/>
          <w:lang w:bidi="ar"/>
        </w:rPr>
      </w:pPr>
      <w:r>
        <w:rPr>
          <w:rFonts w:hint="eastAsia" w:ascii="宋体" w:hAnsi="宋体"/>
          <w:bCs/>
          <w:szCs w:val="21"/>
          <w:lang w:bidi="ar"/>
        </w:rPr>
        <w:t>采购代理机构在评标结束后2个工作日内将评标报告交采购人确认，采购人自收到评标报告之日起5个工作日内在评标报告推荐的中标候选人中按顺序确定中标人，并在发布招标公告的网站上对中标结果进行公示，公告期限为1个工作日。</w:t>
      </w:r>
    </w:p>
    <w:p>
      <w:pPr>
        <w:spacing w:line="400" w:lineRule="exact"/>
        <w:ind w:firstLine="420" w:firstLineChars="200"/>
        <w:jc w:val="left"/>
        <w:rPr>
          <w:rFonts w:ascii="宋体" w:hAnsi="宋体"/>
          <w:bCs/>
          <w:szCs w:val="21"/>
          <w:lang w:bidi="ar"/>
        </w:rPr>
      </w:pPr>
      <w:r>
        <w:rPr>
          <w:rFonts w:hint="eastAsia" w:ascii="宋体" w:hAnsi="宋体"/>
          <w:bCs/>
          <w:szCs w:val="21"/>
          <w:lang w:bidi="ar"/>
        </w:rPr>
        <w:t>若中标人放弃中标、或事后查询为失信被执行人的、或因不可抗力提出不能履行合同被依法撤销中标资格，则招标人可确定排名其次的中标候选人为中标人，或重新组织招标。</w:t>
      </w:r>
    </w:p>
    <w:p>
      <w:pPr>
        <w:spacing w:line="400" w:lineRule="exact"/>
        <w:ind w:firstLine="422" w:firstLineChars="200"/>
        <w:jc w:val="left"/>
        <w:rPr>
          <w:rFonts w:ascii="宋体" w:hAnsi="宋体" w:cs="宋体"/>
          <w:b/>
          <w:szCs w:val="21"/>
        </w:rPr>
      </w:pPr>
      <w:r>
        <w:rPr>
          <w:rFonts w:hint="eastAsia" w:ascii="宋体" w:hAnsi="宋体" w:cs="宋体"/>
          <w:b/>
          <w:szCs w:val="21"/>
          <w:lang w:bidi="ar"/>
        </w:rPr>
        <w:t>十二、招标文件的澄清和修改</w:t>
      </w:r>
    </w:p>
    <w:p>
      <w:pPr>
        <w:spacing w:line="400" w:lineRule="exact"/>
        <w:ind w:firstLine="420" w:firstLineChars="200"/>
        <w:jc w:val="left"/>
        <w:rPr>
          <w:rFonts w:ascii="宋体" w:hAnsi="宋体" w:cs="宋体"/>
          <w:szCs w:val="21"/>
        </w:rPr>
      </w:pPr>
      <w:r>
        <w:rPr>
          <w:rFonts w:hint="eastAsia" w:ascii="宋体" w:hAnsi="宋体" w:cs="宋体"/>
          <w:szCs w:val="21"/>
          <w:lang w:bidi="ar"/>
        </w:rPr>
        <w:t>1、如对本次招标文件存在疑问，应在投标截止日前3个工作日以书面形式要求采购人对招标文件予以澄清，逾期视为各供应商对招标文件无异议。</w:t>
      </w:r>
    </w:p>
    <w:p>
      <w:pPr>
        <w:spacing w:line="400" w:lineRule="exact"/>
        <w:ind w:firstLine="420" w:firstLineChars="200"/>
        <w:jc w:val="left"/>
        <w:rPr>
          <w:rFonts w:ascii="宋体" w:hAnsi="宋体" w:cs="宋体"/>
          <w:szCs w:val="21"/>
        </w:rPr>
      </w:pPr>
      <w:r>
        <w:rPr>
          <w:rFonts w:hint="eastAsia" w:ascii="宋体" w:hAnsi="宋体" w:cs="宋体"/>
          <w:szCs w:val="21"/>
          <w:lang w:bidi="ar"/>
        </w:rPr>
        <w:t>2、采购人可以对已发出的招标文件进行必要的澄清或者修改。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0" w:firstLineChars="200"/>
        <w:jc w:val="left"/>
        <w:rPr>
          <w:rFonts w:ascii="宋体" w:hAnsi="宋体" w:cs="宋体"/>
          <w:szCs w:val="21"/>
        </w:rPr>
      </w:pPr>
      <w:r>
        <w:rPr>
          <w:rFonts w:hint="eastAsia" w:ascii="宋体" w:hAnsi="宋体" w:cs="宋体"/>
          <w:szCs w:val="21"/>
          <w:lang w:bidi="ar"/>
        </w:rPr>
        <w:t>3、潜在供应商收到代理机构发出的招标文件澄清或修改通知，或顺延提交投标文件截止时间通知后，应在通知单回执上明示收悉意见、加盖供应商公章，以书面形式回复代理机构。</w:t>
      </w:r>
    </w:p>
    <w:p>
      <w:pPr>
        <w:spacing w:line="400" w:lineRule="exact"/>
        <w:ind w:firstLine="422" w:firstLineChars="200"/>
        <w:jc w:val="left"/>
        <w:rPr>
          <w:rFonts w:ascii="宋体" w:hAnsi="宋体" w:cs="宋体"/>
          <w:b/>
          <w:szCs w:val="21"/>
        </w:rPr>
      </w:pPr>
      <w:r>
        <w:rPr>
          <w:rFonts w:hint="eastAsia" w:ascii="宋体" w:hAnsi="宋体" w:cs="宋体"/>
          <w:b/>
          <w:szCs w:val="21"/>
          <w:lang w:bidi="ar"/>
        </w:rPr>
        <w:t>十三、质疑</w:t>
      </w:r>
    </w:p>
    <w:p>
      <w:pPr>
        <w:topLinePunct/>
        <w:spacing w:line="400" w:lineRule="exact"/>
        <w:ind w:firstLine="420" w:firstLineChars="200"/>
        <w:rPr>
          <w:rFonts w:ascii="宋体" w:hAnsi="宋体" w:cs="宋体"/>
          <w:szCs w:val="21"/>
        </w:rPr>
      </w:pPr>
      <w:r>
        <w:rPr>
          <w:rFonts w:hint="eastAsia" w:ascii="宋体" w:hAnsi="宋体" w:cs="宋体"/>
          <w:szCs w:val="21"/>
          <w:lang w:bidi="ar"/>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pPr>
        <w:topLinePunct/>
        <w:spacing w:line="400" w:lineRule="exact"/>
        <w:ind w:firstLine="420" w:firstLineChars="200"/>
        <w:rPr>
          <w:rFonts w:ascii="宋体" w:hAnsi="宋体" w:cs="宋体"/>
          <w:szCs w:val="21"/>
        </w:rPr>
      </w:pPr>
      <w:r>
        <w:rPr>
          <w:rFonts w:hint="eastAsia" w:ascii="宋体" w:hAnsi="宋体" w:cs="宋体"/>
          <w:szCs w:val="21"/>
          <w:lang w:bidi="ar"/>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topLinePunct/>
        <w:spacing w:line="400" w:lineRule="exact"/>
        <w:ind w:firstLine="420" w:firstLineChars="200"/>
        <w:rPr>
          <w:rFonts w:ascii="宋体" w:hAnsi="宋体" w:cs="宋体"/>
          <w:szCs w:val="21"/>
        </w:rPr>
      </w:pPr>
      <w:r>
        <w:rPr>
          <w:rFonts w:hint="eastAsia" w:ascii="宋体" w:hAnsi="宋体" w:cs="宋体"/>
          <w:szCs w:val="21"/>
          <w:lang w:bidi="ar"/>
        </w:rPr>
        <w:t>3、供应商提出质疑应当提交质疑函和必要的证明材料，质疑函应当以书面形式提出，质疑函格式和内容须符合财政部《质疑函范本》要求，供应商可到浙江政府采购网下载专区下载自行下载《质疑函范本》。</w:t>
      </w:r>
    </w:p>
    <w:p>
      <w:pPr>
        <w:topLinePunct/>
        <w:spacing w:line="400" w:lineRule="exact"/>
        <w:ind w:firstLine="420" w:firstLineChars="200"/>
        <w:rPr>
          <w:rFonts w:ascii="宋体" w:hAnsi="宋体" w:cs="宋体"/>
          <w:szCs w:val="21"/>
        </w:rPr>
      </w:pPr>
      <w:r>
        <w:rPr>
          <w:rFonts w:hint="eastAsia" w:ascii="宋体" w:hAnsi="宋体" w:cs="宋体"/>
          <w:szCs w:val="21"/>
          <w:lang w:bidi="ar"/>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topLinePunct/>
        <w:spacing w:line="400" w:lineRule="exact"/>
        <w:ind w:firstLine="420" w:firstLineChars="200"/>
        <w:rPr>
          <w:rFonts w:ascii="宋体" w:hAnsi="宋体" w:cs="宋体"/>
          <w:szCs w:val="21"/>
        </w:rPr>
      </w:pPr>
      <w:r>
        <w:rPr>
          <w:rFonts w:hint="eastAsia" w:ascii="宋体" w:hAnsi="宋体" w:cs="宋体"/>
          <w:szCs w:val="21"/>
          <w:lang w:bidi="ar"/>
        </w:rPr>
        <w:t>5、采购人、采购代理机构接收质疑函的方式：只接收供应商以当面递交、邮寄、传真或电子邮件方式提出的质疑函，以其他方式提出的质疑不予接收。</w:t>
      </w:r>
    </w:p>
    <w:p>
      <w:pPr>
        <w:topLinePunct/>
        <w:spacing w:line="400" w:lineRule="exact"/>
        <w:ind w:firstLine="420" w:firstLineChars="200"/>
        <w:rPr>
          <w:rFonts w:ascii="宋体" w:hAnsi="宋体" w:cs="宋体"/>
          <w:szCs w:val="21"/>
        </w:rPr>
      </w:pPr>
      <w:r>
        <w:rPr>
          <w:rFonts w:hint="eastAsia" w:ascii="宋体" w:hAnsi="宋体" w:cs="宋体"/>
          <w:szCs w:val="21"/>
          <w:lang w:bidi="ar"/>
        </w:rPr>
        <w:t>采取邮寄方式的，提出质疑的时间为质疑函原件交邮的时间（以邮戳时间或快递收件时间为准）。</w:t>
      </w:r>
    </w:p>
    <w:p>
      <w:pPr>
        <w:topLinePunct/>
        <w:spacing w:line="400" w:lineRule="exact"/>
        <w:ind w:firstLine="420" w:firstLineChars="200"/>
        <w:rPr>
          <w:rFonts w:ascii="宋体" w:hAnsi="宋体" w:cs="宋体"/>
          <w:szCs w:val="21"/>
        </w:rPr>
      </w:pPr>
      <w:r>
        <w:rPr>
          <w:rFonts w:hint="eastAsia" w:ascii="宋体" w:hAnsi="宋体" w:cs="宋体"/>
          <w:szCs w:val="21"/>
          <w:lang w:bidi="ar"/>
        </w:rPr>
        <w:t>采取传真、电子邮件方式的，供应商应当在传真、电子邮件发出后将质疑函原件邮寄给被质疑人，提出质疑的时间为质疑函原件交邮的时间（以邮戳时间或快递收件时间为准）。</w:t>
      </w:r>
    </w:p>
    <w:p>
      <w:pPr>
        <w:topLinePunct/>
        <w:spacing w:line="400" w:lineRule="exact"/>
        <w:ind w:firstLine="420" w:firstLineChars="200"/>
        <w:rPr>
          <w:rFonts w:ascii="宋体" w:hAnsi="宋体" w:cs="宋体"/>
          <w:szCs w:val="21"/>
        </w:rPr>
      </w:pPr>
      <w:r>
        <w:rPr>
          <w:rFonts w:hint="eastAsia" w:ascii="宋体" w:hAnsi="宋体" w:cs="宋体"/>
          <w:szCs w:val="21"/>
          <w:lang w:bidi="ar"/>
        </w:rPr>
        <w:t>6、采购人、采购代理机构以实际收到质疑函原件之日作为收到质疑函的日期，将在收到质疑函后7个工作日内作出答复。</w:t>
      </w:r>
    </w:p>
    <w:p>
      <w:pPr>
        <w:spacing w:line="400" w:lineRule="exact"/>
        <w:ind w:firstLine="420" w:firstLineChars="200"/>
        <w:jc w:val="left"/>
        <w:rPr>
          <w:rFonts w:ascii="宋体" w:hAnsi="宋体" w:cs="宋体"/>
          <w:szCs w:val="21"/>
        </w:rPr>
      </w:pPr>
      <w:r>
        <w:rPr>
          <w:rFonts w:hint="eastAsia" w:ascii="宋体" w:hAnsi="宋体" w:cs="宋体"/>
          <w:szCs w:val="21"/>
          <w:lang w:bidi="ar"/>
        </w:rPr>
        <w:t>7、采购人、采购代理机构接收质疑函的联系人、联系电话和通讯地址等信息详见采购公告。</w:t>
      </w:r>
    </w:p>
    <w:p>
      <w:pPr>
        <w:spacing w:line="40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★十四、预算价</w:t>
      </w:r>
    </w:p>
    <w:p>
      <w:pPr>
        <w:spacing w:line="360" w:lineRule="exact"/>
        <w:ind w:firstLine="422" w:firstLineChars="200"/>
        <w:rPr>
          <w:rFonts w:ascii="宋体" w:hAnsi="宋体"/>
          <w:b/>
          <w:color w:val="auto"/>
          <w:szCs w:val="21"/>
          <w:highlight w:val="none"/>
        </w:rPr>
      </w:pPr>
      <w:r>
        <w:rPr>
          <w:rFonts w:hint="eastAsia" w:ascii="宋体" w:hAnsi="宋体" w:cs="宋体"/>
          <w:b/>
          <w:color w:val="FF0000"/>
          <w:szCs w:val="21"/>
          <w:highlight w:val="none"/>
        </w:rPr>
        <w:t>本次公开招标设有预算价（最高限价）：10</w:t>
      </w:r>
      <w:r>
        <w:rPr>
          <w:rFonts w:hint="eastAsia" w:ascii="宋体" w:hAnsi="宋体" w:cs="宋体"/>
          <w:b/>
          <w:color w:val="FF0000"/>
          <w:szCs w:val="21"/>
          <w:highlight w:val="none"/>
          <w:lang w:val="en-US" w:eastAsia="zh-CN"/>
        </w:rPr>
        <w:t>8</w:t>
      </w:r>
      <w:r>
        <w:rPr>
          <w:rFonts w:hint="eastAsia" w:ascii="宋体" w:hAnsi="宋体" w:cs="宋体"/>
          <w:b/>
          <w:color w:val="FF0000"/>
          <w:szCs w:val="21"/>
          <w:highlight w:val="none"/>
        </w:rPr>
        <w:t>万元/年（最高限价：23元/工时），总投标报价超出预算价的投标为无效投标。根据项目工作性质，工作时间及现行社会平均工资，确定本项目投标单价最高限价23元/工时。本次投标报价包含为顺利完成本招标项目所</w:t>
      </w:r>
      <w:r>
        <w:rPr>
          <w:rFonts w:hint="eastAsia" w:ascii="宋体" w:hAnsi="宋体" w:cs="宋体"/>
          <w:b/>
          <w:color w:val="auto"/>
          <w:szCs w:val="21"/>
          <w:highlight w:val="none"/>
        </w:rPr>
        <w:t>有费用，包含但不限于人工费、保险、双体日、节假日工资及与人工有关的一切相关费用。</w:t>
      </w:r>
    </w:p>
    <w:p>
      <w:pPr>
        <w:spacing w:line="400" w:lineRule="exact"/>
        <w:ind w:firstLine="422" w:firstLineChars="200"/>
        <w:jc w:val="left"/>
        <w:rPr>
          <w:rFonts w:ascii="宋体" w:hAnsi="宋体" w:cs="宋体"/>
          <w:b/>
          <w:szCs w:val="21"/>
          <w:lang w:bidi="ar"/>
        </w:rPr>
      </w:pPr>
      <w:r>
        <w:rPr>
          <w:rFonts w:hint="eastAsia" w:ascii="宋体" w:hAnsi="宋体" w:cs="宋体"/>
          <w:b/>
          <w:szCs w:val="21"/>
          <w:lang w:bidi="ar"/>
        </w:rPr>
        <w:t>十五、合同相关</w:t>
      </w:r>
    </w:p>
    <w:p>
      <w:pPr>
        <w:topLinePunct/>
        <w:spacing w:line="400" w:lineRule="exact"/>
        <w:ind w:firstLine="420" w:firstLineChars="200"/>
        <w:rPr>
          <w:rFonts w:ascii="宋体" w:hAnsi="宋体" w:cs="宋体"/>
          <w:szCs w:val="21"/>
          <w:lang w:bidi="ar"/>
        </w:rPr>
      </w:pPr>
      <w:r>
        <w:rPr>
          <w:rFonts w:hint="eastAsia" w:ascii="宋体" w:hAnsi="宋体" w:cs="宋体"/>
          <w:szCs w:val="21"/>
          <w:lang w:bidi="ar"/>
        </w:rPr>
        <w:t>1、采购人与中标人应当在《中标通知书》发出之日起30日内签订政府采购合同。同时，采购人对合同内容进行鉴证，如发现与采购结果和投标承诺内容不一致的，应予以纠正。</w:t>
      </w:r>
    </w:p>
    <w:p>
      <w:pPr>
        <w:topLinePunct/>
        <w:spacing w:line="400" w:lineRule="exact"/>
        <w:ind w:firstLine="420" w:firstLineChars="200"/>
        <w:rPr>
          <w:rFonts w:ascii="宋体" w:hAnsi="宋体" w:cs="宋体"/>
          <w:szCs w:val="21"/>
          <w:lang w:bidi="ar"/>
        </w:rPr>
      </w:pPr>
      <w:r>
        <w:rPr>
          <w:rFonts w:hint="eastAsia" w:ascii="宋体" w:hAnsi="宋体" w:cs="宋体"/>
          <w:szCs w:val="21"/>
          <w:lang w:bidi="ar"/>
        </w:rPr>
        <w:t>2、中标人拖延、拒签合同的,将取消中标资格。</w:t>
      </w:r>
    </w:p>
    <w:p>
      <w:pPr>
        <w:topLinePunct/>
        <w:spacing w:line="400" w:lineRule="exact"/>
        <w:ind w:firstLine="420" w:firstLineChars="200"/>
        <w:rPr>
          <w:rFonts w:ascii="宋体" w:hAnsi="宋体" w:cs="宋体"/>
          <w:szCs w:val="21"/>
          <w:lang w:bidi="ar"/>
        </w:rPr>
      </w:pPr>
      <w:r>
        <w:rPr>
          <w:rFonts w:hint="eastAsia" w:ascii="宋体" w:hAnsi="宋体" w:cs="宋体"/>
          <w:szCs w:val="21"/>
          <w:lang w:bidi="ar"/>
        </w:rPr>
        <w:t>3、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topLinePunct/>
        <w:spacing w:line="400" w:lineRule="exact"/>
        <w:ind w:firstLine="422" w:firstLineChars="200"/>
        <w:rPr>
          <w:rFonts w:ascii="宋体" w:hAnsi="宋体" w:cs="宋体"/>
          <w:b/>
          <w:szCs w:val="21"/>
        </w:rPr>
      </w:pPr>
      <w:r>
        <w:rPr>
          <w:rFonts w:hint="eastAsia" w:ascii="宋体" w:hAnsi="宋体" w:cs="宋体"/>
          <w:b/>
          <w:szCs w:val="21"/>
          <w:lang w:bidi="ar"/>
        </w:rPr>
        <w:t>十六、特别说明</w:t>
      </w:r>
    </w:p>
    <w:p>
      <w:pPr>
        <w:spacing w:line="400" w:lineRule="exact"/>
        <w:ind w:firstLine="420" w:firstLineChars="200"/>
        <w:outlineLvl w:val="0"/>
        <w:rPr>
          <w:rFonts w:ascii="宋体" w:hAnsi="宋体"/>
          <w:szCs w:val="21"/>
        </w:rPr>
      </w:pPr>
      <w:bookmarkStart w:id="4" w:name="_Toc419729150"/>
      <w:bookmarkStart w:id="5" w:name="_Toc441316546"/>
      <w:bookmarkStart w:id="6" w:name="_Toc436408700"/>
      <w:bookmarkStart w:id="7" w:name="_Toc21541007"/>
      <w:bookmarkStart w:id="8" w:name="_Toc12428980"/>
      <w:bookmarkStart w:id="9" w:name="_Toc529781143"/>
      <w:bookmarkStart w:id="10" w:name="_Toc12374296"/>
      <w:bookmarkStart w:id="11" w:name="_Toc11591"/>
      <w:bookmarkStart w:id="12" w:name="_Toc11298"/>
      <w:bookmarkStart w:id="13" w:name="_Toc12376821"/>
      <w:bookmarkStart w:id="14" w:name="_Toc441316554"/>
      <w:bookmarkStart w:id="15" w:name="_Toc419729158"/>
      <w:bookmarkStart w:id="16" w:name="_Toc436408708"/>
      <w:r>
        <w:rPr>
          <w:rFonts w:ascii="宋体" w:hAnsi="宋体"/>
          <w:szCs w:val="21"/>
        </w:rPr>
        <w:t>1</w:t>
      </w:r>
      <w:r>
        <w:rPr>
          <w:rFonts w:hint="eastAsia" w:ascii="宋体" w:hAnsi="宋体"/>
          <w:szCs w:val="21"/>
        </w:rPr>
        <w:t>、执行财政部、工业和信息化部《政府采购促进中小企业发展管理办法》（财库〔2020〕46号）。政府采购活动中有关中小企业的相关规定如下：</w:t>
      </w:r>
      <w:bookmarkEnd w:id="4"/>
      <w:bookmarkEnd w:id="5"/>
      <w:bookmarkEnd w:id="6"/>
      <w:bookmarkEnd w:id="7"/>
    </w:p>
    <w:p>
      <w:pPr>
        <w:spacing w:line="400" w:lineRule="exact"/>
        <w:ind w:firstLine="420" w:firstLineChars="200"/>
        <w:outlineLvl w:val="0"/>
        <w:rPr>
          <w:rFonts w:ascii="宋体" w:hAnsi="宋体"/>
          <w:szCs w:val="21"/>
        </w:rPr>
      </w:pPr>
      <w:bookmarkStart w:id="17" w:name="_Toc441316547"/>
      <w:bookmarkStart w:id="18" w:name="_Toc419729151"/>
      <w:bookmarkStart w:id="19" w:name="_Toc21541008"/>
      <w:bookmarkStart w:id="20" w:name="_Toc436408701"/>
      <w:r>
        <w:rPr>
          <w:rFonts w:hint="eastAsia" w:ascii="宋体" w:hAnsi="宋体"/>
          <w:szCs w:val="21"/>
        </w:rPr>
        <w:t>（</w:t>
      </w:r>
      <w:r>
        <w:rPr>
          <w:rFonts w:ascii="宋体" w:hAnsi="宋体"/>
          <w:szCs w:val="21"/>
        </w:rPr>
        <w:t>1</w:t>
      </w: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17"/>
      <w:bookmarkEnd w:id="18"/>
      <w:bookmarkEnd w:id="19"/>
      <w:bookmarkEnd w:id="20"/>
      <w:r>
        <w:rPr>
          <w:rFonts w:hint="eastAsia" w:ascii="宋体" w:hAnsi="宋体"/>
          <w:szCs w:val="21"/>
        </w:rPr>
        <w:t>。</w:t>
      </w:r>
    </w:p>
    <w:p>
      <w:pPr>
        <w:spacing w:line="400" w:lineRule="exact"/>
        <w:ind w:firstLine="420" w:firstLineChars="200"/>
        <w:outlineLvl w:val="0"/>
        <w:rPr>
          <w:rFonts w:ascii="宋体" w:hAnsi="宋体"/>
          <w:szCs w:val="21"/>
        </w:rPr>
      </w:pPr>
      <w:r>
        <w:rPr>
          <w:rFonts w:hint="eastAsia" w:ascii="宋体" w:hAnsi="宋体"/>
          <w:szCs w:val="21"/>
        </w:rPr>
        <w:t>符合中小企业划分标准的个体工商户，在政府采购活动中视同中小企业。</w:t>
      </w:r>
    </w:p>
    <w:p>
      <w:pPr>
        <w:spacing w:line="400" w:lineRule="exact"/>
        <w:ind w:firstLine="420" w:firstLineChars="200"/>
        <w:outlineLvl w:val="0"/>
        <w:rPr>
          <w:rFonts w:ascii="宋体" w:hAnsi="宋体"/>
          <w:szCs w:val="21"/>
        </w:rPr>
      </w:pPr>
      <w:r>
        <w:rPr>
          <w:rFonts w:hint="eastAsia" w:ascii="宋体" w:hAnsi="宋体"/>
          <w:szCs w:val="21"/>
        </w:rPr>
        <w:t>（2）在政府采购活动中，供应商提供的货物、工程或者服务符合下列情形的，享受《政府采购促进中小企业发展管理办法》规定的中小企业扶持政策：</w:t>
      </w:r>
    </w:p>
    <w:p>
      <w:pPr>
        <w:spacing w:line="400" w:lineRule="exact"/>
        <w:ind w:firstLine="420" w:firstLineChars="200"/>
        <w:outlineLvl w:val="0"/>
        <w:rPr>
          <w:rFonts w:ascii="宋体" w:hAnsi="宋体"/>
          <w:szCs w:val="21"/>
        </w:rPr>
      </w:pPr>
      <w:bookmarkStart w:id="21" w:name="_Toc419729152"/>
      <w:bookmarkStart w:id="22" w:name="_Toc21541009"/>
      <w:bookmarkStart w:id="23" w:name="_Toc441316548"/>
      <w:bookmarkStart w:id="24" w:name="_Toc436408702"/>
      <w:r>
        <w:rPr>
          <w:rFonts w:hint="eastAsia" w:ascii="宋体" w:hAnsi="宋体"/>
          <w:szCs w:val="21"/>
        </w:rPr>
        <w:t>①在货物采购项目中，货物由中小企业制造，即货物由中小企业生产且使用该中小企业商号或者注册商标；</w:t>
      </w:r>
      <w:bookmarkEnd w:id="21"/>
      <w:bookmarkEnd w:id="22"/>
      <w:bookmarkEnd w:id="23"/>
      <w:bookmarkEnd w:id="24"/>
    </w:p>
    <w:p>
      <w:pPr>
        <w:spacing w:line="400" w:lineRule="exact"/>
        <w:ind w:firstLine="420" w:firstLineChars="200"/>
        <w:outlineLvl w:val="0"/>
        <w:rPr>
          <w:rFonts w:ascii="宋体" w:hAnsi="宋体"/>
          <w:szCs w:val="21"/>
        </w:rPr>
      </w:pPr>
      <w:bookmarkStart w:id="25" w:name="_Toc419729153"/>
      <w:bookmarkStart w:id="26" w:name="_Toc436408703"/>
      <w:bookmarkStart w:id="27" w:name="_Toc441316549"/>
      <w:bookmarkStart w:id="28" w:name="_Toc21541010"/>
      <w:r>
        <w:rPr>
          <w:rFonts w:hint="eastAsia" w:ascii="宋体" w:hAnsi="宋体"/>
          <w:szCs w:val="21"/>
        </w:rPr>
        <w:t>②在工程采购项目中，工程由中小企业承建，即工程施工单位为中小企业</w:t>
      </w:r>
      <w:bookmarkEnd w:id="25"/>
      <w:bookmarkEnd w:id="26"/>
      <w:bookmarkEnd w:id="27"/>
      <w:bookmarkEnd w:id="28"/>
      <w:r>
        <w:rPr>
          <w:rFonts w:hint="eastAsia" w:ascii="宋体" w:hAnsi="宋体"/>
          <w:szCs w:val="21"/>
        </w:rPr>
        <w:t>；</w:t>
      </w:r>
    </w:p>
    <w:p>
      <w:pPr>
        <w:spacing w:line="400" w:lineRule="exact"/>
        <w:ind w:firstLine="420" w:firstLineChars="200"/>
        <w:outlineLvl w:val="0"/>
        <w:rPr>
          <w:rFonts w:ascii="宋体" w:hAnsi="宋体"/>
          <w:szCs w:val="21"/>
        </w:rPr>
      </w:pPr>
      <w:r>
        <w:rPr>
          <w:rFonts w:hint="eastAsia" w:ascii="宋体" w:hAnsi="宋体"/>
          <w:szCs w:val="21"/>
        </w:rPr>
        <w:t>③在服务采购项目中，服务由中小企业承接，即提供服务的人员为中小企业依照《中华人民共和国劳动合同法》订立劳动合同的从业人员。</w:t>
      </w:r>
    </w:p>
    <w:p>
      <w:pPr>
        <w:spacing w:line="400" w:lineRule="exact"/>
        <w:ind w:firstLine="420" w:firstLineChars="200"/>
        <w:outlineLvl w:val="0"/>
        <w:rPr>
          <w:rFonts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outlineLvl w:val="0"/>
        <w:rPr>
          <w:rFonts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pPr>
        <w:spacing w:line="400" w:lineRule="exact"/>
        <w:ind w:firstLine="420" w:firstLineChars="200"/>
        <w:outlineLvl w:val="0"/>
        <w:rPr>
          <w:rFonts w:ascii="宋体" w:hAnsi="宋体"/>
          <w:szCs w:val="21"/>
        </w:rPr>
      </w:pPr>
      <w:r>
        <w:rPr>
          <w:rFonts w:hint="eastAsia" w:ascii="宋体" w:hAnsi="宋体"/>
          <w:szCs w:val="21"/>
        </w:rPr>
        <w:t>（3）中小企业参加政府采购活动，应当出具《政府采购促进中小企业发展管理办法》规定的《中小企业声明函》（格式见第七章），否则不得享受相关中小企业扶持政策。</w:t>
      </w:r>
    </w:p>
    <w:p>
      <w:pPr>
        <w:spacing w:line="400" w:lineRule="exact"/>
        <w:ind w:firstLine="420" w:firstLineChars="200"/>
        <w:outlineLvl w:val="0"/>
        <w:rPr>
          <w:rFonts w:ascii="宋体" w:hAnsi="宋体"/>
          <w:szCs w:val="21"/>
        </w:rPr>
      </w:pPr>
      <w:r>
        <w:rPr>
          <w:rFonts w:hint="eastAsia" w:ascii="宋体" w:hAnsi="宋体"/>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outlineLvl w:val="0"/>
        <w:rPr>
          <w:rFonts w:ascii="宋体" w:hAnsi="宋体"/>
          <w:szCs w:val="21"/>
        </w:rPr>
      </w:pPr>
      <w:r>
        <w:rPr>
          <w:rFonts w:hint="eastAsia" w:ascii="宋体" w:hAnsi="宋体"/>
          <w:szCs w:val="21"/>
        </w:rPr>
        <w:t>供应商提供声明函内容不实的，属于提供虚假材料谋取中标、成交，依照《中华人民共和国政府采购法》等国家有关规定追究相应责任。</w:t>
      </w:r>
    </w:p>
    <w:p>
      <w:pPr>
        <w:spacing w:line="400" w:lineRule="exact"/>
        <w:ind w:firstLine="420" w:firstLineChars="200"/>
        <w:outlineLvl w:val="0"/>
        <w:rPr>
          <w:rFonts w:ascii="宋体" w:hAnsi="宋体"/>
          <w:szCs w:val="21"/>
        </w:rPr>
      </w:pPr>
      <w:r>
        <w:rPr>
          <w:rFonts w:hint="eastAsia" w:ascii="宋体" w:hAnsi="宋体"/>
          <w:szCs w:val="21"/>
        </w:rPr>
        <w:t>适用招标投标法的政府采购工程建设项目，投标人提供声明函内容不实的，属于弄虚作假骗取中标，依照《中华人民共和国招标投标法》等国家有关规定追究相应责任。</w:t>
      </w:r>
    </w:p>
    <w:p>
      <w:pPr>
        <w:spacing w:line="400" w:lineRule="exact"/>
        <w:ind w:firstLine="420" w:firstLineChars="200"/>
        <w:outlineLvl w:val="0"/>
        <w:rPr>
          <w:rFonts w:ascii="宋体" w:hAnsi="宋体"/>
          <w:szCs w:val="21"/>
        </w:rPr>
      </w:pPr>
      <w:r>
        <w:rPr>
          <w:rFonts w:hint="eastAsia" w:ascii="宋体" w:hAnsi="宋体"/>
          <w:szCs w:val="21"/>
        </w:rPr>
        <w:t>（5）《中小企业声明函》由参加投标的供应商提交，如供应商为代理商，须自行采集制造商的中小企业划分类型信息填入相应栏目并对其真实性负责。</w:t>
      </w:r>
    </w:p>
    <w:p>
      <w:pPr>
        <w:spacing w:line="380" w:lineRule="exact"/>
        <w:ind w:firstLine="420" w:firstLineChars="200"/>
        <w:rPr>
          <w:rFonts w:ascii="宋体" w:hAnsi="宋体"/>
          <w:szCs w:val="21"/>
        </w:rPr>
      </w:pPr>
      <w:bookmarkStart w:id="29" w:name="_Toc31308"/>
      <w:bookmarkStart w:id="30" w:name="_Toc12374295"/>
      <w:bookmarkStart w:id="31" w:name="_Toc12376820"/>
      <w:bookmarkStart w:id="32" w:name="_Toc529781142"/>
      <w:bookmarkStart w:id="33" w:name="_Toc12428979"/>
      <w:bookmarkStart w:id="34" w:name="_Toc12277"/>
      <w:bookmarkStart w:id="35" w:name="_Toc495244277"/>
      <w:r>
        <w:rPr>
          <w:rFonts w:hint="eastAsia" w:ascii="宋体" w:hAnsi="宋体"/>
          <w:szCs w:val="21"/>
          <w:lang w:bidi="ar"/>
        </w:rPr>
        <w:t>2</w:t>
      </w:r>
      <w:r>
        <w:rPr>
          <w:rFonts w:ascii="宋体" w:hAnsi="宋体"/>
          <w:szCs w:val="21"/>
          <w:lang w:bidi="ar"/>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29"/>
      <w:bookmarkEnd w:id="30"/>
      <w:bookmarkEnd w:id="31"/>
      <w:bookmarkEnd w:id="32"/>
      <w:bookmarkEnd w:id="33"/>
      <w:bookmarkEnd w:id="34"/>
      <w:bookmarkEnd w:id="35"/>
    </w:p>
    <w:p>
      <w:pPr>
        <w:spacing w:line="380" w:lineRule="exact"/>
        <w:ind w:firstLine="420" w:firstLineChars="200"/>
        <w:rPr>
          <w:rFonts w:ascii="宋体" w:hAnsi="宋体"/>
          <w:szCs w:val="21"/>
          <w:lang w:bidi="ar"/>
        </w:rPr>
      </w:pPr>
      <w:r>
        <w:rPr>
          <w:rFonts w:hint="eastAsia" w:ascii="宋体" w:hAnsi="宋体"/>
          <w:szCs w:val="21"/>
          <w:lang w:bidi="ar"/>
        </w:rPr>
        <w:t>3</w:t>
      </w:r>
      <w:r>
        <w:rPr>
          <w:rFonts w:ascii="宋体" w:hAnsi="宋体"/>
          <w:szCs w:val="21"/>
          <w:lang w:bidi="ar"/>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w:t>
      </w:r>
      <w:r>
        <w:rPr>
          <w:rFonts w:hint="eastAsia" w:ascii="宋体" w:hAnsi="宋体"/>
          <w:szCs w:val="21"/>
          <w:lang w:bidi="ar"/>
        </w:rPr>
        <w:t>七</w:t>
      </w:r>
      <w:r>
        <w:rPr>
          <w:rFonts w:ascii="宋体" w:hAnsi="宋体"/>
          <w:szCs w:val="21"/>
          <w:lang w:bidi="ar"/>
        </w:rPr>
        <w:t>章附件），并对声明的真实性负责，未能提供的不予认可。</w:t>
      </w:r>
    </w:p>
    <w:p>
      <w:pPr>
        <w:pStyle w:val="45"/>
        <w:rPr>
          <w:rFonts w:ascii="宋体" w:hAnsi="宋体"/>
          <w:sz w:val="21"/>
          <w:szCs w:val="21"/>
          <w:lang w:bidi="ar"/>
        </w:rPr>
      </w:pPr>
      <w:r>
        <w:rPr>
          <w:rFonts w:hint="eastAsia" w:ascii="宋体" w:hAnsi="宋体"/>
          <w:sz w:val="21"/>
          <w:szCs w:val="21"/>
          <w:lang w:bidi="ar"/>
        </w:rPr>
        <w:t>4、节能环保要求</w:t>
      </w:r>
    </w:p>
    <w:p>
      <w:pPr>
        <w:pStyle w:val="45"/>
        <w:rPr>
          <w:rFonts w:ascii="宋体" w:hAnsi="宋体"/>
          <w:sz w:val="21"/>
          <w:szCs w:val="21"/>
          <w:lang w:bidi="ar"/>
        </w:rPr>
      </w:pPr>
      <w:r>
        <w:rPr>
          <w:rFonts w:hint="eastAsia" w:ascii="宋体" w:hAnsi="宋体"/>
          <w:sz w:val="21"/>
          <w:szCs w:val="21"/>
          <w:lang w:bidi="ar"/>
        </w:rPr>
        <w:t>4.1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p>
    <w:p>
      <w:pPr>
        <w:pStyle w:val="45"/>
        <w:rPr>
          <w:rFonts w:ascii="宋体" w:hAnsi="宋体" w:cs="宋体"/>
          <w:szCs w:val="21"/>
          <w:lang w:bidi="ar"/>
        </w:rPr>
      </w:pPr>
      <w:r>
        <w:rPr>
          <w:rFonts w:hint="eastAsia" w:ascii="宋体" w:hAnsi="宋体"/>
          <w:sz w:val="21"/>
          <w:szCs w:val="21"/>
          <w:lang w:bidi="ar"/>
        </w:rPr>
        <w:t>4.2采购人拟采购的产品属于政府强制采购的节能产品品目清单范围的，供应商未按招标文件要求提供国家确定的认证机构出具的、处于有效期之内的节能产品认证证书，投标无效。</w:t>
      </w:r>
      <w:bookmarkEnd w:id="8"/>
      <w:bookmarkEnd w:id="9"/>
      <w:bookmarkEnd w:id="10"/>
      <w:bookmarkEnd w:id="11"/>
      <w:bookmarkEnd w:id="12"/>
      <w:bookmarkEnd w:id="13"/>
    </w:p>
    <w:p>
      <w:pPr>
        <w:spacing w:line="380" w:lineRule="exact"/>
        <w:ind w:firstLine="422" w:firstLineChars="200"/>
        <w:jc w:val="left"/>
        <w:rPr>
          <w:rFonts w:ascii="宋体" w:hAnsi="宋体"/>
          <w:b/>
          <w:bCs/>
          <w:szCs w:val="21"/>
        </w:rPr>
      </w:pPr>
      <w:r>
        <w:rPr>
          <w:rFonts w:hint="eastAsia" w:ascii="宋体" w:hAnsi="宋体" w:cs="宋体"/>
          <w:b/>
          <w:bCs/>
          <w:szCs w:val="21"/>
          <w:lang w:bidi="ar"/>
        </w:rPr>
        <w:t>5、</w:t>
      </w:r>
      <w:r>
        <w:rPr>
          <w:rFonts w:hint="eastAsia" w:ascii="宋体" w:hAnsi="宋体"/>
          <w:b/>
          <w:bCs/>
          <w:szCs w:val="21"/>
        </w:rPr>
        <w:t>无效投标</w:t>
      </w:r>
    </w:p>
    <w:p>
      <w:pPr>
        <w:spacing w:line="380" w:lineRule="exact"/>
        <w:ind w:firstLine="422" w:firstLineChars="200"/>
        <w:jc w:val="left"/>
        <w:rPr>
          <w:rFonts w:ascii="宋体" w:hAnsi="宋体" w:cs="宋体"/>
          <w:b/>
          <w:bCs/>
          <w:szCs w:val="21"/>
          <w:lang w:bidi="ar"/>
        </w:rPr>
      </w:pPr>
      <w:r>
        <w:rPr>
          <w:rFonts w:hint="eastAsia" w:ascii="宋体" w:hAnsi="宋体" w:cs="宋体"/>
          <w:b/>
          <w:bCs/>
          <w:szCs w:val="21"/>
          <w:lang w:bidi="ar"/>
        </w:rPr>
        <w:t>发生下列情况之一的投标文件被视为无效：</w:t>
      </w:r>
    </w:p>
    <w:p>
      <w:pPr>
        <w:spacing w:line="380" w:lineRule="exact"/>
        <w:ind w:firstLine="422" w:firstLineChars="200"/>
        <w:jc w:val="left"/>
        <w:rPr>
          <w:rFonts w:ascii="宋体" w:hAnsi="宋体" w:cs="宋体"/>
          <w:b/>
          <w:bCs/>
          <w:szCs w:val="21"/>
          <w:lang w:bidi="ar"/>
        </w:rPr>
      </w:pPr>
      <w:r>
        <w:rPr>
          <w:rFonts w:hint="eastAsia" w:ascii="宋体" w:hAnsi="宋体" w:cs="宋体"/>
          <w:b/>
          <w:bCs/>
          <w:szCs w:val="21"/>
          <w:lang w:bidi="ar"/>
        </w:rPr>
        <w:t>（一）标项以赠送方式响应的，或提供两个及以上方案的；</w:t>
      </w:r>
    </w:p>
    <w:p>
      <w:pPr>
        <w:spacing w:line="380" w:lineRule="exact"/>
        <w:ind w:firstLine="422" w:firstLineChars="200"/>
        <w:jc w:val="left"/>
        <w:rPr>
          <w:rFonts w:ascii="宋体" w:hAnsi="宋体" w:cs="宋体"/>
          <w:b/>
          <w:bCs/>
          <w:szCs w:val="21"/>
          <w:lang w:bidi="ar"/>
        </w:rPr>
      </w:pPr>
      <w:r>
        <w:rPr>
          <w:rFonts w:hint="eastAsia" w:ascii="宋体" w:hAnsi="宋体" w:cs="宋体"/>
          <w:b/>
          <w:bCs/>
          <w:szCs w:val="21"/>
          <w:lang w:bidi="ar"/>
        </w:rPr>
        <w:t>（二）供应商投标有效期不足的；</w:t>
      </w:r>
    </w:p>
    <w:p>
      <w:pPr>
        <w:spacing w:line="380" w:lineRule="exact"/>
        <w:ind w:firstLine="422" w:firstLineChars="200"/>
        <w:jc w:val="left"/>
        <w:rPr>
          <w:rFonts w:ascii="宋体" w:hAnsi="宋体" w:cs="宋体"/>
          <w:b/>
          <w:bCs/>
          <w:szCs w:val="21"/>
          <w:lang w:bidi="ar"/>
        </w:rPr>
      </w:pPr>
      <w:r>
        <w:rPr>
          <w:rFonts w:hint="eastAsia" w:ascii="宋体" w:hAnsi="宋体" w:cs="宋体"/>
          <w:b/>
          <w:bCs/>
          <w:szCs w:val="21"/>
          <w:lang w:bidi="ar"/>
        </w:rPr>
        <w:t>（三）投标文件未按招标文件要求签署、盖章的；</w:t>
      </w:r>
    </w:p>
    <w:p>
      <w:pPr>
        <w:spacing w:line="380" w:lineRule="exact"/>
        <w:ind w:firstLine="422" w:firstLineChars="200"/>
        <w:jc w:val="left"/>
        <w:rPr>
          <w:rFonts w:ascii="宋体" w:hAnsi="宋体" w:cs="宋体"/>
          <w:b/>
          <w:bCs/>
          <w:szCs w:val="21"/>
          <w:lang w:bidi="ar"/>
        </w:rPr>
      </w:pPr>
      <w:r>
        <w:rPr>
          <w:rFonts w:hint="eastAsia" w:ascii="宋体" w:hAnsi="宋体" w:cs="宋体"/>
          <w:b/>
          <w:bCs/>
          <w:szCs w:val="21"/>
          <w:lang w:bidi="ar"/>
        </w:rPr>
        <w:t>（四）报价超过招标文件中规定的预算金额或者最高限价的；</w:t>
      </w:r>
    </w:p>
    <w:p>
      <w:pPr>
        <w:spacing w:line="380" w:lineRule="exact"/>
        <w:ind w:firstLine="422" w:firstLineChars="200"/>
        <w:jc w:val="left"/>
        <w:rPr>
          <w:rFonts w:ascii="宋体" w:hAnsi="宋体" w:cs="宋体"/>
          <w:b/>
          <w:bCs/>
          <w:szCs w:val="21"/>
          <w:lang w:bidi="ar"/>
        </w:rPr>
      </w:pPr>
      <w:r>
        <w:rPr>
          <w:rFonts w:hint="eastAsia" w:ascii="宋体" w:hAnsi="宋体" w:cs="宋体"/>
          <w:b/>
          <w:bCs/>
          <w:szCs w:val="21"/>
          <w:lang w:bidi="ar"/>
        </w:rPr>
        <w:t>（五）经全体评标委员会一致认为，供应商的报价明显低于其他通过符合性审查供应商的报价，有可能影响产品质量或者不能诚信履约且不能提供有效材料证明其报价合理性的；</w:t>
      </w:r>
    </w:p>
    <w:p>
      <w:pPr>
        <w:spacing w:line="380" w:lineRule="exact"/>
        <w:ind w:firstLine="422" w:firstLineChars="200"/>
        <w:jc w:val="left"/>
        <w:rPr>
          <w:rFonts w:ascii="宋体" w:hAnsi="宋体" w:cs="宋体"/>
          <w:b/>
          <w:bCs/>
          <w:szCs w:val="21"/>
          <w:lang w:bidi="ar"/>
        </w:rPr>
      </w:pPr>
      <w:r>
        <w:rPr>
          <w:rFonts w:hint="eastAsia" w:ascii="宋体" w:hAnsi="宋体" w:cs="宋体"/>
          <w:b/>
          <w:bCs/>
          <w:szCs w:val="21"/>
          <w:lang w:bidi="ar"/>
        </w:rPr>
        <w:t>（六）有以下情形之一的，视为供应商串通投标，其投标无效：</w:t>
      </w:r>
    </w:p>
    <w:p>
      <w:pPr>
        <w:spacing w:line="380" w:lineRule="exact"/>
        <w:ind w:firstLine="422" w:firstLineChars="200"/>
        <w:jc w:val="left"/>
        <w:rPr>
          <w:rFonts w:ascii="宋体" w:hAnsi="宋体" w:cs="宋体"/>
          <w:b/>
          <w:bCs/>
          <w:szCs w:val="21"/>
          <w:lang w:bidi="ar"/>
        </w:rPr>
      </w:pPr>
      <w:r>
        <w:rPr>
          <w:rFonts w:hint="eastAsia" w:ascii="宋体" w:hAnsi="宋体" w:cs="宋体"/>
          <w:b/>
          <w:bCs/>
          <w:szCs w:val="21"/>
          <w:lang w:bidi="ar"/>
        </w:rPr>
        <w:t>1）不同供应商的投标文件由同一单位或个人编制；</w:t>
      </w:r>
    </w:p>
    <w:p>
      <w:pPr>
        <w:spacing w:line="380" w:lineRule="exact"/>
        <w:ind w:firstLine="422" w:firstLineChars="200"/>
        <w:jc w:val="left"/>
        <w:rPr>
          <w:rFonts w:ascii="宋体" w:hAnsi="宋体" w:cs="宋体"/>
          <w:b/>
          <w:bCs/>
          <w:szCs w:val="21"/>
          <w:lang w:bidi="ar"/>
        </w:rPr>
      </w:pPr>
      <w:r>
        <w:rPr>
          <w:rFonts w:hint="eastAsia" w:ascii="宋体" w:hAnsi="宋体" w:cs="宋体"/>
          <w:b/>
          <w:bCs/>
          <w:szCs w:val="21"/>
          <w:lang w:bidi="ar"/>
        </w:rPr>
        <w:t>2）不同供应商委托同一单位或者个人办理投标事宜；</w:t>
      </w:r>
    </w:p>
    <w:p>
      <w:pPr>
        <w:spacing w:line="380" w:lineRule="exact"/>
        <w:ind w:firstLine="422" w:firstLineChars="200"/>
        <w:jc w:val="left"/>
        <w:rPr>
          <w:rFonts w:ascii="宋体" w:hAnsi="宋体" w:cs="宋体"/>
          <w:b/>
          <w:bCs/>
          <w:szCs w:val="21"/>
          <w:lang w:bidi="ar"/>
        </w:rPr>
      </w:pPr>
      <w:r>
        <w:rPr>
          <w:rFonts w:hint="eastAsia" w:ascii="宋体" w:hAnsi="宋体" w:cs="宋体"/>
          <w:b/>
          <w:bCs/>
          <w:szCs w:val="21"/>
          <w:lang w:bidi="ar"/>
        </w:rPr>
        <w:t>3）不同供应商的投标文件载明的项目管理成员或者联系人员为同一人；</w:t>
      </w:r>
    </w:p>
    <w:p>
      <w:pPr>
        <w:spacing w:line="380" w:lineRule="exact"/>
        <w:ind w:firstLine="422" w:firstLineChars="200"/>
        <w:jc w:val="left"/>
        <w:rPr>
          <w:rFonts w:ascii="宋体" w:hAnsi="宋体" w:cs="宋体"/>
          <w:b/>
          <w:bCs/>
          <w:szCs w:val="21"/>
          <w:lang w:bidi="ar"/>
        </w:rPr>
      </w:pPr>
      <w:r>
        <w:rPr>
          <w:rFonts w:hint="eastAsia" w:ascii="宋体" w:hAnsi="宋体" w:cs="宋体"/>
          <w:b/>
          <w:bCs/>
          <w:szCs w:val="21"/>
          <w:lang w:bidi="ar"/>
        </w:rPr>
        <w:t>4）不同供应商的投标文件异常一致或者投标报价呈规律性差异；</w:t>
      </w:r>
    </w:p>
    <w:p>
      <w:pPr>
        <w:spacing w:line="380" w:lineRule="exact"/>
        <w:ind w:firstLine="422" w:firstLineChars="200"/>
        <w:jc w:val="left"/>
        <w:rPr>
          <w:rFonts w:ascii="宋体" w:hAnsi="宋体" w:cs="宋体"/>
          <w:b/>
          <w:bCs/>
          <w:szCs w:val="21"/>
          <w:lang w:bidi="ar"/>
        </w:rPr>
      </w:pPr>
      <w:r>
        <w:rPr>
          <w:rFonts w:hint="eastAsia" w:ascii="宋体" w:hAnsi="宋体" w:cs="宋体"/>
          <w:b/>
          <w:bCs/>
          <w:szCs w:val="21"/>
          <w:lang w:bidi="ar"/>
        </w:rPr>
        <w:t>5）同供应商的投标文件相互混装；</w:t>
      </w:r>
    </w:p>
    <w:p>
      <w:pPr>
        <w:spacing w:line="380" w:lineRule="exact"/>
        <w:ind w:firstLine="422" w:firstLineChars="200"/>
        <w:jc w:val="left"/>
        <w:rPr>
          <w:rFonts w:ascii="宋体" w:hAnsi="宋体" w:cs="宋体"/>
          <w:b/>
          <w:bCs/>
          <w:szCs w:val="21"/>
          <w:lang w:bidi="ar"/>
        </w:rPr>
      </w:pPr>
      <w:r>
        <w:rPr>
          <w:rFonts w:hint="eastAsia" w:ascii="宋体" w:hAnsi="宋体" w:cs="宋体"/>
          <w:b/>
          <w:bCs/>
          <w:szCs w:val="21"/>
          <w:lang w:bidi="ar"/>
        </w:rPr>
        <w:t>（八）供应商违反公平竞争原则，恶意串通，妨碍其他供应商的竞争，损害招标人或者其他供应商的合法权益的；</w:t>
      </w:r>
    </w:p>
    <w:p>
      <w:pPr>
        <w:spacing w:line="380" w:lineRule="exact"/>
        <w:ind w:firstLine="422" w:firstLineChars="200"/>
        <w:jc w:val="left"/>
        <w:rPr>
          <w:rFonts w:ascii="宋体" w:hAnsi="宋体" w:cs="宋体"/>
          <w:b/>
          <w:bCs/>
          <w:szCs w:val="21"/>
          <w:lang w:bidi="ar"/>
        </w:rPr>
      </w:pPr>
      <w:r>
        <w:rPr>
          <w:rFonts w:hint="eastAsia" w:ascii="宋体" w:hAnsi="宋体" w:cs="宋体"/>
          <w:b/>
          <w:bCs/>
          <w:szCs w:val="21"/>
          <w:lang w:bidi="ar"/>
        </w:rPr>
        <w:t>（九）供应商因投标文件报价前后不一致而修正报价后不确认的；</w:t>
      </w:r>
    </w:p>
    <w:p>
      <w:pPr>
        <w:spacing w:line="380" w:lineRule="exact"/>
        <w:ind w:firstLine="422" w:firstLineChars="200"/>
        <w:jc w:val="left"/>
        <w:rPr>
          <w:rFonts w:ascii="宋体" w:hAnsi="宋体" w:cs="宋体"/>
          <w:b/>
          <w:bCs/>
          <w:szCs w:val="21"/>
          <w:lang w:bidi="ar"/>
        </w:rPr>
      </w:pPr>
      <w:r>
        <w:rPr>
          <w:rFonts w:hint="eastAsia" w:ascii="宋体" w:hAnsi="宋体" w:cs="宋体"/>
          <w:b/>
          <w:bCs/>
          <w:szCs w:val="21"/>
          <w:lang w:bidi="ar"/>
        </w:rPr>
        <w:t>（十）投标文件含有招标人不能接受的附加条件的；</w:t>
      </w:r>
    </w:p>
    <w:p>
      <w:pPr>
        <w:spacing w:line="380" w:lineRule="exact"/>
        <w:ind w:firstLine="422" w:firstLineChars="200"/>
        <w:jc w:val="left"/>
        <w:rPr>
          <w:rFonts w:ascii="宋体" w:hAnsi="宋体" w:cs="宋体"/>
          <w:b/>
          <w:bCs/>
          <w:szCs w:val="21"/>
          <w:lang w:bidi="ar"/>
        </w:rPr>
      </w:pPr>
      <w:r>
        <w:rPr>
          <w:rFonts w:hint="eastAsia" w:ascii="宋体" w:hAnsi="宋体" w:cs="宋体"/>
          <w:b/>
          <w:bCs/>
          <w:szCs w:val="21"/>
          <w:lang w:bidi="ar"/>
        </w:rPr>
        <w:t>（十）不符合法律、法规和本招标文件规定的其他实质性要求的。</w:t>
      </w:r>
    </w:p>
    <w:p>
      <w:pPr>
        <w:spacing w:line="380" w:lineRule="exact"/>
        <w:ind w:firstLine="420" w:firstLineChars="200"/>
        <w:outlineLvl w:val="0"/>
        <w:rPr>
          <w:rFonts w:ascii="宋体" w:hAnsi="宋体" w:cs="宋体"/>
          <w:szCs w:val="21"/>
        </w:rPr>
      </w:pPr>
      <w:bookmarkStart w:id="36" w:name="_Toc529781144"/>
      <w:bookmarkStart w:id="37" w:name="_Toc12374297"/>
      <w:bookmarkStart w:id="38" w:name="_Toc12428981"/>
      <w:bookmarkStart w:id="39" w:name="_Toc7156"/>
      <w:bookmarkStart w:id="40" w:name="_Toc10801"/>
      <w:bookmarkStart w:id="41" w:name="_Toc12376822"/>
      <w:bookmarkStart w:id="42" w:name="_Toc16680"/>
      <w:r>
        <w:rPr>
          <w:rFonts w:hint="eastAsia" w:ascii="宋体" w:hAnsi="宋体" w:cs="宋体"/>
          <w:szCs w:val="21"/>
          <w:lang w:bidi="ar"/>
        </w:rPr>
        <w:t>6、本项目不组织潜在供应商现场考察或者召开开标前答疑。</w:t>
      </w:r>
      <w:bookmarkEnd w:id="36"/>
      <w:bookmarkEnd w:id="37"/>
      <w:bookmarkEnd w:id="38"/>
      <w:bookmarkEnd w:id="39"/>
      <w:bookmarkEnd w:id="40"/>
      <w:bookmarkEnd w:id="41"/>
      <w:bookmarkEnd w:id="42"/>
    </w:p>
    <w:p>
      <w:pPr>
        <w:spacing w:line="380" w:lineRule="exact"/>
        <w:ind w:firstLine="420" w:firstLineChars="200"/>
        <w:outlineLvl w:val="0"/>
        <w:rPr>
          <w:rFonts w:ascii="宋体" w:hAnsi="宋体" w:cs="宋体"/>
          <w:szCs w:val="21"/>
          <w:lang w:bidi="ar"/>
        </w:rPr>
      </w:pPr>
      <w:bookmarkStart w:id="43" w:name="_Toc29744"/>
      <w:bookmarkStart w:id="44" w:name="_Toc12428982"/>
      <w:bookmarkStart w:id="45" w:name="_Toc21250"/>
      <w:bookmarkStart w:id="46" w:name="_Toc12374298"/>
      <w:bookmarkStart w:id="47" w:name="_Toc529781145"/>
      <w:bookmarkStart w:id="48" w:name="_Toc15934"/>
      <w:bookmarkStart w:id="49" w:name="_Toc12376823"/>
      <w:r>
        <w:rPr>
          <w:rFonts w:hint="eastAsia" w:ascii="宋体" w:hAnsi="宋体" w:cs="宋体"/>
          <w:szCs w:val="21"/>
          <w:lang w:bidi="ar"/>
        </w:rPr>
        <w:t>7、本文件未及事项，在签订合同时双方友好商定。</w:t>
      </w:r>
      <w:bookmarkEnd w:id="14"/>
      <w:bookmarkEnd w:id="15"/>
      <w:bookmarkEnd w:id="16"/>
      <w:bookmarkEnd w:id="43"/>
      <w:bookmarkEnd w:id="44"/>
      <w:bookmarkEnd w:id="45"/>
      <w:bookmarkEnd w:id="46"/>
      <w:bookmarkEnd w:id="47"/>
      <w:bookmarkEnd w:id="48"/>
      <w:bookmarkEnd w:id="49"/>
    </w:p>
    <w:p>
      <w:pPr>
        <w:pStyle w:val="45"/>
        <w:rPr>
          <w:rFonts w:ascii="宋体" w:hAnsi="宋体" w:cs="宋体"/>
          <w:sz w:val="21"/>
          <w:szCs w:val="21"/>
          <w:lang w:bidi="ar"/>
        </w:rPr>
      </w:pPr>
      <w:r>
        <w:rPr>
          <w:rFonts w:hint="eastAsia" w:ascii="宋体" w:hAnsi="宋体" w:cs="宋体"/>
          <w:sz w:val="21"/>
          <w:szCs w:val="21"/>
          <w:lang w:bidi="ar"/>
        </w:rPr>
        <w:t>8、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pPr>
        <w:pStyle w:val="45"/>
        <w:rPr>
          <w:sz w:val="21"/>
          <w:szCs w:val="21"/>
        </w:rPr>
      </w:pPr>
      <w:r>
        <w:rPr>
          <w:rFonts w:hint="eastAsia" w:ascii="宋体" w:hAnsi="宋体" w:cs="宋体"/>
          <w:sz w:val="21"/>
          <w:szCs w:val="21"/>
          <w:lang w:bidi="ar"/>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spacing w:line="380" w:lineRule="exact"/>
        <w:ind w:firstLine="420" w:firstLineChars="200"/>
        <w:rPr>
          <w:rFonts w:ascii="宋体" w:hAnsi="宋体"/>
          <w:szCs w:val="21"/>
        </w:rPr>
      </w:pPr>
      <w:bookmarkStart w:id="50" w:name="_Toc419729159"/>
      <w:r>
        <w:rPr>
          <w:rFonts w:hint="eastAsia" w:ascii="宋体" w:hAnsi="宋体" w:cs="宋体"/>
          <w:szCs w:val="21"/>
          <w:lang w:bidi="ar"/>
        </w:rPr>
        <w:t>9、本招标文件解释权归采购人。</w:t>
      </w:r>
      <w:bookmarkEnd w:id="50"/>
    </w:p>
    <w:p>
      <w:pPr>
        <w:pStyle w:val="3"/>
        <w:keepLines/>
        <w:spacing w:before="340" w:after="330" w:line="360" w:lineRule="auto"/>
        <w:jc w:val="both"/>
        <w:rPr>
          <w:rFonts w:ascii="宋体" w:hAnsi="宋体"/>
          <w:sz w:val="36"/>
          <w:szCs w:val="36"/>
        </w:rPr>
      </w:pPr>
    </w:p>
    <w:p>
      <w:pPr>
        <w:rPr>
          <w:rFonts w:ascii="宋体" w:hAnsi="宋体"/>
          <w:sz w:val="36"/>
          <w:szCs w:val="36"/>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18"/>
        <w:rPr>
          <w:rFonts w:ascii="Verdana" w:hAnsi="Verdana"/>
          <w:kern w:val="0"/>
          <w:sz w:val="20"/>
        </w:rPr>
      </w:pPr>
    </w:p>
    <w:p>
      <w:pPr>
        <w:pStyle w:val="3"/>
        <w:keepLines/>
        <w:spacing w:before="340" w:after="330" w:line="360" w:lineRule="auto"/>
        <w:rPr>
          <w:rFonts w:ascii="宋体" w:hAnsi="宋体"/>
          <w:sz w:val="36"/>
          <w:szCs w:val="36"/>
        </w:rPr>
      </w:pPr>
      <w:bookmarkStart w:id="51" w:name="_Toc5646"/>
      <w:r>
        <w:rPr>
          <w:rFonts w:hint="eastAsia" w:ascii="宋体" w:hAnsi="宋体"/>
          <w:sz w:val="36"/>
          <w:szCs w:val="36"/>
        </w:rPr>
        <w:t xml:space="preserve">第三章  </w:t>
      </w:r>
      <w:bookmarkEnd w:id="3"/>
      <w:r>
        <w:rPr>
          <w:rFonts w:hint="eastAsia" w:ascii="宋体" w:hAnsi="宋体"/>
          <w:sz w:val="36"/>
          <w:szCs w:val="36"/>
        </w:rPr>
        <w:t>评标办法及标准</w:t>
      </w:r>
      <w:bookmarkEnd w:id="51"/>
    </w:p>
    <w:p>
      <w:pPr>
        <w:spacing w:line="360" w:lineRule="exact"/>
        <w:ind w:firstLine="422" w:firstLineChars="200"/>
        <w:jc w:val="left"/>
        <w:rPr>
          <w:rFonts w:ascii="宋体" w:hAnsi="宋体"/>
          <w:b/>
          <w:szCs w:val="21"/>
        </w:rPr>
      </w:pPr>
      <w:bookmarkStart w:id="52" w:name="_Toc5853"/>
      <w:bookmarkStart w:id="53" w:name="_Toc536024503"/>
      <w:r>
        <w:rPr>
          <w:rFonts w:hint="eastAsia" w:ascii="宋体" w:hAnsi="宋体"/>
          <w:b/>
          <w:szCs w:val="21"/>
        </w:rPr>
        <w:t>一、评标办法</w:t>
      </w:r>
    </w:p>
    <w:p>
      <w:pPr>
        <w:spacing w:line="400" w:lineRule="exact"/>
        <w:ind w:firstLine="420" w:firstLineChars="200"/>
        <w:jc w:val="left"/>
        <w:rPr>
          <w:rFonts w:ascii="宋体" w:hAnsi="宋体"/>
          <w:szCs w:val="21"/>
        </w:rPr>
      </w:pPr>
      <w:r>
        <w:rPr>
          <w:rFonts w:ascii="宋体" w:hAnsi="宋体"/>
          <w:szCs w:val="21"/>
        </w:rPr>
        <w:t>1.1</w:t>
      </w:r>
      <w:r>
        <w:rPr>
          <w:rFonts w:hint="eastAsia" w:ascii="宋体" w:hAnsi="宋体"/>
          <w:szCs w:val="21"/>
        </w:rPr>
        <w:t>本项目评标采用综合评分法。</w:t>
      </w:r>
    </w:p>
    <w:p>
      <w:pPr>
        <w:spacing w:line="400" w:lineRule="exact"/>
        <w:ind w:firstLine="420" w:firstLineChars="200"/>
        <w:jc w:val="left"/>
        <w:rPr>
          <w:rFonts w:ascii="宋体" w:hAnsi="宋体"/>
          <w:szCs w:val="21"/>
        </w:rPr>
      </w:pPr>
      <w:r>
        <w:rPr>
          <w:rFonts w:ascii="宋体" w:hAnsi="宋体"/>
          <w:szCs w:val="21"/>
        </w:rPr>
        <w:t>1.2</w:t>
      </w:r>
      <w:r>
        <w:rPr>
          <w:rFonts w:hint="eastAsia" w:ascii="宋体" w:hAnsi="宋体"/>
          <w:szCs w:val="21"/>
        </w:rPr>
        <w:t>综合评分法：采用百分制，总分</w:t>
      </w:r>
      <w:r>
        <w:rPr>
          <w:rFonts w:ascii="宋体" w:hAnsi="宋体"/>
          <w:szCs w:val="21"/>
        </w:rPr>
        <w:t>100</w:t>
      </w:r>
      <w:r>
        <w:rPr>
          <w:rFonts w:hint="eastAsia" w:ascii="宋体" w:hAnsi="宋体"/>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pPr>
        <w:spacing w:line="400" w:lineRule="exact"/>
        <w:ind w:firstLine="420" w:firstLineChars="200"/>
        <w:jc w:val="left"/>
        <w:rPr>
          <w:rFonts w:ascii="宋体" w:hAnsi="宋体"/>
          <w:szCs w:val="21"/>
        </w:rPr>
      </w:pPr>
      <w:r>
        <w:rPr>
          <w:rFonts w:ascii="宋体" w:hAnsi="宋体"/>
          <w:szCs w:val="21"/>
        </w:rPr>
        <w:t>1.3</w:t>
      </w:r>
      <w:r>
        <w:rPr>
          <w:rFonts w:hint="eastAsia" w:ascii="宋体" w:hAnsi="宋体" w:cs="宋体"/>
        </w:rPr>
        <w:t>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line="400" w:lineRule="exact"/>
        <w:ind w:firstLine="420" w:firstLineChars="200"/>
        <w:jc w:val="left"/>
        <w:rPr>
          <w:rFonts w:ascii="宋体" w:hAnsi="宋体" w:cs="仿宋"/>
          <w:szCs w:val="21"/>
        </w:rPr>
      </w:pPr>
      <w:r>
        <w:rPr>
          <w:rFonts w:ascii="宋体" w:hAnsi="宋体" w:cs="仿宋"/>
          <w:szCs w:val="21"/>
        </w:rPr>
        <w:t>1.4</w:t>
      </w:r>
      <w:r>
        <w:rPr>
          <w:rFonts w:hint="eastAsia" w:ascii="宋体" w:hAnsi="宋体" w:cs="仿宋"/>
          <w:szCs w:val="21"/>
        </w:rPr>
        <w:t>本次采购为非专门面向中小企业，采购标的对应的中小企业划分标准所属行业：</w:t>
      </w:r>
    </w:p>
    <w:p>
      <w:pPr>
        <w:spacing w:line="400" w:lineRule="exact"/>
        <w:ind w:firstLine="420" w:firstLineChars="200"/>
        <w:jc w:val="left"/>
        <w:rPr>
          <w:rFonts w:ascii="宋体" w:hAnsi="宋体" w:cs="仿宋"/>
          <w:szCs w:val="21"/>
        </w:rPr>
      </w:pPr>
      <w:r>
        <w:rPr>
          <w:rFonts w:hint="eastAsia" w:ascii="宋体" w:hAnsi="宋体" w:cs="仿宋"/>
          <w:szCs w:val="21"/>
        </w:rPr>
        <w:t>标项1为</w:t>
      </w:r>
      <w:r>
        <w:rPr>
          <w:rFonts w:hint="eastAsia" w:ascii="宋体" w:hAnsi="宋体" w:cs="宋体"/>
          <w:b/>
          <w:bCs/>
          <w:color w:val="auto"/>
          <w:szCs w:val="21"/>
          <w:highlight w:val="none"/>
          <w:u w:val="single"/>
        </w:rPr>
        <w:t>租赁和商务服务业</w:t>
      </w:r>
      <w:r>
        <w:rPr>
          <w:rFonts w:hint="eastAsia" w:ascii="宋体" w:hAnsi="宋体" w:cs="仿宋"/>
          <w:b/>
          <w:bCs/>
          <w:szCs w:val="21"/>
          <w:u w:val="single"/>
        </w:rPr>
        <w:t xml:space="preserve"> </w:t>
      </w:r>
      <w:r>
        <w:rPr>
          <w:rFonts w:hint="eastAsia" w:ascii="宋体" w:hAnsi="宋体" w:cs="仿宋"/>
          <w:szCs w:val="21"/>
        </w:rPr>
        <w:t>。本次评标将对中小企业声明函满足招标文件要求的服务承接企业为小微企业的价格给予</w:t>
      </w:r>
      <w:r>
        <w:rPr>
          <w:rFonts w:ascii="宋体" w:hAnsi="宋体" w:cs="仿宋"/>
          <w:szCs w:val="21"/>
        </w:rPr>
        <w:t>20</w:t>
      </w:r>
      <w:r>
        <w:rPr>
          <w:rFonts w:hint="eastAsia" w:ascii="宋体" w:hAnsi="宋体" w:cs="仿宋"/>
          <w:szCs w:val="21"/>
        </w:rPr>
        <w:t>%的扣除，用扣除后的价格参与评审。价格扣除只用于评审过程，如中标，中标价格仍按照其投标价格进行公示。</w:t>
      </w:r>
    </w:p>
    <w:p>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5评标委员会成员对需要共同认定的事项存在争议的，应当按照少数服从多数的原则作出结论。</w:t>
      </w:r>
    </w:p>
    <w:p>
      <w:pPr>
        <w:spacing w:line="360" w:lineRule="exact"/>
        <w:ind w:firstLine="420" w:firstLineChars="200"/>
        <w:jc w:val="left"/>
        <w:rPr>
          <w:rFonts w:ascii="宋体" w:hAnsi="宋体"/>
          <w:b/>
          <w:bCs/>
          <w:szCs w:val="21"/>
        </w:rPr>
      </w:pPr>
      <w:r>
        <w:rPr>
          <w:rFonts w:hint="eastAsia" w:ascii="宋体" w:hAnsi="宋体"/>
          <w:szCs w:val="21"/>
        </w:rPr>
        <w:t>二、</w:t>
      </w:r>
      <w:r>
        <w:rPr>
          <w:rFonts w:hint="eastAsia" w:ascii="宋体" w:hAnsi="宋体"/>
          <w:b/>
          <w:bCs/>
          <w:szCs w:val="21"/>
        </w:rPr>
        <w:t>评标程序</w:t>
      </w:r>
    </w:p>
    <w:p>
      <w:pPr>
        <w:spacing w:line="360" w:lineRule="exact"/>
        <w:ind w:firstLine="422" w:firstLineChars="200"/>
        <w:rPr>
          <w:rFonts w:ascii="宋体" w:hAnsi="宋体"/>
          <w:b/>
          <w:szCs w:val="21"/>
        </w:rPr>
      </w:pPr>
      <w:r>
        <w:rPr>
          <w:rFonts w:hint="eastAsia" w:ascii="宋体" w:hAnsi="宋体"/>
          <w:b/>
          <w:szCs w:val="21"/>
        </w:rPr>
        <w:t>2.1第一阶段评审</w:t>
      </w:r>
    </w:p>
    <w:p>
      <w:pPr>
        <w:spacing w:line="360" w:lineRule="exact"/>
        <w:ind w:firstLine="420" w:firstLineChars="200"/>
        <w:rPr>
          <w:rFonts w:ascii="宋体" w:hAnsi="宋体"/>
          <w:b/>
          <w:szCs w:val="21"/>
        </w:rPr>
      </w:pPr>
      <w:r>
        <w:rPr>
          <w:rFonts w:hint="eastAsia" w:ascii="宋体" w:hAnsi="宋体"/>
          <w:szCs w:val="21"/>
        </w:rPr>
        <w:t>2.1.1资格文件、商务和技术文件初步审查：包含资格性审查和符合性审查。资格性审查是指招标人或代理机构根据“附表1资格性审查表”的要求对投标文件逐一进行评审。符合性审查是指评标委员会根据“附表2符合性审查表”的要求对投标文件逐一进行评审。</w:t>
      </w:r>
      <w:r>
        <w:rPr>
          <w:rFonts w:hint="eastAsia" w:ascii="宋体" w:hAnsi="宋体"/>
          <w:b/>
          <w:szCs w:val="21"/>
        </w:rPr>
        <w:t>资格性审查和符合性审查中，有任意一项审查结论不合格的，作无效标处理。</w:t>
      </w:r>
    </w:p>
    <w:p>
      <w:pPr>
        <w:spacing w:line="360" w:lineRule="exact"/>
        <w:ind w:firstLine="420" w:firstLineChars="200"/>
        <w:jc w:val="left"/>
        <w:rPr>
          <w:rFonts w:ascii="宋体" w:hAnsi="宋体"/>
          <w:szCs w:val="21"/>
        </w:rPr>
      </w:pPr>
      <w:r>
        <w:rPr>
          <w:rFonts w:hint="eastAsia" w:ascii="宋体" w:hAnsi="宋体"/>
          <w:szCs w:val="21"/>
        </w:rPr>
        <w:t>2.1.2</w:t>
      </w:r>
      <w:r>
        <w:rPr>
          <w:rFonts w:hint="eastAsia" w:ascii="宋体" w:hAnsi="宋体"/>
          <w:szCs w:val="21"/>
          <w:lang w:val="zh-CN"/>
        </w:rPr>
        <w:t>比较与评价：</w:t>
      </w:r>
      <w:r>
        <w:rPr>
          <w:rFonts w:hint="eastAsia" w:ascii="宋体" w:hAnsi="宋体"/>
          <w:szCs w:val="21"/>
        </w:rPr>
        <w:t>评标委员会根据“附表3商务和技术评分表”的要求，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由评标委员会成员在分值范围内自行评分。投标人商务和技术得分为各评标委员会成员有效评分的算术平均值（小数点后保留二位数）。</w:t>
      </w:r>
    </w:p>
    <w:p>
      <w:pPr>
        <w:spacing w:line="360" w:lineRule="exact"/>
        <w:ind w:firstLine="422" w:firstLineChars="200"/>
        <w:jc w:val="left"/>
        <w:rPr>
          <w:rFonts w:ascii="宋体" w:hAnsi="宋体"/>
          <w:b/>
          <w:szCs w:val="21"/>
        </w:rPr>
      </w:pPr>
      <w:r>
        <w:rPr>
          <w:rFonts w:hint="eastAsia" w:ascii="宋体" w:hAnsi="宋体"/>
          <w:b/>
          <w:szCs w:val="21"/>
        </w:rPr>
        <w:t>2.2第二阶段评审</w:t>
      </w:r>
    </w:p>
    <w:p>
      <w:pPr>
        <w:spacing w:line="360" w:lineRule="exact"/>
        <w:ind w:firstLine="420" w:firstLineChars="200"/>
        <w:jc w:val="left"/>
        <w:rPr>
          <w:rFonts w:ascii="宋体" w:hAnsi="宋体"/>
          <w:b/>
          <w:szCs w:val="21"/>
        </w:rPr>
      </w:pPr>
      <w:r>
        <w:rPr>
          <w:rFonts w:hint="eastAsia" w:ascii="宋体" w:hAnsi="宋体"/>
          <w:szCs w:val="21"/>
        </w:rPr>
        <w:t>2.2.1报价文件初步审查：报价文件初步审查是指评标委员会根据“附表4报价文件初步审查表”的要求对投标文件逐一进行评审。</w:t>
      </w:r>
      <w:r>
        <w:rPr>
          <w:rFonts w:hint="eastAsia" w:ascii="宋体" w:hAnsi="宋体"/>
          <w:b/>
          <w:szCs w:val="21"/>
        </w:rPr>
        <w:t>初步审查中，审查结论不合格的，作无效标处理。</w:t>
      </w:r>
    </w:p>
    <w:p>
      <w:pPr>
        <w:spacing w:line="360" w:lineRule="exact"/>
        <w:ind w:firstLine="420" w:firstLineChars="200"/>
        <w:jc w:val="left"/>
        <w:rPr>
          <w:rFonts w:ascii="宋体" w:hAnsi="宋体"/>
          <w:szCs w:val="21"/>
        </w:rPr>
      </w:pPr>
      <w:r>
        <w:rPr>
          <w:rFonts w:hint="eastAsia" w:ascii="宋体" w:hAnsi="宋体"/>
          <w:szCs w:val="21"/>
        </w:rPr>
        <w:t>2.2.2在评标过程中，发现的价格计算错误按下述原则修正：</w:t>
      </w:r>
    </w:p>
    <w:p>
      <w:pPr>
        <w:spacing w:line="360" w:lineRule="exact"/>
        <w:ind w:firstLine="420" w:firstLineChars="200"/>
        <w:jc w:val="left"/>
        <w:rPr>
          <w:rFonts w:ascii="宋体" w:hAnsi="宋体"/>
          <w:szCs w:val="21"/>
        </w:rPr>
      </w:pPr>
      <w:r>
        <w:rPr>
          <w:rFonts w:hint="eastAsia" w:ascii="宋体" w:hAnsi="宋体"/>
          <w:szCs w:val="21"/>
        </w:rPr>
        <w:t>（1）投标文件中开标一览表内容与投标文件中分项报价表内容不一致的，以开标一览表为准；</w:t>
      </w:r>
    </w:p>
    <w:p>
      <w:pPr>
        <w:spacing w:line="360" w:lineRule="exact"/>
        <w:ind w:firstLine="420" w:firstLineChars="200"/>
        <w:jc w:val="left"/>
        <w:rPr>
          <w:rFonts w:ascii="宋体" w:hAnsi="宋体"/>
          <w:szCs w:val="21"/>
        </w:rPr>
      </w:pPr>
      <w:r>
        <w:rPr>
          <w:rFonts w:hint="eastAsia" w:ascii="宋体" w:hAnsi="宋体"/>
          <w:szCs w:val="21"/>
        </w:rPr>
        <w:t>（2）投标文件的大写金额和小写金额不一致的，以大写金额为准；</w:t>
      </w:r>
    </w:p>
    <w:p>
      <w:pPr>
        <w:spacing w:line="360" w:lineRule="exact"/>
        <w:ind w:firstLine="420" w:firstLineChars="200"/>
        <w:jc w:val="left"/>
        <w:rPr>
          <w:rFonts w:ascii="宋体" w:hAnsi="宋体"/>
          <w:szCs w:val="21"/>
        </w:rPr>
      </w:pPr>
      <w:r>
        <w:rPr>
          <w:rFonts w:hint="eastAsia" w:ascii="宋体" w:hAnsi="宋体"/>
          <w:szCs w:val="21"/>
        </w:rPr>
        <w:t>（3）单价金额小数点有明显错位的，应以总价为准，并修改单价；</w:t>
      </w:r>
    </w:p>
    <w:p>
      <w:pPr>
        <w:spacing w:line="360" w:lineRule="exact"/>
        <w:ind w:firstLine="420" w:firstLineChars="200"/>
        <w:jc w:val="left"/>
        <w:rPr>
          <w:rFonts w:ascii="宋体" w:hAnsi="宋体"/>
          <w:szCs w:val="21"/>
        </w:rPr>
      </w:pPr>
      <w:r>
        <w:rPr>
          <w:rFonts w:hint="eastAsia" w:ascii="宋体" w:hAnsi="宋体"/>
          <w:szCs w:val="21"/>
        </w:rPr>
        <w:t>（4）总价金额与按单价汇总金额不一致的，以单价金额计算结果为准。</w:t>
      </w:r>
    </w:p>
    <w:p>
      <w:pPr>
        <w:spacing w:line="360" w:lineRule="exact"/>
        <w:ind w:firstLine="420" w:firstLineChars="200"/>
        <w:jc w:val="left"/>
        <w:rPr>
          <w:rFonts w:hint="eastAsia" w:ascii="宋体" w:hAnsi="宋体"/>
        </w:rPr>
      </w:pPr>
      <w:r>
        <w:rPr>
          <w:rFonts w:hint="eastAsia" w:ascii="宋体" w:hAnsi="宋体"/>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投标人不接受按以上规则确定的评标价和中标价，则其投标将被拒绝。</w:t>
      </w:r>
    </w:p>
    <w:p>
      <w:pPr>
        <w:spacing w:line="360" w:lineRule="exact"/>
        <w:ind w:firstLine="420" w:firstLineChars="200"/>
        <w:jc w:val="left"/>
        <w:rPr>
          <w:rFonts w:ascii="宋体" w:hAnsi="宋体"/>
          <w:szCs w:val="21"/>
        </w:rPr>
      </w:pPr>
      <w:r>
        <w:rPr>
          <w:rFonts w:hint="eastAsia" w:ascii="宋体" w:hAnsi="宋体"/>
          <w:szCs w:val="21"/>
        </w:rPr>
        <w:t>2.2.3评标委员会根据“附表5价格评分表”的规定，计算投标人报价得分（小数点后保留二位数）。</w:t>
      </w:r>
    </w:p>
    <w:p>
      <w:pPr>
        <w:spacing w:line="360" w:lineRule="exact"/>
        <w:ind w:firstLine="420" w:firstLineChars="200"/>
        <w:jc w:val="left"/>
        <w:rPr>
          <w:rFonts w:ascii="宋体" w:hAnsi="宋体"/>
          <w:szCs w:val="21"/>
        </w:rPr>
      </w:pPr>
      <w:r>
        <w:rPr>
          <w:rFonts w:hint="eastAsia" w:ascii="宋体" w:hAnsi="宋体"/>
          <w:szCs w:val="21"/>
        </w:rPr>
        <w:t>2.2.4参加投标响应的投标人中，有两家或两家以上投标人的单位负责人为同一人或者存在直接控股、管理关系的，应当按一个投标人认定。评审时，取其中通过资格审查、符合性审查后的报价最低一家为有效投标人；当报价相同时，则以技术标最优一家为有效投标人；均相同时，由评标委员会集体决定，并以书面记录评标委员会的决定理由。</w:t>
      </w:r>
    </w:p>
    <w:p>
      <w:pPr>
        <w:spacing w:line="360" w:lineRule="exact"/>
        <w:ind w:firstLine="420" w:firstLineChars="200"/>
        <w:jc w:val="left"/>
        <w:rPr>
          <w:rFonts w:ascii="宋体" w:hAnsi="宋体"/>
          <w:szCs w:val="21"/>
        </w:rPr>
      </w:pPr>
      <w:r>
        <w:rPr>
          <w:rFonts w:hint="eastAsia" w:ascii="宋体" w:hAnsi="宋体"/>
          <w:szCs w:val="21"/>
        </w:rPr>
        <w:t>2.2.5综合评估：投标人的综合得分为商务和技术得分与报价得分之和。</w:t>
      </w:r>
    </w:p>
    <w:p>
      <w:pPr>
        <w:spacing w:line="360" w:lineRule="exact"/>
        <w:ind w:firstLine="420" w:firstLineChars="200"/>
        <w:jc w:val="left"/>
        <w:rPr>
          <w:rFonts w:ascii="宋体" w:hAnsi="宋体"/>
          <w:szCs w:val="21"/>
        </w:rPr>
      </w:pPr>
      <w:r>
        <w:rPr>
          <w:rFonts w:hint="eastAsia" w:ascii="宋体" w:hAnsi="宋体"/>
          <w:szCs w:val="21"/>
        </w:rPr>
        <w:t>2.2.6推荐中标候选人：按综合得分由高到低的排序，推荐中标候选人。若投标人的综合得分相等，则投标报价低者列前；若投标报价也相同时，采取随机抽签的方式确定排序。</w:t>
      </w:r>
    </w:p>
    <w:p>
      <w:pPr>
        <w:spacing w:line="360" w:lineRule="exact"/>
        <w:ind w:firstLine="422" w:firstLineChars="200"/>
        <w:jc w:val="left"/>
        <w:rPr>
          <w:rFonts w:ascii="宋体" w:hAnsi="宋体"/>
          <w:b/>
          <w:szCs w:val="21"/>
        </w:rPr>
      </w:pPr>
      <w:r>
        <w:rPr>
          <w:rFonts w:hint="eastAsia" w:ascii="宋体" w:hAnsi="宋体"/>
          <w:b/>
          <w:szCs w:val="21"/>
        </w:rPr>
        <w:t>2.3确定中标人</w:t>
      </w:r>
    </w:p>
    <w:p>
      <w:pPr>
        <w:spacing w:line="360" w:lineRule="exact"/>
        <w:ind w:firstLine="420" w:firstLineChars="200"/>
        <w:jc w:val="left"/>
        <w:rPr>
          <w:rFonts w:ascii="宋体" w:hAnsi="宋体"/>
          <w:szCs w:val="21"/>
        </w:rPr>
      </w:pPr>
      <w:r>
        <w:rPr>
          <w:rFonts w:hint="eastAsia" w:ascii="宋体" w:hAnsi="宋体"/>
          <w:szCs w:val="21"/>
        </w:rPr>
        <w:t>评标委员会按综合得分由高到低的排序，向招标人推荐中标候选人。代理机构应当自评审结束之日起2个工作日内将评审报告送交招标人。招标人应当自收到评审报告之日起5个工作日内在评审报告推荐的中标候选人中按顺序确定1名中标人，并在相关媒体上公示</w:t>
      </w:r>
      <w:r>
        <w:rPr>
          <w:rFonts w:ascii="宋体" w:hAnsi="宋体"/>
          <w:szCs w:val="21"/>
        </w:rPr>
        <w:t>3</w:t>
      </w:r>
      <w:r>
        <w:rPr>
          <w:rFonts w:hint="eastAsia" w:ascii="宋体" w:hAnsi="宋体"/>
          <w:szCs w:val="21"/>
        </w:rPr>
        <w:t>日。</w:t>
      </w:r>
    </w:p>
    <w:p>
      <w:pPr>
        <w:spacing w:line="360" w:lineRule="exact"/>
        <w:ind w:firstLine="420" w:firstLineChars="200"/>
        <w:jc w:val="left"/>
        <w:rPr>
          <w:rFonts w:ascii="宋体" w:hAnsi="宋体"/>
          <w:szCs w:val="21"/>
        </w:rPr>
      </w:pPr>
      <w:r>
        <w:rPr>
          <w:rFonts w:hint="eastAsia" w:ascii="宋体" w:hAnsi="宋体"/>
          <w:szCs w:val="21"/>
        </w:rPr>
        <w:t>中标人因不可抗力或者自身原因不能签订合同的，招标人可以按照评审报告推荐的下一中标候选人为中标人或重新招标。</w:t>
      </w:r>
    </w:p>
    <w:p>
      <w:pPr>
        <w:spacing w:line="360" w:lineRule="exact"/>
        <w:ind w:firstLine="422" w:firstLineChars="200"/>
        <w:jc w:val="left"/>
        <w:rPr>
          <w:rFonts w:ascii="宋体" w:hAnsi="宋体"/>
          <w:b/>
          <w:szCs w:val="21"/>
        </w:rPr>
      </w:pPr>
      <w:r>
        <w:rPr>
          <w:rFonts w:hint="eastAsia" w:ascii="宋体" w:hAnsi="宋体"/>
          <w:b/>
          <w:szCs w:val="21"/>
        </w:rPr>
        <w:t>三、投标的澄清</w:t>
      </w:r>
    </w:p>
    <w:p>
      <w:pPr>
        <w:spacing w:line="360" w:lineRule="exact"/>
        <w:ind w:firstLine="420" w:firstLineChars="200"/>
        <w:rPr>
          <w:sz w:val="20"/>
          <w:szCs w:val="18"/>
        </w:rPr>
      </w:pPr>
      <w:r>
        <w:rPr>
          <w:rFonts w:hint="eastAsia" w:ascii="宋体" w:hAnsi="宋体" w:cs="宋体"/>
          <w:szCs w:val="21"/>
          <w:lang w:bidi="ar"/>
        </w:rPr>
        <w:t>3.1对投标文件审查中发现的投标文件表达含义不明确、同类问题表述不一致或者有明显文字和计算错误的内容，评标委员会应当书面形式要求供应商作出必要的澄清、说明或者补正；</w:t>
      </w:r>
      <w:r>
        <w:rPr>
          <w:rFonts w:hint="eastAsia" w:ascii="宋体" w:hAnsi="宋体" w:cs="宋体"/>
          <w:b/>
          <w:bCs/>
          <w:szCs w:val="21"/>
          <w:lang w:bidi="ar"/>
        </w:rPr>
        <w:t>供应商代表未在开标现场的可以按规定以网上远程电子形式进行答复。</w:t>
      </w:r>
    </w:p>
    <w:p>
      <w:pPr>
        <w:spacing w:line="360" w:lineRule="exact"/>
        <w:ind w:firstLine="420" w:firstLineChars="200"/>
        <w:rPr>
          <w:rFonts w:ascii="宋体" w:hAnsi="宋体" w:cs="宋体"/>
          <w:szCs w:val="21"/>
        </w:rPr>
      </w:pPr>
      <w:r>
        <w:rPr>
          <w:rFonts w:hint="eastAsia" w:ascii="宋体" w:hAnsi="宋体" w:cs="宋体"/>
          <w:szCs w:val="21"/>
          <w:lang w:bidi="ar"/>
        </w:rPr>
        <w:t>3.2供应商的现场澄清、说明或者补正应当采用书面形式，并加盖公章，或者由法定代表人或其委托代理人的签字。供应商的澄清、说明或者补正不得超出投标文件的范围或者改变投标文件的实质性内容。</w:t>
      </w:r>
    </w:p>
    <w:p>
      <w:pPr>
        <w:spacing w:line="360" w:lineRule="exact"/>
        <w:ind w:firstLine="420" w:firstLineChars="200"/>
        <w:rPr>
          <w:rFonts w:ascii="宋体" w:hAnsi="宋体" w:cs="宋体"/>
          <w:szCs w:val="21"/>
          <w:lang w:bidi="ar"/>
        </w:rPr>
      </w:pPr>
      <w:r>
        <w:rPr>
          <w:rFonts w:hint="eastAsia" w:ascii="宋体" w:hAnsi="宋体" w:cs="宋体"/>
          <w:szCs w:val="21"/>
          <w:lang w:bidi="ar"/>
        </w:rPr>
        <w:t>3.3若供应商未响应澄清安排的通知到场或网上电子形式进行答疑和澄清，将被视作自动放弃。</w:t>
      </w:r>
    </w:p>
    <w:p>
      <w:pPr>
        <w:spacing w:line="360" w:lineRule="exact"/>
        <w:ind w:firstLine="420" w:firstLineChars="200"/>
        <w:rPr>
          <w:rFonts w:ascii="宋体" w:hAnsi="宋体" w:cs="宋体"/>
          <w:szCs w:val="21"/>
          <w:lang w:bidi="ar"/>
        </w:rPr>
      </w:pPr>
      <w:r>
        <w:rPr>
          <w:rFonts w:hint="eastAsia" w:ascii="宋体" w:hAnsi="宋体" w:cs="宋体"/>
          <w:szCs w:val="21"/>
          <w:lang w:bidi="ar"/>
        </w:rPr>
        <w:t>3.4、网上电子澄清方式</w:t>
      </w:r>
    </w:p>
    <w:p>
      <w:pPr>
        <w:spacing w:line="360" w:lineRule="exact"/>
        <w:ind w:firstLine="420" w:firstLineChars="200"/>
        <w:rPr>
          <w:rFonts w:ascii="宋体" w:hAnsi="宋体" w:cs="宋体"/>
          <w:szCs w:val="21"/>
          <w:lang w:bidi="ar"/>
        </w:rPr>
      </w:pPr>
      <w:r>
        <w:rPr>
          <w:rFonts w:hint="eastAsia" w:ascii="宋体" w:hAnsi="宋体" w:cs="宋体"/>
          <w:szCs w:val="21"/>
          <w:lang w:bidi="ar"/>
        </w:rPr>
        <w:t>3.4.1、评标委员会对投标文件存在疑问的地方，可以进行询标，供应商代表未在开标现场的可以进行远程询标，要求投标人在合理时间内（至多30分钟，以开始网上接收时间为准）发送有关证明资料电子版，以便核验。</w:t>
      </w:r>
    </w:p>
    <w:p>
      <w:pPr>
        <w:spacing w:line="360" w:lineRule="exact"/>
        <w:ind w:firstLine="420" w:firstLineChars="200"/>
        <w:rPr>
          <w:rFonts w:ascii="宋体" w:hAnsi="宋体" w:cs="宋体"/>
          <w:szCs w:val="21"/>
          <w:lang w:bidi="ar"/>
        </w:rPr>
      </w:pPr>
      <w:r>
        <w:rPr>
          <w:rFonts w:hint="eastAsia" w:ascii="宋体" w:hAnsi="宋体" w:cs="宋体"/>
          <w:szCs w:val="21"/>
          <w:lang w:bidi="ar"/>
        </w:rPr>
        <w:t>3.4.2、供应商在截止时间前，根据标项回复询标函。路径：用户中心—项目采购—询标澄清。</w:t>
      </w:r>
    </w:p>
    <w:p>
      <w:pPr>
        <w:spacing w:line="360" w:lineRule="exact"/>
        <w:ind w:firstLine="420" w:firstLineChars="200"/>
        <w:rPr>
          <w:rFonts w:ascii="宋体" w:hAnsi="宋体" w:cs="宋体"/>
          <w:szCs w:val="21"/>
          <w:lang w:bidi="ar"/>
        </w:rPr>
      </w:pPr>
      <w:r>
        <w:rPr>
          <w:rFonts w:hint="eastAsia" w:ascii="宋体" w:hAnsi="宋体" w:cs="宋体"/>
          <w:szCs w:val="21"/>
          <w:lang w:bidi="ar"/>
        </w:rPr>
        <w:t>（1）乐采云平台通过待办事项和短信提醒供应商在截止时间前完成澄清。</w:t>
      </w:r>
    </w:p>
    <w:p>
      <w:pPr>
        <w:spacing w:line="360" w:lineRule="exact"/>
        <w:ind w:firstLine="420" w:firstLineChars="200"/>
        <w:rPr>
          <w:rFonts w:ascii="宋体" w:hAnsi="宋体" w:cs="宋体"/>
          <w:szCs w:val="21"/>
          <w:lang w:bidi="ar"/>
        </w:rPr>
      </w:pPr>
      <w:r>
        <w:rPr>
          <w:rFonts w:hint="eastAsia" w:ascii="宋体" w:hAnsi="宋体" w:cs="宋体"/>
          <w:szCs w:val="21"/>
          <w:lang w:bidi="ar"/>
        </w:rPr>
        <w:t>（2）供应商在“询标澄清-待办理”标签页下选择状态为“待澄清”的项目，点击操作栏【澄清】。</w:t>
      </w:r>
    </w:p>
    <w:p>
      <w:pPr>
        <w:spacing w:line="360" w:lineRule="exact"/>
        <w:ind w:firstLine="420" w:firstLineChars="200"/>
        <w:rPr>
          <w:rFonts w:ascii="宋体" w:hAnsi="宋体" w:cs="宋体"/>
          <w:szCs w:val="21"/>
          <w:lang w:bidi="ar"/>
        </w:rPr>
      </w:pPr>
      <w:r>
        <w:rPr>
          <w:rFonts w:hint="eastAsia" w:ascii="宋体" w:hAnsi="宋体" w:cs="宋体"/>
          <w:szCs w:val="21"/>
          <w:lang w:bidi="ar"/>
        </w:rPr>
        <w:t>（3）查看询标函内容，在澄清截止时间前上传澄清文件并对澄清文件进行签章。（注：澄清文件必须以 PDF 格式上传，文件大小：50M。）</w:t>
      </w:r>
    </w:p>
    <w:p>
      <w:pPr>
        <w:spacing w:line="360" w:lineRule="exact"/>
        <w:ind w:firstLine="420" w:firstLineChars="200"/>
        <w:rPr>
          <w:rFonts w:ascii="宋体" w:hAnsi="宋体" w:cs="宋体"/>
          <w:szCs w:val="21"/>
          <w:lang w:bidi="ar"/>
        </w:rPr>
      </w:pPr>
      <w:r>
        <w:rPr>
          <w:rFonts w:hint="eastAsia" w:ascii="宋体" w:hAnsi="宋体" w:cs="宋体"/>
          <w:szCs w:val="21"/>
          <w:lang w:bidi="ar"/>
        </w:rPr>
        <w:t>（4）签章完成，文件名称处显示“已签章”，供应商可“撤回签章”修改澄清函和“查看文件”。</w:t>
      </w:r>
    </w:p>
    <w:p>
      <w:pPr>
        <w:spacing w:line="360" w:lineRule="exact"/>
        <w:ind w:firstLine="420" w:firstLineChars="200"/>
        <w:rPr>
          <w:rFonts w:ascii="宋体" w:hAnsi="宋体" w:cs="宋体"/>
          <w:szCs w:val="21"/>
          <w:lang w:bidi="ar"/>
        </w:rPr>
      </w:pPr>
      <w:r>
        <w:rPr>
          <w:rFonts w:hint="eastAsia" w:ascii="宋体" w:hAnsi="宋体" w:cs="宋体"/>
          <w:szCs w:val="21"/>
          <w:lang w:bidi="ar"/>
        </w:rPr>
        <w:t>（5）确认澄清文件内容后，点击右上角【提交】；（注：供应商未对澄清文件签章，提交时，弹框提醒“澄清文件未签章，请进行签章操作”，如遇 CA 突发情况无法签章，供应商可点击【放弃签章并提交】提交澄清文件；反之则签章后再提交。）</w:t>
      </w:r>
    </w:p>
    <w:p>
      <w:pPr>
        <w:spacing w:line="360" w:lineRule="exact"/>
        <w:ind w:firstLine="420" w:firstLineChars="200"/>
        <w:jc w:val="left"/>
        <w:rPr>
          <w:rFonts w:ascii="宋体" w:hAnsi="宋体"/>
          <w:szCs w:val="21"/>
        </w:rPr>
      </w:pPr>
      <w:r>
        <w:rPr>
          <w:rFonts w:hint="eastAsia" w:ascii="宋体" w:hAnsi="宋体" w:cs="宋体"/>
          <w:szCs w:val="21"/>
          <w:lang w:bidi="ar"/>
        </w:rPr>
        <w:t>完成状态：供应商澄清文件提交成功后，在“询标澄清-全部”标签页下显示状态为“已澄清”。</w:t>
      </w:r>
    </w:p>
    <w:p>
      <w:pPr>
        <w:spacing w:line="360" w:lineRule="exact"/>
        <w:ind w:firstLine="422" w:firstLineChars="200"/>
        <w:jc w:val="left"/>
        <w:rPr>
          <w:rFonts w:ascii="宋体" w:hAnsi="宋体"/>
          <w:szCs w:val="21"/>
        </w:rPr>
      </w:pPr>
      <w:r>
        <w:rPr>
          <w:rFonts w:hint="eastAsia" w:ascii="宋体" w:hAnsi="宋体"/>
          <w:b/>
          <w:szCs w:val="21"/>
        </w:rPr>
        <w:t>四、特别声明：价格是评标的重要因素之一，但最低价不是中标的唯一依据。</w:t>
      </w:r>
    </w:p>
    <w:p>
      <w:pPr>
        <w:spacing w:line="360" w:lineRule="exact"/>
        <w:ind w:firstLine="422" w:firstLineChars="200"/>
        <w:jc w:val="left"/>
        <w:rPr>
          <w:rFonts w:ascii="宋体" w:hAnsi="宋体"/>
          <w:b/>
          <w:szCs w:val="21"/>
        </w:rPr>
      </w:pPr>
      <w:r>
        <w:rPr>
          <w:rFonts w:hint="eastAsia" w:ascii="宋体" w:hAnsi="宋体"/>
          <w:b/>
          <w:szCs w:val="21"/>
        </w:rPr>
        <w:t>五、重新招标</w:t>
      </w:r>
    </w:p>
    <w:p>
      <w:pPr>
        <w:spacing w:line="360" w:lineRule="exact"/>
        <w:ind w:firstLine="420" w:firstLineChars="200"/>
        <w:rPr>
          <w:rFonts w:ascii="宋体" w:hAnsi="宋体"/>
          <w:szCs w:val="21"/>
        </w:rPr>
      </w:pPr>
      <w:r>
        <w:rPr>
          <w:rFonts w:hint="eastAsia" w:ascii="宋体" w:hAnsi="宋体"/>
          <w:szCs w:val="21"/>
        </w:rPr>
        <w:t>有下列情形之一的，招标人将重新招标：</w:t>
      </w:r>
    </w:p>
    <w:p>
      <w:pPr>
        <w:spacing w:line="360" w:lineRule="exact"/>
        <w:ind w:firstLine="420" w:firstLineChars="200"/>
        <w:rPr>
          <w:rFonts w:ascii="宋体" w:hAnsi="宋体"/>
          <w:szCs w:val="21"/>
        </w:rPr>
      </w:pPr>
      <w:r>
        <w:rPr>
          <w:rFonts w:hint="eastAsia" w:ascii="宋体" w:hAnsi="宋体"/>
          <w:szCs w:val="21"/>
        </w:rPr>
        <w:t>5.1投标截止时间止，投标人少于3个的；</w:t>
      </w:r>
    </w:p>
    <w:p>
      <w:pPr>
        <w:spacing w:line="360" w:lineRule="exact"/>
        <w:ind w:firstLine="420" w:firstLineChars="200"/>
        <w:rPr>
          <w:rFonts w:ascii="宋体" w:hAnsi="宋体"/>
          <w:szCs w:val="21"/>
        </w:rPr>
      </w:pPr>
      <w:r>
        <w:rPr>
          <w:rFonts w:hint="eastAsia" w:ascii="宋体" w:hAnsi="宋体"/>
          <w:szCs w:val="21"/>
        </w:rPr>
        <w:t>5.2评标委员会评标过程中，有效投标人少于3个的；</w:t>
      </w:r>
    </w:p>
    <w:p>
      <w:pPr>
        <w:spacing w:line="360" w:lineRule="exact"/>
        <w:ind w:firstLine="420" w:firstLineChars="200"/>
        <w:jc w:val="left"/>
        <w:rPr>
          <w:rFonts w:ascii="宋体" w:hAnsi="宋体"/>
          <w:szCs w:val="21"/>
        </w:rPr>
      </w:pPr>
      <w:r>
        <w:rPr>
          <w:rFonts w:hint="eastAsia" w:ascii="宋体" w:hAnsi="宋体"/>
          <w:szCs w:val="21"/>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pPr>
        <w:spacing w:line="340" w:lineRule="exact"/>
        <w:jc w:val="left"/>
        <w:rPr>
          <w:rFonts w:ascii="宋体" w:hAnsi="宋体"/>
          <w:szCs w:val="21"/>
        </w:rPr>
      </w:pPr>
      <w:r>
        <w:rPr>
          <w:rFonts w:hint="eastAsia" w:ascii="宋体" w:hAnsi="宋体"/>
          <w:szCs w:val="21"/>
        </w:rPr>
        <w:t>附表</w:t>
      </w:r>
      <w:r>
        <w:rPr>
          <w:rFonts w:ascii="宋体" w:hAnsi="宋体"/>
          <w:szCs w:val="21"/>
        </w:rPr>
        <w:t>1</w:t>
      </w:r>
      <w:r>
        <w:rPr>
          <w:rFonts w:hint="eastAsia" w:ascii="宋体" w:hAnsi="宋体"/>
          <w:szCs w:val="21"/>
        </w:rPr>
        <w:t>：</w:t>
      </w:r>
    </w:p>
    <w:p>
      <w:pPr>
        <w:spacing w:line="340" w:lineRule="exact"/>
        <w:jc w:val="center"/>
        <w:rPr>
          <w:rFonts w:ascii="宋体" w:hAnsi="宋体"/>
          <w:sz w:val="28"/>
          <w:szCs w:val="28"/>
        </w:rPr>
      </w:pPr>
      <w:r>
        <w:rPr>
          <w:rFonts w:hint="eastAsia" w:ascii="宋体" w:hAnsi="宋体"/>
          <w:b/>
          <w:sz w:val="28"/>
          <w:szCs w:val="28"/>
        </w:rPr>
        <w:t>资格性审查表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4268"/>
        <w:gridCol w:w="4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pPr>
              <w:jc w:val="center"/>
              <w:rPr>
                <w:rFonts w:ascii="宋体" w:hAnsi="宋体"/>
                <w:b/>
                <w:szCs w:val="21"/>
              </w:rPr>
            </w:pPr>
            <w:r>
              <w:rPr>
                <w:rFonts w:hint="eastAsia" w:ascii="宋体" w:hAnsi="宋体"/>
                <w:b/>
                <w:szCs w:val="21"/>
              </w:rPr>
              <w:t>序号</w:t>
            </w:r>
          </w:p>
        </w:tc>
        <w:tc>
          <w:tcPr>
            <w:tcW w:w="4268" w:type="dxa"/>
            <w:vAlign w:val="center"/>
          </w:tcPr>
          <w:p>
            <w:pPr>
              <w:jc w:val="center"/>
              <w:rPr>
                <w:rFonts w:ascii="宋体" w:hAnsi="宋体"/>
                <w:b/>
                <w:szCs w:val="21"/>
              </w:rPr>
            </w:pPr>
            <w:r>
              <w:rPr>
                <w:rFonts w:hint="eastAsia" w:ascii="宋体" w:hAnsi="宋体"/>
                <w:b/>
                <w:szCs w:val="21"/>
              </w:rPr>
              <w:t>要求</w:t>
            </w:r>
          </w:p>
        </w:tc>
        <w:tc>
          <w:tcPr>
            <w:tcW w:w="4632" w:type="dxa"/>
            <w:vAlign w:val="center"/>
          </w:tcPr>
          <w:p>
            <w:pPr>
              <w:jc w:val="center"/>
              <w:rPr>
                <w:rFonts w:ascii="宋体" w:hAnsi="宋体"/>
                <w:b/>
                <w:szCs w:val="21"/>
              </w:rPr>
            </w:pPr>
            <w:r>
              <w:rPr>
                <w:rFonts w:hint="eastAsia" w:ascii="宋体" w:hAnsi="宋体"/>
                <w:b/>
                <w:szCs w:val="21"/>
              </w:rPr>
              <w:t>审查项目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50" w:type="dxa"/>
            <w:vAlign w:val="center"/>
          </w:tcPr>
          <w:p>
            <w:pPr>
              <w:jc w:val="center"/>
              <w:rPr>
                <w:rFonts w:ascii="宋体" w:hAnsi="宋体"/>
                <w:szCs w:val="21"/>
              </w:rPr>
            </w:pPr>
            <w:r>
              <w:rPr>
                <w:rFonts w:hint="eastAsia" w:ascii="宋体" w:hAnsi="宋体"/>
                <w:szCs w:val="21"/>
              </w:rPr>
              <w:t>1</w:t>
            </w:r>
          </w:p>
        </w:tc>
        <w:tc>
          <w:tcPr>
            <w:tcW w:w="4268" w:type="dxa"/>
            <w:vAlign w:val="center"/>
          </w:tcPr>
          <w:p>
            <w:pPr>
              <w:rPr>
                <w:rFonts w:ascii="宋体" w:hAnsi="宋体"/>
                <w:szCs w:val="21"/>
              </w:rPr>
            </w:pPr>
            <w:r>
              <w:rPr>
                <w:rFonts w:hint="eastAsia" w:ascii="宋体" w:hAnsi="宋体"/>
                <w:szCs w:val="21"/>
              </w:rPr>
              <w:t>符合《中华人民共和国招标投标法》规定的投标人资格条件。</w:t>
            </w:r>
          </w:p>
        </w:tc>
        <w:tc>
          <w:tcPr>
            <w:tcW w:w="4632" w:type="dxa"/>
            <w:vAlign w:val="center"/>
          </w:tcPr>
          <w:p>
            <w:pPr>
              <w:rPr>
                <w:rFonts w:ascii="宋体" w:hAnsi="宋体"/>
                <w:szCs w:val="21"/>
              </w:rPr>
            </w:pPr>
            <w:r>
              <w:rPr>
                <w:rFonts w:hint="eastAsia" w:ascii="宋体" w:hAnsi="宋体"/>
                <w:szCs w:val="21"/>
              </w:rPr>
              <w:t>（1）关于资格的声明函；</w:t>
            </w:r>
          </w:p>
          <w:p>
            <w:pPr>
              <w:rPr>
                <w:rFonts w:ascii="宋体" w:hAnsi="宋体"/>
                <w:szCs w:val="21"/>
              </w:rPr>
            </w:pPr>
            <w:r>
              <w:rPr>
                <w:rFonts w:hint="eastAsia" w:ascii="宋体" w:hAnsi="宋体"/>
                <w:szCs w:val="21"/>
              </w:rPr>
              <w:t>（2）有效的企业法人营业执照（或事业法人登记证）或其他组织（个体工商户）的营业执照或者民办非企业单位登记证书扫描件加盖投标人公章；；</w:t>
            </w:r>
          </w:p>
          <w:p>
            <w:pPr>
              <w:rPr>
                <w:rFonts w:ascii="宋体" w:hAnsi="宋体"/>
                <w:szCs w:val="21"/>
              </w:rPr>
            </w:pPr>
            <w:r>
              <w:rPr>
                <w:rFonts w:hint="eastAsia" w:ascii="宋体" w:hAnsi="宋体"/>
                <w:szCs w:val="21"/>
              </w:rPr>
              <w:t>（3）诚信投标承诺书；</w:t>
            </w:r>
          </w:p>
          <w:p>
            <w:pPr>
              <w:rPr>
                <w:rFonts w:ascii="宋体" w:hAnsi="宋体" w:cs="宋体"/>
                <w:szCs w:val="22"/>
              </w:rPr>
            </w:pPr>
            <w:r>
              <w:rPr>
                <w:rFonts w:hint="eastAsia" w:ascii="宋体" w:hAnsi="宋体"/>
                <w:szCs w:val="21"/>
              </w:rPr>
              <w:t>（4）投标人一般情况；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650" w:type="dxa"/>
            <w:vAlign w:val="center"/>
          </w:tcPr>
          <w:p>
            <w:pPr>
              <w:jc w:val="center"/>
              <w:rPr>
                <w:rFonts w:ascii="宋体" w:hAnsi="宋体"/>
                <w:szCs w:val="21"/>
              </w:rPr>
            </w:pPr>
            <w:r>
              <w:rPr>
                <w:rFonts w:hint="eastAsia" w:ascii="宋体" w:hAnsi="宋体"/>
                <w:szCs w:val="21"/>
              </w:rPr>
              <w:t>2</w:t>
            </w:r>
          </w:p>
        </w:tc>
        <w:tc>
          <w:tcPr>
            <w:tcW w:w="4268" w:type="dxa"/>
            <w:vAlign w:val="center"/>
          </w:tcPr>
          <w:p>
            <w:pPr>
              <w:adjustRightInd w:val="0"/>
              <w:snapToGrid w:val="0"/>
              <w:rPr>
                <w:rFonts w:ascii="宋体" w:hAnsi="宋体"/>
                <w:b/>
                <w:szCs w:val="21"/>
              </w:rPr>
            </w:pPr>
            <w:r>
              <w:rPr>
                <w:rFonts w:hint="eastAsia" w:ascii="宋体" w:hAnsi="宋体"/>
                <w:b/>
                <w:szCs w:val="21"/>
              </w:rPr>
              <w:t>未被信用中国网站（</w:t>
            </w:r>
            <w:r>
              <w:fldChar w:fldCharType="begin"/>
            </w:r>
            <w:r>
              <w:instrText xml:space="preserve"> HYPERLINK "http://www.creditchina.gov.cn/" </w:instrText>
            </w:r>
            <w:r>
              <w:fldChar w:fldCharType="separate"/>
            </w:r>
            <w:r>
              <w:rPr>
                <w:rFonts w:hint="eastAsia" w:ascii="宋体" w:hAnsi="宋体"/>
                <w:b/>
                <w:szCs w:val="21"/>
              </w:rPr>
              <w:t>www.creditchina.gov.cn</w:t>
            </w:r>
            <w:r>
              <w:rPr>
                <w:rFonts w:hint="eastAsia" w:ascii="宋体" w:hAnsi="宋体"/>
                <w:b/>
                <w:szCs w:val="21"/>
              </w:rPr>
              <w:fldChar w:fldCharType="end"/>
            </w:r>
            <w:r>
              <w:rPr>
                <w:rFonts w:hint="eastAsia" w:ascii="宋体" w:hAnsi="宋体"/>
                <w:b/>
                <w:szCs w:val="21"/>
              </w:rPr>
              <w:t>）列入失信被执行人、重大税收违法案件当事人名单，未被中国政府采购网（www.ccgp.gov.cn）列入政府采购严重违法失信行为记录名单。</w:t>
            </w:r>
          </w:p>
        </w:tc>
        <w:tc>
          <w:tcPr>
            <w:tcW w:w="4632" w:type="dxa"/>
            <w:vAlign w:val="center"/>
          </w:tcPr>
          <w:p>
            <w:pPr>
              <w:adjustRightInd w:val="0"/>
              <w:snapToGrid w:val="0"/>
              <w:rPr>
                <w:rFonts w:ascii="宋体" w:hAnsi="宋体"/>
                <w:b/>
                <w:szCs w:val="21"/>
              </w:rPr>
            </w:pPr>
            <w:r>
              <w:rPr>
                <w:rFonts w:hint="eastAsia" w:ascii="宋体" w:hAnsi="宋体"/>
                <w:b/>
                <w:szCs w:val="21"/>
              </w:rPr>
              <w:t>招标代理机构在资格审查过程中，从“信用中国”网站（www.creditchina.gov.cn）和中国政府采购网（www.ccgp.gov.cn）查询到的，关于投标人“失信被执行人、重大税收违法案件当事人和政府采购严重违法失信行为记录”的信息。</w:t>
            </w:r>
          </w:p>
          <w:p>
            <w:pPr>
              <w:adjustRightInd w:val="0"/>
              <w:snapToGrid w:val="0"/>
              <w:rPr>
                <w:rFonts w:ascii="宋体" w:hAnsi="宋体" w:cs="仿宋_GB2312"/>
                <w:b/>
                <w:bCs/>
                <w:szCs w:val="21"/>
              </w:rPr>
            </w:pPr>
            <w:r>
              <w:rPr>
                <w:rFonts w:hint="eastAsia" w:ascii="宋体" w:hAnsi="宋体"/>
                <w:b/>
                <w:szCs w:val="21"/>
              </w:rPr>
              <w:t>此项由招标代理机构在资格审查时提供，投标文件中无须提供。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0" w:type="dxa"/>
            <w:vAlign w:val="center"/>
          </w:tcPr>
          <w:p>
            <w:pPr>
              <w:jc w:val="center"/>
              <w:rPr>
                <w:rFonts w:ascii="宋体" w:hAnsi="宋体"/>
                <w:szCs w:val="21"/>
              </w:rPr>
            </w:pPr>
            <w:r>
              <w:rPr>
                <w:rFonts w:hint="eastAsia" w:ascii="宋体" w:hAnsi="宋体"/>
                <w:szCs w:val="21"/>
              </w:rPr>
              <w:t>3</w:t>
            </w:r>
          </w:p>
        </w:tc>
        <w:tc>
          <w:tcPr>
            <w:tcW w:w="4268" w:type="dxa"/>
            <w:vAlign w:val="center"/>
          </w:tcPr>
          <w:p>
            <w:pPr>
              <w:adjustRightInd w:val="0"/>
              <w:snapToGrid w:val="0"/>
              <w:rPr>
                <w:rFonts w:ascii="宋体" w:hAnsi="宋体"/>
                <w:b/>
                <w:szCs w:val="21"/>
              </w:rPr>
            </w:pPr>
            <w:r>
              <w:rPr>
                <w:rFonts w:hint="eastAsia" w:ascii="宋体" w:hAnsi="宋体"/>
                <w:b/>
                <w:szCs w:val="21"/>
              </w:rPr>
              <w:t>资质</w:t>
            </w:r>
          </w:p>
        </w:tc>
        <w:tc>
          <w:tcPr>
            <w:tcW w:w="4632" w:type="dxa"/>
            <w:vAlign w:val="center"/>
          </w:tcPr>
          <w:p>
            <w:pPr>
              <w:adjustRightInd w:val="0"/>
              <w:snapToGrid w:val="0"/>
              <w:rPr>
                <w:rFonts w:ascii="宋体" w:hAnsi="宋体"/>
                <w:b/>
                <w:szCs w:val="21"/>
              </w:rPr>
            </w:pPr>
            <w:r>
              <w:rPr>
                <w:rFonts w:hint="eastAsia" w:ascii="宋体" w:hAnsi="宋体" w:cs="宋体"/>
                <w:szCs w:val="21"/>
              </w:rPr>
              <w:t>具有有效</w:t>
            </w:r>
            <w:r>
              <w:rPr>
                <w:rFonts w:ascii="宋体" w:hAnsi="宋体" w:cs="宋体"/>
                <w:szCs w:val="21"/>
              </w:rPr>
              <w:t>的</w:t>
            </w:r>
            <w:r>
              <w:rPr>
                <w:rFonts w:hint="eastAsia" w:ascii="宋体" w:hAnsi="宋体" w:cs="宋体"/>
                <w:szCs w:val="21"/>
              </w:rPr>
              <w:t xml:space="preserve">公安机关核发的保安服务许可证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pPr>
              <w:jc w:val="center"/>
              <w:rPr>
                <w:rFonts w:ascii="宋体" w:hAnsi="宋体"/>
                <w:szCs w:val="21"/>
              </w:rPr>
            </w:pPr>
            <w:r>
              <w:rPr>
                <w:rFonts w:ascii="宋体" w:hAnsi="宋体"/>
                <w:szCs w:val="21"/>
              </w:rPr>
              <w:t>4</w:t>
            </w:r>
          </w:p>
        </w:tc>
        <w:tc>
          <w:tcPr>
            <w:tcW w:w="4268" w:type="dxa"/>
            <w:vAlign w:val="center"/>
          </w:tcPr>
          <w:p>
            <w:pPr>
              <w:rPr>
                <w:rFonts w:ascii="宋体" w:hAnsi="宋体"/>
                <w:szCs w:val="21"/>
              </w:rPr>
            </w:pPr>
            <w:r>
              <w:rPr>
                <w:rFonts w:hint="eastAsia" w:ascii="宋体" w:hAnsi="宋体"/>
                <w:szCs w:val="21"/>
              </w:rPr>
              <w:t>本项目不接受联合体投标。</w:t>
            </w:r>
          </w:p>
        </w:tc>
        <w:tc>
          <w:tcPr>
            <w:tcW w:w="4632" w:type="dxa"/>
            <w:vAlign w:val="center"/>
          </w:tcPr>
          <w:p>
            <w:pPr>
              <w:rPr>
                <w:rFonts w:ascii="宋体" w:hAnsi="宋体"/>
                <w:szCs w:val="21"/>
              </w:rPr>
            </w:pPr>
            <w:r>
              <w:rPr>
                <w:rFonts w:hint="eastAsia" w:ascii="宋体" w:hAnsi="宋体"/>
                <w:szCs w:val="21"/>
              </w:rPr>
              <w:t>投标人是否为联合体</w:t>
            </w:r>
          </w:p>
        </w:tc>
      </w:tr>
    </w:tbl>
    <w:p>
      <w:pPr>
        <w:spacing w:line="400" w:lineRule="exact"/>
        <w:rPr>
          <w:rFonts w:ascii="宋体" w:hAnsi="宋体"/>
          <w:b/>
          <w:szCs w:val="22"/>
        </w:rPr>
      </w:pPr>
      <w:r>
        <w:rPr>
          <w:rFonts w:hint="eastAsia" w:ascii="宋体" w:hAnsi="宋体"/>
          <w:b/>
          <w:szCs w:val="22"/>
        </w:rPr>
        <w:t>注：</w:t>
      </w:r>
      <w:r>
        <w:rPr>
          <w:rFonts w:ascii="宋体" w:hAnsi="宋体"/>
          <w:b/>
        </w:rPr>
        <w:t>1</w:t>
      </w:r>
      <w:r>
        <w:rPr>
          <w:rFonts w:hint="eastAsia" w:ascii="宋体" w:hAnsi="宋体"/>
          <w:b/>
        </w:rPr>
        <w:t>、上述资格证明文件未按招标文件要求附入投标文件中的，资格性审查不合格。</w:t>
      </w:r>
    </w:p>
    <w:p>
      <w:pPr>
        <w:adjustRightInd w:val="0"/>
        <w:snapToGrid w:val="0"/>
        <w:spacing w:line="340" w:lineRule="exact"/>
        <w:ind w:firstLine="422" w:firstLineChars="200"/>
        <w:jc w:val="left"/>
        <w:rPr>
          <w:rFonts w:ascii="宋体" w:hAnsi="宋体" w:cs="仿宋_GB2312"/>
          <w:b/>
          <w:szCs w:val="21"/>
        </w:rPr>
      </w:pPr>
      <w:r>
        <w:rPr>
          <w:rFonts w:hint="eastAsia" w:ascii="宋体" w:hAnsi="宋体"/>
          <w:b/>
          <w:szCs w:val="22"/>
        </w:rPr>
        <w:t>2、上述审查项目中，任意一项不符合的，资格性审查不合格。</w:t>
      </w:r>
    </w:p>
    <w:p>
      <w:pPr>
        <w:pageBreakBefore/>
        <w:spacing w:line="340" w:lineRule="exact"/>
        <w:jc w:val="left"/>
        <w:rPr>
          <w:rFonts w:ascii="宋体" w:hAnsi="宋体"/>
          <w:szCs w:val="21"/>
        </w:rPr>
      </w:pPr>
      <w:r>
        <w:rPr>
          <w:rFonts w:hint="eastAsia" w:ascii="宋体" w:hAnsi="宋体"/>
          <w:szCs w:val="21"/>
        </w:rPr>
        <w:t>附表2：</w:t>
      </w:r>
    </w:p>
    <w:p>
      <w:pPr>
        <w:spacing w:line="340" w:lineRule="exact"/>
        <w:jc w:val="center"/>
        <w:rPr>
          <w:rFonts w:ascii="宋体" w:hAnsi="宋体"/>
          <w:b/>
          <w:sz w:val="28"/>
          <w:szCs w:val="28"/>
        </w:rPr>
      </w:pPr>
      <w:r>
        <w:rPr>
          <w:rFonts w:hint="eastAsia" w:ascii="宋体" w:hAnsi="宋体"/>
          <w:b/>
          <w:sz w:val="28"/>
          <w:szCs w:val="28"/>
        </w:rPr>
        <w:t>符合性审查表</w:t>
      </w:r>
    </w:p>
    <w:tbl>
      <w:tblPr>
        <w:tblStyle w:val="47"/>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5461"/>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序号</w:t>
            </w:r>
          </w:p>
        </w:tc>
        <w:tc>
          <w:tcPr>
            <w:tcW w:w="54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要求说明</w:t>
            </w:r>
          </w:p>
        </w:tc>
        <w:tc>
          <w:tcPr>
            <w:tcW w:w="42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546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投标有效期：符合第二章“投标须知”第七、1条的要求。</w:t>
            </w:r>
          </w:p>
        </w:tc>
        <w:tc>
          <w:tcPr>
            <w:tcW w:w="422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提供“投标书”</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2</w:t>
            </w:r>
          </w:p>
        </w:tc>
        <w:tc>
          <w:tcPr>
            <w:tcW w:w="546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szCs w:val="21"/>
              </w:rPr>
              <w:t>投标保证金</w:t>
            </w:r>
          </w:p>
        </w:tc>
        <w:tc>
          <w:tcPr>
            <w:tcW w:w="422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szCs w:val="21"/>
              </w:rPr>
              <w:t>符合“第二章投标须知”第六条的要求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546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法定代表人身份证明、法定代表人授权书。</w:t>
            </w:r>
          </w:p>
        </w:tc>
        <w:tc>
          <w:tcPr>
            <w:tcW w:w="422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（1）投标文件由法定代表人签字的，提供“法定代表人身份证明”</w:t>
            </w:r>
            <w:r>
              <w:rPr>
                <w:rFonts w:hint="eastAsia" w:ascii="宋体" w:hAnsi="宋体" w:cs="宋体"/>
                <w:szCs w:val="21"/>
              </w:rPr>
              <w:t>。</w:t>
            </w:r>
          </w:p>
          <w:p>
            <w:pPr>
              <w:rPr>
                <w:rFonts w:ascii="宋体" w:hAnsi="宋体"/>
                <w:szCs w:val="21"/>
              </w:rPr>
            </w:pPr>
            <w:r>
              <w:rPr>
                <w:rFonts w:hint="eastAsia" w:ascii="宋体" w:hAnsi="宋体"/>
                <w:szCs w:val="21"/>
              </w:rPr>
              <w:t>（2）投标文件由授权代表签字的，提供“法定代表人身份证明”和“法定代表人授权书”。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546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按招标文件要求签署、盖章。</w:t>
            </w:r>
          </w:p>
        </w:tc>
        <w:tc>
          <w:tcPr>
            <w:tcW w:w="422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投标文件的签署盖章符合要求。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546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对同个标项不允许提供两个投标方案。</w:t>
            </w:r>
          </w:p>
        </w:tc>
        <w:tc>
          <w:tcPr>
            <w:tcW w:w="422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546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投标人不得在投标活动中提供任何虚假材料或从事其他违法活动的。</w:t>
            </w:r>
          </w:p>
        </w:tc>
        <w:tc>
          <w:tcPr>
            <w:tcW w:w="422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54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r>
              <w:rPr>
                <w:rFonts w:hint="eastAsia"/>
              </w:rPr>
              <w:t>评标委员会经过审查，有下列情形之一的，视为投标人</w:t>
            </w:r>
            <w:r>
              <w:rPr>
                <w:rFonts w:hint="eastAsia" w:ascii="宋体" w:hAnsi="宋体"/>
              </w:rPr>
              <w:t>串通投标，投标无效：</w:t>
            </w:r>
          </w:p>
          <w:p>
            <w:pPr>
              <w:widowControl/>
              <w:jc w:val="left"/>
              <w:rPr>
                <w:rFonts w:ascii="宋体" w:hAnsi="宋体"/>
              </w:rPr>
            </w:pPr>
            <w:r>
              <w:rPr>
                <w:rFonts w:hint="eastAsia" w:ascii="宋体" w:hAnsi="宋体"/>
              </w:rPr>
              <w:t>（1）不同投标人的投标文件由同一单位或者个人编制；</w:t>
            </w:r>
          </w:p>
          <w:p>
            <w:pPr>
              <w:widowControl/>
              <w:jc w:val="left"/>
              <w:rPr>
                <w:rFonts w:ascii="宋体" w:hAnsi="宋体"/>
              </w:rPr>
            </w:pPr>
            <w:r>
              <w:rPr>
                <w:rFonts w:hint="eastAsia" w:ascii="宋体" w:hAnsi="宋体"/>
              </w:rPr>
              <w:t>（2）不同投标人委托同一单位或者个人办理投标事宜；</w:t>
            </w:r>
          </w:p>
          <w:p>
            <w:pPr>
              <w:widowControl/>
              <w:jc w:val="left"/>
              <w:rPr>
                <w:rFonts w:ascii="宋体" w:hAnsi="宋体"/>
              </w:rPr>
            </w:pPr>
            <w:r>
              <w:rPr>
                <w:rFonts w:hint="eastAsia" w:ascii="宋体" w:hAnsi="宋体"/>
              </w:rPr>
              <w:t>（3）不同投标人的投标文件载明的项目管理成员或者联系人员为同一人；</w:t>
            </w:r>
          </w:p>
          <w:p>
            <w:pPr>
              <w:widowControl/>
              <w:jc w:val="left"/>
              <w:rPr>
                <w:rFonts w:ascii="宋体" w:hAnsi="宋体"/>
              </w:rPr>
            </w:pPr>
            <w:r>
              <w:rPr>
                <w:rFonts w:hint="eastAsia" w:ascii="宋体" w:hAnsi="宋体"/>
              </w:rPr>
              <w:t>（4）不同投标人的投标文件异常一致或者投标报价呈规律性差异；</w:t>
            </w:r>
          </w:p>
          <w:p>
            <w:pPr>
              <w:widowControl/>
              <w:jc w:val="left"/>
              <w:rPr>
                <w:rFonts w:ascii="宋体" w:hAnsi="宋体"/>
              </w:rPr>
            </w:pPr>
            <w:r>
              <w:rPr>
                <w:rFonts w:hint="eastAsia" w:ascii="宋体" w:hAnsi="宋体"/>
              </w:rPr>
              <w:t>（5）不同投标人的投标文件相互混装；</w:t>
            </w:r>
          </w:p>
          <w:p>
            <w:pPr>
              <w:widowControl/>
              <w:jc w:val="left"/>
            </w:pPr>
            <w:r>
              <w:rPr>
                <w:rFonts w:hint="eastAsia" w:ascii="宋体" w:hAnsi="宋体"/>
              </w:rPr>
              <w:t>（6）不同投标人的投标保证金从同一单位或者个人的账户转出</w:t>
            </w:r>
          </w:p>
        </w:tc>
        <w:tc>
          <w:tcPr>
            <w:tcW w:w="422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546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p>
        </w:tc>
        <w:tc>
          <w:tcPr>
            <w:tcW w:w="422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b/>
                <w:szCs w:val="21"/>
              </w:rPr>
              <w:t>符合性审查结论</w:t>
            </w:r>
          </w:p>
        </w:tc>
        <w:tc>
          <w:tcPr>
            <w:tcW w:w="422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pStyle w:val="45"/>
        <w:ind w:firstLine="482"/>
        <w:rPr>
          <w:rFonts w:ascii="Verdana" w:hAnsi="Verdana"/>
          <w:kern w:val="0"/>
          <w:sz w:val="20"/>
          <w:lang w:bidi="ar"/>
        </w:rPr>
      </w:pPr>
      <w:r>
        <w:rPr>
          <w:rFonts w:hint="eastAsia" w:ascii="宋体" w:hAnsi="宋体"/>
          <w:b/>
        </w:rPr>
        <w:t>注：上述审查项目中，任意一项不符合的，符合</w:t>
      </w:r>
    </w:p>
    <w:p>
      <w:pPr>
        <w:pStyle w:val="45"/>
        <w:ind w:firstLine="400"/>
        <w:rPr>
          <w:rFonts w:ascii="Verdana" w:hAnsi="Verdana"/>
          <w:kern w:val="0"/>
          <w:sz w:val="20"/>
          <w:lang w:bidi="ar"/>
        </w:rPr>
      </w:pPr>
    </w:p>
    <w:p>
      <w:pPr>
        <w:pStyle w:val="45"/>
        <w:ind w:firstLine="400"/>
        <w:rPr>
          <w:rFonts w:ascii="Verdana" w:hAnsi="Verdana"/>
          <w:kern w:val="0"/>
          <w:sz w:val="20"/>
          <w:lang w:bidi="ar"/>
        </w:rPr>
      </w:pPr>
    </w:p>
    <w:p>
      <w:pPr>
        <w:pStyle w:val="45"/>
        <w:ind w:firstLine="400"/>
        <w:rPr>
          <w:rFonts w:ascii="Verdana" w:hAnsi="Verdana"/>
          <w:kern w:val="0"/>
          <w:sz w:val="20"/>
          <w:lang w:bidi="ar"/>
        </w:rPr>
      </w:pPr>
    </w:p>
    <w:p>
      <w:pPr>
        <w:spacing w:line="400" w:lineRule="exact"/>
        <w:rPr>
          <w:rFonts w:ascii="宋体" w:hAnsi="宋体" w:cs="宋体"/>
          <w:szCs w:val="21"/>
        </w:rPr>
      </w:pPr>
      <w:r>
        <w:rPr>
          <w:rFonts w:hint="eastAsia" w:ascii="宋体" w:hAnsi="宋体" w:cs="宋体"/>
          <w:szCs w:val="21"/>
          <w:lang w:bidi="ar"/>
        </w:rPr>
        <w:br w:type="page"/>
      </w:r>
      <w:r>
        <w:rPr>
          <w:rFonts w:hint="eastAsia" w:ascii="宋体" w:hAnsi="宋体" w:cs="宋体"/>
          <w:szCs w:val="21"/>
          <w:lang w:bidi="ar"/>
        </w:rPr>
        <w:t>附表3：</w:t>
      </w:r>
    </w:p>
    <w:p>
      <w:pPr>
        <w:pStyle w:val="45"/>
        <w:spacing w:line="360" w:lineRule="auto"/>
        <w:ind w:firstLine="0" w:firstLineChars="0"/>
        <w:jc w:val="center"/>
        <w:rPr>
          <w:rFonts w:ascii="宋体" w:hAnsi="宋体" w:eastAsia="宋体" w:cs="宋体"/>
          <w:b/>
          <w:bCs/>
          <w:sz w:val="28"/>
          <w:szCs w:val="28"/>
          <w:lang w:bidi="ar"/>
        </w:rPr>
      </w:pPr>
      <w:r>
        <w:rPr>
          <w:rFonts w:hint="eastAsia" w:ascii="宋体" w:hAnsi="宋体" w:eastAsia="宋体" w:cs="宋体"/>
          <w:b/>
          <w:bCs/>
          <w:sz w:val="28"/>
          <w:szCs w:val="28"/>
          <w:lang w:bidi="ar"/>
        </w:rPr>
        <w:t>评分标准（兼评委打分表）</w:t>
      </w:r>
    </w:p>
    <w:tbl>
      <w:tblPr>
        <w:tblStyle w:val="47"/>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728"/>
        <w:gridCol w:w="911"/>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8598" w:type="dxa"/>
            <w:gridSpan w:val="3"/>
            <w:tcBorders>
              <w:top w:val="double" w:color="auto" w:sz="4" w:space="0"/>
              <w:left w:val="double" w:color="auto" w:sz="4" w:space="0"/>
              <w:tl2br w:val="single" w:color="000000" w:sz="4" w:space="0"/>
            </w:tcBorders>
            <w:noWrap/>
          </w:tcPr>
          <w:p>
            <w:pPr>
              <w:jc w:val="right"/>
              <w:rPr>
                <w:rFonts w:ascii="宋体" w:hAnsi="宋体" w:cs="宋体"/>
                <w:color w:val="auto"/>
                <w:highlight w:val="none"/>
              </w:rPr>
            </w:pPr>
            <w:r>
              <w:rPr>
                <w:rFonts w:hint="eastAsia" w:ascii="宋体" w:hAnsi="宋体" w:cs="宋体"/>
                <w:color w:val="auto"/>
                <w:highlight w:val="none"/>
              </w:rPr>
              <w:t>投标人得分</w:t>
            </w:r>
          </w:p>
          <w:p>
            <w:pPr>
              <w:rPr>
                <w:rFonts w:ascii="宋体" w:hAnsi="宋体" w:cs="宋体"/>
                <w:color w:val="auto"/>
                <w:highlight w:val="none"/>
                <w:lang w:val="ru-RU"/>
              </w:rPr>
            </w:pPr>
            <w:r>
              <w:rPr>
                <w:rFonts w:hint="eastAsia" w:ascii="宋体" w:hAnsi="宋体" w:cs="宋体"/>
                <w:color w:val="auto"/>
                <w:highlight w:val="none"/>
              </w:rPr>
              <w:t>评分内容及分值</w:t>
            </w:r>
          </w:p>
        </w:tc>
        <w:tc>
          <w:tcPr>
            <w:tcW w:w="600" w:type="dxa"/>
            <w:vMerge w:val="restart"/>
            <w:tcBorders>
              <w:top w:val="double" w:color="auto" w:sz="4" w:space="0"/>
              <w:right w:val="double" w:color="auto" w:sz="4" w:space="0"/>
            </w:tcBorders>
            <w:noWrap/>
            <w:vAlign w:val="center"/>
          </w:tcPr>
          <w:p>
            <w:pPr>
              <w:rPr>
                <w:rFonts w:ascii="宋体" w:hAnsi="宋体" w:cs="宋体"/>
                <w:color w:val="auto"/>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687" w:type="dxa"/>
            <w:gridSpan w:val="2"/>
            <w:tcBorders>
              <w:left w:val="double" w:color="auto" w:sz="4"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评分内容</w:t>
            </w:r>
          </w:p>
        </w:tc>
        <w:tc>
          <w:tcPr>
            <w:tcW w:w="911" w:type="dxa"/>
            <w:noWrap/>
            <w:vAlign w:val="center"/>
          </w:tcPr>
          <w:p>
            <w:pPr>
              <w:jc w:val="center"/>
              <w:rPr>
                <w:rFonts w:ascii="宋体" w:hAnsi="宋体" w:cs="宋体"/>
                <w:color w:val="auto"/>
                <w:highlight w:val="none"/>
                <w:lang w:val="ru-RU"/>
              </w:rPr>
            </w:pPr>
            <w:r>
              <w:rPr>
                <w:rFonts w:hint="eastAsia" w:ascii="宋体" w:hAnsi="宋体" w:cs="宋体"/>
                <w:color w:val="auto"/>
                <w:highlight w:val="none"/>
              </w:rPr>
              <w:t>分值</w:t>
            </w:r>
          </w:p>
        </w:tc>
        <w:tc>
          <w:tcPr>
            <w:tcW w:w="600" w:type="dxa"/>
            <w:vMerge w:val="continue"/>
            <w:tcBorders>
              <w:right w:val="double" w:color="auto" w:sz="4" w:space="0"/>
            </w:tcBorders>
            <w:noWrap/>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2" w:hRule="atLeast"/>
        </w:trPr>
        <w:tc>
          <w:tcPr>
            <w:tcW w:w="959" w:type="dxa"/>
            <w:vMerge w:val="restart"/>
            <w:tcBorders>
              <w:left w:val="double" w:color="auto" w:sz="4" w:space="0"/>
              <w:right w:val="single" w:color="auto" w:sz="4" w:space="0"/>
            </w:tcBorders>
            <w:noWrap/>
            <w:vAlign w:val="center"/>
          </w:tcPr>
          <w:p>
            <w:pPr>
              <w:rPr>
                <w:rFonts w:ascii="宋体" w:hAnsi="宋体" w:cs="宋体"/>
                <w:color w:val="auto"/>
                <w:highlight w:val="none"/>
              </w:rPr>
            </w:pPr>
            <w:r>
              <w:rPr>
                <w:rFonts w:hint="eastAsia" w:ascii="宋体" w:hAnsi="宋体" w:cs="宋体"/>
                <w:color w:val="auto"/>
                <w:highlight w:val="none"/>
              </w:rPr>
              <w:t>商务分12分</w:t>
            </w:r>
          </w:p>
        </w:tc>
        <w:tc>
          <w:tcPr>
            <w:tcW w:w="6728" w:type="dxa"/>
            <w:tcBorders>
              <w:left w:val="single" w:color="auto" w:sz="4" w:space="0"/>
            </w:tcBorders>
            <w:noWrap/>
            <w:vAlign w:val="center"/>
          </w:tcPr>
          <w:p>
            <w:pPr>
              <w:spacing w:line="300" w:lineRule="exact"/>
              <w:rPr>
                <w:color w:val="auto"/>
                <w:szCs w:val="22"/>
                <w:highlight w:val="none"/>
              </w:rPr>
            </w:pPr>
            <w:r>
              <w:rPr>
                <w:rFonts w:hint="eastAsia" w:ascii="宋体" w:hAnsi="宋体" w:cs="宋体"/>
                <w:b/>
                <w:color w:val="auto"/>
                <w:highlight w:val="none"/>
              </w:rPr>
              <w:t>1、业绩（3分）：</w:t>
            </w:r>
            <w:r>
              <w:rPr>
                <w:rFonts w:hint="eastAsia" w:ascii="宋体" w:hAnsi="宋体" w:cs="宋体"/>
                <w:color w:val="auto"/>
                <w:szCs w:val="21"/>
                <w:highlight w:val="none"/>
              </w:rPr>
              <w:t>自2019年7月1日至今（以合同签订日为准），具有已完成或正在服务的与本项目类似的</w:t>
            </w:r>
            <w:r>
              <w:rPr>
                <w:color w:val="auto"/>
                <w:highlight w:val="none"/>
              </w:rPr>
              <w:t>交通</w:t>
            </w:r>
            <w:r>
              <w:rPr>
                <w:rFonts w:hint="eastAsia"/>
                <w:color w:val="auto"/>
                <w:highlight w:val="none"/>
              </w:rPr>
              <w:t>管理</w:t>
            </w:r>
            <w:r>
              <w:rPr>
                <w:color w:val="auto"/>
                <w:highlight w:val="none"/>
              </w:rPr>
              <w:t>类</w:t>
            </w:r>
            <w:r>
              <w:rPr>
                <w:rFonts w:hint="eastAsia"/>
                <w:color w:val="auto"/>
                <w:highlight w:val="none"/>
              </w:rPr>
              <w:t>服务</w:t>
            </w:r>
            <w:r>
              <w:rPr>
                <w:rFonts w:hint="eastAsia" w:ascii="宋体" w:hAnsi="宋体" w:cs="宋体"/>
                <w:color w:val="auto"/>
                <w:szCs w:val="21"/>
                <w:highlight w:val="none"/>
              </w:rPr>
              <w:t>业绩的，每提供一个得1分，最多得3分，同一采购人同一项目不同年度合同不累计得分。投标文件中提供相应项目业绩合同扫描件并加盖投标人公章</w:t>
            </w:r>
            <w:r>
              <w:rPr>
                <w:color w:val="auto"/>
                <w:szCs w:val="21"/>
                <w:highlight w:val="none"/>
              </w:rPr>
              <w:t>，</w:t>
            </w:r>
            <w:r>
              <w:rPr>
                <w:rFonts w:hint="eastAsia" w:ascii="宋体" w:hAnsi="宋体" w:cs="宋体"/>
                <w:color w:val="auto"/>
                <w:highlight w:val="none"/>
              </w:rPr>
              <w:t>合同未能体现相关评审内容的，另须提供合同业主单位证明文件原件扫描件。</w:t>
            </w:r>
          </w:p>
        </w:tc>
        <w:tc>
          <w:tcPr>
            <w:tcW w:w="911" w:type="dxa"/>
            <w:noWrap/>
            <w:vAlign w:val="center"/>
          </w:tcPr>
          <w:p>
            <w:pPr>
              <w:jc w:val="center"/>
              <w:rPr>
                <w:rFonts w:ascii="宋体" w:hAnsi="宋体" w:cs="宋体"/>
                <w:color w:val="auto"/>
                <w:highlight w:val="none"/>
              </w:rPr>
            </w:pPr>
            <w:r>
              <w:rPr>
                <w:rFonts w:hint="eastAsia" w:ascii="宋体" w:hAnsi="宋体" w:cs="宋体"/>
                <w:color w:val="auto"/>
                <w:highlight w:val="none"/>
              </w:rPr>
              <w:t>3</w:t>
            </w:r>
          </w:p>
        </w:tc>
        <w:tc>
          <w:tcPr>
            <w:tcW w:w="600" w:type="dxa"/>
            <w:tcBorders>
              <w:right w:val="double" w:color="auto" w:sz="4" w:space="0"/>
            </w:tcBorders>
            <w:noWra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959" w:type="dxa"/>
            <w:vMerge w:val="continue"/>
            <w:tcBorders>
              <w:left w:val="double" w:color="auto" w:sz="4" w:space="0"/>
              <w:right w:val="single" w:color="auto" w:sz="4" w:space="0"/>
            </w:tcBorders>
            <w:noWrap/>
            <w:vAlign w:val="center"/>
          </w:tcPr>
          <w:p>
            <w:pPr>
              <w:rPr>
                <w:rFonts w:ascii="宋体" w:hAnsi="宋体" w:cs="宋体"/>
                <w:color w:val="auto"/>
                <w:highlight w:val="none"/>
              </w:rPr>
            </w:pPr>
          </w:p>
        </w:tc>
        <w:tc>
          <w:tcPr>
            <w:tcW w:w="6728" w:type="dxa"/>
            <w:tcBorders>
              <w:left w:val="single" w:color="auto" w:sz="4" w:space="0"/>
            </w:tcBorders>
            <w:noWrap/>
            <w:vAlign w:val="center"/>
          </w:tcPr>
          <w:p>
            <w:pPr>
              <w:spacing w:line="300" w:lineRule="exact"/>
              <w:rPr>
                <w:rFonts w:ascii="宋体" w:hAnsi="宋体" w:cs="宋体"/>
                <w:color w:val="auto"/>
                <w:kern w:val="0"/>
                <w:szCs w:val="21"/>
                <w:highlight w:val="none"/>
              </w:rPr>
            </w:pPr>
            <w:r>
              <w:rPr>
                <w:rFonts w:hint="eastAsia" w:ascii="宋体" w:hAnsi="宋体" w:cs="宋体"/>
                <w:b/>
                <w:color w:val="auto"/>
                <w:highlight w:val="none"/>
              </w:rPr>
              <w:t>2、管理体系（5分）：</w:t>
            </w:r>
            <w:r>
              <w:rPr>
                <w:rFonts w:hint="eastAsia" w:ascii="宋体" w:hAnsi="宋体" w:cs="宋体"/>
                <w:color w:val="auto"/>
                <w:kern w:val="0"/>
                <w:szCs w:val="21"/>
                <w:highlight w:val="none"/>
              </w:rPr>
              <w:t>投标人具有有效的质量管理体系认证证书得1分，具有有效的环境管理体系认证证书得1分，具有有效的职业健康安全管理体系认证证书得1分，具有有效的企业诚信管理体系认证证书的得1分，具有有效的社会责任管理体系认证证书得1分。</w:t>
            </w:r>
          </w:p>
          <w:p>
            <w:pPr>
              <w:spacing w:line="300" w:lineRule="exact"/>
              <w:rPr>
                <w:color w:val="auto"/>
                <w:szCs w:val="22"/>
                <w:highlight w:val="none"/>
              </w:rPr>
            </w:pPr>
            <w:r>
              <w:rPr>
                <w:rFonts w:hint="eastAsia" w:ascii="宋体" w:hAnsi="宋体" w:cs="宋体"/>
                <w:color w:val="auto"/>
                <w:kern w:val="0"/>
                <w:szCs w:val="21"/>
                <w:highlight w:val="none"/>
              </w:rPr>
              <w:t>注：投标文件中须提供相关体系认证证书原件扫描件，扫描件加盖投标人公章。</w:t>
            </w:r>
          </w:p>
        </w:tc>
        <w:tc>
          <w:tcPr>
            <w:tcW w:w="911" w:type="dxa"/>
            <w:noWrap/>
            <w:vAlign w:val="center"/>
          </w:tcPr>
          <w:p>
            <w:pPr>
              <w:jc w:val="center"/>
              <w:rPr>
                <w:rFonts w:ascii="宋体" w:hAnsi="宋体" w:cs="宋体"/>
                <w:color w:val="auto"/>
                <w:highlight w:val="none"/>
              </w:rPr>
            </w:pPr>
            <w:r>
              <w:rPr>
                <w:rFonts w:hint="eastAsia" w:ascii="宋体" w:hAnsi="宋体" w:cs="宋体"/>
                <w:color w:val="auto"/>
                <w:highlight w:val="none"/>
              </w:rPr>
              <w:t>5</w:t>
            </w:r>
          </w:p>
        </w:tc>
        <w:tc>
          <w:tcPr>
            <w:tcW w:w="600" w:type="dxa"/>
            <w:tcBorders>
              <w:right w:val="double" w:color="auto" w:sz="4" w:space="0"/>
            </w:tcBorders>
            <w:noWra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59" w:type="dxa"/>
            <w:vMerge w:val="continue"/>
            <w:tcBorders>
              <w:left w:val="double" w:color="auto" w:sz="4" w:space="0"/>
              <w:right w:val="single" w:color="auto" w:sz="4" w:space="0"/>
            </w:tcBorders>
            <w:noWrap/>
            <w:vAlign w:val="center"/>
          </w:tcPr>
          <w:p>
            <w:pPr>
              <w:rPr>
                <w:rFonts w:ascii="宋体" w:hAnsi="宋体" w:cs="宋体"/>
                <w:color w:val="auto"/>
                <w:highlight w:val="none"/>
              </w:rPr>
            </w:pPr>
          </w:p>
        </w:tc>
        <w:tc>
          <w:tcPr>
            <w:tcW w:w="6728" w:type="dxa"/>
            <w:tcBorders>
              <w:left w:val="single" w:color="auto" w:sz="4" w:space="0"/>
            </w:tcBorders>
            <w:noWrap/>
            <w:vAlign w:val="center"/>
          </w:tcPr>
          <w:p>
            <w:pPr>
              <w:spacing w:line="340" w:lineRule="exact"/>
              <w:rPr>
                <w:rFonts w:ascii="宋体" w:hAnsi="宋体" w:cs="宋体"/>
                <w:color w:val="auto"/>
                <w:szCs w:val="21"/>
                <w:highlight w:val="none"/>
              </w:rPr>
            </w:pPr>
            <w:r>
              <w:rPr>
                <w:rFonts w:hint="eastAsia" w:ascii="宋体" w:hAnsi="宋体" w:cs="宋体"/>
                <w:b/>
                <w:bCs/>
                <w:color w:val="auto"/>
                <w:szCs w:val="21"/>
                <w:highlight w:val="none"/>
              </w:rPr>
              <w:t>3、项目负责人（4分）：</w:t>
            </w:r>
            <w:r>
              <w:rPr>
                <w:rFonts w:hint="eastAsia" w:ascii="宋体" w:hAnsi="宋体"/>
                <w:color w:val="auto"/>
                <w:szCs w:val="21"/>
                <w:highlight w:val="none"/>
              </w:rPr>
              <w:t>拟派本项目负责人具有退伍军人证的得1分，具有人社部门颁发的二级（含）以上保安员（师）资格证书的得2分；具有本科及以上学历的得1分，以上得分可累计，最高得4分。</w:t>
            </w:r>
          </w:p>
          <w:p>
            <w:pPr>
              <w:numPr>
                <w:ilvl w:val="255"/>
                <w:numId w:val="0"/>
              </w:numPr>
              <w:spacing w:line="300" w:lineRule="exact"/>
              <w:rPr>
                <w:color w:val="auto"/>
                <w:highlight w:val="none"/>
              </w:rPr>
            </w:pPr>
            <w:r>
              <w:rPr>
                <w:rFonts w:hint="eastAsia" w:ascii="宋体" w:hAnsi="宋体"/>
                <w:color w:val="auto"/>
                <w:szCs w:val="21"/>
                <w:highlight w:val="none"/>
              </w:rPr>
              <w:t>备注：投标文件中提供相关证书及在投标人单位缴纳社保证明文件（2022年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8</w:t>
            </w:r>
            <w:r>
              <w:rPr>
                <w:rFonts w:hint="eastAsia" w:ascii="宋体" w:hAnsi="宋体"/>
                <w:color w:val="auto"/>
                <w:szCs w:val="21"/>
                <w:highlight w:val="none"/>
              </w:rPr>
              <w:t>月）扫描件并加盖投标人公章。</w:t>
            </w:r>
          </w:p>
        </w:tc>
        <w:tc>
          <w:tcPr>
            <w:tcW w:w="911" w:type="dxa"/>
            <w:noWrap/>
            <w:vAlign w:val="center"/>
          </w:tcPr>
          <w:p>
            <w:pPr>
              <w:jc w:val="center"/>
              <w:rPr>
                <w:rFonts w:ascii="宋体" w:hAnsi="宋体" w:cs="宋体"/>
                <w:color w:val="auto"/>
                <w:highlight w:val="none"/>
              </w:rPr>
            </w:pPr>
            <w:r>
              <w:rPr>
                <w:rFonts w:hint="eastAsia" w:ascii="宋体" w:hAnsi="宋体" w:cs="宋体"/>
                <w:color w:val="auto"/>
                <w:highlight w:val="none"/>
              </w:rPr>
              <w:t>4</w:t>
            </w:r>
          </w:p>
        </w:tc>
        <w:tc>
          <w:tcPr>
            <w:tcW w:w="600" w:type="dxa"/>
            <w:tcBorders>
              <w:right w:val="double" w:color="auto" w:sz="4" w:space="0"/>
            </w:tcBorders>
            <w:noWra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59" w:type="dxa"/>
            <w:vMerge w:val="restart"/>
            <w:tcBorders>
              <w:left w:val="double" w:color="auto" w:sz="4" w:space="0"/>
              <w:right w:val="single" w:color="auto" w:sz="4" w:space="0"/>
            </w:tcBorders>
            <w:noWrap/>
            <w:vAlign w:val="center"/>
          </w:tcPr>
          <w:p>
            <w:pPr>
              <w:rPr>
                <w:rFonts w:ascii="宋体" w:hAnsi="宋体" w:cs="宋体"/>
                <w:color w:val="auto"/>
                <w:highlight w:val="none"/>
              </w:rPr>
            </w:pPr>
            <w:r>
              <w:rPr>
                <w:rFonts w:hint="eastAsia" w:ascii="宋体" w:hAnsi="宋体" w:cs="宋体"/>
                <w:color w:val="auto"/>
                <w:highlight w:val="none"/>
              </w:rPr>
              <w:t>技术分58分</w:t>
            </w:r>
          </w:p>
        </w:tc>
        <w:tc>
          <w:tcPr>
            <w:tcW w:w="6728" w:type="dxa"/>
            <w:tcBorders>
              <w:left w:val="single" w:color="auto" w:sz="4" w:space="0"/>
            </w:tcBorders>
            <w:noWrap/>
            <w:vAlign w:val="center"/>
          </w:tcPr>
          <w:p>
            <w:pPr>
              <w:spacing w:line="320" w:lineRule="exact"/>
              <w:rPr>
                <w:rFonts w:ascii="宋体" w:hAnsi="宋体"/>
                <w:color w:val="auto"/>
                <w:szCs w:val="21"/>
                <w:highlight w:val="none"/>
              </w:rPr>
            </w:pPr>
            <w:r>
              <w:rPr>
                <w:rFonts w:hint="eastAsia" w:ascii="宋体" w:hAnsi="宋体"/>
                <w:color w:val="auto"/>
                <w:szCs w:val="21"/>
                <w:highlight w:val="none"/>
              </w:rPr>
              <w:t>1、服务管理整体设想及策划：针对本项目详细说明整体保障措施、专业化管理及规范的管理手段进行评定，合理科学的得7分，基本合理的得5分，存在缺陷的3分，缺项的得0分。</w:t>
            </w:r>
          </w:p>
        </w:tc>
        <w:tc>
          <w:tcPr>
            <w:tcW w:w="911" w:type="dxa"/>
            <w:noWrap/>
            <w:vAlign w:val="center"/>
          </w:tcPr>
          <w:p>
            <w:pPr>
              <w:widowControl/>
              <w:snapToGri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7</w:t>
            </w:r>
          </w:p>
        </w:tc>
        <w:tc>
          <w:tcPr>
            <w:tcW w:w="600" w:type="dxa"/>
            <w:tcBorders>
              <w:right w:val="double" w:color="auto" w:sz="4" w:space="0"/>
            </w:tcBorders>
            <w:noWra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59" w:type="dxa"/>
            <w:vMerge w:val="continue"/>
            <w:tcBorders>
              <w:left w:val="double" w:color="auto" w:sz="4" w:space="0"/>
              <w:right w:val="single" w:color="auto" w:sz="4" w:space="0"/>
            </w:tcBorders>
            <w:noWrap/>
            <w:vAlign w:val="center"/>
          </w:tcPr>
          <w:p>
            <w:pPr>
              <w:rPr>
                <w:rFonts w:ascii="宋体" w:hAnsi="宋体" w:cs="宋体"/>
                <w:color w:val="auto"/>
                <w:highlight w:val="none"/>
              </w:rPr>
            </w:pPr>
          </w:p>
        </w:tc>
        <w:tc>
          <w:tcPr>
            <w:tcW w:w="6728" w:type="dxa"/>
            <w:tcBorders>
              <w:left w:val="single" w:color="auto" w:sz="4" w:space="0"/>
            </w:tcBorders>
            <w:noWrap/>
            <w:vAlign w:val="center"/>
          </w:tcPr>
          <w:p>
            <w:pPr>
              <w:spacing w:line="320" w:lineRule="exact"/>
              <w:rPr>
                <w:rFonts w:ascii="宋体" w:hAnsi="宋体"/>
                <w:color w:val="auto"/>
                <w:szCs w:val="21"/>
                <w:highlight w:val="none"/>
              </w:rPr>
            </w:pPr>
            <w:r>
              <w:rPr>
                <w:rFonts w:hint="eastAsia" w:ascii="宋体" w:hAnsi="宋体"/>
                <w:color w:val="auto"/>
                <w:szCs w:val="21"/>
                <w:highlight w:val="none"/>
              </w:rPr>
              <w:t>2、项目分析及解决方案： 针对本项目的重点、特点、难点分析到位，解决方案可行的得7分，针对本项目的重点、特点、难点分析基本到位，解决方案基本可行的得5分，针对本项目的重点、特点、难点分析欠到位，解决方案欠可行的得3分，缺项的得0分。</w:t>
            </w:r>
          </w:p>
        </w:tc>
        <w:tc>
          <w:tcPr>
            <w:tcW w:w="911" w:type="dxa"/>
            <w:noWrap/>
            <w:vAlign w:val="center"/>
          </w:tcPr>
          <w:p>
            <w:pPr>
              <w:widowControl/>
              <w:snapToGri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7</w:t>
            </w:r>
          </w:p>
        </w:tc>
        <w:tc>
          <w:tcPr>
            <w:tcW w:w="600" w:type="dxa"/>
            <w:tcBorders>
              <w:right w:val="double" w:color="auto" w:sz="4" w:space="0"/>
            </w:tcBorders>
            <w:noWra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59" w:type="dxa"/>
            <w:vMerge w:val="continue"/>
            <w:tcBorders>
              <w:left w:val="double" w:color="auto" w:sz="4" w:space="0"/>
              <w:right w:val="single" w:color="auto" w:sz="4" w:space="0"/>
            </w:tcBorders>
            <w:noWrap/>
            <w:vAlign w:val="center"/>
          </w:tcPr>
          <w:p>
            <w:pPr>
              <w:rPr>
                <w:rFonts w:ascii="宋体" w:hAnsi="宋体" w:cs="宋体"/>
                <w:color w:val="auto"/>
                <w:highlight w:val="none"/>
              </w:rPr>
            </w:pPr>
          </w:p>
        </w:tc>
        <w:tc>
          <w:tcPr>
            <w:tcW w:w="6728" w:type="dxa"/>
            <w:tcBorders>
              <w:left w:val="single" w:color="auto" w:sz="4" w:space="0"/>
            </w:tcBorders>
            <w:noWrap/>
            <w:vAlign w:val="center"/>
          </w:tcPr>
          <w:p>
            <w:pPr>
              <w:spacing w:line="320" w:lineRule="exact"/>
              <w:rPr>
                <w:rFonts w:ascii="宋体" w:hAnsi="宋体"/>
                <w:color w:val="auto"/>
                <w:szCs w:val="21"/>
                <w:highlight w:val="none"/>
              </w:rPr>
            </w:pPr>
            <w:r>
              <w:rPr>
                <w:rFonts w:hint="eastAsia" w:ascii="宋体" w:hAnsi="宋体"/>
                <w:color w:val="auto"/>
                <w:szCs w:val="21"/>
                <w:highlight w:val="none"/>
              </w:rPr>
              <w:t>3、人员的配置（至少包括姓名、年龄、职称（如有）、文化程度、工作经历、岗位证书）、培训与管理措施；针对本项目详细说明项目的整体人员配置的合理性及优越性进行评定；</w:t>
            </w:r>
          </w:p>
          <w:p>
            <w:pPr>
              <w:spacing w:line="320" w:lineRule="exact"/>
              <w:rPr>
                <w:rFonts w:ascii="宋体" w:hAnsi="宋体"/>
                <w:color w:val="auto"/>
                <w:szCs w:val="21"/>
                <w:highlight w:val="none"/>
              </w:rPr>
            </w:pPr>
            <w:r>
              <w:rPr>
                <w:rFonts w:hint="eastAsia" w:ascii="宋体" w:hAnsi="宋体"/>
                <w:color w:val="auto"/>
                <w:szCs w:val="21"/>
                <w:highlight w:val="none"/>
              </w:rPr>
              <w:t>人员配置优越、培训与管理措施合理的得7分，人员配置、培训与管理措施基本合理的得5分，人员配置、培训与管理措施欠合理的得3分，缺项的得0分。</w:t>
            </w:r>
          </w:p>
        </w:tc>
        <w:tc>
          <w:tcPr>
            <w:tcW w:w="911" w:type="dxa"/>
            <w:noWrap/>
            <w:vAlign w:val="center"/>
          </w:tcPr>
          <w:p>
            <w:pPr>
              <w:widowControl/>
              <w:snapToGri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7</w:t>
            </w:r>
          </w:p>
        </w:tc>
        <w:tc>
          <w:tcPr>
            <w:tcW w:w="600" w:type="dxa"/>
            <w:tcBorders>
              <w:right w:val="double" w:color="auto" w:sz="4" w:space="0"/>
            </w:tcBorders>
            <w:noWra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59" w:type="dxa"/>
            <w:vMerge w:val="continue"/>
            <w:tcBorders>
              <w:left w:val="double" w:color="auto" w:sz="4" w:space="0"/>
              <w:right w:val="single" w:color="auto" w:sz="4" w:space="0"/>
            </w:tcBorders>
            <w:noWrap/>
            <w:vAlign w:val="center"/>
          </w:tcPr>
          <w:p>
            <w:pPr>
              <w:rPr>
                <w:rFonts w:ascii="宋体" w:hAnsi="宋体" w:cs="宋体"/>
                <w:color w:val="auto"/>
                <w:highlight w:val="none"/>
              </w:rPr>
            </w:pPr>
          </w:p>
        </w:tc>
        <w:tc>
          <w:tcPr>
            <w:tcW w:w="6728" w:type="dxa"/>
            <w:tcBorders>
              <w:left w:val="single" w:color="auto" w:sz="4" w:space="0"/>
            </w:tcBorders>
            <w:noWrap/>
            <w:vAlign w:val="center"/>
          </w:tcPr>
          <w:p>
            <w:pPr>
              <w:spacing w:line="320" w:lineRule="exact"/>
              <w:rPr>
                <w:rFonts w:ascii="宋体" w:hAnsi="宋体"/>
                <w:color w:val="auto"/>
                <w:szCs w:val="21"/>
                <w:highlight w:val="none"/>
              </w:rPr>
            </w:pPr>
            <w:r>
              <w:rPr>
                <w:rFonts w:hint="eastAsia" w:ascii="宋体" w:hAnsi="宋体"/>
                <w:color w:val="auto"/>
                <w:szCs w:val="21"/>
                <w:highlight w:val="none"/>
              </w:rPr>
              <w:t>4、设备装备计划：针对本项目的整体项目物资配置的合理性进行评定；配置合理，物资齐备得6分；配置基本合理，物资齐备基本齐备得4分；配置不够合理，人员物资齐备未齐备得2分，缺项的得0分。</w:t>
            </w:r>
          </w:p>
        </w:tc>
        <w:tc>
          <w:tcPr>
            <w:tcW w:w="911" w:type="dxa"/>
            <w:noWrap/>
            <w:vAlign w:val="center"/>
          </w:tcPr>
          <w:p>
            <w:pPr>
              <w:widowControl/>
              <w:snapToGrid w:val="0"/>
              <w:ind w:firstLine="199" w:firstLineChars="95"/>
              <w:rPr>
                <w:rFonts w:ascii="宋体" w:hAnsi="宋体" w:cs="仿宋_GB2312"/>
                <w:color w:val="auto"/>
                <w:kern w:val="0"/>
                <w:szCs w:val="21"/>
                <w:highlight w:val="none"/>
              </w:rPr>
            </w:pPr>
            <w:r>
              <w:rPr>
                <w:rFonts w:hint="eastAsia" w:ascii="宋体" w:hAnsi="宋体" w:cs="仿宋_GB2312"/>
                <w:color w:val="auto"/>
                <w:kern w:val="0"/>
                <w:szCs w:val="21"/>
                <w:highlight w:val="none"/>
              </w:rPr>
              <w:t>6</w:t>
            </w:r>
          </w:p>
        </w:tc>
        <w:tc>
          <w:tcPr>
            <w:tcW w:w="600" w:type="dxa"/>
            <w:tcBorders>
              <w:right w:val="double" w:color="auto" w:sz="4" w:space="0"/>
            </w:tcBorders>
            <w:noWra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59" w:type="dxa"/>
            <w:vMerge w:val="continue"/>
            <w:tcBorders>
              <w:left w:val="double" w:color="auto" w:sz="4" w:space="0"/>
              <w:right w:val="single" w:color="auto" w:sz="4" w:space="0"/>
            </w:tcBorders>
            <w:noWrap/>
            <w:vAlign w:val="center"/>
          </w:tcPr>
          <w:p>
            <w:pPr>
              <w:rPr>
                <w:rFonts w:ascii="宋体" w:hAnsi="宋体" w:cs="宋体"/>
                <w:color w:val="auto"/>
                <w:highlight w:val="none"/>
              </w:rPr>
            </w:pPr>
          </w:p>
        </w:tc>
        <w:tc>
          <w:tcPr>
            <w:tcW w:w="6728" w:type="dxa"/>
            <w:tcBorders>
              <w:left w:val="single" w:color="auto" w:sz="4" w:space="0"/>
            </w:tcBorders>
            <w:noWrap/>
            <w:vAlign w:val="center"/>
          </w:tcPr>
          <w:p>
            <w:pPr>
              <w:spacing w:line="320" w:lineRule="exact"/>
              <w:rPr>
                <w:rFonts w:ascii="宋体" w:hAnsi="宋体"/>
                <w:color w:val="auto"/>
                <w:szCs w:val="21"/>
                <w:highlight w:val="none"/>
              </w:rPr>
            </w:pPr>
            <w:r>
              <w:rPr>
                <w:rFonts w:hint="eastAsia" w:ascii="宋体" w:hAnsi="宋体"/>
                <w:color w:val="auto"/>
                <w:szCs w:val="21"/>
                <w:highlight w:val="none"/>
              </w:rPr>
              <w:t>5、制度和档案的建立与管理：针对本项目说明各服务管理制度的完善性及可操作性进行评定；管理制度完善且可操作性强的得6分；管理制度基本完善且具有可操作性的得4分；管理制度欠完善且可操作性欠缺的得2分，缺项的得0分。</w:t>
            </w:r>
          </w:p>
        </w:tc>
        <w:tc>
          <w:tcPr>
            <w:tcW w:w="911" w:type="dxa"/>
            <w:noWrap/>
            <w:vAlign w:val="center"/>
          </w:tcPr>
          <w:p>
            <w:pPr>
              <w:widowControl/>
              <w:snapToGrid w:val="0"/>
              <w:ind w:firstLine="210" w:firstLineChars="100"/>
              <w:rPr>
                <w:rFonts w:ascii="宋体" w:hAnsi="宋体" w:cs="仿宋_GB2312"/>
                <w:color w:val="auto"/>
                <w:kern w:val="0"/>
                <w:szCs w:val="21"/>
                <w:highlight w:val="none"/>
              </w:rPr>
            </w:pPr>
            <w:r>
              <w:rPr>
                <w:rFonts w:hint="eastAsia" w:ascii="宋体" w:hAnsi="宋体" w:cs="仿宋_GB2312"/>
                <w:color w:val="auto"/>
                <w:kern w:val="0"/>
                <w:szCs w:val="21"/>
                <w:highlight w:val="none"/>
              </w:rPr>
              <w:t>6</w:t>
            </w:r>
          </w:p>
        </w:tc>
        <w:tc>
          <w:tcPr>
            <w:tcW w:w="600" w:type="dxa"/>
            <w:tcBorders>
              <w:right w:val="double" w:color="auto" w:sz="4" w:space="0"/>
            </w:tcBorders>
            <w:noWra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59" w:type="dxa"/>
            <w:vMerge w:val="continue"/>
            <w:tcBorders>
              <w:left w:val="double" w:color="auto" w:sz="4" w:space="0"/>
              <w:right w:val="single" w:color="auto" w:sz="4" w:space="0"/>
            </w:tcBorders>
            <w:noWrap/>
            <w:vAlign w:val="center"/>
          </w:tcPr>
          <w:p>
            <w:pPr>
              <w:rPr>
                <w:rFonts w:ascii="宋体" w:hAnsi="宋体" w:cs="宋体"/>
                <w:color w:val="auto"/>
                <w:highlight w:val="none"/>
              </w:rPr>
            </w:pPr>
          </w:p>
        </w:tc>
        <w:tc>
          <w:tcPr>
            <w:tcW w:w="6728" w:type="dxa"/>
            <w:tcBorders>
              <w:left w:val="single" w:color="auto" w:sz="4" w:space="0"/>
            </w:tcBorders>
            <w:noWrap/>
            <w:vAlign w:val="center"/>
          </w:tcPr>
          <w:p>
            <w:pPr>
              <w:spacing w:line="320" w:lineRule="exact"/>
              <w:rPr>
                <w:rFonts w:ascii="宋体" w:hAnsi="宋体"/>
                <w:color w:val="auto"/>
                <w:szCs w:val="21"/>
                <w:highlight w:val="none"/>
              </w:rPr>
            </w:pPr>
            <w:r>
              <w:rPr>
                <w:rFonts w:hint="eastAsia" w:ascii="宋体" w:hAnsi="宋体"/>
                <w:color w:val="auto"/>
                <w:szCs w:val="21"/>
                <w:highlight w:val="none"/>
              </w:rPr>
              <w:t>6、项目的服务与管理：针对本项目说明服务管理项目的保障措施进行评定；保障措施可操作性强的得6分；保障措施可操作性一般的得4分；保障措施可操作性欠缺的得2分，缺项的得0分。</w:t>
            </w:r>
          </w:p>
        </w:tc>
        <w:tc>
          <w:tcPr>
            <w:tcW w:w="911" w:type="dxa"/>
            <w:noWrap/>
            <w:vAlign w:val="center"/>
          </w:tcPr>
          <w:p>
            <w:pPr>
              <w:widowControl/>
              <w:snapToGrid w:val="0"/>
              <w:ind w:firstLine="210" w:firstLineChars="100"/>
              <w:rPr>
                <w:rFonts w:ascii="宋体" w:hAnsi="宋体" w:cs="仿宋_GB2312"/>
                <w:color w:val="auto"/>
                <w:kern w:val="0"/>
                <w:szCs w:val="21"/>
                <w:highlight w:val="none"/>
              </w:rPr>
            </w:pPr>
            <w:r>
              <w:rPr>
                <w:rFonts w:hint="eastAsia" w:ascii="宋体" w:hAnsi="宋体" w:cs="仿宋_GB2312"/>
                <w:color w:val="auto"/>
                <w:kern w:val="0"/>
                <w:szCs w:val="21"/>
                <w:highlight w:val="none"/>
              </w:rPr>
              <w:t>6</w:t>
            </w:r>
          </w:p>
        </w:tc>
        <w:tc>
          <w:tcPr>
            <w:tcW w:w="600" w:type="dxa"/>
            <w:tcBorders>
              <w:right w:val="double" w:color="auto" w:sz="4" w:space="0"/>
            </w:tcBorders>
            <w:noWra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59" w:type="dxa"/>
            <w:vMerge w:val="continue"/>
            <w:tcBorders>
              <w:left w:val="double" w:color="auto" w:sz="4" w:space="0"/>
              <w:right w:val="single" w:color="auto" w:sz="4" w:space="0"/>
            </w:tcBorders>
            <w:noWrap/>
            <w:vAlign w:val="center"/>
          </w:tcPr>
          <w:p>
            <w:pPr>
              <w:rPr>
                <w:rFonts w:ascii="宋体" w:hAnsi="宋体" w:cs="宋体"/>
                <w:color w:val="auto"/>
                <w:highlight w:val="none"/>
              </w:rPr>
            </w:pPr>
          </w:p>
        </w:tc>
        <w:tc>
          <w:tcPr>
            <w:tcW w:w="6728" w:type="dxa"/>
            <w:tcBorders>
              <w:left w:val="single" w:color="auto" w:sz="4" w:space="0"/>
            </w:tcBorders>
            <w:noWrap/>
            <w:vAlign w:val="center"/>
          </w:tcPr>
          <w:p>
            <w:pPr>
              <w:spacing w:line="320" w:lineRule="exact"/>
              <w:rPr>
                <w:rFonts w:ascii="宋体" w:hAnsi="宋体"/>
                <w:color w:val="auto"/>
                <w:szCs w:val="21"/>
                <w:highlight w:val="none"/>
              </w:rPr>
            </w:pPr>
            <w:r>
              <w:rPr>
                <w:rFonts w:hint="eastAsia" w:ascii="宋体" w:hAnsi="宋体"/>
                <w:color w:val="auto"/>
                <w:szCs w:val="21"/>
                <w:highlight w:val="none"/>
              </w:rPr>
              <w:t>7、文明作业：评针对本项目文明作业方案及措施进行评分。内容齐全、完整，操作性强，科学、合理的得5分，内容基本完整、操作性及合理性较为一般的得3分，内容不齐全、混乱，不能很好符合项目实际开展的得1分，缺项的得0分。</w:t>
            </w:r>
          </w:p>
        </w:tc>
        <w:tc>
          <w:tcPr>
            <w:tcW w:w="911" w:type="dxa"/>
            <w:noWrap/>
            <w:vAlign w:val="center"/>
          </w:tcPr>
          <w:p>
            <w:pPr>
              <w:autoSpaceDE w:val="0"/>
              <w:autoSpaceDN w:val="0"/>
              <w:adjustRightInd w:val="0"/>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600" w:type="dxa"/>
            <w:tcBorders>
              <w:right w:val="double" w:color="auto" w:sz="4" w:space="0"/>
            </w:tcBorders>
            <w:noWra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59" w:type="dxa"/>
            <w:vMerge w:val="continue"/>
            <w:tcBorders>
              <w:left w:val="double" w:color="auto" w:sz="4" w:space="0"/>
              <w:right w:val="single" w:color="auto" w:sz="4" w:space="0"/>
            </w:tcBorders>
            <w:noWrap/>
            <w:vAlign w:val="center"/>
          </w:tcPr>
          <w:p>
            <w:pPr>
              <w:rPr>
                <w:rFonts w:ascii="宋体" w:hAnsi="宋体" w:cs="宋体"/>
                <w:color w:val="auto"/>
                <w:highlight w:val="none"/>
              </w:rPr>
            </w:pPr>
          </w:p>
        </w:tc>
        <w:tc>
          <w:tcPr>
            <w:tcW w:w="6728" w:type="dxa"/>
            <w:tcBorders>
              <w:left w:val="single" w:color="auto" w:sz="4" w:space="0"/>
            </w:tcBorders>
            <w:noWrap/>
            <w:vAlign w:val="center"/>
          </w:tcPr>
          <w:p>
            <w:pPr>
              <w:widowControl/>
              <w:spacing w:line="320" w:lineRule="exact"/>
              <w:rPr>
                <w:rFonts w:ascii="宋体" w:hAnsi="宋体"/>
                <w:color w:val="auto"/>
                <w:szCs w:val="21"/>
                <w:highlight w:val="none"/>
              </w:rPr>
            </w:pPr>
            <w:r>
              <w:rPr>
                <w:rFonts w:hint="eastAsia" w:ascii="宋体" w:hAnsi="宋体"/>
                <w:color w:val="auto"/>
                <w:szCs w:val="21"/>
                <w:highlight w:val="none"/>
              </w:rPr>
              <w:t>8、运作流程、质量过程控制及协调机制：</w:t>
            </w:r>
          </w:p>
          <w:p>
            <w:pPr>
              <w:spacing w:line="320" w:lineRule="exact"/>
              <w:rPr>
                <w:rFonts w:ascii="宋体" w:hAnsi="宋体"/>
                <w:color w:val="auto"/>
                <w:szCs w:val="21"/>
                <w:highlight w:val="none"/>
              </w:rPr>
            </w:pPr>
            <w:r>
              <w:rPr>
                <w:rFonts w:hint="eastAsia" w:ascii="宋体" w:hAnsi="宋体"/>
                <w:color w:val="auto"/>
                <w:szCs w:val="21"/>
                <w:highlight w:val="none"/>
              </w:rPr>
              <w:t>根据管理服务组织机构设置（附组织机构图）、运作流程（附流程图）、激励机制、监督机制、自我约束机制和信息反馈机制等进行评审；运作流程及协调机制可行性强的得4分，运作流程及协调机制可行性具有可操作性的得3分，运作流程及协调机制可行性欠缺的得1分，缺项的得0分。</w:t>
            </w:r>
          </w:p>
        </w:tc>
        <w:tc>
          <w:tcPr>
            <w:tcW w:w="911" w:type="dxa"/>
            <w:noWrap/>
            <w:vAlign w:val="center"/>
          </w:tcPr>
          <w:p>
            <w:pPr>
              <w:widowControl/>
              <w:snapToGri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4</w:t>
            </w:r>
          </w:p>
        </w:tc>
        <w:tc>
          <w:tcPr>
            <w:tcW w:w="600" w:type="dxa"/>
            <w:tcBorders>
              <w:right w:val="double" w:color="auto" w:sz="4" w:space="0"/>
            </w:tcBorders>
            <w:noWra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59" w:type="dxa"/>
            <w:vMerge w:val="continue"/>
            <w:tcBorders>
              <w:left w:val="double" w:color="auto" w:sz="4" w:space="0"/>
              <w:right w:val="single" w:color="auto" w:sz="4" w:space="0"/>
            </w:tcBorders>
            <w:noWrap/>
            <w:vAlign w:val="center"/>
          </w:tcPr>
          <w:p>
            <w:pPr>
              <w:rPr>
                <w:rFonts w:ascii="宋体" w:hAnsi="宋体" w:cs="宋体"/>
                <w:color w:val="auto"/>
                <w:highlight w:val="none"/>
              </w:rPr>
            </w:pPr>
          </w:p>
        </w:tc>
        <w:tc>
          <w:tcPr>
            <w:tcW w:w="6728" w:type="dxa"/>
            <w:tcBorders>
              <w:left w:val="single" w:color="auto" w:sz="4" w:space="0"/>
            </w:tcBorders>
            <w:noWrap/>
            <w:vAlign w:val="center"/>
          </w:tcPr>
          <w:p>
            <w:pPr>
              <w:spacing w:line="320" w:lineRule="exact"/>
              <w:rPr>
                <w:rFonts w:ascii="宋体" w:hAnsi="宋体"/>
                <w:color w:val="auto"/>
                <w:szCs w:val="21"/>
                <w:highlight w:val="none"/>
              </w:rPr>
            </w:pPr>
            <w:r>
              <w:rPr>
                <w:rFonts w:hint="eastAsia" w:ascii="宋体" w:hAnsi="宋体"/>
                <w:color w:val="auto"/>
                <w:szCs w:val="21"/>
                <w:highlight w:val="none"/>
              </w:rPr>
              <w:t>9、突发事件应急处理措施：针对本项目的特性及针对本行业制订的紧急预案与配备的应急响应装备，并具有可操作性进行评定；紧急预案可操作性强，配备的应急响应装备齐备得5分；紧急预案基本具有可操作性，配备的应急响应装备基本齐备得3分；紧急预案操作性欠缺，配备的应急响应装备未齐备得1分，缺项的得0分。</w:t>
            </w:r>
          </w:p>
        </w:tc>
        <w:tc>
          <w:tcPr>
            <w:tcW w:w="911" w:type="dxa"/>
            <w:noWrap/>
            <w:vAlign w:val="center"/>
          </w:tcPr>
          <w:p>
            <w:pPr>
              <w:widowControl/>
              <w:snapToGri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5</w:t>
            </w:r>
          </w:p>
        </w:tc>
        <w:tc>
          <w:tcPr>
            <w:tcW w:w="600" w:type="dxa"/>
            <w:tcBorders>
              <w:right w:val="double" w:color="auto" w:sz="4" w:space="0"/>
            </w:tcBorders>
            <w:noWra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59" w:type="dxa"/>
            <w:vMerge w:val="continue"/>
            <w:tcBorders>
              <w:left w:val="double" w:color="auto" w:sz="4" w:space="0"/>
              <w:right w:val="single" w:color="auto" w:sz="4" w:space="0"/>
            </w:tcBorders>
            <w:noWrap/>
            <w:vAlign w:val="center"/>
          </w:tcPr>
          <w:p>
            <w:pPr>
              <w:rPr>
                <w:rFonts w:ascii="宋体" w:hAnsi="宋体" w:cs="宋体"/>
                <w:color w:val="auto"/>
                <w:highlight w:val="none"/>
              </w:rPr>
            </w:pPr>
          </w:p>
        </w:tc>
        <w:tc>
          <w:tcPr>
            <w:tcW w:w="6728" w:type="dxa"/>
            <w:tcBorders>
              <w:left w:val="single" w:color="auto" w:sz="4" w:space="0"/>
            </w:tcBorders>
            <w:noWrap/>
            <w:vAlign w:val="center"/>
          </w:tcPr>
          <w:p>
            <w:pPr>
              <w:spacing w:line="320" w:lineRule="exact"/>
              <w:rPr>
                <w:rFonts w:ascii="宋体" w:hAnsi="宋体"/>
                <w:color w:val="auto"/>
                <w:szCs w:val="21"/>
                <w:highlight w:val="none"/>
              </w:rPr>
            </w:pPr>
            <w:r>
              <w:rPr>
                <w:rFonts w:hint="eastAsia" w:ascii="宋体" w:hAnsi="宋体"/>
                <w:color w:val="auto"/>
                <w:szCs w:val="21"/>
                <w:highlight w:val="none"/>
              </w:rPr>
              <w:t>10、投标方本地化服务能力及其组织情况，由评委根据各投标方提供的本地化服务方案进行评定；服务体系完善且具有本地化服务并能及时响应的得5分，本地化服务体系基本具备、响应时间满足要求的得3分，服务体系有所欠缺的的1分，缺项的得0分。</w:t>
            </w:r>
          </w:p>
        </w:tc>
        <w:tc>
          <w:tcPr>
            <w:tcW w:w="911" w:type="dxa"/>
            <w:noWrap/>
            <w:vAlign w:val="center"/>
          </w:tcPr>
          <w:p>
            <w:pPr>
              <w:widowControl/>
              <w:snapToGri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5</w:t>
            </w:r>
          </w:p>
        </w:tc>
        <w:tc>
          <w:tcPr>
            <w:tcW w:w="600" w:type="dxa"/>
            <w:tcBorders>
              <w:right w:val="double" w:color="auto" w:sz="4" w:space="0"/>
            </w:tcBorders>
            <w:noWra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687" w:type="dxa"/>
            <w:gridSpan w:val="2"/>
            <w:tcBorders>
              <w:left w:val="double" w:color="auto" w:sz="4" w:space="0"/>
              <w:bottom w:val="double" w:color="auto" w:sz="4"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总得分</w:t>
            </w:r>
          </w:p>
        </w:tc>
        <w:tc>
          <w:tcPr>
            <w:tcW w:w="911" w:type="dxa"/>
            <w:tcBorders>
              <w:bottom w:val="double" w:color="auto" w:sz="4"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70</w:t>
            </w:r>
          </w:p>
        </w:tc>
        <w:tc>
          <w:tcPr>
            <w:tcW w:w="600" w:type="dxa"/>
            <w:tcBorders>
              <w:bottom w:val="double" w:color="auto" w:sz="4" w:space="0"/>
              <w:right w:val="double" w:color="auto" w:sz="4" w:space="0"/>
            </w:tcBorders>
            <w:noWrap/>
            <w:vAlign w:val="center"/>
          </w:tcPr>
          <w:p>
            <w:pPr>
              <w:rPr>
                <w:rFonts w:ascii="宋体" w:hAnsi="宋体" w:cs="宋体"/>
                <w:color w:val="auto"/>
                <w:highlight w:val="none"/>
              </w:rPr>
            </w:pPr>
          </w:p>
        </w:tc>
      </w:tr>
    </w:tbl>
    <w:p>
      <w:pPr>
        <w:spacing w:line="260" w:lineRule="exact"/>
        <w:rPr>
          <w:rFonts w:ascii="宋体" w:hAnsi="宋体" w:cs="宋体"/>
          <w:b/>
          <w:szCs w:val="21"/>
          <w:lang w:bidi="ar"/>
        </w:rPr>
      </w:pPr>
      <w:r>
        <w:rPr>
          <w:rFonts w:hint="eastAsia" w:ascii="宋体" w:hAnsi="宋体" w:cs="宋体"/>
          <w:b/>
          <w:szCs w:val="21"/>
          <w:lang w:bidi="ar"/>
        </w:rPr>
        <w:t>注：1、各评委成员自行按以上参考分值评分，小数点后保留一位数。</w:t>
      </w:r>
    </w:p>
    <w:p>
      <w:pPr>
        <w:spacing w:line="260" w:lineRule="exact"/>
        <w:rPr>
          <w:rFonts w:ascii="宋体" w:hAnsi="宋体" w:cs="宋体"/>
          <w:b/>
          <w:szCs w:val="21"/>
          <w:lang w:bidi="ar"/>
        </w:rPr>
      </w:pPr>
      <w:r>
        <w:rPr>
          <w:rFonts w:hint="eastAsia" w:ascii="宋体" w:hAnsi="宋体" w:cs="宋体"/>
          <w:b/>
          <w:szCs w:val="21"/>
          <w:lang w:bidi="ar"/>
        </w:rPr>
        <w:t>2、以上分值重复的地方，下限不含，上限含。</w:t>
      </w:r>
    </w:p>
    <w:p>
      <w:pPr>
        <w:widowControl/>
        <w:spacing w:line="340" w:lineRule="exact"/>
        <w:rPr>
          <w:rFonts w:ascii="宋体" w:hAnsi="宋体" w:cs="宋体"/>
          <w:szCs w:val="21"/>
        </w:rPr>
      </w:pPr>
      <w:r>
        <w:rPr>
          <w:rFonts w:hint="eastAsia" w:ascii="宋体" w:hAnsi="宋体" w:cs="宋体"/>
          <w:szCs w:val="21"/>
          <w:lang w:bidi="ar"/>
        </w:rPr>
        <w:br w:type="page"/>
      </w:r>
      <w:r>
        <w:rPr>
          <w:rFonts w:hint="eastAsia" w:ascii="宋体" w:hAnsi="宋体" w:cs="宋体"/>
          <w:szCs w:val="21"/>
          <w:lang w:bidi="ar"/>
        </w:rPr>
        <w:t>附表4</w:t>
      </w:r>
    </w:p>
    <w:p>
      <w:pPr>
        <w:pStyle w:val="45"/>
        <w:spacing w:line="360" w:lineRule="auto"/>
        <w:ind w:firstLine="0" w:firstLineChars="0"/>
        <w:jc w:val="center"/>
        <w:rPr>
          <w:rFonts w:ascii="宋体" w:hAnsi="宋体" w:eastAsia="宋体" w:cs="宋体"/>
          <w:b/>
          <w:bCs/>
          <w:sz w:val="28"/>
          <w:szCs w:val="28"/>
          <w:lang w:bidi="ar"/>
        </w:rPr>
      </w:pPr>
      <w:r>
        <w:rPr>
          <w:rFonts w:hint="eastAsia" w:ascii="宋体" w:hAnsi="宋体" w:eastAsia="宋体" w:cs="宋体"/>
          <w:b/>
          <w:bCs/>
          <w:sz w:val="28"/>
          <w:szCs w:val="28"/>
          <w:lang w:bidi="ar"/>
        </w:rPr>
        <w:t>报价文件符合性审查表</w:t>
      </w:r>
    </w:p>
    <w:tbl>
      <w:tblPr>
        <w:tblStyle w:val="4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94"/>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Cs w:val="21"/>
              </w:rPr>
            </w:pPr>
            <w:r>
              <w:rPr>
                <w:rFonts w:hint="eastAsia" w:ascii="宋体" w:hAnsi="宋体" w:cs="宋体"/>
                <w:b/>
                <w:szCs w:val="21"/>
                <w:lang w:bidi="ar"/>
              </w:rPr>
              <w:t>序号</w:t>
            </w:r>
          </w:p>
        </w:tc>
        <w:tc>
          <w:tcPr>
            <w:tcW w:w="359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Cs w:val="21"/>
              </w:rPr>
            </w:pPr>
            <w:r>
              <w:rPr>
                <w:rFonts w:hint="eastAsia" w:ascii="宋体" w:hAnsi="宋体" w:cs="宋体"/>
                <w:b/>
                <w:szCs w:val="21"/>
                <w:lang w:bidi="ar"/>
              </w:rPr>
              <w:t>要求</w:t>
            </w:r>
          </w:p>
        </w:tc>
        <w:tc>
          <w:tcPr>
            <w:tcW w:w="510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szCs w:val="21"/>
              </w:rPr>
            </w:pPr>
            <w:r>
              <w:rPr>
                <w:rFonts w:hint="eastAsia" w:ascii="宋体" w:hAnsi="宋体" w:cs="宋体"/>
                <w:b/>
                <w:szCs w:val="21"/>
                <w:lang w:bidi="ar"/>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359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lang w:bidi="ar"/>
              </w:rPr>
            </w:pPr>
            <w:r>
              <w:rPr>
                <w:rFonts w:hint="eastAsia" w:ascii="宋体" w:hAnsi="宋体" w:cs="宋体"/>
                <w:szCs w:val="21"/>
                <w:lang w:bidi="ar"/>
              </w:rPr>
              <w:t>供应商名称与营业执照副本一致</w:t>
            </w:r>
          </w:p>
        </w:tc>
        <w:tc>
          <w:tcPr>
            <w:tcW w:w="510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lang w:bidi="ar"/>
              </w:rPr>
            </w:pPr>
            <w:r>
              <w:rPr>
                <w:rFonts w:hint="eastAsia" w:ascii="宋体" w:hAnsi="宋体" w:cs="宋体"/>
                <w:szCs w:val="21"/>
                <w:lang w:bidi="ar"/>
              </w:rPr>
              <w:t>供应商名称与营业执照副本一致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20"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bidi="ar"/>
              </w:rPr>
              <w:t>2</w:t>
            </w:r>
          </w:p>
        </w:tc>
        <w:tc>
          <w:tcPr>
            <w:tcW w:w="3594" w:type="dxa"/>
            <w:tcBorders>
              <w:top w:val="single" w:color="auto" w:sz="4" w:space="0"/>
              <w:left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bCs/>
                <w:color w:val="auto"/>
                <w:szCs w:val="21"/>
                <w:highlight w:val="none"/>
              </w:rPr>
              <w:t>总投标报价超出预算价或最高限价的的投标为无效投标。</w:t>
            </w:r>
          </w:p>
        </w:tc>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仿宋_GB2312"/>
                <w:b/>
                <w:szCs w:val="21"/>
                <w:lang w:eastAsia="zh-CN" w:bidi="ar"/>
              </w:rPr>
            </w:pPr>
            <w:r>
              <w:rPr>
                <w:rFonts w:hint="eastAsia" w:ascii="宋体" w:hAnsi="宋体" w:cs="宋体"/>
                <w:bCs/>
                <w:color w:val="auto"/>
                <w:szCs w:val="21"/>
                <w:highlight w:val="none"/>
              </w:rPr>
              <w:t>总投标报价超出预算价或最高限价的投标为无效投标。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bidi="ar"/>
              </w:rPr>
              <w:t>3</w:t>
            </w:r>
          </w:p>
        </w:tc>
        <w:tc>
          <w:tcPr>
            <w:tcW w:w="359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lang w:bidi="ar"/>
              </w:rPr>
              <w:t>投标文件的签署盖章符合第二章“投标须知”第九、2条的要求</w:t>
            </w:r>
          </w:p>
        </w:tc>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lang w:bidi="ar"/>
              </w:rPr>
              <w:t>标文件的签署盖章符合第二章“投标须知”第九、2条的要求。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bidi="ar"/>
              </w:rPr>
              <w:t>4</w:t>
            </w:r>
          </w:p>
        </w:tc>
        <w:tc>
          <w:tcPr>
            <w:tcW w:w="359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2"/>
              </w:rPr>
            </w:pPr>
            <w:r>
              <w:rPr>
                <w:rFonts w:hint="eastAsia" w:ascii="宋体" w:hAnsi="宋体" w:cs="宋体"/>
                <w:szCs w:val="22"/>
              </w:rPr>
              <w:t>供应商报价合理</w:t>
            </w:r>
            <w:r>
              <w:rPr>
                <w:rFonts w:hint="eastAsia" w:ascii="宋体" w:hAnsi="宋体" w:cs="宋体"/>
                <w:szCs w:val="21"/>
                <w:lang w:bidi="ar"/>
              </w:rPr>
              <w:t>（本项无需上传或关联资料）</w:t>
            </w:r>
          </w:p>
        </w:tc>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lang w:bidi="ar"/>
              </w:rPr>
              <w:t>评标委员会认为供应商的报价低于其他通过初步审查的供应商的报价平均值的80%以下的，有可能影响服务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rPr>
                <w:sz w:val="20"/>
              </w:rPr>
            </w:pPr>
            <w:r>
              <w:rPr>
                <w:rFonts w:hint="eastAsia"/>
                <w:sz w:val="20"/>
              </w:rPr>
              <w:t>5</w:t>
            </w:r>
          </w:p>
        </w:tc>
        <w:tc>
          <w:tcPr>
            <w:tcW w:w="35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lang w:bidi="ar"/>
              </w:rPr>
            </w:pPr>
            <w:r>
              <w:rPr>
                <w:rFonts w:hint="eastAsia" w:ascii="宋体" w:hAnsi="宋体" w:cs="宋体"/>
                <w:szCs w:val="21"/>
                <w:lang w:bidi="ar"/>
              </w:rPr>
              <w:t>供应商编制的投标文件符合法律、法规和采购文件中规定并对实质性要求完全响应</w:t>
            </w:r>
          </w:p>
        </w:tc>
        <w:tc>
          <w:tcPr>
            <w:tcW w:w="51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lang w:bidi="ar"/>
              </w:rPr>
            </w:pPr>
            <w:r>
              <w:rPr>
                <w:rFonts w:hint="eastAsia" w:ascii="宋体" w:hAnsi="宋体" w:cs="宋体"/>
                <w:szCs w:val="21"/>
                <w:lang w:bidi="ar"/>
              </w:rPr>
              <w:t>供应商编制的投标文件符合法律、法规和采购文件中规定的并对其他实质性要求完全响应（实质性要求招标文件中“▲”标记）。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b/>
                <w:szCs w:val="21"/>
                <w:lang w:bidi="ar"/>
              </w:rPr>
              <w:t>初步审查结论</w:t>
            </w:r>
          </w:p>
        </w:tc>
        <w:tc>
          <w:tcPr>
            <w:tcW w:w="510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p>
        </w:tc>
      </w:tr>
    </w:tbl>
    <w:p>
      <w:pPr>
        <w:spacing w:line="400" w:lineRule="exact"/>
        <w:rPr>
          <w:rFonts w:ascii="宋体" w:hAnsi="宋体" w:cs="宋体"/>
          <w:b/>
          <w:szCs w:val="22"/>
          <w:lang w:bidi="ar"/>
        </w:rPr>
      </w:pPr>
      <w:r>
        <w:rPr>
          <w:rFonts w:hint="eastAsia" w:ascii="宋体" w:hAnsi="宋体" w:cs="宋体"/>
          <w:b/>
          <w:szCs w:val="22"/>
          <w:lang w:bidi="ar"/>
        </w:rPr>
        <w:t>注：1、上述审查项目中，任意一项不符合的，报价文件符合性审查不合格。</w:t>
      </w:r>
    </w:p>
    <w:p>
      <w:pPr>
        <w:rPr>
          <w:rFonts w:ascii="Verdana" w:hAnsi="Verdana"/>
          <w:kern w:val="0"/>
          <w:sz w:val="20"/>
        </w:rPr>
      </w:pPr>
    </w:p>
    <w:p>
      <w:pPr>
        <w:pStyle w:val="45"/>
        <w:rPr>
          <w:color w:val="auto"/>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附表5</w:t>
      </w:r>
    </w:p>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价格评分表</w:t>
      </w:r>
    </w:p>
    <w:p>
      <w:pPr>
        <w:pStyle w:val="45"/>
        <w:ind w:firstLine="480"/>
        <w:rPr>
          <w:rFonts w:ascii="宋体" w:hAnsi="宋体" w:eastAsia="宋体" w:cs="宋体"/>
          <w:color w:val="auto"/>
          <w:highlight w:val="none"/>
        </w:rPr>
      </w:pPr>
    </w:p>
    <w:tbl>
      <w:tblPr>
        <w:tblStyle w:val="47"/>
        <w:tblpPr w:leftFromText="180" w:rightFromText="180" w:vertAnchor="text" w:horzAnchor="page" w:tblpX="1049" w:tblpY="50"/>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775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9000" w:type="dxa"/>
            <w:gridSpan w:val="2"/>
            <w:tcBorders>
              <w:top w:val="single" w:color="auto" w:sz="4" w:space="0"/>
              <w:left w:val="single" w:color="auto" w:sz="4" w:space="0"/>
              <w:bottom w:val="single" w:color="auto" w:sz="4" w:space="0"/>
              <w:right w:val="single" w:color="auto" w:sz="4" w:space="0"/>
              <w:tl2br w:val="single" w:color="000000" w:sz="4" w:space="0"/>
            </w:tcBorders>
            <w:noWrap/>
          </w:tcPr>
          <w:p>
            <w:pPr>
              <w:spacing w:line="320" w:lineRule="exact"/>
              <w:ind w:right="420" w:firstLine="4410" w:firstLineChars="2100"/>
              <w:rPr>
                <w:rFonts w:ascii="宋体" w:hAnsi="宋体" w:cs="宋体"/>
                <w:color w:val="auto"/>
                <w:szCs w:val="21"/>
                <w:highlight w:val="none"/>
              </w:rPr>
            </w:pPr>
            <w:r>
              <w:rPr>
                <w:rFonts w:hint="eastAsia" w:ascii="宋体" w:hAnsi="宋体" w:cs="宋体"/>
                <w:color w:val="auto"/>
                <w:szCs w:val="21"/>
                <w:highlight w:val="none"/>
              </w:rPr>
              <w:t xml:space="preserve">                        供应商</w:t>
            </w:r>
          </w:p>
          <w:p>
            <w:pPr>
              <w:spacing w:line="320" w:lineRule="exact"/>
              <w:ind w:firstLine="945" w:firstLineChars="450"/>
              <w:rPr>
                <w:rFonts w:ascii="宋体" w:hAnsi="宋体" w:cs="宋体"/>
                <w:color w:val="auto"/>
                <w:szCs w:val="21"/>
                <w:highlight w:val="none"/>
              </w:rPr>
            </w:pPr>
            <w:r>
              <w:rPr>
                <w:rFonts w:hint="eastAsia" w:ascii="宋体" w:hAnsi="宋体" w:cs="宋体"/>
                <w:color w:val="auto"/>
                <w:szCs w:val="21"/>
                <w:highlight w:val="none"/>
              </w:rPr>
              <w:t>分值</w:t>
            </w:r>
          </w:p>
        </w:tc>
        <w:tc>
          <w:tcPr>
            <w:tcW w:w="85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trPr>
        <w:tc>
          <w:tcPr>
            <w:tcW w:w="1241" w:type="dxa"/>
            <w:tcBorders>
              <w:top w:val="single" w:color="auto" w:sz="4" w:space="0"/>
              <w:left w:val="single" w:color="auto" w:sz="4" w:space="0"/>
              <w:right w:val="single" w:color="auto" w:sz="4" w:space="0"/>
            </w:tcBorders>
            <w:noWrap/>
            <w:vAlign w:val="center"/>
          </w:tcPr>
          <w:p>
            <w:pPr>
              <w:snapToGrid w:val="0"/>
              <w:jc w:val="center"/>
              <w:rPr>
                <w:rFonts w:ascii="宋体" w:hAnsi="宋体" w:cs="宋体"/>
                <w:color w:val="auto"/>
                <w:spacing w:val="-4"/>
                <w:szCs w:val="21"/>
                <w:highlight w:val="none"/>
              </w:rPr>
            </w:pPr>
            <w:r>
              <w:rPr>
                <w:rFonts w:hint="eastAsia" w:ascii="宋体" w:hAnsi="宋体" w:cs="宋体"/>
                <w:color w:val="auto"/>
                <w:spacing w:val="-4"/>
                <w:szCs w:val="21"/>
                <w:highlight w:val="none"/>
              </w:rPr>
              <w:t>价格</w:t>
            </w:r>
          </w:p>
          <w:p>
            <w:pPr>
              <w:snapToGrid w:val="0"/>
              <w:jc w:val="center"/>
              <w:rPr>
                <w:rFonts w:ascii="宋体" w:hAnsi="宋体" w:cs="宋体"/>
                <w:color w:val="auto"/>
                <w:szCs w:val="21"/>
                <w:highlight w:val="none"/>
              </w:rPr>
            </w:pPr>
            <w:r>
              <w:rPr>
                <w:rFonts w:hint="eastAsia" w:ascii="宋体" w:hAnsi="宋体" w:cs="宋体"/>
                <w:color w:val="auto"/>
                <w:spacing w:val="-4"/>
                <w:szCs w:val="21"/>
                <w:highlight w:val="none"/>
              </w:rPr>
              <w:t>（30分）</w:t>
            </w:r>
          </w:p>
        </w:tc>
        <w:tc>
          <w:tcPr>
            <w:tcW w:w="7759" w:type="dxa"/>
            <w:tcBorders>
              <w:top w:val="single" w:color="auto" w:sz="4" w:space="0"/>
              <w:left w:val="single" w:color="auto" w:sz="4" w:space="0"/>
              <w:right w:val="single" w:color="auto" w:sz="4" w:space="0"/>
            </w:tcBorders>
            <w:noWrap/>
            <w:vAlign w:val="center"/>
          </w:tcPr>
          <w:p>
            <w:pPr>
              <w:spacing w:line="320" w:lineRule="exact"/>
              <w:rPr>
                <w:rFonts w:ascii="宋体" w:hAnsi="宋体" w:cs="宋体"/>
                <w:color w:val="auto"/>
                <w:highlight w:val="none"/>
              </w:rPr>
            </w:pPr>
            <w:r>
              <w:rPr>
                <w:rFonts w:hint="eastAsia" w:ascii="宋体" w:hAnsi="宋体" w:cs="宋体"/>
                <w:color w:val="auto"/>
                <w:highlight w:val="none"/>
              </w:rPr>
              <w:t>本次采购为非专门面向中小企业，本次评审将对中小企业声明函中满足采购文件要求的小微型企业的投标报价给予20%的扣除，用扣除后的价格参与评审。</w:t>
            </w:r>
          </w:p>
          <w:p>
            <w:pPr>
              <w:spacing w:line="320" w:lineRule="exact"/>
              <w:rPr>
                <w:rFonts w:ascii="宋体" w:hAnsi="宋体" w:cs="宋体"/>
                <w:color w:val="auto"/>
                <w:highlight w:val="none"/>
              </w:rPr>
            </w:pPr>
            <w:r>
              <w:rPr>
                <w:rFonts w:hint="eastAsia" w:ascii="宋体" w:hAnsi="宋体" w:cs="宋体"/>
                <w:color w:val="auto"/>
                <w:highlight w:val="none"/>
              </w:rPr>
              <w:t>满足采购文件要求且投标报价最低的为评审基准价，等于基准价的得分为满分。其他投标人的报价分按照下式计算：</w:t>
            </w:r>
          </w:p>
          <w:p>
            <w:pPr>
              <w:spacing w:line="320" w:lineRule="exact"/>
              <w:rPr>
                <w:rFonts w:ascii="宋体" w:hAnsi="宋体" w:cs="宋体"/>
                <w:color w:val="auto"/>
                <w:szCs w:val="21"/>
                <w:highlight w:val="none"/>
              </w:rPr>
            </w:pPr>
            <w:r>
              <w:rPr>
                <w:rFonts w:hint="eastAsia" w:ascii="宋体" w:hAnsi="宋体" w:cs="宋体"/>
                <w:color w:val="auto"/>
                <w:highlight w:val="none"/>
              </w:rPr>
              <w:t>报价得分＝（基准价÷参与评审报价）×30。</w:t>
            </w:r>
          </w:p>
        </w:tc>
        <w:tc>
          <w:tcPr>
            <w:tcW w:w="85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00"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color w:val="auto"/>
                <w:szCs w:val="21"/>
                <w:highlight w:val="none"/>
              </w:rPr>
            </w:pPr>
            <w:r>
              <w:rPr>
                <w:rFonts w:hint="eastAsia" w:ascii="宋体" w:hAnsi="宋体" w:cs="宋体"/>
                <w:b/>
                <w:color w:val="auto"/>
                <w:sz w:val="22"/>
                <w:szCs w:val="18"/>
                <w:highlight w:val="none"/>
              </w:rPr>
              <w:t>报价得分（30分）</w:t>
            </w:r>
          </w:p>
        </w:tc>
        <w:tc>
          <w:tcPr>
            <w:tcW w:w="85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color w:val="auto"/>
                <w:szCs w:val="21"/>
                <w:highlight w:val="none"/>
              </w:rPr>
            </w:pPr>
          </w:p>
        </w:tc>
      </w:tr>
    </w:tbl>
    <w:p>
      <w:pPr>
        <w:spacing w:line="320" w:lineRule="exact"/>
        <w:ind w:firstLine="211" w:firstLineChars="100"/>
        <w:rPr>
          <w:rFonts w:ascii="宋体" w:hAnsi="宋体" w:cs="宋体"/>
          <w:b/>
          <w:color w:val="auto"/>
          <w:szCs w:val="21"/>
          <w:highlight w:val="none"/>
        </w:rPr>
      </w:pPr>
    </w:p>
    <w:p>
      <w:pPr>
        <w:spacing w:line="360" w:lineRule="auto"/>
        <w:rPr>
          <w:rFonts w:ascii="宋体" w:hAnsi="宋体" w:cs="宋体"/>
          <w:b/>
          <w:color w:val="auto"/>
          <w:szCs w:val="21"/>
          <w:highlight w:val="none"/>
        </w:rPr>
      </w:pPr>
    </w:p>
    <w:p>
      <w:pPr>
        <w:rPr>
          <w:rFonts w:ascii="Verdana" w:hAnsi="Verdana"/>
          <w:kern w:val="0"/>
          <w:sz w:val="20"/>
        </w:rPr>
      </w:pPr>
    </w:p>
    <w:p>
      <w:pPr>
        <w:rPr>
          <w:rFonts w:ascii="Verdana" w:hAnsi="Verdana"/>
          <w:kern w:val="0"/>
          <w:sz w:val="20"/>
        </w:rPr>
      </w:pPr>
    </w:p>
    <w:p>
      <w:pPr>
        <w:rPr>
          <w:rFonts w:ascii="Verdana" w:hAnsi="Verdana"/>
          <w:kern w:val="0"/>
          <w:sz w:val="20"/>
        </w:rPr>
      </w:pPr>
    </w:p>
    <w:p>
      <w:pPr>
        <w:pStyle w:val="3"/>
        <w:keepLines/>
        <w:spacing w:before="340" w:after="330" w:line="240" w:lineRule="auto"/>
        <w:rPr>
          <w:sz w:val="36"/>
          <w:szCs w:val="36"/>
        </w:rPr>
      </w:pPr>
      <w:bookmarkStart w:id="54" w:name="_Toc32591"/>
      <w:r>
        <w:rPr>
          <w:rFonts w:hint="eastAsia"/>
          <w:sz w:val="36"/>
          <w:szCs w:val="36"/>
        </w:rPr>
        <w:t>第四章  采购合同样本</w:t>
      </w:r>
      <w:bookmarkEnd w:id="52"/>
      <w:bookmarkEnd w:id="54"/>
    </w:p>
    <w:p>
      <w:pPr>
        <w:pStyle w:val="3"/>
        <w:keepLines/>
        <w:spacing w:before="340" w:after="330" w:line="240" w:lineRule="auto"/>
        <w:rPr>
          <w:sz w:val="18"/>
          <w:szCs w:val="18"/>
        </w:rPr>
      </w:pPr>
      <w:bookmarkStart w:id="55" w:name="_Toc2199"/>
      <w:bookmarkStart w:id="56" w:name="_Toc32584"/>
      <w:bookmarkStart w:id="57" w:name="_Toc29021"/>
      <w:bookmarkStart w:id="58" w:name="_Toc18645"/>
      <w:bookmarkStart w:id="59" w:name="_Toc508626485"/>
      <w:bookmarkStart w:id="60" w:name="_Toc6096"/>
      <w:r>
        <w:rPr>
          <w:rFonts w:hint="eastAsia"/>
          <w:sz w:val="18"/>
          <w:szCs w:val="18"/>
        </w:rPr>
        <w:t>（本合同为合同样稿，最终稿由甲乙双方协商后确定）</w:t>
      </w:r>
      <w:bookmarkEnd w:id="55"/>
      <w:bookmarkEnd w:id="56"/>
      <w:bookmarkEnd w:id="57"/>
      <w:bookmarkEnd w:id="58"/>
      <w:bookmarkEnd w:id="59"/>
      <w:bookmarkEnd w:id="60"/>
    </w:p>
    <w:bookmarkEnd w:id="53"/>
    <w:p>
      <w:pPr>
        <w:spacing w:line="420" w:lineRule="exact"/>
        <w:ind w:firstLine="440" w:firstLineChars="200"/>
        <w:rPr>
          <w:rFonts w:ascii="宋体" w:hAnsi="宋体" w:cs="宋体"/>
          <w:color w:val="auto"/>
          <w:sz w:val="22"/>
          <w:szCs w:val="22"/>
          <w:highlight w:val="none"/>
        </w:rPr>
      </w:pPr>
      <w:bookmarkStart w:id="61" w:name="_Toc20275"/>
      <w:bookmarkStart w:id="62" w:name="_Toc346528673"/>
      <w:bookmarkStart w:id="63" w:name="_Toc346528235"/>
      <w:bookmarkStart w:id="64" w:name="_Toc1047"/>
      <w:bookmarkStart w:id="65" w:name="_Toc346528169"/>
      <w:bookmarkStart w:id="66" w:name="_Toc1840"/>
      <w:bookmarkStart w:id="67" w:name="_Toc216662965"/>
      <w:r>
        <w:rPr>
          <w:rFonts w:hint="eastAsia" w:ascii="宋体" w:hAnsi="宋体" w:cs="宋体"/>
          <w:color w:val="auto"/>
          <w:sz w:val="22"/>
          <w:szCs w:val="22"/>
          <w:highlight w:val="none"/>
        </w:rPr>
        <w:t>甲方：（采购人）</w:t>
      </w:r>
    </w:p>
    <w:p>
      <w:pP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乙方：（供应商）</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经过公开招标，确定</w:t>
      </w:r>
      <w:r>
        <w:rPr>
          <w:rFonts w:hint="eastAsia" w:ascii="宋体" w:hAnsi="宋体" w:cs="宋体"/>
          <w:color w:val="auto"/>
          <w:szCs w:val="21"/>
          <w:highlight w:val="none"/>
          <w:u w:val="single"/>
        </w:rPr>
        <w:t>（乙方）</w:t>
      </w:r>
      <w:r>
        <w:rPr>
          <w:rFonts w:hint="eastAsia" w:ascii="宋体" w:hAnsi="宋体" w:cs="宋体"/>
          <w:color w:val="auto"/>
          <w:szCs w:val="21"/>
          <w:highlight w:val="none"/>
        </w:rPr>
        <w:t>为</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的供应商，双方在自愿、平等、协商一致的基础上，特订立本总包合同。</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第一条  合同事项</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本合同就甲方委托乙方管理的事项仅做如下简要说明，具体详见甲方发出的“慈溪市慈通（掌起）创新产业区配套基础设施一期工程</w:t>
      </w:r>
      <w:r>
        <w:rPr>
          <w:rFonts w:hint="eastAsia" w:ascii="宋体" w:hAnsi="宋体" w:cs="宋体"/>
          <w:color w:val="auto"/>
          <w:szCs w:val="21"/>
          <w:highlight w:val="none"/>
          <w:lang w:eastAsia="zh-CN"/>
        </w:rPr>
        <w:t>-交通疏解管理服务采购项目</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”招标文件及乙方针对本项目的投标文件。</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第二条  合同文件组成及解释顺序</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1、下列文件一起组成本合同文件：</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（1）本采购合同及其补充协议（如有）；</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（2）中标通知书；</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（3）招标文件及其修改、补充文件（如有）；</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（4）询标承诺、询疑答复；</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（5）投标文件及其补充文件；</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（6）双方来函</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文件组成的所有内容是构成合同不可分割的部分，与合同具有同等法律效力。上述文件相互补充和解释，如有不明确或不一致之处，以上述顺序在先者为准。除上述合同顺序外，合同文件之间有矛盾的，以较后时间制定的为准。</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第三条  服务期限</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本项目服务期一年（2022年  月  日至202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  月  日）或采购费用达到预算金额，以先达到者为准。服务期满或采购费用达到合同金额后，经采购人考核合格并达到续签条件后，报慈溪市公共资源交易管理办公室备案，合同可续签一年或一次，最多可续签二年或二次。</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第四条  暂定总包合同金额及费用支付</w:t>
      </w:r>
    </w:p>
    <w:p>
      <w:pPr>
        <w:spacing w:line="420" w:lineRule="exact"/>
        <w:ind w:firstLine="420" w:firstLineChars="200"/>
        <w:rPr>
          <w:rFonts w:ascii="宋体" w:hAnsi="宋体"/>
          <w:b/>
          <w:color w:val="auto"/>
          <w:szCs w:val="21"/>
          <w:highlight w:val="none"/>
        </w:rPr>
      </w:pPr>
      <w:r>
        <w:rPr>
          <w:rFonts w:hint="eastAsia" w:ascii="宋体" w:hAnsi="宋体" w:cs="宋体"/>
          <w:color w:val="auto"/>
          <w:szCs w:val="21"/>
          <w:highlight w:val="none"/>
        </w:rPr>
        <w:t>1、暂定总包合同金额：</w:t>
      </w:r>
      <w:r>
        <w:rPr>
          <w:rFonts w:hint="eastAsia" w:ascii="宋体" w:hAnsi="宋体"/>
          <w:color w:val="auto"/>
          <w:szCs w:val="21"/>
          <w:highlight w:val="none"/>
        </w:rPr>
        <w:t>人民币（大写）元整</w:t>
      </w:r>
      <w:r>
        <w:rPr>
          <w:rFonts w:ascii="宋体" w:hAnsi="宋体"/>
          <w:color w:val="auto"/>
          <w:szCs w:val="21"/>
          <w:highlight w:val="none"/>
        </w:rPr>
        <w:t>（¥</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合同服务单价为元/工时，服务期限</w:t>
      </w:r>
      <w:r>
        <w:rPr>
          <w:rFonts w:hint="eastAsia" w:hAnsi="宋体"/>
          <w:color w:val="auto"/>
          <w:highlight w:val="none"/>
        </w:rPr>
        <w:t>内单价不作调整</w:t>
      </w:r>
      <w:r>
        <w:rPr>
          <w:rFonts w:hint="eastAsia" w:ascii="宋体" w:hAnsi="宋体" w:cs="宋体"/>
          <w:color w:val="auto"/>
          <w:szCs w:val="21"/>
          <w:highlight w:val="none"/>
        </w:rPr>
        <w:t>。</w:t>
      </w:r>
      <w:r>
        <w:rPr>
          <w:rFonts w:hint="eastAsia" w:ascii="宋体" w:hAnsi="宋体"/>
          <w:b/>
          <w:bCs/>
          <w:color w:val="auto"/>
          <w:szCs w:val="21"/>
          <w:highlight w:val="none"/>
        </w:rPr>
        <w:t>因本项目工时数量均为暂定，不排除合同期内工时数量减少</w:t>
      </w:r>
      <w:r>
        <w:rPr>
          <w:rFonts w:hint="eastAsia" w:ascii="宋体" w:hAnsi="宋体"/>
          <w:b/>
          <w:color w:val="auto"/>
          <w:szCs w:val="21"/>
          <w:highlight w:val="none"/>
        </w:rPr>
        <w:t>，乙方不得因</w:t>
      </w:r>
      <w:r>
        <w:rPr>
          <w:rFonts w:hint="eastAsia" w:ascii="宋体" w:hAnsi="宋体"/>
          <w:b/>
          <w:bCs/>
          <w:color w:val="auto"/>
          <w:szCs w:val="21"/>
          <w:highlight w:val="none"/>
        </w:rPr>
        <w:t>工时数量减少</w:t>
      </w:r>
      <w:r>
        <w:rPr>
          <w:rFonts w:hint="eastAsia" w:ascii="宋体" w:hAnsi="宋体"/>
          <w:b/>
          <w:color w:val="auto"/>
          <w:szCs w:val="21"/>
          <w:highlight w:val="none"/>
        </w:rPr>
        <w:t>向甲方提出索赔或任何经济补偿。</w:t>
      </w:r>
    </w:p>
    <w:p>
      <w:pPr>
        <w:spacing w:line="420" w:lineRule="exact"/>
        <w:ind w:firstLine="420" w:firstLineChars="200"/>
        <w:rPr>
          <w:rFonts w:ascii="宋体" w:hAnsi="宋体" w:cs="宋体"/>
          <w:color w:val="auto"/>
          <w:szCs w:val="21"/>
          <w:highlight w:val="none"/>
        </w:rPr>
      </w:pPr>
      <w:r>
        <w:rPr>
          <w:rFonts w:hint="eastAsia" w:hAnsi="宋体"/>
          <w:color w:val="auto"/>
          <w:highlight w:val="none"/>
        </w:rPr>
        <w:t>专职交通管理人员、工时数量等均为暂定，人员工作每天采用两班</w:t>
      </w:r>
      <w:r>
        <w:rPr>
          <w:rFonts w:hint="eastAsia" w:ascii="宋体" w:hAnsi="宋体"/>
          <w:color w:val="auto"/>
          <w:szCs w:val="21"/>
          <w:highlight w:val="none"/>
        </w:rPr>
        <w:t>（早晚高峰和平峰）</w:t>
      </w:r>
      <w:r>
        <w:rPr>
          <w:rFonts w:hint="eastAsia" w:hAnsi="宋体"/>
          <w:color w:val="auto"/>
          <w:highlight w:val="none"/>
        </w:rPr>
        <w:t>工作制，每班上岗时间暂按6小时计，具体根据实际工程经审批的交通组织方案或交警部门的实际要求确定并分组安排。若遇交通繁忙时段，甲方和交警部门均有权要求乙方增加专职交通管理人员数量或延长每班工作时间（最多延长2小时），乙方须无条件服从并配备到位，不计费用补偿，其中晚高峰时间18：30后，晚间保证4人延长2小时，按晚间工作时间段18：30</w:t>
      </w:r>
      <w:r>
        <w:rPr>
          <w:rFonts w:hAnsi="宋体"/>
          <w:color w:val="auto"/>
          <w:highlight w:val="none"/>
        </w:rPr>
        <w:t>—</w:t>
      </w:r>
      <w:r>
        <w:rPr>
          <w:rFonts w:hint="eastAsia" w:hAnsi="宋体"/>
          <w:color w:val="auto"/>
          <w:highlight w:val="none"/>
        </w:rPr>
        <w:t>20：30，也不计费用补偿。实际结算时按以下原则计量：每班工作时长小于等于6小时的，</w:t>
      </w:r>
      <w:r>
        <w:rPr>
          <w:rFonts w:hint="eastAsia" w:ascii="宋体" w:hAnsi="宋体"/>
          <w:bCs/>
          <w:color w:val="auto"/>
          <w:szCs w:val="21"/>
          <w:highlight w:val="none"/>
        </w:rPr>
        <w:t>按实际工作时长计算费用(以小时为单位取整数，不足0.5小时的不计，超过0.5小时的按1小时计)；每班工作时长大于6小时且小于等于8小时的，延长2小时的工作时间不追加费用补偿</w:t>
      </w:r>
      <w:r>
        <w:rPr>
          <w:rFonts w:hint="eastAsia"/>
          <w:bCs/>
          <w:iCs/>
          <w:color w:val="auto"/>
          <w:szCs w:val="22"/>
          <w:highlight w:val="none"/>
        </w:rPr>
        <w:t>。</w:t>
      </w:r>
      <w:r>
        <w:rPr>
          <w:rFonts w:hint="eastAsia" w:ascii="宋体" w:hAnsi="宋体" w:cs="宋体"/>
          <w:color w:val="auto"/>
          <w:szCs w:val="21"/>
          <w:highlight w:val="none"/>
        </w:rPr>
        <w:t>（1）</w:t>
      </w:r>
      <w:r>
        <w:rPr>
          <w:rFonts w:hint="eastAsia" w:ascii="宋体" w:hAnsi="宋体"/>
          <w:color w:val="auto"/>
          <w:szCs w:val="21"/>
          <w:highlight w:val="none"/>
        </w:rPr>
        <w:t>项目费用中不仅限于完成本项目</w:t>
      </w:r>
      <w:r>
        <w:rPr>
          <w:rFonts w:hint="eastAsia" w:ascii="宋体" w:hAnsi="宋体" w:cs="宋体"/>
          <w:color w:val="auto"/>
          <w:szCs w:val="21"/>
          <w:highlight w:val="none"/>
        </w:rPr>
        <w:t>服务</w:t>
      </w:r>
      <w:r>
        <w:rPr>
          <w:rFonts w:hint="eastAsia" w:ascii="宋体" w:hAnsi="宋体"/>
          <w:color w:val="auto"/>
          <w:szCs w:val="21"/>
          <w:highlight w:val="none"/>
        </w:rPr>
        <w:t>的</w:t>
      </w:r>
      <w:r>
        <w:rPr>
          <w:rFonts w:hint="eastAsia" w:ascii="宋体" w:hAnsi="宋体" w:cs="宋体"/>
          <w:color w:val="auto"/>
          <w:szCs w:val="21"/>
          <w:highlight w:val="none"/>
        </w:rPr>
        <w:t>专职交通管理人员</w:t>
      </w:r>
      <w:r>
        <w:rPr>
          <w:rFonts w:hint="eastAsia" w:ascii="宋体" w:hAnsi="宋体"/>
          <w:color w:val="auto"/>
          <w:szCs w:val="21"/>
          <w:highlight w:val="none"/>
        </w:rPr>
        <w:t>的工资，</w:t>
      </w:r>
      <w:r>
        <w:rPr>
          <w:rFonts w:hint="eastAsia" w:ascii="宋体" w:hAnsi="宋体"/>
          <w:b/>
          <w:color w:val="auto"/>
          <w:szCs w:val="21"/>
          <w:highlight w:val="none"/>
        </w:rPr>
        <w:t>包括人工工资、社会保险、保安人员福利费（含餐费、节日福利）、服装费、值班加班费、高温补贴、企业管理费、税金等一切为完成本项目所需的费用（以上涉及员工的费用均要发放到员工）</w:t>
      </w:r>
      <w:r>
        <w:rPr>
          <w:rFonts w:hint="eastAsia" w:ascii="宋体" w:hAnsi="宋体"/>
          <w:color w:val="auto"/>
          <w:szCs w:val="21"/>
          <w:highlight w:val="none"/>
        </w:rPr>
        <w:t>。乙方不得再要求追加任何费用。</w:t>
      </w:r>
    </w:p>
    <w:p>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服务期内服务人员实际工资不得低于慈溪市政府规定的当年最低工资标准，所有人员必须交纳包括养老、工伤、失业、生育、医疗等在内的社会保险和意外伤害保险，服务期内不得低于慈溪市政府规定的当年社保缴费基数。</w:t>
      </w:r>
    </w:p>
    <w:p>
      <w:pPr>
        <w:spacing w:line="420" w:lineRule="exact"/>
        <w:ind w:firstLine="422" w:firstLineChars="200"/>
        <w:rPr>
          <w:color w:val="auto"/>
          <w:highlight w:val="none"/>
        </w:rPr>
      </w:pPr>
      <w:r>
        <w:rPr>
          <w:rFonts w:hint="eastAsia" w:ascii="宋体" w:hAnsi="宋体" w:cs="宋体"/>
          <w:b/>
          <w:color w:val="auto"/>
          <w:szCs w:val="21"/>
          <w:highlight w:val="none"/>
        </w:rPr>
        <w:t>2、费用支付：</w:t>
      </w:r>
      <w:r>
        <w:rPr>
          <w:rFonts w:hint="eastAsia" w:ascii="宋体" w:hAnsi="宋体" w:cs="宋体"/>
          <w:color w:val="auto"/>
          <w:szCs w:val="21"/>
          <w:highlight w:val="none"/>
        </w:rPr>
        <w:t>合同签订后15个工作日内甲方支付给乙方暂定合同价的20%，每服务完成一个季度后，甲方根据乙方实际服务的工时数量按实结算（扣回预付款：本次应付金额的20%），费用支付前根据考核情况扣除应扣款</w:t>
      </w:r>
      <w:r>
        <w:rPr>
          <w:rFonts w:hint="eastAsia" w:ascii="宋体" w:hAnsi="宋体" w:cs="宋体"/>
          <w:color w:val="auto"/>
          <w:highlight w:val="none"/>
        </w:rPr>
        <w:t>。</w:t>
      </w:r>
    </w:p>
    <w:p>
      <w:pPr>
        <w:spacing w:line="420" w:lineRule="exact"/>
        <w:ind w:firstLine="422" w:firstLineChars="200"/>
        <w:rPr>
          <w:rFonts w:ascii="宋体" w:hAnsi="宋体" w:cs="宋体"/>
          <w:color w:val="auto"/>
          <w:szCs w:val="21"/>
          <w:highlight w:val="none"/>
        </w:rPr>
      </w:pPr>
      <w:r>
        <w:rPr>
          <w:rFonts w:hint="eastAsia" w:ascii="宋体" w:hAnsi="宋体"/>
          <w:b/>
          <w:color w:val="auto"/>
          <w:szCs w:val="21"/>
          <w:highlight w:val="none"/>
        </w:rPr>
        <w:t>若遇交通繁忙时段，交警部门要求增加专职交通管理人员数量，乙方需无条件服从并配备到位。</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第五条  履约保证</w:t>
      </w:r>
    </w:p>
    <w:p>
      <w:pPr>
        <w:spacing w:line="420" w:lineRule="exact"/>
        <w:ind w:firstLine="420" w:firstLineChars="200"/>
        <w:rPr>
          <w:rFonts w:ascii="宋体" w:hAnsi="宋体" w:cs="宋体"/>
          <w:color w:val="auto"/>
          <w:szCs w:val="21"/>
          <w:highlight w:val="none"/>
        </w:rPr>
      </w:pPr>
      <w:r>
        <w:rPr>
          <w:rFonts w:hint="eastAsia" w:ascii="宋体" w:hAnsi="宋体"/>
          <w:color w:val="auto"/>
          <w:szCs w:val="21"/>
          <w:highlight w:val="none"/>
        </w:rPr>
        <w:t>乙方</w:t>
      </w:r>
      <w:r>
        <w:rPr>
          <w:rFonts w:hint="eastAsia" w:ascii="宋体" w:hAnsi="宋体" w:cs="宋体"/>
          <w:color w:val="auto"/>
          <w:highlight w:val="none"/>
        </w:rPr>
        <w:t>在签订合同后7天内</w:t>
      </w:r>
      <w:r>
        <w:rPr>
          <w:rFonts w:hint="eastAsia" w:ascii="宋体" w:hAnsi="宋体"/>
          <w:color w:val="auto"/>
          <w:szCs w:val="21"/>
          <w:highlight w:val="none"/>
        </w:rPr>
        <w:t>，须向甲方缴纳暂定合同金额的1%作为履约保证金</w:t>
      </w:r>
      <w:r>
        <w:rPr>
          <w:rFonts w:hint="eastAsia" w:ascii="宋体" w:hAnsi="宋体" w:cs="宋体"/>
          <w:color w:val="auto"/>
          <w:highlight w:val="none"/>
        </w:rPr>
        <w:t>（四舍五入，精确到元），</w:t>
      </w:r>
      <w:r>
        <w:rPr>
          <w:rFonts w:hint="eastAsia" w:ascii="宋体" w:hAnsi="宋体" w:cs="宋体"/>
          <w:color w:val="auto"/>
          <w:szCs w:val="21"/>
          <w:highlight w:val="none"/>
        </w:rPr>
        <w:t>合同履约保证金为元</w:t>
      </w:r>
      <w:r>
        <w:rPr>
          <w:rFonts w:hint="eastAsia" w:ascii="宋体" w:hAnsi="宋体" w:cs="宋体"/>
          <w:color w:val="auto"/>
          <w:highlight w:val="none"/>
        </w:rPr>
        <w:t>，以银行保函或保险保单方式提交</w:t>
      </w:r>
      <w:r>
        <w:rPr>
          <w:rFonts w:hint="eastAsia" w:ascii="宋体" w:hAnsi="宋体"/>
          <w:color w:val="auto"/>
          <w:szCs w:val="21"/>
          <w:highlight w:val="none"/>
        </w:rPr>
        <w:t>，履约保证金在服务期满且完成合同内检查项目后7个工作日内一次性无息退还。但如果存在合同履行争议且尚未解决，则履约保证金有效期等争议最终解决且理赔完毕后终止。</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第六条  甲、乙双方的权利和义务</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1、甲方的权利和义务</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（1）甲方制订本项目规章制度，监督职工和外来人员遵守该制度；</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（2）监督本项目内员工遵守服务制度；</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（3）代表和维护甲方的合法权益；审定乙方制定的管理服务方案、制度、实际发放工资福利等；</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（4）检查监督乙方根据招标文件、投标文件及管理方案的实施和制度的实行情况；</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（5）审议乙方制订的服务年度计划等；</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（6）按本合同的规定支付费用；</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（7）处理合同期间在管理服务工作中需甲方出面协调的问题；</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（8）配合乙方共同协调处理相关问题；</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（9）对乙方违反法规、规章的行为，提请有关部门处理；</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（10）协助交警部门对乙方管理服务工作质量的考核，考核标准详见招标文件。</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2、乙方权利和义务</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根据有关法律、法规及招标文件、投标文件等的约定，制定管理服务方案及实施方案，按方案书的承诺履行合同，并配合甲方监管人员的业务检查，接受服务监管考核制度的约束，其考核结果作为费用正常支付和续签合同的重要依据；</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（2）需建立健全项目管理档案资料，如安保工作记录以及其他需要记录在案的文档，并做好各项保密工作；</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（3）应认真听取甲方提出的建议和意见，并接受甲方的考核管理规定，对在服务管理中出现的问题和薄弱环节应立即整改；</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（4）对服务人员违反法规、规章的行为，根据情节轻重，采取批评、规劝、警告、制止等措施或提请有关部门处理；</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（5）加强治安形势教育和加强内部管理，根据项目开展的工作进度适时调整管理办法；</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（6）负责编制服务年度计划、费用收支情况及时报甲方；</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（7）进入甲方工作的相关人员必须经严格培训，经考核合格后上岗，要求身体健康，无犯罪等不良记录；</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（8）协助处理日常工作，接受甲方提出特约服务并收取适当费用；</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（9）乙方应按照甲方要求做好日常节能工作；</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（10）本合同终止时，乙方必须向移交全部的管理档案资料；</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（11）乙方按有关规定为全体员工缴纳社会保险、人身意外伤害险等。</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（12）乙方不得将整体或部分管理责任及利益对外转让或发包，不得将未征得甲方同意的服务业务对外分包或转包。</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第七条  甲、乙双方责任限定</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1、乙方工作人员在服务过程中，因其工作失职造成甲方损失的．乙方应承担相应的经济赔偿。</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2、甲方禁止安排乙方工作人员参与其他违反法律规定及工作职责以外的活动，违者由甲方承担法律和经济责任。</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3、乙方派遣至甲方的所有工作人员，其食宿、着装、社会保险、意外伤害保险、培训等各类费用及发生的各种工伤事故和意外事故均由乙方承担，与甲方无涉。</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4、乙方在服务期间如遇招工困难，造成项目人员数量配置不足，应在5个工作日内及时补齐，并扣除缺岗人员的所有费用。缺岗人数累加超过20人次的，甲方有权终止合同，并罚没其履约保证金。</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第八条  合同的变更、终止及违约责任</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1、甲方在乙方存在如下违约情况时，有权单方面终止全部或部分合同，乙方所交的履约保证金不予退还，并保留进一步追究乙方责任的权利（包括经济赔偿）。</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（1）乙方未能履行合同规定的义务；</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（2）有严重影响项目正常工作及甲方形象；</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（3）乙方存在与招标文件不符合的做法，或不履行其响应文件的承诺；</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（4）乙方存在其他违约行为经甲方书面催告后仍不改正的；</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（5）在合同有效期内，对本合同范围内的工作内容乙方擅自委托或转包给其它单位或个人。</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2、乙方如要提前中止合同，需提前1个月，并征得甲方同意，否则按合同执行。</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除不可抗力以外，如发生乙方不能履行合同义务，或甲方发生中途终止合同等情况，应及时以书面形式通知对方。甲乙双方应本着友好的态度进行协商，妥善解决。如协商无效，按下列规定计算并支付违约金，违约金在款项支付中直接扣除：</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（1）乙方不能履行合同义务，应按未履行部分合同价格的10%向甲方偿付违约金，同时履约保证金不予退还。</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（2）如乙方未能履行合同规定的任何一项义务，甲方均有权从履约保证金中得到补偿。</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（3）经双方协商可终止部分或全部合同的，无须承担违约责任。</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4、乙方因工作疏忽而造成甲方财产损失的，乙方应按损失的价值照价赔偿。</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乙方工作人员在工作时间违反甲方的管理制度造成安全事故、综治事件、造成甲方的名誉和形象受损的，乙方应立即采取有效措施，恢复甲方的名誉并向甲方支付违约金，若乙方造成甲方损失的，应予赔偿。违约金和赔偿金由甲方依据安全事故的性质、程度以及甲方的名誉、形象受损的范围和程度确定，并在支付合同款时在合同款中扣除。</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6、其他违约情形：</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（1）乙方未确保响应承诺的人员到位，或人员素质不符合招标文件要求，或与响应承诺不一致的，按实际缺席天数扣除人员费用，一周后仍没到位，加扣当月服务费的50%。</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（2）甲方要求乙方变动或更换人员，乙方未在规定时间内变动或更换的，每人次扣1000元。</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（3）乙方未按招标文件要求支付工资、加班薪资，缴纳各种社会保险的，每人次扣1000元。</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第九条  不可抗力事件处理</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3、不可抗力事件延续10天及以上，双方应通过友好协商，确定是否继续履行合同。</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第十条  其他事项</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1、自本合同生效之日起15个自然日内，根据甲方委托管理事项，办理完交接验收手续。</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2、甲、乙方对《招标文件》以外的服务项目及维修，可根据实际情况另行签订补充协议。补充协议和本合同的附件与本合同具有同等效力。</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3、本合同在履行过程中发生争议时，当事人双方应及时协调解决。协商不成时，由甲方所在地仲裁委员会仲裁。</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如遇突发或重大事件，乙方管理人员应在第一时间报告甲方有关部门，乙方相关负责人应在第一时间到达现场，适时处理或协助处理有关问题；甲方如认为情况危及到内部人员的安定管理，乙方应无条件同意甲方直接调配乙方资源直至危机结束。</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5、由于乙方原因而损坏设施设备的，由乙方负责赔偿。</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6、如因政策性调整，乙方在服务期间因国家相关政策调整致使中途服务停止，乙方不得提出任何索赔。</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第十一条  合同生效及其他</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1、合同经双方法定代表人或授权代表签字加盖单位公章，且乙方提交履约保证金后生效。</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2、本合同未尽事宜，经双方协商一致，签订补充协议，补充协议与本协议书具有同等效力。</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3、本合同一式五份，甲、乙双方各执二份，采购代理机构存档一份，均具有同等效力。</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4、具体项目实施前，甲、乙双方签订具体项目子合同。</w:t>
      </w:r>
    </w:p>
    <w:p>
      <w:pPr>
        <w:pStyle w:val="45"/>
        <w:ind w:firstLine="480"/>
        <w:rPr>
          <w:color w:val="auto"/>
          <w:highlight w:val="none"/>
        </w:rPr>
      </w:pPr>
    </w:p>
    <w:p>
      <w:pPr>
        <w:spacing w:line="420" w:lineRule="exact"/>
        <w:ind w:firstLine="420" w:firstLineChars="200"/>
        <w:rPr>
          <w:rFonts w:ascii="宋体" w:hAnsi="宋体" w:cs="宋体"/>
          <w:color w:val="auto"/>
          <w:szCs w:val="21"/>
          <w:highlight w:val="none"/>
        </w:rPr>
      </w:pPr>
    </w:p>
    <w:tbl>
      <w:tblPr>
        <w:tblStyle w:val="47"/>
        <w:tblW w:w="0" w:type="auto"/>
        <w:jc w:val="center"/>
        <w:tblLayout w:type="fixed"/>
        <w:tblCellMar>
          <w:top w:w="0" w:type="dxa"/>
          <w:left w:w="108" w:type="dxa"/>
          <w:bottom w:w="0" w:type="dxa"/>
          <w:right w:w="108" w:type="dxa"/>
        </w:tblCellMar>
      </w:tblPr>
      <w:tblGrid>
        <w:gridCol w:w="1526"/>
        <w:gridCol w:w="3120"/>
        <w:gridCol w:w="1559"/>
        <w:gridCol w:w="3084"/>
      </w:tblGrid>
      <w:tr>
        <w:tblPrEx>
          <w:tblCellMar>
            <w:top w:w="0" w:type="dxa"/>
            <w:left w:w="108" w:type="dxa"/>
            <w:bottom w:w="0" w:type="dxa"/>
            <w:right w:w="108" w:type="dxa"/>
          </w:tblCellMar>
        </w:tblPrEx>
        <w:trPr>
          <w:trHeight w:val="535" w:hRule="atLeast"/>
          <w:jc w:val="center"/>
        </w:trPr>
        <w:tc>
          <w:tcPr>
            <w:tcW w:w="1526" w:type="dxa"/>
            <w:noWrap/>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甲  方：</w:t>
            </w:r>
          </w:p>
        </w:tc>
        <w:tc>
          <w:tcPr>
            <w:tcW w:w="3120" w:type="dxa"/>
            <w:noWrap/>
            <w:vAlign w:val="center"/>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（盖章）</w:t>
            </w:r>
          </w:p>
        </w:tc>
        <w:tc>
          <w:tcPr>
            <w:tcW w:w="1559" w:type="dxa"/>
            <w:noWrap/>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乙  方：</w:t>
            </w:r>
          </w:p>
        </w:tc>
        <w:tc>
          <w:tcPr>
            <w:tcW w:w="3084" w:type="dxa"/>
            <w:noWrap/>
            <w:vAlign w:val="center"/>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（盖章）</w:t>
            </w:r>
          </w:p>
        </w:tc>
      </w:tr>
      <w:tr>
        <w:tblPrEx>
          <w:tblCellMar>
            <w:top w:w="0" w:type="dxa"/>
            <w:left w:w="108" w:type="dxa"/>
            <w:bottom w:w="0" w:type="dxa"/>
            <w:right w:w="108" w:type="dxa"/>
          </w:tblCellMar>
        </w:tblPrEx>
        <w:trPr>
          <w:trHeight w:val="475" w:hRule="atLeast"/>
          <w:jc w:val="center"/>
        </w:trPr>
        <w:tc>
          <w:tcPr>
            <w:tcW w:w="1526" w:type="dxa"/>
            <w:noWrap/>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法定代表人：</w:t>
            </w:r>
          </w:p>
        </w:tc>
        <w:tc>
          <w:tcPr>
            <w:tcW w:w="3120" w:type="dxa"/>
            <w:vMerge w:val="restart"/>
            <w:noWrap/>
            <w:vAlign w:val="center"/>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（签字）</w:t>
            </w:r>
          </w:p>
        </w:tc>
        <w:tc>
          <w:tcPr>
            <w:tcW w:w="1559" w:type="dxa"/>
            <w:noWrap/>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法定代表人：</w:t>
            </w:r>
          </w:p>
        </w:tc>
        <w:tc>
          <w:tcPr>
            <w:tcW w:w="3084" w:type="dxa"/>
            <w:vMerge w:val="restart"/>
            <w:noWrap/>
            <w:vAlign w:val="center"/>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（签字）</w:t>
            </w:r>
          </w:p>
        </w:tc>
      </w:tr>
      <w:tr>
        <w:tblPrEx>
          <w:tblCellMar>
            <w:top w:w="0" w:type="dxa"/>
            <w:left w:w="108" w:type="dxa"/>
            <w:bottom w:w="0" w:type="dxa"/>
            <w:right w:w="108" w:type="dxa"/>
          </w:tblCellMar>
        </w:tblPrEx>
        <w:trPr>
          <w:trHeight w:val="475" w:hRule="atLeast"/>
          <w:jc w:val="center"/>
        </w:trPr>
        <w:tc>
          <w:tcPr>
            <w:tcW w:w="1526" w:type="dxa"/>
            <w:noWrap/>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或受委托人：</w:t>
            </w:r>
          </w:p>
        </w:tc>
        <w:tc>
          <w:tcPr>
            <w:tcW w:w="3120" w:type="dxa"/>
            <w:vMerge w:val="continue"/>
            <w:noWrap/>
          </w:tcPr>
          <w:p>
            <w:pPr>
              <w:spacing w:line="520" w:lineRule="exact"/>
              <w:ind w:firstLine="420" w:firstLineChars="200"/>
              <w:jc w:val="left"/>
              <w:rPr>
                <w:rFonts w:ascii="宋体" w:hAnsi="宋体" w:cs="宋体"/>
                <w:color w:val="auto"/>
                <w:szCs w:val="21"/>
                <w:highlight w:val="none"/>
              </w:rPr>
            </w:pPr>
          </w:p>
        </w:tc>
        <w:tc>
          <w:tcPr>
            <w:tcW w:w="1559" w:type="dxa"/>
            <w:noWrap/>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或受委托人：</w:t>
            </w:r>
          </w:p>
        </w:tc>
        <w:tc>
          <w:tcPr>
            <w:tcW w:w="3084" w:type="dxa"/>
            <w:vMerge w:val="continue"/>
            <w:noWrap/>
          </w:tcPr>
          <w:p>
            <w:pPr>
              <w:spacing w:line="520" w:lineRule="exact"/>
              <w:ind w:firstLine="420" w:firstLineChars="200"/>
              <w:jc w:val="left"/>
              <w:rPr>
                <w:rFonts w:ascii="宋体" w:hAnsi="宋体" w:cs="宋体"/>
                <w:color w:val="auto"/>
                <w:szCs w:val="21"/>
                <w:highlight w:val="none"/>
              </w:rPr>
            </w:pPr>
          </w:p>
        </w:tc>
      </w:tr>
      <w:tr>
        <w:tblPrEx>
          <w:tblCellMar>
            <w:top w:w="0" w:type="dxa"/>
            <w:left w:w="108" w:type="dxa"/>
            <w:bottom w:w="0" w:type="dxa"/>
            <w:right w:w="108" w:type="dxa"/>
          </w:tblCellMar>
        </w:tblPrEx>
        <w:trPr>
          <w:trHeight w:val="475" w:hRule="atLeast"/>
          <w:jc w:val="center"/>
        </w:trPr>
        <w:tc>
          <w:tcPr>
            <w:tcW w:w="1526" w:type="dxa"/>
            <w:noWrap/>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地  址：</w:t>
            </w:r>
          </w:p>
        </w:tc>
        <w:tc>
          <w:tcPr>
            <w:tcW w:w="3120" w:type="dxa"/>
            <w:noWrap/>
          </w:tcPr>
          <w:p>
            <w:pPr>
              <w:spacing w:line="520" w:lineRule="exact"/>
              <w:jc w:val="left"/>
              <w:rPr>
                <w:rFonts w:ascii="宋体" w:hAnsi="宋体" w:cs="宋体"/>
                <w:color w:val="auto"/>
                <w:szCs w:val="21"/>
                <w:highlight w:val="none"/>
              </w:rPr>
            </w:pPr>
          </w:p>
        </w:tc>
        <w:tc>
          <w:tcPr>
            <w:tcW w:w="1559" w:type="dxa"/>
            <w:noWrap/>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地 址：</w:t>
            </w:r>
          </w:p>
        </w:tc>
        <w:tc>
          <w:tcPr>
            <w:tcW w:w="3084" w:type="dxa"/>
            <w:noWrap/>
          </w:tcPr>
          <w:p>
            <w:pPr>
              <w:spacing w:line="520" w:lineRule="exact"/>
              <w:jc w:val="left"/>
              <w:rPr>
                <w:rFonts w:ascii="宋体" w:hAnsi="宋体" w:cs="宋体"/>
                <w:color w:val="auto"/>
                <w:szCs w:val="21"/>
                <w:highlight w:val="none"/>
              </w:rPr>
            </w:pPr>
          </w:p>
        </w:tc>
      </w:tr>
      <w:tr>
        <w:tblPrEx>
          <w:tblCellMar>
            <w:top w:w="0" w:type="dxa"/>
            <w:left w:w="108" w:type="dxa"/>
            <w:bottom w:w="0" w:type="dxa"/>
            <w:right w:w="108" w:type="dxa"/>
          </w:tblCellMar>
        </w:tblPrEx>
        <w:trPr>
          <w:trHeight w:val="475" w:hRule="atLeast"/>
          <w:jc w:val="center"/>
        </w:trPr>
        <w:tc>
          <w:tcPr>
            <w:tcW w:w="1526" w:type="dxa"/>
            <w:noWrap/>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电  话：</w:t>
            </w:r>
          </w:p>
        </w:tc>
        <w:tc>
          <w:tcPr>
            <w:tcW w:w="3120" w:type="dxa"/>
            <w:noWrap/>
          </w:tcPr>
          <w:p>
            <w:pPr>
              <w:spacing w:line="520" w:lineRule="exact"/>
              <w:jc w:val="left"/>
              <w:rPr>
                <w:rFonts w:ascii="宋体" w:hAnsi="宋体" w:cs="宋体"/>
                <w:color w:val="auto"/>
                <w:szCs w:val="21"/>
                <w:highlight w:val="none"/>
              </w:rPr>
            </w:pPr>
          </w:p>
        </w:tc>
        <w:tc>
          <w:tcPr>
            <w:tcW w:w="1559" w:type="dxa"/>
            <w:noWrap/>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电  话：</w:t>
            </w:r>
          </w:p>
        </w:tc>
        <w:tc>
          <w:tcPr>
            <w:tcW w:w="3084" w:type="dxa"/>
            <w:noWrap/>
          </w:tcPr>
          <w:p>
            <w:pPr>
              <w:spacing w:line="520" w:lineRule="exact"/>
              <w:jc w:val="left"/>
              <w:rPr>
                <w:rFonts w:ascii="宋体" w:hAnsi="宋体" w:cs="宋体"/>
                <w:color w:val="auto"/>
                <w:szCs w:val="21"/>
                <w:highlight w:val="none"/>
              </w:rPr>
            </w:pPr>
          </w:p>
        </w:tc>
      </w:tr>
      <w:tr>
        <w:tblPrEx>
          <w:tblCellMar>
            <w:top w:w="0" w:type="dxa"/>
            <w:left w:w="108" w:type="dxa"/>
            <w:bottom w:w="0" w:type="dxa"/>
            <w:right w:w="108" w:type="dxa"/>
          </w:tblCellMar>
        </w:tblPrEx>
        <w:trPr>
          <w:trHeight w:val="475" w:hRule="atLeast"/>
          <w:jc w:val="center"/>
        </w:trPr>
        <w:tc>
          <w:tcPr>
            <w:tcW w:w="1526" w:type="dxa"/>
            <w:noWrap/>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开户银行：</w:t>
            </w:r>
          </w:p>
        </w:tc>
        <w:tc>
          <w:tcPr>
            <w:tcW w:w="3120" w:type="dxa"/>
            <w:noWrap/>
          </w:tcPr>
          <w:p>
            <w:pPr>
              <w:spacing w:line="520" w:lineRule="exact"/>
              <w:jc w:val="left"/>
              <w:rPr>
                <w:rFonts w:ascii="宋体" w:hAnsi="宋体" w:cs="宋体"/>
                <w:color w:val="auto"/>
                <w:szCs w:val="21"/>
                <w:highlight w:val="none"/>
              </w:rPr>
            </w:pPr>
          </w:p>
        </w:tc>
        <w:tc>
          <w:tcPr>
            <w:tcW w:w="1559" w:type="dxa"/>
            <w:noWrap/>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开户银行：</w:t>
            </w:r>
          </w:p>
        </w:tc>
        <w:tc>
          <w:tcPr>
            <w:tcW w:w="3084" w:type="dxa"/>
            <w:noWrap/>
          </w:tcPr>
          <w:p>
            <w:pPr>
              <w:spacing w:line="520" w:lineRule="exact"/>
              <w:jc w:val="left"/>
              <w:rPr>
                <w:rFonts w:ascii="宋体" w:hAnsi="宋体" w:cs="宋体"/>
                <w:color w:val="auto"/>
                <w:szCs w:val="21"/>
                <w:highlight w:val="none"/>
              </w:rPr>
            </w:pPr>
          </w:p>
        </w:tc>
      </w:tr>
      <w:tr>
        <w:tblPrEx>
          <w:tblCellMar>
            <w:top w:w="0" w:type="dxa"/>
            <w:left w:w="108" w:type="dxa"/>
            <w:bottom w:w="0" w:type="dxa"/>
            <w:right w:w="108" w:type="dxa"/>
          </w:tblCellMar>
        </w:tblPrEx>
        <w:trPr>
          <w:trHeight w:val="475" w:hRule="atLeast"/>
          <w:jc w:val="center"/>
        </w:trPr>
        <w:tc>
          <w:tcPr>
            <w:tcW w:w="1526" w:type="dxa"/>
            <w:noWrap/>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帐  号：</w:t>
            </w:r>
          </w:p>
        </w:tc>
        <w:tc>
          <w:tcPr>
            <w:tcW w:w="3120" w:type="dxa"/>
            <w:noWrap/>
          </w:tcPr>
          <w:p>
            <w:pPr>
              <w:spacing w:line="520" w:lineRule="exact"/>
              <w:jc w:val="left"/>
              <w:rPr>
                <w:rFonts w:ascii="宋体" w:hAnsi="宋体" w:cs="宋体"/>
                <w:color w:val="auto"/>
                <w:szCs w:val="21"/>
                <w:highlight w:val="none"/>
              </w:rPr>
            </w:pPr>
          </w:p>
        </w:tc>
        <w:tc>
          <w:tcPr>
            <w:tcW w:w="1559" w:type="dxa"/>
            <w:noWrap/>
          </w:tcPr>
          <w:p>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帐  号：</w:t>
            </w:r>
          </w:p>
        </w:tc>
        <w:tc>
          <w:tcPr>
            <w:tcW w:w="3084" w:type="dxa"/>
            <w:noWrap/>
          </w:tcPr>
          <w:p>
            <w:pPr>
              <w:spacing w:line="520" w:lineRule="exact"/>
              <w:jc w:val="left"/>
              <w:rPr>
                <w:rFonts w:ascii="宋体" w:hAnsi="宋体" w:cs="宋体"/>
                <w:color w:val="auto"/>
                <w:szCs w:val="21"/>
                <w:highlight w:val="none"/>
              </w:rPr>
            </w:pPr>
          </w:p>
        </w:tc>
      </w:tr>
    </w:tbl>
    <w:p>
      <w:pPr>
        <w:rPr>
          <w:rFonts w:ascii="宋体" w:hAnsi="宋体" w:cs="宋体"/>
          <w:color w:val="auto"/>
          <w:sz w:val="36"/>
          <w:szCs w:val="36"/>
          <w:highlight w:val="none"/>
        </w:rPr>
      </w:pPr>
      <w:r>
        <w:rPr>
          <w:rFonts w:hint="eastAsia" w:ascii="宋体" w:hAnsi="宋体" w:cs="宋体"/>
          <w:color w:val="auto"/>
          <w:sz w:val="36"/>
          <w:szCs w:val="36"/>
          <w:highlight w:val="none"/>
        </w:rPr>
        <w:br w:type="page"/>
      </w:r>
    </w:p>
    <w:p>
      <w:pPr>
        <w:spacing w:line="440" w:lineRule="exact"/>
        <w:jc w:val="center"/>
        <w:rPr>
          <w:sz w:val="36"/>
          <w:szCs w:val="36"/>
        </w:rPr>
      </w:pPr>
      <w:r>
        <w:rPr>
          <w:rFonts w:hint="eastAsia" w:ascii="仿宋_GB2312" w:eastAsia="仿宋_GB2312"/>
          <w:sz w:val="30"/>
          <w:szCs w:val="30"/>
        </w:rPr>
        <w:t xml:space="preserve"> </w:t>
      </w:r>
      <w:r>
        <w:rPr>
          <w:rFonts w:hint="eastAsia"/>
          <w:sz w:val="36"/>
          <w:szCs w:val="36"/>
        </w:rPr>
        <w:t>第五章  采购项目需求</w:t>
      </w:r>
      <w:bookmarkEnd w:id="61"/>
    </w:p>
    <w:bookmarkEnd w:id="62"/>
    <w:bookmarkEnd w:id="63"/>
    <w:bookmarkEnd w:id="64"/>
    <w:bookmarkEnd w:id="65"/>
    <w:bookmarkEnd w:id="66"/>
    <w:p>
      <w:pPr>
        <w:autoSpaceDE w:val="0"/>
        <w:autoSpaceDN w:val="0"/>
        <w:adjustRightInd w:val="0"/>
        <w:spacing w:line="360" w:lineRule="auto"/>
        <w:ind w:right="25" w:rightChars="12" w:firstLine="422" w:firstLineChars="200"/>
        <w:rPr>
          <w:rFonts w:ascii="宋体" w:hAnsi="宋体" w:cs="仿宋_GB2312"/>
          <w:b/>
          <w:szCs w:val="21"/>
          <w:lang w:val="zh-CN"/>
        </w:rPr>
      </w:pPr>
      <w:r>
        <w:rPr>
          <w:rFonts w:hint="eastAsia" w:ascii="宋体" w:hAnsi="宋体" w:cs="仿宋_GB2312"/>
          <w:b/>
          <w:szCs w:val="21"/>
          <w:lang w:val="zh-CN"/>
        </w:rPr>
        <w:t xml:space="preserve"> </w:t>
      </w:r>
    </w:p>
    <w:p>
      <w:pPr>
        <w:spacing w:line="360" w:lineRule="exact"/>
        <w:rPr>
          <w:rFonts w:ascii="宋体" w:hAnsi="宋体"/>
          <w:b/>
          <w:color w:val="auto"/>
          <w:szCs w:val="21"/>
          <w:highlight w:val="none"/>
        </w:rPr>
      </w:pPr>
      <w:r>
        <w:rPr>
          <w:rFonts w:hint="eastAsia" w:ascii="宋体" w:hAnsi="宋体"/>
          <w:b/>
          <w:color w:val="auto"/>
          <w:szCs w:val="21"/>
          <w:highlight w:val="none"/>
        </w:rPr>
        <w:t>一、项目背景</w:t>
      </w:r>
    </w:p>
    <w:p>
      <w:pPr>
        <w:spacing w:line="360" w:lineRule="auto"/>
        <w:ind w:firstLine="420" w:firstLineChars="200"/>
        <w:rPr>
          <w:rFonts w:ascii="宋体" w:hAnsi="宋体"/>
          <w:szCs w:val="21"/>
        </w:rPr>
      </w:pPr>
      <w:r>
        <w:rPr>
          <w:rFonts w:hint="eastAsia" w:ascii="宋体" w:hAnsi="宋体"/>
          <w:szCs w:val="21"/>
        </w:rPr>
        <w:t>慈溪市慈通（掌起）创新产业区配套基础设施一期工程（K0+000～K2+985），本工程南起北一环路，沿规划线位（及老路线形）往北，终于329 国道（中横线），全长 2.985 公里，道路平面线形为直线。公路路基宽度 29m，设计速度60Km/h。本工程沿线需新建桥梁2座，新建圆管涵 2道。按一级公路建设标准。本标段主要施工内容为：土建工程（包括路基、桥涵、防护等）、路面工程、交安及桥梁工程。本项目合同造价10191万元，计划开工日期2022年8月20日，计划交工日期2024年2月19日，合同工期18个月。</w:t>
      </w:r>
    </w:p>
    <w:p>
      <w:pPr>
        <w:pStyle w:val="4"/>
        <w:spacing w:line="500" w:lineRule="exact"/>
        <w:rPr>
          <w:rFonts w:ascii="宋体" w:hAnsi="宋体" w:eastAsia="宋体"/>
          <w:sz w:val="21"/>
          <w:szCs w:val="21"/>
        </w:rPr>
      </w:pPr>
      <w:r>
        <w:rPr>
          <w:rFonts w:hint="eastAsia" w:ascii="宋体" w:hAnsi="宋体" w:eastAsia="宋体"/>
          <w:sz w:val="21"/>
          <w:szCs w:val="21"/>
          <w:lang w:val="en-US" w:eastAsia="zh-CN"/>
        </w:rPr>
        <w:t>二</w:t>
      </w:r>
      <w:r>
        <w:rPr>
          <w:rFonts w:ascii="宋体" w:hAnsi="宋体" w:eastAsia="宋体"/>
          <w:sz w:val="21"/>
          <w:szCs w:val="21"/>
        </w:rPr>
        <w:t>、</w:t>
      </w:r>
      <w:r>
        <w:rPr>
          <w:rFonts w:hint="eastAsia" w:ascii="宋体" w:hAnsi="宋体" w:eastAsia="宋体"/>
          <w:sz w:val="21"/>
          <w:szCs w:val="21"/>
        </w:rPr>
        <w:t>周边环境</w:t>
      </w:r>
    </w:p>
    <w:p>
      <w:pPr>
        <w:spacing w:line="360" w:lineRule="auto"/>
        <w:ind w:firstLine="420" w:firstLineChars="200"/>
        <w:rPr>
          <w:rFonts w:ascii="宋体" w:hAnsi="宋体"/>
          <w:szCs w:val="21"/>
        </w:rPr>
      </w:pPr>
      <w:r>
        <w:rPr>
          <w:rFonts w:hint="eastAsia" w:ascii="宋体" w:hAnsi="宋体"/>
          <w:szCs w:val="21"/>
        </w:rPr>
        <w:t>本项目位于慈溪东北部，场地内地势低平，地面标高一般2.5~3.5m。工程沿线多以农田为主，多为大棚蔬菜、葡萄园、局部种植花生、大豆等农经作物。与本工程平面交叉的主要道路从起点至终点方向依次有：北环一路、K0+270东侧支路、K0+944.1村道、K2+150.3村道、中横线、112号桥、113号桥。</w:t>
      </w:r>
    </w:p>
    <w:tbl>
      <w:tblPr>
        <w:tblStyle w:val="48"/>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348"/>
        <w:gridCol w:w="1586"/>
        <w:gridCol w:w="2107"/>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953" w:type="dxa"/>
            <w:vAlign w:val="center"/>
          </w:tcPr>
          <w:p>
            <w:pPr>
              <w:spacing w:line="360" w:lineRule="auto"/>
              <w:jc w:val="center"/>
              <w:rPr>
                <w:rFonts w:ascii="宋体" w:hAnsi="宋体"/>
                <w:kern w:val="2"/>
                <w:sz w:val="21"/>
                <w:szCs w:val="21"/>
              </w:rPr>
            </w:pPr>
            <w:r>
              <w:rPr>
                <w:rFonts w:hint="eastAsia" w:ascii="宋体" w:hAnsi="宋体"/>
                <w:kern w:val="2"/>
                <w:sz w:val="21"/>
                <w:szCs w:val="21"/>
              </w:rPr>
              <w:t>序号</w:t>
            </w:r>
          </w:p>
        </w:tc>
        <w:tc>
          <w:tcPr>
            <w:tcW w:w="2348"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交叉口名称</w:t>
            </w:r>
          </w:p>
        </w:tc>
        <w:tc>
          <w:tcPr>
            <w:tcW w:w="1586" w:type="dxa"/>
            <w:vAlign w:val="center"/>
          </w:tcPr>
          <w:p>
            <w:pPr>
              <w:pStyle w:val="4"/>
              <w:spacing w:line="240" w:lineRule="auto"/>
              <w:jc w:val="both"/>
              <w:outlineLvl w:val="1"/>
              <w:rPr>
                <w:rFonts w:ascii="宋体" w:hAnsi="宋体" w:eastAsia="宋体" w:cs="宋体"/>
                <w:kern w:val="0"/>
                <w:sz w:val="21"/>
                <w:szCs w:val="21"/>
              </w:rPr>
            </w:pPr>
            <w:r>
              <w:rPr>
                <w:rFonts w:hint="eastAsia" w:ascii="宋体" w:hAnsi="宋体" w:eastAsia="宋体" w:cs="宋体"/>
                <w:kern w:val="0"/>
                <w:sz w:val="21"/>
                <w:szCs w:val="21"/>
              </w:rPr>
              <w:t>道路等级</w:t>
            </w:r>
          </w:p>
        </w:tc>
        <w:tc>
          <w:tcPr>
            <w:tcW w:w="2107"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交通组织类型</w:t>
            </w:r>
          </w:p>
        </w:tc>
        <w:tc>
          <w:tcPr>
            <w:tcW w:w="3143"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估计施工阶段时间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953"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1</w:t>
            </w:r>
          </w:p>
        </w:tc>
        <w:tc>
          <w:tcPr>
            <w:tcW w:w="2348" w:type="dxa"/>
            <w:vAlign w:val="center"/>
          </w:tcPr>
          <w:p>
            <w:pPr>
              <w:pStyle w:val="4"/>
              <w:spacing w:line="240" w:lineRule="auto"/>
              <w:jc w:val="both"/>
              <w:outlineLvl w:val="1"/>
              <w:rPr>
                <w:rFonts w:ascii="宋体" w:hAnsi="宋体" w:eastAsia="宋体" w:cs="宋体"/>
                <w:kern w:val="0"/>
                <w:sz w:val="21"/>
                <w:szCs w:val="21"/>
              </w:rPr>
            </w:pPr>
            <w:r>
              <w:rPr>
                <w:rFonts w:hint="eastAsia" w:ascii="宋体" w:hAnsi="宋体" w:eastAsia="宋体" w:cs="宋体"/>
                <w:kern w:val="0"/>
                <w:sz w:val="21"/>
                <w:szCs w:val="21"/>
              </w:rPr>
              <w:t>北环一路交叉口</w:t>
            </w:r>
          </w:p>
        </w:tc>
        <w:tc>
          <w:tcPr>
            <w:tcW w:w="1586" w:type="dxa"/>
            <w:vAlign w:val="center"/>
          </w:tcPr>
          <w:p>
            <w:pPr>
              <w:pStyle w:val="4"/>
              <w:spacing w:line="240" w:lineRule="auto"/>
              <w:jc w:val="both"/>
              <w:outlineLvl w:val="1"/>
              <w:rPr>
                <w:rFonts w:ascii="宋体" w:hAnsi="宋体" w:eastAsia="宋体" w:cs="宋体"/>
                <w:kern w:val="0"/>
                <w:sz w:val="21"/>
                <w:szCs w:val="21"/>
              </w:rPr>
            </w:pPr>
            <w:r>
              <w:rPr>
                <w:rFonts w:hint="eastAsia" w:ascii="宋体" w:hAnsi="宋体" w:eastAsia="宋体" w:cs="宋体"/>
                <w:kern w:val="0"/>
                <w:sz w:val="21"/>
                <w:szCs w:val="21"/>
              </w:rPr>
              <w:t>城市支路</w:t>
            </w:r>
          </w:p>
        </w:tc>
        <w:tc>
          <w:tcPr>
            <w:tcW w:w="2107"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边通车边施工工</w:t>
            </w:r>
          </w:p>
        </w:tc>
        <w:tc>
          <w:tcPr>
            <w:tcW w:w="3143"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2023.11.1-2023.11.30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953"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2</w:t>
            </w:r>
          </w:p>
        </w:tc>
        <w:tc>
          <w:tcPr>
            <w:tcW w:w="2348" w:type="dxa"/>
            <w:vAlign w:val="center"/>
          </w:tcPr>
          <w:p>
            <w:pPr>
              <w:pStyle w:val="4"/>
              <w:spacing w:line="240" w:lineRule="auto"/>
              <w:jc w:val="both"/>
              <w:outlineLvl w:val="1"/>
              <w:rPr>
                <w:rFonts w:ascii="宋体" w:hAnsi="宋体" w:eastAsia="宋体" w:cs="宋体"/>
                <w:kern w:val="0"/>
                <w:sz w:val="21"/>
                <w:szCs w:val="21"/>
              </w:rPr>
            </w:pPr>
            <w:r>
              <w:rPr>
                <w:rFonts w:hint="eastAsia" w:ascii="宋体" w:hAnsi="宋体" w:eastAsia="宋体" w:cs="宋体"/>
                <w:kern w:val="0"/>
                <w:sz w:val="21"/>
                <w:szCs w:val="21"/>
              </w:rPr>
              <w:t>K0+270东侧支路</w:t>
            </w:r>
          </w:p>
        </w:tc>
        <w:tc>
          <w:tcPr>
            <w:tcW w:w="1586" w:type="dxa"/>
            <w:vAlign w:val="center"/>
          </w:tcPr>
          <w:p>
            <w:pPr>
              <w:pStyle w:val="4"/>
              <w:spacing w:line="240" w:lineRule="auto"/>
              <w:jc w:val="both"/>
              <w:outlineLvl w:val="1"/>
              <w:rPr>
                <w:rFonts w:ascii="宋体" w:hAnsi="宋体" w:eastAsia="宋体" w:cs="宋体"/>
                <w:kern w:val="0"/>
                <w:sz w:val="21"/>
                <w:szCs w:val="21"/>
              </w:rPr>
            </w:pPr>
            <w:r>
              <w:rPr>
                <w:rFonts w:hint="eastAsia" w:ascii="宋体" w:hAnsi="宋体" w:eastAsia="宋体" w:cs="宋体"/>
                <w:kern w:val="0"/>
                <w:sz w:val="21"/>
                <w:szCs w:val="21"/>
              </w:rPr>
              <w:t>村道</w:t>
            </w:r>
          </w:p>
        </w:tc>
        <w:tc>
          <w:tcPr>
            <w:tcW w:w="2107"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全封闭</w:t>
            </w:r>
          </w:p>
        </w:tc>
        <w:tc>
          <w:tcPr>
            <w:tcW w:w="3143"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2022.8.20-2024.2.19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953"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3</w:t>
            </w:r>
          </w:p>
        </w:tc>
        <w:tc>
          <w:tcPr>
            <w:tcW w:w="2348" w:type="dxa"/>
            <w:vAlign w:val="center"/>
          </w:tcPr>
          <w:p>
            <w:pPr>
              <w:pStyle w:val="4"/>
              <w:spacing w:line="240" w:lineRule="auto"/>
              <w:jc w:val="both"/>
              <w:outlineLvl w:val="1"/>
              <w:rPr>
                <w:rFonts w:ascii="宋体" w:hAnsi="宋体" w:eastAsia="宋体" w:cs="宋体"/>
                <w:kern w:val="0"/>
                <w:sz w:val="21"/>
                <w:szCs w:val="21"/>
              </w:rPr>
            </w:pPr>
            <w:r>
              <w:rPr>
                <w:rFonts w:hint="eastAsia" w:ascii="宋体" w:hAnsi="宋体" w:eastAsia="宋体" w:cs="宋体"/>
                <w:kern w:val="0"/>
                <w:sz w:val="21"/>
                <w:szCs w:val="21"/>
              </w:rPr>
              <w:t>K0+944.1村道支路</w:t>
            </w:r>
          </w:p>
        </w:tc>
        <w:tc>
          <w:tcPr>
            <w:tcW w:w="1586" w:type="dxa"/>
            <w:vAlign w:val="center"/>
          </w:tcPr>
          <w:p>
            <w:pPr>
              <w:pStyle w:val="4"/>
              <w:spacing w:line="240" w:lineRule="auto"/>
              <w:jc w:val="both"/>
              <w:outlineLvl w:val="1"/>
              <w:rPr>
                <w:rFonts w:ascii="宋体" w:hAnsi="宋体" w:eastAsia="宋体" w:cs="宋体"/>
                <w:kern w:val="0"/>
                <w:sz w:val="21"/>
                <w:szCs w:val="21"/>
              </w:rPr>
            </w:pPr>
            <w:r>
              <w:rPr>
                <w:rFonts w:hint="eastAsia" w:ascii="宋体" w:hAnsi="宋体" w:eastAsia="宋体" w:cs="宋体"/>
                <w:kern w:val="0"/>
                <w:sz w:val="21"/>
                <w:szCs w:val="21"/>
              </w:rPr>
              <w:t>村道</w:t>
            </w:r>
          </w:p>
        </w:tc>
        <w:tc>
          <w:tcPr>
            <w:tcW w:w="2107"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全封闭</w:t>
            </w:r>
          </w:p>
        </w:tc>
        <w:tc>
          <w:tcPr>
            <w:tcW w:w="3143"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2022.8.20-2024.2.19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953"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4</w:t>
            </w:r>
          </w:p>
        </w:tc>
        <w:tc>
          <w:tcPr>
            <w:tcW w:w="2348" w:type="dxa"/>
            <w:vAlign w:val="center"/>
          </w:tcPr>
          <w:p>
            <w:pPr>
              <w:pStyle w:val="4"/>
              <w:spacing w:line="240" w:lineRule="auto"/>
              <w:jc w:val="both"/>
              <w:outlineLvl w:val="1"/>
              <w:rPr>
                <w:rFonts w:ascii="宋体" w:hAnsi="宋体" w:eastAsia="宋体" w:cs="宋体"/>
                <w:kern w:val="0"/>
                <w:sz w:val="21"/>
                <w:szCs w:val="21"/>
              </w:rPr>
            </w:pPr>
            <w:r>
              <w:rPr>
                <w:rFonts w:hint="eastAsia" w:ascii="宋体" w:hAnsi="宋体" w:eastAsia="宋体" w:cs="宋体"/>
                <w:color w:val="000000"/>
                <w:kern w:val="0"/>
                <w:sz w:val="21"/>
                <w:szCs w:val="21"/>
              </w:rPr>
              <w:t>K2+150.3村道支路</w:t>
            </w:r>
          </w:p>
        </w:tc>
        <w:tc>
          <w:tcPr>
            <w:tcW w:w="1586" w:type="dxa"/>
            <w:vAlign w:val="center"/>
          </w:tcPr>
          <w:p>
            <w:pPr>
              <w:pStyle w:val="4"/>
              <w:spacing w:line="240" w:lineRule="auto"/>
              <w:jc w:val="both"/>
              <w:outlineLvl w:val="1"/>
              <w:rPr>
                <w:rFonts w:ascii="宋体" w:hAnsi="宋体" w:eastAsia="宋体" w:cs="宋体"/>
                <w:kern w:val="0"/>
                <w:sz w:val="21"/>
                <w:szCs w:val="21"/>
              </w:rPr>
            </w:pPr>
            <w:r>
              <w:rPr>
                <w:rFonts w:hint="eastAsia" w:ascii="宋体" w:hAnsi="宋体" w:eastAsia="宋体" w:cs="宋体"/>
                <w:kern w:val="0"/>
                <w:sz w:val="21"/>
                <w:szCs w:val="21"/>
              </w:rPr>
              <w:t>村道</w:t>
            </w:r>
          </w:p>
        </w:tc>
        <w:tc>
          <w:tcPr>
            <w:tcW w:w="2107"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全封闭</w:t>
            </w:r>
          </w:p>
        </w:tc>
        <w:tc>
          <w:tcPr>
            <w:tcW w:w="3143"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2022.8.20-2024.2.19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953"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5</w:t>
            </w:r>
          </w:p>
        </w:tc>
        <w:tc>
          <w:tcPr>
            <w:tcW w:w="2348" w:type="dxa"/>
            <w:vAlign w:val="center"/>
          </w:tcPr>
          <w:p>
            <w:pPr>
              <w:pStyle w:val="4"/>
              <w:spacing w:line="240" w:lineRule="auto"/>
              <w:jc w:val="both"/>
              <w:outlineLvl w:val="1"/>
              <w:rPr>
                <w:rFonts w:ascii="宋体" w:hAnsi="宋体" w:eastAsia="宋体" w:cs="宋体"/>
                <w:color w:val="000000"/>
                <w:kern w:val="0"/>
                <w:sz w:val="21"/>
                <w:szCs w:val="21"/>
              </w:rPr>
            </w:pPr>
            <w:r>
              <w:rPr>
                <w:rFonts w:hint="eastAsia" w:ascii="宋体" w:hAnsi="宋体" w:eastAsia="宋体" w:cs="宋体"/>
                <w:color w:val="000000"/>
                <w:kern w:val="0"/>
                <w:sz w:val="21"/>
                <w:szCs w:val="21"/>
              </w:rPr>
              <w:t>中横线交叉口</w:t>
            </w:r>
          </w:p>
        </w:tc>
        <w:tc>
          <w:tcPr>
            <w:tcW w:w="1586" w:type="dxa"/>
            <w:vAlign w:val="center"/>
          </w:tcPr>
          <w:p>
            <w:pPr>
              <w:pStyle w:val="4"/>
              <w:spacing w:line="240" w:lineRule="auto"/>
              <w:jc w:val="both"/>
              <w:outlineLvl w:val="1"/>
              <w:rPr>
                <w:rFonts w:ascii="宋体" w:hAnsi="宋体" w:eastAsia="宋体" w:cs="宋体"/>
                <w:kern w:val="0"/>
                <w:sz w:val="21"/>
                <w:szCs w:val="21"/>
              </w:rPr>
            </w:pPr>
            <w:r>
              <w:rPr>
                <w:rFonts w:hint="eastAsia" w:ascii="宋体" w:hAnsi="宋体" w:eastAsia="宋体" w:cs="宋体"/>
                <w:kern w:val="0"/>
                <w:sz w:val="21"/>
                <w:szCs w:val="21"/>
              </w:rPr>
              <w:t>城市主干道</w:t>
            </w:r>
          </w:p>
        </w:tc>
        <w:tc>
          <w:tcPr>
            <w:tcW w:w="2107"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边通车边施工</w:t>
            </w:r>
          </w:p>
        </w:tc>
        <w:tc>
          <w:tcPr>
            <w:tcW w:w="3143"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2023.11.1-2023.11.30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953"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6</w:t>
            </w:r>
          </w:p>
        </w:tc>
        <w:tc>
          <w:tcPr>
            <w:tcW w:w="2348" w:type="dxa"/>
            <w:vAlign w:val="center"/>
          </w:tcPr>
          <w:p>
            <w:pPr>
              <w:pStyle w:val="4"/>
              <w:spacing w:line="240" w:lineRule="auto"/>
              <w:jc w:val="both"/>
              <w:outlineLvl w:val="1"/>
              <w:rPr>
                <w:rFonts w:ascii="宋体" w:hAnsi="宋体" w:eastAsia="宋体" w:cs="宋体"/>
                <w:color w:val="000000"/>
                <w:kern w:val="0"/>
                <w:sz w:val="21"/>
                <w:szCs w:val="21"/>
              </w:rPr>
            </w:pPr>
            <w:r>
              <w:rPr>
                <w:rFonts w:hint="eastAsia" w:ascii="宋体" w:hAnsi="宋体" w:eastAsia="宋体" w:cs="宋体"/>
                <w:color w:val="000000"/>
                <w:kern w:val="0"/>
                <w:sz w:val="21"/>
                <w:szCs w:val="21"/>
              </w:rPr>
              <w:t>112号桥（中横线）</w:t>
            </w:r>
          </w:p>
        </w:tc>
        <w:tc>
          <w:tcPr>
            <w:tcW w:w="1586" w:type="dxa"/>
            <w:vAlign w:val="center"/>
          </w:tcPr>
          <w:p>
            <w:pPr>
              <w:pStyle w:val="4"/>
              <w:spacing w:line="240" w:lineRule="auto"/>
              <w:jc w:val="both"/>
              <w:outlineLvl w:val="1"/>
              <w:rPr>
                <w:rFonts w:ascii="宋体" w:hAnsi="宋体" w:eastAsia="宋体" w:cs="宋体"/>
                <w:kern w:val="0"/>
                <w:sz w:val="21"/>
                <w:szCs w:val="21"/>
              </w:rPr>
            </w:pPr>
            <w:r>
              <w:rPr>
                <w:rFonts w:hint="eastAsia" w:ascii="宋体" w:hAnsi="宋体" w:eastAsia="宋体" w:cs="宋体"/>
                <w:kern w:val="0"/>
                <w:sz w:val="21"/>
                <w:szCs w:val="21"/>
              </w:rPr>
              <w:t>城市主干道</w:t>
            </w:r>
          </w:p>
        </w:tc>
        <w:tc>
          <w:tcPr>
            <w:tcW w:w="2107"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边通车边施工</w:t>
            </w:r>
          </w:p>
        </w:tc>
        <w:tc>
          <w:tcPr>
            <w:tcW w:w="3143"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2023.3.1-2023.10.1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953"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7</w:t>
            </w:r>
          </w:p>
        </w:tc>
        <w:tc>
          <w:tcPr>
            <w:tcW w:w="2348" w:type="dxa"/>
            <w:vAlign w:val="center"/>
          </w:tcPr>
          <w:p>
            <w:pPr>
              <w:pStyle w:val="4"/>
              <w:spacing w:line="240" w:lineRule="auto"/>
              <w:jc w:val="both"/>
              <w:outlineLvl w:val="1"/>
              <w:rPr>
                <w:rFonts w:ascii="宋体" w:hAnsi="宋体" w:eastAsia="宋体" w:cs="宋体"/>
                <w:color w:val="000000"/>
                <w:kern w:val="0"/>
                <w:sz w:val="21"/>
                <w:szCs w:val="21"/>
              </w:rPr>
            </w:pPr>
            <w:r>
              <w:rPr>
                <w:rFonts w:hint="eastAsia" w:ascii="宋体" w:hAnsi="宋体" w:eastAsia="宋体" w:cs="宋体"/>
                <w:color w:val="000000"/>
                <w:kern w:val="0"/>
                <w:sz w:val="21"/>
                <w:szCs w:val="21"/>
              </w:rPr>
              <w:t>113号桥（中横线）</w:t>
            </w:r>
          </w:p>
        </w:tc>
        <w:tc>
          <w:tcPr>
            <w:tcW w:w="1586" w:type="dxa"/>
            <w:vAlign w:val="center"/>
          </w:tcPr>
          <w:p>
            <w:pPr>
              <w:pStyle w:val="4"/>
              <w:spacing w:line="240" w:lineRule="auto"/>
              <w:jc w:val="both"/>
              <w:outlineLvl w:val="1"/>
              <w:rPr>
                <w:rFonts w:ascii="宋体" w:hAnsi="宋体" w:eastAsia="宋体" w:cs="宋体"/>
                <w:kern w:val="0"/>
                <w:sz w:val="21"/>
                <w:szCs w:val="21"/>
              </w:rPr>
            </w:pPr>
            <w:r>
              <w:rPr>
                <w:rFonts w:hint="eastAsia" w:ascii="宋体" w:hAnsi="宋体" w:eastAsia="宋体" w:cs="宋体"/>
                <w:kern w:val="0"/>
                <w:sz w:val="21"/>
                <w:szCs w:val="21"/>
              </w:rPr>
              <w:t>城市主干道</w:t>
            </w:r>
          </w:p>
        </w:tc>
        <w:tc>
          <w:tcPr>
            <w:tcW w:w="2107"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边通车边施工</w:t>
            </w:r>
          </w:p>
        </w:tc>
        <w:tc>
          <w:tcPr>
            <w:tcW w:w="3143" w:type="dxa"/>
            <w:vAlign w:val="center"/>
          </w:tcPr>
          <w:p>
            <w:pPr>
              <w:pStyle w:val="4"/>
              <w:spacing w:line="240" w:lineRule="auto"/>
              <w:ind w:firstLine="0"/>
              <w:jc w:val="center"/>
              <w:outlineLvl w:val="1"/>
              <w:rPr>
                <w:rFonts w:ascii="宋体" w:hAnsi="宋体" w:eastAsia="宋体" w:cs="宋体"/>
                <w:kern w:val="0"/>
                <w:sz w:val="21"/>
                <w:szCs w:val="21"/>
              </w:rPr>
            </w:pPr>
            <w:r>
              <w:rPr>
                <w:rFonts w:hint="eastAsia" w:ascii="宋体" w:hAnsi="宋体" w:eastAsia="宋体" w:cs="宋体"/>
                <w:kern w:val="0"/>
                <w:sz w:val="21"/>
                <w:szCs w:val="21"/>
              </w:rPr>
              <w:t>2023.3.1-2023.10.1</w:t>
            </w:r>
          </w:p>
        </w:tc>
      </w:tr>
    </w:tbl>
    <w:p>
      <w:pPr>
        <w:pStyle w:val="3"/>
        <w:keepNext w:val="0"/>
        <w:pageBreakBefore/>
        <w:spacing w:line="579" w:lineRule="auto"/>
        <w:jc w:val="both"/>
        <w:rPr>
          <w:rFonts w:ascii="宋体" w:hAnsi="宋体"/>
          <w:sz w:val="21"/>
          <w:szCs w:val="21"/>
        </w:rPr>
      </w:pPr>
      <w:bookmarkStart w:id="68" w:name="_Toc356030548"/>
      <w:r>
        <w:rPr>
          <w:rFonts w:hint="eastAsia" w:ascii="宋体" w:hAnsi="宋体"/>
          <w:sz w:val="21"/>
          <w:szCs w:val="21"/>
          <w:lang w:val="en-US" w:eastAsia="zh-CN"/>
        </w:rPr>
        <w:t>三</w:t>
      </w:r>
      <w:r>
        <w:rPr>
          <w:rFonts w:hint="eastAsia" w:ascii="宋体" w:hAnsi="宋体"/>
          <w:sz w:val="21"/>
          <w:szCs w:val="21"/>
        </w:rPr>
        <w:t>、总体施工计划</w:t>
      </w:r>
      <w:bookmarkEnd w:id="68"/>
    </w:p>
    <w:p>
      <w:pPr>
        <w:spacing w:line="360" w:lineRule="auto"/>
        <w:ind w:firstLine="420" w:firstLineChars="200"/>
        <w:rPr>
          <w:rFonts w:ascii="宋体" w:hAnsi="宋体"/>
          <w:szCs w:val="21"/>
        </w:rPr>
      </w:pPr>
      <w:r>
        <w:rPr>
          <w:rFonts w:hint="eastAsia" w:ascii="宋体" w:hAnsi="宋体"/>
          <w:szCs w:val="21"/>
        </w:rPr>
        <w:t>本工程计划开工日期为2022年8月20日，计划完工日期为2024年2月19日，总工期18个月。为保证按期完成工程施工任务，根据现场实际情况及合同规定的施工工期，对工程进度计划进行了安排，以满足工期要求。施工计划目标如下：</w:t>
      </w:r>
    </w:p>
    <w:p>
      <w:pPr>
        <w:spacing w:line="360" w:lineRule="auto"/>
        <w:ind w:firstLine="420" w:firstLineChars="200"/>
        <w:rPr>
          <w:rFonts w:ascii="宋体" w:hAnsi="宋体"/>
          <w:szCs w:val="21"/>
        </w:rPr>
      </w:pPr>
      <w:r>
        <w:rPr>
          <w:rFonts w:hint="eastAsia" w:ascii="宋体" w:hAnsi="宋体"/>
          <w:szCs w:val="21"/>
        </w:rPr>
        <w:t>第一阶段：2022年8月20日～2023年6月30日，本阶段完成全线全幅路基工程、排水工程和桥梁工程。</w:t>
      </w:r>
    </w:p>
    <w:p>
      <w:pPr>
        <w:spacing w:line="360" w:lineRule="auto"/>
        <w:ind w:firstLine="420" w:firstLineChars="200"/>
        <w:rPr>
          <w:rFonts w:ascii="宋体" w:hAnsi="宋体"/>
          <w:szCs w:val="21"/>
        </w:rPr>
      </w:pPr>
      <w:r>
        <w:rPr>
          <w:rFonts w:hint="eastAsia" w:ascii="宋体" w:hAnsi="宋体"/>
          <w:szCs w:val="21"/>
        </w:rPr>
        <w:t>第二阶段：2023年7月1日～2023年12月31日，本阶段完成全线全幅路面工程。</w:t>
      </w:r>
    </w:p>
    <w:p>
      <w:pPr>
        <w:spacing w:line="360" w:lineRule="auto"/>
        <w:ind w:firstLine="420" w:firstLineChars="200"/>
        <w:rPr>
          <w:rFonts w:ascii="宋体" w:hAnsi="宋体"/>
          <w:szCs w:val="21"/>
        </w:rPr>
      </w:pPr>
      <w:r>
        <w:rPr>
          <w:rFonts w:hint="eastAsia" w:ascii="宋体" w:hAnsi="宋体"/>
          <w:szCs w:val="21"/>
        </w:rPr>
        <w:t>第三阶段：2024年1月1日～2024年2月19日，本阶段完成附属工程及扫尾等。</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四</w:t>
      </w:r>
      <w:r>
        <w:rPr>
          <w:rFonts w:hint="eastAsia" w:ascii="宋体" w:hAnsi="宋体"/>
          <w:b/>
          <w:color w:val="auto"/>
          <w:szCs w:val="21"/>
          <w:highlight w:val="none"/>
        </w:rPr>
        <w:t>、专职交通管理服务工作主要内容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慈溪市慈通（掌起）创新产业区配套基础设施一期工程</w:t>
      </w:r>
      <w:r>
        <w:rPr>
          <w:rFonts w:hint="eastAsia" w:ascii="宋体" w:hAnsi="宋体"/>
          <w:color w:val="auto"/>
          <w:szCs w:val="21"/>
          <w:highlight w:val="none"/>
        </w:rPr>
        <w:t>施工区域周边的交通指挥、疏导等交通秩序维护工作。</w:t>
      </w:r>
    </w:p>
    <w:p>
      <w:pPr>
        <w:numPr>
          <w:numId w:val="0"/>
        </w:numPr>
        <w:spacing w:line="360" w:lineRule="exact"/>
        <w:ind w:left="420" w:leftChars="0"/>
        <w:rPr>
          <w:b/>
          <w:color w:val="auto"/>
          <w:szCs w:val="21"/>
          <w:highlight w:val="none"/>
        </w:rPr>
      </w:pPr>
      <w:r>
        <w:rPr>
          <w:rFonts w:hint="eastAsia"/>
          <w:b/>
          <w:color w:val="auto"/>
          <w:szCs w:val="21"/>
          <w:highlight w:val="none"/>
          <w:lang w:val="en-US" w:eastAsia="zh-CN"/>
        </w:rPr>
        <w:t>五、</w:t>
      </w:r>
      <w:r>
        <w:rPr>
          <w:rFonts w:hint="eastAsia"/>
          <w:b/>
          <w:color w:val="auto"/>
          <w:szCs w:val="21"/>
          <w:highlight w:val="none"/>
        </w:rPr>
        <w:t>说明</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专职交通管理人员（人次/天）：暂定20人次/天，120工时/天，每天按两班工作安排，每班工作时长按6小时计。</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注：以上专职交通管理人员、工时数量等均为暂定，人员工作每天采用两班（早晚高峰和平峰）工作制，每班上岗时间暂按6小时计，具体根据实际工程经审批的交通组织方案和交警部门的实际要求确定并分组安排。若遇交通繁忙时段，建设单位和交警部门均有权要求中标供应商增加专职交通管理人员数量或延长每班工作时间（最多延长2小时），不计费用补偿，其中晚高峰时间18：30后，晚间保证4人延长2小时，按晚间工作时间段18：30</w:t>
      </w:r>
      <w:r>
        <w:rPr>
          <w:rFonts w:ascii="宋体" w:hAnsi="宋体"/>
          <w:b/>
          <w:color w:val="auto"/>
          <w:szCs w:val="21"/>
          <w:highlight w:val="none"/>
        </w:rPr>
        <w:t>—</w:t>
      </w:r>
      <w:r>
        <w:rPr>
          <w:rFonts w:hint="eastAsia" w:ascii="宋体" w:hAnsi="宋体"/>
          <w:b/>
          <w:color w:val="auto"/>
          <w:szCs w:val="21"/>
          <w:highlight w:val="none"/>
        </w:rPr>
        <w:t>20：30，不计费用补偿。中标供应商须无条件服从并配备到位。</w:t>
      </w:r>
      <w:r>
        <w:rPr>
          <w:rFonts w:hint="eastAsia" w:ascii="宋体" w:hAnsi="宋体"/>
          <w:b/>
          <w:color w:val="auto"/>
          <w:szCs w:val="21"/>
          <w:highlight w:val="none"/>
          <w:lang w:val="en-US" w:eastAsia="zh-CN"/>
        </w:rPr>
        <w:t>具体</w:t>
      </w:r>
      <w:r>
        <w:rPr>
          <w:rFonts w:hint="eastAsia" w:ascii="宋体" w:hAnsi="宋体"/>
          <w:b/>
          <w:color w:val="auto"/>
          <w:szCs w:val="21"/>
          <w:highlight w:val="none"/>
        </w:rPr>
        <w:t>交通疏解管理服务方案，根据交警部门根据实际情况，进行排班。</w:t>
      </w:r>
    </w:p>
    <w:p>
      <w:pPr>
        <w:spacing w:line="360" w:lineRule="exact"/>
        <w:ind w:firstLine="422" w:firstLineChars="200"/>
        <w:rPr>
          <w:b/>
          <w:color w:val="auto"/>
          <w:szCs w:val="21"/>
          <w:highlight w:val="none"/>
        </w:rPr>
      </w:pPr>
      <w:r>
        <w:rPr>
          <w:rFonts w:hint="eastAsia"/>
          <w:b/>
          <w:color w:val="auto"/>
          <w:szCs w:val="21"/>
          <w:highlight w:val="none"/>
          <w:lang w:val="en-US" w:eastAsia="zh-CN"/>
        </w:rPr>
        <w:t>六</w:t>
      </w:r>
      <w:r>
        <w:rPr>
          <w:rFonts w:hint="eastAsia"/>
          <w:b/>
          <w:color w:val="auto"/>
          <w:szCs w:val="21"/>
          <w:highlight w:val="none"/>
        </w:rPr>
        <w:t>、其他相关要求</w:t>
      </w:r>
    </w:p>
    <w:p>
      <w:pPr>
        <w:spacing w:line="360" w:lineRule="exact"/>
        <w:ind w:firstLine="420" w:firstLineChars="200"/>
        <w:rPr>
          <w:b/>
          <w:bCs/>
          <w:color w:val="auto"/>
          <w:highlight w:val="none"/>
        </w:rPr>
      </w:pPr>
      <w:r>
        <w:rPr>
          <w:rFonts w:hint="eastAsia" w:ascii="宋体" w:hAnsi="宋体" w:cs="宋体"/>
          <w:color w:val="auto"/>
          <w:szCs w:val="21"/>
          <w:highlight w:val="none"/>
        </w:rPr>
        <w:t>★</w:t>
      </w:r>
      <w:r>
        <w:rPr>
          <w:rFonts w:hint="eastAsia" w:ascii="宋体" w:hAnsi="宋体"/>
          <w:color w:val="auto"/>
          <w:szCs w:val="21"/>
          <w:highlight w:val="none"/>
        </w:rPr>
        <w:t>1、专职交通管理人员要求60周岁以下，身体健康，服装统一，服从交警部门的培训学习和日常管理，完成交警安排的施工区域周边交通指挥、疏导等各项工作内容，由交警组织进行考勤。以上专职交通管理人员的社保、保险及其他所涉及的一切费用，均由中标供应商负责，由中标供应商在报价时综合考虑。结算时，专职交通管理人员费，单价按合同服务单价计取，工时数量根据交警或建设单位委托的监理单位考核情况确认，按实结算。</w:t>
      </w:r>
      <w:r>
        <w:rPr>
          <w:rFonts w:hint="eastAsia" w:ascii="宋体" w:hAnsi="宋体"/>
          <w:b/>
          <w:bCs/>
          <w:color w:val="auto"/>
          <w:szCs w:val="21"/>
          <w:highlight w:val="none"/>
        </w:rPr>
        <w:t>实际结算时按以下原则计量：每班工作时长小于等于6小时的，按实际工作时长计算费用(以小时为单位取整数，不足0.5小时的不计，超过0.5小时的按1小时计)；每班工作时长大于6小时且小于等于8小时的，延长2小时的工作时间不追加费用补偿</w:t>
      </w:r>
      <w:r>
        <w:rPr>
          <w:rFonts w:hint="eastAsia"/>
          <w:b/>
          <w:bCs/>
          <w:iCs/>
          <w:color w:val="auto"/>
          <w:szCs w:val="22"/>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2、项目服务期内，中标供应商须自行安排负责人，统筹安排专职交通管理人员岗位及工作，相关费用中标供应商自行考虑，采购人不支付合同以外的其他费用。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3、项目服务期内，中标供应商严格按照招标文件规定履行合同责任和义务。</w:t>
      </w:r>
    </w:p>
    <w:p>
      <w:pPr>
        <w:spacing w:line="360" w:lineRule="exact"/>
        <w:ind w:firstLine="420" w:firstLineChars="200"/>
        <w:rPr>
          <w:rFonts w:ascii="宋体" w:hAnsi="宋体"/>
          <w:b/>
          <w:color w:val="auto"/>
          <w:szCs w:val="21"/>
          <w:highlight w:val="none"/>
        </w:rPr>
      </w:pPr>
      <w:r>
        <w:rPr>
          <w:rFonts w:hint="eastAsia" w:ascii="宋体" w:hAnsi="宋体" w:cs="宋体"/>
          <w:color w:val="auto"/>
          <w:szCs w:val="21"/>
          <w:highlight w:val="none"/>
        </w:rPr>
        <w:t>★</w:t>
      </w:r>
      <w:r>
        <w:rPr>
          <w:rFonts w:hint="eastAsia" w:ascii="宋体" w:hAnsi="宋体"/>
          <w:b/>
          <w:color w:val="auto"/>
          <w:szCs w:val="21"/>
          <w:highlight w:val="none"/>
          <w:lang w:val="en-US" w:eastAsia="zh-CN"/>
        </w:rPr>
        <w:t>七</w:t>
      </w:r>
      <w:r>
        <w:rPr>
          <w:rFonts w:hint="eastAsia" w:ascii="宋体" w:hAnsi="宋体"/>
          <w:b/>
          <w:color w:val="auto"/>
          <w:szCs w:val="21"/>
          <w:highlight w:val="none"/>
        </w:rPr>
        <w:t>、采购预算金额为10</w:t>
      </w:r>
      <w:r>
        <w:rPr>
          <w:rFonts w:hint="eastAsia" w:ascii="宋体" w:hAnsi="宋体"/>
          <w:b/>
          <w:color w:val="auto"/>
          <w:szCs w:val="21"/>
          <w:highlight w:val="none"/>
          <w:lang w:val="en-US" w:eastAsia="zh-CN"/>
        </w:rPr>
        <w:t>8</w:t>
      </w:r>
      <w:r>
        <w:rPr>
          <w:rFonts w:hint="eastAsia" w:ascii="宋体" w:hAnsi="宋体"/>
          <w:b/>
          <w:color w:val="auto"/>
          <w:szCs w:val="21"/>
          <w:highlight w:val="none"/>
        </w:rPr>
        <w:t>万元/年，根据项目工作性质，工作时间及现行社会平均工资，确定本项目投标单价最高限价23元/工时。本次投标报价包含为顺利完成本招标项目所有费用，包含但不限于人工费、保险、双体日、节假日工资及与人工有关的一切相关费用。</w:t>
      </w:r>
    </w:p>
    <w:p>
      <w:pPr>
        <w:spacing w:line="360" w:lineRule="exact"/>
        <w:ind w:firstLine="422" w:firstLineChars="200"/>
        <w:rPr>
          <w:b/>
          <w:color w:val="auto"/>
          <w:szCs w:val="21"/>
          <w:highlight w:val="none"/>
        </w:rPr>
      </w:pPr>
      <w:r>
        <w:rPr>
          <w:rFonts w:hint="eastAsia"/>
          <w:b/>
          <w:color w:val="auto"/>
          <w:szCs w:val="21"/>
          <w:highlight w:val="none"/>
          <w:lang w:val="en-US" w:eastAsia="zh-CN"/>
        </w:rPr>
        <w:t>八</w:t>
      </w:r>
      <w:r>
        <w:rPr>
          <w:rFonts w:hint="eastAsia"/>
          <w:b/>
          <w:color w:val="auto"/>
          <w:szCs w:val="21"/>
          <w:highlight w:val="none"/>
        </w:rPr>
        <w:t>、监督考核实施办法</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因</w:t>
      </w:r>
      <w:r>
        <w:rPr>
          <w:rFonts w:hint="eastAsia" w:ascii="宋体" w:hAnsi="宋体"/>
          <w:color w:val="auto"/>
          <w:szCs w:val="21"/>
          <w:highlight w:val="none"/>
          <w:lang w:eastAsia="zh-CN"/>
        </w:rPr>
        <w:t>慈溪市慈通（掌起）创新产业区配套基础设施一期工程</w:t>
      </w:r>
      <w:r>
        <w:rPr>
          <w:rFonts w:hint="eastAsia" w:ascii="宋体" w:hAnsi="宋体"/>
          <w:color w:val="auto"/>
          <w:szCs w:val="21"/>
          <w:highlight w:val="none"/>
        </w:rPr>
        <w:t>施工，道路交通保障需要，招聘部分保安力量参与交通管理工作，</w:t>
      </w:r>
      <w:r>
        <w:rPr>
          <w:rFonts w:ascii="宋体" w:hAnsi="宋体"/>
          <w:color w:val="auto"/>
          <w:szCs w:val="21"/>
          <w:highlight w:val="none"/>
        </w:rPr>
        <w:t>为确保执勤规范安全，提高现场管事率，针对安保人员管理工作实际，制定本考核办法，考核采用记分制（基础分70分），加分不设上限，月减分达到10分及以上人员辞退</w:t>
      </w:r>
      <w:r>
        <w:rPr>
          <w:rFonts w:hint="eastAsia" w:ascii="宋体" w:hAnsi="宋体"/>
          <w:color w:val="auto"/>
          <w:szCs w:val="21"/>
          <w:highlight w:val="none"/>
        </w:rPr>
        <w:t>，并在季度付款时扣除500元/人</w:t>
      </w:r>
      <w:r>
        <w:rPr>
          <w:rFonts w:ascii="宋体" w:hAnsi="宋体"/>
          <w:color w:val="auto"/>
          <w:szCs w:val="21"/>
          <w:highlight w:val="none"/>
        </w:rPr>
        <w:t>。加减分情况由交警、保安公司负责人员审核后确定，每月公布一次，根据月得分多少确定当月先进人员，每月评先</w:t>
      </w:r>
      <w:r>
        <w:rPr>
          <w:rFonts w:hint="eastAsia" w:ascii="宋体" w:hAnsi="宋体"/>
          <w:color w:val="auto"/>
          <w:szCs w:val="21"/>
          <w:highlight w:val="none"/>
        </w:rPr>
        <w:t>3</w:t>
      </w:r>
      <w:r>
        <w:rPr>
          <w:rFonts w:ascii="宋体" w:hAnsi="宋体"/>
          <w:color w:val="auto"/>
          <w:szCs w:val="21"/>
          <w:highlight w:val="none"/>
        </w:rPr>
        <w:t>人。</w:t>
      </w:r>
      <w:r>
        <w:rPr>
          <w:rFonts w:hint="eastAsia" w:ascii="宋体" w:hAnsi="宋体"/>
          <w:color w:val="auto"/>
          <w:szCs w:val="21"/>
          <w:highlight w:val="none"/>
        </w:rPr>
        <w:t>具体条款如下：</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有电动车逆向行驶，该电动车违法起点执勤人员，每辆扣1分；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执勤时帽子、反光背心不穿戴整齐的，每次扣1分；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执勒时聚集聊天、背手、插兜的，每次扣1分；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迟到、早退，每次扣2分；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高峰时段未执勤或者坐岗的，每次扣4分；，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平峰时段未执勤或者坐岗的，每次扣2分（规定休息时间除外）</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着执勤服装在路口抽烟的，每次扣2分；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执勤时与群众发生纠纷，经***调查后，根据相关情况予以加扣分1-10分；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交通工作建议被有关部门采纳的，加1-5分；</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0.</w:t>
      </w:r>
      <w:r>
        <w:rPr>
          <w:rFonts w:ascii="宋体" w:hAnsi="宋体"/>
          <w:color w:val="auto"/>
          <w:szCs w:val="21"/>
          <w:highlight w:val="none"/>
        </w:rPr>
        <w:t>工作得到交通局、交警大队等有关部门领导表扬的，加1-10分；</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1.</w:t>
      </w:r>
      <w:r>
        <w:rPr>
          <w:rFonts w:ascii="宋体" w:hAnsi="宋体"/>
          <w:color w:val="auto"/>
          <w:szCs w:val="21"/>
          <w:highlight w:val="none"/>
        </w:rPr>
        <w:t>群众投诉根据查证情况进行加扣分1-3分；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12.管理到位的或重点岗位管理出色的，加2分；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13.工作日期间饮酒的，扣5分；穿着执勤服在公共场所饮酒的</w:t>
      </w:r>
      <w:r>
        <w:rPr>
          <w:rFonts w:ascii="宋体" w:hAnsi="宋体"/>
          <w:color w:val="auto"/>
          <w:szCs w:val="21"/>
          <w:highlight w:val="none"/>
        </w:rPr>
        <w:t>予以辞退</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旷工半天以内的扣6分，旷工半天及以上的，予以辞退；</w:t>
      </w:r>
    </w:p>
    <w:p>
      <w:pPr>
        <w:spacing w:line="360" w:lineRule="exact"/>
        <w:ind w:firstLine="420" w:firstLineChars="200"/>
        <w:rPr>
          <w:color w:val="auto"/>
          <w:highlight w:val="none"/>
        </w:rPr>
      </w:pPr>
      <w:r>
        <w:rPr>
          <w:rFonts w:ascii="宋体" w:hAnsi="宋体"/>
          <w:color w:val="auto"/>
          <w:szCs w:val="21"/>
          <w:highlight w:val="none"/>
        </w:rPr>
        <w:t>1</w:t>
      </w:r>
      <w:r>
        <w:rPr>
          <w:rFonts w:hint="eastAsia" w:ascii="宋体" w:hAnsi="宋体"/>
          <w:color w:val="auto"/>
          <w:szCs w:val="21"/>
          <w:highlight w:val="none"/>
        </w:rPr>
        <w:t>5.</w:t>
      </w:r>
      <w:r>
        <w:rPr>
          <w:rFonts w:ascii="宋体" w:hAnsi="宋体"/>
          <w:color w:val="auto"/>
          <w:szCs w:val="21"/>
          <w:highlight w:val="none"/>
        </w:rPr>
        <w:t>其它需要加扣分、辞退的情形。</w:t>
      </w:r>
    </w:p>
    <w:p/>
    <w:p>
      <w:pPr>
        <w:spacing w:line="440" w:lineRule="exact"/>
        <w:ind w:firstLine="420" w:firstLineChars="200"/>
        <w:rPr>
          <w:rFonts w:ascii="宋体" w:hAnsi="宋体" w:cs="宋体"/>
          <w:szCs w:val="21"/>
        </w:rPr>
      </w:pPr>
    </w:p>
    <w:p>
      <w:pPr>
        <w:rPr>
          <w:rStyle w:val="68"/>
          <w:rFonts w:ascii="宋体" w:hAnsi="宋体" w:cs="宋体"/>
          <w:sz w:val="32"/>
        </w:rPr>
      </w:pPr>
    </w:p>
    <w:p/>
    <w:p>
      <w:pPr>
        <w:pStyle w:val="45"/>
        <w:ind w:firstLine="480"/>
      </w:pPr>
    </w:p>
    <w:p/>
    <w:p/>
    <w:p/>
    <w:p/>
    <w:p/>
    <w:p>
      <w:pPr>
        <w:pStyle w:val="15"/>
        <w:rPr>
          <w:rStyle w:val="68"/>
          <w:rFonts w:ascii="宋体" w:hAnsi="宋体" w:cs="宋体"/>
          <w:sz w:val="32"/>
        </w:rPr>
      </w:pPr>
    </w:p>
    <w:p>
      <w:pPr>
        <w:rPr>
          <w:rStyle w:val="68"/>
          <w:rFonts w:ascii="宋体" w:hAnsi="宋体" w:cs="宋体"/>
          <w:sz w:val="32"/>
        </w:rPr>
      </w:pPr>
    </w:p>
    <w:p>
      <w:pPr>
        <w:pStyle w:val="15"/>
        <w:jc w:val="center"/>
        <w:rPr>
          <w:rStyle w:val="68"/>
          <w:rFonts w:ascii="宋体" w:hAnsi="宋体" w:cs="宋体"/>
          <w:sz w:val="32"/>
        </w:rPr>
      </w:pPr>
    </w:p>
    <w:p>
      <w:pPr>
        <w:rPr>
          <w:rStyle w:val="68"/>
          <w:rFonts w:ascii="宋体" w:hAnsi="宋体" w:cs="宋体"/>
          <w:sz w:val="32"/>
        </w:rPr>
      </w:pPr>
    </w:p>
    <w:p>
      <w:pPr>
        <w:pStyle w:val="2"/>
        <w:rPr>
          <w:rStyle w:val="68"/>
          <w:rFonts w:ascii="宋体" w:hAnsi="宋体" w:cs="宋体"/>
          <w:sz w:val="32"/>
        </w:rPr>
      </w:pPr>
    </w:p>
    <w:p>
      <w:pPr>
        <w:rPr>
          <w:rStyle w:val="68"/>
          <w:rFonts w:ascii="宋体" w:hAnsi="宋体" w:cs="宋体"/>
          <w:sz w:val="32"/>
        </w:rPr>
      </w:pPr>
    </w:p>
    <w:p>
      <w:pPr>
        <w:pStyle w:val="2"/>
        <w:rPr>
          <w:rStyle w:val="68"/>
          <w:rFonts w:ascii="宋体" w:hAnsi="宋体" w:cs="宋体"/>
          <w:sz w:val="32"/>
        </w:rPr>
      </w:pPr>
    </w:p>
    <w:p>
      <w:pPr>
        <w:rPr>
          <w:rStyle w:val="68"/>
          <w:rFonts w:ascii="宋体" w:hAnsi="宋体" w:cs="宋体"/>
          <w:sz w:val="32"/>
        </w:rPr>
      </w:pPr>
    </w:p>
    <w:p>
      <w:pPr>
        <w:pStyle w:val="2"/>
        <w:rPr>
          <w:rStyle w:val="68"/>
          <w:rFonts w:ascii="宋体" w:hAnsi="宋体" w:cs="宋体"/>
          <w:sz w:val="32"/>
        </w:rPr>
      </w:pPr>
    </w:p>
    <w:p>
      <w:pPr>
        <w:rPr>
          <w:rStyle w:val="68"/>
          <w:rFonts w:ascii="宋体" w:hAnsi="宋体" w:cs="宋体"/>
          <w:sz w:val="32"/>
        </w:rPr>
      </w:pPr>
    </w:p>
    <w:p>
      <w:pPr>
        <w:pStyle w:val="2"/>
      </w:pPr>
    </w:p>
    <w:p>
      <w:pPr>
        <w:pStyle w:val="15"/>
        <w:jc w:val="center"/>
        <w:rPr>
          <w:rStyle w:val="68"/>
          <w:rFonts w:ascii="宋体" w:hAnsi="宋体" w:cs="宋体"/>
          <w:sz w:val="32"/>
        </w:rPr>
      </w:pPr>
      <w:r>
        <w:rPr>
          <w:rStyle w:val="68"/>
          <w:rFonts w:hint="eastAsia" w:ascii="宋体" w:hAnsi="宋体" w:cs="宋体"/>
          <w:sz w:val="32"/>
        </w:rPr>
        <w:t>第六章 商务条款</w:t>
      </w:r>
    </w:p>
    <w:p/>
    <w:p>
      <w:pPr>
        <w:tabs>
          <w:tab w:val="left" w:pos="1243"/>
        </w:tabs>
        <w:autoSpaceDE w:val="0"/>
        <w:autoSpaceDN w:val="0"/>
        <w:adjustRightInd w:val="0"/>
        <w:snapToGrid w:val="0"/>
        <w:spacing w:line="400" w:lineRule="exact"/>
        <w:ind w:firstLine="414" w:firstLineChars="200"/>
        <w:textAlignment w:val="bottom"/>
        <w:rPr>
          <w:rFonts w:ascii="宋体" w:hAnsi="宋体" w:cs="宋体"/>
          <w:color w:val="auto"/>
          <w:szCs w:val="21"/>
          <w:highlight w:val="none"/>
        </w:rPr>
      </w:pPr>
      <w:bookmarkStart w:id="69" w:name="_Toc12656"/>
      <w:r>
        <w:rPr>
          <w:rFonts w:hint="eastAsia" w:ascii="宋体" w:hAnsi="宋体" w:cs="仿宋_GB2312"/>
          <w:b/>
          <w:color w:val="auto"/>
          <w:spacing w:val="-2"/>
          <w:szCs w:val="21"/>
          <w:highlight w:val="none"/>
        </w:rPr>
        <w:t>★</w:t>
      </w:r>
      <w:r>
        <w:rPr>
          <w:rFonts w:hint="eastAsia" w:ascii="宋体" w:hAnsi="宋体" w:cs="仿宋_GB2312"/>
          <w:b/>
          <w:color w:val="auto"/>
          <w:szCs w:val="21"/>
          <w:highlight w:val="none"/>
        </w:rPr>
        <w:t>一、付款方式：</w:t>
      </w:r>
      <w:bookmarkStart w:id="70" w:name="_Hlk10544900"/>
      <w:r>
        <w:rPr>
          <w:rFonts w:hint="eastAsia" w:ascii="宋体" w:hAnsi="宋体" w:cs="宋体"/>
          <w:color w:val="auto"/>
          <w:szCs w:val="21"/>
          <w:highlight w:val="none"/>
        </w:rPr>
        <w:t>合同签订后15个工作日内采购人支付给中标供应商暂定合同价的20%，每服务完成一个季度后，采购人根据中标供应商实际服务的工时数量按实结算（扣回预付款：本次应付金额的20%），费用支付前根据考核情况扣除应扣款</w:t>
      </w:r>
      <w:r>
        <w:rPr>
          <w:rFonts w:hint="eastAsia" w:ascii="宋体" w:hAnsi="宋体" w:cs="宋体"/>
          <w:color w:val="auto"/>
          <w:highlight w:val="none"/>
        </w:rPr>
        <w:t>。</w:t>
      </w:r>
    </w:p>
    <w:bookmarkEnd w:id="70"/>
    <w:p>
      <w:pPr>
        <w:spacing w:line="400" w:lineRule="exact"/>
        <w:ind w:firstLine="414"/>
        <w:rPr>
          <w:rFonts w:ascii="宋体" w:hAnsi="宋体" w:cs="宋体"/>
          <w:color w:val="auto"/>
          <w:szCs w:val="21"/>
          <w:highlight w:val="none"/>
        </w:rPr>
      </w:pPr>
      <w:r>
        <w:rPr>
          <w:rFonts w:hint="eastAsia" w:ascii="宋体" w:hAnsi="宋体" w:cs="仿宋_GB2312"/>
          <w:b/>
          <w:color w:val="auto"/>
          <w:spacing w:val="-2"/>
          <w:szCs w:val="21"/>
          <w:highlight w:val="none"/>
        </w:rPr>
        <w:t>★</w:t>
      </w:r>
      <w:r>
        <w:rPr>
          <w:rFonts w:hint="eastAsia" w:ascii="宋体" w:hAnsi="宋体" w:cs="仿宋_GB2312"/>
          <w:b/>
          <w:color w:val="auto"/>
          <w:szCs w:val="21"/>
          <w:highlight w:val="none"/>
        </w:rPr>
        <w:t>二、履约保证：</w:t>
      </w:r>
      <w:r>
        <w:rPr>
          <w:rFonts w:hint="eastAsia" w:ascii="宋体" w:hAnsi="宋体" w:cs="宋体"/>
          <w:color w:val="auto"/>
          <w:szCs w:val="21"/>
          <w:highlight w:val="none"/>
        </w:rPr>
        <w:t>本合同履约保证金为合同总价的1%（可以采用银行保函、保险保单、担保公司担保等方式），中标供应商在签订合同后7个工作日内提交。</w:t>
      </w:r>
    </w:p>
    <w:p>
      <w:pPr>
        <w:pStyle w:val="188"/>
        <w:spacing w:line="400" w:lineRule="exact"/>
        <w:ind w:firstLine="422"/>
        <w:rPr>
          <w:rFonts w:ascii="宋体" w:hAnsi="宋体" w:cs="仿宋_GB2312"/>
          <w:b/>
          <w:color w:val="auto"/>
          <w:szCs w:val="21"/>
          <w:highlight w:val="none"/>
        </w:rPr>
      </w:pPr>
      <w:r>
        <w:rPr>
          <w:rFonts w:hint="eastAsia" w:ascii="宋体" w:hAnsi="宋体" w:cs="仿宋_GB2312"/>
          <w:b/>
          <w:color w:val="auto"/>
          <w:szCs w:val="21"/>
          <w:highlight w:val="none"/>
        </w:rPr>
        <w:t>★三、项目期限</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服务期一年或采购费用达到预算金额，以先达到者为准。服务期满或采购费用达到合同金额后，经采购人考核合格并达到续签条件后，报慈溪市公共资源交易管理办公室备案，合同可续签一年或一次，最多可续签二年或二次。</w:t>
      </w:r>
    </w:p>
    <w:p>
      <w:pPr>
        <w:tabs>
          <w:tab w:val="left" w:pos="1243"/>
        </w:tabs>
        <w:autoSpaceDE w:val="0"/>
        <w:autoSpaceDN w:val="0"/>
        <w:adjustRightInd w:val="0"/>
        <w:snapToGrid w:val="0"/>
        <w:spacing w:line="440" w:lineRule="exact"/>
        <w:ind w:firstLine="420"/>
        <w:textAlignment w:val="bottom"/>
        <w:rPr>
          <w:rFonts w:ascii="宋体" w:hAnsi="宋体" w:cs="仿宋_GB2312"/>
          <w:bCs/>
          <w:color w:val="auto"/>
          <w:szCs w:val="21"/>
          <w:highlight w:val="none"/>
        </w:rPr>
      </w:pPr>
      <w:r>
        <w:rPr>
          <w:rFonts w:hint="eastAsia" w:ascii="宋体" w:hAnsi="宋体" w:cs="仿宋_GB2312"/>
          <w:b/>
          <w:color w:val="auto"/>
          <w:spacing w:val="-2"/>
          <w:szCs w:val="21"/>
          <w:highlight w:val="none"/>
        </w:rPr>
        <w:t>★</w:t>
      </w:r>
      <w:r>
        <w:rPr>
          <w:rFonts w:hint="eastAsia" w:ascii="宋体" w:hAnsi="宋体" w:cs="仿宋_GB2312"/>
          <w:b/>
          <w:color w:val="auto"/>
          <w:szCs w:val="21"/>
          <w:highlight w:val="none"/>
        </w:rPr>
        <w:t>四、考核</w:t>
      </w:r>
    </w:p>
    <w:p>
      <w:pPr>
        <w:tabs>
          <w:tab w:val="left" w:pos="1243"/>
        </w:tabs>
        <w:autoSpaceDE w:val="0"/>
        <w:autoSpaceDN w:val="0"/>
        <w:adjustRightInd w:val="0"/>
        <w:snapToGrid w:val="0"/>
        <w:spacing w:line="440" w:lineRule="exact"/>
        <w:ind w:firstLine="420"/>
        <w:textAlignment w:val="bottom"/>
        <w:rPr>
          <w:rFonts w:ascii="宋体" w:hAnsi="宋体" w:cs="仿宋_GB2312"/>
          <w:bCs/>
          <w:color w:val="auto"/>
          <w:szCs w:val="21"/>
          <w:highlight w:val="none"/>
        </w:rPr>
      </w:pPr>
      <w:r>
        <w:rPr>
          <w:rFonts w:hint="eastAsia" w:ascii="宋体" w:hAnsi="宋体" w:cs="仿宋_GB2312"/>
          <w:bCs/>
          <w:color w:val="auto"/>
          <w:szCs w:val="21"/>
          <w:highlight w:val="none"/>
        </w:rPr>
        <w:t>按采购第五章采购项目需求中的“监督考核实施办法”执行。</w:t>
      </w:r>
    </w:p>
    <w:p>
      <w:pPr>
        <w:tabs>
          <w:tab w:val="left" w:pos="1243"/>
        </w:tabs>
        <w:autoSpaceDE w:val="0"/>
        <w:autoSpaceDN w:val="0"/>
        <w:adjustRightInd w:val="0"/>
        <w:snapToGrid w:val="0"/>
        <w:spacing w:line="400" w:lineRule="exact"/>
        <w:ind w:firstLine="422" w:firstLineChars="200"/>
        <w:textAlignment w:val="bottom"/>
        <w:rPr>
          <w:rFonts w:ascii="宋体" w:hAnsi="宋体" w:cs="仿宋_GB2312"/>
          <w:b/>
          <w:color w:val="auto"/>
          <w:szCs w:val="21"/>
          <w:highlight w:val="none"/>
        </w:rPr>
      </w:pPr>
      <w:r>
        <w:rPr>
          <w:rFonts w:hint="eastAsia" w:ascii="宋体" w:hAnsi="宋体" w:cs="仿宋_GB2312"/>
          <w:b/>
          <w:color w:val="auto"/>
          <w:szCs w:val="21"/>
          <w:highlight w:val="none"/>
        </w:rPr>
        <w:t>五、其他说明</w:t>
      </w:r>
    </w:p>
    <w:p>
      <w:pPr>
        <w:tabs>
          <w:tab w:val="left" w:pos="1243"/>
        </w:tabs>
        <w:autoSpaceDE w:val="0"/>
        <w:autoSpaceDN w:val="0"/>
        <w:adjustRightInd w:val="0"/>
        <w:snapToGrid w:val="0"/>
        <w:spacing w:line="400" w:lineRule="exact"/>
        <w:ind w:firstLine="207" w:firstLineChars="98"/>
        <w:textAlignment w:val="bottom"/>
        <w:rPr>
          <w:rFonts w:ascii="宋体" w:hAnsi="宋体"/>
          <w:b/>
          <w:color w:val="auto"/>
          <w:szCs w:val="21"/>
          <w:highlight w:val="none"/>
        </w:rPr>
      </w:pPr>
      <w:r>
        <w:rPr>
          <w:rFonts w:hint="eastAsia" w:ascii="宋体" w:hAnsi="宋体" w:cs="仿宋_GB2312"/>
          <w:b/>
          <w:color w:val="auto"/>
          <w:szCs w:val="21"/>
          <w:highlight w:val="none"/>
        </w:rPr>
        <w:t>★</w:t>
      </w:r>
      <w:r>
        <w:rPr>
          <w:rFonts w:hint="eastAsia" w:ascii="宋体" w:hAnsi="宋体"/>
          <w:b/>
          <w:color w:val="auto"/>
          <w:szCs w:val="21"/>
          <w:highlight w:val="none"/>
        </w:rPr>
        <w:t>1、在中标通知书发出后30日历天内，中标供应商凭中标通知书与采购人签订合同，否则采购人有权取消供应商的中标资格。</w:t>
      </w:r>
    </w:p>
    <w:p>
      <w:pPr>
        <w:tabs>
          <w:tab w:val="left" w:pos="1243"/>
        </w:tabs>
        <w:autoSpaceDE w:val="0"/>
        <w:autoSpaceDN w:val="0"/>
        <w:adjustRightInd w:val="0"/>
        <w:snapToGrid w:val="0"/>
        <w:spacing w:line="400" w:lineRule="exact"/>
        <w:ind w:firstLine="420" w:firstLineChars="200"/>
        <w:textAlignment w:val="bottom"/>
        <w:rPr>
          <w:rFonts w:ascii="宋体" w:hAnsi="宋体"/>
          <w:bCs/>
          <w:color w:val="auto"/>
          <w:szCs w:val="21"/>
          <w:highlight w:val="none"/>
        </w:rPr>
      </w:pPr>
      <w:r>
        <w:rPr>
          <w:rFonts w:hint="eastAsia" w:ascii="宋体" w:hAnsi="宋体"/>
          <w:bCs/>
          <w:color w:val="auto"/>
          <w:szCs w:val="21"/>
          <w:highlight w:val="none"/>
        </w:rPr>
        <w:t>2、投标方要制订用工计划并加强劳动用工管理，必须符合劳动法、劳动合同法等法律法规的要求，与员工签订正规的劳动合同，负责支付上岗人员的工资、津贴、社会保险及根据国家规定应支付的各项费用、承担体检、培训费用。</w:t>
      </w:r>
    </w:p>
    <w:p>
      <w:pPr>
        <w:tabs>
          <w:tab w:val="left" w:pos="1243"/>
        </w:tabs>
        <w:autoSpaceDE w:val="0"/>
        <w:autoSpaceDN w:val="0"/>
        <w:adjustRightInd w:val="0"/>
        <w:snapToGrid w:val="0"/>
        <w:spacing w:line="400" w:lineRule="exact"/>
        <w:ind w:firstLine="420" w:firstLineChars="200"/>
        <w:textAlignment w:val="bottom"/>
        <w:rPr>
          <w:rFonts w:ascii="宋体" w:hAnsi="宋体"/>
          <w:bCs/>
          <w:color w:val="auto"/>
          <w:szCs w:val="21"/>
          <w:highlight w:val="none"/>
        </w:rPr>
      </w:pPr>
      <w:r>
        <w:rPr>
          <w:rFonts w:hint="eastAsia" w:ascii="宋体" w:hAnsi="宋体"/>
          <w:bCs/>
          <w:color w:val="auto"/>
          <w:szCs w:val="21"/>
          <w:highlight w:val="none"/>
        </w:rPr>
        <w:t>3、如发生劳动纠纷，采购人不承担连带责任，用工调整须报采购人备案。</w:t>
      </w:r>
    </w:p>
    <w:p>
      <w:pPr>
        <w:tabs>
          <w:tab w:val="left" w:pos="1243"/>
        </w:tabs>
        <w:autoSpaceDE w:val="0"/>
        <w:autoSpaceDN w:val="0"/>
        <w:adjustRightInd w:val="0"/>
        <w:snapToGrid w:val="0"/>
        <w:spacing w:line="400" w:lineRule="exact"/>
        <w:ind w:firstLine="420" w:firstLineChars="200"/>
        <w:textAlignment w:val="bottom"/>
        <w:rPr>
          <w:rFonts w:ascii="宋体" w:hAnsi="宋体"/>
          <w:bCs/>
          <w:color w:val="auto"/>
          <w:szCs w:val="21"/>
          <w:highlight w:val="none"/>
        </w:rPr>
      </w:pPr>
      <w:r>
        <w:rPr>
          <w:rFonts w:hint="eastAsia" w:ascii="宋体" w:hAnsi="宋体"/>
          <w:bCs/>
          <w:color w:val="auto"/>
          <w:szCs w:val="21"/>
          <w:highlight w:val="none"/>
        </w:rPr>
        <w:t>4、中标供应商不得将本项目转包或分包，否则采购人视中标供应商单方面违约，采购人可单方面终止合同，中标供应商承担违约赔偿责任，并没收履约保证金。</w:t>
      </w:r>
    </w:p>
    <w:p>
      <w:pPr>
        <w:tabs>
          <w:tab w:val="left" w:pos="1243"/>
        </w:tabs>
        <w:autoSpaceDE w:val="0"/>
        <w:autoSpaceDN w:val="0"/>
        <w:adjustRightInd w:val="0"/>
        <w:snapToGrid w:val="0"/>
        <w:spacing w:line="400" w:lineRule="exact"/>
        <w:ind w:firstLine="420" w:firstLineChars="200"/>
        <w:textAlignment w:val="bottom"/>
        <w:rPr>
          <w:rFonts w:ascii="宋体" w:hAnsi="宋体"/>
          <w:bCs/>
          <w:color w:val="auto"/>
          <w:szCs w:val="21"/>
          <w:highlight w:val="none"/>
        </w:rPr>
      </w:pPr>
      <w:r>
        <w:rPr>
          <w:rFonts w:hint="eastAsia" w:ascii="宋体" w:hAnsi="宋体"/>
          <w:bCs/>
          <w:color w:val="auto"/>
          <w:szCs w:val="21"/>
          <w:highlight w:val="none"/>
        </w:rPr>
        <w:t>5、中标供应商须遵守采购人的各项规章制度，参加和接受采购人的日常检查与考评，考评结果直接与经济挂钩。管理未能达到招标文件和投标文件中承诺的目标，中标供应商承担违约的赔偿责任，并没收履约保证金。</w:t>
      </w:r>
    </w:p>
    <w:p>
      <w:pPr>
        <w:tabs>
          <w:tab w:val="left" w:pos="1243"/>
        </w:tabs>
        <w:autoSpaceDE w:val="0"/>
        <w:autoSpaceDN w:val="0"/>
        <w:adjustRightInd w:val="0"/>
        <w:snapToGrid w:val="0"/>
        <w:spacing w:line="400" w:lineRule="exact"/>
        <w:ind w:firstLine="420" w:firstLineChars="200"/>
        <w:textAlignment w:val="bottom"/>
        <w:rPr>
          <w:rFonts w:ascii="宋体" w:hAnsi="宋体"/>
          <w:bCs/>
          <w:color w:val="auto"/>
          <w:szCs w:val="21"/>
          <w:highlight w:val="none"/>
        </w:rPr>
      </w:pPr>
      <w:r>
        <w:rPr>
          <w:rFonts w:hint="eastAsia" w:ascii="宋体" w:hAnsi="宋体"/>
          <w:bCs/>
          <w:color w:val="auto"/>
          <w:szCs w:val="21"/>
          <w:highlight w:val="none"/>
        </w:rPr>
        <w:t>6、本次服务期内服务人员工资不得低于慈溪市政府规定的当年最低工资标准，所有人员必须交纳包括养老、工伤、失业、生育、医疗等在内的社会保险和意外伤害保险，服务期内不得低于慈溪市政府规定的当年社保缴费基数。</w:t>
      </w:r>
    </w:p>
    <w:p>
      <w:pPr>
        <w:tabs>
          <w:tab w:val="left" w:pos="1243"/>
        </w:tabs>
        <w:autoSpaceDE w:val="0"/>
        <w:autoSpaceDN w:val="0"/>
        <w:adjustRightInd w:val="0"/>
        <w:snapToGrid w:val="0"/>
        <w:spacing w:line="400" w:lineRule="exact"/>
        <w:ind w:firstLine="422" w:firstLineChars="200"/>
        <w:textAlignment w:val="bottom"/>
        <w:rPr>
          <w:rFonts w:ascii="宋体" w:hAnsi="宋体"/>
          <w:b/>
          <w:bCs/>
          <w:color w:val="auto"/>
          <w:szCs w:val="21"/>
          <w:highlight w:val="none"/>
        </w:rPr>
      </w:pPr>
      <w:r>
        <w:rPr>
          <w:rFonts w:hint="eastAsia" w:ascii="宋体" w:hAnsi="宋体"/>
          <w:b/>
          <w:bCs/>
          <w:color w:val="auto"/>
          <w:szCs w:val="21"/>
          <w:highlight w:val="none"/>
        </w:rPr>
        <w:t>7、因本项目工时数量均为暂定，不排除合同期内工时数量减少</w:t>
      </w:r>
      <w:r>
        <w:rPr>
          <w:rFonts w:hint="eastAsia" w:ascii="宋体" w:hAnsi="宋体"/>
          <w:b/>
          <w:color w:val="auto"/>
          <w:szCs w:val="21"/>
          <w:highlight w:val="none"/>
        </w:rPr>
        <w:t>，中标供应商不得因</w:t>
      </w:r>
      <w:r>
        <w:rPr>
          <w:rFonts w:hint="eastAsia" w:ascii="宋体" w:hAnsi="宋体"/>
          <w:b/>
          <w:bCs/>
          <w:color w:val="auto"/>
          <w:szCs w:val="21"/>
          <w:highlight w:val="none"/>
        </w:rPr>
        <w:t>工时数量减少</w:t>
      </w:r>
      <w:r>
        <w:rPr>
          <w:rFonts w:hint="eastAsia" w:ascii="宋体" w:hAnsi="宋体"/>
          <w:b/>
          <w:color w:val="auto"/>
          <w:szCs w:val="21"/>
          <w:highlight w:val="none"/>
        </w:rPr>
        <w:t>向采购人提出索赔或任何经济补偿</w:t>
      </w:r>
      <w:r>
        <w:rPr>
          <w:rFonts w:hint="eastAsia" w:ascii="宋体" w:hAnsi="宋体"/>
          <w:b/>
          <w:bCs/>
          <w:color w:val="auto"/>
          <w:szCs w:val="21"/>
          <w:highlight w:val="none"/>
        </w:rPr>
        <w:t>。</w:t>
      </w:r>
    </w:p>
    <w:p/>
    <w:p>
      <w:pPr>
        <w:pStyle w:val="2"/>
      </w:pPr>
    </w:p>
    <w:p/>
    <w:p>
      <w:pPr>
        <w:pStyle w:val="2"/>
      </w:pPr>
    </w:p>
    <w:p>
      <w:pPr>
        <w:pStyle w:val="3"/>
        <w:keepLines/>
        <w:spacing w:before="340" w:after="330" w:line="360" w:lineRule="auto"/>
        <w:rPr>
          <w:rStyle w:val="90"/>
          <w:rFonts w:ascii="宋体" w:hAnsi="宋体" w:cs="仿宋_GB2312"/>
          <w:b w:val="0"/>
          <w:sz w:val="30"/>
          <w:szCs w:val="30"/>
        </w:rPr>
      </w:pPr>
      <w:r>
        <w:rPr>
          <w:rFonts w:hint="eastAsia" w:ascii="宋体" w:hAnsi="宋体"/>
          <w:sz w:val="36"/>
          <w:szCs w:val="36"/>
        </w:rPr>
        <w:t xml:space="preserve">第七章  </w:t>
      </w:r>
      <w:bookmarkEnd w:id="67"/>
      <w:r>
        <w:rPr>
          <w:rFonts w:hint="eastAsia" w:ascii="宋体" w:hAnsi="宋体"/>
          <w:sz w:val="36"/>
          <w:szCs w:val="36"/>
        </w:rPr>
        <w:t>附件</w:t>
      </w:r>
      <w:bookmarkEnd w:id="69"/>
    </w:p>
    <w:p>
      <w:pPr>
        <w:spacing w:line="360" w:lineRule="auto"/>
        <w:rPr>
          <w:rStyle w:val="90"/>
          <w:bCs/>
        </w:rPr>
      </w:pPr>
      <w:bookmarkStart w:id="71" w:name="_Toc28784"/>
      <w:r>
        <w:rPr>
          <w:rStyle w:val="90"/>
          <w:rFonts w:hint="eastAsia"/>
          <w:bCs/>
        </w:rPr>
        <w:t>附件一：</w:t>
      </w:r>
      <w:bookmarkEnd w:id="71"/>
    </w:p>
    <w:p>
      <w:pPr>
        <w:spacing w:line="360" w:lineRule="auto"/>
        <w:jc w:val="center"/>
        <w:rPr>
          <w:rFonts w:ascii="宋体" w:hAnsi="宋体" w:cs="宋体"/>
          <w:b/>
          <w:szCs w:val="21"/>
        </w:rPr>
      </w:pPr>
      <w:bookmarkStart w:id="72" w:name="_Toc435"/>
      <w:r>
        <w:rPr>
          <w:rFonts w:hint="eastAsia" w:ascii="宋体" w:hAnsi="宋体" w:cs="宋体"/>
          <w:b/>
          <w:szCs w:val="21"/>
        </w:rPr>
        <w:t>关于资格的声明函</w:t>
      </w:r>
      <w:bookmarkEnd w:id="72"/>
    </w:p>
    <w:p>
      <w:pPr>
        <w:spacing w:line="400" w:lineRule="exact"/>
        <w:rPr>
          <w:rFonts w:ascii="宋体" w:hAnsi="宋体" w:cs="宋体"/>
          <w:szCs w:val="21"/>
        </w:rPr>
      </w:pPr>
      <w:r>
        <w:rPr>
          <w:rFonts w:hint="eastAsia" w:ascii="宋体" w:hAnsi="宋体" w:cs="宋体"/>
          <w:szCs w:val="21"/>
        </w:rPr>
        <w:t>致：</w:t>
      </w:r>
      <w:r>
        <w:rPr>
          <w:rFonts w:hint="eastAsia" w:ascii="宋体" w:hAnsi="宋体"/>
          <w:szCs w:val="21"/>
        </w:rPr>
        <w:t>慈溪市交通建筑有限公司</w:t>
      </w:r>
    </w:p>
    <w:p>
      <w:pPr>
        <w:spacing w:line="400" w:lineRule="exact"/>
        <w:ind w:firstLine="420" w:firstLineChars="200"/>
        <w:rPr>
          <w:rFonts w:ascii="宋体" w:hAnsi="宋体" w:cs="宋体"/>
          <w:szCs w:val="21"/>
        </w:rPr>
      </w:pPr>
      <w:r>
        <w:rPr>
          <w:rFonts w:hint="eastAsia" w:ascii="宋体" w:hAnsi="宋体" w:cs="宋体"/>
          <w:szCs w:val="21"/>
        </w:rPr>
        <w:t>关于</w:t>
      </w:r>
      <w:r>
        <w:rPr>
          <w:rFonts w:hint="eastAsia" w:ascii="宋体" w:hAnsi="宋体"/>
          <w:kern w:val="10"/>
          <w:szCs w:val="21"/>
          <w:u w:val="single"/>
        </w:rPr>
        <w:t xml:space="preserve"> </w:t>
      </w:r>
      <w:r>
        <w:rPr>
          <w:rFonts w:ascii="宋体" w:hAnsi="宋体"/>
          <w:kern w:val="10"/>
          <w:szCs w:val="21"/>
          <w:u w:val="single"/>
        </w:rPr>
        <w:t xml:space="preserve">                 </w:t>
      </w:r>
      <w:r>
        <w:rPr>
          <w:rFonts w:hint="eastAsia" w:ascii="宋体" w:hAnsi="宋体" w:cs="宋体"/>
          <w:szCs w:val="21"/>
        </w:rPr>
        <w:t>（项目编号：</w:t>
      </w:r>
      <w:r>
        <w:rPr>
          <w:rFonts w:hint="eastAsia" w:ascii="宋体" w:hAnsi="宋体"/>
          <w:kern w:val="10"/>
          <w:szCs w:val="21"/>
          <w:u w:val="single"/>
        </w:rPr>
        <w:t>QTGGZY20220</w:t>
      </w:r>
      <w:r>
        <w:rPr>
          <w:rFonts w:ascii="宋体" w:hAnsi="宋体"/>
          <w:kern w:val="10"/>
          <w:szCs w:val="21"/>
          <w:u w:val="single"/>
        </w:rPr>
        <w:t xml:space="preserve">  </w:t>
      </w:r>
      <w:r>
        <w:rPr>
          <w:rFonts w:hint="eastAsia" w:ascii="宋体" w:hAnsi="宋体" w:cs="宋体"/>
          <w:szCs w:val="21"/>
        </w:rPr>
        <w:t xml:space="preserve">），本单位申明如下： </w:t>
      </w:r>
    </w:p>
    <w:p>
      <w:pPr>
        <w:spacing w:line="400" w:lineRule="exact"/>
        <w:ind w:firstLine="420" w:firstLineChars="200"/>
        <w:rPr>
          <w:rFonts w:ascii="宋体" w:hAnsi="宋体" w:cs="宋体"/>
          <w:szCs w:val="21"/>
        </w:rPr>
      </w:pPr>
      <w:r>
        <w:rPr>
          <w:rFonts w:hint="eastAsia" w:ascii="宋体" w:hAnsi="宋体" w:cs="宋体"/>
          <w:szCs w:val="21"/>
        </w:rPr>
        <w:t>一、我单位</w:t>
      </w:r>
      <w:r>
        <w:rPr>
          <w:rFonts w:hint="eastAsia" w:ascii="宋体" w:hAnsi="宋体"/>
          <w:szCs w:val="21"/>
        </w:rPr>
        <w:t>符合《中华人民共和国招标投标法》投标人资质要求的相关规定。</w:t>
      </w:r>
    </w:p>
    <w:p>
      <w:pPr>
        <w:spacing w:line="400" w:lineRule="exact"/>
        <w:ind w:firstLine="420" w:firstLineChars="200"/>
        <w:rPr>
          <w:rFonts w:ascii="宋体" w:hAnsi="宋体"/>
          <w:szCs w:val="21"/>
        </w:rPr>
      </w:pPr>
      <w:r>
        <w:rPr>
          <w:rFonts w:hint="eastAsia" w:ascii="宋体" w:hAnsi="宋体"/>
          <w:szCs w:val="21"/>
        </w:rPr>
        <w:t>二、未被信用中国网站（</w:t>
      </w:r>
      <w:r>
        <w:fldChar w:fldCharType="begin"/>
      </w:r>
      <w:r>
        <w:instrText xml:space="preserve"> HYPERLINK "http://www.creditchina.gov.cn" </w:instrText>
      </w:r>
      <w:r>
        <w:fldChar w:fldCharType="separate"/>
      </w:r>
      <w:r>
        <w:rPr>
          <w:rStyle w:val="54"/>
          <w:rFonts w:hint="eastAsia" w:ascii="宋体" w:hAnsi="宋体"/>
          <w:szCs w:val="21"/>
        </w:rPr>
        <w:t>www.creditchina.gov.cn</w:t>
      </w:r>
      <w:r>
        <w:rPr>
          <w:rStyle w:val="54"/>
          <w:rFonts w:hint="eastAsia" w:ascii="宋体" w:hAnsi="宋体"/>
          <w:szCs w:val="21"/>
        </w:rPr>
        <w:fldChar w:fldCharType="end"/>
      </w:r>
      <w:r>
        <w:rPr>
          <w:rFonts w:hint="eastAsia" w:ascii="宋体" w:hAnsi="宋体"/>
          <w:szCs w:val="21"/>
        </w:rPr>
        <w:t>）列入失信被执行人、重大税收违法案件当事人名单，未被中国政府采购网（</w:t>
      </w:r>
      <w:r>
        <w:fldChar w:fldCharType="begin"/>
      </w:r>
      <w:r>
        <w:instrText xml:space="preserve"> HYPERLINK "http://www.ccgp.gov.cn" </w:instrText>
      </w:r>
      <w:r>
        <w:fldChar w:fldCharType="separate"/>
      </w:r>
      <w:r>
        <w:rPr>
          <w:rStyle w:val="54"/>
          <w:rFonts w:hint="eastAsia" w:ascii="宋体" w:hAnsi="宋体"/>
          <w:szCs w:val="21"/>
        </w:rPr>
        <w:t>www.ccgp.gov.cn</w:t>
      </w:r>
      <w:r>
        <w:rPr>
          <w:rStyle w:val="54"/>
          <w:rFonts w:hint="eastAsia" w:ascii="宋体" w:hAnsi="宋体"/>
          <w:szCs w:val="21"/>
        </w:rPr>
        <w:fldChar w:fldCharType="end"/>
      </w:r>
      <w:r>
        <w:rPr>
          <w:rFonts w:hint="eastAsia" w:ascii="宋体" w:hAnsi="宋体"/>
          <w:szCs w:val="21"/>
        </w:rPr>
        <w:t>）列入政府采购严重违法失信行为记录名单。</w:t>
      </w:r>
    </w:p>
    <w:p>
      <w:pPr>
        <w:spacing w:line="400" w:lineRule="exact"/>
        <w:ind w:firstLine="420" w:firstLineChars="200"/>
        <w:rPr>
          <w:rFonts w:ascii="宋体" w:hAnsi="宋体"/>
          <w:szCs w:val="21"/>
        </w:rPr>
      </w:pPr>
      <w:r>
        <w:rPr>
          <w:rFonts w:hint="eastAsia" w:ascii="宋体" w:hAnsi="宋体"/>
          <w:szCs w:val="21"/>
        </w:rPr>
        <w:t>三、不属于联合体投标。</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400" w:lineRule="atLeast"/>
        <w:jc w:val="left"/>
        <w:rPr>
          <w:rFonts w:ascii="宋体" w:hAnsi="宋体"/>
          <w:szCs w:val="21"/>
        </w:rPr>
      </w:pPr>
      <w:r>
        <w:rPr>
          <w:rFonts w:hint="eastAsia" w:ascii="宋体" w:hAnsi="宋体"/>
          <w:szCs w:val="21"/>
        </w:rPr>
        <w:t>投标人（盖章）：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atLeast"/>
        <w:rPr>
          <w:rFonts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spacing w:line="400" w:lineRule="atLeast"/>
        <w:rPr>
          <w:rFonts w:ascii="宋体" w:hAnsi="宋体" w:cs="宋体"/>
          <w:szCs w:val="21"/>
          <w:u w:val="single"/>
        </w:rPr>
      </w:pPr>
    </w:p>
    <w:p/>
    <w:p/>
    <w:p>
      <w:pPr>
        <w:pageBreakBefore/>
        <w:spacing w:line="360" w:lineRule="auto"/>
        <w:rPr>
          <w:rStyle w:val="90"/>
          <w:bCs/>
        </w:rPr>
      </w:pPr>
      <w:r>
        <w:rPr>
          <w:rStyle w:val="90"/>
          <w:rFonts w:hint="eastAsia"/>
          <w:bCs/>
        </w:rPr>
        <w:t>附件二：</w:t>
      </w:r>
    </w:p>
    <w:p>
      <w:pPr>
        <w:spacing w:line="360" w:lineRule="auto"/>
        <w:rPr>
          <w:rFonts w:ascii="宋体" w:hAnsi="宋体"/>
          <w:szCs w:val="21"/>
          <w:u w:val="single"/>
        </w:rPr>
      </w:pPr>
    </w:p>
    <w:p>
      <w:pPr>
        <w:spacing w:line="440" w:lineRule="exact"/>
        <w:jc w:val="center"/>
        <w:rPr>
          <w:rFonts w:ascii="宋体" w:hAnsi="宋体"/>
          <w:b/>
          <w:sz w:val="28"/>
          <w:szCs w:val="28"/>
        </w:rPr>
      </w:pPr>
      <w:r>
        <w:rPr>
          <w:rFonts w:hint="eastAsia" w:ascii="宋体" w:hAnsi="宋体"/>
          <w:b/>
          <w:sz w:val="28"/>
          <w:szCs w:val="28"/>
        </w:rPr>
        <w:t>投标人一般情况</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4</w:t>
            </w:r>
          </w:p>
        </w:tc>
        <w:tc>
          <w:tcPr>
            <w:tcW w:w="43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5</w:t>
            </w:r>
          </w:p>
        </w:tc>
        <w:tc>
          <w:tcPr>
            <w:tcW w:w="43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6</w:t>
            </w:r>
          </w:p>
        </w:tc>
        <w:tc>
          <w:tcPr>
            <w:tcW w:w="430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cs="宋体"/>
                <w:szCs w:val="21"/>
                <w:lang w:bidi="ar"/>
              </w:rPr>
              <w:t>公司的经营范围：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8</w:t>
            </w:r>
          </w:p>
        </w:tc>
        <w:tc>
          <w:tcPr>
            <w:tcW w:w="43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p>
        </w:tc>
      </w:tr>
    </w:tbl>
    <w:p>
      <w:pPr>
        <w:spacing w:line="360" w:lineRule="auto"/>
        <w:jc w:val="center"/>
        <w:rPr>
          <w:rFonts w:ascii="宋体" w:hAnsi="宋体"/>
          <w:szCs w:val="21"/>
        </w:rPr>
      </w:pPr>
    </w:p>
    <w:p>
      <w:pPr>
        <w:spacing w:line="400" w:lineRule="atLeast"/>
        <w:jc w:val="left"/>
        <w:rPr>
          <w:rFonts w:ascii="宋体" w:hAnsi="宋体"/>
          <w:szCs w:val="21"/>
        </w:rPr>
      </w:pPr>
    </w:p>
    <w:p>
      <w:pPr>
        <w:spacing w:line="400" w:lineRule="atLeast"/>
        <w:jc w:val="left"/>
        <w:rPr>
          <w:rFonts w:ascii="宋体" w:hAnsi="宋体"/>
          <w:szCs w:val="21"/>
        </w:rPr>
      </w:pPr>
      <w:r>
        <w:rPr>
          <w:rFonts w:hint="eastAsia" w:ascii="宋体" w:hAnsi="宋体"/>
          <w:szCs w:val="21"/>
        </w:rPr>
        <w:t>投标人（盖章）：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atLeast"/>
        <w:rPr>
          <w:rFonts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spacing w:line="400" w:lineRule="atLeast"/>
        <w:rPr>
          <w:rFonts w:ascii="宋体" w:hAnsi="宋体"/>
          <w:szCs w:val="21"/>
          <w:u w:val="single"/>
        </w:rPr>
      </w:pPr>
    </w:p>
    <w:p>
      <w:pPr>
        <w:spacing w:line="360" w:lineRule="auto"/>
        <w:ind w:firstLine="4200" w:firstLineChars="2000"/>
        <w:jc w:val="left"/>
        <w:rPr>
          <w:rFonts w:ascii="宋体" w:hAnsi="宋体"/>
          <w:szCs w:val="21"/>
        </w:rPr>
      </w:pPr>
    </w:p>
    <w:p>
      <w:pPr>
        <w:spacing w:line="360" w:lineRule="auto"/>
        <w:jc w:val="center"/>
        <w:rPr>
          <w:rFonts w:ascii="宋体" w:hAnsi="宋体"/>
          <w:b/>
          <w:spacing w:val="20"/>
          <w:szCs w:val="21"/>
          <w:lang w:val="zh-CN"/>
        </w:rPr>
      </w:pPr>
    </w:p>
    <w:p>
      <w:pPr>
        <w:pageBreakBefore/>
        <w:spacing w:line="360" w:lineRule="auto"/>
        <w:rPr>
          <w:rStyle w:val="90"/>
          <w:bCs/>
        </w:rPr>
      </w:pPr>
      <w:r>
        <w:rPr>
          <w:rStyle w:val="90"/>
          <w:rFonts w:hint="eastAsia"/>
          <w:bCs/>
        </w:rPr>
        <w:t>附件三：</w:t>
      </w:r>
    </w:p>
    <w:p>
      <w:pPr>
        <w:spacing w:line="360" w:lineRule="auto"/>
        <w:jc w:val="center"/>
        <w:rPr>
          <w:rFonts w:ascii="宋体" w:hAnsi="宋体"/>
          <w:b/>
          <w:spacing w:val="20"/>
          <w:sz w:val="28"/>
          <w:szCs w:val="28"/>
          <w:lang w:val="zh-CN"/>
        </w:rPr>
      </w:pPr>
      <w:r>
        <w:rPr>
          <w:rFonts w:hint="eastAsia" w:ascii="宋体" w:hAnsi="宋体"/>
          <w:b/>
          <w:spacing w:val="20"/>
          <w:sz w:val="28"/>
          <w:szCs w:val="28"/>
          <w:lang w:val="zh-CN"/>
        </w:rPr>
        <w:t>诚信投标承诺书</w:t>
      </w:r>
    </w:p>
    <w:p>
      <w:pPr>
        <w:spacing w:line="460" w:lineRule="atLeast"/>
        <w:jc w:val="left"/>
        <w:rPr>
          <w:rFonts w:ascii="宋体"/>
          <w:szCs w:val="21"/>
        </w:rPr>
      </w:pPr>
      <w:r>
        <w:rPr>
          <w:rFonts w:hint="eastAsia" w:ascii="宋体"/>
          <w:szCs w:val="21"/>
        </w:rPr>
        <w:t>本人以企业法定代表人的身份郑重承诺：</w:t>
      </w:r>
    </w:p>
    <w:p>
      <w:pPr>
        <w:spacing w:line="460" w:lineRule="atLeast"/>
        <w:ind w:firstLine="420" w:firstLineChars="200"/>
        <w:jc w:val="left"/>
        <w:rPr>
          <w:rFonts w:ascii="宋体"/>
          <w:szCs w:val="21"/>
        </w:rPr>
      </w:pPr>
      <w:r>
        <w:rPr>
          <w:rFonts w:hint="eastAsia" w:ascii="宋体"/>
          <w:szCs w:val="21"/>
        </w:rPr>
        <w:t>将遵循公开、公平、公正和诚信信用的原则参加</w:t>
      </w:r>
      <w:r>
        <w:rPr>
          <w:rFonts w:hint="eastAsia" w:ascii="宋体" w:hAnsi="宋体"/>
          <w:szCs w:val="21"/>
          <w:u w:val="single"/>
        </w:rPr>
        <w:t xml:space="preserve"> </w:t>
      </w:r>
      <w:r>
        <w:rPr>
          <w:rFonts w:hint="eastAsia" w:ascii="宋体" w:hAnsi="宋体" w:cs="仿宋_GB2312"/>
          <w:bCs/>
          <w:szCs w:val="21"/>
          <w:u w:val="single"/>
        </w:rPr>
        <w:t xml:space="preserve"> </w:t>
      </w:r>
      <w:r>
        <w:rPr>
          <w:rFonts w:ascii="宋体" w:hAnsi="宋体" w:cs="仿宋_GB2312"/>
          <w:bCs/>
          <w:szCs w:val="21"/>
          <w:u w:val="single"/>
        </w:rPr>
        <w:t xml:space="preserve">    </w:t>
      </w:r>
      <w:r>
        <w:rPr>
          <w:rFonts w:hint="eastAsia" w:ascii="宋体" w:cs="楷体_GB2312"/>
          <w:szCs w:val="21"/>
          <w:u w:val="single"/>
        </w:rPr>
        <w:t>（项目编号：</w:t>
      </w:r>
      <w:r>
        <w:rPr>
          <w:rFonts w:hint="eastAsia" w:ascii="宋体" w:hAnsi="宋体" w:cs="仿宋_GB2312"/>
          <w:bCs/>
          <w:szCs w:val="21"/>
          <w:u w:val="single"/>
        </w:rPr>
        <w:t>QTGGZY20220</w:t>
      </w:r>
      <w:r>
        <w:rPr>
          <w:rFonts w:ascii="宋体" w:hAnsi="宋体" w:cs="仿宋_GB2312"/>
          <w:bCs/>
          <w:szCs w:val="21"/>
          <w:u w:val="single"/>
        </w:rPr>
        <w:t xml:space="preserve"> </w:t>
      </w:r>
      <w:r>
        <w:rPr>
          <w:rFonts w:hint="eastAsia" w:ascii="宋体" w:cs="楷体_GB2312"/>
          <w:szCs w:val="21"/>
          <w:u w:val="single"/>
        </w:rPr>
        <w:t>）</w:t>
      </w:r>
      <w:r>
        <w:rPr>
          <w:rFonts w:hint="eastAsia" w:ascii="宋体"/>
          <w:szCs w:val="21"/>
        </w:rPr>
        <w:t>的投标。</w:t>
      </w:r>
    </w:p>
    <w:p>
      <w:pPr>
        <w:spacing w:line="460" w:lineRule="atLeast"/>
        <w:ind w:firstLine="420" w:firstLineChars="200"/>
        <w:jc w:val="left"/>
        <w:rPr>
          <w:rFonts w:ascii="宋体"/>
          <w:szCs w:val="21"/>
          <w:u w:val="single"/>
        </w:rPr>
      </w:pPr>
      <w:r>
        <w:rPr>
          <w:rFonts w:hint="eastAsia" w:ascii="宋体"/>
          <w:szCs w:val="21"/>
        </w:rPr>
        <w:t>一、</w:t>
      </w:r>
      <w:r>
        <w:rPr>
          <w:rFonts w:hint="eastAsia" w:ascii="宋体" w:hAnsi="宋体" w:cs="宋体"/>
        </w:rPr>
        <w:t>我公司具备</w:t>
      </w:r>
      <w:r>
        <w:rPr>
          <w:rFonts w:hint="eastAsia" w:ascii="宋体" w:hAnsi="宋体" w:cs="宋体"/>
          <w:bCs/>
          <w:szCs w:val="21"/>
        </w:rPr>
        <w:t>《中华人民共和国招标投标法》第二十六条规定的投标人资格条件，</w:t>
      </w:r>
      <w:r>
        <w:rPr>
          <w:rFonts w:hint="eastAsia" w:ascii="宋体" w:hAnsi="宋体" w:cs="宋体"/>
        </w:rPr>
        <w:t>并已清楚招标文件的要求及有关文件规定。</w:t>
      </w:r>
    </w:p>
    <w:p>
      <w:pPr>
        <w:spacing w:line="460" w:lineRule="atLeast"/>
        <w:ind w:firstLine="420" w:firstLineChars="200"/>
        <w:jc w:val="left"/>
        <w:rPr>
          <w:rFonts w:ascii="宋体"/>
          <w:szCs w:val="21"/>
        </w:rPr>
      </w:pPr>
      <w:r>
        <w:rPr>
          <w:rFonts w:hint="eastAsia" w:ascii="宋体"/>
          <w:szCs w:val="21"/>
        </w:rPr>
        <w:t>二、投标文件所提供的一切材料都是真实、有效、合法的。</w:t>
      </w:r>
    </w:p>
    <w:p>
      <w:pPr>
        <w:spacing w:line="460" w:lineRule="atLeast"/>
        <w:ind w:firstLine="420" w:firstLineChars="200"/>
        <w:jc w:val="left"/>
        <w:rPr>
          <w:rFonts w:ascii="宋体"/>
          <w:szCs w:val="21"/>
        </w:rPr>
      </w:pPr>
      <w:r>
        <w:rPr>
          <w:rFonts w:hint="eastAsia" w:ascii="宋体"/>
          <w:szCs w:val="21"/>
        </w:rPr>
        <w:t>三、不与其他投标人相互串通投标报价，不排挤其他投标人的公平竞争，不损害招标人或其他投标人的合法权益。</w:t>
      </w:r>
    </w:p>
    <w:p>
      <w:pPr>
        <w:spacing w:line="460" w:lineRule="atLeast"/>
        <w:ind w:firstLine="420" w:firstLineChars="200"/>
        <w:jc w:val="left"/>
        <w:rPr>
          <w:rFonts w:ascii="宋体"/>
          <w:szCs w:val="21"/>
        </w:rPr>
      </w:pPr>
      <w:r>
        <w:rPr>
          <w:rFonts w:hint="eastAsia" w:ascii="宋体"/>
          <w:szCs w:val="21"/>
        </w:rPr>
        <w:t>四、不与招标人或招标代理机构串通投标，不损害国家利益，社会公共利益或其他人的合法权益。</w:t>
      </w:r>
    </w:p>
    <w:p>
      <w:pPr>
        <w:spacing w:line="460" w:lineRule="atLeast"/>
        <w:ind w:firstLine="420" w:firstLineChars="200"/>
        <w:jc w:val="left"/>
        <w:rPr>
          <w:rFonts w:ascii="宋体"/>
          <w:szCs w:val="21"/>
        </w:rPr>
      </w:pPr>
      <w:r>
        <w:rPr>
          <w:rFonts w:hint="eastAsia" w:ascii="宋体"/>
          <w:szCs w:val="21"/>
        </w:rPr>
        <w:t>五、不向招标人或者评标委员会成员行贿以牟取中标。</w:t>
      </w:r>
    </w:p>
    <w:p>
      <w:pPr>
        <w:spacing w:line="460" w:lineRule="atLeast"/>
        <w:ind w:firstLine="420" w:firstLineChars="200"/>
        <w:jc w:val="left"/>
        <w:rPr>
          <w:rFonts w:ascii="宋体"/>
          <w:szCs w:val="21"/>
        </w:rPr>
      </w:pPr>
      <w:r>
        <w:rPr>
          <w:rFonts w:hint="eastAsia" w:ascii="宋体"/>
          <w:szCs w:val="21"/>
        </w:rPr>
        <w:t>六、不以其他人名义投标或者以其他方式弄虚作假，骗取中标。</w:t>
      </w:r>
    </w:p>
    <w:p>
      <w:pPr>
        <w:spacing w:line="460" w:lineRule="atLeast"/>
        <w:ind w:firstLine="420" w:firstLineChars="200"/>
        <w:jc w:val="left"/>
        <w:rPr>
          <w:rFonts w:ascii="宋体"/>
          <w:szCs w:val="21"/>
        </w:rPr>
      </w:pPr>
      <w:r>
        <w:rPr>
          <w:rFonts w:hint="eastAsia" w:ascii="宋体"/>
          <w:szCs w:val="21"/>
        </w:rPr>
        <w:t>七、不在开标后进行虚假恶意投诉。</w:t>
      </w:r>
    </w:p>
    <w:p>
      <w:pPr>
        <w:spacing w:line="460" w:lineRule="atLeast"/>
        <w:ind w:firstLine="420" w:firstLineChars="200"/>
        <w:jc w:val="left"/>
        <w:rPr>
          <w:rFonts w:ascii="宋体"/>
          <w:szCs w:val="21"/>
        </w:rPr>
      </w:pPr>
      <w:r>
        <w:rPr>
          <w:rFonts w:hint="eastAsia" w:ascii="宋体"/>
          <w:szCs w:val="21"/>
        </w:rPr>
        <w:t>八、我单位没有被政府机关</w:t>
      </w:r>
      <w:r>
        <w:rPr>
          <w:rFonts w:ascii="宋体"/>
          <w:szCs w:val="21"/>
        </w:rPr>
        <w:t>列入失信被执行人</w:t>
      </w:r>
      <w:r>
        <w:rPr>
          <w:rFonts w:hint="eastAsia" w:ascii="宋体"/>
          <w:szCs w:val="21"/>
        </w:rPr>
        <w:t>名单</w:t>
      </w:r>
      <w:r>
        <w:rPr>
          <w:rFonts w:ascii="宋体"/>
          <w:szCs w:val="21"/>
        </w:rPr>
        <w:t>、重大税收违法案件当事人名单、政府采购严重违法失信行为记录名单及其他不符合</w:t>
      </w:r>
      <w:r>
        <w:rPr>
          <w:rFonts w:hint="eastAsia" w:ascii="宋体"/>
          <w:szCs w:val="21"/>
        </w:rPr>
        <w:t>有关</w:t>
      </w:r>
      <w:r>
        <w:rPr>
          <w:rFonts w:ascii="宋体"/>
          <w:szCs w:val="21"/>
        </w:rPr>
        <w:t>规定条件</w:t>
      </w:r>
      <w:r>
        <w:rPr>
          <w:rFonts w:hint="eastAsia" w:ascii="宋体"/>
          <w:szCs w:val="21"/>
        </w:rPr>
        <w:t>的情形。</w:t>
      </w:r>
    </w:p>
    <w:p>
      <w:pPr>
        <w:spacing w:line="460" w:lineRule="atLeast"/>
        <w:ind w:firstLine="420" w:firstLineChars="200"/>
        <w:jc w:val="left"/>
        <w:rPr>
          <w:rFonts w:ascii="宋体"/>
          <w:szCs w:val="21"/>
        </w:rPr>
      </w:pPr>
      <w:r>
        <w:rPr>
          <w:rFonts w:hint="eastAsia" w:ascii="宋体"/>
          <w:szCs w:val="21"/>
        </w:rPr>
        <w:t>九、没有</w:t>
      </w:r>
      <w:r>
        <w:rPr>
          <w:rFonts w:ascii="宋体"/>
          <w:szCs w:val="21"/>
        </w:rPr>
        <w:t>被</w:t>
      </w:r>
      <w:r>
        <w:rPr>
          <w:rFonts w:hint="eastAsia" w:ascii="宋体"/>
          <w:szCs w:val="21"/>
        </w:rPr>
        <w:t>各地、</w:t>
      </w:r>
      <w:r>
        <w:rPr>
          <w:rFonts w:ascii="宋体"/>
          <w:szCs w:val="21"/>
        </w:rPr>
        <w:t>各级财政部门禁止参加</w:t>
      </w:r>
      <w:r>
        <w:rPr>
          <w:rFonts w:hint="eastAsia" w:ascii="宋体"/>
          <w:szCs w:val="21"/>
        </w:rPr>
        <w:t>招标</w:t>
      </w:r>
      <w:r>
        <w:rPr>
          <w:rFonts w:ascii="宋体"/>
          <w:szCs w:val="21"/>
        </w:rPr>
        <w:t>采购</w:t>
      </w:r>
      <w:r>
        <w:rPr>
          <w:rFonts w:hint="eastAsia" w:ascii="宋体"/>
          <w:szCs w:val="21"/>
        </w:rPr>
        <w:t xml:space="preserve">活动。    </w:t>
      </w:r>
    </w:p>
    <w:p>
      <w:pPr>
        <w:spacing w:line="460" w:lineRule="atLeast"/>
        <w:ind w:firstLine="420" w:firstLineChars="200"/>
        <w:jc w:val="left"/>
        <w:rPr>
          <w:rFonts w:ascii="宋体"/>
          <w:szCs w:val="21"/>
        </w:rPr>
      </w:pPr>
      <w:r>
        <w:rPr>
          <w:rFonts w:hint="eastAsia" w:ascii="宋体"/>
          <w:szCs w:val="21"/>
        </w:rPr>
        <w:t>十、参与本项目招标采购活动3年内没有重大违法记录情况。</w:t>
      </w:r>
    </w:p>
    <w:p>
      <w:pPr>
        <w:spacing w:line="460" w:lineRule="atLeast"/>
        <w:ind w:firstLine="420" w:firstLineChars="200"/>
        <w:rPr>
          <w:rFonts w:ascii="宋体"/>
          <w:szCs w:val="21"/>
        </w:rPr>
      </w:pPr>
      <w:r>
        <w:rPr>
          <w:rFonts w:hint="eastAsia" w:ascii="宋体"/>
          <w:szCs w:val="21"/>
        </w:rPr>
        <w:t>本公司若有违反本承诺内容的行为，愿意承担法律责任，包括不限于：愿意接受相关行政主管部门作出的处罚；给招标人造成损失的，依法承担相应的赔偿责任。</w:t>
      </w:r>
    </w:p>
    <w:p>
      <w:pPr>
        <w:spacing w:line="460" w:lineRule="atLeast"/>
        <w:ind w:right="1120"/>
        <w:rPr>
          <w:rFonts w:ascii="宋体"/>
          <w:sz w:val="22"/>
        </w:rPr>
      </w:pPr>
    </w:p>
    <w:p>
      <w:pPr>
        <w:spacing w:line="460" w:lineRule="atLeast"/>
        <w:ind w:right="1120"/>
        <w:rPr>
          <w:rFonts w:ascii="宋体"/>
          <w:sz w:val="22"/>
        </w:rPr>
      </w:pPr>
    </w:p>
    <w:p>
      <w:pPr>
        <w:spacing w:line="460" w:lineRule="atLeast"/>
        <w:ind w:right="1120"/>
        <w:rPr>
          <w:rFonts w:ascii="宋体"/>
          <w:sz w:val="22"/>
        </w:rPr>
      </w:pPr>
      <w:r>
        <w:rPr>
          <w:rFonts w:hint="eastAsia" w:ascii="宋体"/>
          <w:sz w:val="22"/>
        </w:rPr>
        <w:t>投标人（盖章）：</w:t>
      </w:r>
    </w:p>
    <w:p>
      <w:pPr>
        <w:snapToGrid w:val="0"/>
        <w:spacing w:line="500" w:lineRule="atLeast"/>
        <w:rPr>
          <w:rFonts w:ascii="宋体"/>
          <w:sz w:val="30"/>
          <w:szCs w:val="30"/>
        </w:rPr>
      </w:pPr>
      <w:r>
        <w:rPr>
          <w:rFonts w:hint="eastAsia" w:ascii="宋体"/>
          <w:sz w:val="22"/>
        </w:rPr>
        <w:t xml:space="preserve">承诺书签署日期：  </w:t>
      </w:r>
    </w:p>
    <w:p>
      <w:pPr>
        <w:spacing w:line="460" w:lineRule="atLeast"/>
        <w:ind w:right="1120"/>
        <w:rPr>
          <w:rFonts w:ascii="宋体"/>
          <w:sz w:val="22"/>
        </w:rPr>
      </w:pPr>
    </w:p>
    <w:p>
      <w:pPr>
        <w:spacing w:line="460" w:lineRule="atLeast"/>
        <w:ind w:right="1120"/>
        <w:rPr>
          <w:rFonts w:ascii="宋体"/>
          <w:sz w:val="22"/>
        </w:rPr>
      </w:pPr>
    </w:p>
    <w:p>
      <w:pPr>
        <w:spacing w:line="460" w:lineRule="atLeast"/>
        <w:ind w:right="1120"/>
        <w:rPr>
          <w:rFonts w:ascii="宋体"/>
          <w:sz w:val="22"/>
        </w:rPr>
      </w:pPr>
    </w:p>
    <w:p>
      <w:pPr>
        <w:spacing w:line="480" w:lineRule="auto"/>
        <w:jc w:val="left"/>
        <w:rPr>
          <w:rStyle w:val="90"/>
          <w:rFonts w:ascii="宋体" w:hAnsi="宋体" w:cs="仿宋_GB2312"/>
          <w:szCs w:val="24"/>
        </w:rPr>
      </w:pPr>
      <w:r>
        <w:rPr>
          <w:rFonts w:hint="eastAsia" w:ascii="宋体" w:hAnsi="宋体" w:cs="宋体"/>
          <w:b/>
          <w:spacing w:val="-2"/>
          <w:sz w:val="24"/>
          <w:szCs w:val="21"/>
          <w:lang w:bidi="ar"/>
        </w:rPr>
        <w:br w:type="page"/>
      </w:r>
      <w:r>
        <w:rPr>
          <w:rStyle w:val="90"/>
          <w:rFonts w:ascii="宋体" w:hAnsi="宋体" w:cs="仿宋_GB2312"/>
          <w:szCs w:val="24"/>
        </w:rPr>
        <w:t>附件</w:t>
      </w:r>
      <w:r>
        <w:rPr>
          <w:rStyle w:val="90"/>
          <w:rFonts w:hint="eastAsia" w:ascii="宋体" w:hAnsi="宋体" w:cs="仿宋_GB2312"/>
          <w:szCs w:val="24"/>
        </w:rPr>
        <w:t>四</w:t>
      </w:r>
    </w:p>
    <w:p>
      <w:pPr>
        <w:jc w:val="center"/>
        <w:rPr>
          <w:rFonts w:ascii="宋体" w:hAnsi="宋体" w:cs="仿宋_GB2312"/>
          <w:b/>
          <w:sz w:val="30"/>
          <w:szCs w:val="30"/>
        </w:rPr>
      </w:pPr>
      <w:r>
        <w:rPr>
          <w:rFonts w:hint="eastAsia" w:ascii="宋体" w:hAnsi="宋体" w:cs="仿宋_GB2312"/>
          <w:b/>
          <w:sz w:val="30"/>
          <w:szCs w:val="30"/>
        </w:rPr>
        <w:t>商务条款响应表</w:t>
      </w:r>
    </w:p>
    <w:p>
      <w:pPr>
        <w:spacing w:line="400" w:lineRule="exact"/>
        <w:ind w:left="540"/>
        <w:jc w:val="center"/>
        <w:rPr>
          <w:rFonts w:ascii="宋体" w:hAnsi="宋体"/>
          <w:b/>
          <w:szCs w:val="21"/>
        </w:rPr>
      </w:pPr>
    </w:p>
    <w:p>
      <w:pPr>
        <w:adjustRightInd w:val="0"/>
        <w:snapToGrid w:val="0"/>
        <w:spacing w:line="400" w:lineRule="exact"/>
        <w:rPr>
          <w:rFonts w:ascii="宋体" w:hAnsi="宋体"/>
          <w:szCs w:val="21"/>
          <w:u w:val="single"/>
        </w:rPr>
      </w:pPr>
      <w:r>
        <w:rPr>
          <w:rFonts w:ascii="宋体" w:hAnsi="宋体"/>
          <w:szCs w:val="21"/>
        </w:rPr>
        <w:t>采购编号：</w:t>
      </w:r>
      <w:r>
        <w:rPr>
          <w:rFonts w:ascii="宋体" w:hAnsi="宋体"/>
          <w:szCs w:val="21"/>
          <w:u w:val="single"/>
        </w:rPr>
        <w:t xml:space="preserve">       </w:t>
      </w:r>
    </w:p>
    <w:p>
      <w:pPr>
        <w:adjustRightInd w:val="0"/>
        <w:snapToGrid w:val="0"/>
        <w:spacing w:line="400" w:lineRule="exact"/>
        <w:rPr>
          <w:rFonts w:ascii="宋体" w:hAnsi="宋体"/>
          <w:spacing w:val="20"/>
          <w:szCs w:val="21"/>
        </w:rPr>
      </w:pPr>
      <w:r>
        <w:rPr>
          <w:rFonts w:ascii="宋体" w:hAnsi="宋体"/>
          <w:szCs w:val="21"/>
        </w:rPr>
        <w:t>项目名称：</w:t>
      </w:r>
      <w:r>
        <w:rPr>
          <w:rFonts w:ascii="宋体" w:hAnsi="宋体"/>
          <w:szCs w:val="21"/>
          <w:u w:val="single"/>
        </w:rPr>
        <w:t xml:space="preserve">      </w:t>
      </w:r>
    </w:p>
    <w:tbl>
      <w:tblPr>
        <w:tblStyle w:val="47"/>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717"/>
        <w:gridCol w:w="1794"/>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vAlign w:val="center"/>
          </w:tcPr>
          <w:p>
            <w:pPr>
              <w:adjustRightInd w:val="0"/>
              <w:snapToGrid w:val="0"/>
              <w:spacing w:line="400" w:lineRule="exact"/>
              <w:jc w:val="center"/>
              <w:rPr>
                <w:rFonts w:ascii="宋体" w:hAnsi="宋体"/>
                <w:spacing w:val="20"/>
                <w:szCs w:val="21"/>
              </w:rPr>
            </w:pPr>
            <w:r>
              <w:rPr>
                <w:rFonts w:ascii="宋体" w:hAnsi="宋体"/>
                <w:spacing w:val="20"/>
                <w:szCs w:val="21"/>
              </w:rPr>
              <w:t>序号</w:t>
            </w:r>
          </w:p>
        </w:tc>
        <w:tc>
          <w:tcPr>
            <w:tcW w:w="1717" w:type="dxa"/>
            <w:vAlign w:val="center"/>
          </w:tcPr>
          <w:p>
            <w:pPr>
              <w:adjustRightInd w:val="0"/>
              <w:snapToGrid w:val="0"/>
              <w:spacing w:line="400" w:lineRule="exact"/>
              <w:jc w:val="center"/>
              <w:rPr>
                <w:rFonts w:ascii="宋体" w:hAnsi="宋体"/>
                <w:spacing w:val="20"/>
                <w:szCs w:val="21"/>
              </w:rPr>
            </w:pPr>
            <w:r>
              <w:rPr>
                <w:rFonts w:ascii="宋体" w:hAnsi="宋体"/>
                <w:spacing w:val="20"/>
                <w:szCs w:val="21"/>
              </w:rPr>
              <w:t>招标要求</w:t>
            </w:r>
          </w:p>
        </w:tc>
        <w:tc>
          <w:tcPr>
            <w:tcW w:w="1794" w:type="dxa"/>
            <w:vAlign w:val="center"/>
          </w:tcPr>
          <w:p>
            <w:pPr>
              <w:adjustRightInd w:val="0"/>
              <w:snapToGrid w:val="0"/>
              <w:spacing w:line="400" w:lineRule="exact"/>
              <w:jc w:val="center"/>
              <w:rPr>
                <w:rFonts w:ascii="宋体" w:hAnsi="宋体"/>
                <w:spacing w:val="20"/>
                <w:szCs w:val="21"/>
              </w:rPr>
            </w:pPr>
            <w:r>
              <w:rPr>
                <w:rFonts w:ascii="宋体" w:hAnsi="宋体"/>
                <w:spacing w:val="20"/>
                <w:szCs w:val="21"/>
              </w:rPr>
              <w:t>投标响应</w:t>
            </w:r>
          </w:p>
        </w:tc>
        <w:tc>
          <w:tcPr>
            <w:tcW w:w="4517" w:type="dxa"/>
            <w:vAlign w:val="center"/>
          </w:tcPr>
          <w:p>
            <w:pPr>
              <w:adjustRightInd w:val="0"/>
              <w:snapToGrid w:val="0"/>
              <w:spacing w:line="400" w:lineRule="exact"/>
              <w:jc w:val="center"/>
              <w:rPr>
                <w:rFonts w:ascii="宋体" w:hAnsi="宋体"/>
                <w:spacing w:val="20"/>
                <w:szCs w:val="21"/>
              </w:rPr>
            </w:pPr>
            <w:r>
              <w:rPr>
                <w:rFonts w:ascii="宋体" w:hAnsi="宋体"/>
                <w:spacing w:val="2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vAlign w:val="center"/>
          </w:tcPr>
          <w:p>
            <w:pPr>
              <w:adjustRightInd w:val="0"/>
              <w:snapToGrid w:val="0"/>
              <w:spacing w:line="400" w:lineRule="exact"/>
              <w:jc w:val="center"/>
              <w:rPr>
                <w:rFonts w:ascii="宋体" w:hAnsi="宋体"/>
                <w:spacing w:val="20"/>
                <w:szCs w:val="21"/>
              </w:rPr>
            </w:pPr>
          </w:p>
        </w:tc>
        <w:tc>
          <w:tcPr>
            <w:tcW w:w="1717" w:type="dxa"/>
            <w:vAlign w:val="center"/>
          </w:tcPr>
          <w:p>
            <w:pPr>
              <w:adjustRightInd w:val="0"/>
              <w:snapToGrid w:val="0"/>
              <w:spacing w:line="400" w:lineRule="exact"/>
              <w:jc w:val="center"/>
              <w:rPr>
                <w:rFonts w:ascii="宋体" w:hAnsi="宋体"/>
                <w:spacing w:val="20"/>
                <w:szCs w:val="21"/>
              </w:rPr>
            </w:pPr>
          </w:p>
        </w:tc>
        <w:tc>
          <w:tcPr>
            <w:tcW w:w="1794" w:type="dxa"/>
            <w:vAlign w:val="center"/>
          </w:tcPr>
          <w:p>
            <w:pPr>
              <w:adjustRightInd w:val="0"/>
              <w:snapToGrid w:val="0"/>
              <w:spacing w:line="400" w:lineRule="exact"/>
              <w:jc w:val="center"/>
              <w:rPr>
                <w:rFonts w:ascii="宋体" w:hAnsi="宋体"/>
                <w:spacing w:val="20"/>
                <w:szCs w:val="21"/>
              </w:rPr>
            </w:pPr>
          </w:p>
        </w:tc>
        <w:tc>
          <w:tcPr>
            <w:tcW w:w="4517" w:type="dxa"/>
            <w:vAlign w:val="center"/>
          </w:tcPr>
          <w:p>
            <w:pPr>
              <w:adjustRightInd w:val="0"/>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vAlign w:val="center"/>
          </w:tcPr>
          <w:p>
            <w:pPr>
              <w:adjustRightInd w:val="0"/>
              <w:snapToGrid w:val="0"/>
              <w:spacing w:line="400" w:lineRule="exact"/>
              <w:jc w:val="center"/>
              <w:rPr>
                <w:rFonts w:ascii="宋体" w:hAnsi="宋体"/>
                <w:spacing w:val="20"/>
                <w:szCs w:val="21"/>
              </w:rPr>
            </w:pPr>
          </w:p>
        </w:tc>
        <w:tc>
          <w:tcPr>
            <w:tcW w:w="1717" w:type="dxa"/>
            <w:vAlign w:val="center"/>
          </w:tcPr>
          <w:p>
            <w:pPr>
              <w:adjustRightInd w:val="0"/>
              <w:snapToGrid w:val="0"/>
              <w:spacing w:line="400" w:lineRule="exact"/>
              <w:jc w:val="center"/>
              <w:rPr>
                <w:rFonts w:ascii="宋体" w:hAnsi="宋体"/>
                <w:spacing w:val="20"/>
                <w:szCs w:val="21"/>
              </w:rPr>
            </w:pPr>
          </w:p>
        </w:tc>
        <w:tc>
          <w:tcPr>
            <w:tcW w:w="1794" w:type="dxa"/>
            <w:vAlign w:val="center"/>
          </w:tcPr>
          <w:p>
            <w:pPr>
              <w:adjustRightInd w:val="0"/>
              <w:snapToGrid w:val="0"/>
              <w:spacing w:line="400" w:lineRule="exact"/>
              <w:jc w:val="center"/>
              <w:rPr>
                <w:rFonts w:ascii="宋体" w:hAnsi="宋体"/>
                <w:spacing w:val="20"/>
                <w:szCs w:val="21"/>
              </w:rPr>
            </w:pPr>
          </w:p>
        </w:tc>
        <w:tc>
          <w:tcPr>
            <w:tcW w:w="4517" w:type="dxa"/>
            <w:vAlign w:val="center"/>
          </w:tcPr>
          <w:p>
            <w:pPr>
              <w:adjustRightInd w:val="0"/>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vAlign w:val="center"/>
          </w:tcPr>
          <w:p>
            <w:pPr>
              <w:adjustRightInd w:val="0"/>
              <w:snapToGrid w:val="0"/>
              <w:spacing w:line="400" w:lineRule="exact"/>
              <w:jc w:val="center"/>
              <w:rPr>
                <w:rFonts w:ascii="宋体" w:hAnsi="宋体"/>
                <w:spacing w:val="20"/>
                <w:szCs w:val="21"/>
              </w:rPr>
            </w:pPr>
          </w:p>
        </w:tc>
        <w:tc>
          <w:tcPr>
            <w:tcW w:w="1717" w:type="dxa"/>
            <w:vAlign w:val="center"/>
          </w:tcPr>
          <w:p>
            <w:pPr>
              <w:adjustRightInd w:val="0"/>
              <w:snapToGrid w:val="0"/>
              <w:spacing w:line="400" w:lineRule="exact"/>
              <w:jc w:val="center"/>
              <w:rPr>
                <w:rFonts w:ascii="宋体" w:hAnsi="宋体"/>
                <w:spacing w:val="20"/>
                <w:szCs w:val="21"/>
              </w:rPr>
            </w:pPr>
          </w:p>
        </w:tc>
        <w:tc>
          <w:tcPr>
            <w:tcW w:w="1794" w:type="dxa"/>
            <w:vAlign w:val="center"/>
          </w:tcPr>
          <w:p>
            <w:pPr>
              <w:adjustRightInd w:val="0"/>
              <w:snapToGrid w:val="0"/>
              <w:spacing w:line="400" w:lineRule="exact"/>
              <w:jc w:val="center"/>
              <w:rPr>
                <w:rFonts w:ascii="宋体" w:hAnsi="宋体"/>
                <w:spacing w:val="20"/>
                <w:szCs w:val="21"/>
              </w:rPr>
            </w:pPr>
          </w:p>
        </w:tc>
        <w:tc>
          <w:tcPr>
            <w:tcW w:w="4517" w:type="dxa"/>
            <w:vAlign w:val="center"/>
          </w:tcPr>
          <w:p>
            <w:pPr>
              <w:adjustRightInd w:val="0"/>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vAlign w:val="center"/>
          </w:tcPr>
          <w:p>
            <w:pPr>
              <w:adjustRightInd w:val="0"/>
              <w:snapToGrid w:val="0"/>
              <w:spacing w:line="400" w:lineRule="exact"/>
              <w:jc w:val="center"/>
              <w:rPr>
                <w:rFonts w:ascii="宋体" w:hAnsi="宋体"/>
                <w:spacing w:val="20"/>
                <w:szCs w:val="21"/>
              </w:rPr>
            </w:pPr>
          </w:p>
        </w:tc>
        <w:tc>
          <w:tcPr>
            <w:tcW w:w="1717" w:type="dxa"/>
            <w:vAlign w:val="center"/>
          </w:tcPr>
          <w:p>
            <w:pPr>
              <w:adjustRightInd w:val="0"/>
              <w:snapToGrid w:val="0"/>
              <w:spacing w:line="400" w:lineRule="exact"/>
              <w:jc w:val="center"/>
              <w:rPr>
                <w:rFonts w:ascii="宋体" w:hAnsi="宋体"/>
                <w:spacing w:val="20"/>
                <w:szCs w:val="21"/>
              </w:rPr>
            </w:pPr>
          </w:p>
        </w:tc>
        <w:tc>
          <w:tcPr>
            <w:tcW w:w="1794" w:type="dxa"/>
            <w:vAlign w:val="center"/>
          </w:tcPr>
          <w:p>
            <w:pPr>
              <w:adjustRightInd w:val="0"/>
              <w:snapToGrid w:val="0"/>
              <w:spacing w:line="400" w:lineRule="exact"/>
              <w:jc w:val="center"/>
              <w:rPr>
                <w:rFonts w:ascii="宋体" w:hAnsi="宋体"/>
                <w:spacing w:val="20"/>
                <w:szCs w:val="21"/>
              </w:rPr>
            </w:pPr>
          </w:p>
        </w:tc>
        <w:tc>
          <w:tcPr>
            <w:tcW w:w="4517" w:type="dxa"/>
            <w:vAlign w:val="center"/>
          </w:tcPr>
          <w:p>
            <w:pPr>
              <w:adjustRightInd w:val="0"/>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vAlign w:val="center"/>
          </w:tcPr>
          <w:p>
            <w:pPr>
              <w:adjustRightInd w:val="0"/>
              <w:snapToGrid w:val="0"/>
              <w:spacing w:line="400" w:lineRule="exact"/>
              <w:jc w:val="center"/>
              <w:rPr>
                <w:rFonts w:ascii="宋体" w:hAnsi="宋体"/>
                <w:spacing w:val="20"/>
                <w:szCs w:val="21"/>
              </w:rPr>
            </w:pPr>
          </w:p>
        </w:tc>
        <w:tc>
          <w:tcPr>
            <w:tcW w:w="1717" w:type="dxa"/>
            <w:vAlign w:val="center"/>
          </w:tcPr>
          <w:p>
            <w:pPr>
              <w:adjustRightInd w:val="0"/>
              <w:snapToGrid w:val="0"/>
              <w:spacing w:line="400" w:lineRule="exact"/>
              <w:jc w:val="center"/>
              <w:rPr>
                <w:rFonts w:ascii="宋体" w:hAnsi="宋体"/>
                <w:spacing w:val="20"/>
                <w:szCs w:val="21"/>
              </w:rPr>
            </w:pPr>
          </w:p>
        </w:tc>
        <w:tc>
          <w:tcPr>
            <w:tcW w:w="1794" w:type="dxa"/>
            <w:vAlign w:val="center"/>
          </w:tcPr>
          <w:p>
            <w:pPr>
              <w:adjustRightInd w:val="0"/>
              <w:snapToGrid w:val="0"/>
              <w:spacing w:line="400" w:lineRule="exact"/>
              <w:jc w:val="center"/>
              <w:rPr>
                <w:rFonts w:ascii="宋体" w:hAnsi="宋体"/>
                <w:spacing w:val="20"/>
                <w:szCs w:val="21"/>
              </w:rPr>
            </w:pPr>
          </w:p>
        </w:tc>
        <w:tc>
          <w:tcPr>
            <w:tcW w:w="4517" w:type="dxa"/>
            <w:vAlign w:val="center"/>
          </w:tcPr>
          <w:p>
            <w:pPr>
              <w:adjustRightInd w:val="0"/>
              <w:snapToGrid w:val="0"/>
              <w:spacing w:line="400" w:lineRule="exact"/>
              <w:jc w:val="center"/>
              <w:rPr>
                <w:rFonts w:ascii="宋体" w:hAnsi="宋体"/>
                <w:spacing w:val="20"/>
                <w:szCs w:val="21"/>
              </w:rPr>
            </w:pPr>
          </w:p>
        </w:tc>
      </w:tr>
    </w:tbl>
    <w:p>
      <w:pPr>
        <w:adjustRightInd w:val="0"/>
        <w:snapToGrid w:val="0"/>
        <w:spacing w:line="400" w:lineRule="exact"/>
        <w:ind w:left="250" w:hanging="250" w:hangingChars="100"/>
        <w:rPr>
          <w:rFonts w:ascii="宋体" w:hAnsi="宋体"/>
          <w:szCs w:val="21"/>
        </w:rPr>
      </w:pPr>
      <w:r>
        <w:rPr>
          <w:rFonts w:ascii="宋体" w:hAnsi="宋体"/>
          <w:spacing w:val="20"/>
          <w:szCs w:val="21"/>
        </w:rPr>
        <w:t>注：1、须与相应标项的商务条款逐项比较填写。</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ind w:firstLine="3150" w:firstLineChars="1500"/>
        <w:rPr>
          <w:rFonts w:ascii="宋体" w:hAnsi="宋体"/>
          <w:szCs w:val="21"/>
        </w:rPr>
      </w:pPr>
      <w:r>
        <w:rPr>
          <w:rFonts w:hint="eastAsia" w:ascii="宋体" w:hAnsi="宋体"/>
          <w:szCs w:val="21"/>
        </w:rPr>
        <w:t>供应商</w:t>
      </w:r>
      <w:r>
        <w:rPr>
          <w:rFonts w:ascii="宋体" w:hAnsi="宋体"/>
          <w:szCs w:val="21"/>
        </w:rPr>
        <w:t>盖章：</w:t>
      </w:r>
      <w:r>
        <w:rPr>
          <w:rFonts w:ascii="宋体" w:hAnsi="宋体"/>
          <w:szCs w:val="21"/>
          <w:u w:val="single"/>
        </w:rPr>
        <w:t xml:space="preserve">   （公章）　</w:t>
      </w:r>
    </w:p>
    <w:p>
      <w:pPr>
        <w:snapToGrid w:val="0"/>
        <w:spacing w:line="400" w:lineRule="exact"/>
        <w:ind w:firstLine="3150" w:firstLineChars="1500"/>
        <w:rPr>
          <w:rFonts w:ascii="宋体" w:hAnsi="宋体"/>
          <w:szCs w:val="21"/>
        </w:rPr>
      </w:pPr>
    </w:p>
    <w:p>
      <w:pPr>
        <w:snapToGrid w:val="0"/>
        <w:spacing w:line="400" w:lineRule="exact"/>
        <w:ind w:firstLine="3150" w:firstLineChars="1500"/>
        <w:rPr>
          <w:rFonts w:ascii="宋体" w:hAnsi="宋体"/>
          <w:szCs w:val="21"/>
        </w:rPr>
      </w:pPr>
      <w:r>
        <w:rPr>
          <w:rFonts w:ascii="宋体" w:hAnsi="宋体"/>
          <w:szCs w:val="21"/>
        </w:rPr>
        <w:t>法定代表人或授权委托人（签字）：</w:t>
      </w:r>
      <w:r>
        <w:rPr>
          <w:rFonts w:ascii="宋体" w:hAnsi="宋体"/>
          <w:szCs w:val="21"/>
          <w:u w:val="single"/>
        </w:rPr>
        <w:t xml:space="preserve">             </w:t>
      </w:r>
    </w:p>
    <w:p>
      <w:pPr>
        <w:spacing w:line="400" w:lineRule="exact"/>
        <w:ind w:firstLine="210" w:firstLineChars="100"/>
        <w:rPr>
          <w:rFonts w:ascii="宋体" w:hAnsi="宋体"/>
          <w:szCs w:val="21"/>
          <w:u w:val="single"/>
        </w:rPr>
      </w:pPr>
    </w:p>
    <w:p>
      <w:pPr>
        <w:spacing w:line="400" w:lineRule="exact"/>
        <w:ind w:firstLine="5880" w:firstLineChars="28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80" w:lineRule="auto"/>
        <w:jc w:val="left"/>
        <w:rPr>
          <w:rFonts w:ascii="宋体" w:hAnsi="宋体" w:cs="仿宋_GB2312"/>
          <w:spacing w:val="20"/>
          <w:sz w:val="30"/>
          <w:szCs w:val="30"/>
        </w:rPr>
      </w:pPr>
      <w:r>
        <w:rPr>
          <w:rFonts w:ascii="宋体" w:hAnsi="宋体" w:cs="仿宋_GB2312"/>
          <w:spacing w:val="20"/>
          <w:sz w:val="30"/>
          <w:szCs w:val="30"/>
        </w:rPr>
        <w:t xml:space="preserve"> </w:t>
      </w:r>
    </w:p>
    <w:p>
      <w:pPr>
        <w:pStyle w:val="45"/>
        <w:ind w:firstLine="480"/>
      </w:pPr>
    </w:p>
    <w:p>
      <w:pPr>
        <w:spacing w:line="400" w:lineRule="exact"/>
        <w:rPr>
          <w:rStyle w:val="90"/>
          <w:rFonts w:ascii="宋体" w:hAnsi="宋体" w:cs="仿宋_GB2312"/>
          <w:sz w:val="30"/>
          <w:szCs w:val="30"/>
        </w:rPr>
      </w:pPr>
    </w:p>
    <w:p>
      <w:pPr>
        <w:spacing w:line="480" w:lineRule="auto"/>
        <w:jc w:val="left"/>
        <w:rPr>
          <w:rStyle w:val="90"/>
          <w:rFonts w:ascii="宋体" w:hAnsi="宋体" w:cs="宋体"/>
          <w:szCs w:val="24"/>
        </w:rPr>
      </w:pPr>
      <w:r>
        <w:rPr>
          <w:rStyle w:val="90"/>
          <w:rFonts w:hint="eastAsia" w:ascii="宋体" w:hAnsi="宋体" w:cs="宋体"/>
          <w:szCs w:val="24"/>
        </w:rPr>
        <w:t>附件五</w:t>
      </w:r>
    </w:p>
    <w:p>
      <w:pPr>
        <w:spacing w:line="580" w:lineRule="exact"/>
        <w:jc w:val="center"/>
        <w:rPr>
          <w:rFonts w:ascii="宋体" w:hAnsi="宋体" w:cs="宋体"/>
          <w:b/>
          <w:sz w:val="30"/>
          <w:szCs w:val="30"/>
        </w:rPr>
      </w:pPr>
      <w:r>
        <w:rPr>
          <w:rFonts w:hint="eastAsia" w:ascii="宋体" w:hAnsi="宋体" w:cs="宋体"/>
          <w:b/>
          <w:sz w:val="30"/>
          <w:szCs w:val="30"/>
        </w:rPr>
        <w:t>拟派驻本项目保安服务负责人简历表</w:t>
      </w:r>
    </w:p>
    <w:p>
      <w:pPr>
        <w:spacing w:line="560" w:lineRule="exact"/>
        <w:jc w:val="left"/>
        <w:rPr>
          <w:rFonts w:ascii="宋体" w:hAnsi="宋体" w:cs="宋体"/>
          <w:b/>
          <w:sz w:val="24"/>
          <w:szCs w:val="24"/>
        </w:rPr>
      </w:pPr>
    </w:p>
    <w:p>
      <w:pPr>
        <w:spacing w:line="560" w:lineRule="exact"/>
        <w:jc w:val="left"/>
        <w:rPr>
          <w:rFonts w:ascii="宋体" w:hAnsi="宋体" w:cs="宋体"/>
          <w:b/>
          <w:sz w:val="24"/>
          <w:szCs w:val="24"/>
        </w:rPr>
      </w:pPr>
      <w:r>
        <w:rPr>
          <w:rFonts w:hint="eastAsia" w:ascii="宋体" w:hAnsi="宋体" w:cs="宋体"/>
          <w:b/>
          <w:sz w:val="24"/>
          <w:szCs w:val="24"/>
        </w:rPr>
        <w:t>项目名称：</w:t>
      </w:r>
      <w:r>
        <w:rPr>
          <w:rFonts w:hint="eastAsia" w:ascii="宋体" w:hAnsi="宋体" w:cs="宋体"/>
          <w:b/>
          <w:sz w:val="24"/>
          <w:szCs w:val="24"/>
          <w:u w:val="single"/>
        </w:rPr>
        <w:t xml:space="preserve">                                     </w:t>
      </w:r>
    </w:p>
    <w:p>
      <w:pPr>
        <w:spacing w:line="580" w:lineRule="exact"/>
        <w:jc w:val="left"/>
        <w:rPr>
          <w:rFonts w:ascii="宋体" w:hAnsi="宋体" w:cs="宋体"/>
          <w:b/>
          <w:sz w:val="24"/>
          <w:szCs w:val="24"/>
        </w:rPr>
      </w:pPr>
      <w:r>
        <w:rPr>
          <w:rFonts w:hint="eastAsia" w:ascii="宋体" w:hAnsi="宋体" w:cs="宋体"/>
          <w:b/>
          <w:sz w:val="24"/>
          <w:szCs w:val="24"/>
        </w:rPr>
        <w:t>招标编号：</w:t>
      </w:r>
      <w:r>
        <w:rPr>
          <w:rFonts w:hint="eastAsia" w:ascii="宋体" w:hAnsi="宋体" w:cs="宋体"/>
          <w:b/>
          <w:sz w:val="24"/>
          <w:szCs w:val="24"/>
          <w:u w:val="single"/>
        </w:rPr>
        <w:t xml:space="preserve">                   </w:t>
      </w:r>
      <w:r>
        <w:rPr>
          <w:rFonts w:hint="eastAsia" w:ascii="宋体" w:hAnsi="宋体" w:cs="宋体"/>
          <w:b/>
          <w:sz w:val="24"/>
          <w:szCs w:val="24"/>
        </w:rPr>
        <w:t xml:space="preserve"> 标项：</w:t>
      </w:r>
      <w:r>
        <w:rPr>
          <w:rFonts w:hint="eastAsia" w:ascii="宋体" w:hAnsi="宋体" w:cs="宋体"/>
          <w:b/>
          <w:sz w:val="24"/>
          <w:szCs w:val="24"/>
          <w:u w:val="single"/>
        </w:rPr>
        <w:t xml:space="preserve">           </w:t>
      </w:r>
      <w:r>
        <w:rPr>
          <w:rFonts w:hint="eastAsia" w:ascii="宋体" w:hAnsi="宋体" w:cs="宋体"/>
          <w:b/>
          <w:sz w:val="24"/>
          <w:szCs w:val="24"/>
        </w:rPr>
        <w:t xml:space="preserve"> </w:t>
      </w:r>
      <w:r>
        <w:rPr>
          <w:rFonts w:hint="eastAsia" w:ascii="宋体" w:hAnsi="宋体" w:cs="宋体"/>
          <w:sz w:val="24"/>
          <w:szCs w:val="24"/>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62"/>
        <w:gridCol w:w="1567"/>
        <w:gridCol w:w="372"/>
        <w:gridCol w:w="785"/>
        <w:gridCol w:w="210"/>
        <w:gridCol w:w="1547"/>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09" w:type="dxa"/>
            <w:gridSpan w:val="2"/>
          </w:tcPr>
          <w:p>
            <w:pPr>
              <w:spacing w:line="500" w:lineRule="exact"/>
              <w:jc w:val="center"/>
              <w:rPr>
                <w:rFonts w:ascii="宋体" w:hAnsi="宋体" w:cs="宋体"/>
                <w:sz w:val="24"/>
                <w:szCs w:val="24"/>
              </w:rPr>
            </w:pPr>
            <w:r>
              <w:rPr>
                <w:rFonts w:hint="eastAsia" w:ascii="宋体" w:hAnsi="宋体" w:cs="宋体"/>
                <w:sz w:val="24"/>
                <w:szCs w:val="24"/>
              </w:rPr>
              <w:t>姓    名</w:t>
            </w:r>
          </w:p>
        </w:tc>
        <w:tc>
          <w:tcPr>
            <w:tcW w:w="1567" w:type="dxa"/>
          </w:tcPr>
          <w:p>
            <w:pPr>
              <w:spacing w:line="500" w:lineRule="exact"/>
              <w:jc w:val="center"/>
              <w:rPr>
                <w:rFonts w:ascii="宋体" w:hAnsi="宋体" w:cs="宋体"/>
                <w:sz w:val="24"/>
                <w:szCs w:val="24"/>
              </w:rPr>
            </w:pPr>
          </w:p>
        </w:tc>
        <w:tc>
          <w:tcPr>
            <w:tcW w:w="1367" w:type="dxa"/>
            <w:gridSpan w:val="3"/>
          </w:tcPr>
          <w:p>
            <w:pPr>
              <w:spacing w:line="500" w:lineRule="exact"/>
              <w:jc w:val="center"/>
              <w:rPr>
                <w:rFonts w:ascii="宋体" w:hAnsi="宋体" w:cs="宋体"/>
                <w:sz w:val="24"/>
                <w:szCs w:val="24"/>
              </w:rPr>
            </w:pPr>
            <w:r>
              <w:rPr>
                <w:rFonts w:hint="eastAsia" w:ascii="宋体" w:hAnsi="宋体" w:cs="宋体"/>
                <w:sz w:val="24"/>
                <w:szCs w:val="24"/>
              </w:rPr>
              <w:t>性   别</w:t>
            </w:r>
          </w:p>
        </w:tc>
        <w:tc>
          <w:tcPr>
            <w:tcW w:w="1547" w:type="dxa"/>
          </w:tcPr>
          <w:p>
            <w:pPr>
              <w:spacing w:line="500" w:lineRule="exact"/>
              <w:jc w:val="center"/>
              <w:rPr>
                <w:rFonts w:ascii="宋体" w:hAnsi="宋体" w:cs="宋体"/>
                <w:sz w:val="24"/>
                <w:szCs w:val="24"/>
              </w:rPr>
            </w:pPr>
          </w:p>
        </w:tc>
        <w:tc>
          <w:tcPr>
            <w:tcW w:w="1548" w:type="dxa"/>
          </w:tcPr>
          <w:p>
            <w:pPr>
              <w:spacing w:line="500" w:lineRule="exact"/>
              <w:jc w:val="center"/>
              <w:rPr>
                <w:rFonts w:ascii="宋体" w:hAnsi="宋体" w:cs="宋体"/>
                <w:sz w:val="24"/>
                <w:szCs w:val="24"/>
              </w:rPr>
            </w:pPr>
            <w:r>
              <w:rPr>
                <w:rFonts w:hint="eastAsia" w:ascii="宋体" w:hAnsi="宋体" w:cs="宋体"/>
                <w:sz w:val="24"/>
                <w:szCs w:val="24"/>
              </w:rPr>
              <w:t>出生年月</w:t>
            </w:r>
          </w:p>
        </w:tc>
        <w:tc>
          <w:tcPr>
            <w:tcW w:w="1548" w:type="dxa"/>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09" w:type="dxa"/>
            <w:gridSpan w:val="2"/>
          </w:tcPr>
          <w:p>
            <w:pPr>
              <w:spacing w:line="500" w:lineRule="exact"/>
              <w:jc w:val="center"/>
              <w:rPr>
                <w:rFonts w:ascii="宋体" w:hAnsi="宋体" w:cs="宋体"/>
                <w:sz w:val="24"/>
                <w:szCs w:val="24"/>
              </w:rPr>
            </w:pPr>
            <w:r>
              <w:rPr>
                <w:rFonts w:hint="eastAsia" w:ascii="宋体" w:hAnsi="宋体" w:cs="宋体"/>
                <w:sz w:val="24"/>
                <w:szCs w:val="24"/>
              </w:rPr>
              <w:t>专    业</w:t>
            </w:r>
          </w:p>
        </w:tc>
        <w:tc>
          <w:tcPr>
            <w:tcW w:w="1567" w:type="dxa"/>
          </w:tcPr>
          <w:p>
            <w:pPr>
              <w:spacing w:line="500" w:lineRule="exact"/>
              <w:jc w:val="center"/>
              <w:rPr>
                <w:rFonts w:ascii="宋体" w:hAnsi="宋体" w:cs="宋体"/>
                <w:sz w:val="24"/>
                <w:szCs w:val="24"/>
              </w:rPr>
            </w:pPr>
          </w:p>
        </w:tc>
        <w:tc>
          <w:tcPr>
            <w:tcW w:w="1367" w:type="dxa"/>
            <w:gridSpan w:val="3"/>
          </w:tcPr>
          <w:p>
            <w:pPr>
              <w:spacing w:line="500" w:lineRule="exact"/>
              <w:jc w:val="center"/>
              <w:rPr>
                <w:rFonts w:ascii="宋体" w:hAnsi="宋体" w:cs="宋体"/>
                <w:sz w:val="24"/>
                <w:szCs w:val="24"/>
              </w:rPr>
            </w:pPr>
            <w:r>
              <w:rPr>
                <w:rFonts w:hint="eastAsia" w:ascii="宋体" w:hAnsi="宋体" w:cs="宋体"/>
                <w:sz w:val="24"/>
                <w:szCs w:val="24"/>
              </w:rPr>
              <w:t>学   历</w:t>
            </w:r>
          </w:p>
        </w:tc>
        <w:tc>
          <w:tcPr>
            <w:tcW w:w="1547" w:type="dxa"/>
          </w:tcPr>
          <w:p>
            <w:pPr>
              <w:spacing w:line="500" w:lineRule="exact"/>
              <w:jc w:val="center"/>
              <w:rPr>
                <w:rFonts w:ascii="宋体" w:hAnsi="宋体" w:cs="宋体"/>
                <w:sz w:val="24"/>
                <w:szCs w:val="24"/>
              </w:rPr>
            </w:pPr>
          </w:p>
        </w:tc>
        <w:tc>
          <w:tcPr>
            <w:tcW w:w="1548" w:type="dxa"/>
          </w:tcPr>
          <w:p>
            <w:pPr>
              <w:spacing w:line="500" w:lineRule="exact"/>
              <w:jc w:val="center"/>
              <w:rPr>
                <w:rFonts w:ascii="宋体" w:hAnsi="宋体" w:cs="宋体"/>
                <w:sz w:val="24"/>
                <w:szCs w:val="24"/>
              </w:rPr>
            </w:pPr>
            <w:r>
              <w:rPr>
                <w:rFonts w:hint="eastAsia" w:ascii="宋体" w:hAnsi="宋体" w:cs="宋体"/>
                <w:sz w:val="24"/>
                <w:szCs w:val="24"/>
              </w:rPr>
              <w:t>职     称</w:t>
            </w:r>
          </w:p>
        </w:tc>
        <w:tc>
          <w:tcPr>
            <w:tcW w:w="1548" w:type="dxa"/>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09" w:type="dxa"/>
            <w:gridSpan w:val="2"/>
          </w:tcPr>
          <w:p>
            <w:pPr>
              <w:spacing w:line="500" w:lineRule="exact"/>
              <w:jc w:val="center"/>
              <w:rPr>
                <w:rFonts w:ascii="宋体" w:hAnsi="宋体" w:cs="宋体"/>
                <w:sz w:val="24"/>
                <w:szCs w:val="24"/>
              </w:rPr>
            </w:pPr>
            <w:r>
              <w:rPr>
                <w:rFonts w:hint="eastAsia" w:ascii="宋体" w:hAnsi="宋体" w:cs="宋体"/>
                <w:sz w:val="24"/>
                <w:szCs w:val="24"/>
              </w:rPr>
              <w:t>何时参加工作</w:t>
            </w:r>
          </w:p>
        </w:tc>
        <w:tc>
          <w:tcPr>
            <w:tcW w:w="7577" w:type="dxa"/>
            <w:gridSpan w:val="7"/>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09" w:type="dxa"/>
            <w:gridSpan w:val="2"/>
          </w:tcPr>
          <w:p>
            <w:pPr>
              <w:spacing w:line="500" w:lineRule="exact"/>
              <w:jc w:val="center"/>
              <w:rPr>
                <w:rFonts w:ascii="宋体" w:hAnsi="宋体" w:cs="宋体"/>
                <w:sz w:val="24"/>
                <w:szCs w:val="24"/>
              </w:rPr>
            </w:pPr>
            <w:r>
              <w:rPr>
                <w:rFonts w:hint="eastAsia" w:ascii="宋体" w:hAnsi="宋体" w:cs="宋体"/>
                <w:sz w:val="24"/>
                <w:szCs w:val="24"/>
              </w:rPr>
              <w:t>何时进入公司</w:t>
            </w:r>
          </w:p>
        </w:tc>
        <w:tc>
          <w:tcPr>
            <w:tcW w:w="7577" w:type="dxa"/>
            <w:gridSpan w:val="7"/>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09" w:type="dxa"/>
            <w:gridSpan w:val="2"/>
          </w:tcPr>
          <w:p>
            <w:pPr>
              <w:spacing w:line="500" w:lineRule="exact"/>
              <w:jc w:val="center"/>
              <w:rPr>
                <w:rFonts w:ascii="宋体" w:hAnsi="宋体" w:cs="宋体"/>
                <w:sz w:val="24"/>
                <w:szCs w:val="24"/>
              </w:rPr>
            </w:pPr>
            <w:r>
              <w:rPr>
                <w:rFonts w:hint="eastAsia" w:ascii="宋体" w:hAnsi="宋体" w:cs="宋体"/>
                <w:sz w:val="24"/>
                <w:szCs w:val="24"/>
              </w:rPr>
              <w:t>从事项目年限</w:t>
            </w:r>
          </w:p>
        </w:tc>
        <w:tc>
          <w:tcPr>
            <w:tcW w:w="7577" w:type="dxa"/>
            <w:gridSpan w:val="7"/>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286" w:type="dxa"/>
            <w:gridSpan w:val="9"/>
          </w:tcPr>
          <w:p>
            <w:pPr>
              <w:spacing w:line="500" w:lineRule="exact"/>
              <w:jc w:val="center"/>
              <w:rPr>
                <w:rFonts w:ascii="宋体" w:hAnsi="宋体" w:cs="宋体"/>
                <w:b/>
                <w:sz w:val="24"/>
                <w:szCs w:val="24"/>
              </w:rPr>
            </w:pPr>
            <w:r>
              <w:rPr>
                <w:rFonts w:hint="eastAsia" w:ascii="宋体" w:hAnsi="宋体" w:cs="宋体"/>
                <w:sz w:val="24"/>
                <w:szCs w:val="24"/>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7" w:type="dxa"/>
          </w:tcPr>
          <w:p>
            <w:pPr>
              <w:spacing w:line="500" w:lineRule="exact"/>
              <w:jc w:val="center"/>
              <w:rPr>
                <w:rFonts w:ascii="宋体" w:hAnsi="宋体" w:cs="宋体"/>
                <w:sz w:val="24"/>
                <w:szCs w:val="24"/>
              </w:rPr>
            </w:pPr>
            <w:r>
              <w:rPr>
                <w:rFonts w:hint="eastAsia" w:ascii="宋体" w:hAnsi="宋体" w:cs="宋体"/>
                <w:sz w:val="24"/>
                <w:szCs w:val="24"/>
              </w:rPr>
              <w:t>业主单位</w:t>
            </w:r>
          </w:p>
        </w:tc>
        <w:tc>
          <w:tcPr>
            <w:tcW w:w="2101" w:type="dxa"/>
            <w:gridSpan w:val="3"/>
          </w:tcPr>
          <w:p>
            <w:pPr>
              <w:spacing w:line="500" w:lineRule="exact"/>
              <w:jc w:val="center"/>
              <w:rPr>
                <w:rFonts w:ascii="宋体" w:hAnsi="宋体" w:cs="宋体"/>
                <w:sz w:val="24"/>
                <w:szCs w:val="24"/>
              </w:rPr>
            </w:pPr>
            <w:r>
              <w:rPr>
                <w:rFonts w:hint="eastAsia" w:ascii="宋体" w:hAnsi="宋体" w:cs="宋体"/>
                <w:sz w:val="24"/>
                <w:szCs w:val="24"/>
              </w:rPr>
              <w:t>项目名称</w:t>
            </w:r>
          </w:p>
        </w:tc>
        <w:tc>
          <w:tcPr>
            <w:tcW w:w="785" w:type="dxa"/>
          </w:tcPr>
          <w:p>
            <w:pPr>
              <w:spacing w:line="500" w:lineRule="exact"/>
              <w:jc w:val="center"/>
              <w:rPr>
                <w:rFonts w:ascii="宋体" w:hAnsi="宋体" w:cs="宋体"/>
                <w:sz w:val="24"/>
                <w:szCs w:val="24"/>
              </w:rPr>
            </w:pPr>
            <w:r>
              <w:rPr>
                <w:rFonts w:hint="eastAsia" w:ascii="宋体" w:hAnsi="宋体" w:cs="宋体"/>
                <w:sz w:val="24"/>
                <w:szCs w:val="24"/>
              </w:rPr>
              <w:t>规模</w:t>
            </w:r>
          </w:p>
        </w:tc>
        <w:tc>
          <w:tcPr>
            <w:tcW w:w="1757" w:type="dxa"/>
            <w:gridSpan w:val="2"/>
          </w:tcPr>
          <w:p>
            <w:pPr>
              <w:spacing w:line="500" w:lineRule="exact"/>
              <w:jc w:val="center"/>
              <w:rPr>
                <w:rFonts w:ascii="宋体" w:hAnsi="宋体" w:cs="宋体"/>
                <w:sz w:val="24"/>
                <w:szCs w:val="24"/>
              </w:rPr>
            </w:pPr>
            <w:r>
              <w:rPr>
                <w:rFonts w:hint="eastAsia" w:ascii="宋体" w:hAnsi="宋体" w:cs="宋体"/>
                <w:sz w:val="24"/>
                <w:szCs w:val="24"/>
              </w:rPr>
              <w:t>合同时间</w:t>
            </w:r>
          </w:p>
        </w:tc>
        <w:tc>
          <w:tcPr>
            <w:tcW w:w="3096" w:type="dxa"/>
            <w:gridSpan w:val="2"/>
          </w:tcPr>
          <w:p>
            <w:pPr>
              <w:spacing w:line="500" w:lineRule="exact"/>
              <w:jc w:val="center"/>
              <w:rPr>
                <w:rFonts w:ascii="宋体" w:hAnsi="宋体" w:cs="宋体"/>
                <w:sz w:val="24"/>
                <w:szCs w:val="24"/>
              </w:rPr>
            </w:pPr>
            <w:r>
              <w:rPr>
                <w:rFonts w:hint="eastAsia" w:ascii="宋体" w:hAnsi="宋体" w:cs="宋体"/>
                <w:sz w:val="24"/>
                <w:szCs w:val="24"/>
              </w:rPr>
              <w:t>管理业绩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7" w:type="dxa"/>
          </w:tcPr>
          <w:p>
            <w:pPr>
              <w:spacing w:line="360" w:lineRule="auto"/>
              <w:jc w:val="center"/>
              <w:rPr>
                <w:rFonts w:ascii="宋体" w:hAnsi="宋体" w:cs="宋体"/>
                <w:b/>
                <w:sz w:val="24"/>
                <w:szCs w:val="24"/>
              </w:rPr>
            </w:pPr>
          </w:p>
        </w:tc>
        <w:tc>
          <w:tcPr>
            <w:tcW w:w="2101" w:type="dxa"/>
            <w:gridSpan w:val="3"/>
          </w:tcPr>
          <w:p>
            <w:pPr>
              <w:spacing w:line="360" w:lineRule="auto"/>
              <w:jc w:val="center"/>
              <w:rPr>
                <w:rFonts w:ascii="宋体" w:hAnsi="宋体" w:cs="宋体"/>
                <w:b/>
                <w:sz w:val="24"/>
                <w:szCs w:val="24"/>
              </w:rPr>
            </w:pPr>
          </w:p>
        </w:tc>
        <w:tc>
          <w:tcPr>
            <w:tcW w:w="785" w:type="dxa"/>
          </w:tcPr>
          <w:p>
            <w:pPr>
              <w:spacing w:line="360" w:lineRule="auto"/>
              <w:jc w:val="center"/>
              <w:rPr>
                <w:rFonts w:ascii="宋体" w:hAnsi="宋体" w:cs="宋体"/>
                <w:b/>
                <w:sz w:val="24"/>
                <w:szCs w:val="24"/>
              </w:rPr>
            </w:pPr>
          </w:p>
        </w:tc>
        <w:tc>
          <w:tcPr>
            <w:tcW w:w="1757" w:type="dxa"/>
            <w:gridSpan w:val="2"/>
          </w:tcPr>
          <w:p>
            <w:pPr>
              <w:spacing w:line="360" w:lineRule="auto"/>
              <w:jc w:val="center"/>
              <w:rPr>
                <w:rFonts w:ascii="宋体" w:hAnsi="宋体" w:cs="宋体"/>
                <w:b/>
                <w:sz w:val="24"/>
                <w:szCs w:val="24"/>
              </w:rPr>
            </w:pPr>
          </w:p>
        </w:tc>
        <w:tc>
          <w:tcPr>
            <w:tcW w:w="3096" w:type="dxa"/>
            <w:gridSpan w:val="2"/>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7" w:type="dxa"/>
          </w:tcPr>
          <w:p>
            <w:pPr>
              <w:spacing w:line="580" w:lineRule="exact"/>
              <w:jc w:val="center"/>
              <w:rPr>
                <w:rFonts w:ascii="宋体" w:hAnsi="宋体" w:cs="宋体"/>
                <w:b/>
                <w:sz w:val="24"/>
                <w:szCs w:val="24"/>
              </w:rPr>
            </w:pPr>
          </w:p>
        </w:tc>
        <w:tc>
          <w:tcPr>
            <w:tcW w:w="2101" w:type="dxa"/>
            <w:gridSpan w:val="3"/>
          </w:tcPr>
          <w:p>
            <w:pPr>
              <w:spacing w:line="580" w:lineRule="exact"/>
              <w:jc w:val="center"/>
              <w:rPr>
                <w:rFonts w:ascii="宋体" w:hAnsi="宋体" w:cs="宋体"/>
                <w:b/>
                <w:sz w:val="24"/>
                <w:szCs w:val="24"/>
              </w:rPr>
            </w:pPr>
          </w:p>
        </w:tc>
        <w:tc>
          <w:tcPr>
            <w:tcW w:w="785" w:type="dxa"/>
          </w:tcPr>
          <w:p>
            <w:pPr>
              <w:spacing w:line="580" w:lineRule="exact"/>
              <w:jc w:val="center"/>
              <w:rPr>
                <w:rFonts w:ascii="宋体" w:hAnsi="宋体" w:cs="宋体"/>
                <w:b/>
                <w:sz w:val="24"/>
                <w:szCs w:val="24"/>
              </w:rPr>
            </w:pPr>
          </w:p>
        </w:tc>
        <w:tc>
          <w:tcPr>
            <w:tcW w:w="1757" w:type="dxa"/>
            <w:gridSpan w:val="2"/>
          </w:tcPr>
          <w:p>
            <w:pPr>
              <w:spacing w:line="580" w:lineRule="exact"/>
              <w:jc w:val="center"/>
              <w:rPr>
                <w:rFonts w:ascii="宋体" w:hAnsi="宋体" w:cs="宋体"/>
                <w:b/>
                <w:sz w:val="24"/>
                <w:szCs w:val="24"/>
              </w:rPr>
            </w:pPr>
          </w:p>
        </w:tc>
        <w:tc>
          <w:tcPr>
            <w:tcW w:w="3096" w:type="dxa"/>
            <w:gridSpan w:val="2"/>
          </w:tcPr>
          <w:p>
            <w:pPr>
              <w:spacing w:line="580" w:lineRule="exact"/>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7" w:type="dxa"/>
          </w:tcPr>
          <w:p>
            <w:pPr>
              <w:spacing w:line="580" w:lineRule="exact"/>
              <w:jc w:val="center"/>
              <w:rPr>
                <w:rFonts w:ascii="宋体" w:hAnsi="宋体" w:cs="宋体"/>
                <w:b/>
                <w:sz w:val="24"/>
                <w:szCs w:val="24"/>
              </w:rPr>
            </w:pPr>
          </w:p>
        </w:tc>
        <w:tc>
          <w:tcPr>
            <w:tcW w:w="2101" w:type="dxa"/>
            <w:gridSpan w:val="3"/>
          </w:tcPr>
          <w:p>
            <w:pPr>
              <w:spacing w:line="580" w:lineRule="exact"/>
              <w:jc w:val="center"/>
              <w:rPr>
                <w:rFonts w:ascii="宋体" w:hAnsi="宋体" w:cs="宋体"/>
                <w:b/>
                <w:sz w:val="24"/>
                <w:szCs w:val="24"/>
              </w:rPr>
            </w:pPr>
          </w:p>
        </w:tc>
        <w:tc>
          <w:tcPr>
            <w:tcW w:w="785" w:type="dxa"/>
          </w:tcPr>
          <w:p>
            <w:pPr>
              <w:spacing w:line="580" w:lineRule="exact"/>
              <w:jc w:val="center"/>
              <w:rPr>
                <w:rFonts w:ascii="宋体" w:hAnsi="宋体" w:cs="宋体"/>
                <w:b/>
                <w:sz w:val="24"/>
                <w:szCs w:val="24"/>
              </w:rPr>
            </w:pPr>
          </w:p>
        </w:tc>
        <w:tc>
          <w:tcPr>
            <w:tcW w:w="1757" w:type="dxa"/>
            <w:gridSpan w:val="2"/>
          </w:tcPr>
          <w:p>
            <w:pPr>
              <w:spacing w:line="580" w:lineRule="exact"/>
              <w:jc w:val="center"/>
              <w:rPr>
                <w:rFonts w:ascii="宋体" w:hAnsi="宋体" w:cs="宋体"/>
                <w:b/>
                <w:sz w:val="24"/>
                <w:szCs w:val="24"/>
              </w:rPr>
            </w:pPr>
          </w:p>
        </w:tc>
        <w:tc>
          <w:tcPr>
            <w:tcW w:w="3096" w:type="dxa"/>
            <w:gridSpan w:val="2"/>
          </w:tcPr>
          <w:p>
            <w:pPr>
              <w:spacing w:line="580" w:lineRule="exact"/>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7" w:type="dxa"/>
          </w:tcPr>
          <w:p>
            <w:pPr>
              <w:spacing w:line="580" w:lineRule="exact"/>
              <w:jc w:val="center"/>
              <w:rPr>
                <w:rFonts w:ascii="宋体" w:hAnsi="宋体" w:cs="宋体"/>
                <w:b/>
                <w:sz w:val="24"/>
                <w:szCs w:val="24"/>
              </w:rPr>
            </w:pPr>
          </w:p>
        </w:tc>
        <w:tc>
          <w:tcPr>
            <w:tcW w:w="2101" w:type="dxa"/>
            <w:gridSpan w:val="3"/>
          </w:tcPr>
          <w:p>
            <w:pPr>
              <w:spacing w:line="580" w:lineRule="exact"/>
              <w:jc w:val="center"/>
              <w:rPr>
                <w:rFonts w:ascii="宋体" w:hAnsi="宋体" w:cs="宋体"/>
                <w:b/>
                <w:sz w:val="24"/>
                <w:szCs w:val="24"/>
              </w:rPr>
            </w:pPr>
          </w:p>
        </w:tc>
        <w:tc>
          <w:tcPr>
            <w:tcW w:w="785" w:type="dxa"/>
          </w:tcPr>
          <w:p>
            <w:pPr>
              <w:spacing w:line="580" w:lineRule="exact"/>
              <w:jc w:val="center"/>
              <w:rPr>
                <w:rFonts w:ascii="宋体" w:hAnsi="宋体" w:cs="宋体"/>
                <w:b/>
                <w:sz w:val="24"/>
                <w:szCs w:val="24"/>
              </w:rPr>
            </w:pPr>
          </w:p>
        </w:tc>
        <w:tc>
          <w:tcPr>
            <w:tcW w:w="1757" w:type="dxa"/>
            <w:gridSpan w:val="2"/>
          </w:tcPr>
          <w:p>
            <w:pPr>
              <w:spacing w:line="580" w:lineRule="exact"/>
              <w:jc w:val="center"/>
              <w:rPr>
                <w:rFonts w:ascii="宋体" w:hAnsi="宋体" w:cs="宋体"/>
                <w:b/>
                <w:sz w:val="24"/>
                <w:szCs w:val="24"/>
              </w:rPr>
            </w:pPr>
          </w:p>
        </w:tc>
        <w:tc>
          <w:tcPr>
            <w:tcW w:w="3096" w:type="dxa"/>
            <w:gridSpan w:val="2"/>
          </w:tcPr>
          <w:p>
            <w:pPr>
              <w:spacing w:line="580" w:lineRule="exact"/>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7" w:type="dxa"/>
          </w:tcPr>
          <w:p>
            <w:pPr>
              <w:spacing w:line="580" w:lineRule="exact"/>
              <w:jc w:val="center"/>
              <w:rPr>
                <w:rFonts w:ascii="宋体" w:hAnsi="宋体" w:cs="宋体"/>
                <w:b/>
                <w:sz w:val="24"/>
                <w:szCs w:val="24"/>
              </w:rPr>
            </w:pPr>
          </w:p>
        </w:tc>
        <w:tc>
          <w:tcPr>
            <w:tcW w:w="2101" w:type="dxa"/>
            <w:gridSpan w:val="3"/>
          </w:tcPr>
          <w:p>
            <w:pPr>
              <w:spacing w:line="580" w:lineRule="exact"/>
              <w:jc w:val="center"/>
              <w:rPr>
                <w:rFonts w:ascii="宋体" w:hAnsi="宋体" w:cs="宋体"/>
                <w:b/>
                <w:sz w:val="24"/>
                <w:szCs w:val="24"/>
              </w:rPr>
            </w:pPr>
          </w:p>
        </w:tc>
        <w:tc>
          <w:tcPr>
            <w:tcW w:w="785" w:type="dxa"/>
          </w:tcPr>
          <w:p>
            <w:pPr>
              <w:spacing w:line="580" w:lineRule="exact"/>
              <w:jc w:val="center"/>
              <w:rPr>
                <w:rFonts w:ascii="宋体" w:hAnsi="宋体" w:cs="宋体"/>
                <w:b/>
                <w:sz w:val="24"/>
                <w:szCs w:val="24"/>
              </w:rPr>
            </w:pPr>
          </w:p>
        </w:tc>
        <w:tc>
          <w:tcPr>
            <w:tcW w:w="1757" w:type="dxa"/>
            <w:gridSpan w:val="2"/>
          </w:tcPr>
          <w:p>
            <w:pPr>
              <w:spacing w:line="580" w:lineRule="exact"/>
              <w:jc w:val="center"/>
              <w:rPr>
                <w:rFonts w:ascii="宋体" w:hAnsi="宋体" w:cs="宋体"/>
                <w:b/>
                <w:sz w:val="24"/>
                <w:szCs w:val="24"/>
              </w:rPr>
            </w:pPr>
          </w:p>
        </w:tc>
        <w:tc>
          <w:tcPr>
            <w:tcW w:w="3096" w:type="dxa"/>
            <w:gridSpan w:val="2"/>
          </w:tcPr>
          <w:p>
            <w:pPr>
              <w:spacing w:line="580" w:lineRule="exact"/>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7" w:type="dxa"/>
          </w:tcPr>
          <w:p>
            <w:pPr>
              <w:spacing w:line="580" w:lineRule="exact"/>
              <w:jc w:val="center"/>
              <w:rPr>
                <w:rFonts w:ascii="宋体" w:hAnsi="宋体" w:cs="宋体"/>
                <w:b/>
                <w:sz w:val="24"/>
                <w:szCs w:val="24"/>
              </w:rPr>
            </w:pPr>
          </w:p>
        </w:tc>
        <w:tc>
          <w:tcPr>
            <w:tcW w:w="2101" w:type="dxa"/>
            <w:gridSpan w:val="3"/>
          </w:tcPr>
          <w:p>
            <w:pPr>
              <w:spacing w:line="580" w:lineRule="exact"/>
              <w:jc w:val="center"/>
              <w:rPr>
                <w:rFonts w:ascii="宋体" w:hAnsi="宋体" w:cs="宋体"/>
                <w:b/>
                <w:sz w:val="24"/>
                <w:szCs w:val="24"/>
              </w:rPr>
            </w:pPr>
          </w:p>
        </w:tc>
        <w:tc>
          <w:tcPr>
            <w:tcW w:w="785" w:type="dxa"/>
          </w:tcPr>
          <w:p>
            <w:pPr>
              <w:spacing w:line="580" w:lineRule="exact"/>
              <w:jc w:val="center"/>
              <w:rPr>
                <w:rFonts w:ascii="宋体" w:hAnsi="宋体" w:cs="宋体"/>
                <w:b/>
                <w:sz w:val="24"/>
                <w:szCs w:val="24"/>
              </w:rPr>
            </w:pPr>
          </w:p>
        </w:tc>
        <w:tc>
          <w:tcPr>
            <w:tcW w:w="1757" w:type="dxa"/>
            <w:gridSpan w:val="2"/>
          </w:tcPr>
          <w:p>
            <w:pPr>
              <w:spacing w:line="580" w:lineRule="exact"/>
              <w:jc w:val="center"/>
              <w:rPr>
                <w:rFonts w:ascii="宋体" w:hAnsi="宋体" w:cs="宋体"/>
                <w:b/>
                <w:sz w:val="24"/>
                <w:szCs w:val="24"/>
              </w:rPr>
            </w:pPr>
          </w:p>
        </w:tc>
        <w:tc>
          <w:tcPr>
            <w:tcW w:w="3096" w:type="dxa"/>
            <w:gridSpan w:val="2"/>
          </w:tcPr>
          <w:p>
            <w:pPr>
              <w:spacing w:line="580" w:lineRule="exact"/>
              <w:jc w:val="center"/>
              <w:rPr>
                <w:rFonts w:ascii="宋体" w:hAnsi="宋体" w:cs="宋体"/>
                <w:b/>
                <w:sz w:val="24"/>
                <w:szCs w:val="24"/>
              </w:rPr>
            </w:pPr>
          </w:p>
        </w:tc>
      </w:tr>
    </w:tbl>
    <w:p>
      <w:pPr>
        <w:spacing w:line="500" w:lineRule="exact"/>
        <w:rPr>
          <w:rFonts w:ascii="宋体" w:hAnsi="宋体" w:cs="宋体"/>
          <w:b/>
          <w:sz w:val="24"/>
          <w:szCs w:val="24"/>
        </w:rPr>
      </w:pPr>
    </w:p>
    <w:p>
      <w:pPr>
        <w:spacing w:line="600" w:lineRule="exact"/>
        <w:ind w:left="540" w:firstLine="30"/>
        <w:jc w:val="right"/>
        <w:rPr>
          <w:rFonts w:ascii="宋体" w:hAnsi="宋体" w:cs="宋体"/>
          <w:sz w:val="24"/>
          <w:szCs w:val="24"/>
        </w:rPr>
      </w:pPr>
      <w:r>
        <w:rPr>
          <w:rFonts w:hint="eastAsia" w:ascii="宋体" w:hAnsi="宋体" w:cs="宋体"/>
          <w:sz w:val="24"/>
          <w:szCs w:val="24"/>
        </w:rPr>
        <w:t xml:space="preserve">        投标方名称：</w:t>
      </w:r>
      <w:r>
        <w:rPr>
          <w:rFonts w:hint="eastAsia" w:ascii="宋体" w:hAnsi="宋体" w:cs="宋体"/>
          <w:sz w:val="24"/>
          <w:szCs w:val="24"/>
          <w:u w:val="single"/>
        </w:rPr>
        <w:t xml:space="preserve">                    </w:t>
      </w:r>
      <w:r>
        <w:rPr>
          <w:rFonts w:hint="eastAsia" w:ascii="宋体" w:hAnsi="宋体" w:cs="宋体"/>
          <w:sz w:val="24"/>
          <w:szCs w:val="24"/>
        </w:rPr>
        <w:t>（公章）</w:t>
      </w:r>
    </w:p>
    <w:p>
      <w:pPr>
        <w:spacing w:line="600" w:lineRule="exact"/>
        <w:ind w:left="540" w:leftChars="257" w:firstLine="868" w:firstLineChars="362"/>
        <w:jc w:val="left"/>
        <w:rPr>
          <w:rFonts w:ascii="宋体" w:hAnsi="宋体" w:cs="宋体"/>
          <w:sz w:val="24"/>
          <w:szCs w:val="24"/>
        </w:rPr>
      </w:pPr>
      <w:r>
        <w:rPr>
          <w:rFonts w:hint="eastAsia" w:ascii="宋体" w:hAnsi="宋体" w:cs="宋体"/>
          <w:sz w:val="24"/>
          <w:szCs w:val="24"/>
        </w:rPr>
        <w:t>法定代表人（负责人）或其授权代表签字或盖章：</w:t>
      </w:r>
      <w:r>
        <w:rPr>
          <w:rFonts w:hint="eastAsia" w:ascii="宋体" w:hAnsi="宋体" w:cs="宋体"/>
          <w:sz w:val="24"/>
          <w:szCs w:val="24"/>
          <w:u w:val="single"/>
        </w:rPr>
        <w:t xml:space="preserve">                      </w:t>
      </w:r>
    </w:p>
    <w:p>
      <w:pPr>
        <w:ind w:left="540"/>
        <w:jc w:val="right"/>
        <w:rPr>
          <w:rFonts w:ascii="宋体" w:hAnsi="宋体" w:cs="宋体"/>
          <w:b/>
          <w:sz w:val="24"/>
          <w:szCs w:val="24"/>
        </w:rPr>
      </w:pPr>
      <w:r>
        <w:rPr>
          <w:rFonts w:hint="eastAsia" w:ascii="宋体" w:hAnsi="宋体" w:cs="宋体"/>
          <w:sz w:val="24"/>
          <w:szCs w:val="24"/>
        </w:rPr>
        <w:t xml:space="preserve">        投标日期：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580" w:lineRule="exact"/>
        <w:jc w:val="center"/>
        <w:rPr>
          <w:rFonts w:ascii="仿宋_GB2312" w:eastAsia="仿宋_GB2312"/>
          <w:sz w:val="28"/>
        </w:rPr>
      </w:pPr>
    </w:p>
    <w:p>
      <w:pPr>
        <w:spacing w:line="480" w:lineRule="auto"/>
        <w:jc w:val="left"/>
        <w:rPr>
          <w:rStyle w:val="90"/>
          <w:rFonts w:ascii="宋体" w:hAnsi="宋体" w:cs="宋体"/>
          <w:szCs w:val="24"/>
        </w:rPr>
      </w:pPr>
      <w:r>
        <w:rPr>
          <w:rStyle w:val="90"/>
          <w:rFonts w:hint="eastAsia" w:ascii="仿宋_GB2312" w:eastAsia="仿宋_GB2312"/>
          <w:sz w:val="30"/>
          <w:szCs w:val="30"/>
        </w:rPr>
        <w:br w:type="page"/>
      </w:r>
      <w:r>
        <w:rPr>
          <w:rStyle w:val="90"/>
          <w:rFonts w:hint="eastAsia" w:ascii="宋体" w:hAnsi="宋体" w:cs="宋体"/>
          <w:szCs w:val="24"/>
        </w:rPr>
        <w:t>附件六</w:t>
      </w:r>
    </w:p>
    <w:p>
      <w:pPr>
        <w:spacing w:line="580" w:lineRule="exact"/>
        <w:jc w:val="center"/>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30"/>
          <w:szCs w:val="30"/>
        </w:rPr>
        <w:t xml:space="preserve"> 拟派驻本项目工作人员配置表</w:t>
      </w:r>
    </w:p>
    <w:p>
      <w:pPr>
        <w:spacing w:line="560" w:lineRule="exact"/>
        <w:jc w:val="left"/>
        <w:rPr>
          <w:rFonts w:ascii="宋体" w:hAnsi="宋体" w:cs="宋体"/>
          <w:b/>
          <w:sz w:val="24"/>
          <w:szCs w:val="24"/>
        </w:rPr>
      </w:pPr>
    </w:p>
    <w:p>
      <w:pPr>
        <w:spacing w:line="560" w:lineRule="exact"/>
        <w:jc w:val="left"/>
        <w:rPr>
          <w:rFonts w:ascii="宋体" w:hAnsi="宋体" w:cs="宋体"/>
          <w:b/>
          <w:sz w:val="24"/>
          <w:szCs w:val="24"/>
        </w:rPr>
      </w:pPr>
      <w:r>
        <w:rPr>
          <w:rFonts w:hint="eastAsia" w:ascii="宋体" w:hAnsi="宋体" w:cs="宋体"/>
          <w:b/>
          <w:sz w:val="24"/>
          <w:szCs w:val="24"/>
        </w:rPr>
        <w:t>项目名称：</w:t>
      </w:r>
      <w:r>
        <w:rPr>
          <w:rFonts w:hint="eastAsia" w:ascii="宋体" w:hAnsi="宋体" w:cs="宋体"/>
          <w:b/>
          <w:sz w:val="24"/>
          <w:szCs w:val="24"/>
          <w:u w:val="single"/>
        </w:rPr>
        <w:t xml:space="preserve">                                     </w:t>
      </w:r>
    </w:p>
    <w:p>
      <w:pPr>
        <w:spacing w:line="580" w:lineRule="exact"/>
        <w:jc w:val="left"/>
        <w:rPr>
          <w:rFonts w:ascii="宋体" w:hAnsi="宋体" w:cs="宋体"/>
          <w:b/>
          <w:sz w:val="24"/>
          <w:szCs w:val="24"/>
        </w:rPr>
      </w:pPr>
      <w:r>
        <w:rPr>
          <w:rFonts w:hint="eastAsia" w:ascii="宋体" w:hAnsi="宋体" w:cs="宋体"/>
          <w:b/>
          <w:sz w:val="24"/>
          <w:szCs w:val="24"/>
        </w:rPr>
        <w:t>招标编号：</w:t>
      </w:r>
      <w:r>
        <w:rPr>
          <w:rFonts w:hint="eastAsia" w:ascii="宋体" w:hAnsi="宋体" w:cs="宋体"/>
          <w:b/>
          <w:sz w:val="24"/>
          <w:szCs w:val="24"/>
          <w:u w:val="single"/>
        </w:rPr>
        <w:t xml:space="preserve">                   </w:t>
      </w:r>
      <w:r>
        <w:rPr>
          <w:rFonts w:hint="eastAsia" w:ascii="宋体" w:hAnsi="宋体" w:cs="宋体"/>
          <w:b/>
          <w:sz w:val="24"/>
          <w:szCs w:val="24"/>
        </w:rPr>
        <w:t xml:space="preserve"> 标项：</w:t>
      </w:r>
      <w:r>
        <w:rPr>
          <w:rFonts w:hint="eastAsia" w:ascii="宋体" w:hAnsi="宋体" w:cs="宋体"/>
          <w:b/>
          <w:sz w:val="24"/>
          <w:szCs w:val="24"/>
          <w:u w:val="single"/>
        </w:rPr>
        <w:t xml:space="preserve">           </w:t>
      </w:r>
      <w:r>
        <w:rPr>
          <w:rFonts w:hint="eastAsia" w:ascii="宋体" w:hAnsi="宋体" w:cs="宋体"/>
          <w:b/>
          <w:sz w:val="24"/>
          <w:szCs w:val="24"/>
        </w:rPr>
        <w:t xml:space="preserve"> </w:t>
      </w:r>
      <w:r>
        <w:rPr>
          <w:rFonts w:hint="eastAsia" w:ascii="宋体" w:hAnsi="宋体" w:cs="宋体"/>
          <w:sz w:val="24"/>
          <w:szCs w:val="24"/>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858"/>
        <w:gridCol w:w="1133"/>
        <w:gridCol w:w="824"/>
        <w:gridCol w:w="810"/>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25" w:type="dxa"/>
          </w:tcPr>
          <w:p>
            <w:pPr>
              <w:spacing w:line="580" w:lineRule="exact"/>
              <w:jc w:val="center"/>
              <w:rPr>
                <w:rFonts w:ascii="宋体" w:hAnsi="宋体" w:cs="宋体"/>
                <w:bCs/>
                <w:sz w:val="24"/>
                <w:szCs w:val="24"/>
              </w:rPr>
            </w:pPr>
            <w:r>
              <w:rPr>
                <w:rFonts w:hint="eastAsia" w:ascii="宋体" w:hAnsi="宋体" w:cs="宋体"/>
                <w:bCs/>
                <w:sz w:val="24"/>
                <w:szCs w:val="24"/>
              </w:rPr>
              <w:t>序号</w:t>
            </w:r>
          </w:p>
        </w:tc>
        <w:tc>
          <w:tcPr>
            <w:tcW w:w="1858" w:type="dxa"/>
          </w:tcPr>
          <w:p>
            <w:pPr>
              <w:spacing w:line="580" w:lineRule="exact"/>
              <w:jc w:val="center"/>
              <w:rPr>
                <w:rFonts w:ascii="宋体" w:hAnsi="宋体" w:cs="宋体"/>
                <w:bCs/>
                <w:sz w:val="24"/>
                <w:szCs w:val="24"/>
              </w:rPr>
            </w:pPr>
            <w:r>
              <w:rPr>
                <w:rFonts w:hint="eastAsia" w:ascii="宋体" w:hAnsi="宋体" w:cs="宋体"/>
                <w:bCs/>
                <w:sz w:val="24"/>
                <w:szCs w:val="24"/>
              </w:rPr>
              <w:t>岗位名称</w:t>
            </w:r>
          </w:p>
        </w:tc>
        <w:tc>
          <w:tcPr>
            <w:tcW w:w="1133" w:type="dxa"/>
          </w:tcPr>
          <w:p>
            <w:pPr>
              <w:spacing w:line="580" w:lineRule="exact"/>
              <w:jc w:val="center"/>
              <w:rPr>
                <w:rFonts w:ascii="宋体" w:hAnsi="宋体" w:cs="宋体"/>
                <w:bCs/>
                <w:sz w:val="24"/>
                <w:szCs w:val="24"/>
              </w:rPr>
            </w:pPr>
            <w:r>
              <w:rPr>
                <w:rFonts w:hint="eastAsia" w:ascii="宋体" w:hAnsi="宋体" w:cs="宋体"/>
                <w:bCs/>
                <w:sz w:val="24"/>
                <w:szCs w:val="24"/>
              </w:rPr>
              <w:t>姓名</w:t>
            </w:r>
          </w:p>
        </w:tc>
        <w:tc>
          <w:tcPr>
            <w:tcW w:w="824" w:type="dxa"/>
          </w:tcPr>
          <w:p>
            <w:pPr>
              <w:spacing w:line="580" w:lineRule="exact"/>
              <w:jc w:val="center"/>
              <w:rPr>
                <w:rFonts w:ascii="宋体" w:hAnsi="宋体" w:cs="宋体"/>
                <w:bCs/>
                <w:sz w:val="24"/>
                <w:szCs w:val="24"/>
              </w:rPr>
            </w:pPr>
            <w:r>
              <w:rPr>
                <w:rFonts w:hint="eastAsia" w:ascii="宋体" w:hAnsi="宋体" w:cs="宋体"/>
                <w:bCs/>
                <w:sz w:val="24"/>
                <w:szCs w:val="24"/>
              </w:rPr>
              <w:t>性别</w:t>
            </w:r>
          </w:p>
        </w:tc>
        <w:tc>
          <w:tcPr>
            <w:tcW w:w="810" w:type="dxa"/>
          </w:tcPr>
          <w:p>
            <w:pPr>
              <w:spacing w:line="580" w:lineRule="exact"/>
              <w:jc w:val="center"/>
              <w:rPr>
                <w:rFonts w:ascii="宋体" w:hAnsi="宋体" w:cs="宋体"/>
                <w:bCs/>
                <w:sz w:val="24"/>
                <w:szCs w:val="24"/>
              </w:rPr>
            </w:pPr>
            <w:r>
              <w:rPr>
                <w:rFonts w:hint="eastAsia" w:ascii="宋体" w:hAnsi="宋体" w:cs="宋体"/>
                <w:bCs/>
                <w:sz w:val="24"/>
                <w:szCs w:val="24"/>
              </w:rPr>
              <w:t>年龄</w:t>
            </w:r>
          </w:p>
        </w:tc>
        <w:tc>
          <w:tcPr>
            <w:tcW w:w="3909" w:type="dxa"/>
          </w:tcPr>
          <w:p>
            <w:pPr>
              <w:spacing w:line="580" w:lineRule="exact"/>
              <w:jc w:val="center"/>
              <w:rPr>
                <w:rFonts w:ascii="宋体" w:hAnsi="宋体" w:cs="宋体"/>
                <w:bCs/>
                <w:sz w:val="24"/>
                <w:szCs w:val="24"/>
              </w:rPr>
            </w:pPr>
            <w:r>
              <w:rPr>
                <w:rFonts w:hint="eastAsia" w:ascii="宋体" w:hAnsi="宋体" w:cs="宋体"/>
                <w:bCs/>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825" w:type="dxa"/>
          </w:tcPr>
          <w:p>
            <w:pPr>
              <w:spacing w:line="580" w:lineRule="exact"/>
              <w:jc w:val="center"/>
              <w:rPr>
                <w:rFonts w:ascii="宋体" w:hAnsi="宋体" w:cs="宋体"/>
                <w:bCs/>
                <w:sz w:val="24"/>
                <w:szCs w:val="24"/>
              </w:rPr>
            </w:pPr>
          </w:p>
        </w:tc>
        <w:tc>
          <w:tcPr>
            <w:tcW w:w="1858" w:type="dxa"/>
          </w:tcPr>
          <w:p>
            <w:pPr>
              <w:spacing w:line="580" w:lineRule="exact"/>
              <w:jc w:val="center"/>
              <w:rPr>
                <w:rFonts w:ascii="宋体" w:hAnsi="宋体" w:cs="宋体"/>
                <w:bCs/>
                <w:sz w:val="24"/>
                <w:szCs w:val="24"/>
              </w:rPr>
            </w:pPr>
          </w:p>
        </w:tc>
        <w:tc>
          <w:tcPr>
            <w:tcW w:w="1133" w:type="dxa"/>
          </w:tcPr>
          <w:p>
            <w:pPr>
              <w:spacing w:line="580" w:lineRule="exact"/>
              <w:jc w:val="center"/>
              <w:rPr>
                <w:rFonts w:ascii="宋体" w:hAnsi="宋体" w:cs="宋体"/>
                <w:bCs/>
                <w:sz w:val="24"/>
                <w:szCs w:val="24"/>
              </w:rPr>
            </w:pPr>
          </w:p>
        </w:tc>
        <w:tc>
          <w:tcPr>
            <w:tcW w:w="824" w:type="dxa"/>
          </w:tcPr>
          <w:p>
            <w:pPr>
              <w:spacing w:line="580" w:lineRule="exact"/>
              <w:jc w:val="center"/>
              <w:rPr>
                <w:rFonts w:ascii="宋体" w:hAnsi="宋体" w:cs="宋体"/>
                <w:bCs/>
                <w:sz w:val="24"/>
                <w:szCs w:val="24"/>
              </w:rPr>
            </w:pPr>
          </w:p>
        </w:tc>
        <w:tc>
          <w:tcPr>
            <w:tcW w:w="810" w:type="dxa"/>
          </w:tcPr>
          <w:p>
            <w:pPr>
              <w:spacing w:line="580" w:lineRule="exact"/>
              <w:jc w:val="center"/>
              <w:rPr>
                <w:rFonts w:ascii="宋体" w:hAnsi="宋体" w:cs="宋体"/>
                <w:bCs/>
                <w:sz w:val="24"/>
                <w:szCs w:val="24"/>
              </w:rPr>
            </w:pPr>
          </w:p>
        </w:tc>
        <w:tc>
          <w:tcPr>
            <w:tcW w:w="3909" w:type="dxa"/>
          </w:tcPr>
          <w:p>
            <w:pPr>
              <w:spacing w:line="58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825" w:type="dxa"/>
          </w:tcPr>
          <w:p>
            <w:pPr>
              <w:spacing w:line="580" w:lineRule="exact"/>
              <w:jc w:val="center"/>
              <w:rPr>
                <w:rFonts w:ascii="宋体" w:hAnsi="宋体" w:cs="宋体"/>
                <w:bCs/>
                <w:sz w:val="24"/>
                <w:szCs w:val="24"/>
              </w:rPr>
            </w:pPr>
          </w:p>
        </w:tc>
        <w:tc>
          <w:tcPr>
            <w:tcW w:w="1858" w:type="dxa"/>
          </w:tcPr>
          <w:p>
            <w:pPr>
              <w:spacing w:line="580" w:lineRule="exact"/>
              <w:jc w:val="center"/>
              <w:rPr>
                <w:rFonts w:ascii="宋体" w:hAnsi="宋体" w:cs="宋体"/>
                <w:bCs/>
                <w:sz w:val="24"/>
                <w:szCs w:val="24"/>
              </w:rPr>
            </w:pPr>
          </w:p>
        </w:tc>
        <w:tc>
          <w:tcPr>
            <w:tcW w:w="1133" w:type="dxa"/>
          </w:tcPr>
          <w:p>
            <w:pPr>
              <w:spacing w:line="580" w:lineRule="exact"/>
              <w:jc w:val="center"/>
              <w:rPr>
                <w:rFonts w:ascii="宋体" w:hAnsi="宋体" w:cs="宋体"/>
                <w:bCs/>
                <w:sz w:val="24"/>
                <w:szCs w:val="24"/>
              </w:rPr>
            </w:pPr>
          </w:p>
        </w:tc>
        <w:tc>
          <w:tcPr>
            <w:tcW w:w="824" w:type="dxa"/>
          </w:tcPr>
          <w:p>
            <w:pPr>
              <w:spacing w:line="580" w:lineRule="exact"/>
              <w:jc w:val="center"/>
              <w:rPr>
                <w:rFonts w:ascii="宋体" w:hAnsi="宋体" w:cs="宋体"/>
                <w:bCs/>
                <w:sz w:val="24"/>
                <w:szCs w:val="24"/>
              </w:rPr>
            </w:pPr>
          </w:p>
        </w:tc>
        <w:tc>
          <w:tcPr>
            <w:tcW w:w="810" w:type="dxa"/>
          </w:tcPr>
          <w:p>
            <w:pPr>
              <w:spacing w:line="580" w:lineRule="exact"/>
              <w:jc w:val="center"/>
              <w:rPr>
                <w:rFonts w:ascii="宋体" w:hAnsi="宋体" w:cs="宋体"/>
                <w:bCs/>
                <w:sz w:val="24"/>
                <w:szCs w:val="24"/>
              </w:rPr>
            </w:pPr>
          </w:p>
        </w:tc>
        <w:tc>
          <w:tcPr>
            <w:tcW w:w="3909" w:type="dxa"/>
          </w:tcPr>
          <w:p>
            <w:pPr>
              <w:spacing w:line="58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25" w:type="dxa"/>
          </w:tcPr>
          <w:p>
            <w:pPr>
              <w:spacing w:line="580" w:lineRule="exact"/>
              <w:jc w:val="center"/>
              <w:rPr>
                <w:rFonts w:ascii="宋体" w:hAnsi="宋体" w:cs="宋体"/>
                <w:bCs/>
                <w:sz w:val="24"/>
                <w:szCs w:val="24"/>
              </w:rPr>
            </w:pPr>
          </w:p>
        </w:tc>
        <w:tc>
          <w:tcPr>
            <w:tcW w:w="1858" w:type="dxa"/>
          </w:tcPr>
          <w:p>
            <w:pPr>
              <w:spacing w:line="580" w:lineRule="exact"/>
              <w:jc w:val="center"/>
              <w:rPr>
                <w:rFonts w:ascii="宋体" w:hAnsi="宋体" w:cs="宋体"/>
                <w:bCs/>
                <w:sz w:val="24"/>
                <w:szCs w:val="24"/>
              </w:rPr>
            </w:pPr>
          </w:p>
        </w:tc>
        <w:tc>
          <w:tcPr>
            <w:tcW w:w="1133" w:type="dxa"/>
          </w:tcPr>
          <w:p>
            <w:pPr>
              <w:spacing w:line="580" w:lineRule="exact"/>
              <w:jc w:val="center"/>
              <w:rPr>
                <w:rFonts w:ascii="宋体" w:hAnsi="宋体" w:cs="宋体"/>
                <w:bCs/>
                <w:sz w:val="24"/>
                <w:szCs w:val="24"/>
              </w:rPr>
            </w:pPr>
          </w:p>
        </w:tc>
        <w:tc>
          <w:tcPr>
            <w:tcW w:w="824" w:type="dxa"/>
          </w:tcPr>
          <w:p>
            <w:pPr>
              <w:spacing w:line="580" w:lineRule="exact"/>
              <w:jc w:val="center"/>
              <w:rPr>
                <w:rFonts w:ascii="宋体" w:hAnsi="宋体" w:cs="宋体"/>
                <w:bCs/>
                <w:sz w:val="24"/>
                <w:szCs w:val="24"/>
              </w:rPr>
            </w:pPr>
          </w:p>
        </w:tc>
        <w:tc>
          <w:tcPr>
            <w:tcW w:w="810" w:type="dxa"/>
          </w:tcPr>
          <w:p>
            <w:pPr>
              <w:spacing w:line="580" w:lineRule="exact"/>
              <w:jc w:val="center"/>
              <w:rPr>
                <w:rFonts w:ascii="宋体" w:hAnsi="宋体" w:cs="宋体"/>
                <w:bCs/>
                <w:sz w:val="24"/>
                <w:szCs w:val="24"/>
              </w:rPr>
            </w:pPr>
          </w:p>
        </w:tc>
        <w:tc>
          <w:tcPr>
            <w:tcW w:w="3909" w:type="dxa"/>
          </w:tcPr>
          <w:p>
            <w:pPr>
              <w:spacing w:line="58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25" w:type="dxa"/>
          </w:tcPr>
          <w:p>
            <w:pPr>
              <w:spacing w:line="580" w:lineRule="exact"/>
              <w:jc w:val="center"/>
              <w:rPr>
                <w:rFonts w:ascii="宋体" w:hAnsi="宋体" w:cs="宋体"/>
                <w:bCs/>
                <w:sz w:val="24"/>
                <w:szCs w:val="24"/>
              </w:rPr>
            </w:pPr>
          </w:p>
        </w:tc>
        <w:tc>
          <w:tcPr>
            <w:tcW w:w="1858" w:type="dxa"/>
          </w:tcPr>
          <w:p>
            <w:pPr>
              <w:spacing w:line="580" w:lineRule="exact"/>
              <w:jc w:val="center"/>
              <w:rPr>
                <w:rFonts w:ascii="宋体" w:hAnsi="宋体" w:cs="宋体"/>
                <w:bCs/>
                <w:sz w:val="24"/>
                <w:szCs w:val="24"/>
              </w:rPr>
            </w:pPr>
          </w:p>
        </w:tc>
        <w:tc>
          <w:tcPr>
            <w:tcW w:w="1133" w:type="dxa"/>
          </w:tcPr>
          <w:p>
            <w:pPr>
              <w:spacing w:line="580" w:lineRule="exact"/>
              <w:jc w:val="center"/>
              <w:rPr>
                <w:rFonts w:ascii="宋体" w:hAnsi="宋体" w:cs="宋体"/>
                <w:bCs/>
                <w:sz w:val="24"/>
                <w:szCs w:val="24"/>
              </w:rPr>
            </w:pPr>
          </w:p>
        </w:tc>
        <w:tc>
          <w:tcPr>
            <w:tcW w:w="824" w:type="dxa"/>
          </w:tcPr>
          <w:p>
            <w:pPr>
              <w:spacing w:line="580" w:lineRule="exact"/>
              <w:jc w:val="center"/>
              <w:rPr>
                <w:rFonts w:ascii="宋体" w:hAnsi="宋体" w:cs="宋体"/>
                <w:bCs/>
                <w:sz w:val="24"/>
                <w:szCs w:val="24"/>
              </w:rPr>
            </w:pPr>
          </w:p>
        </w:tc>
        <w:tc>
          <w:tcPr>
            <w:tcW w:w="810" w:type="dxa"/>
          </w:tcPr>
          <w:p>
            <w:pPr>
              <w:spacing w:line="580" w:lineRule="exact"/>
              <w:jc w:val="center"/>
              <w:rPr>
                <w:rFonts w:ascii="宋体" w:hAnsi="宋体" w:cs="宋体"/>
                <w:bCs/>
                <w:sz w:val="24"/>
                <w:szCs w:val="24"/>
              </w:rPr>
            </w:pPr>
          </w:p>
        </w:tc>
        <w:tc>
          <w:tcPr>
            <w:tcW w:w="3909" w:type="dxa"/>
          </w:tcPr>
          <w:p>
            <w:pPr>
              <w:spacing w:line="58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25" w:type="dxa"/>
          </w:tcPr>
          <w:p>
            <w:pPr>
              <w:spacing w:line="580" w:lineRule="exact"/>
              <w:jc w:val="center"/>
              <w:rPr>
                <w:rFonts w:ascii="宋体" w:hAnsi="宋体" w:cs="宋体"/>
                <w:bCs/>
                <w:sz w:val="24"/>
                <w:szCs w:val="24"/>
              </w:rPr>
            </w:pPr>
          </w:p>
        </w:tc>
        <w:tc>
          <w:tcPr>
            <w:tcW w:w="1858" w:type="dxa"/>
          </w:tcPr>
          <w:p>
            <w:pPr>
              <w:spacing w:line="580" w:lineRule="exact"/>
              <w:jc w:val="center"/>
              <w:rPr>
                <w:rFonts w:ascii="宋体" w:hAnsi="宋体" w:cs="宋体"/>
                <w:bCs/>
                <w:sz w:val="24"/>
                <w:szCs w:val="24"/>
              </w:rPr>
            </w:pPr>
          </w:p>
        </w:tc>
        <w:tc>
          <w:tcPr>
            <w:tcW w:w="1133" w:type="dxa"/>
          </w:tcPr>
          <w:p>
            <w:pPr>
              <w:spacing w:line="580" w:lineRule="exact"/>
              <w:jc w:val="center"/>
              <w:rPr>
                <w:rFonts w:ascii="宋体" w:hAnsi="宋体" w:cs="宋体"/>
                <w:bCs/>
                <w:sz w:val="24"/>
                <w:szCs w:val="24"/>
              </w:rPr>
            </w:pPr>
          </w:p>
        </w:tc>
        <w:tc>
          <w:tcPr>
            <w:tcW w:w="824" w:type="dxa"/>
          </w:tcPr>
          <w:p>
            <w:pPr>
              <w:spacing w:line="580" w:lineRule="exact"/>
              <w:jc w:val="center"/>
              <w:rPr>
                <w:rFonts w:ascii="宋体" w:hAnsi="宋体" w:cs="宋体"/>
                <w:bCs/>
                <w:sz w:val="24"/>
                <w:szCs w:val="24"/>
              </w:rPr>
            </w:pPr>
          </w:p>
        </w:tc>
        <w:tc>
          <w:tcPr>
            <w:tcW w:w="810" w:type="dxa"/>
          </w:tcPr>
          <w:p>
            <w:pPr>
              <w:spacing w:line="580" w:lineRule="exact"/>
              <w:jc w:val="center"/>
              <w:rPr>
                <w:rFonts w:ascii="宋体" w:hAnsi="宋体" w:cs="宋体"/>
                <w:bCs/>
                <w:sz w:val="24"/>
                <w:szCs w:val="24"/>
              </w:rPr>
            </w:pPr>
          </w:p>
        </w:tc>
        <w:tc>
          <w:tcPr>
            <w:tcW w:w="3909" w:type="dxa"/>
          </w:tcPr>
          <w:p>
            <w:pPr>
              <w:spacing w:line="58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825" w:type="dxa"/>
          </w:tcPr>
          <w:p>
            <w:pPr>
              <w:spacing w:line="580" w:lineRule="exact"/>
              <w:jc w:val="center"/>
              <w:rPr>
                <w:rFonts w:ascii="宋体" w:hAnsi="宋体" w:cs="宋体"/>
                <w:bCs/>
                <w:sz w:val="24"/>
                <w:szCs w:val="24"/>
              </w:rPr>
            </w:pPr>
          </w:p>
        </w:tc>
        <w:tc>
          <w:tcPr>
            <w:tcW w:w="1858" w:type="dxa"/>
          </w:tcPr>
          <w:p>
            <w:pPr>
              <w:spacing w:line="580" w:lineRule="exact"/>
              <w:jc w:val="center"/>
              <w:rPr>
                <w:rFonts w:ascii="宋体" w:hAnsi="宋体" w:cs="宋体"/>
                <w:bCs/>
                <w:sz w:val="24"/>
                <w:szCs w:val="24"/>
              </w:rPr>
            </w:pPr>
          </w:p>
        </w:tc>
        <w:tc>
          <w:tcPr>
            <w:tcW w:w="1133" w:type="dxa"/>
          </w:tcPr>
          <w:p>
            <w:pPr>
              <w:spacing w:line="580" w:lineRule="exact"/>
              <w:jc w:val="center"/>
              <w:rPr>
                <w:rFonts w:ascii="宋体" w:hAnsi="宋体" w:cs="宋体"/>
                <w:bCs/>
                <w:sz w:val="24"/>
                <w:szCs w:val="24"/>
              </w:rPr>
            </w:pPr>
          </w:p>
        </w:tc>
        <w:tc>
          <w:tcPr>
            <w:tcW w:w="824" w:type="dxa"/>
          </w:tcPr>
          <w:p>
            <w:pPr>
              <w:spacing w:line="580" w:lineRule="exact"/>
              <w:jc w:val="center"/>
              <w:rPr>
                <w:rFonts w:ascii="宋体" w:hAnsi="宋体" w:cs="宋体"/>
                <w:bCs/>
                <w:sz w:val="24"/>
                <w:szCs w:val="24"/>
              </w:rPr>
            </w:pPr>
          </w:p>
        </w:tc>
        <w:tc>
          <w:tcPr>
            <w:tcW w:w="810" w:type="dxa"/>
          </w:tcPr>
          <w:p>
            <w:pPr>
              <w:spacing w:line="580" w:lineRule="exact"/>
              <w:jc w:val="center"/>
              <w:rPr>
                <w:rFonts w:ascii="宋体" w:hAnsi="宋体" w:cs="宋体"/>
                <w:bCs/>
                <w:sz w:val="24"/>
                <w:szCs w:val="24"/>
              </w:rPr>
            </w:pPr>
          </w:p>
        </w:tc>
        <w:tc>
          <w:tcPr>
            <w:tcW w:w="3909" w:type="dxa"/>
          </w:tcPr>
          <w:p>
            <w:pPr>
              <w:spacing w:line="58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825" w:type="dxa"/>
          </w:tcPr>
          <w:p>
            <w:pPr>
              <w:spacing w:line="580" w:lineRule="exact"/>
              <w:jc w:val="center"/>
              <w:rPr>
                <w:rFonts w:ascii="宋体" w:hAnsi="宋体" w:cs="宋体"/>
                <w:bCs/>
                <w:sz w:val="24"/>
                <w:szCs w:val="24"/>
              </w:rPr>
            </w:pPr>
          </w:p>
        </w:tc>
        <w:tc>
          <w:tcPr>
            <w:tcW w:w="1858" w:type="dxa"/>
          </w:tcPr>
          <w:p>
            <w:pPr>
              <w:spacing w:line="580" w:lineRule="exact"/>
              <w:jc w:val="center"/>
              <w:rPr>
                <w:rFonts w:ascii="宋体" w:hAnsi="宋体" w:cs="宋体"/>
                <w:bCs/>
                <w:sz w:val="24"/>
                <w:szCs w:val="24"/>
              </w:rPr>
            </w:pPr>
          </w:p>
        </w:tc>
        <w:tc>
          <w:tcPr>
            <w:tcW w:w="1133" w:type="dxa"/>
          </w:tcPr>
          <w:p>
            <w:pPr>
              <w:spacing w:line="580" w:lineRule="exact"/>
              <w:jc w:val="center"/>
              <w:rPr>
                <w:rFonts w:ascii="宋体" w:hAnsi="宋体" w:cs="宋体"/>
                <w:bCs/>
                <w:sz w:val="24"/>
                <w:szCs w:val="24"/>
              </w:rPr>
            </w:pPr>
          </w:p>
        </w:tc>
        <w:tc>
          <w:tcPr>
            <w:tcW w:w="824" w:type="dxa"/>
          </w:tcPr>
          <w:p>
            <w:pPr>
              <w:spacing w:line="580" w:lineRule="exact"/>
              <w:jc w:val="center"/>
              <w:rPr>
                <w:rFonts w:ascii="宋体" w:hAnsi="宋体" w:cs="宋体"/>
                <w:bCs/>
                <w:sz w:val="24"/>
                <w:szCs w:val="24"/>
              </w:rPr>
            </w:pPr>
          </w:p>
        </w:tc>
        <w:tc>
          <w:tcPr>
            <w:tcW w:w="810" w:type="dxa"/>
          </w:tcPr>
          <w:p>
            <w:pPr>
              <w:spacing w:line="580" w:lineRule="exact"/>
              <w:jc w:val="center"/>
              <w:rPr>
                <w:rFonts w:ascii="宋体" w:hAnsi="宋体" w:cs="宋体"/>
                <w:bCs/>
                <w:sz w:val="24"/>
                <w:szCs w:val="24"/>
              </w:rPr>
            </w:pPr>
          </w:p>
        </w:tc>
        <w:tc>
          <w:tcPr>
            <w:tcW w:w="3909" w:type="dxa"/>
          </w:tcPr>
          <w:p>
            <w:pPr>
              <w:spacing w:line="58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25" w:type="dxa"/>
          </w:tcPr>
          <w:p>
            <w:pPr>
              <w:spacing w:line="580" w:lineRule="exact"/>
              <w:jc w:val="center"/>
              <w:rPr>
                <w:rFonts w:ascii="宋体" w:hAnsi="宋体" w:cs="宋体"/>
                <w:bCs/>
                <w:sz w:val="24"/>
                <w:szCs w:val="24"/>
              </w:rPr>
            </w:pPr>
          </w:p>
        </w:tc>
        <w:tc>
          <w:tcPr>
            <w:tcW w:w="1858" w:type="dxa"/>
          </w:tcPr>
          <w:p>
            <w:pPr>
              <w:spacing w:line="580" w:lineRule="exact"/>
              <w:jc w:val="center"/>
              <w:rPr>
                <w:rFonts w:ascii="宋体" w:hAnsi="宋体" w:cs="宋体"/>
                <w:bCs/>
                <w:sz w:val="24"/>
                <w:szCs w:val="24"/>
              </w:rPr>
            </w:pPr>
          </w:p>
        </w:tc>
        <w:tc>
          <w:tcPr>
            <w:tcW w:w="1133" w:type="dxa"/>
          </w:tcPr>
          <w:p>
            <w:pPr>
              <w:spacing w:line="580" w:lineRule="exact"/>
              <w:jc w:val="center"/>
              <w:rPr>
                <w:rFonts w:ascii="宋体" w:hAnsi="宋体" w:cs="宋体"/>
                <w:bCs/>
                <w:sz w:val="24"/>
                <w:szCs w:val="24"/>
              </w:rPr>
            </w:pPr>
          </w:p>
        </w:tc>
        <w:tc>
          <w:tcPr>
            <w:tcW w:w="824" w:type="dxa"/>
          </w:tcPr>
          <w:p>
            <w:pPr>
              <w:spacing w:line="580" w:lineRule="exact"/>
              <w:jc w:val="center"/>
              <w:rPr>
                <w:rFonts w:ascii="宋体" w:hAnsi="宋体" w:cs="宋体"/>
                <w:bCs/>
                <w:sz w:val="24"/>
                <w:szCs w:val="24"/>
              </w:rPr>
            </w:pPr>
          </w:p>
        </w:tc>
        <w:tc>
          <w:tcPr>
            <w:tcW w:w="810" w:type="dxa"/>
          </w:tcPr>
          <w:p>
            <w:pPr>
              <w:spacing w:line="580" w:lineRule="exact"/>
              <w:jc w:val="center"/>
              <w:rPr>
                <w:rFonts w:ascii="宋体" w:hAnsi="宋体" w:cs="宋体"/>
                <w:bCs/>
                <w:sz w:val="24"/>
                <w:szCs w:val="24"/>
              </w:rPr>
            </w:pPr>
          </w:p>
        </w:tc>
        <w:tc>
          <w:tcPr>
            <w:tcW w:w="3909" w:type="dxa"/>
          </w:tcPr>
          <w:p>
            <w:pPr>
              <w:spacing w:line="58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25" w:type="dxa"/>
          </w:tcPr>
          <w:p>
            <w:pPr>
              <w:spacing w:line="580" w:lineRule="exact"/>
              <w:jc w:val="center"/>
              <w:rPr>
                <w:rFonts w:ascii="宋体" w:hAnsi="宋体" w:cs="宋体"/>
                <w:bCs/>
                <w:sz w:val="24"/>
                <w:szCs w:val="24"/>
              </w:rPr>
            </w:pPr>
          </w:p>
        </w:tc>
        <w:tc>
          <w:tcPr>
            <w:tcW w:w="1858" w:type="dxa"/>
          </w:tcPr>
          <w:p>
            <w:pPr>
              <w:spacing w:line="580" w:lineRule="exact"/>
              <w:jc w:val="center"/>
              <w:rPr>
                <w:rFonts w:ascii="宋体" w:hAnsi="宋体" w:cs="宋体"/>
                <w:bCs/>
                <w:sz w:val="24"/>
                <w:szCs w:val="24"/>
              </w:rPr>
            </w:pPr>
          </w:p>
        </w:tc>
        <w:tc>
          <w:tcPr>
            <w:tcW w:w="1133" w:type="dxa"/>
          </w:tcPr>
          <w:p>
            <w:pPr>
              <w:spacing w:line="580" w:lineRule="exact"/>
              <w:jc w:val="center"/>
              <w:rPr>
                <w:rFonts w:ascii="宋体" w:hAnsi="宋体" w:cs="宋体"/>
                <w:bCs/>
                <w:sz w:val="24"/>
                <w:szCs w:val="24"/>
              </w:rPr>
            </w:pPr>
          </w:p>
        </w:tc>
        <w:tc>
          <w:tcPr>
            <w:tcW w:w="824" w:type="dxa"/>
          </w:tcPr>
          <w:p>
            <w:pPr>
              <w:spacing w:line="580" w:lineRule="exact"/>
              <w:jc w:val="center"/>
              <w:rPr>
                <w:rFonts w:ascii="宋体" w:hAnsi="宋体" w:cs="宋体"/>
                <w:bCs/>
                <w:sz w:val="24"/>
                <w:szCs w:val="24"/>
              </w:rPr>
            </w:pPr>
          </w:p>
        </w:tc>
        <w:tc>
          <w:tcPr>
            <w:tcW w:w="810" w:type="dxa"/>
          </w:tcPr>
          <w:p>
            <w:pPr>
              <w:spacing w:line="580" w:lineRule="exact"/>
              <w:jc w:val="center"/>
              <w:rPr>
                <w:rFonts w:ascii="宋体" w:hAnsi="宋体" w:cs="宋体"/>
                <w:bCs/>
                <w:sz w:val="24"/>
                <w:szCs w:val="24"/>
              </w:rPr>
            </w:pPr>
          </w:p>
        </w:tc>
        <w:tc>
          <w:tcPr>
            <w:tcW w:w="3909" w:type="dxa"/>
          </w:tcPr>
          <w:p>
            <w:pPr>
              <w:spacing w:line="58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5" w:type="dxa"/>
          </w:tcPr>
          <w:p>
            <w:pPr>
              <w:spacing w:line="580" w:lineRule="exact"/>
              <w:jc w:val="center"/>
              <w:rPr>
                <w:rFonts w:ascii="宋体" w:hAnsi="宋体" w:cs="宋体"/>
                <w:bCs/>
                <w:sz w:val="24"/>
                <w:szCs w:val="24"/>
              </w:rPr>
            </w:pPr>
          </w:p>
        </w:tc>
        <w:tc>
          <w:tcPr>
            <w:tcW w:w="1858" w:type="dxa"/>
          </w:tcPr>
          <w:p>
            <w:pPr>
              <w:spacing w:line="580" w:lineRule="exact"/>
              <w:jc w:val="center"/>
              <w:rPr>
                <w:rFonts w:ascii="宋体" w:hAnsi="宋体" w:cs="宋体"/>
                <w:bCs/>
                <w:sz w:val="24"/>
                <w:szCs w:val="24"/>
              </w:rPr>
            </w:pPr>
          </w:p>
        </w:tc>
        <w:tc>
          <w:tcPr>
            <w:tcW w:w="1133" w:type="dxa"/>
          </w:tcPr>
          <w:p>
            <w:pPr>
              <w:spacing w:line="580" w:lineRule="exact"/>
              <w:jc w:val="center"/>
              <w:rPr>
                <w:rFonts w:ascii="宋体" w:hAnsi="宋体" w:cs="宋体"/>
                <w:bCs/>
                <w:sz w:val="24"/>
                <w:szCs w:val="24"/>
              </w:rPr>
            </w:pPr>
          </w:p>
        </w:tc>
        <w:tc>
          <w:tcPr>
            <w:tcW w:w="824" w:type="dxa"/>
          </w:tcPr>
          <w:p>
            <w:pPr>
              <w:spacing w:line="580" w:lineRule="exact"/>
              <w:jc w:val="center"/>
              <w:rPr>
                <w:rFonts w:ascii="宋体" w:hAnsi="宋体" w:cs="宋体"/>
                <w:bCs/>
                <w:sz w:val="24"/>
                <w:szCs w:val="24"/>
              </w:rPr>
            </w:pPr>
          </w:p>
        </w:tc>
        <w:tc>
          <w:tcPr>
            <w:tcW w:w="810" w:type="dxa"/>
          </w:tcPr>
          <w:p>
            <w:pPr>
              <w:spacing w:line="580" w:lineRule="exact"/>
              <w:jc w:val="center"/>
              <w:rPr>
                <w:rFonts w:ascii="宋体" w:hAnsi="宋体" w:cs="宋体"/>
                <w:bCs/>
                <w:sz w:val="24"/>
                <w:szCs w:val="24"/>
              </w:rPr>
            </w:pPr>
          </w:p>
        </w:tc>
        <w:tc>
          <w:tcPr>
            <w:tcW w:w="3909" w:type="dxa"/>
          </w:tcPr>
          <w:p>
            <w:pPr>
              <w:spacing w:line="58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825" w:type="dxa"/>
          </w:tcPr>
          <w:p>
            <w:pPr>
              <w:spacing w:line="580" w:lineRule="exact"/>
              <w:jc w:val="center"/>
              <w:rPr>
                <w:rFonts w:ascii="宋体" w:hAnsi="宋体" w:cs="宋体"/>
                <w:bCs/>
                <w:sz w:val="24"/>
                <w:szCs w:val="24"/>
              </w:rPr>
            </w:pPr>
          </w:p>
        </w:tc>
        <w:tc>
          <w:tcPr>
            <w:tcW w:w="1858" w:type="dxa"/>
          </w:tcPr>
          <w:p>
            <w:pPr>
              <w:spacing w:line="580" w:lineRule="exact"/>
              <w:jc w:val="center"/>
              <w:rPr>
                <w:rFonts w:ascii="宋体" w:hAnsi="宋体" w:cs="宋体"/>
                <w:bCs/>
                <w:sz w:val="24"/>
                <w:szCs w:val="24"/>
              </w:rPr>
            </w:pPr>
          </w:p>
        </w:tc>
        <w:tc>
          <w:tcPr>
            <w:tcW w:w="1133" w:type="dxa"/>
          </w:tcPr>
          <w:p>
            <w:pPr>
              <w:spacing w:line="580" w:lineRule="exact"/>
              <w:jc w:val="center"/>
              <w:rPr>
                <w:rFonts w:ascii="宋体" w:hAnsi="宋体" w:cs="宋体"/>
                <w:bCs/>
                <w:sz w:val="24"/>
                <w:szCs w:val="24"/>
              </w:rPr>
            </w:pPr>
          </w:p>
        </w:tc>
        <w:tc>
          <w:tcPr>
            <w:tcW w:w="824" w:type="dxa"/>
          </w:tcPr>
          <w:p>
            <w:pPr>
              <w:spacing w:line="580" w:lineRule="exact"/>
              <w:jc w:val="center"/>
              <w:rPr>
                <w:rFonts w:ascii="宋体" w:hAnsi="宋体" w:cs="宋体"/>
                <w:bCs/>
                <w:sz w:val="24"/>
                <w:szCs w:val="24"/>
              </w:rPr>
            </w:pPr>
          </w:p>
        </w:tc>
        <w:tc>
          <w:tcPr>
            <w:tcW w:w="810" w:type="dxa"/>
          </w:tcPr>
          <w:p>
            <w:pPr>
              <w:spacing w:line="580" w:lineRule="exact"/>
              <w:jc w:val="center"/>
              <w:rPr>
                <w:rFonts w:ascii="宋体" w:hAnsi="宋体" w:cs="宋体"/>
                <w:bCs/>
                <w:sz w:val="24"/>
                <w:szCs w:val="24"/>
              </w:rPr>
            </w:pPr>
          </w:p>
        </w:tc>
        <w:tc>
          <w:tcPr>
            <w:tcW w:w="3909" w:type="dxa"/>
          </w:tcPr>
          <w:p>
            <w:pPr>
              <w:spacing w:line="58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25" w:type="dxa"/>
          </w:tcPr>
          <w:p>
            <w:pPr>
              <w:spacing w:line="580" w:lineRule="exact"/>
              <w:jc w:val="center"/>
              <w:rPr>
                <w:rFonts w:ascii="宋体" w:hAnsi="宋体" w:cs="宋体"/>
                <w:bCs/>
                <w:sz w:val="24"/>
                <w:szCs w:val="24"/>
              </w:rPr>
            </w:pPr>
          </w:p>
        </w:tc>
        <w:tc>
          <w:tcPr>
            <w:tcW w:w="1858" w:type="dxa"/>
          </w:tcPr>
          <w:p>
            <w:pPr>
              <w:spacing w:line="580" w:lineRule="exact"/>
              <w:jc w:val="center"/>
              <w:rPr>
                <w:rFonts w:ascii="宋体" w:hAnsi="宋体" w:cs="宋体"/>
                <w:bCs/>
                <w:sz w:val="24"/>
                <w:szCs w:val="24"/>
              </w:rPr>
            </w:pPr>
          </w:p>
        </w:tc>
        <w:tc>
          <w:tcPr>
            <w:tcW w:w="1133" w:type="dxa"/>
          </w:tcPr>
          <w:p>
            <w:pPr>
              <w:spacing w:line="580" w:lineRule="exact"/>
              <w:jc w:val="center"/>
              <w:rPr>
                <w:rFonts w:ascii="宋体" w:hAnsi="宋体" w:cs="宋体"/>
                <w:bCs/>
                <w:sz w:val="24"/>
                <w:szCs w:val="24"/>
              </w:rPr>
            </w:pPr>
          </w:p>
        </w:tc>
        <w:tc>
          <w:tcPr>
            <w:tcW w:w="824" w:type="dxa"/>
          </w:tcPr>
          <w:p>
            <w:pPr>
              <w:spacing w:line="580" w:lineRule="exact"/>
              <w:jc w:val="center"/>
              <w:rPr>
                <w:rFonts w:ascii="宋体" w:hAnsi="宋体" w:cs="宋体"/>
                <w:bCs/>
                <w:sz w:val="24"/>
                <w:szCs w:val="24"/>
              </w:rPr>
            </w:pPr>
          </w:p>
        </w:tc>
        <w:tc>
          <w:tcPr>
            <w:tcW w:w="810" w:type="dxa"/>
          </w:tcPr>
          <w:p>
            <w:pPr>
              <w:spacing w:line="580" w:lineRule="exact"/>
              <w:jc w:val="center"/>
              <w:rPr>
                <w:rFonts w:ascii="宋体" w:hAnsi="宋体" w:cs="宋体"/>
                <w:bCs/>
                <w:sz w:val="24"/>
                <w:szCs w:val="24"/>
              </w:rPr>
            </w:pPr>
          </w:p>
        </w:tc>
        <w:tc>
          <w:tcPr>
            <w:tcW w:w="3909" w:type="dxa"/>
          </w:tcPr>
          <w:p>
            <w:pPr>
              <w:spacing w:line="580" w:lineRule="exact"/>
              <w:jc w:val="center"/>
              <w:rPr>
                <w:rFonts w:ascii="宋体" w:hAnsi="宋体" w:cs="宋体"/>
                <w:bCs/>
                <w:sz w:val="24"/>
                <w:szCs w:val="24"/>
              </w:rPr>
            </w:pPr>
          </w:p>
        </w:tc>
      </w:tr>
    </w:tbl>
    <w:p>
      <w:pPr>
        <w:spacing w:line="600" w:lineRule="exact"/>
        <w:ind w:left="540" w:firstLine="30"/>
        <w:jc w:val="right"/>
        <w:rPr>
          <w:rFonts w:ascii="宋体" w:hAnsi="宋体" w:cs="宋体"/>
          <w:sz w:val="24"/>
          <w:szCs w:val="24"/>
        </w:rPr>
      </w:pPr>
      <w:r>
        <w:rPr>
          <w:rFonts w:hint="eastAsia" w:ascii="宋体" w:hAnsi="宋体" w:cs="宋体"/>
          <w:sz w:val="24"/>
          <w:szCs w:val="24"/>
        </w:rPr>
        <w:t xml:space="preserve">        投标方名称：</w:t>
      </w:r>
      <w:r>
        <w:rPr>
          <w:rFonts w:hint="eastAsia" w:ascii="宋体" w:hAnsi="宋体" w:cs="宋体"/>
          <w:sz w:val="24"/>
          <w:szCs w:val="24"/>
          <w:u w:val="single"/>
        </w:rPr>
        <w:t xml:space="preserve">                    </w:t>
      </w:r>
      <w:r>
        <w:rPr>
          <w:rFonts w:hint="eastAsia" w:ascii="宋体" w:hAnsi="宋体" w:cs="宋体"/>
          <w:sz w:val="24"/>
          <w:szCs w:val="24"/>
        </w:rPr>
        <w:t>（公章）</w:t>
      </w:r>
    </w:p>
    <w:p>
      <w:pPr>
        <w:spacing w:line="600" w:lineRule="exact"/>
        <w:ind w:left="540" w:leftChars="257" w:firstLine="868" w:firstLineChars="362"/>
        <w:jc w:val="left"/>
        <w:rPr>
          <w:rFonts w:ascii="宋体" w:hAnsi="宋体" w:cs="宋体"/>
          <w:sz w:val="24"/>
          <w:szCs w:val="24"/>
        </w:rPr>
      </w:pPr>
      <w:r>
        <w:rPr>
          <w:rFonts w:hint="eastAsia" w:ascii="宋体" w:hAnsi="宋体" w:cs="宋体"/>
          <w:sz w:val="24"/>
          <w:szCs w:val="24"/>
        </w:rPr>
        <w:t>法定代表人（负责人）或其授权代表签字或盖章：</w:t>
      </w:r>
      <w:r>
        <w:rPr>
          <w:rFonts w:hint="eastAsia" w:ascii="宋体" w:hAnsi="宋体" w:cs="宋体"/>
          <w:sz w:val="24"/>
          <w:szCs w:val="24"/>
          <w:u w:val="single"/>
        </w:rPr>
        <w:t xml:space="preserve">                      </w:t>
      </w:r>
    </w:p>
    <w:p>
      <w:pPr>
        <w:ind w:left="540"/>
        <w:jc w:val="right"/>
        <w:rPr>
          <w:rFonts w:ascii="宋体" w:hAnsi="宋体" w:cs="宋体"/>
          <w:b/>
          <w:sz w:val="24"/>
          <w:szCs w:val="24"/>
        </w:rPr>
      </w:pPr>
      <w:r>
        <w:rPr>
          <w:rFonts w:hint="eastAsia" w:ascii="宋体" w:hAnsi="宋体" w:cs="宋体"/>
          <w:sz w:val="24"/>
          <w:szCs w:val="24"/>
        </w:rPr>
        <w:t xml:space="preserve">        投标日期：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80" w:lineRule="auto"/>
        <w:jc w:val="left"/>
        <w:rPr>
          <w:rFonts w:ascii="宋体" w:hAnsi="宋体" w:cs="宋体"/>
          <w:b/>
          <w:bCs/>
          <w:sz w:val="24"/>
          <w:szCs w:val="24"/>
        </w:rPr>
      </w:pPr>
      <w:r>
        <w:rPr>
          <w:rFonts w:hint="eastAsia" w:ascii="宋体" w:hAnsi="宋体" w:cs="宋体"/>
          <w:sz w:val="24"/>
          <w:szCs w:val="24"/>
        </w:rPr>
        <w:br w:type="page"/>
      </w:r>
      <w:r>
        <w:rPr>
          <w:rFonts w:hint="eastAsia" w:ascii="宋体" w:hAnsi="宋体" w:cs="宋体"/>
          <w:b/>
          <w:bCs/>
          <w:sz w:val="24"/>
          <w:szCs w:val="24"/>
        </w:rPr>
        <w:t>附件七</w:t>
      </w:r>
    </w:p>
    <w:p>
      <w:pPr>
        <w:jc w:val="center"/>
        <w:rPr>
          <w:rFonts w:ascii="宋体" w:hAnsi="宋体" w:cs="宋体"/>
          <w:b/>
          <w:sz w:val="30"/>
          <w:szCs w:val="30"/>
        </w:rPr>
      </w:pPr>
      <w:r>
        <w:rPr>
          <w:rFonts w:hint="eastAsia" w:ascii="宋体" w:hAnsi="宋体" w:cs="宋体"/>
          <w:b/>
          <w:sz w:val="30"/>
          <w:szCs w:val="30"/>
        </w:rPr>
        <w:t>类似项目业绩表</w:t>
      </w:r>
    </w:p>
    <w:p>
      <w:pPr>
        <w:spacing w:line="560" w:lineRule="exact"/>
        <w:jc w:val="left"/>
        <w:rPr>
          <w:rFonts w:ascii="宋体" w:hAnsi="宋体" w:cs="宋体"/>
          <w:b/>
          <w:sz w:val="24"/>
          <w:szCs w:val="24"/>
        </w:rPr>
      </w:pPr>
    </w:p>
    <w:p>
      <w:pPr>
        <w:spacing w:line="560" w:lineRule="exact"/>
        <w:jc w:val="left"/>
        <w:rPr>
          <w:rFonts w:ascii="宋体" w:hAnsi="宋体" w:cs="宋体"/>
          <w:b/>
          <w:sz w:val="24"/>
          <w:szCs w:val="24"/>
        </w:rPr>
      </w:pPr>
      <w:r>
        <w:rPr>
          <w:rFonts w:hint="eastAsia" w:ascii="宋体" w:hAnsi="宋体" w:cs="宋体"/>
          <w:b/>
          <w:sz w:val="24"/>
          <w:szCs w:val="24"/>
        </w:rPr>
        <w:t>项目名称：</w:t>
      </w:r>
      <w:r>
        <w:rPr>
          <w:rFonts w:hint="eastAsia" w:ascii="宋体" w:hAnsi="宋体" w:cs="宋体"/>
          <w:b/>
          <w:sz w:val="24"/>
          <w:szCs w:val="24"/>
          <w:u w:val="single"/>
        </w:rPr>
        <w:t xml:space="preserve">                                     </w:t>
      </w:r>
    </w:p>
    <w:p>
      <w:pPr>
        <w:spacing w:line="580" w:lineRule="exact"/>
        <w:jc w:val="left"/>
        <w:rPr>
          <w:rFonts w:ascii="宋体" w:hAnsi="宋体" w:cs="宋体"/>
          <w:b/>
          <w:sz w:val="24"/>
          <w:szCs w:val="24"/>
        </w:rPr>
      </w:pPr>
      <w:r>
        <w:rPr>
          <w:rFonts w:hint="eastAsia" w:ascii="宋体" w:hAnsi="宋体" w:cs="宋体"/>
          <w:b/>
          <w:sz w:val="24"/>
          <w:szCs w:val="24"/>
        </w:rPr>
        <w:t>招标编号：</w:t>
      </w:r>
      <w:r>
        <w:rPr>
          <w:rFonts w:hint="eastAsia" w:ascii="宋体" w:hAnsi="宋体" w:cs="宋体"/>
          <w:b/>
          <w:sz w:val="24"/>
          <w:szCs w:val="24"/>
          <w:u w:val="single"/>
        </w:rPr>
        <w:t xml:space="preserve">                   </w:t>
      </w:r>
      <w:r>
        <w:rPr>
          <w:rFonts w:hint="eastAsia" w:ascii="宋体" w:hAnsi="宋体" w:cs="宋体"/>
          <w:b/>
          <w:sz w:val="24"/>
          <w:szCs w:val="24"/>
        </w:rPr>
        <w:t xml:space="preserve"> 标项：</w:t>
      </w:r>
      <w:r>
        <w:rPr>
          <w:rFonts w:hint="eastAsia" w:ascii="宋体" w:hAnsi="宋体" w:cs="宋体"/>
          <w:b/>
          <w:sz w:val="24"/>
          <w:szCs w:val="24"/>
          <w:u w:val="single"/>
        </w:rPr>
        <w:t xml:space="preserve">           </w:t>
      </w:r>
      <w:r>
        <w:rPr>
          <w:rFonts w:hint="eastAsia" w:ascii="宋体" w:hAnsi="宋体" w:cs="宋体"/>
          <w:b/>
          <w:sz w:val="24"/>
          <w:szCs w:val="24"/>
        </w:rPr>
        <w:t xml:space="preserve"> </w:t>
      </w:r>
      <w:r>
        <w:rPr>
          <w:rFonts w:hint="eastAsia" w:ascii="宋体" w:hAnsi="宋体" w:cs="宋体"/>
          <w:sz w:val="24"/>
          <w:szCs w:val="24"/>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1418"/>
        <w:gridCol w:w="2055"/>
        <w:gridCol w:w="1604"/>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项目名称</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项目时间</w:t>
            </w:r>
          </w:p>
          <w:p>
            <w:pPr>
              <w:jc w:val="center"/>
              <w:rPr>
                <w:rFonts w:ascii="宋体" w:hAnsi="宋体" w:cs="宋体"/>
                <w:sz w:val="24"/>
                <w:szCs w:val="24"/>
              </w:rPr>
            </w:pPr>
            <w:r>
              <w:rPr>
                <w:rFonts w:hint="eastAsia" w:ascii="宋体" w:hAnsi="宋体" w:cs="宋体"/>
                <w:sz w:val="24"/>
                <w:szCs w:val="24"/>
              </w:rPr>
              <w:t>年/月</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业主单位名称、地址及联系方式</w:t>
            </w:r>
          </w:p>
        </w:tc>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项目合同金额（单位： 万元）</w:t>
            </w:r>
          </w:p>
        </w:tc>
        <w:tc>
          <w:tcPr>
            <w:tcW w:w="1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17"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r>
              <w:rPr>
                <w:rFonts w:hint="eastAsia" w:ascii="宋体" w:hAnsi="宋体" w:cs="宋体"/>
                <w:sz w:val="24"/>
                <w:szCs w:val="24"/>
              </w:rPr>
              <w:t>1</w:t>
            </w: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2055"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604"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604"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17"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r>
              <w:rPr>
                <w:rFonts w:hint="eastAsia" w:ascii="宋体" w:hAnsi="宋体" w:cs="宋体"/>
                <w:sz w:val="24"/>
                <w:szCs w:val="24"/>
              </w:rPr>
              <w:t>2</w:t>
            </w: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2055"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604"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604"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17"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r>
              <w:rPr>
                <w:rFonts w:hint="eastAsia" w:ascii="宋体" w:hAnsi="宋体" w:cs="宋体"/>
                <w:sz w:val="24"/>
                <w:szCs w:val="24"/>
              </w:rPr>
              <w:t>3</w:t>
            </w: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2055"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604"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604"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17"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r>
              <w:rPr>
                <w:rFonts w:hint="eastAsia" w:ascii="宋体" w:hAnsi="宋体" w:cs="宋体"/>
                <w:sz w:val="24"/>
                <w:szCs w:val="24"/>
              </w:rPr>
              <w:t>4</w:t>
            </w: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2055"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604"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604"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17"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r>
              <w:rPr>
                <w:rFonts w:hint="eastAsia" w:ascii="宋体" w:hAnsi="宋体" w:cs="宋体"/>
                <w:sz w:val="24"/>
                <w:szCs w:val="24"/>
              </w:rPr>
              <w:t>5</w:t>
            </w: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2055"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604"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604"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17"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r>
              <w:rPr>
                <w:rFonts w:hint="eastAsia" w:ascii="宋体" w:hAnsi="宋体" w:cs="宋体"/>
                <w:sz w:val="24"/>
                <w:szCs w:val="24"/>
              </w:rPr>
              <w:t>6</w:t>
            </w:r>
          </w:p>
        </w:tc>
        <w:tc>
          <w:tcPr>
            <w:tcW w:w="2126"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2055"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604"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c>
          <w:tcPr>
            <w:tcW w:w="1604" w:type="dxa"/>
            <w:tcBorders>
              <w:top w:val="single" w:color="auto" w:sz="4" w:space="0"/>
              <w:left w:val="single" w:color="auto" w:sz="4" w:space="0"/>
              <w:bottom w:val="single" w:color="auto" w:sz="4" w:space="0"/>
              <w:right w:val="single" w:color="auto" w:sz="4" w:space="0"/>
            </w:tcBorders>
          </w:tcPr>
          <w:p>
            <w:pPr>
              <w:rPr>
                <w:rFonts w:ascii="宋体" w:hAnsi="宋体" w:cs="宋体"/>
                <w:sz w:val="24"/>
                <w:szCs w:val="24"/>
              </w:rPr>
            </w:pPr>
          </w:p>
        </w:tc>
      </w:tr>
    </w:tbl>
    <w:p>
      <w:pPr>
        <w:rPr>
          <w:rFonts w:ascii="宋体" w:hAnsi="宋体" w:cs="宋体"/>
          <w:sz w:val="24"/>
          <w:szCs w:val="24"/>
        </w:rPr>
      </w:pPr>
    </w:p>
    <w:p>
      <w:pPr>
        <w:spacing w:line="600" w:lineRule="exact"/>
        <w:ind w:left="540" w:firstLine="30"/>
        <w:jc w:val="right"/>
        <w:rPr>
          <w:rFonts w:ascii="宋体" w:hAnsi="宋体" w:cs="宋体"/>
          <w:sz w:val="24"/>
          <w:szCs w:val="24"/>
        </w:rPr>
      </w:pPr>
      <w:r>
        <w:rPr>
          <w:rFonts w:hint="eastAsia" w:ascii="宋体" w:hAnsi="宋体" w:cs="宋体"/>
          <w:sz w:val="24"/>
          <w:szCs w:val="24"/>
        </w:rPr>
        <w:t xml:space="preserve">        投标方名称：</w:t>
      </w:r>
      <w:r>
        <w:rPr>
          <w:rFonts w:hint="eastAsia" w:ascii="宋体" w:hAnsi="宋体" w:cs="宋体"/>
          <w:sz w:val="24"/>
          <w:szCs w:val="24"/>
          <w:u w:val="single"/>
        </w:rPr>
        <w:t xml:space="preserve">                    </w:t>
      </w:r>
      <w:r>
        <w:rPr>
          <w:rFonts w:hint="eastAsia" w:ascii="宋体" w:hAnsi="宋体" w:cs="宋体"/>
          <w:sz w:val="24"/>
          <w:szCs w:val="24"/>
        </w:rPr>
        <w:t>（公章）</w:t>
      </w:r>
    </w:p>
    <w:p>
      <w:pPr>
        <w:spacing w:line="600" w:lineRule="exact"/>
        <w:ind w:left="540" w:leftChars="257" w:firstLine="868" w:firstLineChars="362"/>
        <w:jc w:val="left"/>
        <w:rPr>
          <w:rFonts w:ascii="宋体" w:hAnsi="宋体" w:cs="宋体"/>
          <w:sz w:val="24"/>
          <w:szCs w:val="24"/>
        </w:rPr>
      </w:pPr>
      <w:r>
        <w:rPr>
          <w:rFonts w:hint="eastAsia" w:ascii="宋体" w:hAnsi="宋体" w:cs="宋体"/>
          <w:sz w:val="24"/>
          <w:szCs w:val="24"/>
        </w:rPr>
        <w:t>法定代表人（负责人）或其授权代表签字或盖章：</w:t>
      </w:r>
      <w:r>
        <w:rPr>
          <w:rFonts w:hint="eastAsia" w:ascii="宋体" w:hAnsi="宋体" w:cs="宋体"/>
          <w:sz w:val="24"/>
          <w:szCs w:val="24"/>
          <w:u w:val="single"/>
        </w:rPr>
        <w:t xml:space="preserve">                      </w:t>
      </w:r>
    </w:p>
    <w:p>
      <w:pPr>
        <w:ind w:left="540"/>
        <w:jc w:val="right"/>
        <w:rPr>
          <w:rFonts w:ascii="宋体" w:hAnsi="宋体" w:cs="宋体"/>
          <w:b/>
          <w:sz w:val="24"/>
          <w:szCs w:val="24"/>
        </w:rPr>
      </w:pPr>
      <w:r>
        <w:rPr>
          <w:rFonts w:hint="eastAsia" w:ascii="宋体" w:hAnsi="宋体" w:cs="宋体"/>
          <w:sz w:val="24"/>
          <w:szCs w:val="24"/>
        </w:rPr>
        <w:t xml:space="preserve">        投标日期：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注：</w:t>
      </w:r>
    </w:p>
    <w:p>
      <w:pPr>
        <w:ind w:left="480"/>
        <w:rPr>
          <w:rFonts w:ascii="宋体" w:hAnsi="宋体" w:cs="宋体"/>
          <w:sz w:val="24"/>
          <w:szCs w:val="24"/>
        </w:rPr>
      </w:pPr>
      <w:r>
        <w:rPr>
          <w:rFonts w:hint="eastAsia" w:ascii="宋体" w:hAnsi="宋体" w:cs="宋体"/>
          <w:sz w:val="24"/>
          <w:szCs w:val="24"/>
        </w:rPr>
        <w:t>1、表中的内容必须填写完整并应简明扼要。</w:t>
      </w:r>
    </w:p>
    <w:p>
      <w:pPr>
        <w:ind w:left="480"/>
        <w:rPr>
          <w:rFonts w:ascii="宋体" w:hAnsi="宋体" w:cs="宋体"/>
          <w:sz w:val="24"/>
          <w:szCs w:val="24"/>
        </w:rPr>
      </w:pPr>
      <w:r>
        <w:rPr>
          <w:rFonts w:hint="eastAsia" w:ascii="宋体" w:hAnsi="宋体" w:cs="宋体"/>
          <w:sz w:val="24"/>
          <w:szCs w:val="24"/>
        </w:rPr>
        <w:t>2、投标人认为应当说明而本表中无相应栏目的，请在“备注”一栏中说明。</w:t>
      </w:r>
    </w:p>
    <w:p>
      <w:pPr>
        <w:ind w:left="480"/>
        <w:rPr>
          <w:rFonts w:ascii="宋体" w:hAnsi="宋体" w:cs="宋体"/>
          <w:sz w:val="24"/>
          <w:szCs w:val="24"/>
        </w:rPr>
      </w:pPr>
      <w:r>
        <w:rPr>
          <w:rFonts w:hint="eastAsia" w:ascii="宋体" w:hAnsi="宋体" w:cs="宋体"/>
          <w:sz w:val="24"/>
          <w:szCs w:val="24"/>
        </w:rPr>
        <w:t>3、表中列出的项目必须提交合同复印件并加盖公章。</w:t>
      </w:r>
    </w:p>
    <w:p>
      <w:pPr>
        <w:rPr>
          <w:rStyle w:val="90"/>
          <w:rFonts w:ascii="宋体" w:hAnsi="宋体" w:cs="仿宋_GB2312"/>
          <w:szCs w:val="24"/>
        </w:rPr>
      </w:pPr>
      <w:r>
        <w:rPr>
          <w:rFonts w:hint="eastAsia" w:ascii="宋体" w:hAnsi="宋体" w:cs="宋体"/>
          <w:sz w:val="24"/>
          <w:szCs w:val="24"/>
        </w:rPr>
        <w:br w:type="page"/>
      </w:r>
      <w:r>
        <w:rPr>
          <w:rStyle w:val="90"/>
          <w:rFonts w:hint="eastAsia" w:ascii="宋体" w:hAnsi="宋体" w:cs="仿宋_GB2312"/>
          <w:szCs w:val="24"/>
        </w:rPr>
        <w:t>附件八</w:t>
      </w:r>
    </w:p>
    <w:p>
      <w:pPr>
        <w:jc w:val="center"/>
        <w:rPr>
          <w:rFonts w:ascii="宋体" w:hAnsi="宋体"/>
          <w:b/>
          <w:sz w:val="32"/>
          <w:szCs w:val="32"/>
        </w:rPr>
      </w:pPr>
    </w:p>
    <w:p>
      <w:pPr>
        <w:jc w:val="center"/>
        <w:rPr>
          <w:rFonts w:ascii="宋体" w:hAnsi="宋体" w:cs="仿宋_GB2312"/>
          <w:b/>
          <w:sz w:val="30"/>
          <w:szCs w:val="30"/>
        </w:rPr>
      </w:pPr>
      <w:r>
        <w:rPr>
          <w:rFonts w:hint="eastAsia" w:ascii="宋体" w:hAnsi="宋体" w:cs="仿宋_GB2312"/>
          <w:b/>
          <w:sz w:val="30"/>
          <w:szCs w:val="30"/>
        </w:rPr>
        <w:t>开标一览表</w:t>
      </w:r>
    </w:p>
    <w:p>
      <w:pPr>
        <w:spacing w:line="460" w:lineRule="exact"/>
        <w:rPr>
          <w:rFonts w:ascii="宋体" w:hAnsi="宋体"/>
        </w:rPr>
      </w:pPr>
    </w:p>
    <w:p>
      <w:pPr>
        <w:spacing w:line="460" w:lineRule="exact"/>
        <w:rPr>
          <w:rFonts w:ascii="宋体" w:hAnsi="宋体"/>
          <w:u w:val="single"/>
        </w:rPr>
      </w:pPr>
      <w:r>
        <w:rPr>
          <w:rFonts w:ascii="宋体" w:hAnsi="宋体"/>
        </w:rPr>
        <w:t>项目名称：</w:t>
      </w:r>
      <w:r>
        <w:rPr>
          <w:rFonts w:ascii="宋体" w:hAnsi="宋体"/>
          <w:u w:val="single"/>
        </w:rPr>
        <w:t xml:space="preserve"> </w:t>
      </w:r>
      <w:r>
        <w:rPr>
          <w:rFonts w:hint="eastAsia" w:ascii="宋体" w:hAnsi="宋体"/>
          <w:u w:val="single"/>
        </w:rPr>
        <w:t>慈溪市慈通（掌起）创新产业区配套基础设施一期工程</w:t>
      </w:r>
      <w:r>
        <w:rPr>
          <w:rFonts w:hint="eastAsia" w:ascii="宋体" w:hAnsi="宋体"/>
          <w:u w:val="single"/>
          <w:lang w:eastAsia="zh-CN"/>
        </w:rPr>
        <w:t>-交通疏解管理服务采购项目</w:t>
      </w:r>
      <w:r>
        <w:rPr>
          <w:rFonts w:hint="eastAsia" w:ascii="宋体" w:hAnsi="宋体"/>
          <w:u w:val="single"/>
        </w:rPr>
        <w:t xml:space="preserve"> </w:t>
      </w:r>
    </w:p>
    <w:p>
      <w:pPr>
        <w:spacing w:line="460" w:lineRule="exact"/>
        <w:ind w:left="5250" w:hanging="5250" w:hangingChars="2500"/>
        <w:jc w:val="left"/>
        <w:rPr>
          <w:rFonts w:hint="eastAsia" w:ascii="宋体" w:hAnsi="宋体" w:cs="宋体"/>
          <w:b/>
          <w:szCs w:val="21"/>
          <w:u w:val="single"/>
        </w:rPr>
      </w:pPr>
      <w:r>
        <w:rPr>
          <w:rFonts w:ascii="宋体" w:hAnsi="宋体"/>
        </w:rPr>
        <w:t xml:space="preserve">项目编号：           </w:t>
      </w:r>
      <w:r>
        <w:rPr>
          <w:rFonts w:hint="eastAsia" w:ascii="宋体" w:hAnsi="宋体"/>
        </w:rPr>
        <w:t xml:space="preserve">                          </w:t>
      </w:r>
      <w:r>
        <w:rPr>
          <w:rFonts w:ascii="宋体" w:hAnsi="宋体"/>
        </w:rPr>
        <w:t xml:space="preserve">                                                              </w:t>
      </w:r>
      <w:r>
        <w:rPr>
          <w:rFonts w:hint="eastAsia" w:ascii="宋体" w:hAnsi="宋体"/>
        </w:rPr>
        <w:t xml:space="preserve">  </w:t>
      </w:r>
    </w:p>
    <w:p>
      <w:pPr>
        <w:pStyle w:val="2"/>
      </w:pPr>
    </w:p>
    <w:tbl>
      <w:tblPr>
        <w:tblStyle w:val="47"/>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2971"/>
        <w:gridCol w:w="2062"/>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81" w:type="dxa"/>
            <w:noWrap/>
            <w:vAlign w:val="center"/>
          </w:tcPr>
          <w:p>
            <w:pPr>
              <w:tabs>
                <w:tab w:val="left" w:pos="0"/>
              </w:tabs>
              <w:jc w:val="center"/>
              <w:rPr>
                <w:rFonts w:ascii="宋体" w:hAnsi="宋体"/>
                <w:color w:val="auto"/>
                <w:kern w:val="10"/>
                <w:szCs w:val="21"/>
                <w:highlight w:val="none"/>
              </w:rPr>
            </w:pPr>
            <w:r>
              <w:rPr>
                <w:rFonts w:hint="eastAsia" w:ascii="宋体" w:hAnsi="宋体"/>
                <w:color w:val="auto"/>
                <w:kern w:val="10"/>
                <w:szCs w:val="21"/>
                <w:highlight w:val="none"/>
              </w:rPr>
              <w:t>服务内容</w:t>
            </w:r>
          </w:p>
        </w:tc>
        <w:tc>
          <w:tcPr>
            <w:tcW w:w="2971" w:type="dxa"/>
            <w:noWrap/>
            <w:vAlign w:val="center"/>
          </w:tcPr>
          <w:p>
            <w:pPr>
              <w:tabs>
                <w:tab w:val="left" w:pos="0"/>
              </w:tabs>
              <w:jc w:val="center"/>
              <w:rPr>
                <w:rFonts w:ascii="宋体" w:hAnsi="宋体"/>
                <w:color w:val="auto"/>
                <w:kern w:val="10"/>
                <w:szCs w:val="21"/>
                <w:highlight w:val="none"/>
              </w:rPr>
            </w:pPr>
            <w:r>
              <w:rPr>
                <w:rFonts w:hint="eastAsia" w:ascii="宋体" w:hAnsi="宋体"/>
                <w:color w:val="auto"/>
                <w:kern w:val="10"/>
                <w:szCs w:val="21"/>
                <w:highlight w:val="none"/>
              </w:rPr>
              <w:t>服务期限</w:t>
            </w:r>
          </w:p>
        </w:tc>
        <w:tc>
          <w:tcPr>
            <w:tcW w:w="2062" w:type="dxa"/>
            <w:noWrap/>
            <w:vAlign w:val="center"/>
          </w:tcPr>
          <w:p>
            <w:pPr>
              <w:tabs>
                <w:tab w:val="left" w:pos="0"/>
              </w:tabs>
              <w:jc w:val="center"/>
              <w:rPr>
                <w:rFonts w:ascii="宋体" w:hAnsi="宋体"/>
                <w:color w:val="auto"/>
                <w:kern w:val="10"/>
                <w:szCs w:val="21"/>
                <w:highlight w:val="none"/>
              </w:rPr>
            </w:pPr>
            <w:r>
              <w:rPr>
                <w:rFonts w:hint="eastAsia" w:ascii="宋体" w:hAnsi="宋体"/>
                <w:color w:val="auto"/>
                <w:kern w:val="10"/>
                <w:szCs w:val="21"/>
                <w:highlight w:val="none"/>
              </w:rPr>
              <w:t>工时</w:t>
            </w:r>
          </w:p>
        </w:tc>
        <w:tc>
          <w:tcPr>
            <w:tcW w:w="2576" w:type="dxa"/>
            <w:noWrap/>
            <w:vAlign w:val="center"/>
          </w:tcPr>
          <w:p>
            <w:pPr>
              <w:tabs>
                <w:tab w:val="left" w:pos="0"/>
              </w:tabs>
              <w:jc w:val="center"/>
              <w:rPr>
                <w:rFonts w:ascii="宋体" w:hAnsi="宋体" w:cs="宋体"/>
                <w:color w:val="auto"/>
                <w:szCs w:val="21"/>
                <w:highlight w:val="none"/>
              </w:rPr>
            </w:pPr>
            <w:r>
              <w:rPr>
                <w:rFonts w:hint="eastAsia" w:ascii="宋体" w:hAnsi="宋体" w:cs="宋体"/>
                <w:color w:val="auto"/>
                <w:szCs w:val="21"/>
                <w:highlight w:val="none"/>
              </w:rPr>
              <w:t>投标单价（</w:t>
            </w:r>
            <w:r>
              <w:rPr>
                <w:rFonts w:hint="eastAsia" w:ascii="宋体" w:hAnsi="宋体" w:cs="仿宋"/>
                <w:color w:val="auto"/>
                <w:szCs w:val="21"/>
                <w:highlight w:val="none"/>
              </w:rPr>
              <w:t>元/工时</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1781" w:type="dxa"/>
            <w:noWrap/>
            <w:vAlign w:val="center"/>
          </w:tcPr>
          <w:p>
            <w:pPr>
              <w:tabs>
                <w:tab w:val="left" w:pos="0"/>
              </w:tabs>
              <w:jc w:val="center"/>
              <w:rPr>
                <w:rFonts w:ascii="宋体" w:hAnsi="宋体"/>
                <w:color w:val="auto"/>
                <w:kern w:val="10"/>
                <w:szCs w:val="21"/>
                <w:highlight w:val="none"/>
              </w:rPr>
            </w:pPr>
            <w:r>
              <w:rPr>
                <w:rFonts w:hint="eastAsia" w:ascii="宋体" w:hAnsi="宋体" w:cs="宋体"/>
                <w:color w:val="auto"/>
                <w:szCs w:val="21"/>
                <w:highlight w:val="none"/>
              </w:rPr>
              <w:t>交通疏解管理服务</w:t>
            </w:r>
          </w:p>
        </w:tc>
        <w:tc>
          <w:tcPr>
            <w:tcW w:w="2971" w:type="dxa"/>
            <w:noWrap/>
            <w:vAlign w:val="center"/>
          </w:tcPr>
          <w:p>
            <w:pPr>
              <w:spacing w:line="420" w:lineRule="exact"/>
              <w:rPr>
                <w:rFonts w:ascii="宋体" w:hAnsi="宋体"/>
                <w:color w:val="auto"/>
                <w:kern w:val="10"/>
                <w:szCs w:val="21"/>
                <w:highlight w:val="none"/>
              </w:rPr>
            </w:pPr>
            <w:r>
              <w:rPr>
                <w:rFonts w:hint="eastAsia" w:ascii="宋体" w:hAnsi="宋体" w:cs="宋体"/>
                <w:color w:val="auto"/>
                <w:szCs w:val="21"/>
                <w:highlight w:val="none"/>
              </w:rPr>
              <w:t>本项目服务期一年或采购费用达到预算金额，以先达到者为准。服务期满或采购费用达到合同金额后，经采购人考核合格并达到续签条件后，报慈溪市公共资源交易管理办公室备案，合同可续签一年或一次，最多可续签二年或二次。</w:t>
            </w:r>
          </w:p>
        </w:tc>
        <w:tc>
          <w:tcPr>
            <w:tcW w:w="2062" w:type="dxa"/>
            <w:noWrap/>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暂定120工时/日，具体按实结算。</w:t>
            </w:r>
          </w:p>
        </w:tc>
        <w:tc>
          <w:tcPr>
            <w:tcW w:w="2576" w:type="dxa"/>
            <w:noWrap/>
            <w:vAlign w:val="center"/>
          </w:tcPr>
          <w:p>
            <w:pPr>
              <w:spacing w:line="480" w:lineRule="auto"/>
              <w:rPr>
                <w:rFonts w:ascii="宋体" w:hAnsi="宋体" w:cs="仿宋"/>
                <w:color w:val="auto"/>
                <w:szCs w:val="21"/>
                <w:highlight w:val="none"/>
              </w:rPr>
            </w:pPr>
            <w:r>
              <w:rPr>
                <w:rFonts w:hint="eastAsia" w:ascii="宋体" w:hAnsi="宋体" w:cs="仿宋"/>
                <w:color w:val="auto"/>
                <w:szCs w:val="21"/>
                <w:highlight w:val="none"/>
              </w:rPr>
              <w:t>大写：</w:t>
            </w:r>
          </w:p>
          <w:p>
            <w:pPr>
              <w:tabs>
                <w:tab w:val="left" w:pos="0"/>
              </w:tabs>
              <w:spacing w:line="480" w:lineRule="auto"/>
              <w:rPr>
                <w:rFonts w:ascii="宋体" w:hAnsi="宋体"/>
                <w:color w:val="auto"/>
                <w:kern w:val="10"/>
                <w:szCs w:val="21"/>
                <w:highlight w:val="none"/>
              </w:rPr>
            </w:pPr>
            <w:r>
              <w:rPr>
                <w:rFonts w:hint="eastAsia" w:ascii="宋体" w:hAnsi="宋体" w:cs="仿宋"/>
                <w:color w:val="auto"/>
                <w:szCs w:val="21"/>
                <w:highlight w:val="none"/>
              </w:rPr>
              <w:t>小写：</w:t>
            </w:r>
          </w:p>
        </w:tc>
      </w:tr>
    </w:tbl>
    <w:p>
      <w:pPr>
        <w:adjustRightInd w:val="0"/>
        <w:snapToGrid w:val="0"/>
        <w:spacing w:after="120" w:afterLines="50"/>
        <w:rPr>
          <w:rFonts w:ascii="宋体" w:hAnsi="宋体" w:cs="宋体"/>
          <w:szCs w:val="21"/>
        </w:rPr>
      </w:pPr>
    </w:p>
    <w:p>
      <w:pPr>
        <w:spacing w:line="540" w:lineRule="exact"/>
        <w:ind w:left="539" w:firstLine="28"/>
        <w:rPr>
          <w:rFonts w:ascii="宋体" w:hAnsi="宋体" w:cs="宋体"/>
          <w:szCs w:val="21"/>
        </w:rPr>
      </w:pPr>
      <w:r>
        <w:rPr>
          <w:rFonts w:hint="eastAsia" w:ascii="宋体" w:hAnsi="宋体" w:cs="宋体"/>
          <w:szCs w:val="21"/>
        </w:rPr>
        <w:t>备注： 公开招标实行一次性报价，投标价即为最终有效价。</w:t>
      </w:r>
    </w:p>
    <w:p>
      <w:pPr>
        <w:spacing w:line="360" w:lineRule="auto"/>
        <w:rPr>
          <w:rFonts w:ascii="宋体" w:hAnsi="宋体"/>
        </w:rPr>
      </w:pPr>
    </w:p>
    <w:p>
      <w:pPr>
        <w:spacing w:line="360" w:lineRule="auto"/>
        <w:rPr>
          <w:rFonts w:ascii="宋体" w:hAnsi="宋体"/>
        </w:rPr>
      </w:pPr>
    </w:p>
    <w:p>
      <w:pPr>
        <w:adjustRightInd w:val="0"/>
        <w:snapToGrid w:val="0"/>
        <w:spacing w:after="120" w:afterLines="50" w:line="300" w:lineRule="exact"/>
        <w:ind w:firstLine="4620" w:firstLineChars="2200"/>
        <w:rPr>
          <w:rFonts w:ascii="宋体" w:hAnsi="宋体" w:cs="仿宋_GB2312"/>
          <w:kern w:val="0"/>
          <w:szCs w:val="21"/>
        </w:rPr>
      </w:pPr>
      <w:r>
        <w:rPr>
          <w:rFonts w:hint="eastAsia" w:ascii="宋体" w:hAnsi="宋体" w:cs="仿宋_GB2312"/>
          <w:kern w:val="0"/>
          <w:szCs w:val="21"/>
        </w:rPr>
        <w:t>供应商盖章</w:t>
      </w:r>
      <w:r>
        <w:rPr>
          <w:rFonts w:ascii="宋体" w:hAnsi="宋体" w:cs="仿宋_GB2312"/>
          <w:kern w:val="0"/>
          <w:szCs w:val="21"/>
        </w:rPr>
        <w:t xml:space="preserve">（公章）：                               </w:t>
      </w:r>
    </w:p>
    <w:p>
      <w:pPr>
        <w:adjustRightInd w:val="0"/>
        <w:snapToGrid w:val="0"/>
        <w:spacing w:after="120" w:afterLines="50" w:line="300" w:lineRule="exact"/>
        <w:rPr>
          <w:rFonts w:ascii="宋体" w:hAnsi="宋体" w:cs="仿宋_GB2312"/>
          <w:kern w:val="0"/>
          <w:szCs w:val="21"/>
        </w:rPr>
      </w:pPr>
      <w:r>
        <w:rPr>
          <w:rFonts w:ascii="宋体" w:hAnsi="宋体" w:cs="仿宋_GB2312"/>
          <w:kern w:val="0"/>
          <w:szCs w:val="21"/>
        </w:rPr>
        <w:t xml:space="preserve">                                    法定代表人或其授权代表</w:t>
      </w:r>
      <w:r>
        <w:rPr>
          <w:rFonts w:hint="eastAsia" w:ascii="宋体" w:hAnsi="宋体" w:cs="仿宋_GB2312"/>
          <w:kern w:val="0"/>
          <w:szCs w:val="21"/>
        </w:rPr>
        <w:t>签字或盖章：</w:t>
      </w:r>
      <w:r>
        <w:rPr>
          <w:rFonts w:ascii="宋体" w:hAnsi="宋体" w:cs="仿宋_GB2312"/>
          <w:kern w:val="0"/>
          <w:szCs w:val="21"/>
        </w:rPr>
        <w:t xml:space="preserve">                     </w:t>
      </w:r>
    </w:p>
    <w:p>
      <w:pPr>
        <w:spacing w:line="360" w:lineRule="auto"/>
        <w:rPr>
          <w:rFonts w:ascii="宋体" w:hAnsi="宋体"/>
        </w:rPr>
      </w:pPr>
      <w:r>
        <w:rPr>
          <w:rFonts w:ascii="宋体" w:hAnsi="宋体" w:cs="仿宋_GB2312"/>
          <w:kern w:val="0"/>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42"/>
        <w:jc w:val="both"/>
        <w:rPr>
          <w:rFonts w:ascii="宋体" w:hAnsi="宋体"/>
          <w:sz w:val="21"/>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rPr>
      </w:pPr>
    </w:p>
    <w:p>
      <w:pPr>
        <w:pStyle w:val="45"/>
        <w:ind w:firstLine="480"/>
        <w:rPr>
          <w:rFonts w:ascii="宋体" w:hAnsi="宋体"/>
        </w:rPr>
      </w:pPr>
    </w:p>
    <w:p>
      <w:pPr>
        <w:pStyle w:val="45"/>
        <w:ind w:firstLine="480"/>
        <w:rPr>
          <w:rFonts w:ascii="宋体" w:hAnsi="宋体"/>
        </w:rPr>
      </w:pPr>
    </w:p>
    <w:p>
      <w:pPr>
        <w:pStyle w:val="45"/>
        <w:ind w:firstLine="480"/>
        <w:rPr>
          <w:rFonts w:ascii="宋体" w:hAnsi="宋体"/>
        </w:rPr>
      </w:pPr>
    </w:p>
    <w:p>
      <w:pPr>
        <w:pStyle w:val="45"/>
        <w:ind w:firstLine="480"/>
        <w:rPr>
          <w:rFonts w:ascii="宋体" w:hAnsi="宋体"/>
        </w:rPr>
      </w:pPr>
    </w:p>
    <w:p>
      <w:pPr>
        <w:pStyle w:val="45"/>
        <w:ind w:firstLine="480"/>
        <w:rPr>
          <w:rFonts w:ascii="宋体" w:hAnsi="宋体"/>
        </w:rPr>
      </w:pPr>
    </w:p>
    <w:p>
      <w:pPr>
        <w:pStyle w:val="45"/>
        <w:ind w:firstLine="480"/>
        <w:rPr>
          <w:rFonts w:ascii="宋体" w:hAnsi="宋体"/>
        </w:rPr>
      </w:pPr>
    </w:p>
    <w:p>
      <w:pPr>
        <w:pStyle w:val="45"/>
        <w:ind w:firstLine="480"/>
        <w:rPr>
          <w:rFonts w:ascii="宋体" w:hAnsi="宋体"/>
        </w:rPr>
      </w:pPr>
    </w:p>
    <w:p>
      <w:pPr>
        <w:pStyle w:val="45"/>
        <w:ind w:firstLine="480"/>
        <w:rPr>
          <w:rFonts w:ascii="宋体" w:hAnsi="宋体"/>
        </w:rPr>
      </w:pPr>
    </w:p>
    <w:p>
      <w:pPr>
        <w:pStyle w:val="45"/>
        <w:ind w:firstLine="480"/>
        <w:rPr>
          <w:rFonts w:ascii="宋体" w:hAnsi="宋体"/>
        </w:rPr>
      </w:pPr>
    </w:p>
    <w:p>
      <w:pPr>
        <w:autoSpaceDE w:val="0"/>
        <w:autoSpaceDN w:val="0"/>
        <w:adjustRightInd w:val="0"/>
        <w:spacing w:line="400" w:lineRule="exact"/>
        <w:outlineLvl w:val="0"/>
        <w:rPr>
          <w:rFonts w:ascii="宋体" w:hAnsi="宋体"/>
          <w:b/>
          <w:szCs w:val="21"/>
        </w:rPr>
      </w:pPr>
      <w:r>
        <w:rPr>
          <w:rStyle w:val="90"/>
          <w:rFonts w:hint="eastAsia" w:ascii="宋体" w:hAnsi="宋体" w:cs="仿宋_GB2312"/>
          <w:szCs w:val="24"/>
        </w:rPr>
        <w:t xml:space="preserve">附件九                          </w:t>
      </w:r>
      <w:r>
        <w:rPr>
          <w:rFonts w:hint="eastAsia" w:ascii="宋体" w:hAnsi="宋体"/>
          <w:b/>
          <w:szCs w:val="21"/>
        </w:rPr>
        <w:t>报价明细</w:t>
      </w:r>
    </w:p>
    <w:p>
      <w:pPr>
        <w:pStyle w:val="45"/>
        <w:ind w:left="0" w:leftChars="0" w:firstLine="0" w:firstLineChars="0"/>
        <w:rPr>
          <w:color w:val="auto"/>
          <w:highlight w:val="none"/>
        </w:rPr>
      </w:pPr>
    </w:p>
    <w:p>
      <w:pPr>
        <w:pStyle w:val="45"/>
        <w:ind w:left="0" w:leftChars="0" w:firstLine="0" w:firstLineChars="0"/>
        <w:rPr>
          <w:color w:val="auto"/>
          <w:highlight w:val="none"/>
        </w:rPr>
      </w:pPr>
    </w:p>
    <w:p>
      <w:pPr>
        <w:adjustRightInd w:val="0"/>
        <w:snapToGrid w:val="0"/>
        <w:spacing w:afterLines="50" w:line="380" w:lineRule="exact"/>
        <w:rPr>
          <w:rFonts w:ascii="宋体" w:hAnsi="宋体" w:cs="宋体"/>
          <w:color w:val="auto"/>
          <w:szCs w:val="21"/>
          <w:highlight w:val="none"/>
          <w:u w:val="single"/>
        </w:rPr>
      </w:pPr>
      <w:r>
        <w:rPr>
          <w:rFonts w:hint="eastAsia" w:ascii="宋体" w:hAnsi="宋体" w:cs="宋体"/>
          <w:color w:val="auto"/>
          <w:kern w:val="0"/>
          <w:szCs w:val="21"/>
          <w:highlight w:val="none"/>
        </w:rPr>
        <w:t>项目名称：</w:t>
      </w:r>
    </w:p>
    <w:p>
      <w:pPr>
        <w:adjustRightInd w:val="0"/>
        <w:snapToGrid w:val="0"/>
        <w:spacing w:afterLines="50" w:line="380" w:lineRule="exact"/>
        <w:rPr>
          <w:rFonts w:ascii="宋体" w:hAnsi="宋体" w:cs="宋体"/>
          <w:color w:val="auto"/>
          <w:szCs w:val="21"/>
          <w:highlight w:val="none"/>
          <w:u w:val="single"/>
        </w:rPr>
      </w:pPr>
      <w:r>
        <w:rPr>
          <w:rFonts w:hint="eastAsia" w:ascii="宋体" w:hAnsi="宋体" w:cs="宋体"/>
          <w:color w:val="auto"/>
          <w:kern w:val="0"/>
          <w:szCs w:val="21"/>
          <w:highlight w:val="none"/>
        </w:rPr>
        <w:t>项目编号：</w:t>
      </w:r>
    </w:p>
    <w:p>
      <w:pPr>
        <w:pStyle w:val="45"/>
        <w:ind w:firstLine="480"/>
        <w:rPr>
          <w:color w:val="auto"/>
          <w:highlight w:val="non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45"/>
        <w:gridCol w:w="2801"/>
        <w:gridCol w:w="2500"/>
        <w:gridCol w:w="234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145" w:type="dxa"/>
            <w:tcBorders>
              <w:top w:val="single" w:color="auto" w:sz="4" w:space="0"/>
              <w:left w:val="single" w:color="auto" w:sz="4" w:space="0"/>
              <w:bottom w:val="single" w:color="auto" w:sz="4"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801" w:type="dxa"/>
            <w:tcBorders>
              <w:top w:val="single" w:color="auto" w:sz="4" w:space="0"/>
              <w:left w:val="single" w:color="auto" w:sz="2" w:space="0"/>
              <w:bottom w:val="single" w:color="auto" w:sz="4"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服务名称</w:t>
            </w:r>
          </w:p>
        </w:tc>
        <w:tc>
          <w:tcPr>
            <w:tcW w:w="2500" w:type="dxa"/>
            <w:tcBorders>
              <w:top w:val="single" w:color="auto" w:sz="4" w:space="0"/>
              <w:left w:val="single" w:color="auto" w:sz="2" w:space="0"/>
              <w:bottom w:val="single" w:color="auto" w:sz="4"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报价组成明细</w:t>
            </w:r>
          </w:p>
        </w:tc>
        <w:tc>
          <w:tcPr>
            <w:tcW w:w="2341" w:type="dxa"/>
            <w:tcBorders>
              <w:top w:val="single" w:color="auto" w:sz="4" w:space="0"/>
              <w:left w:val="single" w:color="auto" w:sz="2" w:space="0"/>
              <w:bottom w:val="single" w:color="auto" w:sz="4" w:space="0"/>
              <w:right w:val="single" w:color="auto" w:sz="2" w:space="0"/>
            </w:tcBorders>
            <w:noWrap/>
            <w:vAlign w:val="center"/>
          </w:tcPr>
          <w:p>
            <w:pPr>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小计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145" w:type="dxa"/>
            <w:tcBorders>
              <w:top w:val="single" w:color="auto" w:sz="4" w:space="0"/>
              <w:left w:val="single" w:color="auto" w:sz="4" w:space="0"/>
              <w:bottom w:val="single" w:color="auto" w:sz="4"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801" w:type="dxa"/>
            <w:tcBorders>
              <w:top w:val="single" w:color="auto" w:sz="4" w:space="0"/>
              <w:left w:val="single" w:color="auto" w:sz="2" w:space="0"/>
              <w:bottom w:val="single" w:color="auto" w:sz="4" w:space="0"/>
              <w:right w:val="single" w:color="auto" w:sz="2" w:space="0"/>
            </w:tcBorders>
            <w:noWrap/>
            <w:tcMar>
              <w:left w:w="0" w:type="dxa"/>
              <w:right w:w="0" w:type="dxa"/>
            </w:tcMar>
            <w:vAlign w:val="center"/>
          </w:tcPr>
          <w:p>
            <w:pPr>
              <w:widowControl/>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员工工资</w:t>
            </w:r>
          </w:p>
        </w:tc>
        <w:tc>
          <w:tcPr>
            <w:tcW w:w="2500" w:type="dxa"/>
            <w:tcBorders>
              <w:top w:val="single" w:color="auto" w:sz="4" w:space="0"/>
              <w:left w:val="single" w:color="auto" w:sz="2" w:space="0"/>
              <w:bottom w:val="single" w:color="auto" w:sz="4"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p>
        </w:tc>
        <w:tc>
          <w:tcPr>
            <w:tcW w:w="2341" w:type="dxa"/>
            <w:tcBorders>
              <w:top w:val="single" w:color="auto" w:sz="4" w:space="0"/>
              <w:left w:val="single" w:color="auto" w:sz="2" w:space="0"/>
              <w:bottom w:val="single" w:color="auto" w:sz="4" w:space="0"/>
              <w:right w:val="single" w:color="auto" w:sz="2" w:space="0"/>
            </w:tcBorders>
            <w:noWrap/>
            <w:vAlign w:val="center"/>
          </w:tcPr>
          <w:p>
            <w:pPr>
              <w:spacing w:line="400" w:lineRule="exact"/>
              <w:contextualSpacing/>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145" w:type="dxa"/>
            <w:tcBorders>
              <w:top w:val="single" w:color="auto" w:sz="2" w:space="0"/>
              <w:left w:val="single" w:color="auto" w:sz="4" w:space="0"/>
              <w:bottom w:val="single" w:color="auto" w:sz="2"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801" w:type="dxa"/>
            <w:tcBorders>
              <w:top w:val="single" w:color="auto" w:sz="4" w:space="0"/>
              <w:left w:val="single" w:color="auto" w:sz="2" w:space="0"/>
              <w:bottom w:val="single" w:color="auto" w:sz="4" w:space="0"/>
              <w:right w:val="single" w:color="auto" w:sz="2" w:space="0"/>
            </w:tcBorders>
            <w:noWrap/>
            <w:tcMar>
              <w:left w:w="0" w:type="dxa"/>
              <w:right w:w="0" w:type="dxa"/>
            </w:tcMar>
            <w:vAlign w:val="center"/>
          </w:tcPr>
          <w:p>
            <w:pPr>
              <w:widowControl/>
              <w:spacing w:line="400" w:lineRule="exact"/>
              <w:contextualSpacing/>
              <w:jc w:val="center"/>
              <w:rPr>
                <w:rFonts w:ascii="宋体" w:hAnsi="宋体" w:cs="宋体"/>
                <w:color w:val="auto"/>
                <w:kern w:val="0"/>
                <w:szCs w:val="21"/>
                <w:highlight w:val="none"/>
              </w:rPr>
            </w:pPr>
            <w:r>
              <w:rPr>
                <w:rFonts w:hint="eastAsia" w:ascii="宋体" w:hAnsi="宋体"/>
                <w:bCs/>
                <w:color w:val="auto"/>
                <w:szCs w:val="21"/>
                <w:highlight w:val="none"/>
              </w:rPr>
              <w:t>养老、工伤、失业、生育、医疗等在内的社会保险</w:t>
            </w:r>
          </w:p>
        </w:tc>
        <w:tc>
          <w:tcPr>
            <w:tcW w:w="2500" w:type="dxa"/>
            <w:tcBorders>
              <w:top w:val="single" w:color="auto" w:sz="4" w:space="0"/>
              <w:left w:val="single" w:color="auto" w:sz="2" w:space="0"/>
              <w:bottom w:val="single" w:color="auto" w:sz="4"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p>
        </w:tc>
        <w:tc>
          <w:tcPr>
            <w:tcW w:w="2341" w:type="dxa"/>
            <w:tcBorders>
              <w:top w:val="single" w:color="auto" w:sz="4" w:space="0"/>
              <w:left w:val="single" w:color="auto" w:sz="2" w:space="0"/>
              <w:bottom w:val="single" w:color="auto" w:sz="4" w:space="0"/>
              <w:right w:val="single" w:color="auto" w:sz="2" w:space="0"/>
            </w:tcBorders>
            <w:noWrap/>
            <w:vAlign w:val="center"/>
          </w:tcPr>
          <w:p>
            <w:pPr>
              <w:spacing w:line="400" w:lineRule="exact"/>
              <w:contextualSpacing/>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145" w:type="dxa"/>
            <w:tcBorders>
              <w:top w:val="single" w:color="auto" w:sz="2" w:space="0"/>
              <w:left w:val="single" w:color="auto" w:sz="4" w:space="0"/>
              <w:bottom w:val="single" w:color="auto" w:sz="2"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801" w:type="dxa"/>
            <w:tcBorders>
              <w:top w:val="single" w:color="auto" w:sz="4" w:space="0"/>
              <w:left w:val="single" w:color="auto" w:sz="2" w:space="0"/>
              <w:bottom w:val="single" w:color="auto" w:sz="2" w:space="0"/>
              <w:right w:val="single" w:color="auto" w:sz="2" w:space="0"/>
            </w:tcBorders>
            <w:noWrap/>
            <w:tcMar>
              <w:left w:w="0" w:type="dxa"/>
              <w:right w:w="0" w:type="dxa"/>
            </w:tcMar>
            <w:vAlign w:val="center"/>
          </w:tcPr>
          <w:p>
            <w:pPr>
              <w:widowControl/>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意外保险</w:t>
            </w:r>
          </w:p>
        </w:tc>
        <w:tc>
          <w:tcPr>
            <w:tcW w:w="2500" w:type="dxa"/>
            <w:tcBorders>
              <w:top w:val="single" w:color="auto" w:sz="4" w:space="0"/>
              <w:left w:val="single" w:color="auto" w:sz="2" w:space="0"/>
              <w:bottom w:val="single" w:color="auto" w:sz="2"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p>
        </w:tc>
        <w:tc>
          <w:tcPr>
            <w:tcW w:w="2341" w:type="dxa"/>
            <w:tcBorders>
              <w:top w:val="single" w:color="auto" w:sz="4" w:space="0"/>
              <w:left w:val="single" w:color="auto" w:sz="2" w:space="0"/>
              <w:bottom w:val="single" w:color="auto" w:sz="2" w:space="0"/>
              <w:right w:val="single" w:color="auto" w:sz="2" w:space="0"/>
            </w:tcBorders>
            <w:noWrap/>
            <w:vAlign w:val="center"/>
          </w:tcPr>
          <w:p>
            <w:pPr>
              <w:spacing w:line="400" w:lineRule="exact"/>
              <w:contextualSpacing/>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145" w:type="dxa"/>
            <w:tcBorders>
              <w:top w:val="single" w:color="auto" w:sz="2" w:space="0"/>
              <w:left w:val="single" w:color="auto" w:sz="4" w:space="0"/>
              <w:bottom w:val="single" w:color="auto" w:sz="2"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801" w:type="dxa"/>
            <w:tcBorders>
              <w:top w:val="single" w:color="auto" w:sz="4" w:space="0"/>
              <w:left w:val="single" w:color="auto" w:sz="2" w:space="0"/>
              <w:bottom w:val="single" w:color="auto" w:sz="2" w:space="0"/>
              <w:right w:val="single" w:color="auto" w:sz="2" w:space="0"/>
            </w:tcBorders>
            <w:noWrap/>
            <w:tcMar>
              <w:left w:w="0" w:type="dxa"/>
              <w:right w:w="0" w:type="dxa"/>
            </w:tcMar>
            <w:vAlign w:val="center"/>
          </w:tcPr>
          <w:p>
            <w:pPr>
              <w:widowControl/>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福利</w:t>
            </w:r>
          </w:p>
        </w:tc>
        <w:tc>
          <w:tcPr>
            <w:tcW w:w="2500" w:type="dxa"/>
            <w:tcBorders>
              <w:top w:val="single" w:color="auto" w:sz="4" w:space="0"/>
              <w:left w:val="single" w:color="auto" w:sz="2" w:space="0"/>
              <w:bottom w:val="single" w:color="auto" w:sz="2"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p>
        </w:tc>
        <w:tc>
          <w:tcPr>
            <w:tcW w:w="2341" w:type="dxa"/>
            <w:tcBorders>
              <w:top w:val="single" w:color="auto" w:sz="4" w:space="0"/>
              <w:left w:val="single" w:color="auto" w:sz="2" w:space="0"/>
              <w:bottom w:val="single" w:color="auto" w:sz="2" w:space="0"/>
              <w:right w:val="single" w:color="auto" w:sz="2" w:space="0"/>
            </w:tcBorders>
            <w:noWrap/>
            <w:vAlign w:val="center"/>
          </w:tcPr>
          <w:p>
            <w:pPr>
              <w:spacing w:line="400" w:lineRule="exact"/>
              <w:contextualSpacing/>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145" w:type="dxa"/>
            <w:tcBorders>
              <w:top w:val="single" w:color="auto" w:sz="2" w:space="0"/>
              <w:left w:val="single" w:color="auto" w:sz="4" w:space="0"/>
              <w:bottom w:val="single" w:color="auto" w:sz="2"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801" w:type="dxa"/>
            <w:tcBorders>
              <w:top w:val="single" w:color="auto" w:sz="4" w:space="0"/>
              <w:left w:val="single" w:color="auto" w:sz="2" w:space="0"/>
              <w:bottom w:val="single" w:color="auto" w:sz="2" w:space="0"/>
              <w:right w:val="single" w:color="auto" w:sz="2" w:space="0"/>
            </w:tcBorders>
            <w:noWrap/>
            <w:tcMar>
              <w:left w:w="0" w:type="dxa"/>
              <w:right w:w="0" w:type="dxa"/>
            </w:tcMar>
            <w:vAlign w:val="center"/>
          </w:tcPr>
          <w:p>
            <w:pPr>
              <w:widowControl/>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服装</w:t>
            </w:r>
          </w:p>
        </w:tc>
        <w:tc>
          <w:tcPr>
            <w:tcW w:w="2500" w:type="dxa"/>
            <w:tcBorders>
              <w:top w:val="single" w:color="auto" w:sz="4" w:space="0"/>
              <w:left w:val="single" w:color="auto" w:sz="2" w:space="0"/>
              <w:bottom w:val="single" w:color="auto" w:sz="2"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p>
        </w:tc>
        <w:tc>
          <w:tcPr>
            <w:tcW w:w="2341" w:type="dxa"/>
            <w:tcBorders>
              <w:top w:val="single" w:color="auto" w:sz="4" w:space="0"/>
              <w:left w:val="single" w:color="auto" w:sz="2" w:space="0"/>
              <w:bottom w:val="single" w:color="auto" w:sz="2" w:space="0"/>
              <w:right w:val="single" w:color="auto" w:sz="2" w:space="0"/>
            </w:tcBorders>
            <w:noWrap/>
            <w:vAlign w:val="center"/>
          </w:tcPr>
          <w:p>
            <w:pPr>
              <w:spacing w:line="400" w:lineRule="exact"/>
              <w:contextualSpacing/>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145" w:type="dxa"/>
            <w:tcBorders>
              <w:top w:val="single" w:color="auto" w:sz="2" w:space="0"/>
              <w:left w:val="single" w:color="auto" w:sz="4" w:space="0"/>
              <w:bottom w:val="single" w:color="auto" w:sz="2"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801" w:type="dxa"/>
            <w:tcBorders>
              <w:top w:val="single" w:color="auto" w:sz="4" w:space="0"/>
              <w:left w:val="single" w:color="auto" w:sz="2" w:space="0"/>
              <w:bottom w:val="single" w:color="auto" w:sz="2" w:space="0"/>
              <w:right w:val="single" w:color="auto" w:sz="2" w:space="0"/>
            </w:tcBorders>
            <w:noWrap/>
            <w:tcMar>
              <w:left w:w="0" w:type="dxa"/>
              <w:right w:w="0" w:type="dxa"/>
            </w:tcMar>
            <w:vAlign w:val="center"/>
          </w:tcPr>
          <w:p>
            <w:pPr>
              <w:widowControl/>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500" w:type="dxa"/>
            <w:tcBorders>
              <w:top w:val="single" w:color="auto" w:sz="4" w:space="0"/>
              <w:left w:val="single" w:color="auto" w:sz="2" w:space="0"/>
              <w:bottom w:val="single" w:color="auto" w:sz="2"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p>
        </w:tc>
        <w:tc>
          <w:tcPr>
            <w:tcW w:w="2341" w:type="dxa"/>
            <w:tcBorders>
              <w:top w:val="single" w:color="auto" w:sz="4" w:space="0"/>
              <w:left w:val="single" w:color="auto" w:sz="2" w:space="0"/>
              <w:bottom w:val="single" w:color="auto" w:sz="2" w:space="0"/>
              <w:right w:val="single" w:color="auto" w:sz="2" w:space="0"/>
            </w:tcBorders>
            <w:noWrap/>
            <w:vAlign w:val="center"/>
          </w:tcPr>
          <w:p>
            <w:pPr>
              <w:spacing w:line="400" w:lineRule="exact"/>
              <w:contextualSpacing/>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145" w:type="dxa"/>
            <w:tcBorders>
              <w:top w:val="single" w:color="auto" w:sz="2" w:space="0"/>
              <w:left w:val="single" w:color="auto" w:sz="4" w:space="0"/>
              <w:bottom w:val="single" w:color="auto" w:sz="2"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p>
        </w:tc>
        <w:tc>
          <w:tcPr>
            <w:tcW w:w="2801" w:type="dxa"/>
            <w:tcBorders>
              <w:top w:val="single" w:color="auto" w:sz="4" w:space="0"/>
              <w:left w:val="single" w:color="auto" w:sz="2" w:space="0"/>
              <w:bottom w:val="single" w:color="auto" w:sz="2" w:space="0"/>
              <w:right w:val="single" w:color="auto" w:sz="2" w:space="0"/>
            </w:tcBorders>
            <w:noWrap/>
            <w:tcMar>
              <w:left w:w="0" w:type="dxa"/>
              <w:right w:w="0" w:type="dxa"/>
            </w:tcMar>
            <w:vAlign w:val="center"/>
          </w:tcPr>
          <w:p>
            <w:pPr>
              <w:widowControl/>
              <w:spacing w:line="400" w:lineRule="exact"/>
              <w:contextualSpacing/>
              <w:jc w:val="center"/>
              <w:rPr>
                <w:rFonts w:ascii="宋体" w:hAnsi="宋体" w:cs="宋体"/>
                <w:color w:val="auto"/>
                <w:kern w:val="0"/>
                <w:szCs w:val="21"/>
                <w:highlight w:val="none"/>
              </w:rPr>
            </w:pPr>
          </w:p>
        </w:tc>
        <w:tc>
          <w:tcPr>
            <w:tcW w:w="2500" w:type="dxa"/>
            <w:tcBorders>
              <w:top w:val="single" w:color="auto" w:sz="4" w:space="0"/>
              <w:left w:val="single" w:color="auto" w:sz="2" w:space="0"/>
              <w:bottom w:val="single" w:color="auto" w:sz="2"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p>
        </w:tc>
        <w:tc>
          <w:tcPr>
            <w:tcW w:w="2341" w:type="dxa"/>
            <w:tcBorders>
              <w:top w:val="single" w:color="auto" w:sz="4" w:space="0"/>
              <w:left w:val="single" w:color="auto" w:sz="2" w:space="0"/>
              <w:bottom w:val="single" w:color="auto" w:sz="2" w:space="0"/>
              <w:right w:val="single" w:color="auto" w:sz="2" w:space="0"/>
            </w:tcBorders>
            <w:noWrap/>
            <w:vAlign w:val="center"/>
          </w:tcPr>
          <w:p>
            <w:pPr>
              <w:spacing w:line="400" w:lineRule="exact"/>
              <w:contextualSpacing/>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145" w:type="dxa"/>
            <w:tcBorders>
              <w:top w:val="single" w:color="auto" w:sz="2" w:space="0"/>
              <w:left w:val="single" w:color="auto" w:sz="4" w:space="0"/>
              <w:bottom w:val="single" w:color="auto" w:sz="2"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p>
        </w:tc>
        <w:tc>
          <w:tcPr>
            <w:tcW w:w="2801" w:type="dxa"/>
            <w:tcBorders>
              <w:top w:val="single" w:color="auto" w:sz="4" w:space="0"/>
              <w:left w:val="single" w:color="auto" w:sz="2" w:space="0"/>
              <w:bottom w:val="single" w:color="auto" w:sz="2" w:space="0"/>
              <w:right w:val="single" w:color="auto" w:sz="2" w:space="0"/>
            </w:tcBorders>
            <w:noWrap/>
            <w:tcMar>
              <w:left w:w="0" w:type="dxa"/>
              <w:right w:w="0" w:type="dxa"/>
            </w:tcMar>
            <w:vAlign w:val="center"/>
          </w:tcPr>
          <w:p>
            <w:pPr>
              <w:widowControl/>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管理费、利润</w:t>
            </w:r>
          </w:p>
        </w:tc>
        <w:tc>
          <w:tcPr>
            <w:tcW w:w="2500" w:type="dxa"/>
            <w:tcBorders>
              <w:top w:val="single" w:color="auto" w:sz="4" w:space="0"/>
              <w:left w:val="single" w:color="auto" w:sz="2" w:space="0"/>
              <w:bottom w:val="single" w:color="auto" w:sz="2"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p>
        </w:tc>
        <w:tc>
          <w:tcPr>
            <w:tcW w:w="2341" w:type="dxa"/>
            <w:tcBorders>
              <w:top w:val="single" w:color="auto" w:sz="4" w:space="0"/>
              <w:left w:val="single" w:color="auto" w:sz="2" w:space="0"/>
              <w:bottom w:val="single" w:color="auto" w:sz="2" w:space="0"/>
              <w:right w:val="single" w:color="auto" w:sz="2" w:space="0"/>
            </w:tcBorders>
            <w:noWrap/>
            <w:vAlign w:val="center"/>
          </w:tcPr>
          <w:p>
            <w:pPr>
              <w:spacing w:line="400" w:lineRule="exact"/>
              <w:contextualSpacing/>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145" w:type="dxa"/>
            <w:tcBorders>
              <w:top w:val="single" w:color="auto" w:sz="2" w:space="0"/>
              <w:left w:val="single" w:color="auto" w:sz="4" w:space="0"/>
              <w:bottom w:val="single" w:color="auto" w:sz="2"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p>
        </w:tc>
        <w:tc>
          <w:tcPr>
            <w:tcW w:w="2801" w:type="dxa"/>
            <w:tcBorders>
              <w:top w:val="single" w:color="auto" w:sz="4" w:space="0"/>
              <w:left w:val="single" w:color="auto" w:sz="2" w:space="0"/>
              <w:bottom w:val="single" w:color="auto" w:sz="2" w:space="0"/>
              <w:right w:val="single" w:color="auto" w:sz="2" w:space="0"/>
            </w:tcBorders>
            <w:noWrap/>
            <w:tcMar>
              <w:left w:w="0" w:type="dxa"/>
              <w:right w:w="0" w:type="dxa"/>
            </w:tcMar>
            <w:vAlign w:val="center"/>
          </w:tcPr>
          <w:p>
            <w:pPr>
              <w:widowControl/>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税金</w:t>
            </w:r>
          </w:p>
        </w:tc>
        <w:tc>
          <w:tcPr>
            <w:tcW w:w="2500" w:type="dxa"/>
            <w:tcBorders>
              <w:top w:val="single" w:color="auto" w:sz="4" w:space="0"/>
              <w:left w:val="single" w:color="auto" w:sz="2" w:space="0"/>
              <w:bottom w:val="single" w:color="auto" w:sz="2"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p>
        </w:tc>
        <w:tc>
          <w:tcPr>
            <w:tcW w:w="2341" w:type="dxa"/>
            <w:tcBorders>
              <w:top w:val="single" w:color="auto" w:sz="4" w:space="0"/>
              <w:left w:val="single" w:color="auto" w:sz="2" w:space="0"/>
              <w:bottom w:val="single" w:color="auto" w:sz="2" w:space="0"/>
              <w:right w:val="single" w:color="auto" w:sz="2" w:space="0"/>
            </w:tcBorders>
            <w:noWrap/>
            <w:vAlign w:val="center"/>
          </w:tcPr>
          <w:p>
            <w:pPr>
              <w:spacing w:line="400" w:lineRule="exact"/>
              <w:contextualSpacing/>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6446" w:type="dxa"/>
            <w:gridSpan w:val="3"/>
            <w:tcBorders>
              <w:top w:val="single" w:color="auto" w:sz="4" w:space="0"/>
              <w:left w:val="single" w:color="auto" w:sz="4" w:space="0"/>
              <w:bottom w:val="single" w:color="auto" w:sz="2" w:space="0"/>
              <w:right w:val="single" w:color="auto" w:sz="2" w:space="0"/>
            </w:tcBorders>
            <w:noWrap/>
            <w:tcMar>
              <w:left w:w="0" w:type="dxa"/>
              <w:right w:w="0" w:type="dxa"/>
            </w:tcMar>
            <w:vAlign w:val="center"/>
          </w:tcPr>
          <w:p>
            <w:pPr>
              <w:spacing w:line="400" w:lineRule="exact"/>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合计（元/工时）</w:t>
            </w:r>
          </w:p>
        </w:tc>
        <w:tc>
          <w:tcPr>
            <w:tcW w:w="2341" w:type="dxa"/>
            <w:tcBorders>
              <w:top w:val="single" w:color="auto" w:sz="4" w:space="0"/>
              <w:left w:val="single" w:color="auto" w:sz="4" w:space="0"/>
              <w:bottom w:val="single" w:color="auto" w:sz="2" w:space="0"/>
              <w:right w:val="single" w:color="auto" w:sz="2" w:space="0"/>
            </w:tcBorders>
            <w:noWrap/>
            <w:vAlign w:val="center"/>
          </w:tcPr>
          <w:p>
            <w:pPr>
              <w:spacing w:line="400" w:lineRule="exact"/>
              <w:contextualSpacing/>
              <w:jc w:val="center"/>
              <w:rPr>
                <w:rFonts w:ascii="宋体" w:hAnsi="宋体" w:cs="宋体"/>
                <w:color w:val="auto"/>
                <w:kern w:val="0"/>
                <w:szCs w:val="21"/>
                <w:highlight w:val="none"/>
              </w:rPr>
            </w:pPr>
          </w:p>
        </w:tc>
      </w:tr>
    </w:tbl>
    <w:p>
      <w:pPr>
        <w:adjustRightInd w:val="0"/>
        <w:snapToGrid w:val="0"/>
        <w:ind w:firstLine="500"/>
        <w:jc w:val="center"/>
        <w:rPr>
          <w:rFonts w:ascii="宋体" w:hAnsi="宋体" w:cs="宋体"/>
          <w:color w:val="auto"/>
          <w:spacing w:val="20"/>
          <w:szCs w:val="21"/>
          <w:highlight w:val="none"/>
        </w:rPr>
      </w:pPr>
    </w:p>
    <w:p>
      <w:pPr>
        <w:adjustRightInd w:val="0"/>
        <w:snapToGrid w:val="0"/>
        <w:spacing w:after="120" w:afterLines="50" w:line="300" w:lineRule="exact"/>
        <w:rPr>
          <w:rFonts w:ascii="宋体" w:hAnsi="宋体" w:cs="仿宋_GB2312"/>
          <w:b/>
          <w:kern w:val="0"/>
          <w:szCs w:val="21"/>
        </w:rPr>
      </w:pPr>
      <w:r>
        <w:rPr>
          <w:rFonts w:hint="eastAsia" w:ascii="宋体" w:hAnsi="宋体" w:cs="宋体"/>
          <w:b/>
          <w:color w:val="auto"/>
          <w:spacing w:val="20"/>
          <w:sz w:val="18"/>
          <w:szCs w:val="18"/>
          <w:highlight w:val="none"/>
        </w:rPr>
        <w:t>备注：表格不够，可自行扩展。</w:t>
      </w:r>
      <w:r>
        <w:rPr>
          <w:rFonts w:hint="eastAsia" w:ascii="宋体" w:hAnsi="宋体"/>
          <w:color w:val="auto"/>
          <w:szCs w:val="21"/>
          <w:highlight w:val="none"/>
        </w:rPr>
        <w:t>“合计报价”须与“开标一览表”中的“</w:t>
      </w:r>
      <w:r>
        <w:rPr>
          <w:rFonts w:hint="eastAsia" w:ascii="宋体" w:hAnsi="宋体" w:cs="宋体"/>
          <w:color w:val="auto"/>
          <w:szCs w:val="21"/>
          <w:highlight w:val="none"/>
        </w:rPr>
        <w:t>投标总价</w:t>
      </w:r>
      <w:r>
        <w:rPr>
          <w:rFonts w:hint="eastAsia" w:ascii="宋体" w:hAnsi="宋体"/>
          <w:color w:val="auto"/>
          <w:szCs w:val="21"/>
          <w:highlight w:val="none"/>
        </w:rPr>
        <w:t>”一致。</w:t>
      </w:r>
    </w:p>
    <w:p>
      <w:pPr>
        <w:adjustRightInd w:val="0"/>
        <w:snapToGrid w:val="0"/>
        <w:spacing w:after="120" w:afterLines="50" w:line="300" w:lineRule="exact"/>
        <w:ind w:firstLine="4620" w:firstLineChars="2200"/>
        <w:rPr>
          <w:rFonts w:ascii="宋体" w:hAnsi="宋体" w:cs="仿宋_GB2312"/>
          <w:kern w:val="0"/>
          <w:szCs w:val="21"/>
        </w:rPr>
      </w:pPr>
      <w:r>
        <w:rPr>
          <w:rFonts w:hint="eastAsia" w:ascii="宋体" w:hAnsi="宋体" w:cs="仿宋_GB2312"/>
          <w:kern w:val="0"/>
          <w:szCs w:val="21"/>
        </w:rPr>
        <w:t>供应商盖章</w:t>
      </w:r>
      <w:r>
        <w:rPr>
          <w:rFonts w:ascii="宋体" w:hAnsi="宋体" w:cs="仿宋_GB2312"/>
          <w:kern w:val="0"/>
          <w:szCs w:val="21"/>
        </w:rPr>
        <w:t xml:space="preserve">（公章）：                               </w:t>
      </w:r>
    </w:p>
    <w:p>
      <w:pPr>
        <w:adjustRightInd w:val="0"/>
        <w:snapToGrid w:val="0"/>
        <w:spacing w:after="120" w:afterLines="50" w:line="300" w:lineRule="exact"/>
        <w:rPr>
          <w:rFonts w:ascii="宋体" w:hAnsi="宋体" w:cs="仿宋_GB2312"/>
          <w:kern w:val="0"/>
          <w:szCs w:val="21"/>
        </w:rPr>
      </w:pPr>
      <w:r>
        <w:rPr>
          <w:rFonts w:ascii="宋体" w:hAnsi="宋体" w:cs="仿宋_GB2312"/>
          <w:kern w:val="0"/>
          <w:szCs w:val="21"/>
        </w:rPr>
        <w:t xml:space="preserve">                                    法定代表人或其授权代表</w:t>
      </w:r>
      <w:r>
        <w:rPr>
          <w:rFonts w:hint="eastAsia" w:ascii="宋体" w:hAnsi="宋体" w:cs="仿宋_GB2312"/>
          <w:kern w:val="0"/>
          <w:szCs w:val="21"/>
        </w:rPr>
        <w:t>签字或盖章：</w:t>
      </w:r>
      <w:r>
        <w:rPr>
          <w:rFonts w:ascii="宋体" w:hAnsi="宋体" w:cs="仿宋_GB2312"/>
          <w:kern w:val="0"/>
          <w:szCs w:val="21"/>
        </w:rPr>
        <w:t xml:space="preserve">                     </w:t>
      </w:r>
    </w:p>
    <w:p>
      <w:pPr>
        <w:spacing w:line="360" w:lineRule="auto"/>
        <w:rPr>
          <w:rFonts w:ascii="宋体" w:hAnsi="宋体"/>
        </w:rPr>
      </w:pPr>
      <w:r>
        <w:rPr>
          <w:rFonts w:ascii="宋体" w:hAnsi="宋体" w:cs="仿宋_GB2312"/>
          <w:kern w:val="0"/>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42"/>
        <w:jc w:val="both"/>
        <w:rPr>
          <w:rFonts w:ascii="宋体" w:hAnsi="宋体"/>
          <w:sz w:val="21"/>
          <w:szCs w:val="21"/>
        </w:rPr>
      </w:pPr>
    </w:p>
    <w:p>
      <w:pPr>
        <w:autoSpaceDE w:val="0"/>
        <w:autoSpaceDN w:val="0"/>
        <w:adjustRightInd w:val="0"/>
        <w:spacing w:line="400" w:lineRule="exact"/>
        <w:jc w:val="center"/>
        <w:outlineLvl w:val="0"/>
        <w:rPr>
          <w:rFonts w:ascii="宋体" w:hAnsi="宋体"/>
          <w:b/>
          <w:szCs w:val="21"/>
        </w:rPr>
      </w:pPr>
    </w:p>
    <w:p>
      <w:pPr>
        <w:autoSpaceDE w:val="0"/>
        <w:autoSpaceDN w:val="0"/>
        <w:adjustRightInd w:val="0"/>
        <w:spacing w:line="400" w:lineRule="exact"/>
        <w:jc w:val="center"/>
        <w:outlineLvl w:val="0"/>
        <w:rPr>
          <w:rFonts w:ascii="宋体" w:hAnsi="宋体"/>
          <w:b/>
          <w:szCs w:val="21"/>
        </w:rPr>
      </w:pPr>
    </w:p>
    <w:p>
      <w:pPr>
        <w:pStyle w:val="18"/>
      </w:pPr>
    </w:p>
    <w:p>
      <w:pPr>
        <w:autoSpaceDE w:val="0"/>
        <w:autoSpaceDN w:val="0"/>
        <w:adjustRightInd w:val="0"/>
        <w:spacing w:line="400" w:lineRule="exact"/>
        <w:jc w:val="center"/>
        <w:outlineLvl w:val="0"/>
        <w:rPr>
          <w:rFonts w:ascii="宋体" w:hAnsi="宋体"/>
          <w:b/>
          <w:szCs w:val="21"/>
        </w:rPr>
      </w:pPr>
    </w:p>
    <w:p>
      <w:pPr>
        <w:pStyle w:val="18"/>
      </w:pPr>
    </w:p>
    <w:p>
      <w:pPr>
        <w:autoSpaceDE w:val="0"/>
        <w:autoSpaceDN w:val="0"/>
        <w:adjustRightInd w:val="0"/>
        <w:spacing w:line="400" w:lineRule="exact"/>
        <w:jc w:val="center"/>
        <w:outlineLvl w:val="0"/>
        <w:rPr>
          <w:rFonts w:ascii="宋体" w:hAnsi="宋体"/>
          <w:b/>
          <w:szCs w:val="21"/>
        </w:rPr>
      </w:pPr>
      <w:r>
        <w:rPr>
          <w:rFonts w:hint="eastAsia" w:ascii="宋体" w:hAnsi="宋体"/>
          <w:b/>
          <w:szCs w:val="21"/>
        </w:rPr>
        <w:t>中小企业声明函（货物）</w:t>
      </w:r>
    </w:p>
    <w:p>
      <w:pPr>
        <w:spacing w:line="400" w:lineRule="exact"/>
        <w:rPr>
          <w:rFonts w:ascii="宋体" w:hAnsi="宋体"/>
          <w:b/>
          <w:szCs w:val="21"/>
        </w:rPr>
      </w:pPr>
    </w:p>
    <w:p>
      <w:pPr>
        <w:pStyle w:val="18"/>
        <w:spacing w:line="400" w:lineRule="exact"/>
        <w:ind w:firstLine="420" w:firstLineChars="200"/>
        <w:jc w:val="left"/>
        <w:rPr>
          <w:rFonts w:cs="宋体"/>
          <w:szCs w:val="21"/>
        </w:rPr>
      </w:pPr>
      <w:r>
        <w:rPr>
          <w:rFonts w:hint="eastAsia" w:cs="宋体"/>
          <w:szCs w:val="21"/>
        </w:rPr>
        <w:t>本公司（联合体）郑重声明，根据《政府采购促进中小企业发展管理办法》（财库﹝2020﹞46号）的规定，本公司（联合体）参加</w:t>
      </w:r>
      <w:r>
        <w:rPr>
          <w:rFonts w:hint="eastAsia" w:cs="宋体"/>
          <w:iCs/>
          <w:szCs w:val="21"/>
          <w:u w:val="single"/>
        </w:rPr>
        <w:t>（单位名称）</w:t>
      </w:r>
      <w:r>
        <w:rPr>
          <w:rFonts w:hint="eastAsia" w:cs="宋体"/>
          <w:szCs w:val="21"/>
        </w:rPr>
        <w:t>的</w:t>
      </w:r>
      <w:r>
        <w:rPr>
          <w:rFonts w:hint="eastAsia" w:cs="宋体"/>
          <w:iCs/>
          <w:szCs w:val="21"/>
          <w:u w:val="single"/>
        </w:rPr>
        <w:t>（项目名称）</w:t>
      </w:r>
      <w:r>
        <w:rPr>
          <w:rFonts w:hint="eastAsia" w:cs="宋体"/>
          <w:szCs w:val="21"/>
        </w:rPr>
        <w:t>采购活动，提供的货物全部由符合政策要求的中小企业制造。相关企业（含联合体中的中小企业、签订分包意向协议的中小企业）的具体情况如下：</w:t>
      </w:r>
    </w:p>
    <w:p>
      <w:pPr>
        <w:pStyle w:val="18"/>
        <w:spacing w:line="400" w:lineRule="exact"/>
        <w:ind w:firstLine="420" w:firstLineChars="200"/>
        <w:jc w:val="left"/>
        <w:rPr>
          <w:rFonts w:cs="宋体"/>
          <w:szCs w:val="21"/>
        </w:rPr>
      </w:pPr>
      <w:r>
        <w:rPr>
          <w:rFonts w:hint="eastAsia" w:cs="宋体"/>
          <w:szCs w:val="21"/>
        </w:rPr>
        <w:t>1.</w:t>
      </w:r>
      <w:r>
        <w:rPr>
          <w:rFonts w:hint="eastAsia" w:cs="宋体"/>
          <w:iCs/>
          <w:szCs w:val="21"/>
          <w:u w:val="single"/>
        </w:rPr>
        <w:t>（标的名称）</w:t>
      </w:r>
      <w:r>
        <w:rPr>
          <w:rFonts w:hint="eastAsia" w:cs="宋体"/>
          <w:szCs w:val="21"/>
        </w:rPr>
        <w:t>，属于</w:t>
      </w:r>
      <w:r>
        <w:rPr>
          <w:rFonts w:hint="eastAsia" w:cs="宋体"/>
          <w:iCs/>
          <w:szCs w:val="21"/>
          <w:u w:val="single"/>
        </w:rPr>
        <w:t>（采购文件中明确的所属行业）</w:t>
      </w:r>
      <w:r>
        <w:rPr>
          <w:rFonts w:hint="eastAsia" w:cs="宋体"/>
          <w:szCs w:val="21"/>
        </w:rPr>
        <w:t>行业；制造商为</w:t>
      </w:r>
      <w:r>
        <w:rPr>
          <w:rFonts w:hint="eastAsia" w:cs="宋体"/>
          <w:iCs/>
          <w:szCs w:val="21"/>
          <w:u w:val="single"/>
        </w:rPr>
        <w:t>（企业名称）</w:t>
      </w:r>
      <w:r>
        <w:rPr>
          <w:rFonts w:hint="eastAsia" w:cs="宋体"/>
          <w:szCs w:val="21"/>
        </w:rPr>
        <w:t>，从业人员</w:t>
      </w:r>
      <w:r>
        <w:rPr>
          <w:rFonts w:hint="eastAsia" w:cs="宋体"/>
          <w:szCs w:val="21"/>
          <w:u w:val="single"/>
        </w:rPr>
        <w:t xml:space="preserve">   </w:t>
      </w:r>
      <w:r>
        <w:rPr>
          <w:rFonts w:hint="eastAsia" w:cs="宋体"/>
          <w:szCs w:val="21"/>
        </w:rPr>
        <w:t>人，营业收入为</w:t>
      </w:r>
      <w:r>
        <w:rPr>
          <w:rFonts w:hint="eastAsia" w:cs="宋体"/>
          <w:szCs w:val="21"/>
          <w:u w:val="single"/>
        </w:rPr>
        <w:t xml:space="preserve">   </w:t>
      </w:r>
      <w:r>
        <w:rPr>
          <w:rFonts w:hint="eastAsia" w:cs="宋体"/>
          <w:szCs w:val="21"/>
        </w:rPr>
        <w:t>万元，资产总额为</w:t>
      </w:r>
      <w:r>
        <w:rPr>
          <w:rFonts w:hint="eastAsia" w:cs="宋体"/>
          <w:szCs w:val="21"/>
          <w:u w:val="single"/>
        </w:rPr>
        <w:t xml:space="preserve">  </w:t>
      </w:r>
      <w:r>
        <w:rPr>
          <w:rFonts w:hint="eastAsia" w:cs="宋体"/>
          <w:szCs w:val="21"/>
        </w:rPr>
        <w:t>万元</w:t>
      </w:r>
      <w:r>
        <w:fldChar w:fldCharType="begin"/>
      </w:r>
      <w:r>
        <w:instrText xml:space="preserve"> HYPERLINK \l "_bookmark0" </w:instrText>
      </w:r>
      <w:r>
        <w:fldChar w:fldCharType="separate"/>
      </w:r>
      <w:r>
        <w:rPr>
          <w:rFonts w:hint="eastAsia" w:cs="宋体"/>
          <w:szCs w:val="21"/>
          <w:vertAlign w:val="superscript"/>
        </w:rPr>
        <w:t>1</w:t>
      </w:r>
      <w:r>
        <w:rPr>
          <w:rFonts w:hint="eastAsia" w:cs="宋体"/>
          <w:szCs w:val="21"/>
          <w:vertAlign w:val="superscript"/>
        </w:rPr>
        <w:fldChar w:fldCharType="end"/>
      </w:r>
      <w:r>
        <w:rPr>
          <w:rFonts w:hint="eastAsia" w:cs="宋体"/>
          <w:szCs w:val="21"/>
        </w:rPr>
        <w:t>，属于</w:t>
      </w:r>
      <w:r>
        <w:rPr>
          <w:rFonts w:hint="eastAsia" w:cs="宋体"/>
          <w:iCs/>
          <w:szCs w:val="21"/>
          <w:u w:val="single"/>
        </w:rPr>
        <w:t>（中型企业、小型企业、微型企业）</w:t>
      </w:r>
      <w:r>
        <w:rPr>
          <w:rFonts w:hint="eastAsia" w:cs="宋体"/>
          <w:szCs w:val="21"/>
        </w:rPr>
        <w:t>；</w:t>
      </w:r>
    </w:p>
    <w:p>
      <w:pPr>
        <w:pStyle w:val="18"/>
        <w:spacing w:line="400" w:lineRule="exact"/>
        <w:ind w:firstLine="420" w:firstLineChars="200"/>
        <w:jc w:val="left"/>
        <w:rPr>
          <w:rFonts w:cs="宋体"/>
          <w:szCs w:val="21"/>
        </w:rPr>
      </w:pPr>
      <w:r>
        <w:rPr>
          <w:rFonts w:hint="eastAsia" w:cs="宋体"/>
          <w:szCs w:val="21"/>
        </w:rPr>
        <w:t>2.</w:t>
      </w:r>
      <w:r>
        <w:rPr>
          <w:rFonts w:hint="eastAsia" w:cs="宋体"/>
          <w:iCs/>
          <w:szCs w:val="21"/>
          <w:u w:val="single"/>
        </w:rPr>
        <w:t>（标的名称）</w:t>
      </w:r>
      <w:r>
        <w:rPr>
          <w:rFonts w:hint="eastAsia" w:cs="宋体"/>
          <w:szCs w:val="21"/>
        </w:rPr>
        <w:t>，属于</w:t>
      </w:r>
      <w:r>
        <w:rPr>
          <w:rFonts w:hint="eastAsia" w:cs="宋体"/>
          <w:iCs/>
          <w:szCs w:val="21"/>
          <w:u w:val="single"/>
        </w:rPr>
        <w:t>（采购文件中明确的所属行业）</w:t>
      </w:r>
      <w:r>
        <w:rPr>
          <w:rFonts w:hint="eastAsia" w:cs="宋体"/>
          <w:szCs w:val="21"/>
        </w:rPr>
        <w:t>行业；制造商为</w:t>
      </w:r>
      <w:r>
        <w:rPr>
          <w:rFonts w:hint="eastAsia" w:cs="宋体"/>
          <w:iCs/>
          <w:szCs w:val="21"/>
          <w:u w:val="single"/>
        </w:rPr>
        <w:t>（企业名称）</w:t>
      </w:r>
      <w:r>
        <w:rPr>
          <w:rFonts w:hint="eastAsia" w:cs="宋体"/>
          <w:szCs w:val="21"/>
        </w:rPr>
        <w:t>，从业人员</w:t>
      </w:r>
      <w:r>
        <w:rPr>
          <w:rFonts w:hint="eastAsia" w:cs="宋体"/>
          <w:szCs w:val="21"/>
          <w:u w:val="single"/>
        </w:rPr>
        <w:t xml:space="preserve">   </w:t>
      </w:r>
      <w:r>
        <w:rPr>
          <w:rFonts w:hint="eastAsia" w:cs="宋体"/>
          <w:szCs w:val="21"/>
        </w:rPr>
        <w:t>人，营业收入为</w:t>
      </w:r>
      <w:r>
        <w:rPr>
          <w:rFonts w:hint="eastAsia" w:cs="宋体"/>
          <w:szCs w:val="21"/>
          <w:u w:val="single"/>
        </w:rPr>
        <w:t xml:space="preserve">   </w:t>
      </w:r>
      <w:r>
        <w:rPr>
          <w:rFonts w:hint="eastAsia" w:cs="宋体"/>
          <w:szCs w:val="21"/>
        </w:rPr>
        <w:t>万元，资产总额为</w:t>
      </w:r>
      <w:r>
        <w:rPr>
          <w:rFonts w:hint="eastAsia" w:cs="宋体"/>
          <w:szCs w:val="21"/>
          <w:u w:val="single"/>
        </w:rPr>
        <w:t xml:space="preserve">   </w:t>
      </w:r>
      <w:r>
        <w:rPr>
          <w:rFonts w:hint="eastAsia" w:cs="宋体"/>
          <w:szCs w:val="21"/>
        </w:rPr>
        <w:t>万元，属于</w:t>
      </w:r>
      <w:r>
        <w:rPr>
          <w:rFonts w:hint="eastAsia" w:cs="宋体"/>
          <w:iCs/>
          <w:szCs w:val="21"/>
          <w:u w:val="single"/>
        </w:rPr>
        <w:t>（中型企业、小型企业、微型企业）</w:t>
      </w:r>
      <w:r>
        <w:rPr>
          <w:rFonts w:hint="eastAsia" w:cs="宋体"/>
          <w:szCs w:val="21"/>
        </w:rPr>
        <w:t>；</w:t>
      </w:r>
    </w:p>
    <w:p>
      <w:pPr>
        <w:pStyle w:val="18"/>
        <w:spacing w:line="400" w:lineRule="exact"/>
        <w:ind w:firstLine="420" w:firstLineChars="200"/>
        <w:jc w:val="left"/>
        <w:rPr>
          <w:rFonts w:cs="宋体"/>
          <w:szCs w:val="21"/>
        </w:rPr>
      </w:pPr>
      <w:r>
        <w:rPr>
          <w:rFonts w:hint="eastAsia" w:cs="宋体"/>
          <w:szCs w:val="21"/>
        </w:rPr>
        <w:t>……</w:t>
      </w:r>
    </w:p>
    <w:p>
      <w:pPr>
        <w:pStyle w:val="18"/>
        <w:spacing w:line="400" w:lineRule="exact"/>
        <w:ind w:firstLine="420" w:firstLineChars="200"/>
        <w:jc w:val="left"/>
        <w:rPr>
          <w:rFonts w:cs="宋体"/>
          <w:szCs w:val="21"/>
        </w:rPr>
      </w:pPr>
      <w:r>
        <w:rPr>
          <w:rFonts w:hint="eastAsia" w:cs="宋体"/>
          <w:szCs w:val="21"/>
        </w:rPr>
        <w:t>以上企业，不属于大企业的分支机构，不存在控股股东为大企业的情形，也不存在与大企业的负责人为同一人的情形。</w:t>
      </w:r>
    </w:p>
    <w:p>
      <w:pPr>
        <w:pStyle w:val="18"/>
        <w:spacing w:line="400" w:lineRule="exact"/>
        <w:ind w:firstLine="420" w:firstLineChars="200"/>
        <w:jc w:val="left"/>
        <w:rPr>
          <w:rFonts w:cs="宋体"/>
          <w:szCs w:val="21"/>
        </w:rPr>
      </w:pPr>
      <w:r>
        <w:rPr>
          <w:rFonts w:hint="eastAsia" w:cs="宋体"/>
          <w:szCs w:val="21"/>
        </w:rPr>
        <w:t>本企业对上述声明内容的真实性负责。如有虚假，将依法承担相应责任。</w:t>
      </w:r>
    </w:p>
    <w:p>
      <w:pPr>
        <w:pStyle w:val="18"/>
        <w:spacing w:line="400" w:lineRule="exact"/>
        <w:ind w:firstLine="420" w:firstLineChars="200"/>
        <w:jc w:val="center"/>
        <w:rPr>
          <w:rFonts w:cs="宋体"/>
          <w:szCs w:val="21"/>
        </w:rPr>
      </w:pPr>
    </w:p>
    <w:p>
      <w:pPr>
        <w:pStyle w:val="18"/>
        <w:spacing w:line="400" w:lineRule="exact"/>
        <w:ind w:firstLine="420" w:firstLineChars="200"/>
        <w:jc w:val="center"/>
        <w:rPr>
          <w:rFonts w:cs="宋体"/>
          <w:szCs w:val="21"/>
        </w:rPr>
      </w:pPr>
    </w:p>
    <w:p>
      <w:pPr>
        <w:pStyle w:val="18"/>
        <w:spacing w:line="400" w:lineRule="exact"/>
        <w:ind w:firstLine="420" w:firstLineChars="200"/>
        <w:jc w:val="center"/>
        <w:rPr>
          <w:rFonts w:cs="宋体"/>
          <w:szCs w:val="21"/>
        </w:rPr>
      </w:pPr>
      <w:r>
        <w:rPr>
          <w:rFonts w:hint="eastAsia" w:cs="宋体"/>
          <w:szCs w:val="21"/>
        </w:rPr>
        <w:t xml:space="preserve">企业名称（盖章）： </w:t>
      </w:r>
    </w:p>
    <w:p>
      <w:pPr>
        <w:spacing w:line="400" w:lineRule="exact"/>
        <w:ind w:firstLine="3780" w:firstLineChars="1800"/>
        <w:rPr>
          <w:rFonts w:ascii="宋体" w:hAnsi="宋体" w:cs="宋体"/>
          <w:szCs w:val="21"/>
        </w:rPr>
      </w:pPr>
      <w:r>
        <w:rPr>
          <w:rFonts w:hint="eastAsia" w:ascii="宋体" w:hAnsi="宋体" w:cs="宋体"/>
          <w:szCs w:val="21"/>
        </w:rPr>
        <w:t>日 期：</w:t>
      </w:r>
    </w:p>
    <w:p>
      <w:pPr>
        <w:spacing w:line="400" w:lineRule="exact"/>
        <w:ind w:firstLine="3780" w:firstLineChars="1800"/>
        <w:rPr>
          <w:rFonts w:ascii="宋体" w:hAnsi="宋体" w:cs="宋体"/>
          <w:szCs w:val="21"/>
        </w:rPr>
      </w:pPr>
    </w:p>
    <w:p>
      <w:pPr>
        <w:spacing w:line="400" w:lineRule="exact"/>
        <w:ind w:firstLine="3780" w:firstLineChars="1800"/>
        <w:rPr>
          <w:rFonts w:ascii="宋体" w:hAnsi="宋体"/>
          <w:szCs w:val="21"/>
        </w:rPr>
      </w:pPr>
    </w:p>
    <w:p>
      <w:pPr>
        <w:spacing w:line="400" w:lineRule="exact"/>
        <w:ind w:firstLine="3780" w:firstLineChars="1800"/>
        <w:rPr>
          <w:rFonts w:ascii="宋体" w:hAnsi="宋体"/>
          <w:szCs w:val="21"/>
        </w:rPr>
      </w:pPr>
    </w:p>
    <w:p>
      <w:pPr>
        <w:spacing w:line="400" w:lineRule="exact"/>
        <w:ind w:firstLine="3780" w:firstLineChars="1800"/>
        <w:rPr>
          <w:rFonts w:ascii="宋体" w:hAnsi="宋体"/>
          <w:szCs w:val="21"/>
        </w:rPr>
      </w:pPr>
    </w:p>
    <w:p>
      <w:pPr>
        <w:spacing w:line="400" w:lineRule="exact"/>
        <w:ind w:firstLine="3780" w:firstLineChars="1800"/>
        <w:rPr>
          <w:rFonts w:ascii="宋体" w:hAnsi="宋体"/>
          <w:szCs w:val="21"/>
        </w:rPr>
      </w:pPr>
    </w:p>
    <w:p>
      <w:pPr>
        <w:spacing w:line="400" w:lineRule="exact"/>
        <w:ind w:firstLine="3780" w:firstLineChars="1800"/>
        <w:rPr>
          <w:rFonts w:ascii="宋体" w:hAnsi="宋体"/>
          <w:szCs w:val="21"/>
        </w:rPr>
      </w:pPr>
    </w:p>
    <w:p>
      <w:pPr>
        <w:spacing w:line="400" w:lineRule="exact"/>
        <w:ind w:firstLine="3780" w:firstLineChars="1800"/>
        <w:rPr>
          <w:rFonts w:ascii="宋体" w:hAnsi="宋体"/>
          <w:szCs w:val="21"/>
        </w:rPr>
      </w:pPr>
    </w:p>
    <w:p>
      <w:pPr>
        <w:spacing w:line="588" w:lineRule="exact"/>
        <w:jc w:val="center"/>
        <w:rPr>
          <w:rFonts w:ascii="宋体" w:hAnsi="宋体"/>
          <w:szCs w:val="21"/>
        </w:rPr>
      </w:pPr>
      <w:r>
        <w:rPr>
          <w:rFonts w:ascii="宋体" w:hAnsi="宋体"/>
          <w:szCs w:val="21"/>
        </w:rPr>
        <w:t>1从业人员、营业收入、资产总额填报上一年度数据，无上一年度数据的新成立企业可不填报。</w:t>
      </w:r>
    </w:p>
    <w:p>
      <w:pPr>
        <w:pStyle w:val="3"/>
        <w:spacing w:line="400" w:lineRule="exact"/>
        <w:ind w:firstLine="883" w:firstLineChars="200"/>
        <w:rPr>
          <w:rFonts w:cs="宋体"/>
          <w:b w:val="0"/>
          <w:sz w:val="21"/>
          <w:szCs w:val="21"/>
        </w:rPr>
      </w:pPr>
      <w:r>
        <w:rPr>
          <w:szCs w:val="21"/>
        </w:rPr>
        <w:br w:type="page"/>
      </w:r>
      <w:r>
        <w:rPr>
          <w:rFonts w:hint="eastAsia" w:cs="宋体"/>
          <w:sz w:val="21"/>
          <w:szCs w:val="21"/>
        </w:rPr>
        <w:t>中小企业声明函（工程、服务）</w:t>
      </w:r>
    </w:p>
    <w:p>
      <w:pPr>
        <w:pStyle w:val="18"/>
        <w:spacing w:line="400" w:lineRule="exact"/>
        <w:ind w:firstLine="420" w:firstLineChars="200"/>
        <w:jc w:val="left"/>
        <w:rPr>
          <w:rFonts w:cs="宋体"/>
          <w:szCs w:val="21"/>
        </w:rPr>
      </w:pPr>
    </w:p>
    <w:p>
      <w:pPr>
        <w:pStyle w:val="18"/>
        <w:spacing w:line="400" w:lineRule="exact"/>
        <w:ind w:firstLine="420" w:firstLineChars="200"/>
        <w:jc w:val="left"/>
        <w:rPr>
          <w:rFonts w:cs="宋体"/>
          <w:szCs w:val="21"/>
        </w:rPr>
      </w:pPr>
      <w:r>
        <w:rPr>
          <w:rFonts w:hint="eastAsia" w:cs="宋体"/>
          <w:szCs w:val="21"/>
        </w:rPr>
        <w:t>本公司（联合体）郑重声明，根据《政府采购促进中小企业发展管理办法》（财库﹝2020﹞46 号）的规定，本公司（联合体）参加</w:t>
      </w:r>
      <w:r>
        <w:rPr>
          <w:rFonts w:hint="eastAsia" w:cs="宋体"/>
          <w:iCs/>
          <w:szCs w:val="21"/>
          <w:u w:val="single"/>
        </w:rPr>
        <w:t>（单位名称）</w:t>
      </w:r>
      <w:r>
        <w:rPr>
          <w:rFonts w:hint="eastAsia" w:cs="宋体"/>
          <w:szCs w:val="21"/>
        </w:rPr>
        <w:t>的</w:t>
      </w:r>
      <w:r>
        <w:rPr>
          <w:rFonts w:hint="eastAsia" w:cs="宋体"/>
          <w:iCs/>
          <w:szCs w:val="21"/>
          <w:u w:val="single"/>
        </w:rPr>
        <w:t>（项目名称）</w:t>
      </w:r>
      <w:r>
        <w:rPr>
          <w:rFonts w:hint="eastAsia"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8"/>
        <w:spacing w:line="400" w:lineRule="exact"/>
        <w:ind w:firstLine="420" w:firstLineChars="200"/>
        <w:rPr>
          <w:rFonts w:cs="宋体"/>
          <w:szCs w:val="21"/>
        </w:rPr>
      </w:pPr>
      <w:r>
        <w:rPr>
          <w:rFonts w:hint="eastAsia" w:cs="宋体"/>
          <w:szCs w:val="21"/>
        </w:rPr>
        <w:t>1.</w:t>
      </w:r>
      <w:r>
        <w:rPr>
          <w:rFonts w:hint="eastAsia" w:cs="宋体"/>
          <w:iCs/>
          <w:szCs w:val="21"/>
          <w:u w:val="single"/>
        </w:rPr>
        <w:t>（标的名称）</w:t>
      </w:r>
      <w:r>
        <w:rPr>
          <w:rFonts w:hint="eastAsia" w:cs="宋体"/>
          <w:szCs w:val="21"/>
        </w:rPr>
        <w:t>，属于</w:t>
      </w:r>
      <w:r>
        <w:rPr>
          <w:rFonts w:hint="eastAsia" w:cs="宋体"/>
          <w:iCs/>
          <w:szCs w:val="21"/>
          <w:u w:val="single"/>
        </w:rPr>
        <w:t>（采购文件中明确的所属行业）</w:t>
      </w:r>
      <w:r>
        <w:rPr>
          <w:rFonts w:hint="eastAsia" w:cs="宋体"/>
          <w:szCs w:val="21"/>
        </w:rPr>
        <w:t>；承建（承接）企业为</w:t>
      </w:r>
      <w:r>
        <w:rPr>
          <w:rFonts w:hint="eastAsia" w:cs="宋体"/>
          <w:iCs/>
          <w:szCs w:val="21"/>
          <w:u w:val="single"/>
        </w:rPr>
        <w:t>（企业名称）</w:t>
      </w:r>
      <w:r>
        <w:rPr>
          <w:rFonts w:hint="eastAsia" w:cs="宋体"/>
          <w:szCs w:val="21"/>
        </w:rPr>
        <w:t>，从业人员</w:t>
      </w:r>
      <w:r>
        <w:rPr>
          <w:rFonts w:hint="eastAsia" w:cs="宋体"/>
          <w:szCs w:val="21"/>
          <w:u w:val="single"/>
        </w:rPr>
        <w:t xml:space="preserve">   </w:t>
      </w:r>
      <w:r>
        <w:rPr>
          <w:rFonts w:hint="eastAsia" w:cs="宋体"/>
          <w:szCs w:val="21"/>
        </w:rPr>
        <w:t>人，营业收入为</w:t>
      </w:r>
      <w:r>
        <w:rPr>
          <w:rFonts w:hint="eastAsia" w:cs="宋体"/>
          <w:szCs w:val="21"/>
          <w:u w:val="single"/>
        </w:rPr>
        <w:t xml:space="preserve">   </w:t>
      </w:r>
      <w:r>
        <w:rPr>
          <w:rFonts w:hint="eastAsia" w:cs="宋体"/>
          <w:szCs w:val="21"/>
        </w:rPr>
        <w:t>万元，资产总额为</w:t>
      </w:r>
      <w:r>
        <w:rPr>
          <w:rFonts w:hint="eastAsia" w:cs="宋体"/>
          <w:szCs w:val="21"/>
          <w:u w:val="single"/>
        </w:rPr>
        <w:t xml:space="preserve">   </w:t>
      </w:r>
      <w:r>
        <w:rPr>
          <w:rFonts w:hint="eastAsia" w:cs="宋体"/>
          <w:szCs w:val="21"/>
        </w:rPr>
        <w:t>万元</w:t>
      </w:r>
      <w:r>
        <w:rPr>
          <w:rFonts w:hint="eastAsia" w:cs="宋体"/>
          <w:szCs w:val="21"/>
          <w:vertAlign w:val="superscript"/>
        </w:rPr>
        <w:t>1</w:t>
      </w:r>
      <w:r>
        <w:rPr>
          <w:rFonts w:hint="eastAsia" w:cs="宋体"/>
          <w:szCs w:val="21"/>
        </w:rPr>
        <w:t>，属于</w:t>
      </w:r>
      <w:r>
        <w:rPr>
          <w:rFonts w:hint="eastAsia" w:cs="宋体"/>
          <w:iCs/>
          <w:szCs w:val="21"/>
          <w:u w:val="single"/>
        </w:rPr>
        <w:t>（中型企业、小型企业、微型企业）</w:t>
      </w:r>
      <w:r>
        <w:rPr>
          <w:rFonts w:hint="eastAsia" w:cs="宋体"/>
          <w:szCs w:val="21"/>
        </w:rPr>
        <w:t>；</w:t>
      </w:r>
    </w:p>
    <w:p>
      <w:pPr>
        <w:pStyle w:val="18"/>
        <w:spacing w:line="400" w:lineRule="exact"/>
        <w:ind w:firstLine="420" w:firstLineChars="200"/>
        <w:rPr>
          <w:rFonts w:cs="宋体"/>
          <w:szCs w:val="21"/>
        </w:rPr>
      </w:pPr>
      <w:r>
        <w:rPr>
          <w:rFonts w:hint="eastAsia" w:cs="宋体"/>
          <w:szCs w:val="21"/>
        </w:rPr>
        <w:t>2.</w:t>
      </w:r>
      <w:r>
        <w:rPr>
          <w:rFonts w:hint="eastAsia" w:cs="宋体"/>
          <w:iCs/>
          <w:szCs w:val="21"/>
          <w:u w:val="single"/>
        </w:rPr>
        <w:t>（标的名称）</w:t>
      </w:r>
      <w:r>
        <w:rPr>
          <w:rFonts w:hint="eastAsia" w:cs="宋体"/>
          <w:szCs w:val="21"/>
        </w:rPr>
        <w:t>，属于</w:t>
      </w:r>
      <w:r>
        <w:rPr>
          <w:rFonts w:hint="eastAsia" w:cs="宋体"/>
          <w:iCs/>
          <w:szCs w:val="21"/>
          <w:u w:val="single"/>
        </w:rPr>
        <w:t>（采购文件中明确的所属行业）</w:t>
      </w:r>
      <w:r>
        <w:rPr>
          <w:rFonts w:hint="eastAsia" w:cs="宋体"/>
          <w:szCs w:val="21"/>
        </w:rPr>
        <w:t>；承建（承接）企业为</w:t>
      </w:r>
      <w:r>
        <w:rPr>
          <w:rFonts w:hint="eastAsia" w:cs="宋体"/>
          <w:iCs/>
          <w:szCs w:val="21"/>
          <w:u w:val="single"/>
        </w:rPr>
        <w:t>（企业名称）</w:t>
      </w:r>
      <w:r>
        <w:rPr>
          <w:rFonts w:hint="eastAsia" w:cs="宋体"/>
          <w:szCs w:val="21"/>
        </w:rPr>
        <w:t>，从业人员</w:t>
      </w:r>
      <w:r>
        <w:rPr>
          <w:rFonts w:hint="eastAsia" w:cs="宋体"/>
          <w:szCs w:val="21"/>
          <w:u w:val="single"/>
        </w:rPr>
        <w:t xml:space="preserve">   </w:t>
      </w:r>
      <w:r>
        <w:rPr>
          <w:rFonts w:hint="eastAsia" w:cs="宋体"/>
          <w:szCs w:val="21"/>
        </w:rPr>
        <w:t>人，营业收入为</w:t>
      </w:r>
      <w:r>
        <w:rPr>
          <w:rFonts w:hint="eastAsia" w:cs="宋体"/>
          <w:szCs w:val="21"/>
          <w:u w:val="single"/>
        </w:rPr>
        <w:t xml:space="preserve">   </w:t>
      </w:r>
      <w:r>
        <w:rPr>
          <w:rFonts w:hint="eastAsia" w:cs="宋体"/>
          <w:szCs w:val="21"/>
        </w:rPr>
        <w:t>万元，资产总额为</w:t>
      </w:r>
      <w:r>
        <w:rPr>
          <w:rFonts w:hint="eastAsia" w:cs="宋体"/>
          <w:szCs w:val="21"/>
          <w:u w:val="single"/>
        </w:rPr>
        <w:t xml:space="preserve">   </w:t>
      </w:r>
      <w:r>
        <w:rPr>
          <w:rFonts w:hint="eastAsia" w:cs="宋体"/>
          <w:szCs w:val="21"/>
        </w:rPr>
        <w:t>万元，属于</w:t>
      </w:r>
      <w:r>
        <w:rPr>
          <w:rFonts w:hint="eastAsia" w:cs="宋体"/>
          <w:iCs/>
          <w:szCs w:val="21"/>
          <w:u w:val="single"/>
        </w:rPr>
        <w:t>（中型企业、小型企业、微型企业）</w:t>
      </w:r>
      <w:r>
        <w:rPr>
          <w:rFonts w:hint="eastAsia" w:cs="宋体"/>
          <w:szCs w:val="21"/>
        </w:rPr>
        <w:t>；</w:t>
      </w:r>
    </w:p>
    <w:p>
      <w:pPr>
        <w:pStyle w:val="18"/>
        <w:spacing w:line="400" w:lineRule="exact"/>
        <w:ind w:firstLine="420" w:firstLineChars="200"/>
        <w:rPr>
          <w:rFonts w:cs="宋体"/>
          <w:szCs w:val="21"/>
        </w:rPr>
      </w:pPr>
      <w:r>
        <w:rPr>
          <w:rFonts w:hint="eastAsia" w:cs="宋体"/>
          <w:szCs w:val="21"/>
        </w:rPr>
        <w:t xml:space="preserve">…… </w:t>
      </w:r>
    </w:p>
    <w:p>
      <w:pPr>
        <w:pStyle w:val="18"/>
        <w:spacing w:line="400" w:lineRule="exact"/>
        <w:ind w:firstLine="420" w:firstLineChars="200"/>
        <w:jc w:val="left"/>
        <w:rPr>
          <w:rFonts w:cs="宋体"/>
          <w:szCs w:val="21"/>
        </w:rPr>
      </w:pPr>
      <w:r>
        <w:rPr>
          <w:rFonts w:hint="eastAsia" w:cs="宋体"/>
          <w:szCs w:val="21"/>
        </w:rPr>
        <w:t>以上企业，不属于大企业的分支机构，不存在控股股东为大企业的情形，也不存在与大企业的负责人为同一人的情形。</w:t>
      </w:r>
    </w:p>
    <w:p>
      <w:pPr>
        <w:pStyle w:val="18"/>
        <w:spacing w:line="400" w:lineRule="exact"/>
        <w:ind w:firstLine="420" w:firstLineChars="200"/>
        <w:jc w:val="left"/>
        <w:rPr>
          <w:rFonts w:cs="宋体"/>
          <w:szCs w:val="21"/>
        </w:rPr>
      </w:pPr>
      <w:r>
        <w:rPr>
          <w:rFonts w:hint="eastAsia" w:cs="宋体"/>
          <w:szCs w:val="21"/>
        </w:rPr>
        <w:t>本企业对上述声明内容的真实性负责。如有虚假，将依法承担相应责任。</w:t>
      </w:r>
    </w:p>
    <w:p>
      <w:pPr>
        <w:pStyle w:val="18"/>
        <w:spacing w:line="400" w:lineRule="exact"/>
        <w:ind w:firstLine="3360" w:firstLineChars="1600"/>
        <w:jc w:val="left"/>
        <w:rPr>
          <w:rFonts w:cs="宋体"/>
          <w:szCs w:val="21"/>
        </w:rPr>
      </w:pPr>
    </w:p>
    <w:p>
      <w:pPr>
        <w:pStyle w:val="18"/>
        <w:spacing w:line="400" w:lineRule="exact"/>
        <w:ind w:firstLine="4095" w:firstLineChars="1950"/>
        <w:jc w:val="left"/>
        <w:rPr>
          <w:rFonts w:cs="宋体"/>
          <w:szCs w:val="21"/>
        </w:rPr>
      </w:pPr>
      <w:r>
        <w:rPr>
          <w:rFonts w:hint="eastAsia" w:cs="宋体"/>
          <w:szCs w:val="21"/>
        </w:rPr>
        <w:t>企业名称（盖章）：</w:t>
      </w:r>
    </w:p>
    <w:p>
      <w:pPr>
        <w:spacing w:line="400" w:lineRule="exact"/>
        <w:jc w:val="center"/>
        <w:rPr>
          <w:rFonts w:ascii="宋体" w:hAnsi="宋体" w:cs="宋体"/>
          <w:szCs w:val="21"/>
        </w:rPr>
      </w:pPr>
      <w:r>
        <w:rPr>
          <w:rFonts w:hint="eastAsia" w:ascii="宋体" w:hAnsi="宋体" w:cs="宋体"/>
          <w:szCs w:val="21"/>
        </w:rPr>
        <w:t>日 期：</w:t>
      </w:r>
    </w:p>
    <w:p>
      <w:pPr>
        <w:spacing w:line="400" w:lineRule="exact"/>
        <w:jc w:val="center"/>
        <w:rPr>
          <w:rFonts w:ascii="宋体" w:hAnsi="宋体" w:cs="宋体"/>
          <w:szCs w:val="21"/>
        </w:rPr>
      </w:pPr>
    </w:p>
    <w:p>
      <w:pPr>
        <w:spacing w:line="400" w:lineRule="exact"/>
        <w:jc w:val="center"/>
        <w:rPr>
          <w:rFonts w:ascii="宋体" w:hAnsi="宋体" w:cs="宋体"/>
          <w:szCs w:val="21"/>
        </w:rPr>
      </w:pPr>
    </w:p>
    <w:p>
      <w:pPr>
        <w:spacing w:line="400" w:lineRule="exact"/>
        <w:jc w:val="center"/>
        <w:rPr>
          <w:rFonts w:ascii="宋体" w:hAnsi="宋体" w:cs="宋体"/>
          <w:szCs w:val="21"/>
        </w:rPr>
      </w:pPr>
    </w:p>
    <w:p>
      <w:pPr>
        <w:spacing w:line="400" w:lineRule="exact"/>
        <w:jc w:val="center"/>
        <w:rPr>
          <w:rFonts w:ascii="宋体" w:hAnsi="宋体" w:cs="宋体"/>
          <w:szCs w:val="21"/>
        </w:rPr>
      </w:pPr>
    </w:p>
    <w:p>
      <w:pPr>
        <w:spacing w:line="400" w:lineRule="exact"/>
        <w:ind w:firstLine="3780" w:firstLineChars="1800"/>
        <w:rPr>
          <w:rFonts w:ascii="宋体" w:hAnsi="宋体"/>
          <w:szCs w:val="21"/>
        </w:rPr>
      </w:pPr>
    </w:p>
    <w:p>
      <w:pPr>
        <w:spacing w:line="588" w:lineRule="exact"/>
        <w:jc w:val="center"/>
        <w:rPr>
          <w:rFonts w:ascii="宋体" w:hAnsi="宋体"/>
          <w:szCs w:val="21"/>
        </w:rPr>
      </w:pPr>
      <w:r>
        <w:rPr>
          <w:rFonts w:ascii="宋体" w:hAnsi="宋体"/>
          <w:szCs w:val="21"/>
        </w:rPr>
        <w:t>1从业人员、营业收入、资产总额填报上一年度数据，无上一年度数据的新成立企业可不填报。</w:t>
      </w:r>
    </w:p>
    <w:p>
      <w:pPr>
        <w:spacing w:line="400" w:lineRule="exact"/>
        <w:jc w:val="center"/>
        <w:rPr>
          <w:rFonts w:ascii="宋体" w:hAnsi="宋体"/>
          <w:szCs w:val="21"/>
        </w:rPr>
      </w:pPr>
    </w:p>
    <w:p>
      <w:pPr>
        <w:spacing w:line="588" w:lineRule="exact"/>
        <w:jc w:val="center"/>
        <w:rPr>
          <w:rFonts w:ascii="宋体" w:hAnsi="宋体"/>
          <w:b/>
          <w:szCs w:val="21"/>
        </w:rPr>
      </w:pPr>
      <w:r>
        <w:rPr>
          <w:rFonts w:ascii="宋体" w:hAnsi="宋体"/>
          <w:szCs w:val="21"/>
        </w:rPr>
        <w:br w:type="page"/>
      </w:r>
      <w:r>
        <w:rPr>
          <w:rFonts w:hint="eastAsia" w:ascii="宋体" w:hAnsi="宋体"/>
          <w:b/>
          <w:szCs w:val="21"/>
        </w:rPr>
        <w:t>残疾人福利性单位声明函（如有需提供）</w:t>
      </w:r>
    </w:p>
    <w:p>
      <w:pPr>
        <w:spacing w:line="588" w:lineRule="exact"/>
        <w:ind w:firstLine="420" w:firstLineChars="200"/>
        <w:rPr>
          <w:rFonts w:ascii="宋体" w:hAnsi="宋体"/>
          <w:szCs w:val="21"/>
        </w:rPr>
      </w:pPr>
      <w:r>
        <w:rPr>
          <w:rFonts w:hint="eastAsia" w:ascii="宋体" w:hAnsi="宋体"/>
          <w:szCs w:val="21"/>
        </w:rPr>
        <w:t>本单位郑重声明，根据《财政部</w:t>
      </w:r>
      <w:r>
        <w:rPr>
          <w:rFonts w:ascii="宋体" w:hAnsi="宋体"/>
          <w:szCs w:val="21"/>
        </w:rPr>
        <w:t xml:space="preserve"> </w:t>
      </w:r>
      <w:r>
        <w:rPr>
          <w:rFonts w:hint="eastAsia" w:ascii="宋体" w:hAnsi="宋体"/>
          <w:szCs w:val="21"/>
        </w:rPr>
        <w:t>民政部</w:t>
      </w:r>
      <w:r>
        <w:rPr>
          <w:rFonts w:ascii="宋体" w:hAnsi="宋体"/>
          <w:szCs w:val="21"/>
        </w:rPr>
        <w:t xml:space="preserve"> </w:t>
      </w:r>
      <w:r>
        <w:rPr>
          <w:rFonts w:hint="eastAsia" w:ascii="宋体" w:hAnsi="宋体"/>
          <w:szCs w:val="21"/>
        </w:rPr>
        <w:t>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w:t>
      </w:r>
      <w:r>
        <w:rPr>
          <w:rFonts w:ascii="宋体" w:hAnsi="宋体"/>
          <w:szCs w:val="21"/>
        </w:rPr>
        <w:t>______</w:t>
      </w:r>
      <w:r>
        <w:rPr>
          <w:rFonts w:hint="eastAsia" w:ascii="宋体" w:hAnsi="宋体"/>
          <w:szCs w:val="21"/>
        </w:rPr>
        <w:t>单位的</w:t>
      </w:r>
      <w:r>
        <w:rPr>
          <w:rFonts w:ascii="宋体" w:hAnsi="宋体"/>
          <w:szCs w:val="21"/>
        </w:rPr>
        <w:t>______</w:t>
      </w:r>
      <w:r>
        <w:rPr>
          <w:rFonts w:hint="eastAsia" w:ascii="宋体" w:hAnsi="宋体"/>
          <w:szCs w:val="21"/>
        </w:rPr>
        <w:t>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588" w:lineRule="exact"/>
        <w:ind w:firstLine="420" w:firstLineChars="200"/>
        <w:rPr>
          <w:rFonts w:ascii="宋体" w:hAnsi="宋体"/>
          <w:szCs w:val="21"/>
        </w:rPr>
      </w:pPr>
    </w:p>
    <w:p>
      <w:pPr>
        <w:spacing w:line="588" w:lineRule="exact"/>
        <w:ind w:firstLine="420" w:firstLineChars="200"/>
        <w:rPr>
          <w:rFonts w:ascii="宋体" w:hAnsi="宋体"/>
          <w:szCs w:val="21"/>
        </w:rPr>
      </w:pPr>
    </w:p>
    <w:p>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单位名称（盖章）：</w:t>
      </w:r>
    </w:p>
    <w:p>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exact"/>
        <w:ind w:firstLine="422" w:firstLineChars="200"/>
        <w:rPr>
          <w:rFonts w:ascii="宋体" w:hAnsi="宋体"/>
          <w:b/>
          <w:szCs w:val="21"/>
        </w:rPr>
      </w:pPr>
    </w:p>
    <w:p>
      <w:pPr>
        <w:spacing w:line="400" w:lineRule="exact"/>
        <w:ind w:firstLine="420" w:firstLineChars="200"/>
        <w:rPr>
          <w:rFonts w:ascii="宋体" w:hAnsi="宋体"/>
          <w:szCs w:val="21"/>
        </w:rPr>
      </w:pPr>
      <w:r>
        <w:rPr>
          <w:rFonts w:hint="eastAsia" w:ascii="宋体" w:hAnsi="宋体"/>
          <w:szCs w:val="21"/>
        </w:rPr>
        <w:t>注：</w:t>
      </w:r>
    </w:p>
    <w:p>
      <w:pPr>
        <w:spacing w:line="400" w:lineRule="exact"/>
        <w:ind w:firstLine="420" w:firstLineChars="200"/>
        <w:rPr>
          <w:rFonts w:ascii="宋体" w:hAnsi="宋体"/>
          <w:szCs w:val="21"/>
        </w:rPr>
      </w:pPr>
      <w:r>
        <w:rPr>
          <w:rFonts w:hint="eastAsia" w:ascii="宋体" w:hAnsi="宋体"/>
          <w:szCs w:val="21"/>
        </w:rPr>
        <w:t>享受政府采购支持政策的残疾人福利性单位应当同时满足以下条件：</w:t>
      </w:r>
    </w:p>
    <w:p>
      <w:pPr>
        <w:spacing w:line="400" w:lineRule="exact"/>
        <w:ind w:firstLine="420" w:firstLineChars="200"/>
        <w:rPr>
          <w:rFonts w:ascii="宋体" w:hAnsi="宋体"/>
          <w:szCs w:val="21"/>
        </w:rPr>
      </w:pPr>
      <w:r>
        <w:rPr>
          <w:rFonts w:hint="eastAsia" w:ascii="宋体" w:hAnsi="宋体"/>
          <w:szCs w:val="21"/>
        </w:rPr>
        <w:t>（一）安置的残疾人占本单位在职职工人数的比例不低于</w:t>
      </w:r>
      <w:r>
        <w:rPr>
          <w:rFonts w:ascii="宋体" w:hAnsi="宋体"/>
          <w:szCs w:val="21"/>
        </w:rPr>
        <w:t>25%</w:t>
      </w:r>
      <w:r>
        <w:rPr>
          <w:rFonts w:hint="eastAsia" w:ascii="宋体" w:hAnsi="宋体"/>
          <w:szCs w:val="21"/>
        </w:rPr>
        <w:t>（含</w:t>
      </w:r>
      <w:r>
        <w:rPr>
          <w:rFonts w:ascii="宋体" w:hAnsi="宋体"/>
          <w:szCs w:val="21"/>
        </w:rPr>
        <w:t>25%</w:t>
      </w:r>
      <w:r>
        <w:rPr>
          <w:rFonts w:hint="eastAsia" w:ascii="宋体" w:hAnsi="宋体"/>
          <w:szCs w:val="21"/>
        </w:rPr>
        <w:t>），并且安置的残疾人人数不少于</w:t>
      </w:r>
      <w:r>
        <w:rPr>
          <w:rFonts w:ascii="宋体" w:hAnsi="宋体"/>
          <w:szCs w:val="21"/>
        </w:rPr>
        <w:t>10</w:t>
      </w:r>
      <w:r>
        <w:rPr>
          <w:rFonts w:hint="eastAsia" w:ascii="宋体" w:hAnsi="宋体"/>
          <w:szCs w:val="21"/>
        </w:rPr>
        <w:t>人（含</w:t>
      </w:r>
      <w:r>
        <w:rPr>
          <w:rFonts w:ascii="宋体" w:hAnsi="宋体"/>
          <w:szCs w:val="21"/>
        </w:rPr>
        <w:t>10</w:t>
      </w:r>
      <w:r>
        <w:rPr>
          <w:rFonts w:hint="eastAsia" w:ascii="宋体" w:hAnsi="宋体"/>
          <w:szCs w:val="21"/>
        </w:rPr>
        <w:t>人）；</w:t>
      </w:r>
    </w:p>
    <w:p>
      <w:pPr>
        <w:spacing w:line="400" w:lineRule="exact"/>
        <w:ind w:firstLine="420" w:firstLineChars="200"/>
        <w:rPr>
          <w:rFonts w:ascii="宋体" w:hAnsi="宋体"/>
          <w:szCs w:val="21"/>
        </w:rPr>
      </w:pPr>
      <w:r>
        <w:rPr>
          <w:rFonts w:hint="eastAsia" w:ascii="宋体" w:hAnsi="宋体"/>
          <w:szCs w:val="21"/>
        </w:rPr>
        <w:t>（二）依法与安置的每位残疾人签订了一年以上（含一年）的劳动合同或服务协议；</w:t>
      </w:r>
    </w:p>
    <w:p>
      <w:pPr>
        <w:spacing w:line="400" w:lineRule="exact"/>
        <w:ind w:firstLine="420" w:firstLineChars="200"/>
        <w:rPr>
          <w:rFonts w:ascii="宋体" w:hAnsi="宋体"/>
          <w:szCs w:val="21"/>
        </w:rPr>
      </w:pPr>
      <w:r>
        <w:rPr>
          <w:rFonts w:hint="eastAsia" w:ascii="宋体" w:hAnsi="宋体"/>
          <w:szCs w:val="21"/>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szCs w:val="21"/>
        </w:rPr>
      </w:pPr>
      <w:r>
        <w:rPr>
          <w:rFonts w:hint="eastAsia" w:ascii="宋体" w:hAnsi="宋体"/>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szCs w:val="21"/>
        </w:rPr>
      </w:pPr>
      <w:r>
        <w:rPr>
          <w:rFonts w:hint="eastAsia" w:ascii="宋体" w:hAnsi="宋体"/>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szCs w:val="21"/>
        </w:rPr>
      </w:pPr>
      <w:r>
        <w:rPr>
          <w:rFonts w:hint="eastAsia" w:ascii="宋体" w:hAnsi="宋体"/>
          <w:szCs w:val="21"/>
        </w:rPr>
        <w:t>前款所称残疾人是指法定劳动年龄内，持有《中华人民共和国残疾人证》或者《中华人民共和国残疾军人证（</w:t>
      </w:r>
      <w:r>
        <w:rPr>
          <w:rFonts w:ascii="宋体" w:hAnsi="宋体"/>
          <w:szCs w:val="21"/>
        </w:rPr>
        <w:t>1</w:t>
      </w:r>
      <w:r>
        <w:rPr>
          <w:rFonts w:hint="eastAsia" w:ascii="宋体" w:hAnsi="宋体"/>
          <w:szCs w:val="21"/>
        </w:rPr>
        <w:t>至</w:t>
      </w:r>
      <w:r>
        <w:rPr>
          <w:rFonts w:ascii="宋体" w:hAnsi="宋体"/>
          <w:szCs w:val="21"/>
        </w:rPr>
        <w:t>8</w:t>
      </w:r>
      <w:r>
        <w:rPr>
          <w:rFonts w:hint="eastAsia" w:ascii="宋体" w:hAnsi="宋体"/>
          <w:szCs w:val="21"/>
        </w:rPr>
        <w:t>级）》的自然人，包括具有劳动条件和劳动意愿的精神残疾人。在职职工人数是指与残疾人福利性单位建立劳动关系并依法签订劳动合同或者服务协议的雇员人数。</w:t>
      </w:r>
    </w:p>
    <w:p>
      <w:pPr>
        <w:pStyle w:val="45"/>
        <w:ind w:firstLine="480"/>
        <w:rPr>
          <w:rFonts w:ascii="宋体" w:hAnsi="宋体"/>
        </w:rPr>
        <w:sectPr>
          <w:headerReference r:id="rId7" w:type="default"/>
          <w:footerReference r:id="rId8" w:type="default"/>
          <w:pgSz w:w="11907" w:h="16840"/>
          <w:pgMar w:top="1134" w:right="1417" w:bottom="1134" w:left="1417" w:header="284" w:footer="990" w:gutter="0"/>
          <w:cols w:space="720" w:num="1"/>
          <w:docGrid w:linePitch="285" w:charSpace="0"/>
        </w:sectPr>
      </w:pPr>
    </w:p>
    <w:tbl>
      <w:tblPr>
        <w:tblStyle w:val="47"/>
        <w:tblW w:w="9800" w:type="dxa"/>
        <w:jc w:val="center"/>
        <w:tblLayout w:type="fixed"/>
        <w:tblCellMar>
          <w:top w:w="0" w:type="dxa"/>
          <w:left w:w="108" w:type="dxa"/>
          <w:bottom w:w="0" w:type="dxa"/>
          <w:right w:w="108" w:type="dxa"/>
        </w:tblCellMar>
      </w:tblPr>
      <w:tblGrid>
        <w:gridCol w:w="1301"/>
        <w:gridCol w:w="981"/>
        <w:gridCol w:w="1155"/>
        <w:gridCol w:w="1091"/>
        <w:gridCol w:w="812"/>
        <w:gridCol w:w="970"/>
        <w:gridCol w:w="1000"/>
        <w:gridCol w:w="841"/>
        <w:gridCol w:w="835"/>
        <w:gridCol w:w="804"/>
        <w:gridCol w:w="10"/>
      </w:tblGrid>
      <w:tr>
        <w:tblPrEx>
          <w:tblCellMar>
            <w:top w:w="0" w:type="dxa"/>
            <w:left w:w="108" w:type="dxa"/>
            <w:bottom w:w="0" w:type="dxa"/>
            <w:right w:w="108" w:type="dxa"/>
          </w:tblCellMar>
        </w:tblPrEx>
        <w:trPr>
          <w:trHeight w:val="90" w:hRule="atLeast"/>
          <w:jc w:val="center"/>
        </w:trPr>
        <w:tc>
          <w:tcPr>
            <w:tcW w:w="9800" w:type="dxa"/>
            <w:gridSpan w:val="11"/>
            <w:tcBorders>
              <w:top w:val="nil"/>
              <w:left w:val="nil"/>
              <w:bottom w:val="nil"/>
              <w:right w:val="nil"/>
            </w:tcBorders>
            <w:vAlign w:val="bottom"/>
          </w:tcPr>
          <w:p>
            <w:pPr>
              <w:widowControl/>
              <w:spacing w:line="240" w:lineRule="atLeast"/>
              <w:jc w:val="center"/>
              <w:rPr>
                <w:rFonts w:ascii="宋体" w:hAnsi="宋体" w:cs="宋体"/>
                <w:b/>
                <w:bCs/>
                <w:kern w:val="0"/>
                <w:sz w:val="24"/>
                <w:szCs w:val="24"/>
              </w:rPr>
            </w:pPr>
            <w:r>
              <w:rPr>
                <w:rFonts w:hint="eastAsia" w:ascii="宋体" w:hAnsi="宋体" w:cs="宋体"/>
                <w:b/>
                <w:bCs/>
                <w:kern w:val="0"/>
                <w:szCs w:val="16"/>
              </w:rPr>
              <w:t>中小微行业划型标准规定（根据工信部联企业〔</w:t>
            </w:r>
            <w:r>
              <w:rPr>
                <w:rFonts w:ascii="宋体" w:hAnsi="宋体" w:cs="宋体"/>
                <w:b/>
                <w:bCs/>
                <w:kern w:val="0"/>
                <w:szCs w:val="16"/>
              </w:rPr>
              <w:t>2011</w:t>
            </w:r>
            <w:r>
              <w:rPr>
                <w:rFonts w:hint="eastAsia" w:ascii="宋体" w:hAnsi="宋体" w:cs="宋体"/>
                <w:b/>
                <w:bCs/>
                <w:kern w:val="0"/>
                <w:szCs w:val="16"/>
              </w:rPr>
              <w:t>〕</w:t>
            </w:r>
            <w:r>
              <w:rPr>
                <w:rFonts w:ascii="宋体" w:hAnsi="宋体" w:cs="宋体"/>
                <w:b/>
                <w:bCs/>
                <w:kern w:val="0"/>
                <w:szCs w:val="16"/>
              </w:rPr>
              <w:t>300</w:t>
            </w:r>
            <w:r>
              <w:rPr>
                <w:rFonts w:hint="eastAsia" w:ascii="宋体" w:hAnsi="宋体" w:cs="宋体"/>
                <w:b/>
                <w:bCs/>
                <w:kern w:val="0"/>
                <w:szCs w:val="16"/>
              </w:rPr>
              <w:t>号制定）</w:t>
            </w:r>
          </w:p>
        </w:tc>
      </w:tr>
      <w:tr>
        <w:tblPrEx>
          <w:tblCellMar>
            <w:top w:w="0" w:type="dxa"/>
            <w:left w:w="108" w:type="dxa"/>
            <w:bottom w:w="0" w:type="dxa"/>
            <w:right w:w="108" w:type="dxa"/>
          </w:tblCellMar>
        </w:tblPrEx>
        <w:trPr>
          <w:gridAfter w:val="1"/>
          <w:wAfter w:w="10" w:type="dxa"/>
          <w:trHeight w:val="90" w:hRule="atLeast"/>
          <w:jc w:val="center"/>
        </w:trPr>
        <w:tc>
          <w:tcPr>
            <w:tcW w:w="1301" w:type="dxa"/>
            <w:vMerge w:val="restart"/>
            <w:tcBorders>
              <w:top w:val="single" w:color="auto" w:sz="8" w:space="0"/>
              <w:left w:val="single" w:color="auto" w:sz="8" w:space="0"/>
              <w:bottom w:val="single" w:color="000000" w:sz="4" w:space="0"/>
              <w:right w:val="single" w:color="auto" w:sz="8" w:space="0"/>
            </w:tcBorders>
            <w:vAlign w:val="center"/>
          </w:tcPr>
          <w:p>
            <w:pPr>
              <w:widowControl/>
              <w:spacing w:line="240" w:lineRule="atLeast"/>
              <w:jc w:val="center"/>
              <w:rPr>
                <w:rFonts w:ascii="宋体" w:hAnsi="宋体" w:cs="宋体"/>
                <w:b/>
                <w:bCs/>
                <w:kern w:val="0"/>
                <w:szCs w:val="16"/>
              </w:rPr>
            </w:pPr>
            <w:r>
              <w:rPr>
                <w:rFonts w:hint="eastAsia" w:ascii="宋体" w:hAnsi="宋体" w:cs="宋体"/>
                <w:b/>
                <w:bCs/>
                <w:kern w:val="0"/>
                <w:szCs w:val="16"/>
              </w:rPr>
              <w:t>行业</w:t>
            </w:r>
          </w:p>
        </w:tc>
        <w:tc>
          <w:tcPr>
            <w:tcW w:w="3227" w:type="dxa"/>
            <w:gridSpan w:val="3"/>
            <w:tcBorders>
              <w:top w:val="single" w:color="auto" w:sz="8" w:space="0"/>
              <w:left w:val="nil"/>
              <w:bottom w:val="single" w:color="auto" w:sz="4" w:space="0"/>
              <w:right w:val="single" w:color="000000" w:sz="8" w:space="0"/>
            </w:tcBorders>
            <w:vAlign w:val="bottom"/>
          </w:tcPr>
          <w:p>
            <w:pPr>
              <w:widowControl/>
              <w:spacing w:line="240" w:lineRule="atLeast"/>
              <w:jc w:val="center"/>
              <w:rPr>
                <w:rFonts w:ascii="宋体" w:hAnsi="宋体" w:cs="宋体"/>
                <w:b/>
                <w:bCs/>
                <w:kern w:val="0"/>
                <w:szCs w:val="16"/>
              </w:rPr>
            </w:pPr>
            <w:r>
              <w:rPr>
                <w:rFonts w:hint="eastAsia" w:ascii="宋体" w:hAnsi="宋体" w:cs="宋体"/>
                <w:b/>
                <w:bCs/>
                <w:kern w:val="0"/>
                <w:szCs w:val="16"/>
              </w:rPr>
              <w:t>中型企业</w:t>
            </w:r>
          </w:p>
        </w:tc>
        <w:tc>
          <w:tcPr>
            <w:tcW w:w="2782" w:type="dxa"/>
            <w:gridSpan w:val="3"/>
            <w:tcBorders>
              <w:top w:val="single" w:color="auto" w:sz="8" w:space="0"/>
              <w:left w:val="nil"/>
              <w:bottom w:val="single" w:color="auto" w:sz="4" w:space="0"/>
              <w:right w:val="single" w:color="000000" w:sz="8" w:space="0"/>
            </w:tcBorders>
            <w:vAlign w:val="bottom"/>
          </w:tcPr>
          <w:p>
            <w:pPr>
              <w:widowControl/>
              <w:spacing w:line="240" w:lineRule="atLeast"/>
              <w:jc w:val="center"/>
              <w:rPr>
                <w:rFonts w:ascii="宋体" w:hAnsi="宋体" w:cs="宋体"/>
                <w:b/>
                <w:bCs/>
                <w:kern w:val="0"/>
                <w:szCs w:val="16"/>
              </w:rPr>
            </w:pPr>
            <w:r>
              <w:rPr>
                <w:rFonts w:hint="eastAsia" w:ascii="宋体" w:hAnsi="宋体" w:cs="宋体"/>
                <w:b/>
                <w:bCs/>
                <w:kern w:val="0"/>
                <w:szCs w:val="16"/>
              </w:rPr>
              <w:t>小型企业</w:t>
            </w:r>
          </w:p>
        </w:tc>
        <w:tc>
          <w:tcPr>
            <w:tcW w:w="2480" w:type="dxa"/>
            <w:gridSpan w:val="3"/>
            <w:tcBorders>
              <w:top w:val="single" w:color="auto" w:sz="8" w:space="0"/>
              <w:left w:val="nil"/>
              <w:bottom w:val="single" w:color="auto" w:sz="4" w:space="0"/>
              <w:right w:val="single" w:color="000000" w:sz="8" w:space="0"/>
            </w:tcBorders>
            <w:vAlign w:val="bottom"/>
          </w:tcPr>
          <w:p>
            <w:pPr>
              <w:widowControl/>
              <w:spacing w:line="240" w:lineRule="atLeast"/>
              <w:jc w:val="center"/>
              <w:rPr>
                <w:rFonts w:ascii="宋体" w:hAnsi="宋体" w:cs="宋体"/>
                <w:b/>
                <w:bCs/>
                <w:kern w:val="0"/>
                <w:szCs w:val="16"/>
              </w:rPr>
            </w:pPr>
            <w:r>
              <w:rPr>
                <w:rFonts w:hint="eastAsia" w:ascii="宋体" w:hAnsi="宋体" w:cs="宋体"/>
                <w:b/>
                <w:bCs/>
                <w:kern w:val="0"/>
                <w:szCs w:val="16"/>
              </w:rPr>
              <w:t>微型企业</w:t>
            </w:r>
          </w:p>
        </w:tc>
      </w:tr>
      <w:tr>
        <w:tblPrEx>
          <w:tblCellMar>
            <w:top w:w="0" w:type="dxa"/>
            <w:left w:w="108" w:type="dxa"/>
            <w:bottom w:w="0" w:type="dxa"/>
            <w:right w:w="108" w:type="dxa"/>
          </w:tblCellMar>
        </w:tblPrEx>
        <w:trPr>
          <w:gridAfter w:val="1"/>
          <w:wAfter w:w="10" w:type="dxa"/>
          <w:trHeight w:val="90" w:hRule="atLeast"/>
          <w:jc w:val="center"/>
        </w:trPr>
        <w:tc>
          <w:tcPr>
            <w:tcW w:w="1301" w:type="dxa"/>
            <w:vMerge w:val="continue"/>
            <w:tcBorders>
              <w:top w:val="single" w:color="auto" w:sz="8" w:space="0"/>
              <w:left w:val="single" w:color="auto" w:sz="8" w:space="0"/>
              <w:bottom w:val="single" w:color="000000" w:sz="4" w:space="0"/>
              <w:right w:val="single" w:color="auto" w:sz="8" w:space="0"/>
            </w:tcBorders>
            <w:vAlign w:val="center"/>
          </w:tcPr>
          <w:p>
            <w:pPr>
              <w:widowControl/>
              <w:spacing w:line="240" w:lineRule="atLeast"/>
              <w:jc w:val="left"/>
              <w:rPr>
                <w:rFonts w:ascii="宋体" w:hAnsi="宋体" w:cs="宋体"/>
                <w:b/>
                <w:bCs/>
                <w:kern w:val="0"/>
                <w:szCs w:val="16"/>
              </w:rPr>
            </w:pPr>
          </w:p>
        </w:tc>
        <w:tc>
          <w:tcPr>
            <w:tcW w:w="981" w:type="dxa"/>
            <w:tcBorders>
              <w:top w:val="nil"/>
              <w:left w:val="nil"/>
              <w:bottom w:val="single" w:color="auto" w:sz="4" w:space="0"/>
              <w:right w:val="single" w:color="auto" w:sz="4" w:space="0"/>
            </w:tcBorders>
            <w:vAlign w:val="bottom"/>
          </w:tcPr>
          <w:p>
            <w:pPr>
              <w:widowControl/>
              <w:spacing w:line="240" w:lineRule="atLeast"/>
              <w:jc w:val="center"/>
              <w:rPr>
                <w:rFonts w:ascii="宋体" w:hAnsi="宋体" w:cs="宋体"/>
                <w:kern w:val="0"/>
                <w:sz w:val="16"/>
                <w:szCs w:val="16"/>
              </w:rPr>
            </w:pPr>
            <w:r>
              <w:rPr>
                <w:rFonts w:hint="eastAsia" w:ascii="宋体" w:hAnsi="宋体" w:cs="宋体"/>
                <w:kern w:val="0"/>
                <w:sz w:val="16"/>
                <w:szCs w:val="16"/>
              </w:rPr>
              <w:t>从业人员</w:t>
            </w:r>
            <w:r>
              <w:rPr>
                <w:rFonts w:ascii="宋体" w:hAnsi="宋体" w:cs="宋体"/>
                <w:kern w:val="0"/>
                <w:sz w:val="16"/>
                <w:szCs w:val="16"/>
              </w:rPr>
              <w:t>X</w:t>
            </w:r>
            <w:r>
              <w:rPr>
                <w:rFonts w:hint="eastAsia" w:ascii="宋体" w:hAnsi="宋体" w:cs="宋体"/>
                <w:kern w:val="0"/>
                <w:sz w:val="16"/>
                <w:szCs w:val="16"/>
              </w:rPr>
              <w:t>（人）</w:t>
            </w:r>
          </w:p>
        </w:tc>
        <w:tc>
          <w:tcPr>
            <w:tcW w:w="1155" w:type="dxa"/>
            <w:tcBorders>
              <w:top w:val="nil"/>
              <w:left w:val="nil"/>
              <w:bottom w:val="single" w:color="auto" w:sz="4" w:space="0"/>
              <w:right w:val="single" w:color="auto" w:sz="4" w:space="0"/>
            </w:tcBorders>
            <w:vAlign w:val="bottom"/>
          </w:tcPr>
          <w:p>
            <w:pPr>
              <w:widowControl/>
              <w:spacing w:line="240" w:lineRule="atLeast"/>
              <w:jc w:val="center"/>
              <w:rPr>
                <w:rFonts w:ascii="宋体" w:hAnsi="宋体" w:cs="宋体"/>
                <w:kern w:val="0"/>
                <w:sz w:val="16"/>
                <w:szCs w:val="16"/>
              </w:rPr>
            </w:pPr>
            <w:r>
              <w:rPr>
                <w:rFonts w:hint="eastAsia" w:ascii="宋体" w:hAnsi="宋体" w:cs="宋体"/>
                <w:kern w:val="0"/>
                <w:sz w:val="16"/>
                <w:szCs w:val="16"/>
              </w:rPr>
              <w:t>营业收入</w:t>
            </w:r>
            <w:r>
              <w:rPr>
                <w:rFonts w:ascii="宋体" w:hAnsi="宋体" w:cs="宋体"/>
                <w:kern w:val="0"/>
                <w:sz w:val="16"/>
                <w:szCs w:val="16"/>
              </w:rPr>
              <w:t>Y</w:t>
            </w:r>
          </w:p>
          <w:p>
            <w:pPr>
              <w:widowControl/>
              <w:spacing w:line="240" w:lineRule="atLeast"/>
              <w:jc w:val="center"/>
              <w:rPr>
                <w:rFonts w:ascii="宋体" w:hAnsi="宋体" w:cs="宋体"/>
                <w:kern w:val="0"/>
                <w:sz w:val="16"/>
                <w:szCs w:val="16"/>
              </w:rPr>
            </w:pPr>
            <w:r>
              <w:rPr>
                <w:rFonts w:hint="eastAsia" w:ascii="宋体" w:hAnsi="宋体" w:cs="宋体"/>
                <w:kern w:val="0"/>
                <w:sz w:val="16"/>
                <w:szCs w:val="16"/>
              </w:rPr>
              <w:t>（万元）</w:t>
            </w:r>
          </w:p>
        </w:tc>
        <w:tc>
          <w:tcPr>
            <w:tcW w:w="1091" w:type="dxa"/>
            <w:tcBorders>
              <w:top w:val="nil"/>
              <w:left w:val="nil"/>
              <w:bottom w:val="single" w:color="auto" w:sz="4" w:space="0"/>
              <w:right w:val="single" w:color="auto" w:sz="8" w:space="0"/>
            </w:tcBorders>
            <w:vAlign w:val="bottom"/>
          </w:tcPr>
          <w:p>
            <w:pPr>
              <w:widowControl/>
              <w:spacing w:line="240" w:lineRule="atLeast"/>
              <w:jc w:val="center"/>
              <w:rPr>
                <w:rFonts w:ascii="宋体" w:hAnsi="宋体" w:cs="宋体"/>
                <w:kern w:val="0"/>
                <w:sz w:val="16"/>
                <w:szCs w:val="16"/>
              </w:rPr>
            </w:pPr>
            <w:r>
              <w:rPr>
                <w:rFonts w:hint="eastAsia" w:ascii="宋体" w:hAnsi="宋体" w:cs="宋体"/>
                <w:kern w:val="0"/>
                <w:sz w:val="16"/>
                <w:szCs w:val="16"/>
              </w:rPr>
              <w:t>资产总额</w:t>
            </w:r>
            <w:r>
              <w:rPr>
                <w:rFonts w:ascii="宋体" w:hAnsi="宋体" w:cs="宋体"/>
                <w:kern w:val="0"/>
                <w:sz w:val="16"/>
                <w:szCs w:val="16"/>
              </w:rPr>
              <w:t>Z</w:t>
            </w:r>
          </w:p>
          <w:p>
            <w:pPr>
              <w:widowControl/>
              <w:spacing w:line="240" w:lineRule="atLeast"/>
              <w:jc w:val="center"/>
              <w:rPr>
                <w:rFonts w:ascii="宋体" w:hAnsi="宋体" w:cs="宋体"/>
                <w:kern w:val="0"/>
                <w:sz w:val="16"/>
                <w:szCs w:val="16"/>
              </w:rPr>
            </w:pPr>
            <w:r>
              <w:rPr>
                <w:rFonts w:hint="eastAsia" w:ascii="宋体" w:hAnsi="宋体" w:cs="宋体"/>
                <w:kern w:val="0"/>
                <w:sz w:val="16"/>
                <w:szCs w:val="16"/>
              </w:rPr>
              <w:t>（万元）</w:t>
            </w:r>
          </w:p>
        </w:tc>
        <w:tc>
          <w:tcPr>
            <w:tcW w:w="812" w:type="dxa"/>
            <w:tcBorders>
              <w:top w:val="nil"/>
              <w:left w:val="nil"/>
              <w:bottom w:val="single" w:color="auto" w:sz="4" w:space="0"/>
              <w:right w:val="single" w:color="auto" w:sz="4" w:space="0"/>
            </w:tcBorders>
            <w:vAlign w:val="bottom"/>
          </w:tcPr>
          <w:p>
            <w:pPr>
              <w:widowControl/>
              <w:spacing w:line="240" w:lineRule="atLeast"/>
              <w:jc w:val="center"/>
              <w:rPr>
                <w:rFonts w:ascii="宋体" w:hAnsi="宋体" w:cs="宋体"/>
                <w:kern w:val="0"/>
                <w:sz w:val="16"/>
                <w:szCs w:val="16"/>
              </w:rPr>
            </w:pPr>
            <w:r>
              <w:rPr>
                <w:rFonts w:hint="eastAsia" w:ascii="宋体" w:hAnsi="宋体" w:cs="宋体"/>
                <w:kern w:val="0"/>
                <w:sz w:val="16"/>
                <w:szCs w:val="16"/>
              </w:rPr>
              <w:t>从业人员</w:t>
            </w:r>
            <w:r>
              <w:rPr>
                <w:rFonts w:ascii="宋体" w:hAnsi="宋体" w:cs="宋体"/>
                <w:kern w:val="0"/>
                <w:sz w:val="16"/>
                <w:szCs w:val="16"/>
              </w:rPr>
              <w:t>X</w:t>
            </w:r>
            <w:r>
              <w:rPr>
                <w:rFonts w:hint="eastAsia" w:ascii="宋体" w:hAnsi="宋体" w:cs="宋体"/>
                <w:kern w:val="0"/>
                <w:sz w:val="16"/>
                <w:szCs w:val="16"/>
              </w:rPr>
              <w:t>（人）</w:t>
            </w:r>
          </w:p>
        </w:tc>
        <w:tc>
          <w:tcPr>
            <w:tcW w:w="970" w:type="dxa"/>
            <w:tcBorders>
              <w:top w:val="nil"/>
              <w:left w:val="nil"/>
              <w:bottom w:val="single" w:color="auto" w:sz="4" w:space="0"/>
              <w:right w:val="single" w:color="auto" w:sz="4" w:space="0"/>
            </w:tcBorders>
            <w:vAlign w:val="bottom"/>
          </w:tcPr>
          <w:p>
            <w:pPr>
              <w:widowControl/>
              <w:spacing w:line="240" w:lineRule="atLeast"/>
              <w:jc w:val="center"/>
              <w:rPr>
                <w:rFonts w:ascii="宋体" w:hAnsi="宋体" w:cs="宋体"/>
                <w:kern w:val="0"/>
                <w:sz w:val="16"/>
                <w:szCs w:val="16"/>
              </w:rPr>
            </w:pPr>
            <w:r>
              <w:rPr>
                <w:rFonts w:hint="eastAsia" w:ascii="宋体" w:hAnsi="宋体" w:cs="宋体"/>
                <w:kern w:val="0"/>
                <w:sz w:val="16"/>
                <w:szCs w:val="16"/>
              </w:rPr>
              <w:t>营业收入</w:t>
            </w:r>
            <w:r>
              <w:rPr>
                <w:rFonts w:ascii="宋体" w:hAnsi="宋体" w:cs="宋体"/>
                <w:kern w:val="0"/>
                <w:sz w:val="16"/>
                <w:szCs w:val="16"/>
              </w:rPr>
              <w:t>Y</w:t>
            </w:r>
          </w:p>
          <w:p>
            <w:pPr>
              <w:widowControl/>
              <w:spacing w:line="240" w:lineRule="atLeast"/>
              <w:jc w:val="center"/>
              <w:rPr>
                <w:rFonts w:ascii="宋体" w:hAnsi="宋体" w:cs="宋体"/>
                <w:kern w:val="0"/>
                <w:sz w:val="16"/>
                <w:szCs w:val="16"/>
              </w:rPr>
            </w:pPr>
            <w:r>
              <w:rPr>
                <w:rFonts w:hint="eastAsia" w:ascii="宋体" w:hAnsi="宋体" w:cs="宋体"/>
                <w:kern w:val="0"/>
                <w:sz w:val="16"/>
                <w:szCs w:val="16"/>
              </w:rPr>
              <w:t>（万元）</w:t>
            </w:r>
          </w:p>
        </w:tc>
        <w:tc>
          <w:tcPr>
            <w:tcW w:w="1000" w:type="dxa"/>
            <w:tcBorders>
              <w:top w:val="nil"/>
              <w:left w:val="nil"/>
              <w:bottom w:val="single" w:color="auto" w:sz="4" w:space="0"/>
              <w:right w:val="single" w:color="auto" w:sz="8" w:space="0"/>
            </w:tcBorders>
            <w:vAlign w:val="bottom"/>
          </w:tcPr>
          <w:p>
            <w:pPr>
              <w:widowControl/>
              <w:spacing w:line="240" w:lineRule="atLeast"/>
              <w:jc w:val="center"/>
              <w:rPr>
                <w:rFonts w:ascii="宋体" w:hAnsi="宋体" w:cs="宋体"/>
                <w:kern w:val="0"/>
                <w:sz w:val="16"/>
                <w:szCs w:val="16"/>
              </w:rPr>
            </w:pPr>
            <w:r>
              <w:rPr>
                <w:rFonts w:hint="eastAsia" w:ascii="宋体" w:hAnsi="宋体" w:cs="宋体"/>
                <w:kern w:val="0"/>
                <w:sz w:val="16"/>
                <w:szCs w:val="16"/>
              </w:rPr>
              <w:t>资产总额</w:t>
            </w:r>
            <w:r>
              <w:rPr>
                <w:rFonts w:ascii="宋体" w:hAnsi="宋体" w:cs="宋体"/>
                <w:kern w:val="0"/>
                <w:sz w:val="16"/>
                <w:szCs w:val="16"/>
              </w:rPr>
              <w:t>Z</w:t>
            </w:r>
          </w:p>
          <w:p>
            <w:pPr>
              <w:widowControl/>
              <w:spacing w:line="240" w:lineRule="atLeast"/>
              <w:jc w:val="center"/>
              <w:rPr>
                <w:rFonts w:ascii="宋体" w:hAnsi="宋体" w:cs="宋体"/>
                <w:kern w:val="0"/>
                <w:sz w:val="16"/>
                <w:szCs w:val="16"/>
              </w:rPr>
            </w:pPr>
            <w:r>
              <w:rPr>
                <w:rFonts w:hint="eastAsia" w:ascii="宋体" w:hAnsi="宋体" w:cs="宋体"/>
                <w:kern w:val="0"/>
                <w:sz w:val="16"/>
                <w:szCs w:val="16"/>
              </w:rPr>
              <w:t>（万元）</w:t>
            </w:r>
          </w:p>
        </w:tc>
        <w:tc>
          <w:tcPr>
            <w:tcW w:w="841" w:type="dxa"/>
            <w:tcBorders>
              <w:top w:val="nil"/>
              <w:left w:val="nil"/>
              <w:bottom w:val="single" w:color="auto" w:sz="4" w:space="0"/>
              <w:right w:val="single" w:color="auto" w:sz="4" w:space="0"/>
            </w:tcBorders>
            <w:vAlign w:val="bottom"/>
          </w:tcPr>
          <w:p>
            <w:pPr>
              <w:widowControl/>
              <w:spacing w:line="240" w:lineRule="atLeast"/>
              <w:jc w:val="center"/>
              <w:rPr>
                <w:rFonts w:ascii="宋体" w:hAnsi="宋体" w:cs="宋体"/>
                <w:kern w:val="0"/>
                <w:sz w:val="16"/>
                <w:szCs w:val="16"/>
              </w:rPr>
            </w:pPr>
            <w:r>
              <w:rPr>
                <w:rFonts w:hint="eastAsia" w:ascii="宋体" w:hAnsi="宋体" w:cs="宋体"/>
                <w:kern w:val="0"/>
                <w:sz w:val="16"/>
                <w:szCs w:val="16"/>
              </w:rPr>
              <w:t>从业人员</w:t>
            </w:r>
            <w:r>
              <w:rPr>
                <w:rFonts w:ascii="宋体" w:hAnsi="宋体" w:cs="宋体"/>
                <w:kern w:val="0"/>
                <w:sz w:val="16"/>
                <w:szCs w:val="16"/>
              </w:rPr>
              <w:t>X</w:t>
            </w:r>
            <w:r>
              <w:rPr>
                <w:rFonts w:hint="eastAsia" w:ascii="宋体" w:hAnsi="宋体" w:cs="宋体"/>
                <w:kern w:val="0"/>
                <w:sz w:val="16"/>
                <w:szCs w:val="16"/>
              </w:rPr>
              <w:t>（人）</w:t>
            </w:r>
          </w:p>
        </w:tc>
        <w:tc>
          <w:tcPr>
            <w:tcW w:w="835" w:type="dxa"/>
            <w:tcBorders>
              <w:top w:val="nil"/>
              <w:left w:val="nil"/>
              <w:bottom w:val="single" w:color="auto" w:sz="4" w:space="0"/>
              <w:right w:val="single" w:color="auto" w:sz="4" w:space="0"/>
            </w:tcBorders>
            <w:vAlign w:val="bottom"/>
          </w:tcPr>
          <w:p>
            <w:pPr>
              <w:widowControl/>
              <w:spacing w:line="240" w:lineRule="atLeast"/>
              <w:jc w:val="center"/>
              <w:rPr>
                <w:rFonts w:ascii="宋体" w:hAnsi="宋体" w:cs="宋体"/>
                <w:kern w:val="0"/>
                <w:sz w:val="16"/>
                <w:szCs w:val="16"/>
              </w:rPr>
            </w:pPr>
            <w:r>
              <w:rPr>
                <w:rFonts w:hint="eastAsia" w:ascii="宋体" w:hAnsi="宋体" w:cs="宋体"/>
                <w:kern w:val="0"/>
                <w:sz w:val="16"/>
                <w:szCs w:val="16"/>
              </w:rPr>
              <w:t>营业收入</w:t>
            </w:r>
            <w:r>
              <w:rPr>
                <w:rFonts w:ascii="宋体" w:hAnsi="宋体" w:cs="宋体"/>
                <w:kern w:val="0"/>
                <w:sz w:val="16"/>
                <w:szCs w:val="16"/>
              </w:rPr>
              <w:t>Y</w:t>
            </w:r>
            <w:r>
              <w:rPr>
                <w:rFonts w:hint="eastAsia" w:ascii="宋体" w:hAnsi="宋体" w:cs="宋体"/>
                <w:kern w:val="0"/>
                <w:sz w:val="16"/>
                <w:szCs w:val="16"/>
              </w:rPr>
              <w:t>（万元）</w:t>
            </w:r>
          </w:p>
        </w:tc>
        <w:tc>
          <w:tcPr>
            <w:tcW w:w="804" w:type="dxa"/>
            <w:tcBorders>
              <w:top w:val="nil"/>
              <w:left w:val="nil"/>
              <w:bottom w:val="single" w:color="auto" w:sz="4" w:space="0"/>
              <w:right w:val="single" w:color="auto" w:sz="8" w:space="0"/>
            </w:tcBorders>
            <w:vAlign w:val="bottom"/>
          </w:tcPr>
          <w:p>
            <w:pPr>
              <w:widowControl/>
              <w:spacing w:line="240" w:lineRule="atLeast"/>
              <w:jc w:val="center"/>
              <w:rPr>
                <w:rFonts w:ascii="宋体" w:hAnsi="宋体" w:cs="宋体"/>
                <w:kern w:val="0"/>
                <w:sz w:val="16"/>
                <w:szCs w:val="16"/>
              </w:rPr>
            </w:pPr>
            <w:r>
              <w:rPr>
                <w:rFonts w:hint="eastAsia" w:ascii="宋体" w:hAnsi="宋体" w:cs="宋体"/>
                <w:kern w:val="0"/>
                <w:sz w:val="16"/>
                <w:szCs w:val="16"/>
              </w:rPr>
              <w:t>资产总额</w:t>
            </w:r>
            <w:r>
              <w:rPr>
                <w:rFonts w:ascii="宋体" w:hAnsi="宋体" w:cs="宋体"/>
                <w:kern w:val="0"/>
                <w:sz w:val="16"/>
                <w:szCs w:val="16"/>
              </w:rPr>
              <w:t>Z</w:t>
            </w:r>
            <w:r>
              <w:rPr>
                <w:rFonts w:hint="eastAsia" w:ascii="宋体" w:hAnsi="宋体" w:cs="宋体"/>
                <w:kern w:val="0"/>
                <w:sz w:val="16"/>
                <w:szCs w:val="16"/>
              </w:rPr>
              <w:t>（万元）</w:t>
            </w:r>
          </w:p>
        </w:tc>
      </w:tr>
      <w:tr>
        <w:tblPrEx>
          <w:tblCellMar>
            <w:top w:w="0" w:type="dxa"/>
            <w:left w:w="108" w:type="dxa"/>
            <w:bottom w:w="0" w:type="dxa"/>
            <w:right w:w="108" w:type="dxa"/>
          </w:tblCellMar>
        </w:tblPrEx>
        <w:trPr>
          <w:gridAfter w:val="1"/>
          <w:wAfter w:w="10" w:type="dxa"/>
          <w:trHeight w:val="90" w:hRule="atLeast"/>
          <w:jc w:val="center"/>
        </w:trPr>
        <w:tc>
          <w:tcPr>
            <w:tcW w:w="1301" w:type="dxa"/>
            <w:tcBorders>
              <w:top w:val="nil"/>
              <w:left w:val="single" w:color="auto" w:sz="8" w:space="0"/>
              <w:bottom w:val="single" w:color="auto" w:sz="4" w:space="0"/>
              <w:right w:val="single" w:color="auto" w:sz="8" w:space="0"/>
            </w:tcBorders>
            <w:vAlign w:val="bottom"/>
          </w:tcPr>
          <w:p>
            <w:pPr>
              <w:widowControl/>
              <w:spacing w:line="240" w:lineRule="atLeast"/>
              <w:jc w:val="left"/>
              <w:rPr>
                <w:rFonts w:ascii="宋体" w:hAnsi="宋体" w:cs="宋体"/>
                <w:kern w:val="0"/>
                <w:sz w:val="16"/>
                <w:szCs w:val="16"/>
              </w:rPr>
            </w:pPr>
            <w:r>
              <w:rPr>
                <w:rFonts w:ascii="宋体" w:hAnsi="宋体" w:cs="宋体"/>
                <w:kern w:val="0"/>
                <w:sz w:val="16"/>
                <w:szCs w:val="16"/>
              </w:rPr>
              <w:t>1</w:t>
            </w:r>
            <w:r>
              <w:rPr>
                <w:rFonts w:hint="eastAsia" w:ascii="宋体" w:hAnsi="宋体" w:cs="宋体"/>
                <w:kern w:val="0"/>
                <w:sz w:val="16"/>
                <w:szCs w:val="16"/>
              </w:rPr>
              <w:t>、农林牧渔业</w:t>
            </w:r>
          </w:p>
        </w:tc>
        <w:tc>
          <w:tcPr>
            <w:tcW w:w="98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p>
        </w:tc>
        <w:tc>
          <w:tcPr>
            <w:tcW w:w="115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500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20000</w:t>
            </w:r>
          </w:p>
        </w:tc>
        <w:tc>
          <w:tcPr>
            <w:tcW w:w="1091"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12"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p>
        </w:tc>
        <w:tc>
          <w:tcPr>
            <w:tcW w:w="970"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50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500</w:t>
            </w:r>
          </w:p>
        </w:tc>
        <w:tc>
          <w:tcPr>
            <w:tcW w:w="1000"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4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p>
        </w:tc>
        <w:tc>
          <w:tcPr>
            <w:tcW w:w="83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50</w:t>
            </w:r>
          </w:p>
        </w:tc>
        <w:tc>
          <w:tcPr>
            <w:tcW w:w="804"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r>
      <w:tr>
        <w:tblPrEx>
          <w:tblCellMar>
            <w:top w:w="0" w:type="dxa"/>
            <w:left w:w="108" w:type="dxa"/>
            <w:bottom w:w="0" w:type="dxa"/>
            <w:right w:w="108" w:type="dxa"/>
          </w:tblCellMar>
        </w:tblPrEx>
        <w:trPr>
          <w:gridAfter w:val="1"/>
          <w:wAfter w:w="10" w:type="dxa"/>
          <w:trHeight w:val="90" w:hRule="atLeast"/>
          <w:jc w:val="center"/>
        </w:trPr>
        <w:tc>
          <w:tcPr>
            <w:tcW w:w="1301" w:type="dxa"/>
            <w:tcBorders>
              <w:top w:val="nil"/>
              <w:left w:val="single" w:color="auto" w:sz="8" w:space="0"/>
              <w:bottom w:val="single" w:color="auto" w:sz="4" w:space="0"/>
              <w:right w:val="single" w:color="auto" w:sz="8" w:space="0"/>
            </w:tcBorders>
            <w:vAlign w:val="bottom"/>
          </w:tcPr>
          <w:p>
            <w:pPr>
              <w:widowControl/>
              <w:spacing w:line="240" w:lineRule="atLeast"/>
              <w:jc w:val="left"/>
              <w:rPr>
                <w:rFonts w:ascii="宋体" w:hAnsi="宋体" w:cs="宋体"/>
                <w:kern w:val="0"/>
                <w:sz w:val="16"/>
                <w:szCs w:val="16"/>
              </w:rPr>
            </w:pPr>
            <w:r>
              <w:rPr>
                <w:rFonts w:ascii="宋体" w:hAnsi="宋体" w:cs="宋体"/>
                <w:kern w:val="0"/>
                <w:sz w:val="16"/>
                <w:szCs w:val="16"/>
              </w:rPr>
              <w:t>2</w:t>
            </w:r>
            <w:r>
              <w:rPr>
                <w:rFonts w:hint="eastAsia" w:ascii="宋体" w:hAnsi="宋体" w:cs="宋体"/>
                <w:kern w:val="0"/>
                <w:sz w:val="16"/>
                <w:szCs w:val="16"/>
              </w:rPr>
              <w:t>、工业</w:t>
            </w:r>
          </w:p>
        </w:tc>
        <w:tc>
          <w:tcPr>
            <w:tcW w:w="98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300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1000</w:t>
            </w:r>
          </w:p>
        </w:tc>
        <w:tc>
          <w:tcPr>
            <w:tcW w:w="115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2000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40000</w:t>
            </w:r>
          </w:p>
        </w:tc>
        <w:tc>
          <w:tcPr>
            <w:tcW w:w="1091"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12"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20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300</w:t>
            </w:r>
          </w:p>
        </w:tc>
        <w:tc>
          <w:tcPr>
            <w:tcW w:w="970"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300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2000</w:t>
            </w:r>
          </w:p>
        </w:tc>
        <w:tc>
          <w:tcPr>
            <w:tcW w:w="1000"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4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20</w:t>
            </w:r>
          </w:p>
        </w:tc>
        <w:tc>
          <w:tcPr>
            <w:tcW w:w="83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300</w:t>
            </w:r>
          </w:p>
        </w:tc>
        <w:tc>
          <w:tcPr>
            <w:tcW w:w="804"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r>
      <w:tr>
        <w:tblPrEx>
          <w:tblCellMar>
            <w:top w:w="0" w:type="dxa"/>
            <w:left w:w="108" w:type="dxa"/>
            <w:bottom w:w="0" w:type="dxa"/>
            <w:right w:w="108" w:type="dxa"/>
          </w:tblCellMar>
        </w:tblPrEx>
        <w:trPr>
          <w:gridAfter w:val="1"/>
          <w:wAfter w:w="10" w:type="dxa"/>
          <w:trHeight w:val="90" w:hRule="atLeast"/>
          <w:jc w:val="center"/>
        </w:trPr>
        <w:tc>
          <w:tcPr>
            <w:tcW w:w="1301" w:type="dxa"/>
            <w:tcBorders>
              <w:top w:val="nil"/>
              <w:left w:val="single" w:color="auto" w:sz="8" w:space="0"/>
              <w:bottom w:val="single" w:color="auto" w:sz="4" w:space="0"/>
              <w:right w:val="single" w:color="auto" w:sz="8" w:space="0"/>
            </w:tcBorders>
            <w:vAlign w:val="bottom"/>
          </w:tcPr>
          <w:p>
            <w:pPr>
              <w:widowControl/>
              <w:spacing w:line="240" w:lineRule="atLeast"/>
              <w:jc w:val="left"/>
              <w:rPr>
                <w:rFonts w:ascii="宋体" w:hAnsi="宋体" w:cs="宋体"/>
                <w:kern w:val="0"/>
                <w:sz w:val="16"/>
                <w:szCs w:val="16"/>
              </w:rPr>
            </w:pPr>
            <w:r>
              <w:rPr>
                <w:rFonts w:ascii="宋体" w:hAnsi="宋体" w:cs="宋体"/>
                <w:kern w:val="0"/>
                <w:sz w:val="16"/>
                <w:szCs w:val="16"/>
              </w:rPr>
              <w:t>3</w:t>
            </w:r>
            <w:r>
              <w:rPr>
                <w:rFonts w:hint="eastAsia" w:ascii="宋体" w:hAnsi="宋体" w:cs="宋体"/>
                <w:kern w:val="0"/>
                <w:sz w:val="16"/>
                <w:szCs w:val="16"/>
              </w:rPr>
              <w:t>、建筑业</w:t>
            </w:r>
          </w:p>
        </w:tc>
        <w:tc>
          <w:tcPr>
            <w:tcW w:w="98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p>
        </w:tc>
        <w:tc>
          <w:tcPr>
            <w:tcW w:w="115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6000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80000</w:t>
            </w:r>
          </w:p>
        </w:tc>
        <w:tc>
          <w:tcPr>
            <w:tcW w:w="1091"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5000</w:t>
            </w:r>
            <w:r>
              <w:rPr>
                <w:rFonts w:hint="eastAsia" w:ascii="宋体" w:hAnsi="宋体" w:cs="宋体"/>
                <w:kern w:val="0"/>
                <w:sz w:val="16"/>
                <w:szCs w:val="16"/>
              </w:rPr>
              <w:t>≤</w:t>
            </w:r>
            <w:r>
              <w:rPr>
                <w:rFonts w:ascii="宋体" w:hAnsi="宋体" w:cs="宋体"/>
                <w:kern w:val="0"/>
                <w:sz w:val="16"/>
                <w:szCs w:val="16"/>
              </w:rPr>
              <w:t>Z</w:t>
            </w:r>
            <w:r>
              <w:rPr>
                <w:rFonts w:hint="eastAsia" w:ascii="宋体" w:hAnsi="宋体" w:cs="宋体"/>
                <w:kern w:val="0"/>
                <w:sz w:val="16"/>
                <w:szCs w:val="16"/>
              </w:rPr>
              <w:t>＜</w:t>
            </w:r>
            <w:r>
              <w:rPr>
                <w:rFonts w:ascii="宋体" w:hAnsi="宋体" w:cs="宋体"/>
                <w:kern w:val="0"/>
                <w:sz w:val="16"/>
                <w:szCs w:val="16"/>
              </w:rPr>
              <w:t>80000</w:t>
            </w:r>
          </w:p>
        </w:tc>
        <w:tc>
          <w:tcPr>
            <w:tcW w:w="812"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p>
        </w:tc>
        <w:tc>
          <w:tcPr>
            <w:tcW w:w="970"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300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6000</w:t>
            </w:r>
          </w:p>
        </w:tc>
        <w:tc>
          <w:tcPr>
            <w:tcW w:w="1000"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300</w:t>
            </w:r>
            <w:r>
              <w:rPr>
                <w:rFonts w:hint="eastAsia" w:ascii="宋体" w:hAnsi="宋体" w:cs="宋体"/>
                <w:kern w:val="0"/>
                <w:sz w:val="16"/>
                <w:szCs w:val="16"/>
              </w:rPr>
              <w:t>≤</w:t>
            </w:r>
            <w:r>
              <w:rPr>
                <w:rFonts w:ascii="宋体" w:hAnsi="宋体" w:cs="宋体"/>
                <w:kern w:val="0"/>
                <w:sz w:val="16"/>
                <w:szCs w:val="16"/>
              </w:rPr>
              <w:t>Z</w:t>
            </w:r>
            <w:r>
              <w:rPr>
                <w:rFonts w:hint="eastAsia" w:ascii="宋体" w:hAnsi="宋体" w:cs="宋体"/>
                <w:kern w:val="0"/>
                <w:sz w:val="16"/>
                <w:szCs w:val="16"/>
              </w:rPr>
              <w:t>＜</w:t>
            </w:r>
            <w:r>
              <w:rPr>
                <w:rFonts w:ascii="宋体" w:hAnsi="宋体" w:cs="宋体"/>
                <w:kern w:val="0"/>
                <w:sz w:val="16"/>
                <w:szCs w:val="16"/>
              </w:rPr>
              <w:t>5000</w:t>
            </w:r>
          </w:p>
        </w:tc>
        <w:tc>
          <w:tcPr>
            <w:tcW w:w="84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p>
        </w:tc>
        <w:tc>
          <w:tcPr>
            <w:tcW w:w="83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300</w:t>
            </w:r>
          </w:p>
        </w:tc>
        <w:tc>
          <w:tcPr>
            <w:tcW w:w="804"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Z</w:t>
            </w:r>
            <w:r>
              <w:rPr>
                <w:rFonts w:hint="eastAsia" w:ascii="宋体" w:hAnsi="宋体" w:cs="宋体"/>
                <w:kern w:val="0"/>
                <w:sz w:val="16"/>
                <w:szCs w:val="16"/>
              </w:rPr>
              <w:t>＜</w:t>
            </w:r>
            <w:r>
              <w:rPr>
                <w:rFonts w:ascii="宋体" w:hAnsi="宋体" w:cs="宋体"/>
                <w:kern w:val="0"/>
                <w:sz w:val="16"/>
                <w:szCs w:val="16"/>
              </w:rPr>
              <w:t>300</w:t>
            </w:r>
          </w:p>
        </w:tc>
      </w:tr>
      <w:tr>
        <w:tblPrEx>
          <w:tblCellMar>
            <w:top w:w="0" w:type="dxa"/>
            <w:left w:w="108" w:type="dxa"/>
            <w:bottom w:w="0" w:type="dxa"/>
            <w:right w:w="108" w:type="dxa"/>
          </w:tblCellMar>
        </w:tblPrEx>
        <w:trPr>
          <w:gridAfter w:val="1"/>
          <w:wAfter w:w="10" w:type="dxa"/>
          <w:trHeight w:val="90" w:hRule="atLeast"/>
          <w:jc w:val="center"/>
        </w:trPr>
        <w:tc>
          <w:tcPr>
            <w:tcW w:w="1301" w:type="dxa"/>
            <w:tcBorders>
              <w:top w:val="nil"/>
              <w:left w:val="single" w:color="auto" w:sz="8" w:space="0"/>
              <w:bottom w:val="single" w:color="auto" w:sz="4" w:space="0"/>
              <w:right w:val="single" w:color="auto" w:sz="8" w:space="0"/>
            </w:tcBorders>
            <w:vAlign w:val="bottom"/>
          </w:tcPr>
          <w:p>
            <w:pPr>
              <w:widowControl/>
              <w:spacing w:line="240" w:lineRule="atLeast"/>
              <w:jc w:val="left"/>
              <w:rPr>
                <w:rFonts w:ascii="宋体" w:hAnsi="宋体" w:cs="宋体"/>
                <w:kern w:val="0"/>
                <w:sz w:val="16"/>
                <w:szCs w:val="16"/>
              </w:rPr>
            </w:pPr>
            <w:r>
              <w:rPr>
                <w:rFonts w:ascii="宋体" w:hAnsi="宋体" w:cs="宋体"/>
                <w:kern w:val="0"/>
                <w:sz w:val="16"/>
                <w:szCs w:val="16"/>
              </w:rPr>
              <w:t>4</w:t>
            </w:r>
            <w:r>
              <w:rPr>
                <w:rFonts w:hint="eastAsia" w:ascii="宋体" w:hAnsi="宋体" w:cs="宋体"/>
                <w:kern w:val="0"/>
                <w:sz w:val="16"/>
                <w:szCs w:val="16"/>
              </w:rPr>
              <w:t>、批发业</w:t>
            </w:r>
          </w:p>
        </w:tc>
        <w:tc>
          <w:tcPr>
            <w:tcW w:w="98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20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200</w:t>
            </w:r>
          </w:p>
        </w:tc>
        <w:tc>
          <w:tcPr>
            <w:tcW w:w="115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5000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40000</w:t>
            </w:r>
          </w:p>
        </w:tc>
        <w:tc>
          <w:tcPr>
            <w:tcW w:w="1091"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12"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5</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20</w:t>
            </w:r>
          </w:p>
        </w:tc>
        <w:tc>
          <w:tcPr>
            <w:tcW w:w="970"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5000</w:t>
            </w:r>
          </w:p>
        </w:tc>
        <w:tc>
          <w:tcPr>
            <w:tcW w:w="1000"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4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5</w:t>
            </w:r>
          </w:p>
        </w:tc>
        <w:tc>
          <w:tcPr>
            <w:tcW w:w="83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1000</w:t>
            </w:r>
          </w:p>
        </w:tc>
        <w:tc>
          <w:tcPr>
            <w:tcW w:w="804"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r>
      <w:tr>
        <w:tblPrEx>
          <w:tblCellMar>
            <w:top w:w="0" w:type="dxa"/>
            <w:left w:w="108" w:type="dxa"/>
            <w:bottom w:w="0" w:type="dxa"/>
            <w:right w:w="108" w:type="dxa"/>
          </w:tblCellMar>
        </w:tblPrEx>
        <w:trPr>
          <w:gridAfter w:val="1"/>
          <w:wAfter w:w="10" w:type="dxa"/>
          <w:trHeight w:val="90" w:hRule="atLeast"/>
          <w:jc w:val="center"/>
        </w:trPr>
        <w:tc>
          <w:tcPr>
            <w:tcW w:w="1301" w:type="dxa"/>
            <w:tcBorders>
              <w:top w:val="nil"/>
              <w:left w:val="single" w:color="auto" w:sz="8" w:space="0"/>
              <w:bottom w:val="single" w:color="auto" w:sz="4" w:space="0"/>
              <w:right w:val="single" w:color="auto" w:sz="8" w:space="0"/>
            </w:tcBorders>
            <w:vAlign w:val="bottom"/>
          </w:tcPr>
          <w:p>
            <w:pPr>
              <w:widowControl/>
              <w:spacing w:line="240" w:lineRule="atLeast"/>
              <w:jc w:val="left"/>
              <w:rPr>
                <w:rFonts w:ascii="宋体" w:hAnsi="宋体" w:cs="宋体"/>
                <w:kern w:val="0"/>
                <w:sz w:val="16"/>
                <w:szCs w:val="16"/>
              </w:rPr>
            </w:pPr>
            <w:r>
              <w:rPr>
                <w:rFonts w:ascii="宋体" w:hAnsi="宋体" w:cs="宋体"/>
                <w:kern w:val="0"/>
                <w:sz w:val="16"/>
                <w:szCs w:val="16"/>
              </w:rPr>
              <w:t>5</w:t>
            </w:r>
            <w:r>
              <w:rPr>
                <w:rFonts w:hint="eastAsia" w:ascii="宋体" w:hAnsi="宋体" w:cs="宋体"/>
                <w:kern w:val="0"/>
                <w:sz w:val="16"/>
                <w:szCs w:val="16"/>
              </w:rPr>
              <w:t>、零售业</w:t>
            </w:r>
          </w:p>
        </w:tc>
        <w:tc>
          <w:tcPr>
            <w:tcW w:w="98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50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300</w:t>
            </w:r>
          </w:p>
        </w:tc>
        <w:tc>
          <w:tcPr>
            <w:tcW w:w="115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500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20000</w:t>
            </w:r>
          </w:p>
        </w:tc>
        <w:tc>
          <w:tcPr>
            <w:tcW w:w="1091"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12"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50</w:t>
            </w:r>
          </w:p>
        </w:tc>
        <w:tc>
          <w:tcPr>
            <w:tcW w:w="970"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500</w:t>
            </w:r>
          </w:p>
        </w:tc>
        <w:tc>
          <w:tcPr>
            <w:tcW w:w="1000"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4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w:t>
            </w:r>
          </w:p>
        </w:tc>
        <w:tc>
          <w:tcPr>
            <w:tcW w:w="83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100</w:t>
            </w:r>
          </w:p>
        </w:tc>
        <w:tc>
          <w:tcPr>
            <w:tcW w:w="804"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r>
      <w:tr>
        <w:tblPrEx>
          <w:tblCellMar>
            <w:top w:w="0" w:type="dxa"/>
            <w:left w:w="108" w:type="dxa"/>
            <w:bottom w:w="0" w:type="dxa"/>
            <w:right w:w="108" w:type="dxa"/>
          </w:tblCellMar>
        </w:tblPrEx>
        <w:trPr>
          <w:gridAfter w:val="1"/>
          <w:wAfter w:w="10" w:type="dxa"/>
          <w:trHeight w:val="90" w:hRule="atLeast"/>
          <w:jc w:val="center"/>
        </w:trPr>
        <w:tc>
          <w:tcPr>
            <w:tcW w:w="1301" w:type="dxa"/>
            <w:tcBorders>
              <w:top w:val="nil"/>
              <w:left w:val="single" w:color="auto" w:sz="8" w:space="0"/>
              <w:bottom w:val="single" w:color="auto" w:sz="4" w:space="0"/>
              <w:right w:val="single" w:color="auto" w:sz="8" w:space="0"/>
            </w:tcBorders>
            <w:vAlign w:val="bottom"/>
          </w:tcPr>
          <w:p>
            <w:pPr>
              <w:widowControl/>
              <w:spacing w:line="240" w:lineRule="atLeast"/>
              <w:jc w:val="left"/>
              <w:rPr>
                <w:rFonts w:ascii="宋体" w:hAnsi="宋体" w:cs="宋体"/>
                <w:kern w:val="0"/>
                <w:sz w:val="16"/>
                <w:szCs w:val="16"/>
              </w:rPr>
            </w:pPr>
            <w:r>
              <w:rPr>
                <w:rFonts w:ascii="宋体" w:hAnsi="宋体" w:cs="宋体"/>
                <w:kern w:val="0"/>
                <w:sz w:val="16"/>
                <w:szCs w:val="16"/>
              </w:rPr>
              <w:t>6</w:t>
            </w:r>
            <w:r>
              <w:rPr>
                <w:rFonts w:hint="eastAsia" w:ascii="宋体" w:hAnsi="宋体" w:cs="宋体"/>
                <w:kern w:val="0"/>
                <w:sz w:val="16"/>
                <w:szCs w:val="16"/>
              </w:rPr>
              <w:t>、交通运输业</w:t>
            </w:r>
          </w:p>
        </w:tc>
        <w:tc>
          <w:tcPr>
            <w:tcW w:w="98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300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1000</w:t>
            </w:r>
          </w:p>
        </w:tc>
        <w:tc>
          <w:tcPr>
            <w:tcW w:w="115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3000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30000</w:t>
            </w:r>
          </w:p>
        </w:tc>
        <w:tc>
          <w:tcPr>
            <w:tcW w:w="1091"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12"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20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300</w:t>
            </w:r>
          </w:p>
        </w:tc>
        <w:tc>
          <w:tcPr>
            <w:tcW w:w="970"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200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3000</w:t>
            </w:r>
          </w:p>
        </w:tc>
        <w:tc>
          <w:tcPr>
            <w:tcW w:w="1000"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4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20</w:t>
            </w:r>
          </w:p>
        </w:tc>
        <w:tc>
          <w:tcPr>
            <w:tcW w:w="83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V</w:t>
            </w:r>
            <w:r>
              <w:rPr>
                <w:rFonts w:hint="eastAsia" w:ascii="宋体" w:hAnsi="宋体" w:cs="宋体"/>
                <w:kern w:val="0"/>
                <w:sz w:val="16"/>
                <w:szCs w:val="16"/>
              </w:rPr>
              <w:t>＜</w:t>
            </w:r>
            <w:r>
              <w:rPr>
                <w:rFonts w:ascii="宋体" w:hAnsi="宋体" w:cs="宋体"/>
                <w:kern w:val="0"/>
                <w:sz w:val="16"/>
                <w:szCs w:val="16"/>
              </w:rPr>
              <w:t>200</w:t>
            </w:r>
          </w:p>
        </w:tc>
        <w:tc>
          <w:tcPr>
            <w:tcW w:w="804"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r>
      <w:tr>
        <w:tblPrEx>
          <w:tblCellMar>
            <w:top w:w="0" w:type="dxa"/>
            <w:left w:w="108" w:type="dxa"/>
            <w:bottom w:w="0" w:type="dxa"/>
            <w:right w:w="108" w:type="dxa"/>
          </w:tblCellMar>
        </w:tblPrEx>
        <w:trPr>
          <w:gridAfter w:val="1"/>
          <w:wAfter w:w="10" w:type="dxa"/>
          <w:trHeight w:val="90" w:hRule="atLeast"/>
          <w:jc w:val="center"/>
        </w:trPr>
        <w:tc>
          <w:tcPr>
            <w:tcW w:w="1301" w:type="dxa"/>
            <w:tcBorders>
              <w:top w:val="nil"/>
              <w:left w:val="single" w:color="auto" w:sz="8" w:space="0"/>
              <w:bottom w:val="single" w:color="auto" w:sz="4" w:space="0"/>
              <w:right w:val="single" w:color="auto" w:sz="8" w:space="0"/>
            </w:tcBorders>
            <w:vAlign w:val="bottom"/>
          </w:tcPr>
          <w:p>
            <w:pPr>
              <w:widowControl/>
              <w:spacing w:line="240" w:lineRule="atLeast"/>
              <w:jc w:val="left"/>
              <w:rPr>
                <w:rFonts w:ascii="宋体" w:hAnsi="宋体" w:cs="宋体"/>
                <w:kern w:val="0"/>
                <w:sz w:val="16"/>
                <w:szCs w:val="16"/>
              </w:rPr>
            </w:pPr>
            <w:r>
              <w:rPr>
                <w:rFonts w:ascii="宋体" w:hAnsi="宋体" w:cs="宋体"/>
                <w:kern w:val="0"/>
                <w:sz w:val="16"/>
                <w:szCs w:val="16"/>
              </w:rPr>
              <w:t>7</w:t>
            </w:r>
            <w:r>
              <w:rPr>
                <w:rFonts w:hint="eastAsia" w:ascii="宋体" w:hAnsi="宋体" w:cs="宋体"/>
                <w:kern w:val="0"/>
                <w:sz w:val="16"/>
                <w:szCs w:val="16"/>
              </w:rPr>
              <w:t>、仓储业</w:t>
            </w:r>
          </w:p>
        </w:tc>
        <w:tc>
          <w:tcPr>
            <w:tcW w:w="98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200</w:t>
            </w:r>
          </w:p>
        </w:tc>
        <w:tc>
          <w:tcPr>
            <w:tcW w:w="115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30000</w:t>
            </w:r>
          </w:p>
        </w:tc>
        <w:tc>
          <w:tcPr>
            <w:tcW w:w="1091"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12"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20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100</w:t>
            </w:r>
          </w:p>
        </w:tc>
        <w:tc>
          <w:tcPr>
            <w:tcW w:w="970"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1000</w:t>
            </w:r>
          </w:p>
        </w:tc>
        <w:tc>
          <w:tcPr>
            <w:tcW w:w="1000"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4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20</w:t>
            </w:r>
          </w:p>
        </w:tc>
        <w:tc>
          <w:tcPr>
            <w:tcW w:w="83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100</w:t>
            </w:r>
          </w:p>
        </w:tc>
        <w:tc>
          <w:tcPr>
            <w:tcW w:w="804"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r>
      <w:tr>
        <w:tblPrEx>
          <w:tblCellMar>
            <w:top w:w="0" w:type="dxa"/>
            <w:left w:w="108" w:type="dxa"/>
            <w:bottom w:w="0" w:type="dxa"/>
            <w:right w:w="108" w:type="dxa"/>
          </w:tblCellMar>
        </w:tblPrEx>
        <w:trPr>
          <w:gridAfter w:val="1"/>
          <w:wAfter w:w="10" w:type="dxa"/>
          <w:trHeight w:val="90" w:hRule="atLeast"/>
          <w:jc w:val="center"/>
        </w:trPr>
        <w:tc>
          <w:tcPr>
            <w:tcW w:w="1301" w:type="dxa"/>
            <w:tcBorders>
              <w:top w:val="nil"/>
              <w:left w:val="single" w:color="auto" w:sz="8" w:space="0"/>
              <w:bottom w:val="single" w:color="auto" w:sz="4" w:space="0"/>
              <w:right w:val="single" w:color="auto" w:sz="8" w:space="0"/>
            </w:tcBorders>
            <w:vAlign w:val="bottom"/>
          </w:tcPr>
          <w:p>
            <w:pPr>
              <w:widowControl/>
              <w:spacing w:line="240" w:lineRule="atLeast"/>
              <w:jc w:val="left"/>
              <w:rPr>
                <w:rFonts w:ascii="宋体" w:hAnsi="宋体" w:cs="宋体"/>
                <w:kern w:val="0"/>
                <w:sz w:val="16"/>
                <w:szCs w:val="16"/>
              </w:rPr>
            </w:pPr>
            <w:r>
              <w:rPr>
                <w:rFonts w:ascii="宋体" w:hAnsi="宋体" w:cs="宋体"/>
                <w:kern w:val="0"/>
                <w:sz w:val="16"/>
                <w:szCs w:val="16"/>
              </w:rPr>
              <w:t>8</w:t>
            </w:r>
            <w:r>
              <w:rPr>
                <w:rFonts w:hint="eastAsia" w:ascii="宋体" w:hAnsi="宋体" w:cs="宋体"/>
                <w:kern w:val="0"/>
                <w:sz w:val="16"/>
                <w:szCs w:val="16"/>
              </w:rPr>
              <w:t>、邮政业</w:t>
            </w:r>
          </w:p>
        </w:tc>
        <w:tc>
          <w:tcPr>
            <w:tcW w:w="98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300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1000</w:t>
            </w:r>
          </w:p>
        </w:tc>
        <w:tc>
          <w:tcPr>
            <w:tcW w:w="115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2000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30000</w:t>
            </w:r>
          </w:p>
        </w:tc>
        <w:tc>
          <w:tcPr>
            <w:tcW w:w="1091"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12"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20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300</w:t>
            </w:r>
          </w:p>
        </w:tc>
        <w:tc>
          <w:tcPr>
            <w:tcW w:w="970"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2000</w:t>
            </w:r>
          </w:p>
        </w:tc>
        <w:tc>
          <w:tcPr>
            <w:tcW w:w="1000"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4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20</w:t>
            </w:r>
          </w:p>
        </w:tc>
        <w:tc>
          <w:tcPr>
            <w:tcW w:w="83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100</w:t>
            </w:r>
          </w:p>
        </w:tc>
        <w:tc>
          <w:tcPr>
            <w:tcW w:w="804"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r>
      <w:tr>
        <w:tblPrEx>
          <w:tblCellMar>
            <w:top w:w="0" w:type="dxa"/>
            <w:left w:w="108" w:type="dxa"/>
            <w:bottom w:w="0" w:type="dxa"/>
            <w:right w:w="108" w:type="dxa"/>
          </w:tblCellMar>
        </w:tblPrEx>
        <w:trPr>
          <w:gridAfter w:val="1"/>
          <w:wAfter w:w="10" w:type="dxa"/>
          <w:trHeight w:val="90" w:hRule="atLeast"/>
          <w:jc w:val="center"/>
        </w:trPr>
        <w:tc>
          <w:tcPr>
            <w:tcW w:w="1301" w:type="dxa"/>
            <w:tcBorders>
              <w:top w:val="nil"/>
              <w:left w:val="single" w:color="auto" w:sz="8" w:space="0"/>
              <w:bottom w:val="single" w:color="auto" w:sz="4" w:space="0"/>
              <w:right w:val="single" w:color="auto" w:sz="8" w:space="0"/>
            </w:tcBorders>
            <w:vAlign w:val="bottom"/>
          </w:tcPr>
          <w:p>
            <w:pPr>
              <w:widowControl/>
              <w:spacing w:line="240" w:lineRule="atLeast"/>
              <w:jc w:val="left"/>
              <w:rPr>
                <w:rFonts w:ascii="宋体" w:hAnsi="宋体" w:cs="宋体"/>
                <w:kern w:val="0"/>
                <w:sz w:val="16"/>
                <w:szCs w:val="16"/>
              </w:rPr>
            </w:pPr>
            <w:r>
              <w:rPr>
                <w:rFonts w:ascii="宋体" w:hAnsi="宋体" w:cs="宋体"/>
                <w:kern w:val="0"/>
                <w:sz w:val="16"/>
                <w:szCs w:val="16"/>
              </w:rPr>
              <w:t>9</w:t>
            </w:r>
            <w:r>
              <w:rPr>
                <w:rFonts w:hint="eastAsia" w:ascii="宋体" w:hAnsi="宋体" w:cs="宋体"/>
                <w:kern w:val="0"/>
                <w:sz w:val="16"/>
                <w:szCs w:val="16"/>
              </w:rPr>
              <w:t>、住宿业</w:t>
            </w:r>
          </w:p>
        </w:tc>
        <w:tc>
          <w:tcPr>
            <w:tcW w:w="98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300</w:t>
            </w:r>
          </w:p>
        </w:tc>
        <w:tc>
          <w:tcPr>
            <w:tcW w:w="115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2000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10000</w:t>
            </w:r>
          </w:p>
        </w:tc>
        <w:tc>
          <w:tcPr>
            <w:tcW w:w="1091"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12"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100</w:t>
            </w:r>
          </w:p>
        </w:tc>
        <w:tc>
          <w:tcPr>
            <w:tcW w:w="970"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2000</w:t>
            </w:r>
          </w:p>
        </w:tc>
        <w:tc>
          <w:tcPr>
            <w:tcW w:w="1000"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4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w:t>
            </w:r>
          </w:p>
        </w:tc>
        <w:tc>
          <w:tcPr>
            <w:tcW w:w="83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100</w:t>
            </w:r>
          </w:p>
        </w:tc>
        <w:tc>
          <w:tcPr>
            <w:tcW w:w="804"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r>
      <w:tr>
        <w:tblPrEx>
          <w:tblCellMar>
            <w:top w:w="0" w:type="dxa"/>
            <w:left w:w="108" w:type="dxa"/>
            <w:bottom w:w="0" w:type="dxa"/>
            <w:right w:w="108" w:type="dxa"/>
          </w:tblCellMar>
        </w:tblPrEx>
        <w:trPr>
          <w:gridAfter w:val="1"/>
          <w:wAfter w:w="10" w:type="dxa"/>
          <w:trHeight w:val="90" w:hRule="atLeast"/>
          <w:jc w:val="center"/>
        </w:trPr>
        <w:tc>
          <w:tcPr>
            <w:tcW w:w="1301" w:type="dxa"/>
            <w:tcBorders>
              <w:top w:val="nil"/>
              <w:left w:val="single" w:color="auto" w:sz="8" w:space="0"/>
              <w:bottom w:val="single" w:color="auto" w:sz="4" w:space="0"/>
              <w:right w:val="single" w:color="auto" w:sz="8" w:space="0"/>
            </w:tcBorders>
            <w:vAlign w:val="bottom"/>
          </w:tcPr>
          <w:p>
            <w:pPr>
              <w:widowControl/>
              <w:spacing w:line="240" w:lineRule="atLeast"/>
              <w:jc w:val="left"/>
              <w:rPr>
                <w:rFonts w:ascii="宋体" w:hAnsi="宋体" w:cs="宋体"/>
                <w:kern w:val="0"/>
                <w:sz w:val="16"/>
                <w:szCs w:val="16"/>
              </w:rPr>
            </w:pPr>
            <w:r>
              <w:rPr>
                <w:rFonts w:ascii="宋体" w:hAnsi="宋体" w:cs="宋体"/>
                <w:kern w:val="0"/>
                <w:sz w:val="16"/>
                <w:szCs w:val="16"/>
              </w:rPr>
              <w:t>10</w:t>
            </w:r>
            <w:r>
              <w:rPr>
                <w:rFonts w:hint="eastAsia" w:ascii="宋体" w:hAnsi="宋体" w:cs="宋体"/>
                <w:kern w:val="0"/>
                <w:sz w:val="16"/>
                <w:szCs w:val="16"/>
              </w:rPr>
              <w:t>、餐饮业</w:t>
            </w:r>
          </w:p>
        </w:tc>
        <w:tc>
          <w:tcPr>
            <w:tcW w:w="98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300</w:t>
            </w:r>
          </w:p>
        </w:tc>
        <w:tc>
          <w:tcPr>
            <w:tcW w:w="115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2000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10000</w:t>
            </w:r>
          </w:p>
        </w:tc>
        <w:tc>
          <w:tcPr>
            <w:tcW w:w="1091"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12"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100</w:t>
            </w:r>
          </w:p>
        </w:tc>
        <w:tc>
          <w:tcPr>
            <w:tcW w:w="970"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2000</w:t>
            </w:r>
          </w:p>
        </w:tc>
        <w:tc>
          <w:tcPr>
            <w:tcW w:w="1000"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4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w:t>
            </w:r>
          </w:p>
        </w:tc>
        <w:tc>
          <w:tcPr>
            <w:tcW w:w="83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V</w:t>
            </w:r>
            <w:r>
              <w:rPr>
                <w:rFonts w:hint="eastAsia" w:ascii="宋体" w:hAnsi="宋体" w:cs="宋体"/>
                <w:kern w:val="0"/>
                <w:sz w:val="16"/>
                <w:szCs w:val="16"/>
              </w:rPr>
              <w:t>＜</w:t>
            </w:r>
            <w:r>
              <w:rPr>
                <w:rFonts w:ascii="宋体" w:hAnsi="宋体" w:cs="宋体"/>
                <w:kern w:val="0"/>
                <w:sz w:val="16"/>
                <w:szCs w:val="16"/>
              </w:rPr>
              <w:t>100</w:t>
            </w:r>
          </w:p>
        </w:tc>
        <w:tc>
          <w:tcPr>
            <w:tcW w:w="804"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r>
      <w:tr>
        <w:tblPrEx>
          <w:tblCellMar>
            <w:top w:w="0" w:type="dxa"/>
            <w:left w:w="108" w:type="dxa"/>
            <w:bottom w:w="0" w:type="dxa"/>
            <w:right w:w="108" w:type="dxa"/>
          </w:tblCellMar>
        </w:tblPrEx>
        <w:trPr>
          <w:gridAfter w:val="1"/>
          <w:wAfter w:w="10" w:type="dxa"/>
          <w:trHeight w:val="90" w:hRule="atLeast"/>
          <w:jc w:val="center"/>
        </w:trPr>
        <w:tc>
          <w:tcPr>
            <w:tcW w:w="1301" w:type="dxa"/>
            <w:tcBorders>
              <w:top w:val="nil"/>
              <w:left w:val="single" w:color="auto" w:sz="8" w:space="0"/>
              <w:bottom w:val="single" w:color="auto" w:sz="4" w:space="0"/>
              <w:right w:val="single" w:color="auto" w:sz="8" w:space="0"/>
            </w:tcBorders>
            <w:vAlign w:val="bottom"/>
          </w:tcPr>
          <w:p>
            <w:pPr>
              <w:widowControl/>
              <w:spacing w:line="240" w:lineRule="atLeast"/>
              <w:jc w:val="left"/>
              <w:rPr>
                <w:rFonts w:ascii="宋体" w:hAnsi="宋体" w:cs="宋体"/>
                <w:kern w:val="0"/>
                <w:sz w:val="16"/>
                <w:szCs w:val="16"/>
              </w:rPr>
            </w:pPr>
            <w:r>
              <w:rPr>
                <w:rFonts w:ascii="宋体" w:hAnsi="宋体" w:cs="宋体"/>
                <w:kern w:val="0"/>
                <w:sz w:val="16"/>
                <w:szCs w:val="16"/>
              </w:rPr>
              <w:t>11</w:t>
            </w:r>
            <w:r>
              <w:rPr>
                <w:rFonts w:hint="eastAsia" w:ascii="宋体" w:hAnsi="宋体" w:cs="宋体"/>
                <w:kern w:val="0"/>
                <w:sz w:val="16"/>
                <w:szCs w:val="16"/>
              </w:rPr>
              <w:t>、信息传输业</w:t>
            </w:r>
          </w:p>
        </w:tc>
        <w:tc>
          <w:tcPr>
            <w:tcW w:w="98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2000</w:t>
            </w:r>
          </w:p>
        </w:tc>
        <w:tc>
          <w:tcPr>
            <w:tcW w:w="115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100000</w:t>
            </w:r>
          </w:p>
        </w:tc>
        <w:tc>
          <w:tcPr>
            <w:tcW w:w="1091"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12"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100</w:t>
            </w:r>
          </w:p>
        </w:tc>
        <w:tc>
          <w:tcPr>
            <w:tcW w:w="970"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1000</w:t>
            </w:r>
          </w:p>
        </w:tc>
        <w:tc>
          <w:tcPr>
            <w:tcW w:w="1000"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4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w:t>
            </w:r>
          </w:p>
        </w:tc>
        <w:tc>
          <w:tcPr>
            <w:tcW w:w="83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100</w:t>
            </w:r>
          </w:p>
        </w:tc>
        <w:tc>
          <w:tcPr>
            <w:tcW w:w="804"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r>
      <w:tr>
        <w:tblPrEx>
          <w:tblCellMar>
            <w:top w:w="0" w:type="dxa"/>
            <w:left w:w="108" w:type="dxa"/>
            <w:bottom w:w="0" w:type="dxa"/>
            <w:right w:w="108" w:type="dxa"/>
          </w:tblCellMar>
        </w:tblPrEx>
        <w:trPr>
          <w:gridAfter w:val="1"/>
          <w:wAfter w:w="10" w:type="dxa"/>
          <w:trHeight w:val="90" w:hRule="atLeast"/>
          <w:jc w:val="center"/>
        </w:trPr>
        <w:tc>
          <w:tcPr>
            <w:tcW w:w="1301" w:type="dxa"/>
            <w:tcBorders>
              <w:top w:val="nil"/>
              <w:left w:val="single" w:color="auto" w:sz="8" w:space="0"/>
              <w:bottom w:val="single" w:color="auto" w:sz="4" w:space="0"/>
              <w:right w:val="single" w:color="auto" w:sz="8" w:space="0"/>
            </w:tcBorders>
            <w:vAlign w:val="bottom"/>
          </w:tcPr>
          <w:p>
            <w:pPr>
              <w:widowControl/>
              <w:spacing w:line="240" w:lineRule="atLeast"/>
              <w:jc w:val="left"/>
              <w:rPr>
                <w:rFonts w:ascii="宋体" w:hAnsi="宋体" w:cs="宋体"/>
                <w:kern w:val="0"/>
                <w:sz w:val="16"/>
                <w:szCs w:val="16"/>
              </w:rPr>
            </w:pPr>
            <w:r>
              <w:rPr>
                <w:rFonts w:ascii="宋体" w:hAnsi="宋体" w:cs="宋体"/>
                <w:kern w:val="0"/>
                <w:sz w:val="16"/>
                <w:szCs w:val="16"/>
              </w:rPr>
              <w:t>12</w:t>
            </w:r>
            <w:r>
              <w:rPr>
                <w:rFonts w:hint="eastAsia" w:ascii="宋体" w:hAnsi="宋体" w:cs="宋体"/>
                <w:kern w:val="0"/>
                <w:sz w:val="16"/>
                <w:szCs w:val="16"/>
              </w:rPr>
              <w:t>、软件和信息技术服务业</w:t>
            </w:r>
          </w:p>
        </w:tc>
        <w:tc>
          <w:tcPr>
            <w:tcW w:w="98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300</w:t>
            </w:r>
          </w:p>
        </w:tc>
        <w:tc>
          <w:tcPr>
            <w:tcW w:w="115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10000</w:t>
            </w:r>
          </w:p>
        </w:tc>
        <w:tc>
          <w:tcPr>
            <w:tcW w:w="1091"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12"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100</w:t>
            </w:r>
          </w:p>
        </w:tc>
        <w:tc>
          <w:tcPr>
            <w:tcW w:w="970"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50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1000</w:t>
            </w:r>
          </w:p>
        </w:tc>
        <w:tc>
          <w:tcPr>
            <w:tcW w:w="1000"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4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w:t>
            </w:r>
          </w:p>
        </w:tc>
        <w:tc>
          <w:tcPr>
            <w:tcW w:w="83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50</w:t>
            </w:r>
          </w:p>
        </w:tc>
        <w:tc>
          <w:tcPr>
            <w:tcW w:w="804"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r>
      <w:tr>
        <w:tblPrEx>
          <w:tblCellMar>
            <w:top w:w="0" w:type="dxa"/>
            <w:left w:w="108" w:type="dxa"/>
            <w:bottom w:w="0" w:type="dxa"/>
            <w:right w:w="108" w:type="dxa"/>
          </w:tblCellMar>
        </w:tblPrEx>
        <w:trPr>
          <w:gridAfter w:val="1"/>
          <w:wAfter w:w="10" w:type="dxa"/>
          <w:trHeight w:val="90" w:hRule="atLeast"/>
          <w:jc w:val="center"/>
        </w:trPr>
        <w:tc>
          <w:tcPr>
            <w:tcW w:w="1301" w:type="dxa"/>
            <w:tcBorders>
              <w:top w:val="nil"/>
              <w:left w:val="single" w:color="auto" w:sz="8" w:space="0"/>
              <w:bottom w:val="single" w:color="auto" w:sz="4" w:space="0"/>
              <w:right w:val="single" w:color="auto" w:sz="8" w:space="0"/>
            </w:tcBorders>
            <w:vAlign w:val="bottom"/>
          </w:tcPr>
          <w:p>
            <w:pPr>
              <w:widowControl/>
              <w:spacing w:line="240" w:lineRule="atLeast"/>
              <w:jc w:val="left"/>
              <w:rPr>
                <w:rFonts w:ascii="宋体" w:hAnsi="宋体" w:cs="宋体"/>
                <w:kern w:val="0"/>
                <w:sz w:val="16"/>
                <w:szCs w:val="16"/>
              </w:rPr>
            </w:pPr>
            <w:r>
              <w:rPr>
                <w:rFonts w:ascii="宋体" w:hAnsi="宋体" w:cs="宋体"/>
                <w:kern w:val="0"/>
                <w:sz w:val="16"/>
                <w:szCs w:val="16"/>
              </w:rPr>
              <w:t>13</w:t>
            </w:r>
            <w:r>
              <w:rPr>
                <w:rFonts w:hint="eastAsia" w:ascii="宋体" w:hAnsi="宋体" w:cs="宋体"/>
                <w:kern w:val="0"/>
                <w:sz w:val="16"/>
                <w:szCs w:val="16"/>
              </w:rPr>
              <w:t>、房地产开发经营</w:t>
            </w:r>
          </w:p>
        </w:tc>
        <w:tc>
          <w:tcPr>
            <w:tcW w:w="98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p>
        </w:tc>
        <w:tc>
          <w:tcPr>
            <w:tcW w:w="115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200000</w:t>
            </w:r>
          </w:p>
        </w:tc>
        <w:tc>
          <w:tcPr>
            <w:tcW w:w="1091"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5000</w:t>
            </w:r>
            <w:r>
              <w:rPr>
                <w:rFonts w:hint="eastAsia" w:ascii="宋体" w:hAnsi="宋体" w:cs="宋体"/>
                <w:kern w:val="0"/>
                <w:sz w:val="16"/>
                <w:szCs w:val="16"/>
              </w:rPr>
              <w:t>≤</w:t>
            </w:r>
            <w:r>
              <w:rPr>
                <w:rFonts w:ascii="宋体" w:hAnsi="宋体" w:cs="宋体"/>
                <w:kern w:val="0"/>
                <w:sz w:val="16"/>
                <w:szCs w:val="16"/>
              </w:rPr>
              <w:t>Z</w:t>
            </w:r>
            <w:r>
              <w:rPr>
                <w:rFonts w:hint="eastAsia" w:ascii="宋体" w:hAnsi="宋体" w:cs="宋体"/>
                <w:kern w:val="0"/>
                <w:sz w:val="16"/>
                <w:szCs w:val="16"/>
              </w:rPr>
              <w:t>＜</w:t>
            </w:r>
            <w:r>
              <w:rPr>
                <w:rFonts w:ascii="宋体" w:hAnsi="宋体" w:cs="宋体"/>
                <w:kern w:val="0"/>
                <w:sz w:val="16"/>
                <w:szCs w:val="16"/>
              </w:rPr>
              <w:t>10000</w:t>
            </w:r>
          </w:p>
        </w:tc>
        <w:tc>
          <w:tcPr>
            <w:tcW w:w="812"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p>
        </w:tc>
        <w:tc>
          <w:tcPr>
            <w:tcW w:w="970"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1000</w:t>
            </w:r>
          </w:p>
        </w:tc>
        <w:tc>
          <w:tcPr>
            <w:tcW w:w="1000"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2000</w:t>
            </w:r>
            <w:r>
              <w:rPr>
                <w:rFonts w:hint="eastAsia" w:ascii="宋体" w:hAnsi="宋体" w:cs="宋体"/>
                <w:kern w:val="0"/>
                <w:sz w:val="16"/>
                <w:szCs w:val="16"/>
              </w:rPr>
              <w:t>≤</w:t>
            </w:r>
            <w:r>
              <w:rPr>
                <w:rFonts w:ascii="宋体" w:hAnsi="宋体" w:cs="宋体"/>
                <w:kern w:val="0"/>
                <w:sz w:val="16"/>
                <w:szCs w:val="16"/>
              </w:rPr>
              <w:t>Z</w:t>
            </w:r>
            <w:r>
              <w:rPr>
                <w:rFonts w:hint="eastAsia" w:ascii="宋体" w:hAnsi="宋体" w:cs="宋体"/>
                <w:kern w:val="0"/>
                <w:sz w:val="16"/>
                <w:szCs w:val="16"/>
              </w:rPr>
              <w:t>＜</w:t>
            </w:r>
            <w:r>
              <w:rPr>
                <w:rFonts w:ascii="宋体" w:hAnsi="宋体" w:cs="宋体"/>
                <w:kern w:val="0"/>
                <w:sz w:val="16"/>
                <w:szCs w:val="16"/>
              </w:rPr>
              <w:t>5000</w:t>
            </w:r>
          </w:p>
        </w:tc>
        <w:tc>
          <w:tcPr>
            <w:tcW w:w="84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p>
        </w:tc>
        <w:tc>
          <w:tcPr>
            <w:tcW w:w="83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100</w:t>
            </w:r>
          </w:p>
        </w:tc>
        <w:tc>
          <w:tcPr>
            <w:tcW w:w="804"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Z</w:t>
            </w:r>
            <w:r>
              <w:rPr>
                <w:rFonts w:hint="eastAsia" w:ascii="宋体" w:hAnsi="宋体" w:cs="宋体"/>
                <w:kern w:val="0"/>
                <w:sz w:val="16"/>
                <w:szCs w:val="16"/>
              </w:rPr>
              <w:t>＜</w:t>
            </w:r>
            <w:r>
              <w:rPr>
                <w:rFonts w:ascii="宋体" w:hAnsi="宋体" w:cs="宋体"/>
                <w:kern w:val="0"/>
                <w:sz w:val="16"/>
                <w:szCs w:val="16"/>
              </w:rPr>
              <w:t>2000</w:t>
            </w:r>
          </w:p>
        </w:tc>
      </w:tr>
      <w:tr>
        <w:tblPrEx>
          <w:tblCellMar>
            <w:top w:w="0" w:type="dxa"/>
            <w:left w:w="108" w:type="dxa"/>
            <w:bottom w:w="0" w:type="dxa"/>
            <w:right w:w="108" w:type="dxa"/>
          </w:tblCellMar>
        </w:tblPrEx>
        <w:trPr>
          <w:gridAfter w:val="1"/>
          <w:wAfter w:w="10" w:type="dxa"/>
          <w:trHeight w:val="90" w:hRule="atLeast"/>
          <w:jc w:val="center"/>
        </w:trPr>
        <w:tc>
          <w:tcPr>
            <w:tcW w:w="1301" w:type="dxa"/>
            <w:tcBorders>
              <w:top w:val="nil"/>
              <w:left w:val="single" w:color="auto" w:sz="8" w:space="0"/>
              <w:bottom w:val="single" w:color="auto" w:sz="4" w:space="0"/>
              <w:right w:val="single" w:color="auto" w:sz="8" w:space="0"/>
            </w:tcBorders>
            <w:vAlign w:val="bottom"/>
          </w:tcPr>
          <w:p>
            <w:pPr>
              <w:widowControl/>
              <w:spacing w:line="240" w:lineRule="atLeast"/>
              <w:jc w:val="left"/>
              <w:rPr>
                <w:rFonts w:ascii="宋体" w:hAnsi="宋体" w:cs="宋体"/>
                <w:kern w:val="0"/>
                <w:sz w:val="16"/>
                <w:szCs w:val="16"/>
              </w:rPr>
            </w:pPr>
            <w:r>
              <w:rPr>
                <w:rFonts w:ascii="宋体" w:hAnsi="宋体" w:cs="宋体"/>
                <w:kern w:val="0"/>
                <w:sz w:val="16"/>
                <w:szCs w:val="16"/>
              </w:rPr>
              <w:t>14</w:t>
            </w:r>
            <w:r>
              <w:rPr>
                <w:rFonts w:hint="eastAsia" w:ascii="宋体" w:hAnsi="宋体" w:cs="宋体"/>
                <w:kern w:val="0"/>
                <w:sz w:val="16"/>
                <w:szCs w:val="16"/>
              </w:rPr>
              <w:t>、物业管理</w:t>
            </w:r>
          </w:p>
        </w:tc>
        <w:tc>
          <w:tcPr>
            <w:tcW w:w="98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300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1000</w:t>
            </w:r>
          </w:p>
        </w:tc>
        <w:tc>
          <w:tcPr>
            <w:tcW w:w="115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5000</w:t>
            </w:r>
          </w:p>
        </w:tc>
        <w:tc>
          <w:tcPr>
            <w:tcW w:w="1091"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12"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300</w:t>
            </w:r>
          </w:p>
        </w:tc>
        <w:tc>
          <w:tcPr>
            <w:tcW w:w="970"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500</w:t>
            </w:r>
            <w:r>
              <w:rPr>
                <w:rFonts w:hint="eastAsia" w:ascii="宋体" w:hAnsi="宋体" w:cs="宋体"/>
                <w:kern w:val="0"/>
                <w:sz w:val="16"/>
                <w:szCs w:val="16"/>
              </w:rPr>
              <w:t>≤</w:t>
            </w: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1000</w:t>
            </w:r>
          </w:p>
        </w:tc>
        <w:tc>
          <w:tcPr>
            <w:tcW w:w="1000"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c>
          <w:tcPr>
            <w:tcW w:w="84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100</w:t>
            </w:r>
          </w:p>
        </w:tc>
        <w:tc>
          <w:tcPr>
            <w:tcW w:w="83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Y</w:t>
            </w:r>
            <w:r>
              <w:rPr>
                <w:rFonts w:hint="eastAsia" w:ascii="宋体" w:hAnsi="宋体" w:cs="宋体"/>
                <w:kern w:val="0"/>
                <w:sz w:val="16"/>
                <w:szCs w:val="16"/>
              </w:rPr>
              <w:t>＜</w:t>
            </w:r>
            <w:r>
              <w:rPr>
                <w:rFonts w:ascii="宋体" w:hAnsi="宋体" w:cs="宋体"/>
                <w:kern w:val="0"/>
                <w:sz w:val="16"/>
                <w:szCs w:val="16"/>
              </w:rPr>
              <w:t>500</w:t>
            </w:r>
          </w:p>
        </w:tc>
        <w:tc>
          <w:tcPr>
            <w:tcW w:w="804"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p>
        </w:tc>
      </w:tr>
      <w:tr>
        <w:tblPrEx>
          <w:tblCellMar>
            <w:top w:w="0" w:type="dxa"/>
            <w:left w:w="108" w:type="dxa"/>
            <w:bottom w:w="0" w:type="dxa"/>
            <w:right w:w="108" w:type="dxa"/>
          </w:tblCellMar>
        </w:tblPrEx>
        <w:trPr>
          <w:gridAfter w:val="1"/>
          <w:wAfter w:w="10" w:type="dxa"/>
          <w:trHeight w:val="90" w:hRule="atLeast"/>
          <w:jc w:val="center"/>
        </w:trPr>
        <w:tc>
          <w:tcPr>
            <w:tcW w:w="1301" w:type="dxa"/>
            <w:tcBorders>
              <w:top w:val="nil"/>
              <w:left w:val="single" w:color="auto" w:sz="8" w:space="0"/>
              <w:bottom w:val="single" w:color="auto" w:sz="4" w:space="0"/>
              <w:right w:val="single" w:color="auto" w:sz="8" w:space="0"/>
            </w:tcBorders>
            <w:vAlign w:val="bottom"/>
          </w:tcPr>
          <w:p>
            <w:pPr>
              <w:widowControl/>
              <w:spacing w:line="240" w:lineRule="atLeast"/>
              <w:jc w:val="left"/>
              <w:rPr>
                <w:rFonts w:ascii="宋体" w:hAnsi="宋体" w:cs="宋体"/>
                <w:kern w:val="0"/>
                <w:sz w:val="16"/>
                <w:szCs w:val="16"/>
              </w:rPr>
            </w:pPr>
            <w:r>
              <w:rPr>
                <w:rFonts w:ascii="宋体" w:hAnsi="宋体" w:cs="宋体"/>
                <w:kern w:val="0"/>
                <w:sz w:val="16"/>
                <w:szCs w:val="16"/>
              </w:rPr>
              <w:t>15</w:t>
            </w:r>
            <w:r>
              <w:rPr>
                <w:rFonts w:hint="eastAsia" w:ascii="宋体" w:hAnsi="宋体" w:cs="宋体"/>
                <w:kern w:val="0"/>
                <w:sz w:val="16"/>
                <w:szCs w:val="16"/>
              </w:rPr>
              <w:t>、租赁和商务服务业</w:t>
            </w:r>
          </w:p>
        </w:tc>
        <w:tc>
          <w:tcPr>
            <w:tcW w:w="98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300</w:t>
            </w:r>
          </w:p>
        </w:tc>
        <w:tc>
          <w:tcPr>
            <w:tcW w:w="115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p>
        </w:tc>
        <w:tc>
          <w:tcPr>
            <w:tcW w:w="1091"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8000</w:t>
            </w:r>
            <w:r>
              <w:rPr>
                <w:rFonts w:hint="eastAsia" w:ascii="宋体" w:hAnsi="宋体" w:cs="宋体"/>
                <w:kern w:val="0"/>
                <w:sz w:val="16"/>
                <w:szCs w:val="16"/>
              </w:rPr>
              <w:t>≤</w:t>
            </w:r>
            <w:r>
              <w:rPr>
                <w:rFonts w:ascii="宋体" w:hAnsi="宋体" w:cs="宋体"/>
                <w:kern w:val="0"/>
                <w:sz w:val="16"/>
                <w:szCs w:val="16"/>
              </w:rPr>
              <w:t>Z</w:t>
            </w:r>
            <w:r>
              <w:rPr>
                <w:rFonts w:hint="eastAsia" w:ascii="宋体" w:hAnsi="宋体" w:cs="宋体"/>
                <w:kern w:val="0"/>
                <w:sz w:val="16"/>
                <w:szCs w:val="16"/>
              </w:rPr>
              <w:t>＜</w:t>
            </w:r>
            <w:r>
              <w:rPr>
                <w:rFonts w:ascii="宋体" w:hAnsi="宋体" w:cs="宋体"/>
                <w:kern w:val="0"/>
                <w:sz w:val="16"/>
                <w:szCs w:val="16"/>
              </w:rPr>
              <w:t>120000</w:t>
            </w:r>
          </w:p>
        </w:tc>
        <w:tc>
          <w:tcPr>
            <w:tcW w:w="812"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100</w:t>
            </w:r>
          </w:p>
        </w:tc>
        <w:tc>
          <w:tcPr>
            <w:tcW w:w="970"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p>
        </w:tc>
        <w:tc>
          <w:tcPr>
            <w:tcW w:w="1000"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w:t>
            </w:r>
            <w:r>
              <w:rPr>
                <w:rFonts w:hint="eastAsia" w:ascii="宋体" w:hAnsi="宋体" w:cs="宋体"/>
                <w:kern w:val="0"/>
                <w:sz w:val="16"/>
                <w:szCs w:val="16"/>
              </w:rPr>
              <w:t>≤</w:t>
            </w:r>
            <w:r>
              <w:rPr>
                <w:rFonts w:ascii="宋体" w:hAnsi="宋体" w:cs="宋体"/>
                <w:kern w:val="0"/>
                <w:sz w:val="16"/>
                <w:szCs w:val="16"/>
              </w:rPr>
              <w:t>Z</w:t>
            </w:r>
            <w:r>
              <w:rPr>
                <w:rFonts w:hint="eastAsia" w:ascii="宋体" w:hAnsi="宋体" w:cs="宋体"/>
                <w:kern w:val="0"/>
                <w:sz w:val="16"/>
                <w:szCs w:val="16"/>
              </w:rPr>
              <w:t>＜</w:t>
            </w:r>
            <w:r>
              <w:rPr>
                <w:rFonts w:ascii="宋体" w:hAnsi="宋体" w:cs="宋体"/>
                <w:kern w:val="0"/>
                <w:sz w:val="16"/>
                <w:szCs w:val="16"/>
              </w:rPr>
              <w:t>8000</w:t>
            </w:r>
          </w:p>
        </w:tc>
        <w:tc>
          <w:tcPr>
            <w:tcW w:w="841"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w:t>
            </w:r>
          </w:p>
        </w:tc>
        <w:tc>
          <w:tcPr>
            <w:tcW w:w="835" w:type="dxa"/>
            <w:tcBorders>
              <w:top w:val="nil"/>
              <w:left w:val="nil"/>
              <w:bottom w:val="single" w:color="auto" w:sz="4" w:space="0"/>
              <w:right w:val="single" w:color="auto" w:sz="4" w:space="0"/>
            </w:tcBorders>
            <w:vAlign w:val="center"/>
          </w:tcPr>
          <w:p>
            <w:pPr>
              <w:widowControl/>
              <w:spacing w:line="240" w:lineRule="atLeast"/>
              <w:rPr>
                <w:rFonts w:ascii="宋体" w:hAnsi="宋体" w:cs="宋体"/>
                <w:kern w:val="0"/>
                <w:sz w:val="16"/>
                <w:szCs w:val="16"/>
              </w:rPr>
            </w:pPr>
          </w:p>
        </w:tc>
        <w:tc>
          <w:tcPr>
            <w:tcW w:w="804" w:type="dxa"/>
            <w:tcBorders>
              <w:top w:val="nil"/>
              <w:left w:val="nil"/>
              <w:bottom w:val="single" w:color="auto" w:sz="4" w:space="0"/>
              <w:right w:val="single" w:color="auto" w:sz="8"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Z</w:t>
            </w:r>
            <w:r>
              <w:rPr>
                <w:rFonts w:hint="eastAsia" w:ascii="宋体" w:hAnsi="宋体" w:cs="宋体"/>
                <w:kern w:val="0"/>
                <w:sz w:val="16"/>
                <w:szCs w:val="16"/>
              </w:rPr>
              <w:t>＜</w:t>
            </w:r>
            <w:r>
              <w:rPr>
                <w:rFonts w:ascii="宋体" w:hAnsi="宋体" w:cs="宋体"/>
                <w:kern w:val="0"/>
                <w:sz w:val="16"/>
                <w:szCs w:val="16"/>
              </w:rPr>
              <w:t>100</w:t>
            </w:r>
          </w:p>
        </w:tc>
      </w:tr>
      <w:tr>
        <w:tblPrEx>
          <w:tblCellMar>
            <w:top w:w="0" w:type="dxa"/>
            <w:left w:w="108" w:type="dxa"/>
            <w:bottom w:w="0" w:type="dxa"/>
            <w:right w:w="108" w:type="dxa"/>
          </w:tblCellMar>
        </w:tblPrEx>
        <w:trPr>
          <w:gridAfter w:val="1"/>
          <w:wAfter w:w="10" w:type="dxa"/>
          <w:trHeight w:val="90" w:hRule="atLeast"/>
          <w:jc w:val="center"/>
        </w:trPr>
        <w:tc>
          <w:tcPr>
            <w:tcW w:w="1301" w:type="dxa"/>
            <w:tcBorders>
              <w:top w:val="nil"/>
              <w:left w:val="single" w:color="auto" w:sz="8" w:space="0"/>
              <w:bottom w:val="single" w:color="auto" w:sz="8" w:space="0"/>
              <w:right w:val="single" w:color="auto" w:sz="8" w:space="0"/>
            </w:tcBorders>
            <w:vAlign w:val="bottom"/>
          </w:tcPr>
          <w:p>
            <w:pPr>
              <w:widowControl/>
              <w:spacing w:line="240" w:lineRule="atLeast"/>
              <w:jc w:val="left"/>
              <w:rPr>
                <w:rFonts w:ascii="宋体" w:hAnsi="宋体" w:cs="宋体"/>
                <w:kern w:val="0"/>
                <w:sz w:val="16"/>
                <w:szCs w:val="16"/>
              </w:rPr>
            </w:pPr>
            <w:r>
              <w:rPr>
                <w:rFonts w:ascii="宋体" w:hAnsi="宋体" w:cs="宋体"/>
                <w:kern w:val="0"/>
                <w:sz w:val="16"/>
                <w:szCs w:val="16"/>
              </w:rPr>
              <w:t>16</w:t>
            </w:r>
            <w:r>
              <w:rPr>
                <w:rFonts w:hint="eastAsia" w:ascii="宋体" w:hAnsi="宋体" w:cs="宋体"/>
                <w:kern w:val="0"/>
                <w:sz w:val="16"/>
                <w:szCs w:val="16"/>
              </w:rPr>
              <w:t>、其他未列明行业</w:t>
            </w:r>
          </w:p>
        </w:tc>
        <w:tc>
          <w:tcPr>
            <w:tcW w:w="981" w:type="dxa"/>
            <w:tcBorders>
              <w:top w:val="nil"/>
              <w:left w:val="nil"/>
              <w:bottom w:val="single" w:color="auto" w:sz="8"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300</w:t>
            </w:r>
          </w:p>
        </w:tc>
        <w:tc>
          <w:tcPr>
            <w:tcW w:w="1155" w:type="dxa"/>
            <w:tcBorders>
              <w:top w:val="nil"/>
              <w:left w:val="nil"/>
              <w:bottom w:val="single" w:color="auto" w:sz="8" w:space="0"/>
              <w:right w:val="single" w:color="auto" w:sz="4" w:space="0"/>
            </w:tcBorders>
            <w:vAlign w:val="center"/>
          </w:tcPr>
          <w:p>
            <w:pPr>
              <w:widowControl/>
              <w:spacing w:line="240" w:lineRule="atLeast"/>
              <w:rPr>
                <w:rFonts w:ascii="宋体" w:hAnsi="宋体" w:cs="宋体"/>
                <w:kern w:val="0"/>
                <w:sz w:val="16"/>
                <w:szCs w:val="16"/>
              </w:rPr>
            </w:pPr>
          </w:p>
        </w:tc>
        <w:tc>
          <w:tcPr>
            <w:tcW w:w="1091" w:type="dxa"/>
            <w:tcBorders>
              <w:top w:val="nil"/>
              <w:left w:val="nil"/>
              <w:bottom w:val="single" w:color="auto" w:sz="8" w:space="0"/>
              <w:right w:val="single" w:color="auto" w:sz="8" w:space="0"/>
            </w:tcBorders>
            <w:vAlign w:val="center"/>
          </w:tcPr>
          <w:p>
            <w:pPr>
              <w:widowControl/>
              <w:spacing w:line="240" w:lineRule="atLeast"/>
              <w:rPr>
                <w:rFonts w:ascii="宋体" w:hAnsi="宋体" w:cs="宋体"/>
                <w:kern w:val="0"/>
                <w:sz w:val="16"/>
                <w:szCs w:val="16"/>
              </w:rPr>
            </w:pPr>
          </w:p>
        </w:tc>
        <w:tc>
          <w:tcPr>
            <w:tcW w:w="812" w:type="dxa"/>
            <w:tcBorders>
              <w:top w:val="nil"/>
              <w:left w:val="nil"/>
              <w:bottom w:val="single" w:color="auto" w:sz="8"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10</w:t>
            </w:r>
            <w:r>
              <w:rPr>
                <w:rFonts w:hint="eastAsia" w:ascii="宋体" w:hAnsi="宋体" w:cs="宋体"/>
                <w:kern w:val="0"/>
                <w:sz w:val="16"/>
                <w:szCs w:val="16"/>
              </w:rPr>
              <w:t>≤</w:t>
            </w: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100</w:t>
            </w:r>
          </w:p>
        </w:tc>
        <w:tc>
          <w:tcPr>
            <w:tcW w:w="970" w:type="dxa"/>
            <w:tcBorders>
              <w:top w:val="nil"/>
              <w:left w:val="nil"/>
              <w:bottom w:val="single" w:color="auto" w:sz="8" w:space="0"/>
              <w:right w:val="single" w:color="auto" w:sz="4" w:space="0"/>
            </w:tcBorders>
            <w:vAlign w:val="center"/>
          </w:tcPr>
          <w:p>
            <w:pPr>
              <w:widowControl/>
              <w:spacing w:line="240" w:lineRule="atLeast"/>
              <w:rPr>
                <w:rFonts w:ascii="宋体" w:hAnsi="宋体" w:cs="宋体"/>
                <w:kern w:val="0"/>
                <w:sz w:val="16"/>
                <w:szCs w:val="16"/>
              </w:rPr>
            </w:pPr>
          </w:p>
        </w:tc>
        <w:tc>
          <w:tcPr>
            <w:tcW w:w="1000" w:type="dxa"/>
            <w:tcBorders>
              <w:top w:val="nil"/>
              <w:left w:val="nil"/>
              <w:bottom w:val="single" w:color="auto" w:sz="8" w:space="0"/>
              <w:right w:val="single" w:color="auto" w:sz="8" w:space="0"/>
            </w:tcBorders>
            <w:vAlign w:val="center"/>
          </w:tcPr>
          <w:p>
            <w:pPr>
              <w:widowControl/>
              <w:spacing w:line="240" w:lineRule="atLeast"/>
              <w:rPr>
                <w:rFonts w:ascii="宋体" w:hAnsi="宋体" w:cs="宋体"/>
                <w:kern w:val="0"/>
                <w:sz w:val="16"/>
                <w:szCs w:val="16"/>
              </w:rPr>
            </w:pPr>
          </w:p>
        </w:tc>
        <w:tc>
          <w:tcPr>
            <w:tcW w:w="841" w:type="dxa"/>
            <w:tcBorders>
              <w:top w:val="nil"/>
              <w:left w:val="nil"/>
              <w:bottom w:val="single" w:color="auto" w:sz="8" w:space="0"/>
              <w:right w:val="single" w:color="auto" w:sz="4" w:space="0"/>
            </w:tcBorders>
            <w:vAlign w:val="center"/>
          </w:tcPr>
          <w:p>
            <w:pPr>
              <w:widowControl/>
              <w:spacing w:line="240" w:lineRule="atLeast"/>
              <w:rPr>
                <w:rFonts w:ascii="宋体" w:hAnsi="宋体" w:cs="宋体"/>
                <w:kern w:val="0"/>
                <w:sz w:val="16"/>
                <w:szCs w:val="16"/>
              </w:rPr>
            </w:pPr>
            <w:r>
              <w:rPr>
                <w:rFonts w:ascii="宋体" w:hAnsi="宋体" w:cs="宋体"/>
                <w:kern w:val="0"/>
                <w:sz w:val="16"/>
                <w:szCs w:val="16"/>
              </w:rPr>
              <w:t>X</w:t>
            </w:r>
            <w:r>
              <w:rPr>
                <w:rFonts w:hint="eastAsia" w:ascii="宋体" w:hAnsi="宋体" w:cs="宋体"/>
                <w:kern w:val="0"/>
                <w:sz w:val="16"/>
                <w:szCs w:val="16"/>
              </w:rPr>
              <w:t>＜</w:t>
            </w:r>
            <w:r>
              <w:rPr>
                <w:rFonts w:ascii="宋体" w:hAnsi="宋体" w:cs="宋体"/>
                <w:kern w:val="0"/>
                <w:sz w:val="16"/>
                <w:szCs w:val="16"/>
              </w:rPr>
              <w:t>10</w:t>
            </w:r>
          </w:p>
        </w:tc>
        <w:tc>
          <w:tcPr>
            <w:tcW w:w="835" w:type="dxa"/>
            <w:tcBorders>
              <w:top w:val="nil"/>
              <w:left w:val="nil"/>
              <w:bottom w:val="single" w:color="auto" w:sz="8" w:space="0"/>
              <w:right w:val="single" w:color="auto" w:sz="4" w:space="0"/>
            </w:tcBorders>
            <w:vAlign w:val="center"/>
          </w:tcPr>
          <w:p>
            <w:pPr>
              <w:widowControl/>
              <w:spacing w:line="240" w:lineRule="atLeast"/>
              <w:rPr>
                <w:rFonts w:ascii="宋体" w:hAnsi="宋体" w:cs="宋体"/>
                <w:kern w:val="0"/>
                <w:sz w:val="16"/>
                <w:szCs w:val="16"/>
              </w:rPr>
            </w:pPr>
          </w:p>
        </w:tc>
        <w:tc>
          <w:tcPr>
            <w:tcW w:w="804" w:type="dxa"/>
            <w:tcBorders>
              <w:top w:val="nil"/>
              <w:left w:val="nil"/>
              <w:bottom w:val="single" w:color="auto" w:sz="8" w:space="0"/>
              <w:right w:val="single" w:color="auto" w:sz="8" w:space="0"/>
            </w:tcBorders>
            <w:vAlign w:val="center"/>
          </w:tcPr>
          <w:p>
            <w:pPr>
              <w:widowControl/>
              <w:spacing w:line="240" w:lineRule="atLeast"/>
              <w:rPr>
                <w:rFonts w:ascii="宋体" w:hAnsi="宋体" w:cs="宋体"/>
                <w:kern w:val="0"/>
                <w:sz w:val="16"/>
                <w:szCs w:val="16"/>
              </w:rPr>
            </w:pPr>
          </w:p>
        </w:tc>
      </w:tr>
      <w:tr>
        <w:tblPrEx>
          <w:tblCellMar>
            <w:top w:w="0" w:type="dxa"/>
            <w:left w:w="108" w:type="dxa"/>
            <w:bottom w:w="0" w:type="dxa"/>
            <w:right w:w="108" w:type="dxa"/>
          </w:tblCellMar>
        </w:tblPrEx>
        <w:trPr>
          <w:trHeight w:val="90" w:hRule="atLeast"/>
          <w:jc w:val="center"/>
        </w:trPr>
        <w:tc>
          <w:tcPr>
            <w:tcW w:w="9800" w:type="dxa"/>
            <w:gridSpan w:val="11"/>
            <w:tcBorders>
              <w:top w:val="nil"/>
              <w:left w:val="nil"/>
              <w:bottom w:val="nil"/>
              <w:right w:val="nil"/>
            </w:tcBorders>
            <w:vAlign w:val="bottom"/>
          </w:tcPr>
          <w:p>
            <w:pPr>
              <w:widowControl/>
              <w:spacing w:line="240" w:lineRule="atLeast"/>
              <w:jc w:val="left"/>
              <w:rPr>
                <w:rFonts w:ascii="宋体" w:hAnsi="宋体" w:cs="宋体"/>
                <w:kern w:val="0"/>
                <w:sz w:val="16"/>
                <w:szCs w:val="16"/>
              </w:rPr>
            </w:pPr>
            <w:r>
              <w:rPr>
                <w:rFonts w:hint="eastAsia" w:ascii="宋体" w:hAnsi="宋体" w:cs="宋体"/>
                <w:kern w:val="0"/>
                <w:sz w:val="16"/>
                <w:szCs w:val="16"/>
              </w:rPr>
              <w:t>说明</w:t>
            </w:r>
            <w:r>
              <w:rPr>
                <w:rFonts w:ascii="宋体" w:hAnsi="宋体" w:cs="宋体"/>
                <w:kern w:val="0"/>
                <w:sz w:val="16"/>
                <w:szCs w:val="16"/>
              </w:rPr>
              <w:t>1</w:t>
            </w:r>
            <w:r>
              <w:rPr>
                <w:rFonts w:hint="eastAsia" w:ascii="宋体" w:hAnsi="宋体" w:cs="宋体"/>
                <w:kern w:val="0"/>
                <w:sz w:val="16"/>
                <w:szCs w:val="16"/>
              </w:rPr>
              <w:t>、企业类型的划分以统计部门的统计数据为依据。</w:t>
            </w:r>
          </w:p>
          <w:p>
            <w:pPr>
              <w:widowControl/>
              <w:spacing w:line="240" w:lineRule="atLeast"/>
              <w:ind w:firstLine="480" w:firstLineChars="300"/>
              <w:jc w:val="left"/>
              <w:rPr>
                <w:rFonts w:ascii="宋体" w:hAnsi="宋体" w:cs="宋体"/>
                <w:kern w:val="0"/>
                <w:sz w:val="16"/>
                <w:szCs w:val="16"/>
              </w:rPr>
            </w:pPr>
            <w:r>
              <w:rPr>
                <w:rFonts w:ascii="宋体" w:hAnsi="宋体" w:cs="宋体"/>
                <w:kern w:val="0"/>
                <w:sz w:val="16"/>
                <w:szCs w:val="16"/>
              </w:rPr>
              <w:t>2</w:t>
            </w:r>
            <w:r>
              <w:rPr>
                <w:rFonts w:hint="eastAsia" w:ascii="宋体" w:hAnsi="宋体" w:cs="宋体"/>
                <w:kern w:val="0"/>
                <w:sz w:val="16"/>
                <w:szCs w:val="16"/>
              </w:rPr>
              <w:t>、个体工商户和本规定以外的行业，参照本规定进行划型。</w:t>
            </w:r>
          </w:p>
          <w:p>
            <w:pPr>
              <w:widowControl/>
              <w:spacing w:line="240" w:lineRule="atLeast"/>
              <w:ind w:firstLine="480" w:firstLineChars="300"/>
              <w:jc w:val="left"/>
              <w:rPr>
                <w:rFonts w:ascii="宋体" w:hAnsi="宋体" w:cs="宋体"/>
                <w:kern w:val="0"/>
                <w:sz w:val="16"/>
                <w:szCs w:val="16"/>
              </w:rPr>
            </w:pPr>
            <w:r>
              <w:rPr>
                <w:rFonts w:ascii="宋体" w:hAnsi="宋体" w:cs="宋体"/>
                <w:kern w:val="0"/>
                <w:sz w:val="16"/>
                <w:szCs w:val="16"/>
              </w:rPr>
              <w:t>3</w:t>
            </w:r>
            <w:r>
              <w:rPr>
                <w:rFonts w:hint="eastAsia" w:ascii="宋体" w:hAnsi="宋体" w:cs="宋体"/>
                <w:kern w:val="0"/>
                <w:sz w:val="16"/>
                <w:szCs w:val="16"/>
              </w:rPr>
              <w:t>、本规定的中型企业标准上限即为大型企业标准的下限。</w:t>
            </w:r>
          </w:p>
        </w:tc>
      </w:tr>
    </w:tbl>
    <w:p>
      <w:pPr>
        <w:spacing w:line="400" w:lineRule="exact"/>
        <w:jc w:val="left"/>
        <w:rPr>
          <w:rStyle w:val="90"/>
          <w:rFonts w:ascii="宋体" w:hAnsi="宋体" w:cs="仿宋_GB2312"/>
          <w:sz w:val="30"/>
          <w:szCs w:val="30"/>
        </w:rPr>
      </w:pPr>
    </w:p>
    <w:p>
      <w:pPr>
        <w:spacing w:line="400" w:lineRule="exact"/>
        <w:jc w:val="left"/>
        <w:rPr>
          <w:rStyle w:val="90"/>
          <w:rFonts w:ascii="宋体" w:hAnsi="宋体" w:cs="仿宋_GB2312"/>
          <w:sz w:val="30"/>
          <w:szCs w:val="30"/>
        </w:rPr>
      </w:pPr>
    </w:p>
    <w:p>
      <w:pPr>
        <w:spacing w:line="400" w:lineRule="exact"/>
        <w:jc w:val="left"/>
        <w:rPr>
          <w:rStyle w:val="90"/>
          <w:rFonts w:ascii="宋体" w:hAnsi="宋体" w:cs="仿宋_GB2312"/>
          <w:sz w:val="30"/>
          <w:szCs w:val="30"/>
        </w:rPr>
      </w:pPr>
    </w:p>
    <w:p>
      <w:pPr>
        <w:spacing w:line="400" w:lineRule="exact"/>
        <w:jc w:val="left"/>
        <w:rPr>
          <w:rStyle w:val="90"/>
          <w:rFonts w:ascii="宋体" w:hAnsi="宋体" w:cs="仿宋_GB2312"/>
          <w:sz w:val="30"/>
          <w:szCs w:val="30"/>
        </w:rPr>
      </w:pPr>
    </w:p>
    <w:p>
      <w:pPr>
        <w:spacing w:line="400" w:lineRule="exact"/>
        <w:jc w:val="left"/>
        <w:rPr>
          <w:rStyle w:val="90"/>
          <w:rFonts w:ascii="宋体" w:hAnsi="宋体" w:cs="仿宋_GB2312"/>
          <w:sz w:val="30"/>
          <w:szCs w:val="30"/>
        </w:rPr>
      </w:pPr>
    </w:p>
    <w:p>
      <w:pPr>
        <w:spacing w:line="400" w:lineRule="exact"/>
        <w:jc w:val="left"/>
        <w:rPr>
          <w:rStyle w:val="90"/>
          <w:rFonts w:ascii="宋体" w:hAnsi="宋体" w:cs="仿宋_GB2312"/>
          <w:sz w:val="30"/>
          <w:szCs w:val="30"/>
        </w:rPr>
      </w:pPr>
    </w:p>
    <w:p>
      <w:pPr>
        <w:spacing w:line="400" w:lineRule="exact"/>
        <w:jc w:val="left"/>
        <w:rPr>
          <w:rStyle w:val="90"/>
          <w:rFonts w:ascii="宋体" w:hAnsi="宋体" w:cs="仿宋_GB2312"/>
          <w:sz w:val="30"/>
          <w:szCs w:val="30"/>
        </w:rPr>
      </w:pPr>
    </w:p>
    <w:p>
      <w:pPr>
        <w:spacing w:line="400" w:lineRule="exact"/>
        <w:jc w:val="left"/>
        <w:rPr>
          <w:rStyle w:val="90"/>
          <w:rFonts w:ascii="宋体" w:hAnsi="宋体" w:cs="仿宋_GB2312"/>
          <w:sz w:val="30"/>
          <w:szCs w:val="30"/>
        </w:rPr>
      </w:pPr>
    </w:p>
    <w:p>
      <w:pPr>
        <w:spacing w:line="400" w:lineRule="exact"/>
        <w:jc w:val="left"/>
        <w:rPr>
          <w:rStyle w:val="90"/>
          <w:rFonts w:ascii="宋体" w:hAnsi="宋体" w:cs="仿宋_GB2312"/>
          <w:sz w:val="30"/>
          <w:szCs w:val="30"/>
        </w:rPr>
      </w:pPr>
    </w:p>
    <w:p>
      <w:pPr>
        <w:spacing w:line="400" w:lineRule="exact"/>
        <w:jc w:val="left"/>
        <w:rPr>
          <w:rStyle w:val="90"/>
          <w:rFonts w:ascii="宋体" w:hAnsi="宋体" w:cs="仿宋_GB2312"/>
          <w:sz w:val="30"/>
          <w:szCs w:val="30"/>
        </w:rPr>
      </w:pPr>
    </w:p>
    <w:p>
      <w:pPr>
        <w:spacing w:line="400" w:lineRule="exact"/>
        <w:jc w:val="left"/>
        <w:rPr>
          <w:rStyle w:val="90"/>
          <w:rFonts w:ascii="宋体" w:hAnsi="宋体" w:cs="仿宋_GB2312"/>
          <w:sz w:val="30"/>
          <w:szCs w:val="30"/>
        </w:rPr>
      </w:pPr>
    </w:p>
    <w:p>
      <w:pPr>
        <w:spacing w:line="400" w:lineRule="exact"/>
        <w:jc w:val="left"/>
        <w:rPr>
          <w:rStyle w:val="90"/>
          <w:rFonts w:ascii="宋体" w:hAnsi="宋体" w:cs="仿宋_GB2312"/>
          <w:sz w:val="30"/>
          <w:szCs w:val="30"/>
        </w:rPr>
      </w:pPr>
    </w:p>
    <w:p>
      <w:pPr>
        <w:spacing w:line="400" w:lineRule="exact"/>
        <w:jc w:val="left"/>
        <w:rPr>
          <w:rStyle w:val="90"/>
          <w:rFonts w:ascii="宋体" w:hAnsi="宋体" w:cs="仿宋_GB2312"/>
          <w:sz w:val="30"/>
          <w:szCs w:val="30"/>
        </w:rPr>
      </w:pPr>
    </w:p>
    <w:p>
      <w:pPr>
        <w:spacing w:line="400" w:lineRule="exact"/>
        <w:jc w:val="left"/>
        <w:rPr>
          <w:rStyle w:val="90"/>
          <w:rFonts w:ascii="宋体" w:hAnsi="宋体" w:cs="仿宋_GB2312"/>
          <w:sz w:val="30"/>
          <w:szCs w:val="30"/>
        </w:rPr>
      </w:pPr>
    </w:p>
    <w:p>
      <w:pPr>
        <w:spacing w:line="400" w:lineRule="exact"/>
        <w:jc w:val="left"/>
        <w:rPr>
          <w:rStyle w:val="90"/>
          <w:rFonts w:ascii="宋体" w:hAnsi="宋体" w:cs="仿宋_GB2312"/>
          <w:sz w:val="30"/>
          <w:szCs w:val="30"/>
        </w:rPr>
      </w:pPr>
      <w:r>
        <w:rPr>
          <w:rStyle w:val="90"/>
          <w:rFonts w:hint="eastAsia" w:ascii="宋体" w:hAnsi="宋体" w:cs="仿宋_GB2312"/>
          <w:sz w:val="30"/>
          <w:szCs w:val="30"/>
        </w:rPr>
        <w:t>附件</w:t>
      </w:r>
    </w:p>
    <w:p>
      <w:pPr>
        <w:spacing w:line="480" w:lineRule="auto"/>
        <w:jc w:val="right"/>
        <w:rPr>
          <w:rFonts w:ascii="宋体" w:hAnsi="宋体" w:cs="仿宋_GB2312"/>
          <w:b/>
          <w:bCs/>
          <w:sz w:val="32"/>
          <w:szCs w:val="32"/>
        </w:rPr>
      </w:pPr>
      <w:r>
        <w:rPr>
          <w:rFonts w:ascii="宋体" w:hAnsi="宋体" w:cs="仿宋_GB2312"/>
          <w:b/>
          <w:bCs/>
          <w:sz w:val="32"/>
          <w:szCs w:val="32"/>
        </w:rPr>
        <w:t>正（副）本</w:t>
      </w:r>
    </w:p>
    <w:p>
      <w:pPr>
        <w:rPr>
          <w:rFonts w:ascii="宋体" w:hAnsi="宋体" w:cs="仿宋_GB2312"/>
          <w:sz w:val="44"/>
          <w:szCs w:val="44"/>
        </w:rPr>
      </w:pPr>
    </w:p>
    <w:p>
      <w:pPr>
        <w:spacing w:line="360" w:lineRule="auto"/>
        <w:jc w:val="center"/>
        <w:rPr>
          <w:rFonts w:ascii="宋体" w:hAnsi="宋体" w:cs="仿宋_GB2312"/>
          <w:sz w:val="52"/>
          <w:szCs w:val="52"/>
        </w:rPr>
      </w:pPr>
      <w:r>
        <w:rPr>
          <w:rFonts w:ascii="宋体" w:hAnsi="宋体" w:cs="仿宋_GB2312"/>
          <w:sz w:val="52"/>
          <w:szCs w:val="52"/>
        </w:rPr>
        <w:t>(项目名称)项目</w:t>
      </w:r>
    </w:p>
    <w:p>
      <w:pPr>
        <w:spacing w:line="360" w:lineRule="auto"/>
        <w:jc w:val="center"/>
        <w:rPr>
          <w:rFonts w:ascii="宋体" w:hAnsi="宋体" w:cs="仿宋_GB2312"/>
          <w:sz w:val="32"/>
          <w:szCs w:val="32"/>
        </w:rPr>
      </w:pPr>
      <w:r>
        <w:rPr>
          <w:rFonts w:hint="eastAsia" w:ascii="宋体" w:hAnsi="宋体" w:cs="仿宋_GB2312"/>
          <w:sz w:val="32"/>
          <w:szCs w:val="32"/>
        </w:rPr>
        <w:t>采购</w:t>
      </w:r>
      <w:r>
        <w:rPr>
          <w:rFonts w:ascii="宋体" w:hAnsi="宋体" w:cs="仿宋_GB2312"/>
          <w:sz w:val="32"/>
          <w:szCs w:val="32"/>
        </w:rPr>
        <w:t>编号：</w:t>
      </w:r>
    </w:p>
    <w:p>
      <w:pPr>
        <w:jc w:val="center"/>
        <w:rPr>
          <w:rFonts w:ascii="宋体" w:hAnsi="宋体" w:cs="仿宋_GB2312"/>
          <w:sz w:val="32"/>
          <w:szCs w:val="32"/>
        </w:rPr>
      </w:pPr>
      <w:r>
        <w:rPr>
          <w:rFonts w:ascii="宋体" w:hAnsi="宋体" w:cs="仿宋_GB2312"/>
          <w:sz w:val="32"/>
          <w:szCs w:val="32"/>
        </w:rPr>
        <w:t>（</w:t>
      </w:r>
      <w:r>
        <w:rPr>
          <w:rFonts w:hint="eastAsia" w:ascii="宋体" w:hAnsi="宋体" w:cs="仿宋_GB2312"/>
          <w:sz w:val="32"/>
          <w:szCs w:val="32"/>
        </w:rPr>
        <w:t>资格审查文件或商务技术文件</w:t>
      </w:r>
      <w:r>
        <w:rPr>
          <w:rFonts w:ascii="宋体" w:hAnsi="宋体" w:cs="仿宋_GB2312"/>
          <w:sz w:val="32"/>
          <w:szCs w:val="32"/>
        </w:rPr>
        <w:t>或报价文件）</w:t>
      </w:r>
    </w:p>
    <w:p>
      <w:pPr>
        <w:jc w:val="center"/>
        <w:rPr>
          <w:rFonts w:ascii="宋体" w:hAnsi="宋体" w:cs="仿宋_GB2312"/>
          <w:sz w:val="84"/>
        </w:rPr>
      </w:pPr>
    </w:p>
    <w:p>
      <w:pPr>
        <w:jc w:val="center"/>
        <w:rPr>
          <w:rFonts w:ascii="宋体" w:hAnsi="宋体" w:cs="仿宋_GB2312"/>
          <w:sz w:val="84"/>
        </w:rPr>
      </w:pPr>
      <w:r>
        <w:rPr>
          <w:rFonts w:ascii="宋体" w:hAnsi="宋体" w:cs="仿宋_GB2312"/>
          <w:sz w:val="84"/>
        </w:rPr>
        <w:t>投</w:t>
      </w:r>
    </w:p>
    <w:p>
      <w:pPr>
        <w:jc w:val="center"/>
        <w:rPr>
          <w:rFonts w:ascii="宋体" w:hAnsi="宋体" w:cs="仿宋_GB2312"/>
          <w:sz w:val="84"/>
        </w:rPr>
      </w:pPr>
      <w:r>
        <w:rPr>
          <w:rFonts w:ascii="宋体" w:hAnsi="宋体" w:cs="仿宋_GB2312"/>
          <w:sz w:val="84"/>
        </w:rPr>
        <w:t>标</w:t>
      </w:r>
    </w:p>
    <w:p>
      <w:pPr>
        <w:jc w:val="center"/>
        <w:rPr>
          <w:rFonts w:ascii="宋体" w:hAnsi="宋体" w:cs="仿宋_GB2312"/>
          <w:sz w:val="84"/>
        </w:rPr>
      </w:pPr>
      <w:r>
        <w:rPr>
          <w:rFonts w:ascii="宋体" w:hAnsi="宋体" w:cs="仿宋_GB2312"/>
          <w:sz w:val="84"/>
        </w:rPr>
        <w:t>文</w:t>
      </w:r>
    </w:p>
    <w:p>
      <w:pPr>
        <w:jc w:val="center"/>
        <w:rPr>
          <w:rFonts w:ascii="宋体" w:hAnsi="宋体" w:cs="仿宋_GB2312"/>
          <w:sz w:val="84"/>
        </w:rPr>
      </w:pPr>
      <w:r>
        <w:rPr>
          <w:rFonts w:ascii="宋体" w:hAnsi="宋体" w:cs="仿宋_GB2312"/>
          <w:sz w:val="84"/>
        </w:rPr>
        <w:t>件</w:t>
      </w:r>
    </w:p>
    <w:p>
      <w:pPr>
        <w:jc w:val="center"/>
        <w:rPr>
          <w:rFonts w:ascii="宋体" w:hAnsi="宋体" w:cs="仿宋_GB2312"/>
          <w:sz w:val="24"/>
        </w:rPr>
      </w:pPr>
    </w:p>
    <w:p>
      <w:pPr>
        <w:jc w:val="center"/>
        <w:rPr>
          <w:rFonts w:ascii="宋体" w:hAnsi="宋体" w:cs="仿宋_GB2312"/>
          <w:sz w:val="24"/>
        </w:rPr>
      </w:pPr>
    </w:p>
    <w:p>
      <w:pPr>
        <w:spacing w:line="480" w:lineRule="auto"/>
        <w:ind w:firstLine="1920" w:firstLineChars="600"/>
        <w:rPr>
          <w:rFonts w:ascii="宋体" w:hAnsi="宋体" w:cs="仿宋_GB2312"/>
          <w:sz w:val="32"/>
          <w:szCs w:val="32"/>
        </w:rPr>
      </w:pPr>
      <w:r>
        <w:rPr>
          <w:rFonts w:hint="eastAsia" w:ascii="宋体" w:hAnsi="宋体" w:cs="仿宋_GB2312"/>
          <w:sz w:val="32"/>
          <w:szCs w:val="32"/>
        </w:rPr>
        <w:t>供应商</w:t>
      </w:r>
      <w:r>
        <w:rPr>
          <w:rFonts w:ascii="宋体" w:hAnsi="宋体" w:cs="仿宋_GB2312"/>
          <w:sz w:val="32"/>
          <w:szCs w:val="32"/>
        </w:rPr>
        <w:t>全称：（加盖单位公章）</w:t>
      </w:r>
    </w:p>
    <w:p>
      <w:pPr>
        <w:spacing w:line="480" w:lineRule="auto"/>
        <w:ind w:firstLine="1920" w:firstLineChars="600"/>
        <w:rPr>
          <w:rFonts w:ascii="宋体" w:hAnsi="宋体" w:cs="仿宋_GB2312"/>
          <w:sz w:val="32"/>
          <w:szCs w:val="32"/>
        </w:rPr>
      </w:pPr>
      <w:r>
        <w:rPr>
          <w:rFonts w:ascii="宋体" w:hAnsi="宋体" w:cs="仿宋_GB2312"/>
          <w:sz w:val="32"/>
          <w:szCs w:val="32"/>
        </w:rPr>
        <w:t>地址：</w:t>
      </w:r>
    </w:p>
    <w:p>
      <w:pPr>
        <w:spacing w:line="480" w:lineRule="auto"/>
        <w:ind w:firstLine="1920" w:firstLineChars="600"/>
        <w:rPr>
          <w:rFonts w:ascii="宋体" w:hAnsi="宋体" w:cs="仿宋_GB2312"/>
          <w:sz w:val="32"/>
          <w:szCs w:val="32"/>
        </w:rPr>
      </w:pPr>
      <w:r>
        <w:rPr>
          <w:rFonts w:ascii="宋体" w:hAnsi="宋体" w:cs="仿宋_GB2312"/>
          <w:sz w:val="32"/>
          <w:szCs w:val="32"/>
        </w:rPr>
        <w:t>在  年  月  日 时 分前不得开启</w:t>
      </w:r>
    </w:p>
    <w:p/>
    <w:p/>
    <w:p/>
    <w:p/>
    <w:p>
      <w:pPr>
        <w:tabs>
          <w:tab w:val="left" w:pos="3723"/>
        </w:tabs>
        <w:jc w:val="left"/>
        <w:rPr>
          <w:rFonts w:ascii="宋体" w:hAnsi="宋体"/>
          <w:szCs w:val="21"/>
        </w:rPr>
      </w:pPr>
      <w:r>
        <w:rPr>
          <w:rFonts w:hint="eastAsia"/>
        </w:rPr>
        <w:tab/>
      </w:r>
    </w:p>
    <w:p/>
    <w:sectPr>
      <w:pgSz w:w="11907" w:h="16840"/>
      <w:pgMar w:top="1077" w:right="1134" w:bottom="1077" w:left="1134" w:header="284" w:footer="992"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1"/>
      </w:rPr>
    </w:pPr>
    <w:r>
      <w:fldChar w:fldCharType="begin"/>
    </w:r>
    <w:r>
      <w:rPr>
        <w:rStyle w:val="51"/>
      </w:rPr>
      <w:instrText xml:space="preserve">PAGE  </w:instrText>
    </w:r>
    <w:r>
      <w:fldChar w:fldCharType="separate"/>
    </w:r>
    <w:r>
      <w:rPr>
        <w:rStyle w:val="51"/>
      </w:rPr>
      <w:t>2</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 AQAADwAAAGRycy9kb3ducmV2LnhtbE2PMW/CMBCF90r9D9ZV6lbsMJQoxGFAYmGDVkhsJj7iCPsc 2SYk/76mS7uc9PSe3vuu3kzOshFD7D1JKBYCGFLrdU+dhO+v3UcJLCZFWllPKGHGCJvm9aVWlfYP OuB4TB3LJRQrJcGkNFScx9agU3HhB6TsXX1wKmUZOq6DeuRyZ/lSiE/uVE95wagBtwbb2/HuJKym k8ch4hbP17ENpp9Lu5+lfH8rxBpYwin9heGJn9GhyUwXfycdmZWQH0m/9+mVBbCLhKVYAW9q/p+9 +QFQSwMEFAAAAAgAh07iQN4ls6kIAgAAAgQAAA4AAABkcnMvZTJvRG9jLnhtbK1TS27bMBDdF+gd CO5rWYlTtILlII3hokD6AZIegKYoi6jIIYa0JfcA7Q266qb7nsvnyJCy3DTdZNENMSSHb957M5xf 9qZlO4Vegy15PplypqyESttNyT/frV684swHYSvRglUl3yvPLxfPn807V6gzaKCtFDICsb7oXMmb EFyRZV42ygg/AacsXdaARgTa4iarUHSEbtrsbDp9mXWAlUOQyns6XQ6X/IiITwGEutZSLUFujbJh QEXVikCSfKOd54vEtq6VDB/r2qvA2pKT0pBWKkLxOq7ZYi6KDQrXaHmkIJ5C4ZEmI7SloieopQiC bVH/A2W0RPBQh4kEkw1CkiOkIp8+8ua2EU4lLWS1dyfT/f+DlR92n5DpiiaBMysMNfzw4/vh5+/D r28sj/Z0zheUdesoL/RvoI+pUap3NyC/eGbhuhF2o64QoWuUqIheepk9eDrg+Aiy7t5DRXXENkAC 6ms0EZDcYIROrdmfWqP6wGQsmc9en19wJukqP89ns4vILRPF+NihD28VGBaDkiN1PoGL3Y0PQ+qY EmtZWOm2Td1v7V8HhBlPEvnId2Ae+nV/NGMN1Z5kIAzDRF+JggbwK2cdDVLJLf0bztp3loyIMzcG OAbrMRBW0sOSB86G8DoMs7l1qDcN4Y5WX5FZK52ERFcHDkeWNBrJiuMYx9l7uE9Zf77u4h5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BxBAAAW0Nv bnRlbnRfVHlwZXNdLnhtbFBLAQIUAAoAAAAAAIdO4kAAAAAAAAAAAAAAAAAGAAAAAAAAAAAAEAAA AFMDAABfcmVscy9QSwECFAAUAAAACACHTuJAihRmPNEAAACUAQAACwAAAAAAAAABACAAAAB3AwAA X3JlbHMvLnJlbHNQSwECFAAKAAAAAACHTuJAAAAAAAAAAAAAAAAABAAAAAAAAAAAABAAAAAAAAAA ZHJzL1BLAQIUABQAAAAIAIdO4kBD5X5J0AAAAAMBAAAPAAAAAAAAAAEAIAAAACIAAABkcnMvZG93 bnJldi54bWxQSwECFAAUAAAACACHTuJA3iWzqQgCAAACBAAADgAAAAAAAAABACAAAAAfAQAAZHJz L2Uyb0RvYy54bWxQSwUGAAAAAAYABgBZAQAAmQUAAAAA ">
              <v:fill on="f" focussize="0,0"/>
              <v:stroke on="f"/>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rPr>
        <w:b/>
        <w:b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b/>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19"/>
      <w:lvlText w:val="(%1)"/>
      <w:lvlJc w:val="left"/>
      <w:pPr>
        <w:tabs>
          <w:tab w:val="left" w:pos="510"/>
        </w:tabs>
        <w:ind w:left="51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81"/>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1">
    <w:nsid w:val="0000000B"/>
    <w:multiLevelType w:val="singleLevel"/>
    <w:tmpl w:val="0000000B"/>
    <w:lvl w:ilvl="0" w:tentative="0">
      <w:start w:val="1"/>
      <w:numFmt w:val="decimal"/>
      <w:pStyle w:val="32"/>
      <w:lvlText w:val="%1、"/>
      <w:lvlJc w:val="left"/>
      <w:pPr>
        <w:tabs>
          <w:tab w:val="left" w:pos="840"/>
        </w:tabs>
        <w:ind w:left="840" w:hanging="360"/>
      </w:pPr>
      <w:rPr>
        <w:rFonts w:hint="eastAsia"/>
      </w:rPr>
    </w:lvl>
  </w:abstractNum>
  <w:abstractNum w:abstractNumId="2">
    <w:nsid w:val="0000000C"/>
    <w:multiLevelType w:val="singleLevel"/>
    <w:tmpl w:val="0000000C"/>
    <w:lvl w:ilvl="0" w:tentative="0">
      <w:start w:val="1"/>
      <w:numFmt w:val="decimal"/>
      <w:pStyle w:val="168"/>
      <w:lvlText w:val="(%1)"/>
      <w:lvlJc w:val="left"/>
      <w:pPr>
        <w:tabs>
          <w:tab w:val="left" w:pos="700"/>
        </w:tabs>
        <w:ind w:left="0" w:firstLine="340"/>
      </w:pPr>
      <w:rPr>
        <w:rFonts w:hint="eastAsia"/>
      </w:rPr>
    </w:lvl>
  </w:abstractNum>
  <w:abstractNum w:abstractNumId="3">
    <w:nsid w:val="0000000D"/>
    <w:multiLevelType w:val="multilevel"/>
    <w:tmpl w:val="0000000D"/>
    <w:lvl w:ilvl="0" w:tentative="0">
      <w:start w:val="5"/>
      <w:numFmt w:val="decimal"/>
      <w:pStyle w:val="147"/>
      <w:lvlText w:val="（%1）"/>
      <w:lvlJc w:val="left"/>
      <w:pPr>
        <w:tabs>
          <w:tab w:val="left" w:pos="1200"/>
        </w:tabs>
        <w:ind w:left="1200" w:hanging="720"/>
      </w:pPr>
      <w:rPr>
        <w:rFonts w:hint="default" w:ascii="宋体"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Formatting/>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kNDc2OTBjMjVjMGY2NDkzYjUxODIzNGEzMGQzMjcifQ=="/>
  </w:docVars>
  <w:rsids>
    <w:rsidRoot w:val="002315E5"/>
    <w:rsid w:val="000E4FB2"/>
    <w:rsid w:val="00100BBA"/>
    <w:rsid w:val="00193B1C"/>
    <w:rsid w:val="001C42B7"/>
    <w:rsid w:val="002315E5"/>
    <w:rsid w:val="00287B88"/>
    <w:rsid w:val="00390DD4"/>
    <w:rsid w:val="004840C5"/>
    <w:rsid w:val="00666198"/>
    <w:rsid w:val="007870D8"/>
    <w:rsid w:val="00862391"/>
    <w:rsid w:val="009E0412"/>
    <w:rsid w:val="00A635E7"/>
    <w:rsid w:val="00B345E4"/>
    <w:rsid w:val="00B602CF"/>
    <w:rsid w:val="00E804E1"/>
    <w:rsid w:val="00ED3AD2"/>
    <w:rsid w:val="00EE79F0"/>
    <w:rsid w:val="00F55363"/>
    <w:rsid w:val="00F92776"/>
    <w:rsid w:val="00FE4D45"/>
    <w:rsid w:val="35014C64"/>
    <w:rsid w:val="352E7D40"/>
    <w:rsid w:val="36F74747"/>
    <w:rsid w:val="4E7B594C"/>
    <w:rsid w:val="51F37EF0"/>
    <w:rsid w:val="53BD07B5"/>
    <w:rsid w:val="53E7233D"/>
    <w:rsid w:val="5C4F21C6"/>
    <w:rsid w:val="7766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qFormat="1" w:uiPriority="0" w:semiHidden="0" w:name="header"/>
    <w:lsdException w:uiPriority="0" w:semiHidden="0" w:name="footer"/>
    <w:lsdException w:uiPriority="99" w:name="index heading"/>
    <w:lsdException w:qFormat="1" w:uiPriority="35" w:name="caption"/>
    <w:lsdException w:unhideWhenUsed="0" w:uiPriority="0"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nhideWhenUsed="0" w:uiPriority="0" w:semiHidden="0" w:name="List Number 5"/>
    <w:lsdException w:qFormat="1" w:unhideWhenUsed="0" w:uiPriority="0" w:semiHidden="0" w:name="Title"/>
    <w:lsdException w:uiPriority="99" w:name="Closing"/>
    <w:lsdException w:uiPriority="99" w:name="Signature"/>
    <w:lsdException w:uiPriority="1" w:name="Default Paragraph Font"/>
    <w:lsdException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nhideWhenUsed="0" w:uiPriority="0" w:semiHidden="0"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spacing w:line="380" w:lineRule="exact"/>
      <w:jc w:val="center"/>
      <w:outlineLvl w:val="0"/>
    </w:pPr>
    <w:rPr>
      <w:b/>
      <w:bCs/>
      <w:kern w:val="44"/>
      <w:sz w:val="44"/>
      <w:szCs w:val="44"/>
    </w:rPr>
  </w:style>
  <w:style w:type="paragraph" w:styleId="4">
    <w:name w:val="heading 2"/>
    <w:basedOn w:val="1"/>
    <w:next w:val="1"/>
    <w:link w:val="59"/>
    <w:qFormat/>
    <w:uiPriority w:val="0"/>
    <w:pPr>
      <w:keepNext/>
      <w:keepLines/>
      <w:tabs>
        <w:tab w:val="left" w:pos="578"/>
      </w:tabs>
      <w:spacing w:before="156" w:beforeLines="50" w:after="156" w:afterLines="50" w:line="360" w:lineRule="auto"/>
      <w:ind w:left="578" w:hanging="578"/>
      <w:outlineLvl w:val="1"/>
    </w:pPr>
    <w:rPr>
      <w:rFonts w:ascii="Arial" w:hAnsi="Arial" w:eastAsia="黑体"/>
      <w:b/>
      <w:bCs/>
      <w:sz w:val="32"/>
      <w:szCs w:val="32"/>
    </w:rPr>
  </w:style>
  <w:style w:type="paragraph" w:styleId="5">
    <w:name w:val="heading 3"/>
    <w:basedOn w:val="1"/>
    <w:next w:val="1"/>
    <w:link w:val="60"/>
    <w:qFormat/>
    <w:uiPriority w:val="0"/>
    <w:pPr>
      <w:keepNext/>
      <w:keepLines/>
      <w:tabs>
        <w:tab w:val="left" w:pos="1620"/>
      </w:tabs>
      <w:spacing w:before="156" w:beforeLines="50" w:after="156" w:afterLines="50" w:line="360" w:lineRule="auto"/>
      <w:ind w:left="1620" w:hanging="720"/>
      <w:outlineLvl w:val="2"/>
    </w:pPr>
    <w:rPr>
      <w:rFonts w:ascii="Arial" w:hAnsi="Arial" w:eastAsia="黑体" w:cs="Arial"/>
      <w:b/>
      <w:bCs/>
      <w:sz w:val="30"/>
      <w:szCs w:val="32"/>
    </w:rPr>
  </w:style>
  <w:style w:type="paragraph" w:styleId="6">
    <w:name w:val="heading 4"/>
    <w:basedOn w:val="1"/>
    <w:next w:val="1"/>
    <w:link w:val="61"/>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link w:val="62"/>
    <w:qFormat/>
    <w:uiPriority w:val="0"/>
    <w:pPr>
      <w:keepNext/>
      <w:keepLines/>
      <w:tabs>
        <w:tab w:val="left" w:pos="1548"/>
      </w:tabs>
      <w:spacing w:before="280" w:after="290" w:line="376" w:lineRule="auto"/>
      <w:ind w:left="1548" w:hanging="1548"/>
      <w:outlineLvl w:val="4"/>
    </w:pPr>
    <w:rPr>
      <w:b/>
      <w:bCs/>
      <w:sz w:val="28"/>
      <w:szCs w:val="28"/>
    </w:rPr>
  </w:style>
  <w:style w:type="paragraph" w:styleId="8">
    <w:name w:val="heading 6"/>
    <w:basedOn w:val="1"/>
    <w:next w:val="1"/>
    <w:link w:val="63"/>
    <w:qFormat/>
    <w:uiPriority w:val="0"/>
    <w:pPr>
      <w:keepNext/>
      <w:keepLines/>
      <w:spacing w:before="240" w:after="64" w:line="320" w:lineRule="auto"/>
      <w:outlineLvl w:val="5"/>
    </w:pPr>
    <w:rPr>
      <w:rFonts w:ascii="Cambria" w:hAnsi="Cambria"/>
      <w:b/>
      <w:bCs/>
      <w:sz w:val="24"/>
      <w:szCs w:val="24"/>
    </w:rPr>
  </w:style>
  <w:style w:type="paragraph" w:styleId="9">
    <w:name w:val="heading 7"/>
    <w:basedOn w:val="1"/>
    <w:next w:val="1"/>
    <w:link w:val="64"/>
    <w:qFormat/>
    <w:uiPriority w:val="0"/>
    <w:pPr>
      <w:keepNext/>
      <w:keepLines/>
      <w:numPr>
        <w:ilvl w:val="6"/>
        <w:numId w:val="1"/>
      </w:numPr>
      <w:tabs>
        <w:tab w:val="left" w:pos="1296"/>
        <w:tab w:val="clear" w:pos="2940"/>
      </w:tabs>
      <w:spacing w:before="240" w:after="64" w:line="317" w:lineRule="auto"/>
      <w:outlineLvl w:val="6"/>
    </w:pPr>
    <w:rPr>
      <w:b/>
      <w:bCs/>
      <w:sz w:val="24"/>
      <w:szCs w:val="24"/>
    </w:rPr>
  </w:style>
  <w:style w:type="paragraph" w:styleId="10">
    <w:name w:val="heading 8"/>
    <w:basedOn w:val="1"/>
    <w:next w:val="1"/>
    <w:link w:val="65"/>
    <w:qFormat/>
    <w:uiPriority w:val="0"/>
    <w:pPr>
      <w:keepNext/>
      <w:keepLines/>
      <w:numPr>
        <w:ilvl w:val="7"/>
        <w:numId w:val="1"/>
      </w:numPr>
      <w:tabs>
        <w:tab w:val="left" w:pos="1440"/>
        <w:tab w:val="clear" w:pos="3360"/>
      </w:tabs>
      <w:spacing w:before="240" w:after="64" w:line="317" w:lineRule="auto"/>
      <w:outlineLvl w:val="7"/>
    </w:pPr>
    <w:rPr>
      <w:rFonts w:ascii="Arial" w:hAnsi="Arial" w:eastAsia="黑体"/>
      <w:sz w:val="24"/>
      <w:szCs w:val="24"/>
    </w:rPr>
  </w:style>
  <w:style w:type="paragraph" w:styleId="11">
    <w:name w:val="heading 9"/>
    <w:basedOn w:val="1"/>
    <w:next w:val="1"/>
    <w:link w:val="66"/>
    <w:qFormat/>
    <w:uiPriority w:val="0"/>
    <w:pPr>
      <w:keepNext/>
      <w:keepLines/>
      <w:numPr>
        <w:ilvl w:val="8"/>
        <w:numId w:val="1"/>
      </w:numPr>
      <w:tabs>
        <w:tab w:val="left" w:pos="1584"/>
        <w:tab w:val="clear" w:pos="3780"/>
      </w:tabs>
      <w:spacing w:before="240" w:after="64" w:line="317" w:lineRule="auto"/>
      <w:outlineLvl w:val="8"/>
    </w:pPr>
    <w:rPr>
      <w:rFonts w:ascii="Arial" w:hAnsi="Arial" w:eastAsia="黑体"/>
      <w:szCs w:val="21"/>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1"/>
    <w:link w:val="74"/>
    <w:qFormat/>
    <w:uiPriority w:val="0"/>
    <w:pPr>
      <w:spacing w:line="380" w:lineRule="exact"/>
      <w:ind w:firstLine="480"/>
    </w:pPr>
    <w:rPr>
      <w:rFonts w:eastAsia="方正书宋简体"/>
      <w:sz w:val="24"/>
    </w:rPr>
  </w:style>
  <w:style w:type="paragraph" w:styleId="12">
    <w:name w:val="toc 7"/>
    <w:basedOn w:val="1"/>
    <w:next w:val="1"/>
    <w:uiPriority w:val="0"/>
    <w:pPr>
      <w:ind w:left="1260"/>
      <w:jc w:val="left"/>
    </w:pPr>
    <w:rPr>
      <w:sz w:val="18"/>
      <w:szCs w:val="18"/>
    </w:rPr>
  </w:style>
  <w:style w:type="paragraph" w:styleId="13">
    <w:name w:val="Normal Indent"/>
    <w:basedOn w:val="1"/>
    <w:link w:val="69"/>
    <w:uiPriority w:val="0"/>
    <w:pPr>
      <w:ind w:firstLine="420" w:firstLineChars="200"/>
    </w:pPr>
    <w:rPr>
      <w:szCs w:val="24"/>
    </w:rPr>
  </w:style>
  <w:style w:type="paragraph" w:styleId="14">
    <w:name w:val="Document Map"/>
    <w:basedOn w:val="1"/>
    <w:link w:val="70"/>
    <w:uiPriority w:val="0"/>
    <w:pPr>
      <w:shd w:val="clear" w:color="auto" w:fill="000080"/>
    </w:pPr>
  </w:style>
  <w:style w:type="paragraph" w:styleId="15">
    <w:name w:val="toa heading"/>
    <w:basedOn w:val="1"/>
    <w:next w:val="1"/>
    <w:qFormat/>
    <w:uiPriority w:val="0"/>
    <w:pPr>
      <w:spacing w:before="120"/>
    </w:pPr>
    <w:rPr>
      <w:rFonts w:ascii="Arial" w:hAnsi="Arial"/>
      <w:sz w:val="24"/>
    </w:rPr>
  </w:style>
  <w:style w:type="paragraph" w:styleId="16">
    <w:name w:val="annotation text"/>
    <w:basedOn w:val="1"/>
    <w:link w:val="71"/>
    <w:uiPriority w:val="0"/>
    <w:pPr>
      <w:jc w:val="left"/>
    </w:pPr>
  </w:style>
  <w:style w:type="paragraph" w:styleId="17">
    <w:name w:val="Body Text 3"/>
    <w:basedOn w:val="1"/>
    <w:link w:val="72"/>
    <w:uiPriority w:val="0"/>
    <w:pPr>
      <w:spacing w:after="120" w:line="360" w:lineRule="auto"/>
    </w:pPr>
    <w:rPr>
      <w:kern w:val="0"/>
      <w:sz w:val="16"/>
      <w:szCs w:val="16"/>
    </w:rPr>
  </w:style>
  <w:style w:type="paragraph" w:styleId="18">
    <w:name w:val="Body Text"/>
    <w:basedOn w:val="1"/>
    <w:link w:val="67"/>
    <w:unhideWhenUsed/>
    <w:uiPriority w:val="0"/>
    <w:pPr>
      <w:spacing w:after="120"/>
    </w:pPr>
  </w:style>
  <w:style w:type="paragraph" w:styleId="19">
    <w:name w:val="List Number 3"/>
    <w:basedOn w:val="1"/>
    <w:uiPriority w:val="0"/>
    <w:pPr>
      <w:widowControl/>
      <w:numPr>
        <w:ilvl w:val="0"/>
        <w:numId w:val="1"/>
      </w:numPr>
      <w:tabs>
        <w:tab w:val="left" w:pos="482"/>
        <w:tab w:val="clear" w:pos="510"/>
      </w:tabs>
      <w:spacing w:after="156" w:afterLines="50"/>
      <w:ind w:left="482" w:hanging="340"/>
      <w:jc w:val="left"/>
    </w:pPr>
    <w:rPr>
      <w:kern w:val="0"/>
      <w:sz w:val="24"/>
    </w:rPr>
  </w:style>
  <w:style w:type="paragraph" w:styleId="20">
    <w:name w:val="Block Text"/>
    <w:basedOn w:val="1"/>
    <w:unhideWhenUsed/>
    <w:qFormat/>
    <w:uiPriority w:val="99"/>
    <w:pPr>
      <w:spacing w:after="120"/>
      <w:ind w:left="1440" w:leftChars="700" w:right="1440" w:rightChars="700"/>
    </w:pPr>
  </w:style>
  <w:style w:type="paragraph" w:styleId="21">
    <w:name w:val="toc 5"/>
    <w:basedOn w:val="1"/>
    <w:next w:val="1"/>
    <w:uiPriority w:val="0"/>
    <w:pPr>
      <w:ind w:left="840"/>
      <w:jc w:val="left"/>
    </w:pPr>
    <w:rPr>
      <w:sz w:val="18"/>
      <w:szCs w:val="18"/>
    </w:rPr>
  </w:style>
  <w:style w:type="paragraph" w:styleId="22">
    <w:name w:val="toc 3"/>
    <w:basedOn w:val="1"/>
    <w:next w:val="1"/>
    <w:uiPriority w:val="0"/>
    <w:pPr>
      <w:ind w:left="420"/>
      <w:jc w:val="left"/>
    </w:pPr>
    <w:rPr>
      <w:i/>
      <w:iCs/>
      <w:sz w:val="20"/>
    </w:rPr>
  </w:style>
  <w:style w:type="paragraph" w:styleId="23">
    <w:name w:val="Plain Text"/>
    <w:basedOn w:val="1"/>
    <w:link w:val="75"/>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6"/>
    <w:uiPriority w:val="0"/>
    <w:pPr>
      <w:adjustRightInd w:val="0"/>
      <w:spacing w:line="312" w:lineRule="atLeast"/>
      <w:jc w:val="right"/>
      <w:textAlignment w:val="baseline"/>
    </w:pPr>
    <w:rPr>
      <w:rFonts w:ascii="宋体"/>
      <w:kern w:val="0"/>
      <w:sz w:val="24"/>
    </w:rPr>
  </w:style>
  <w:style w:type="paragraph" w:styleId="26">
    <w:name w:val="Body Text Indent 2"/>
    <w:basedOn w:val="1"/>
    <w:link w:val="77"/>
    <w:uiPriority w:val="0"/>
    <w:pPr>
      <w:spacing w:line="380" w:lineRule="exact"/>
      <w:ind w:left="840" w:hanging="45"/>
    </w:pPr>
    <w:rPr>
      <w:rFonts w:ascii="宋体"/>
      <w:sz w:val="24"/>
    </w:rPr>
  </w:style>
  <w:style w:type="paragraph" w:styleId="27">
    <w:name w:val="Balloon Text"/>
    <w:basedOn w:val="1"/>
    <w:link w:val="78"/>
    <w:uiPriority w:val="0"/>
    <w:rPr>
      <w:sz w:val="18"/>
      <w:szCs w:val="18"/>
    </w:rPr>
  </w:style>
  <w:style w:type="paragraph" w:styleId="28">
    <w:name w:val="footer"/>
    <w:basedOn w:val="1"/>
    <w:link w:val="57"/>
    <w:unhideWhenUsed/>
    <w:uiPriority w:val="0"/>
    <w:pPr>
      <w:tabs>
        <w:tab w:val="center" w:pos="4153"/>
        <w:tab w:val="right" w:pos="8306"/>
      </w:tabs>
      <w:snapToGrid w:val="0"/>
      <w:jc w:val="left"/>
    </w:pPr>
    <w:rPr>
      <w:sz w:val="18"/>
      <w:szCs w:val="18"/>
    </w:rPr>
  </w:style>
  <w:style w:type="paragraph" w:styleId="29">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uiPriority w:val="39"/>
    <w:pPr>
      <w:tabs>
        <w:tab w:val="right" w:leader="dot" w:pos="8721"/>
      </w:tabs>
      <w:spacing w:line="480" w:lineRule="auto"/>
    </w:pPr>
    <w:rPr>
      <w:rFonts w:ascii="宋体" w:hAnsi="宋体"/>
      <w:color w:val="000000"/>
      <w:sz w:val="32"/>
      <w:szCs w:val="32"/>
    </w:rPr>
  </w:style>
  <w:style w:type="paragraph" w:styleId="31">
    <w:name w:val="toc 4"/>
    <w:basedOn w:val="1"/>
    <w:next w:val="1"/>
    <w:qFormat/>
    <w:uiPriority w:val="0"/>
    <w:pPr>
      <w:ind w:left="630"/>
      <w:jc w:val="left"/>
    </w:pPr>
    <w:rPr>
      <w:sz w:val="18"/>
      <w:szCs w:val="18"/>
    </w:rPr>
  </w:style>
  <w:style w:type="paragraph" w:styleId="32">
    <w:name w:val="List Number 5"/>
    <w:basedOn w:val="1"/>
    <w:uiPriority w:val="0"/>
    <w:pPr>
      <w:numPr>
        <w:ilvl w:val="0"/>
        <w:numId w:val="2"/>
      </w:numPr>
      <w:tabs>
        <w:tab w:val="left" w:pos="2608"/>
        <w:tab w:val="clear" w:pos="840"/>
      </w:tabs>
      <w:spacing w:line="360" w:lineRule="auto"/>
    </w:pPr>
    <w:rPr>
      <w:sz w:val="24"/>
      <w:szCs w:val="24"/>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1"/>
    <w:qFormat/>
    <w:uiPriority w:val="0"/>
    <w:pPr>
      <w:spacing w:line="380" w:lineRule="exact"/>
      <w:ind w:left="525"/>
    </w:pPr>
    <w:rPr>
      <w:rFonts w:ascii="宋体"/>
      <w:sz w:val="24"/>
    </w:rPr>
  </w:style>
  <w:style w:type="paragraph" w:styleId="35">
    <w:name w:val="table of figures"/>
    <w:basedOn w:val="1"/>
    <w:next w:val="1"/>
    <w:uiPriority w:val="0"/>
    <w:pPr>
      <w:ind w:left="420" w:hanging="420"/>
      <w:jc w:val="left"/>
    </w:pPr>
    <w:rPr>
      <w:smallCaps/>
      <w:sz w:val="20"/>
    </w:rPr>
  </w:style>
  <w:style w:type="paragraph" w:styleId="36">
    <w:name w:val="toc 2"/>
    <w:basedOn w:val="1"/>
    <w:next w:val="1"/>
    <w:uiPriority w:val="0"/>
    <w:pPr>
      <w:ind w:left="210"/>
      <w:jc w:val="left"/>
    </w:pPr>
    <w:rPr>
      <w:smallCaps/>
      <w:sz w:val="20"/>
    </w:rPr>
  </w:style>
  <w:style w:type="paragraph" w:styleId="37">
    <w:name w:val="toc 9"/>
    <w:basedOn w:val="1"/>
    <w:next w:val="1"/>
    <w:uiPriority w:val="0"/>
    <w:pPr>
      <w:ind w:left="1680"/>
      <w:jc w:val="left"/>
    </w:pPr>
    <w:rPr>
      <w:sz w:val="18"/>
      <w:szCs w:val="18"/>
    </w:rPr>
  </w:style>
  <w:style w:type="paragraph" w:styleId="38">
    <w:name w:val="Body Text 2"/>
    <w:basedOn w:val="1"/>
    <w:link w:val="82"/>
    <w:uiPriority w:val="0"/>
    <w:pPr>
      <w:spacing w:after="120" w:line="480" w:lineRule="auto"/>
    </w:pPr>
    <w:rPr>
      <w:kern w:val="0"/>
      <w:sz w:val="24"/>
      <w:szCs w:val="24"/>
    </w:rPr>
  </w:style>
  <w:style w:type="paragraph" w:styleId="39">
    <w:name w:val="HTML Preformatted"/>
    <w:basedOn w:val="1"/>
    <w:link w:val="83"/>
    <w:uiPriority w:val="0"/>
    <w:rPr>
      <w:rFonts w:ascii="Courier New" w:hAnsi="Courier New" w:cs="Courier New"/>
      <w:sz w:val="20"/>
    </w:rPr>
  </w:style>
  <w:style w:type="paragraph" w:styleId="40">
    <w:name w:val="Normal (Web)"/>
    <w:basedOn w:val="1"/>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1">
    <w:name w:val="index 1"/>
    <w:basedOn w:val="1"/>
    <w:next w:val="1"/>
    <w:uiPriority w:val="0"/>
  </w:style>
  <w:style w:type="paragraph" w:styleId="42">
    <w:name w:val="Title"/>
    <w:basedOn w:val="1"/>
    <w:next w:val="1"/>
    <w:link w:val="84"/>
    <w:qFormat/>
    <w:uiPriority w:val="0"/>
    <w:pPr>
      <w:spacing w:before="240" w:after="60"/>
      <w:jc w:val="center"/>
      <w:outlineLvl w:val="0"/>
    </w:pPr>
    <w:rPr>
      <w:rFonts w:ascii="Cambria" w:hAnsi="Cambria"/>
      <w:b/>
      <w:bCs/>
      <w:sz w:val="32"/>
      <w:szCs w:val="32"/>
    </w:rPr>
  </w:style>
  <w:style w:type="paragraph" w:styleId="43">
    <w:name w:val="annotation subject"/>
    <w:basedOn w:val="16"/>
    <w:next w:val="16"/>
    <w:link w:val="85"/>
    <w:uiPriority w:val="0"/>
    <w:rPr>
      <w:b/>
      <w:bCs/>
    </w:rPr>
  </w:style>
  <w:style w:type="paragraph" w:styleId="44">
    <w:name w:val="Body Text First Indent"/>
    <w:basedOn w:val="18"/>
    <w:link w:val="86"/>
    <w:uiPriority w:val="0"/>
    <w:pPr>
      <w:ind w:firstLine="420" w:firstLineChars="100"/>
    </w:pPr>
    <w:rPr>
      <w:i/>
      <w:szCs w:val="24"/>
    </w:rPr>
  </w:style>
  <w:style w:type="paragraph" w:styleId="45">
    <w:name w:val="Body Text First Indent 2"/>
    <w:basedOn w:val="2"/>
    <w:next w:val="46"/>
    <w:link w:val="87"/>
    <w:qFormat/>
    <w:uiPriority w:val="0"/>
    <w:pPr>
      <w:ind w:firstLine="420" w:firstLineChars="200"/>
    </w:pPr>
  </w:style>
  <w:style w:type="paragraph" w:customStyle="1" w:styleId="4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table" w:styleId="48">
    <w:name w:val="Table Grid"/>
    <w:basedOn w:val="4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uiPriority w:val="0"/>
    <w:rPr>
      <w:lang w:eastAsia="en-US"/>
    </w:rPr>
  </w:style>
  <w:style w:type="character" w:styleId="52">
    <w:name w:val="FollowedHyperlink"/>
    <w:uiPriority w:val="0"/>
    <w:rPr>
      <w:color w:val="800080"/>
      <w:u w:val="none"/>
    </w:rPr>
  </w:style>
  <w:style w:type="character" w:styleId="53">
    <w:name w:val="HTML Typewriter"/>
    <w:uiPriority w:val="0"/>
    <w:rPr>
      <w:rFonts w:ascii="Courier New" w:hAnsi="Courier New" w:cs="Courier New"/>
      <w:sz w:val="20"/>
      <w:szCs w:val="20"/>
    </w:rPr>
  </w:style>
  <w:style w:type="character" w:styleId="54">
    <w:name w:val="Hyperlink"/>
    <w:uiPriority w:val="99"/>
    <w:rPr>
      <w:rFonts w:hint="default" w:ascii="Verdana" w:hAnsi="Verdana"/>
      <w:color w:val="0000FF"/>
      <w:kern w:val="0"/>
      <w:sz w:val="20"/>
      <w:szCs w:val="20"/>
      <w:u w:val="none"/>
      <w:lang w:eastAsia="en-US"/>
    </w:rPr>
  </w:style>
  <w:style w:type="character" w:styleId="55">
    <w:name w:val="annotation reference"/>
    <w:uiPriority w:val="0"/>
    <w:rPr>
      <w:sz w:val="21"/>
      <w:szCs w:val="21"/>
    </w:rPr>
  </w:style>
  <w:style w:type="character" w:customStyle="1" w:styleId="56">
    <w:name w:val="页眉 Char"/>
    <w:basedOn w:val="49"/>
    <w:link w:val="29"/>
    <w:uiPriority w:val="0"/>
    <w:rPr>
      <w:sz w:val="18"/>
      <w:szCs w:val="18"/>
    </w:rPr>
  </w:style>
  <w:style w:type="character" w:customStyle="1" w:styleId="57">
    <w:name w:val="页脚 Char"/>
    <w:basedOn w:val="49"/>
    <w:link w:val="28"/>
    <w:uiPriority w:val="99"/>
    <w:rPr>
      <w:sz w:val="18"/>
      <w:szCs w:val="18"/>
    </w:rPr>
  </w:style>
  <w:style w:type="character" w:customStyle="1" w:styleId="58">
    <w:name w:val="标题 1 Char"/>
    <w:basedOn w:val="49"/>
    <w:qFormat/>
    <w:uiPriority w:val="0"/>
    <w:rPr>
      <w:rFonts w:ascii="Times New Roman" w:hAnsi="Times New Roman" w:eastAsia="宋体" w:cs="Times New Roman"/>
      <w:b/>
      <w:bCs/>
      <w:kern w:val="44"/>
      <w:sz w:val="44"/>
      <w:szCs w:val="44"/>
    </w:rPr>
  </w:style>
  <w:style w:type="character" w:customStyle="1" w:styleId="59">
    <w:name w:val="标题 2 Char"/>
    <w:basedOn w:val="49"/>
    <w:link w:val="4"/>
    <w:uiPriority w:val="0"/>
    <w:rPr>
      <w:rFonts w:ascii="Arial" w:hAnsi="Arial" w:eastAsia="黑体" w:cs="Times New Roman"/>
      <w:b/>
      <w:bCs/>
      <w:sz w:val="32"/>
      <w:szCs w:val="32"/>
    </w:rPr>
  </w:style>
  <w:style w:type="character" w:customStyle="1" w:styleId="60">
    <w:name w:val="标题 3 Char"/>
    <w:basedOn w:val="49"/>
    <w:link w:val="5"/>
    <w:uiPriority w:val="0"/>
    <w:rPr>
      <w:rFonts w:ascii="Arial" w:hAnsi="Arial" w:eastAsia="黑体" w:cs="Arial"/>
      <w:b/>
      <w:bCs/>
      <w:sz w:val="30"/>
      <w:szCs w:val="32"/>
    </w:rPr>
  </w:style>
  <w:style w:type="character" w:customStyle="1" w:styleId="61">
    <w:name w:val="标题 4 Char"/>
    <w:basedOn w:val="49"/>
    <w:link w:val="6"/>
    <w:uiPriority w:val="0"/>
    <w:rPr>
      <w:rFonts w:ascii="Arial" w:hAnsi="Arial" w:eastAsia="黑体" w:cs="Times New Roman"/>
      <w:b/>
      <w:bCs/>
      <w:sz w:val="28"/>
      <w:szCs w:val="28"/>
    </w:rPr>
  </w:style>
  <w:style w:type="character" w:customStyle="1" w:styleId="62">
    <w:name w:val="标题 5 Char"/>
    <w:basedOn w:val="49"/>
    <w:link w:val="7"/>
    <w:uiPriority w:val="0"/>
    <w:rPr>
      <w:rFonts w:ascii="Times New Roman" w:hAnsi="Times New Roman" w:eastAsia="宋体" w:cs="Times New Roman"/>
      <w:b/>
      <w:bCs/>
      <w:sz w:val="28"/>
      <w:szCs w:val="28"/>
    </w:rPr>
  </w:style>
  <w:style w:type="character" w:customStyle="1" w:styleId="63">
    <w:name w:val="标题 6 Char"/>
    <w:basedOn w:val="49"/>
    <w:link w:val="8"/>
    <w:uiPriority w:val="0"/>
    <w:rPr>
      <w:rFonts w:ascii="Cambria" w:hAnsi="Cambria" w:eastAsia="宋体" w:cs="Times New Roman"/>
      <w:b/>
      <w:bCs/>
      <w:sz w:val="24"/>
      <w:szCs w:val="24"/>
    </w:rPr>
  </w:style>
  <w:style w:type="character" w:customStyle="1" w:styleId="64">
    <w:name w:val="标题 7 Char"/>
    <w:basedOn w:val="49"/>
    <w:link w:val="9"/>
    <w:uiPriority w:val="0"/>
    <w:rPr>
      <w:rFonts w:ascii="Times New Roman" w:hAnsi="Times New Roman" w:eastAsia="宋体" w:cs="Times New Roman"/>
      <w:b/>
      <w:bCs/>
      <w:sz w:val="24"/>
      <w:szCs w:val="24"/>
    </w:rPr>
  </w:style>
  <w:style w:type="character" w:customStyle="1" w:styleId="65">
    <w:name w:val="标题 8 Char"/>
    <w:basedOn w:val="49"/>
    <w:link w:val="10"/>
    <w:uiPriority w:val="0"/>
    <w:rPr>
      <w:rFonts w:ascii="Arial" w:hAnsi="Arial" w:eastAsia="黑体" w:cs="Times New Roman"/>
      <w:sz w:val="24"/>
      <w:szCs w:val="24"/>
    </w:rPr>
  </w:style>
  <w:style w:type="character" w:customStyle="1" w:styleId="66">
    <w:name w:val="标题 9 Char"/>
    <w:basedOn w:val="49"/>
    <w:link w:val="11"/>
    <w:uiPriority w:val="0"/>
    <w:rPr>
      <w:rFonts w:ascii="Arial" w:hAnsi="Arial" w:eastAsia="黑体" w:cs="Times New Roman"/>
      <w:szCs w:val="21"/>
    </w:rPr>
  </w:style>
  <w:style w:type="character" w:customStyle="1" w:styleId="67">
    <w:name w:val="正文文本 Char"/>
    <w:basedOn w:val="49"/>
    <w:link w:val="18"/>
    <w:uiPriority w:val="0"/>
    <w:rPr>
      <w:rFonts w:ascii="Times New Roman" w:hAnsi="Times New Roman" w:eastAsia="宋体" w:cs="Times New Roman"/>
      <w:szCs w:val="20"/>
    </w:rPr>
  </w:style>
  <w:style w:type="character" w:customStyle="1" w:styleId="68">
    <w:name w:val="标题 1 Char1"/>
    <w:link w:val="3"/>
    <w:uiPriority w:val="0"/>
    <w:rPr>
      <w:rFonts w:ascii="Times New Roman" w:hAnsi="Times New Roman" w:eastAsia="宋体" w:cs="Times New Roman"/>
      <w:b/>
      <w:bCs/>
      <w:kern w:val="44"/>
      <w:sz w:val="44"/>
      <w:szCs w:val="44"/>
    </w:rPr>
  </w:style>
  <w:style w:type="character" w:customStyle="1" w:styleId="69">
    <w:name w:val="正文缩进 Char"/>
    <w:link w:val="13"/>
    <w:uiPriority w:val="0"/>
    <w:rPr>
      <w:rFonts w:ascii="Times New Roman" w:hAnsi="Times New Roman" w:eastAsia="宋体" w:cs="Times New Roman"/>
      <w:szCs w:val="24"/>
    </w:rPr>
  </w:style>
  <w:style w:type="character" w:customStyle="1" w:styleId="70">
    <w:name w:val="文档结构图 Char"/>
    <w:basedOn w:val="49"/>
    <w:link w:val="14"/>
    <w:uiPriority w:val="0"/>
    <w:rPr>
      <w:rFonts w:ascii="Times New Roman" w:hAnsi="Times New Roman" w:eastAsia="宋体" w:cs="Times New Roman"/>
      <w:szCs w:val="20"/>
      <w:shd w:val="clear" w:color="auto" w:fill="000080"/>
    </w:rPr>
  </w:style>
  <w:style w:type="character" w:customStyle="1" w:styleId="71">
    <w:name w:val="批注文字 Char"/>
    <w:basedOn w:val="49"/>
    <w:link w:val="16"/>
    <w:uiPriority w:val="0"/>
    <w:rPr>
      <w:rFonts w:ascii="Times New Roman" w:hAnsi="Times New Roman" w:eastAsia="宋体" w:cs="Times New Roman"/>
      <w:szCs w:val="20"/>
    </w:rPr>
  </w:style>
  <w:style w:type="character" w:customStyle="1" w:styleId="72">
    <w:name w:val="正文文本 3 Char"/>
    <w:basedOn w:val="49"/>
    <w:link w:val="17"/>
    <w:uiPriority w:val="0"/>
    <w:rPr>
      <w:rFonts w:ascii="Times New Roman" w:hAnsi="Times New Roman" w:eastAsia="宋体" w:cs="Times New Roman"/>
      <w:kern w:val="0"/>
      <w:sz w:val="16"/>
      <w:szCs w:val="16"/>
    </w:rPr>
  </w:style>
  <w:style w:type="character" w:customStyle="1" w:styleId="73">
    <w:name w:val="正文文本缩进 Char"/>
    <w:basedOn w:val="49"/>
    <w:uiPriority w:val="0"/>
    <w:rPr>
      <w:rFonts w:ascii="Times New Roman" w:hAnsi="Times New Roman" w:eastAsia="宋体" w:cs="Times New Roman"/>
      <w:szCs w:val="20"/>
    </w:rPr>
  </w:style>
  <w:style w:type="character" w:customStyle="1" w:styleId="74">
    <w:name w:val="正文文本缩进 Char1"/>
    <w:link w:val="2"/>
    <w:qFormat/>
    <w:uiPriority w:val="0"/>
    <w:rPr>
      <w:rFonts w:ascii="Times New Roman" w:hAnsi="Times New Roman" w:eastAsia="方正书宋简体" w:cs="Times New Roman"/>
      <w:sz w:val="24"/>
      <w:szCs w:val="20"/>
    </w:rPr>
  </w:style>
  <w:style w:type="character" w:customStyle="1" w:styleId="75">
    <w:name w:val="纯文本 Char"/>
    <w:basedOn w:val="49"/>
    <w:link w:val="23"/>
    <w:qFormat/>
    <w:uiPriority w:val="0"/>
    <w:rPr>
      <w:rFonts w:ascii="宋体" w:hAnsi="宋体" w:eastAsia="宋体" w:cs="宋体"/>
      <w:color w:val="000000"/>
      <w:kern w:val="0"/>
      <w:sz w:val="24"/>
      <w:szCs w:val="24"/>
    </w:rPr>
  </w:style>
  <w:style w:type="character" w:customStyle="1" w:styleId="76">
    <w:name w:val="日期 Char"/>
    <w:basedOn w:val="49"/>
    <w:link w:val="25"/>
    <w:qFormat/>
    <w:uiPriority w:val="0"/>
    <w:rPr>
      <w:rFonts w:ascii="宋体" w:hAnsi="Times New Roman" w:eastAsia="宋体" w:cs="Times New Roman"/>
      <w:kern w:val="0"/>
      <w:sz w:val="24"/>
      <w:szCs w:val="20"/>
    </w:rPr>
  </w:style>
  <w:style w:type="character" w:customStyle="1" w:styleId="77">
    <w:name w:val="正文文本缩进 2 Char"/>
    <w:basedOn w:val="49"/>
    <w:link w:val="26"/>
    <w:qFormat/>
    <w:uiPriority w:val="0"/>
    <w:rPr>
      <w:rFonts w:ascii="宋体" w:hAnsi="Times New Roman" w:eastAsia="宋体" w:cs="Times New Roman"/>
      <w:sz w:val="24"/>
      <w:szCs w:val="20"/>
    </w:rPr>
  </w:style>
  <w:style w:type="character" w:customStyle="1" w:styleId="78">
    <w:name w:val="批注框文本 Char"/>
    <w:basedOn w:val="49"/>
    <w:link w:val="27"/>
    <w:qFormat/>
    <w:uiPriority w:val="0"/>
    <w:rPr>
      <w:rFonts w:ascii="Times New Roman" w:hAnsi="Times New Roman" w:eastAsia="宋体" w:cs="Times New Roman"/>
      <w:sz w:val="18"/>
      <w:szCs w:val="18"/>
    </w:rPr>
  </w:style>
  <w:style w:type="character" w:customStyle="1" w:styleId="79">
    <w:name w:val="页脚 Char2"/>
    <w:uiPriority w:val="99"/>
    <w:rPr>
      <w:kern w:val="2"/>
      <w:sz w:val="18"/>
    </w:rPr>
  </w:style>
  <w:style w:type="character" w:customStyle="1" w:styleId="80">
    <w:name w:val="页眉 Char1"/>
    <w:qFormat/>
    <w:uiPriority w:val="0"/>
    <w:rPr>
      <w:kern w:val="2"/>
      <w:sz w:val="18"/>
    </w:rPr>
  </w:style>
  <w:style w:type="character" w:customStyle="1" w:styleId="81">
    <w:name w:val="正文文本缩进 3 Char"/>
    <w:basedOn w:val="49"/>
    <w:link w:val="34"/>
    <w:uiPriority w:val="0"/>
    <w:rPr>
      <w:rFonts w:ascii="宋体" w:hAnsi="Times New Roman" w:eastAsia="宋体" w:cs="Times New Roman"/>
      <w:sz w:val="24"/>
      <w:szCs w:val="20"/>
    </w:rPr>
  </w:style>
  <w:style w:type="character" w:customStyle="1" w:styleId="82">
    <w:name w:val="正文文本 2 Char"/>
    <w:basedOn w:val="49"/>
    <w:link w:val="38"/>
    <w:uiPriority w:val="0"/>
    <w:rPr>
      <w:rFonts w:ascii="Times New Roman" w:hAnsi="Times New Roman" w:eastAsia="宋体" w:cs="Times New Roman"/>
      <w:kern w:val="0"/>
      <w:sz w:val="24"/>
      <w:szCs w:val="24"/>
    </w:rPr>
  </w:style>
  <w:style w:type="character" w:customStyle="1" w:styleId="83">
    <w:name w:val="HTML 预设格式 Char"/>
    <w:basedOn w:val="49"/>
    <w:link w:val="39"/>
    <w:uiPriority w:val="0"/>
    <w:rPr>
      <w:rFonts w:ascii="Courier New" w:hAnsi="Courier New" w:eastAsia="宋体" w:cs="Courier New"/>
      <w:sz w:val="20"/>
      <w:szCs w:val="20"/>
    </w:rPr>
  </w:style>
  <w:style w:type="character" w:customStyle="1" w:styleId="84">
    <w:name w:val="标题 Char"/>
    <w:basedOn w:val="49"/>
    <w:link w:val="42"/>
    <w:uiPriority w:val="0"/>
    <w:rPr>
      <w:rFonts w:ascii="Cambria" w:hAnsi="Cambria" w:eastAsia="宋体" w:cs="Times New Roman"/>
      <w:b/>
      <w:bCs/>
      <w:sz w:val="32"/>
      <w:szCs w:val="32"/>
    </w:rPr>
  </w:style>
  <w:style w:type="character" w:customStyle="1" w:styleId="85">
    <w:name w:val="批注主题 Char"/>
    <w:basedOn w:val="71"/>
    <w:link w:val="43"/>
    <w:uiPriority w:val="0"/>
    <w:rPr>
      <w:rFonts w:ascii="Times New Roman" w:hAnsi="Times New Roman" w:eastAsia="宋体" w:cs="Times New Roman"/>
      <w:b/>
      <w:bCs/>
      <w:szCs w:val="20"/>
    </w:rPr>
  </w:style>
  <w:style w:type="character" w:customStyle="1" w:styleId="86">
    <w:name w:val="正文首行缩进 Char"/>
    <w:basedOn w:val="67"/>
    <w:link w:val="44"/>
    <w:uiPriority w:val="0"/>
    <w:rPr>
      <w:rFonts w:ascii="Times New Roman" w:hAnsi="Times New Roman" w:eastAsia="宋体" w:cs="Times New Roman"/>
      <w:i/>
      <w:szCs w:val="24"/>
    </w:rPr>
  </w:style>
  <w:style w:type="character" w:customStyle="1" w:styleId="87">
    <w:name w:val="正文首行缩进 2 Char"/>
    <w:basedOn w:val="73"/>
    <w:link w:val="45"/>
    <w:uiPriority w:val="0"/>
    <w:rPr>
      <w:rFonts w:ascii="Times New Roman" w:hAnsi="Times New Roman" w:eastAsia="方正书宋简体" w:cs="Times New Roman"/>
      <w:sz w:val="24"/>
      <w:szCs w:val="20"/>
    </w:rPr>
  </w:style>
  <w:style w:type="character" w:customStyle="1" w:styleId="88">
    <w:name w:val="ca-8"/>
    <w:uiPriority w:val="0"/>
    <w:rPr>
      <w:lang w:eastAsia="en-US"/>
    </w:rPr>
  </w:style>
  <w:style w:type="character" w:customStyle="1" w:styleId="89">
    <w:name w:val="layui-laypage-curr"/>
    <w:uiPriority w:val="0"/>
    <w:rPr>
      <w:lang w:eastAsia="en-US"/>
    </w:rPr>
  </w:style>
  <w:style w:type="character" w:customStyle="1" w:styleId="90">
    <w:name w:val="标题 1 Char Char"/>
    <w:qFormat/>
    <w:uiPriority w:val="0"/>
    <w:rPr>
      <w:rFonts w:eastAsia="宋体"/>
      <w:b/>
      <w:spacing w:val="-2"/>
      <w:sz w:val="24"/>
      <w:lang w:val="en-US" w:eastAsia="zh-CN" w:bidi="ar-SA"/>
    </w:rPr>
  </w:style>
  <w:style w:type="character" w:customStyle="1" w:styleId="91">
    <w:name w:val="Char Char12"/>
    <w:uiPriority w:val="0"/>
    <w:rPr>
      <w:rFonts w:hint="default" w:ascii="Verdana" w:hAnsi="Verdana"/>
      <w:b/>
      <w:bCs/>
      <w:kern w:val="2"/>
      <w:sz w:val="32"/>
      <w:szCs w:val="32"/>
      <w:lang w:eastAsia="en-US"/>
    </w:rPr>
  </w:style>
  <w:style w:type="character" w:customStyle="1" w:styleId="92">
    <w:name w:val="Char Char5"/>
    <w:uiPriority w:val="0"/>
    <w:rPr>
      <w:rFonts w:hint="default" w:ascii="Verdana" w:hAnsi="Verdana"/>
      <w:kern w:val="2"/>
      <w:sz w:val="18"/>
      <w:szCs w:val="18"/>
      <w:lang w:eastAsia="en-US"/>
    </w:rPr>
  </w:style>
  <w:style w:type="character" w:customStyle="1" w:styleId="93">
    <w:name w:val="样式4 Char Char"/>
    <w:link w:val="94"/>
    <w:uiPriority w:val="0"/>
    <w:rPr>
      <w:rFonts w:ascii="黑体" w:hAnsi="黑体" w:eastAsia="黑体"/>
      <w:bCs/>
      <w:kern w:val="44"/>
      <w:sz w:val="44"/>
      <w:szCs w:val="44"/>
    </w:rPr>
  </w:style>
  <w:style w:type="paragraph" w:customStyle="1" w:styleId="94">
    <w:name w:val="样式4"/>
    <w:basedOn w:val="3"/>
    <w:link w:val="93"/>
    <w:uiPriority w:val="0"/>
    <w:pPr>
      <w:keepLines/>
      <w:spacing w:line="360" w:lineRule="auto"/>
    </w:pPr>
    <w:rPr>
      <w:rFonts w:ascii="黑体" w:hAnsi="黑体" w:eastAsia="黑体" w:cstheme="minorBidi"/>
      <w:b w:val="0"/>
    </w:rPr>
  </w:style>
  <w:style w:type="character" w:customStyle="1" w:styleId="95">
    <w:name w:val="样式1 Char Char"/>
    <w:link w:val="96"/>
    <w:uiPriority w:val="0"/>
    <w:rPr>
      <w:rFonts w:ascii="黑体" w:hAnsi="黑体" w:eastAsia="黑体"/>
      <w:b/>
      <w:bCs/>
      <w:sz w:val="32"/>
      <w:szCs w:val="32"/>
    </w:rPr>
  </w:style>
  <w:style w:type="paragraph" w:customStyle="1" w:styleId="96">
    <w:name w:val="样式1"/>
    <w:basedOn w:val="4"/>
    <w:link w:val="95"/>
    <w:uiPriority w:val="0"/>
    <w:pPr>
      <w:tabs>
        <w:tab w:val="clear" w:pos="578"/>
      </w:tabs>
      <w:spacing w:before="0" w:beforeLines="0" w:after="0" w:afterLines="0"/>
      <w:ind w:left="0" w:firstLine="0"/>
    </w:pPr>
    <w:rPr>
      <w:rFonts w:ascii="黑体" w:hAnsi="黑体" w:cstheme="minorBidi"/>
    </w:rPr>
  </w:style>
  <w:style w:type="character" w:customStyle="1" w:styleId="97">
    <w:name w:val="apple-style-span"/>
    <w:uiPriority w:val="0"/>
    <w:rPr>
      <w:lang w:eastAsia="en-US"/>
    </w:rPr>
  </w:style>
  <w:style w:type="character" w:customStyle="1" w:styleId="98">
    <w:name w:val="Char Char10"/>
    <w:uiPriority w:val="0"/>
    <w:rPr>
      <w:rFonts w:hint="default" w:ascii="Verdana" w:hAnsi="Verdana"/>
      <w:b/>
      <w:bCs/>
      <w:kern w:val="2"/>
      <w:sz w:val="28"/>
      <w:szCs w:val="28"/>
      <w:lang w:val="zh-CN" w:eastAsia="en-US"/>
    </w:rPr>
  </w:style>
  <w:style w:type="character" w:customStyle="1" w:styleId="99">
    <w:name w:val="Char Char13"/>
    <w:uiPriority w:val="0"/>
    <w:rPr>
      <w:rFonts w:hint="default" w:ascii="Arial" w:hAnsi="Arial" w:eastAsia="黑体"/>
      <w:b/>
      <w:bCs/>
      <w:kern w:val="2"/>
      <w:sz w:val="32"/>
      <w:szCs w:val="32"/>
      <w:lang w:eastAsia="en-US"/>
    </w:rPr>
  </w:style>
  <w:style w:type="character" w:customStyle="1" w:styleId="100">
    <w:name w:val="Char Char6"/>
    <w:uiPriority w:val="0"/>
    <w:rPr>
      <w:rFonts w:eastAsia="方正书宋简体"/>
      <w:kern w:val="2"/>
      <w:sz w:val="24"/>
      <w:lang w:val="en-US" w:eastAsia="zh-CN" w:bidi="ar-SA"/>
    </w:rPr>
  </w:style>
  <w:style w:type="character" w:customStyle="1" w:styleId="101">
    <w:name w:val="Blockquote Char"/>
    <w:link w:val="102"/>
    <w:uiPriority w:val="0"/>
    <w:rPr>
      <w:sz w:val="24"/>
    </w:rPr>
  </w:style>
  <w:style w:type="paragraph" w:customStyle="1" w:styleId="102">
    <w:name w:val="Blockquote"/>
    <w:basedOn w:val="1"/>
    <w:link w:val="101"/>
    <w:uiPriority w:val="0"/>
    <w:pPr>
      <w:autoSpaceDE w:val="0"/>
      <w:autoSpaceDN w:val="0"/>
      <w:adjustRightInd w:val="0"/>
      <w:spacing w:before="100" w:after="100"/>
      <w:ind w:left="360" w:right="360"/>
      <w:jc w:val="left"/>
    </w:pPr>
    <w:rPr>
      <w:rFonts w:asciiTheme="minorHAnsi" w:hAnsiTheme="minorHAnsi" w:eastAsiaTheme="minorEastAsia" w:cstheme="minorBidi"/>
      <w:sz w:val="24"/>
      <w:szCs w:val="22"/>
    </w:rPr>
  </w:style>
  <w:style w:type="character" w:customStyle="1" w:styleId="103">
    <w:name w:val="Char Char9"/>
    <w:uiPriority w:val="0"/>
    <w:rPr>
      <w:rFonts w:hint="default" w:ascii="Arial" w:hAnsi="Arial" w:eastAsia="黑体"/>
      <w:b/>
      <w:bCs/>
      <w:kern w:val="2"/>
      <w:sz w:val="24"/>
      <w:szCs w:val="24"/>
      <w:lang w:eastAsia="en-US"/>
    </w:rPr>
  </w:style>
  <w:style w:type="character" w:customStyle="1" w:styleId="104">
    <w:name w:val="Char Char8"/>
    <w:uiPriority w:val="0"/>
    <w:rPr>
      <w:rFonts w:hint="default" w:ascii="Verdana" w:hAnsi="Verdana"/>
      <w:b/>
      <w:bCs/>
      <w:kern w:val="2"/>
      <w:sz w:val="24"/>
      <w:szCs w:val="24"/>
      <w:lang w:eastAsia="en-US"/>
    </w:rPr>
  </w:style>
  <w:style w:type="character" w:customStyle="1" w:styleId="105">
    <w:name w:val="Char Char21"/>
    <w:uiPriority w:val="0"/>
    <w:rPr>
      <w:rFonts w:ascii="宋体" w:eastAsia="宋体"/>
      <w:b/>
      <w:bCs/>
      <w:kern w:val="2"/>
      <w:sz w:val="28"/>
      <w:lang w:val="en-US" w:eastAsia="zh-CN" w:bidi="ar-SA"/>
    </w:rPr>
  </w:style>
  <w:style w:type="character" w:customStyle="1" w:styleId="106">
    <w:name w:val="哈哈正文 Char Char"/>
    <w:link w:val="107"/>
    <w:uiPriority w:val="0"/>
    <w:rPr>
      <w:rFonts w:ascii="宋体" w:hAnsi="宋体" w:cs="宋体"/>
      <w:sz w:val="24"/>
    </w:rPr>
  </w:style>
  <w:style w:type="paragraph" w:customStyle="1" w:styleId="107">
    <w:name w:val="哈哈正文"/>
    <w:basedOn w:val="1"/>
    <w:link w:val="106"/>
    <w:uiPriority w:val="0"/>
    <w:pPr>
      <w:spacing w:line="360" w:lineRule="auto"/>
      <w:ind w:firstLine="200" w:firstLineChars="200"/>
    </w:pPr>
    <w:rPr>
      <w:rFonts w:ascii="宋体" w:hAnsi="宋体" w:cs="宋体" w:eastAsiaTheme="minorEastAsia"/>
      <w:sz w:val="24"/>
      <w:szCs w:val="22"/>
    </w:rPr>
  </w:style>
  <w:style w:type="character" w:customStyle="1" w:styleId="108">
    <w:name w:val="方案－正文 Char Char"/>
    <w:link w:val="109"/>
    <w:uiPriority w:val="0"/>
    <w:rPr>
      <w:rFonts w:ascii="仿宋_GB2312" w:hAnsi="宋体"/>
      <w:sz w:val="24"/>
    </w:rPr>
  </w:style>
  <w:style w:type="paragraph" w:customStyle="1" w:styleId="109">
    <w:name w:val="方案－正文"/>
    <w:basedOn w:val="1"/>
    <w:link w:val="108"/>
    <w:uiPriority w:val="0"/>
    <w:pPr>
      <w:spacing w:line="360" w:lineRule="auto"/>
      <w:ind w:firstLine="480" w:firstLineChars="200"/>
    </w:pPr>
    <w:rPr>
      <w:rFonts w:ascii="仿宋_GB2312" w:hAnsi="宋体" w:eastAsiaTheme="minorEastAsia" w:cstheme="minorBidi"/>
      <w:sz w:val="24"/>
      <w:szCs w:val="22"/>
    </w:rPr>
  </w:style>
  <w:style w:type="character" w:customStyle="1" w:styleId="110">
    <w:name w:val="Char Char14"/>
    <w:uiPriority w:val="0"/>
    <w:rPr>
      <w:rFonts w:hint="default" w:ascii="Verdana" w:hAnsi="Verdana"/>
      <w:b/>
      <w:bCs/>
      <w:kern w:val="44"/>
      <w:sz w:val="44"/>
      <w:szCs w:val="44"/>
      <w:lang w:eastAsia="en-US"/>
    </w:rPr>
  </w:style>
  <w:style w:type="character" w:customStyle="1" w:styleId="111">
    <w:name w:val="Char Char1"/>
    <w:uiPriority w:val="0"/>
    <w:rPr>
      <w:rFonts w:ascii="Arial" w:hAnsi="Arial" w:cs="Arial"/>
      <w:b/>
      <w:bCs/>
      <w:kern w:val="2"/>
      <w:sz w:val="32"/>
      <w:szCs w:val="32"/>
    </w:rPr>
  </w:style>
  <w:style w:type="character" w:customStyle="1" w:styleId="112">
    <w:name w:val="Char Char4"/>
    <w:uiPriority w:val="0"/>
    <w:rPr>
      <w:rFonts w:hint="default" w:ascii="Verdana" w:hAnsi="Verdana"/>
      <w:kern w:val="2"/>
      <w:sz w:val="18"/>
      <w:szCs w:val="18"/>
      <w:lang w:eastAsia="en-US"/>
    </w:rPr>
  </w:style>
  <w:style w:type="character" w:customStyle="1" w:styleId="113">
    <w:name w:val="标题 2 Char1"/>
    <w:uiPriority w:val="0"/>
    <w:rPr>
      <w:rFonts w:ascii="Arial" w:hAnsi="Arial" w:eastAsia="黑体"/>
      <w:b/>
      <w:bCs/>
      <w:kern w:val="2"/>
      <w:sz w:val="32"/>
      <w:szCs w:val="32"/>
      <w:lang w:val="en-US" w:eastAsia="zh-CN" w:bidi="ar-SA"/>
    </w:rPr>
  </w:style>
  <w:style w:type="character" w:customStyle="1" w:styleId="114">
    <w:name w:val="Char Char3"/>
    <w:uiPriority w:val="0"/>
    <w:rPr>
      <w:rFonts w:hint="default" w:ascii="Verdana" w:hAnsi="Verdana"/>
      <w:kern w:val="2"/>
      <w:sz w:val="21"/>
      <w:szCs w:val="22"/>
      <w:lang w:eastAsia="en-US"/>
    </w:rPr>
  </w:style>
  <w:style w:type="character" w:customStyle="1" w:styleId="115">
    <w:name w:val="样式5 Char Char"/>
    <w:link w:val="116"/>
    <w:uiPriority w:val="0"/>
    <w:rPr>
      <w:b/>
      <w:bCs/>
      <w:sz w:val="28"/>
      <w:szCs w:val="28"/>
    </w:rPr>
  </w:style>
  <w:style w:type="paragraph" w:customStyle="1" w:styleId="116">
    <w:name w:val="样式5"/>
    <w:basedOn w:val="1"/>
    <w:link w:val="115"/>
    <w:uiPriority w:val="0"/>
    <w:pPr>
      <w:keepNext/>
      <w:keepLines/>
      <w:spacing w:before="280" w:after="290" w:line="376" w:lineRule="auto"/>
      <w:ind w:left="210" w:leftChars="100" w:right="210" w:rightChars="100"/>
      <w:outlineLvl w:val="4"/>
    </w:pPr>
    <w:rPr>
      <w:rFonts w:asciiTheme="minorHAnsi" w:hAnsiTheme="minorHAnsi" w:eastAsiaTheme="minorEastAsia" w:cstheme="minorBidi"/>
      <w:b/>
      <w:bCs/>
      <w:sz w:val="28"/>
      <w:szCs w:val="28"/>
    </w:rPr>
  </w:style>
  <w:style w:type="character" w:customStyle="1" w:styleId="117">
    <w:name w:val="样式2 Char Char"/>
    <w:link w:val="118"/>
    <w:uiPriority w:val="0"/>
    <w:rPr>
      <w:rFonts w:ascii="黑体" w:hAnsi="黑体" w:eastAsia="黑体"/>
      <w:bCs/>
      <w:color w:val="FF0000"/>
      <w:sz w:val="28"/>
      <w:szCs w:val="32"/>
    </w:rPr>
  </w:style>
  <w:style w:type="paragraph" w:customStyle="1" w:styleId="118">
    <w:name w:val="样式2"/>
    <w:basedOn w:val="5"/>
    <w:link w:val="117"/>
    <w:uiPriority w:val="0"/>
    <w:pPr>
      <w:adjustRightInd w:val="0"/>
      <w:spacing w:before="0" w:beforeLines="0" w:after="0" w:afterLines="0"/>
      <w:ind w:left="0" w:firstLine="0"/>
      <w:textAlignment w:val="baseline"/>
    </w:pPr>
    <w:rPr>
      <w:rFonts w:ascii="黑体" w:hAnsi="黑体" w:cstheme="minorBidi"/>
      <w:b w:val="0"/>
      <w:color w:val="FF0000"/>
      <w:sz w:val="28"/>
    </w:rPr>
  </w:style>
  <w:style w:type="character" w:customStyle="1" w:styleId="119">
    <w:name w:val="Char Char11"/>
    <w:uiPriority w:val="0"/>
    <w:rPr>
      <w:rFonts w:hint="default" w:ascii="Arial" w:hAnsi="Arial" w:eastAsia="黑体"/>
      <w:b/>
      <w:bCs/>
      <w:kern w:val="2"/>
      <w:sz w:val="28"/>
      <w:szCs w:val="28"/>
      <w:lang w:eastAsia="en-US"/>
    </w:rPr>
  </w:style>
  <w:style w:type="character" w:customStyle="1" w:styleId="120">
    <w:name w:val="纯文本 Char2"/>
    <w:uiPriority w:val="0"/>
    <w:rPr>
      <w:rFonts w:hint="eastAsia" w:ascii="宋体" w:hAnsi="Courier New" w:eastAsia="宋体" w:cs="Courier New"/>
      <w:kern w:val="2"/>
      <w:sz w:val="21"/>
      <w:szCs w:val="21"/>
      <w:lang w:eastAsia="en-US"/>
    </w:rPr>
  </w:style>
  <w:style w:type="character" w:customStyle="1" w:styleId="121">
    <w:name w:val="页脚 Char1"/>
    <w:uiPriority w:val="0"/>
    <w:rPr>
      <w:rFonts w:eastAsia="宋体"/>
      <w:kern w:val="2"/>
      <w:sz w:val="18"/>
      <w:lang w:val="en-US" w:eastAsia="zh-CN" w:bidi="ar-SA"/>
    </w:rPr>
  </w:style>
  <w:style w:type="character" w:customStyle="1" w:styleId="122">
    <w:name w:val="Char Char24"/>
    <w:qFormat/>
    <w:uiPriority w:val="0"/>
    <w:rPr>
      <w:rFonts w:eastAsia="宋体"/>
      <w:b/>
      <w:bCs/>
      <w:kern w:val="44"/>
      <w:sz w:val="44"/>
      <w:szCs w:val="44"/>
      <w:lang w:val="en-US" w:eastAsia="zh-CN" w:bidi="ar-SA"/>
    </w:rPr>
  </w:style>
  <w:style w:type="character" w:customStyle="1" w:styleId="123">
    <w:name w:val="hui3"/>
    <w:uiPriority w:val="0"/>
    <w:rPr>
      <w:color w:val="333333"/>
    </w:rPr>
  </w:style>
  <w:style w:type="character" w:customStyle="1" w:styleId="124">
    <w:name w:val="Char Char7"/>
    <w:uiPriority w:val="0"/>
    <w:rPr>
      <w:rFonts w:hint="default" w:ascii="Cambria" w:hAnsi="Cambria"/>
      <w:kern w:val="2"/>
      <w:sz w:val="24"/>
      <w:szCs w:val="24"/>
      <w:lang w:eastAsia="en-US"/>
    </w:rPr>
  </w:style>
  <w:style w:type="character" w:customStyle="1" w:styleId="125">
    <w:name w:val="标题 Char1"/>
    <w:uiPriority w:val="0"/>
    <w:rPr>
      <w:rFonts w:hint="default" w:ascii="Cambria" w:hAnsi="Cambria" w:cs="Times New Roman"/>
      <w:b/>
      <w:bCs/>
      <w:kern w:val="2"/>
      <w:sz w:val="32"/>
      <w:szCs w:val="32"/>
      <w:lang w:eastAsia="en-US"/>
    </w:rPr>
  </w:style>
  <w:style w:type="character" w:customStyle="1" w:styleId="126">
    <w:name w:val="标题2正文 Char Char Char"/>
    <w:link w:val="127"/>
    <w:uiPriority w:val="0"/>
    <w:rPr>
      <w:sz w:val="24"/>
      <w:szCs w:val="24"/>
    </w:rPr>
  </w:style>
  <w:style w:type="paragraph" w:customStyle="1" w:styleId="127">
    <w:name w:val="标题2正文 Char"/>
    <w:basedOn w:val="1"/>
    <w:link w:val="126"/>
    <w:uiPriority w:val="0"/>
    <w:pPr>
      <w:spacing w:before="156" w:beforeLines="50" w:after="156" w:afterLines="50"/>
      <w:ind w:right="38" w:rightChars="18" w:firstLine="420"/>
    </w:pPr>
    <w:rPr>
      <w:rFonts w:asciiTheme="minorHAnsi" w:hAnsiTheme="minorHAnsi" w:eastAsiaTheme="minorEastAsia" w:cstheme="minorBidi"/>
      <w:sz w:val="24"/>
      <w:szCs w:val="24"/>
    </w:rPr>
  </w:style>
  <w:style w:type="character" w:customStyle="1" w:styleId="128">
    <w:name w:val="h6 Char"/>
    <w:uiPriority w:val="0"/>
    <w:rPr>
      <w:rFonts w:ascii="Arial" w:hAnsi="Arial" w:eastAsia="宋体"/>
      <w:b/>
      <w:bCs/>
      <w:kern w:val="2"/>
      <w:sz w:val="24"/>
      <w:szCs w:val="24"/>
      <w:lang w:val="en-US" w:eastAsia="zh-CN" w:bidi="ar-SA"/>
    </w:rPr>
  </w:style>
  <w:style w:type="character" w:customStyle="1" w:styleId="129">
    <w:name w:val="font101"/>
    <w:uiPriority w:val="0"/>
    <w:rPr>
      <w:rFonts w:hint="default" w:ascii="仿宋_GB2312" w:hAnsi="Verdana" w:eastAsia="仿宋_GB2312" w:cs="仿宋_GB2312"/>
      <w:color w:val="1D1B10"/>
      <w:kern w:val="0"/>
      <w:sz w:val="22"/>
      <w:szCs w:val="22"/>
      <w:u w:val="none"/>
      <w:lang w:eastAsia="en-US"/>
    </w:rPr>
  </w:style>
  <w:style w:type="character" w:customStyle="1" w:styleId="130">
    <w:name w:val="font51"/>
    <w:uiPriority w:val="0"/>
    <w:rPr>
      <w:rFonts w:hint="default" w:ascii="Times New Roman" w:hAnsi="Times New Roman" w:cs="Times New Roman"/>
      <w:color w:val="1D1B10"/>
      <w:kern w:val="0"/>
      <w:sz w:val="22"/>
      <w:szCs w:val="22"/>
      <w:u w:val="none"/>
      <w:lang w:eastAsia="en-US"/>
    </w:rPr>
  </w:style>
  <w:style w:type="character" w:customStyle="1" w:styleId="131">
    <w:name w:val="font61"/>
    <w:uiPriority w:val="0"/>
    <w:rPr>
      <w:rFonts w:hint="eastAsia" w:ascii="宋体" w:hAnsi="宋体" w:eastAsia="宋体" w:cs="宋体"/>
      <w:color w:val="1D1B10"/>
      <w:kern w:val="0"/>
      <w:sz w:val="22"/>
      <w:szCs w:val="22"/>
      <w:u w:val="none"/>
      <w:lang w:eastAsia="en-US"/>
    </w:rPr>
  </w:style>
  <w:style w:type="character" w:customStyle="1" w:styleId="132">
    <w:name w:val="font21"/>
    <w:uiPriority w:val="0"/>
    <w:rPr>
      <w:rFonts w:hint="default" w:ascii="仿宋_GB2312" w:hAnsi="Verdana" w:eastAsia="仿宋_GB2312" w:cs="仿宋_GB2312"/>
      <w:color w:val="000000"/>
      <w:kern w:val="0"/>
      <w:sz w:val="22"/>
      <w:szCs w:val="22"/>
      <w:u w:val="none"/>
      <w:lang w:eastAsia="en-US"/>
    </w:rPr>
  </w:style>
  <w:style w:type="character" w:customStyle="1" w:styleId="133">
    <w:name w:val="font01"/>
    <w:uiPriority w:val="0"/>
    <w:rPr>
      <w:rFonts w:hint="eastAsia" w:ascii="宋体" w:hAnsi="宋体" w:eastAsia="宋体" w:cs="宋体"/>
      <w:color w:val="000000"/>
      <w:kern w:val="0"/>
      <w:sz w:val="22"/>
      <w:szCs w:val="22"/>
      <w:u w:val="none"/>
      <w:lang w:eastAsia="en-US"/>
    </w:rPr>
  </w:style>
  <w:style w:type="character" w:customStyle="1" w:styleId="134">
    <w:name w:val="font11"/>
    <w:uiPriority w:val="0"/>
    <w:rPr>
      <w:rFonts w:hint="default" w:ascii="Times New Roman" w:hAnsi="Times New Roman" w:cs="Times New Roman"/>
      <w:color w:val="000000"/>
      <w:kern w:val="0"/>
      <w:sz w:val="22"/>
      <w:szCs w:val="22"/>
      <w:u w:val="none"/>
      <w:lang w:eastAsia="en-US"/>
    </w:rPr>
  </w:style>
  <w:style w:type="paragraph" w:customStyle="1" w:styleId="135">
    <w:name w:val="Char"/>
    <w:basedOn w:val="1"/>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136">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37">
    <w:name w:val="正文2"/>
    <w:basedOn w:val="1"/>
    <w:uiPriority w:val="0"/>
    <w:pPr>
      <w:spacing w:before="156" w:beforeLines="50" w:after="156" w:afterLines="50" w:line="360" w:lineRule="auto"/>
      <w:ind w:firstLine="480" w:firstLineChars="200"/>
    </w:pPr>
    <w:rPr>
      <w:rFonts w:ascii="宋体" w:hAnsi="宋体"/>
      <w:sz w:val="24"/>
      <w:szCs w:val="24"/>
    </w:rPr>
  </w:style>
  <w:style w:type="paragraph" w:customStyle="1" w:styleId="138">
    <w:name w:val="Char1 Char Char Char Char Char Char Char Char Char Char Char Char Char Char Char"/>
    <w:basedOn w:val="1"/>
    <w:qFormat/>
    <w:uiPriority w:val="0"/>
    <w:rPr>
      <w:rFonts w:ascii="Verdana" w:hAnsi="Verdana" w:eastAsia="Times New Roman"/>
      <w:kern w:val="0"/>
      <w:sz w:val="20"/>
      <w:lang w:eastAsia="en-US"/>
    </w:rPr>
  </w:style>
  <w:style w:type="paragraph" w:customStyle="1" w:styleId="139">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40">
    <w:name w:val="段"/>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1">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42">
    <w:name w:val="Char Char Char Char1"/>
    <w:basedOn w:val="1"/>
    <w:uiPriority w:val="0"/>
    <w:rPr>
      <w:rFonts w:ascii="Tahoma" w:hAnsi="Tahoma"/>
      <w:sz w:val="24"/>
    </w:rPr>
  </w:style>
  <w:style w:type="paragraph" w:customStyle="1" w:styleId="143">
    <w:name w:val="Normal 2"/>
    <w:basedOn w:val="1"/>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44">
    <w:name w:val="*正文"/>
    <w:basedOn w:val="13"/>
    <w:qFormat/>
    <w:uiPriority w:val="0"/>
    <w:pPr>
      <w:ind w:firstLine="567" w:firstLineChars="0"/>
    </w:pPr>
    <w:rPr>
      <w:rFonts w:ascii="Calibri" w:hAnsi="Calibri"/>
      <w:kern w:val="0"/>
      <w:szCs w:val="22"/>
    </w:rPr>
  </w:style>
  <w:style w:type="paragraph" w:customStyle="1" w:styleId="145">
    <w:name w:val="tabletextch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46">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147">
    <w:name w:val="正文编码"/>
    <w:basedOn w:val="44"/>
    <w:uiPriority w:val="0"/>
    <w:pPr>
      <w:numPr>
        <w:ilvl w:val="0"/>
        <w:numId w:val="3"/>
      </w:numPr>
      <w:tabs>
        <w:tab w:val="center" w:pos="2185"/>
        <w:tab w:val="clear" w:pos="1200"/>
      </w:tabs>
      <w:spacing w:after="0" w:line="360" w:lineRule="auto"/>
      <w:ind w:firstLine="0" w:firstLineChars="0"/>
    </w:pPr>
    <w:rPr>
      <w:rFonts w:ascii="仿宋_GB2312" w:hAnsi="宋体" w:eastAsia="仿宋_GB2312"/>
      <w:kern w:val="0"/>
      <w:sz w:val="24"/>
      <w:szCs w:val="20"/>
    </w:rPr>
  </w:style>
  <w:style w:type="paragraph" w:customStyle="1" w:styleId="148">
    <w:name w:val="1"/>
    <w:basedOn w:val="1"/>
    <w:next w:val="149"/>
    <w:qFormat/>
    <w:uiPriority w:val="0"/>
    <w:pPr>
      <w:ind w:firstLine="420" w:firstLineChars="200"/>
    </w:pPr>
    <w:rPr>
      <w:szCs w:val="24"/>
    </w:rPr>
  </w:style>
  <w:style w:type="paragraph" w:styleId="149">
    <w:name w:val="List Paragraph"/>
    <w:basedOn w:val="1"/>
    <w:qFormat/>
    <w:uiPriority w:val="0"/>
    <w:pPr>
      <w:spacing w:line="360" w:lineRule="auto"/>
      <w:ind w:firstLine="420" w:firstLineChars="200"/>
    </w:pPr>
    <w:rPr>
      <w:sz w:val="24"/>
      <w:szCs w:val="24"/>
    </w:rPr>
  </w:style>
  <w:style w:type="paragraph" w:customStyle="1" w:styleId="150">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51">
    <w:name w:val="符号 1"/>
    <w:basedOn w:val="2"/>
    <w:uiPriority w:val="0"/>
    <w:pPr>
      <w:tabs>
        <w:tab w:val="left" w:pos="900"/>
      </w:tabs>
      <w:spacing w:line="360" w:lineRule="auto"/>
      <w:ind w:left="1200" w:hanging="720"/>
    </w:pPr>
    <w:rPr>
      <w:rFonts w:eastAsia="宋体"/>
      <w:kern w:val="28"/>
      <w:szCs w:val="24"/>
    </w:rPr>
  </w:style>
  <w:style w:type="paragraph" w:customStyle="1" w:styleId="152">
    <w:name w:val="p0"/>
    <w:basedOn w:val="1"/>
    <w:uiPriority w:val="0"/>
    <w:pPr>
      <w:widowControl/>
    </w:pPr>
    <w:rPr>
      <w:kern w:val="0"/>
      <w:szCs w:val="21"/>
    </w:rPr>
  </w:style>
  <w:style w:type="paragraph" w:customStyle="1" w:styleId="153">
    <w:name w:val="xl25"/>
    <w:basedOn w:val="1"/>
    <w:uiPriority w:val="0"/>
    <w:pPr>
      <w:widowControl/>
      <w:spacing w:before="100" w:beforeAutospacing="1" w:after="100" w:afterAutospacing="1"/>
      <w:jc w:val="center"/>
      <w:textAlignment w:val="center"/>
    </w:pPr>
    <w:rPr>
      <w:rFonts w:ascii="宋体" w:hAnsi="宋体"/>
      <w:kern w:val="0"/>
      <w:sz w:val="20"/>
    </w:rPr>
  </w:style>
  <w:style w:type="paragraph" w:customStyle="1" w:styleId="154">
    <w:name w:val="xl33"/>
    <w:basedOn w:val="1"/>
    <w:uiPriority w:val="0"/>
    <w:pPr>
      <w:widowControl/>
      <w:spacing w:before="100" w:beforeAutospacing="1" w:after="100" w:afterAutospacing="1"/>
      <w:jc w:val="center"/>
    </w:pPr>
    <w:rPr>
      <w:rFonts w:ascii="华文中宋" w:hAnsi="华文中宋" w:eastAsia="华文中宋"/>
      <w:b/>
      <w:bCs/>
      <w:kern w:val="0"/>
      <w:sz w:val="36"/>
      <w:szCs w:val="36"/>
    </w:rPr>
  </w:style>
  <w:style w:type="paragraph" w:customStyle="1" w:styleId="155">
    <w:name w:val="Proposals body"/>
    <w:basedOn w:val="1"/>
    <w:next w:val="1"/>
    <w:uiPriority w:val="0"/>
    <w:pPr>
      <w:widowControl/>
      <w:spacing w:line="360" w:lineRule="auto"/>
      <w:jc w:val="left"/>
    </w:pPr>
    <w:rPr>
      <w:rFonts w:ascii="宋体"/>
      <w:snapToGrid w:val="0"/>
      <w:color w:val="000000"/>
      <w:kern w:val="0"/>
      <w:sz w:val="24"/>
    </w:rPr>
  </w:style>
  <w:style w:type="paragraph" w:customStyle="1" w:styleId="156">
    <w:name w:val="Char Char Char1 Char"/>
    <w:basedOn w:val="1"/>
    <w:uiPriority w:val="0"/>
    <w:pPr>
      <w:spacing w:line="360" w:lineRule="auto"/>
      <w:ind w:firstLine="200" w:firstLineChars="200"/>
    </w:pPr>
  </w:style>
  <w:style w:type="paragraph" w:customStyle="1" w:styleId="157">
    <w:name w:val="正文文本缩进 + 四号"/>
    <w:basedOn w:val="2"/>
    <w:qFormat/>
    <w:uiPriority w:val="0"/>
    <w:pPr>
      <w:spacing w:line="360" w:lineRule="auto"/>
      <w:ind w:firstLine="560" w:firstLineChars="200"/>
    </w:pPr>
    <w:rPr>
      <w:rFonts w:ascii="仿宋_GB2312" w:eastAsia="仿宋_GB2312"/>
      <w:color w:val="000000"/>
      <w:sz w:val="28"/>
      <w:szCs w:val="28"/>
    </w:rPr>
  </w:style>
  <w:style w:type="paragraph" w:customStyle="1" w:styleId="158">
    <w:name w:val="正文 居中"/>
    <w:basedOn w:val="1"/>
    <w:uiPriority w:val="0"/>
    <w:pPr>
      <w:spacing w:line="360" w:lineRule="auto"/>
      <w:jc w:val="center"/>
    </w:pPr>
    <w:rPr>
      <w:rFonts w:cs="宋体"/>
      <w:sz w:val="24"/>
    </w:rPr>
  </w:style>
  <w:style w:type="paragraph" w:customStyle="1" w:styleId="159">
    <w:name w:val="纯文本1"/>
    <w:basedOn w:val="1"/>
    <w:qFormat/>
    <w:uiPriority w:val="0"/>
    <w:rPr>
      <w:rFonts w:ascii="宋体" w:hAnsi="Courier New"/>
    </w:rPr>
  </w:style>
  <w:style w:type="paragraph" w:customStyle="1" w:styleId="160">
    <w:name w:val="表内文字"/>
    <w:basedOn w:val="1"/>
    <w:uiPriority w:val="0"/>
    <w:pPr>
      <w:tabs>
        <w:tab w:val="left" w:pos="1418"/>
      </w:tabs>
      <w:spacing w:line="360" w:lineRule="auto"/>
      <w:jc w:val="center"/>
    </w:pPr>
    <w:rPr>
      <w:rFonts w:ascii="仿宋_GB2312" w:eastAsia="仿宋_GB2312"/>
      <w:spacing w:val="-20"/>
      <w:kern w:val="0"/>
      <w:sz w:val="24"/>
      <w:szCs w:val="24"/>
    </w:rPr>
  </w:style>
  <w:style w:type="paragraph" w:customStyle="1" w:styleId="161">
    <w:name w:val="标准小四"/>
    <w:basedOn w:val="1"/>
    <w:qFormat/>
    <w:uiPriority w:val="0"/>
    <w:pPr>
      <w:spacing w:line="360" w:lineRule="auto"/>
      <w:ind w:firstLine="480" w:firstLineChars="200"/>
    </w:pPr>
    <w:rPr>
      <w:rFonts w:ascii="Arial" w:hAnsi="Arial"/>
      <w:sz w:val="24"/>
      <w:szCs w:val="21"/>
    </w:rPr>
  </w:style>
  <w:style w:type="paragraph" w:customStyle="1" w:styleId="162">
    <w:name w:val="itemlistintab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63">
    <w:name w:val="Char Char Char Char"/>
    <w:basedOn w:val="1"/>
    <w:uiPriority w:val="0"/>
    <w:pPr>
      <w:widowControl/>
      <w:spacing w:line="400" w:lineRule="exact"/>
      <w:jc w:val="center"/>
    </w:pPr>
    <w:rPr>
      <w:rFonts w:ascii="Verdana" w:hAnsi="Verdana"/>
      <w:kern w:val="0"/>
      <w:lang w:eastAsia="en-US"/>
    </w:rPr>
  </w:style>
  <w:style w:type="paragraph" w:customStyle="1" w:styleId="164">
    <w:name w:val="Char Char Char"/>
    <w:basedOn w:val="1"/>
    <w:qFormat/>
    <w:uiPriority w:val="0"/>
    <w:pPr>
      <w:spacing w:before="120" w:after="120" w:line="360" w:lineRule="auto"/>
      <w:ind w:firstLine="200" w:firstLineChars="200"/>
    </w:pPr>
    <w:rPr>
      <w:rFonts w:ascii="Tahoma" w:hAnsi="Tahoma"/>
      <w:sz w:val="24"/>
    </w:rPr>
  </w:style>
  <w:style w:type="paragraph" w:customStyle="1" w:styleId="165">
    <w:name w:val="1 正文"/>
    <w:basedOn w:val="1"/>
    <w:qFormat/>
    <w:uiPriority w:val="0"/>
    <w:pPr>
      <w:adjustRightInd w:val="0"/>
      <w:snapToGrid w:val="0"/>
      <w:spacing w:line="360" w:lineRule="auto"/>
      <w:ind w:firstLine="200" w:firstLineChars="200"/>
      <w:jc w:val="left"/>
    </w:pPr>
    <w:rPr>
      <w:sz w:val="24"/>
    </w:rPr>
  </w:style>
  <w:style w:type="paragraph" w:customStyle="1" w:styleId="166">
    <w:name w:val="Char Char Char Char2"/>
    <w:basedOn w:val="1"/>
    <w:qFormat/>
    <w:uiPriority w:val="0"/>
    <w:pPr>
      <w:widowControl/>
      <w:spacing w:after="160" w:line="240" w:lineRule="exact"/>
      <w:jc w:val="left"/>
    </w:pPr>
    <w:rPr>
      <w:rFonts w:ascii="Verdana" w:hAnsi="Verdana"/>
      <w:kern w:val="0"/>
      <w:sz w:val="20"/>
      <w:lang w:eastAsia="en-US"/>
    </w:rPr>
  </w:style>
  <w:style w:type="paragraph" w:customStyle="1" w:styleId="167">
    <w:name w:val="标准正文"/>
    <w:basedOn w:val="1"/>
    <w:uiPriority w:val="0"/>
    <w:pPr>
      <w:adjustRightInd w:val="0"/>
      <w:spacing w:line="360" w:lineRule="auto"/>
      <w:ind w:firstLine="480" w:firstLineChars="200"/>
    </w:pPr>
    <w:rPr>
      <w:kern w:val="0"/>
      <w:sz w:val="24"/>
    </w:rPr>
  </w:style>
  <w:style w:type="paragraph" w:customStyle="1" w:styleId="168">
    <w:name w:val="标题1"/>
    <w:basedOn w:val="23"/>
    <w:uiPriority w:val="0"/>
    <w:pPr>
      <w:keepLines/>
      <w:numPr>
        <w:ilvl w:val="0"/>
        <w:numId w:val="4"/>
      </w:numPr>
      <w:tabs>
        <w:tab w:val="left" w:pos="397"/>
        <w:tab w:val="clear" w:pos="700"/>
      </w:tabs>
      <w:spacing w:before="120" w:after="120" w:line="300" w:lineRule="auto"/>
    </w:pPr>
    <w:rPr>
      <w:rFonts w:ascii="黑体" w:eastAsia="黑体"/>
      <w:b/>
      <w:bCs/>
      <w:spacing w:val="6"/>
      <w:kern w:val="44"/>
      <w:sz w:val="36"/>
    </w:rPr>
  </w:style>
  <w:style w:type="paragraph" w:customStyle="1" w:styleId="169">
    <w:name w:val="2 标题2"/>
    <w:basedOn w:val="165"/>
    <w:next w:val="165"/>
    <w:qFormat/>
    <w:uiPriority w:val="0"/>
    <w:pPr>
      <w:ind w:firstLine="0" w:firstLineChars="0"/>
      <w:outlineLvl w:val="1"/>
    </w:pPr>
    <w:rPr>
      <w:b/>
      <w:sz w:val="30"/>
    </w:rPr>
  </w:style>
  <w:style w:type="paragraph" w:customStyle="1" w:styleId="170">
    <w:name w:val="Char11"/>
    <w:basedOn w:val="1"/>
    <w:uiPriority w:val="0"/>
    <w:pPr>
      <w:tabs>
        <w:tab w:val="left" w:pos="1200"/>
      </w:tabs>
      <w:ind w:left="1200" w:hanging="720"/>
    </w:pPr>
    <w:rPr>
      <w:sz w:val="24"/>
      <w:szCs w:val="24"/>
    </w:rPr>
  </w:style>
  <w:style w:type="paragraph" w:customStyle="1" w:styleId="171">
    <w:name w:val="大标题"/>
    <w:basedOn w:val="1"/>
    <w:uiPriority w:val="0"/>
    <w:pPr>
      <w:autoSpaceDE w:val="0"/>
      <w:autoSpaceDN w:val="0"/>
      <w:adjustRightInd w:val="0"/>
      <w:spacing w:after="560"/>
      <w:jc w:val="center"/>
    </w:pPr>
    <w:rPr>
      <w:rFonts w:ascii="Arial Black" w:hAnsi="Arial Black"/>
      <w:b/>
      <w:kern w:val="0"/>
      <w:sz w:val="56"/>
    </w:rPr>
  </w:style>
  <w:style w:type="paragraph" w:customStyle="1" w:styleId="172">
    <w:name w:val="正文段"/>
    <w:basedOn w:val="1"/>
    <w:uiPriority w:val="0"/>
    <w:pPr>
      <w:widowControl/>
      <w:snapToGrid w:val="0"/>
      <w:spacing w:after="156" w:afterLines="50"/>
      <w:ind w:firstLine="200" w:firstLineChars="200"/>
    </w:pPr>
    <w:rPr>
      <w:kern w:val="0"/>
      <w:sz w:val="24"/>
    </w:rPr>
  </w:style>
  <w:style w:type="paragraph" w:customStyle="1" w:styleId="173">
    <w:name w:val="xl28"/>
    <w:basedOn w:val="1"/>
    <w:uiPriority w:val="0"/>
    <w:pPr>
      <w:widowControl/>
      <w:pBdr>
        <w:left w:val="single" w:color="auto" w:sz="8" w:space="0"/>
        <w:bottom w:val="single" w:color="auto" w:sz="4" w:space="0"/>
        <w:right w:val="single" w:color="auto" w:sz="4" w:space="0"/>
      </w:pBdr>
      <w:jc w:val="center"/>
    </w:pPr>
    <w:rPr>
      <w:rFonts w:ascii="Arial Unicode MS" w:hAnsi="Arial Unicode MS" w:eastAsia="Arial Unicode MS"/>
      <w:kern w:val="0"/>
      <w:sz w:val="24"/>
    </w:rPr>
  </w:style>
  <w:style w:type="paragraph" w:customStyle="1" w:styleId="174">
    <w:name w:val="tabletextcharch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5">
    <w:name w:val="List Paragraph1"/>
    <w:basedOn w:val="1"/>
    <w:uiPriority w:val="0"/>
    <w:pPr>
      <w:ind w:firstLine="420" w:firstLineChars="200"/>
    </w:pPr>
    <w:rPr>
      <w:rFonts w:ascii="Calibri" w:hAnsi="Calibri"/>
      <w:kern w:val="0"/>
      <w:sz w:val="20"/>
    </w:rPr>
  </w:style>
  <w:style w:type="paragraph" w:styleId="17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7">
    <w:name w:val="Char1"/>
    <w:basedOn w:val="1"/>
    <w:uiPriority w:val="0"/>
    <w:rPr>
      <w:rFonts w:ascii="仿宋_GB2312" w:eastAsia="仿宋_GB2312"/>
      <w:b/>
      <w:sz w:val="32"/>
      <w:szCs w:val="32"/>
    </w:rPr>
  </w:style>
  <w:style w:type="paragraph" w:customStyle="1" w:styleId="178">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9">
    <w:name w:val="默认段落字体 Para Char Char Char Char Char Char Char Char Char Char"/>
    <w:basedOn w:val="1"/>
    <w:uiPriority w:val="0"/>
    <w:rPr>
      <w:rFonts w:ascii="Tahoma" w:hAnsi="Tahoma"/>
      <w:sz w:val="24"/>
    </w:rPr>
  </w:style>
  <w:style w:type="paragraph" w:customStyle="1" w:styleId="180">
    <w:name w:val="Char Char Char Char Char Char Char"/>
    <w:basedOn w:val="1"/>
    <w:uiPriority w:val="0"/>
    <w:pPr>
      <w:tabs>
        <w:tab w:val="left" w:pos="432"/>
      </w:tabs>
      <w:ind w:left="432" w:hanging="432"/>
    </w:pPr>
    <w:rPr>
      <w:rFonts w:ascii="Tahoma" w:hAnsi="Tahoma"/>
      <w:sz w:val="24"/>
    </w:rPr>
  </w:style>
  <w:style w:type="paragraph" w:customStyle="1" w:styleId="181">
    <w:name w:val="标题3"/>
    <w:basedOn w:val="5"/>
    <w:uiPriority w:val="0"/>
    <w:pPr>
      <w:numPr>
        <w:ilvl w:val="2"/>
        <w:numId w:val="1"/>
      </w:numPr>
      <w:tabs>
        <w:tab w:val="left" w:pos="113"/>
        <w:tab w:val="left" w:pos="840"/>
        <w:tab w:val="clear" w:pos="126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182">
    <w:name w:val="正文无缩进"/>
    <w:basedOn w:val="1"/>
    <w:uiPriority w:val="0"/>
    <w:pPr>
      <w:widowControl/>
      <w:autoSpaceDE w:val="0"/>
      <w:autoSpaceDN w:val="0"/>
      <w:spacing w:line="300" w:lineRule="auto"/>
      <w:textAlignment w:val="bottom"/>
    </w:pPr>
    <w:rPr>
      <w:rFonts w:eastAsia="楷体_GB2312"/>
    </w:rPr>
  </w:style>
  <w:style w:type="paragraph" w:customStyle="1" w:styleId="183">
    <w:name w:val="xl24"/>
    <w:basedOn w:val="1"/>
    <w:uiPriority w:val="0"/>
    <w:pPr>
      <w:widowControl/>
      <w:spacing w:before="100" w:beforeAutospacing="1" w:after="100" w:afterAutospacing="1"/>
      <w:jc w:val="center"/>
    </w:pPr>
    <w:rPr>
      <w:rFonts w:ascii="仿宋_GB2312" w:hAnsi="宋体" w:eastAsia="仿宋_GB2312"/>
      <w:kern w:val="0"/>
      <w:sz w:val="24"/>
      <w:szCs w:val="24"/>
    </w:rPr>
  </w:style>
  <w:style w:type="paragraph" w:customStyle="1" w:styleId="184">
    <w:name w:val="符号 2"/>
    <w:basedOn w:val="151"/>
    <w:uiPriority w:val="0"/>
    <w:pPr>
      <w:tabs>
        <w:tab w:val="left" w:pos="1320"/>
        <w:tab w:val="clear" w:pos="900"/>
      </w:tabs>
      <w:ind w:left="1200" w:hanging="720"/>
    </w:pPr>
  </w:style>
  <w:style w:type="paragraph" w:customStyle="1" w:styleId="185">
    <w:name w:val="默认段落字体11"/>
    <w:basedOn w:val="1"/>
    <w:uiPriority w:val="0"/>
    <w:pPr>
      <w:widowControl/>
      <w:spacing w:before="100" w:beforeAutospacing="1" w:after="100" w:afterAutospacing="1"/>
      <w:jc w:val="left"/>
    </w:pPr>
    <w:rPr>
      <w:sz w:val="28"/>
      <w:szCs w:val="28"/>
    </w:rPr>
  </w:style>
  <w:style w:type="paragraph" w:customStyle="1" w:styleId="186">
    <w:name w:val="Char Char1 Char Char Char Char"/>
    <w:basedOn w:val="1"/>
    <w:uiPriority w:val="0"/>
    <w:rPr>
      <w:rFonts w:ascii="Tahoma" w:hAnsi="Tahoma"/>
      <w:sz w:val="24"/>
    </w:rPr>
  </w:style>
  <w:style w:type="paragraph" w:customStyle="1" w:styleId="187">
    <w:name w:val="默认段落字体 Para Char Char Char Char Char Char Char Char Char1 Char Char Char Char"/>
    <w:basedOn w:val="1"/>
    <w:uiPriority w:val="0"/>
    <w:rPr>
      <w:rFonts w:ascii="Tahoma" w:hAnsi="Tahoma"/>
      <w:sz w:val="24"/>
    </w:rPr>
  </w:style>
  <w:style w:type="paragraph" w:customStyle="1" w:styleId="188">
    <w:name w:val="A正文小四"/>
    <w:basedOn w:val="1"/>
    <w:qFormat/>
    <w:uiPriority w:val="0"/>
    <w:pPr>
      <w:spacing w:line="360" w:lineRule="auto"/>
      <w:ind w:firstLine="600" w:firstLineChars="200"/>
      <w:jc w:val="left"/>
    </w:pPr>
    <w:rPr>
      <w:color w:val="00000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28166</Words>
  <Characters>29525</Characters>
  <Lines>237</Lines>
  <Paragraphs>66</Paragraphs>
  <TotalTime>3</TotalTime>
  <ScaleCrop>false</ScaleCrop>
  <LinksUpToDate>false</LinksUpToDate>
  <CharactersWithSpaces>30999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2022-09-01T00:10:00Z</dcterms:created>
  <dc:creator>浙江天成项目管理有限公司</dc:creator>
  <cp:lastModifiedBy>向阳而生-肩膀</cp:lastModifiedBy>
  <dcterms:modified xsi:type="dcterms:W3CDTF">2022-09-21T22:52:05Z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5599BA6AABFC496E96AA2D3F1A81C86D</vt:lpwstr>
  </property>
</Properties>
</file>